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420"/>
        <w:jc w:val="center"/>
        <w:rPr>
          <w:rFonts w:ascii="仿宋_GB2312" w:hAnsi="宋体" w:eastAsia="仿宋_GB2312"/>
          <w:color w:val="auto"/>
          <w:sz w:val="32"/>
          <w:szCs w:val="32"/>
          <w:highlight w:val="none"/>
        </w:rPr>
      </w:pPr>
    </w:p>
    <w:p>
      <w:pPr>
        <w:spacing w:line="600" w:lineRule="exact"/>
        <w:jc w:val="center"/>
        <w:rPr>
          <w:rFonts w:ascii="仿宋_GB2312" w:hAnsi="宋体" w:eastAsia="仿宋_GB2312"/>
          <w:color w:val="auto"/>
          <w:sz w:val="32"/>
          <w:szCs w:val="32"/>
          <w:highlight w:val="none"/>
        </w:rPr>
      </w:pPr>
    </w:p>
    <w:p>
      <w:pPr>
        <w:jc w:val="center"/>
        <w:rPr>
          <w:rFonts w:ascii="宋体" w:hAnsi="宋体"/>
          <w:color w:val="auto"/>
          <w:sz w:val="44"/>
          <w:szCs w:val="20"/>
          <w:highlight w:val="none"/>
        </w:rPr>
      </w:pPr>
    </w:p>
    <w:p>
      <w:pPr>
        <w:spacing w:before="120" w:beforeLines="50"/>
        <w:jc w:val="center"/>
        <w:rPr>
          <w:rFonts w:hint="eastAsia" w:ascii="宋体" w:hAnsi="宋体" w:eastAsia="宋体"/>
          <w:b/>
          <w:color w:val="auto"/>
          <w:sz w:val="48"/>
          <w:szCs w:val="48"/>
          <w:highlight w:val="none"/>
          <w:lang w:eastAsia="zh-CN"/>
        </w:rPr>
      </w:pPr>
      <w:r>
        <w:rPr>
          <w:rFonts w:hint="eastAsia" w:ascii="宋体" w:hAnsi="宋体"/>
          <w:b/>
          <w:color w:val="auto"/>
          <w:sz w:val="48"/>
          <w:szCs w:val="48"/>
          <w:highlight w:val="none"/>
          <w:lang w:eastAsia="zh-CN"/>
        </w:rPr>
        <w:t>宁波市第一医院CIS、集成平台信息系统改造、全院心身整合医疗服务集成平台（PIS）、方桥院区数字化项目监理咨询服务</w:t>
      </w:r>
      <w:r>
        <w:rPr>
          <w:rFonts w:hint="eastAsia" w:ascii="宋体" w:hAnsi="宋体"/>
          <w:b/>
          <w:color w:val="auto"/>
          <w:sz w:val="48"/>
          <w:szCs w:val="48"/>
          <w:highlight w:val="none"/>
          <w:lang w:val="en-US" w:eastAsia="zh-CN"/>
        </w:rPr>
        <w:t>等</w:t>
      </w:r>
      <w:r>
        <w:rPr>
          <w:rFonts w:hint="eastAsia" w:ascii="宋体" w:hAnsi="宋体"/>
          <w:b/>
          <w:color w:val="auto"/>
          <w:sz w:val="48"/>
          <w:szCs w:val="48"/>
          <w:highlight w:val="none"/>
          <w:lang w:eastAsia="zh-CN"/>
        </w:rPr>
        <w:t>采购项目</w:t>
      </w:r>
    </w:p>
    <w:p>
      <w:pPr>
        <w:spacing w:before="120" w:beforeLines="50"/>
        <w:jc w:val="center"/>
        <w:rPr>
          <w:rFonts w:ascii="宋体" w:hAnsi="宋体"/>
          <w:color w:val="auto"/>
          <w:sz w:val="52"/>
          <w:szCs w:val="52"/>
          <w:highlight w:val="none"/>
        </w:rPr>
      </w:pPr>
      <w:r>
        <w:rPr>
          <w:rFonts w:hint="eastAsia" w:ascii="宋体" w:hAnsi="宋体"/>
          <w:color w:val="auto"/>
          <w:sz w:val="52"/>
          <w:szCs w:val="52"/>
          <w:highlight w:val="none"/>
        </w:rPr>
        <w:t>公开招标文件</w:t>
      </w: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snapToGrid w:val="0"/>
        <w:spacing w:before="120" w:beforeLines="50" w:line="360" w:lineRule="auto"/>
        <w:rPr>
          <w:rFonts w:ascii="宋体" w:hAnsi="宋体"/>
          <w:color w:val="auto"/>
          <w:sz w:val="30"/>
          <w:szCs w:val="72"/>
          <w:highlight w:val="none"/>
        </w:rPr>
      </w:pPr>
    </w:p>
    <w:p>
      <w:pPr>
        <w:pStyle w:val="15"/>
        <w:snapToGrid w:val="0"/>
        <w:spacing w:before="120" w:line="360" w:lineRule="auto"/>
        <w:rPr>
          <w:rFonts w:hint="eastAsia" w:ascii="宋体" w:hAnsi="宋体" w:eastAsia="宋体" w:cs="Times New Roman"/>
          <w:b/>
          <w:color w:val="auto"/>
          <w:sz w:val="30"/>
          <w:szCs w:val="72"/>
          <w:highlight w:val="none"/>
          <w:lang w:eastAsia="zh-CN"/>
        </w:rPr>
      </w:pPr>
      <w:r>
        <w:rPr>
          <w:rFonts w:hint="eastAsia" w:ascii="宋体" w:hAnsi="宋体" w:eastAsia="宋体" w:cs="Times New Roman"/>
          <w:b/>
          <w:color w:val="auto"/>
          <w:sz w:val="30"/>
          <w:szCs w:val="72"/>
          <w:highlight w:val="none"/>
        </w:rPr>
        <w:t>项目编号：</w:t>
      </w:r>
      <w:r>
        <w:rPr>
          <w:rFonts w:hint="eastAsia" w:ascii="宋体" w:hAnsi="宋体" w:eastAsia="宋体" w:cs="Times New Roman"/>
          <w:b/>
          <w:color w:val="auto"/>
          <w:sz w:val="30"/>
          <w:szCs w:val="72"/>
          <w:highlight w:val="none"/>
          <w:lang w:eastAsia="zh-CN"/>
        </w:rPr>
        <w:t>CBNB-202261</w:t>
      </w:r>
      <w:r>
        <w:rPr>
          <w:rFonts w:hint="eastAsia" w:ascii="宋体" w:hAnsi="宋体" w:eastAsia="宋体" w:cs="Times New Roman"/>
          <w:b/>
          <w:color w:val="auto"/>
          <w:sz w:val="30"/>
          <w:szCs w:val="72"/>
          <w:highlight w:val="none"/>
          <w:lang w:val="en-US" w:eastAsia="zh-CN"/>
        </w:rPr>
        <w:t>91</w:t>
      </w:r>
      <w:r>
        <w:rPr>
          <w:rFonts w:hint="eastAsia" w:ascii="宋体" w:hAnsi="宋体" w:eastAsia="宋体" w:cs="Times New Roman"/>
          <w:b/>
          <w:color w:val="auto"/>
          <w:sz w:val="30"/>
          <w:szCs w:val="72"/>
          <w:highlight w:val="none"/>
          <w:lang w:eastAsia="zh-CN"/>
        </w:rPr>
        <w:t>G</w:t>
      </w:r>
    </w:p>
    <w:p>
      <w:pPr>
        <w:spacing w:before="120" w:beforeLines="50" w:line="360" w:lineRule="auto"/>
        <w:rPr>
          <w:rFonts w:hint="eastAsia" w:ascii="宋体" w:hAnsi="宋体" w:eastAsia="宋体"/>
          <w:b/>
          <w:color w:val="auto"/>
          <w:sz w:val="30"/>
          <w:szCs w:val="48"/>
          <w:highlight w:val="none"/>
          <w:lang w:eastAsia="zh-CN"/>
        </w:rPr>
      </w:pPr>
      <w:r>
        <w:rPr>
          <w:rFonts w:hint="eastAsia" w:ascii="宋体" w:hAnsi="宋体"/>
          <w:b/>
          <w:color w:val="auto"/>
          <w:sz w:val="30"/>
          <w:szCs w:val="72"/>
          <w:highlight w:val="none"/>
        </w:rPr>
        <w:t>项目</w:t>
      </w:r>
      <w:r>
        <w:rPr>
          <w:rFonts w:hint="eastAsia" w:ascii="宋体" w:hAnsi="宋体"/>
          <w:b/>
          <w:color w:val="auto"/>
          <w:sz w:val="30"/>
          <w:szCs w:val="48"/>
          <w:highlight w:val="none"/>
        </w:rPr>
        <w:t>名称：</w:t>
      </w:r>
      <w:r>
        <w:rPr>
          <w:rFonts w:hint="eastAsia" w:ascii="宋体" w:hAnsi="宋体"/>
          <w:b/>
          <w:color w:val="auto"/>
          <w:sz w:val="30"/>
          <w:szCs w:val="48"/>
          <w:highlight w:val="none"/>
          <w:lang w:eastAsia="zh-CN"/>
        </w:rPr>
        <w:t>宁波市第一医院CIS、集成平台信息系统改造、全院心身整合医疗服务集成平台（PIS）、方桥院区数字化项目监理咨询服务</w:t>
      </w:r>
      <w:r>
        <w:rPr>
          <w:rFonts w:hint="eastAsia" w:ascii="宋体" w:hAnsi="宋体"/>
          <w:b/>
          <w:color w:val="auto"/>
          <w:sz w:val="30"/>
          <w:szCs w:val="48"/>
          <w:highlight w:val="none"/>
          <w:lang w:val="en-US" w:eastAsia="zh-CN"/>
        </w:rPr>
        <w:t>等</w:t>
      </w:r>
      <w:r>
        <w:rPr>
          <w:rFonts w:hint="eastAsia" w:ascii="宋体" w:hAnsi="宋体"/>
          <w:b/>
          <w:color w:val="auto"/>
          <w:sz w:val="30"/>
          <w:szCs w:val="48"/>
          <w:highlight w:val="none"/>
          <w:lang w:eastAsia="zh-CN"/>
        </w:rPr>
        <w:t>采购项目</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48"/>
          <w:highlight w:val="none"/>
        </w:rPr>
        <w:t>采购人：宁波市第一医院</w:t>
      </w:r>
    </w:p>
    <w:p>
      <w:pPr>
        <w:spacing w:before="120" w:beforeLines="50" w:line="360" w:lineRule="auto"/>
        <w:rPr>
          <w:rFonts w:ascii="宋体" w:hAnsi="宋体"/>
          <w:b/>
          <w:color w:val="auto"/>
          <w:sz w:val="30"/>
          <w:szCs w:val="48"/>
          <w:highlight w:val="none"/>
        </w:rPr>
      </w:pPr>
      <w:r>
        <w:rPr>
          <w:rFonts w:hint="eastAsia" w:ascii="宋体" w:hAnsi="宋体"/>
          <w:b/>
          <w:color w:val="auto"/>
          <w:sz w:val="30"/>
          <w:szCs w:val="48"/>
          <w:highlight w:val="none"/>
        </w:rPr>
        <w:t>采购代理机构：宁波中基国际招标有限公司</w:t>
      </w: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jc w:val="center"/>
        <w:rPr>
          <w:rFonts w:ascii="宋体" w:hAnsi="宋体"/>
          <w:b/>
          <w:bCs/>
          <w:color w:val="auto"/>
          <w:w w:val="95"/>
          <w:sz w:val="30"/>
          <w:szCs w:val="30"/>
          <w:highlight w:val="none"/>
        </w:rPr>
      </w:pPr>
    </w:p>
    <w:p>
      <w:pPr>
        <w:snapToGrid w:val="0"/>
        <w:spacing w:before="120" w:beforeLines="50" w:line="360" w:lineRule="auto"/>
        <w:ind w:left="2940" w:firstLine="420"/>
        <w:rPr>
          <w:rFonts w:ascii="宋体" w:hAnsi="宋体"/>
          <w:b/>
          <w:bCs/>
          <w:color w:val="auto"/>
          <w:w w:val="95"/>
          <w:sz w:val="30"/>
          <w:szCs w:val="30"/>
          <w:highlight w:val="none"/>
        </w:rPr>
      </w:pPr>
      <w:r>
        <w:rPr>
          <w:rFonts w:hint="eastAsia" w:ascii="宋体" w:hAnsi="宋体"/>
          <w:b/>
          <w:bCs/>
          <w:color w:val="auto"/>
          <w:w w:val="95"/>
          <w:sz w:val="30"/>
          <w:szCs w:val="30"/>
          <w:highlight w:val="none"/>
        </w:rPr>
        <w:t>202</w:t>
      </w:r>
      <w:r>
        <w:rPr>
          <w:rFonts w:hint="eastAsia" w:ascii="宋体" w:hAnsi="宋体"/>
          <w:b/>
          <w:bCs/>
          <w:color w:val="auto"/>
          <w:w w:val="95"/>
          <w:sz w:val="30"/>
          <w:szCs w:val="30"/>
          <w:highlight w:val="none"/>
          <w:lang w:val="en-US" w:eastAsia="zh-CN"/>
        </w:rPr>
        <w:t>2</w:t>
      </w:r>
      <w:r>
        <w:rPr>
          <w:rFonts w:hint="eastAsia" w:ascii="宋体" w:hAnsi="宋体"/>
          <w:b/>
          <w:bCs/>
          <w:color w:val="auto"/>
          <w:w w:val="95"/>
          <w:sz w:val="30"/>
          <w:szCs w:val="30"/>
          <w:highlight w:val="none"/>
        </w:rPr>
        <w:t>年0</w:t>
      </w:r>
      <w:r>
        <w:rPr>
          <w:rFonts w:hint="eastAsia" w:ascii="宋体" w:hAnsi="宋体"/>
          <w:b/>
          <w:bCs/>
          <w:color w:val="auto"/>
          <w:w w:val="95"/>
          <w:sz w:val="30"/>
          <w:szCs w:val="30"/>
          <w:highlight w:val="none"/>
          <w:lang w:val="en-US" w:eastAsia="zh-CN"/>
        </w:rPr>
        <w:t>4</w:t>
      </w:r>
      <w:r>
        <w:rPr>
          <w:rFonts w:hint="eastAsia" w:ascii="宋体" w:hAnsi="宋体"/>
          <w:b/>
          <w:bCs/>
          <w:color w:val="auto"/>
          <w:w w:val="95"/>
          <w:sz w:val="30"/>
          <w:szCs w:val="30"/>
          <w:highlight w:val="none"/>
        </w:rPr>
        <w:t>月</w:t>
      </w:r>
    </w:p>
    <w:p>
      <w:pPr>
        <w:widowControl/>
        <w:spacing w:line="360" w:lineRule="auto"/>
        <w:jc w:val="left"/>
        <w:rPr>
          <w:rFonts w:ascii="宋体" w:hAnsi="宋体"/>
          <w:b/>
          <w:bCs/>
          <w:color w:val="auto"/>
          <w:w w:val="95"/>
          <w:sz w:val="30"/>
          <w:szCs w:val="30"/>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sectPr>
      </w:pPr>
    </w:p>
    <w:p>
      <w:pPr>
        <w:snapToGrid w:val="0"/>
        <w:spacing w:before="120" w:beforeLines="50" w:line="360" w:lineRule="auto"/>
        <w:rPr>
          <w:rFonts w:ascii="宋体" w:hAnsi="宋体"/>
          <w:b/>
          <w:bCs/>
          <w:color w:val="auto"/>
          <w:w w:val="95"/>
          <w:sz w:val="30"/>
          <w:szCs w:val="30"/>
          <w:highlight w:val="none"/>
        </w:rPr>
      </w:pPr>
    </w:p>
    <w:p>
      <w:pPr>
        <w:jc w:val="center"/>
        <w:rPr>
          <w:rFonts w:ascii="宋体" w:hAnsi="宋体"/>
          <w:b/>
          <w:color w:val="auto"/>
          <w:sz w:val="44"/>
          <w:szCs w:val="44"/>
          <w:highlight w:val="none"/>
        </w:rPr>
      </w:pPr>
      <w:r>
        <w:rPr>
          <w:rFonts w:hint="eastAsia" w:ascii="宋体" w:hAnsi="宋体"/>
          <w:b/>
          <w:color w:val="auto"/>
          <w:sz w:val="44"/>
          <w:szCs w:val="44"/>
          <w:highlight w:val="none"/>
        </w:rPr>
        <w:t>目    录</w:t>
      </w:r>
    </w:p>
    <w:p>
      <w:pPr>
        <w:tabs>
          <w:tab w:val="left" w:pos="855"/>
        </w:tabs>
        <w:rPr>
          <w:color w:val="auto"/>
          <w:highlight w:val="none"/>
        </w:rPr>
      </w:pPr>
    </w:p>
    <w:p>
      <w:pPr>
        <w:spacing w:line="480" w:lineRule="auto"/>
        <w:rPr>
          <w:color w:val="auto"/>
          <w:sz w:val="24"/>
          <w:highlight w:val="none"/>
        </w:rPr>
      </w:pPr>
    </w:p>
    <w:p>
      <w:pPr>
        <w:pStyle w:val="22"/>
        <w:tabs>
          <w:tab w:val="right" w:leader="dot" w:pos="8312"/>
        </w:tabs>
        <w:spacing w:line="360" w:lineRule="auto"/>
        <w:rPr>
          <w:color w:val="auto"/>
          <w:sz w:val="24"/>
          <w:szCs w:val="32"/>
          <w:highlight w:val="none"/>
        </w:rPr>
      </w:pPr>
      <w:r>
        <w:rPr>
          <w:rFonts w:hAnsi="宋体"/>
          <w:b/>
          <w:color w:val="auto"/>
          <w:sz w:val="28"/>
          <w:szCs w:val="28"/>
          <w:highlight w:val="none"/>
        </w:rPr>
        <w:fldChar w:fldCharType="begin"/>
      </w:r>
      <w:r>
        <w:rPr>
          <w:rFonts w:hAnsi="宋体"/>
          <w:b/>
          <w:color w:val="auto"/>
          <w:sz w:val="28"/>
          <w:szCs w:val="28"/>
          <w:highlight w:val="none"/>
        </w:rPr>
        <w:instrText xml:space="preserve"> TOC \o "1-3" \h \z \u </w:instrText>
      </w:r>
      <w:r>
        <w:rPr>
          <w:rFonts w:hAnsi="宋体"/>
          <w:b/>
          <w:color w:val="auto"/>
          <w:sz w:val="28"/>
          <w:szCs w:val="28"/>
          <w:highlight w:val="none"/>
        </w:rPr>
        <w:fldChar w:fldCharType="separate"/>
      </w:r>
      <w:r>
        <w:rPr>
          <w:color w:val="auto"/>
          <w:highlight w:val="none"/>
        </w:rPr>
        <w:fldChar w:fldCharType="begin"/>
      </w:r>
      <w:r>
        <w:rPr>
          <w:color w:val="auto"/>
          <w:highlight w:val="none"/>
        </w:rPr>
        <w:instrText xml:space="preserve"> HYPERLINK \l "_Toc11290" </w:instrText>
      </w:r>
      <w:r>
        <w:rPr>
          <w:color w:val="auto"/>
          <w:highlight w:val="none"/>
        </w:rPr>
        <w:fldChar w:fldCharType="separate"/>
      </w:r>
      <w:r>
        <w:rPr>
          <w:rFonts w:hint="eastAsia"/>
          <w:color w:val="auto"/>
          <w:sz w:val="24"/>
          <w:szCs w:val="36"/>
          <w:highlight w:val="none"/>
        </w:rPr>
        <w:t>第一章公开招标公告</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_Toc11290 </w:instrText>
      </w:r>
      <w:r>
        <w:rPr>
          <w:color w:val="auto"/>
          <w:sz w:val="24"/>
          <w:szCs w:val="32"/>
          <w:highlight w:val="none"/>
        </w:rPr>
        <w:fldChar w:fldCharType="separate"/>
      </w:r>
      <w:r>
        <w:rPr>
          <w:color w:val="auto"/>
          <w:sz w:val="24"/>
          <w:szCs w:val="32"/>
          <w:highlight w:val="none"/>
        </w:rPr>
        <w:t>1</w:t>
      </w:r>
      <w:r>
        <w:rPr>
          <w:color w:val="auto"/>
          <w:sz w:val="24"/>
          <w:szCs w:val="32"/>
          <w:highlight w:val="none"/>
        </w:rPr>
        <w:fldChar w:fldCharType="end"/>
      </w:r>
      <w:r>
        <w:rPr>
          <w:color w:val="auto"/>
          <w:sz w:val="24"/>
          <w:szCs w:val="32"/>
          <w:highlight w:val="none"/>
        </w:rPr>
        <w:fldChar w:fldCharType="end"/>
      </w:r>
    </w:p>
    <w:p>
      <w:pPr>
        <w:pStyle w:val="22"/>
        <w:tabs>
          <w:tab w:val="right" w:leader="dot" w:pos="8312"/>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"_Toc13297" </w:instrText>
      </w:r>
      <w:r>
        <w:rPr>
          <w:color w:val="auto"/>
          <w:highlight w:val="none"/>
        </w:rPr>
        <w:fldChar w:fldCharType="separate"/>
      </w:r>
      <w:r>
        <w:rPr>
          <w:rFonts w:hint="eastAsia"/>
          <w:bCs/>
          <w:color w:val="auto"/>
          <w:sz w:val="24"/>
          <w:szCs w:val="36"/>
          <w:highlight w:val="none"/>
        </w:rPr>
        <w:t>第二章采购需求</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_Toc13297 </w:instrText>
      </w:r>
      <w:r>
        <w:rPr>
          <w:color w:val="auto"/>
          <w:sz w:val="24"/>
          <w:szCs w:val="32"/>
          <w:highlight w:val="none"/>
        </w:rPr>
        <w:fldChar w:fldCharType="separate"/>
      </w:r>
      <w:r>
        <w:rPr>
          <w:color w:val="auto"/>
          <w:sz w:val="24"/>
          <w:szCs w:val="32"/>
          <w:highlight w:val="none"/>
        </w:rPr>
        <w:t>6</w:t>
      </w:r>
      <w:r>
        <w:rPr>
          <w:color w:val="auto"/>
          <w:sz w:val="24"/>
          <w:szCs w:val="32"/>
          <w:highlight w:val="none"/>
        </w:rPr>
        <w:fldChar w:fldCharType="end"/>
      </w:r>
      <w:r>
        <w:rPr>
          <w:color w:val="auto"/>
          <w:sz w:val="24"/>
          <w:szCs w:val="32"/>
          <w:highlight w:val="none"/>
        </w:rPr>
        <w:fldChar w:fldCharType="end"/>
      </w:r>
    </w:p>
    <w:p>
      <w:pPr>
        <w:pStyle w:val="22"/>
        <w:tabs>
          <w:tab w:val="right" w:leader="dot" w:pos="8312"/>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"_Toc8354" </w:instrText>
      </w:r>
      <w:r>
        <w:rPr>
          <w:color w:val="auto"/>
          <w:highlight w:val="none"/>
        </w:rPr>
        <w:fldChar w:fldCharType="separate"/>
      </w:r>
      <w:r>
        <w:rPr>
          <w:rFonts w:hint="eastAsia"/>
          <w:color w:val="auto"/>
          <w:sz w:val="24"/>
          <w:szCs w:val="36"/>
          <w:highlight w:val="none"/>
        </w:rPr>
        <w:t>第三章供应商须知</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_Toc8354 </w:instrText>
      </w:r>
      <w:r>
        <w:rPr>
          <w:color w:val="auto"/>
          <w:sz w:val="24"/>
          <w:szCs w:val="32"/>
          <w:highlight w:val="none"/>
        </w:rPr>
        <w:fldChar w:fldCharType="separate"/>
      </w:r>
      <w:r>
        <w:rPr>
          <w:color w:val="auto"/>
          <w:sz w:val="24"/>
          <w:szCs w:val="32"/>
          <w:highlight w:val="none"/>
        </w:rPr>
        <w:t>67</w:t>
      </w:r>
      <w:r>
        <w:rPr>
          <w:color w:val="auto"/>
          <w:sz w:val="24"/>
          <w:szCs w:val="32"/>
          <w:highlight w:val="none"/>
        </w:rPr>
        <w:fldChar w:fldCharType="end"/>
      </w:r>
      <w:r>
        <w:rPr>
          <w:color w:val="auto"/>
          <w:sz w:val="24"/>
          <w:szCs w:val="32"/>
          <w:highlight w:val="none"/>
        </w:rPr>
        <w:fldChar w:fldCharType="end"/>
      </w:r>
    </w:p>
    <w:p>
      <w:pPr>
        <w:pStyle w:val="22"/>
        <w:tabs>
          <w:tab w:val="right" w:leader="dot" w:pos="8312"/>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"_Toc24415" </w:instrText>
      </w:r>
      <w:r>
        <w:rPr>
          <w:color w:val="auto"/>
          <w:highlight w:val="none"/>
        </w:rPr>
        <w:fldChar w:fldCharType="separate"/>
      </w:r>
      <w:r>
        <w:rPr>
          <w:rFonts w:hint="eastAsia"/>
          <w:color w:val="auto"/>
          <w:sz w:val="24"/>
          <w:szCs w:val="36"/>
          <w:highlight w:val="none"/>
        </w:rPr>
        <w:t>第四章评标办法及评分标准</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_Toc24415 </w:instrText>
      </w:r>
      <w:r>
        <w:rPr>
          <w:color w:val="auto"/>
          <w:sz w:val="24"/>
          <w:szCs w:val="32"/>
          <w:highlight w:val="none"/>
        </w:rPr>
        <w:fldChar w:fldCharType="separate"/>
      </w:r>
      <w:r>
        <w:rPr>
          <w:color w:val="auto"/>
          <w:sz w:val="24"/>
          <w:szCs w:val="32"/>
          <w:highlight w:val="none"/>
        </w:rPr>
        <w:t>76</w:t>
      </w:r>
      <w:r>
        <w:rPr>
          <w:color w:val="auto"/>
          <w:sz w:val="24"/>
          <w:szCs w:val="32"/>
          <w:highlight w:val="none"/>
        </w:rPr>
        <w:fldChar w:fldCharType="end"/>
      </w:r>
      <w:r>
        <w:rPr>
          <w:color w:val="auto"/>
          <w:sz w:val="24"/>
          <w:szCs w:val="32"/>
          <w:highlight w:val="none"/>
        </w:rPr>
        <w:fldChar w:fldCharType="end"/>
      </w:r>
    </w:p>
    <w:p>
      <w:pPr>
        <w:pStyle w:val="22"/>
        <w:tabs>
          <w:tab w:val="right" w:leader="dot" w:pos="8312"/>
        </w:tabs>
        <w:spacing w:line="360" w:lineRule="auto"/>
        <w:rPr>
          <w:color w:val="auto"/>
          <w:sz w:val="24"/>
          <w:szCs w:val="32"/>
          <w:highlight w:val="none"/>
        </w:rPr>
      </w:pPr>
      <w:r>
        <w:rPr>
          <w:color w:val="auto"/>
          <w:highlight w:val="none"/>
        </w:rPr>
        <w:fldChar w:fldCharType="begin"/>
      </w:r>
      <w:r>
        <w:rPr>
          <w:color w:val="auto"/>
          <w:highlight w:val="none"/>
        </w:rPr>
        <w:instrText xml:space="preserve"> HYPERLINK \l "_Toc8298" </w:instrText>
      </w:r>
      <w:r>
        <w:rPr>
          <w:color w:val="auto"/>
          <w:highlight w:val="none"/>
        </w:rPr>
        <w:fldChar w:fldCharType="separate"/>
      </w:r>
      <w:r>
        <w:rPr>
          <w:rFonts w:hint="eastAsia"/>
          <w:color w:val="auto"/>
          <w:sz w:val="24"/>
          <w:szCs w:val="36"/>
          <w:highlight w:val="none"/>
        </w:rPr>
        <w:t>第五章政府采购合同主要条款</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_Toc8298 </w:instrText>
      </w:r>
      <w:r>
        <w:rPr>
          <w:color w:val="auto"/>
          <w:sz w:val="24"/>
          <w:szCs w:val="32"/>
          <w:highlight w:val="none"/>
        </w:rPr>
        <w:fldChar w:fldCharType="separate"/>
      </w:r>
      <w:r>
        <w:rPr>
          <w:color w:val="auto"/>
          <w:sz w:val="24"/>
          <w:szCs w:val="32"/>
          <w:highlight w:val="none"/>
        </w:rPr>
        <w:t>87</w:t>
      </w:r>
      <w:r>
        <w:rPr>
          <w:color w:val="auto"/>
          <w:sz w:val="24"/>
          <w:szCs w:val="32"/>
          <w:highlight w:val="none"/>
        </w:rPr>
        <w:fldChar w:fldCharType="end"/>
      </w:r>
      <w:r>
        <w:rPr>
          <w:color w:val="auto"/>
          <w:sz w:val="24"/>
          <w:szCs w:val="32"/>
          <w:highlight w:val="none"/>
        </w:rPr>
        <w:fldChar w:fldCharType="end"/>
      </w:r>
    </w:p>
    <w:p>
      <w:pPr>
        <w:pStyle w:val="22"/>
        <w:tabs>
          <w:tab w:val="right" w:leader="dot" w:pos="8312"/>
        </w:tabs>
        <w:spacing w:line="360" w:lineRule="auto"/>
        <w:rPr>
          <w:color w:val="auto"/>
          <w:highlight w:val="none"/>
        </w:rPr>
      </w:pPr>
      <w:r>
        <w:rPr>
          <w:color w:val="auto"/>
          <w:highlight w:val="none"/>
        </w:rPr>
        <w:fldChar w:fldCharType="begin"/>
      </w:r>
      <w:r>
        <w:rPr>
          <w:color w:val="auto"/>
          <w:highlight w:val="none"/>
        </w:rPr>
        <w:instrText xml:space="preserve"> HYPERLINK \l "_Toc625" </w:instrText>
      </w:r>
      <w:r>
        <w:rPr>
          <w:color w:val="auto"/>
          <w:highlight w:val="none"/>
        </w:rPr>
        <w:fldChar w:fldCharType="separate"/>
      </w:r>
      <w:r>
        <w:rPr>
          <w:rFonts w:hint="eastAsia"/>
          <w:color w:val="auto"/>
          <w:sz w:val="24"/>
          <w:szCs w:val="36"/>
          <w:highlight w:val="none"/>
        </w:rPr>
        <w:t>第六章投标文件格式</w:t>
      </w:r>
      <w:r>
        <w:rPr>
          <w:color w:val="auto"/>
          <w:sz w:val="24"/>
          <w:szCs w:val="32"/>
          <w:highlight w:val="none"/>
        </w:rPr>
        <w:tab/>
      </w:r>
      <w:r>
        <w:rPr>
          <w:color w:val="auto"/>
          <w:sz w:val="24"/>
          <w:szCs w:val="32"/>
          <w:highlight w:val="none"/>
        </w:rPr>
        <w:fldChar w:fldCharType="begin"/>
      </w:r>
      <w:r>
        <w:rPr>
          <w:color w:val="auto"/>
          <w:sz w:val="24"/>
          <w:szCs w:val="32"/>
          <w:highlight w:val="none"/>
        </w:rPr>
        <w:instrText xml:space="preserve"> PAGEREF _Toc625 </w:instrText>
      </w:r>
      <w:r>
        <w:rPr>
          <w:color w:val="auto"/>
          <w:sz w:val="24"/>
          <w:szCs w:val="32"/>
          <w:highlight w:val="none"/>
        </w:rPr>
        <w:fldChar w:fldCharType="separate"/>
      </w:r>
      <w:r>
        <w:rPr>
          <w:color w:val="auto"/>
          <w:sz w:val="24"/>
          <w:szCs w:val="32"/>
          <w:highlight w:val="none"/>
        </w:rPr>
        <w:t>91</w:t>
      </w:r>
      <w:r>
        <w:rPr>
          <w:color w:val="auto"/>
          <w:sz w:val="24"/>
          <w:szCs w:val="32"/>
          <w:highlight w:val="none"/>
        </w:rPr>
        <w:fldChar w:fldCharType="end"/>
      </w:r>
      <w:r>
        <w:rPr>
          <w:color w:val="auto"/>
          <w:sz w:val="24"/>
          <w:szCs w:val="32"/>
          <w:highlight w:val="none"/>
        </w:rPr>
        <w:fldChar w:fldCharType="end"/>
      </w:r>
    </w:p>
    <w:p>
      <w:pPr>
        <w:spacing w:line="360" w:lineRule="auto"/>
        <w:jc w:val="center"/>
        <w:rPr>
          <w:color w:val="auto"/>
          <w:highlight w:val="none"/>
        </w:rPr>
      </w:pPr>
      <w:r>
        <w:rPr>
          <w:color w:val="auto"/>
          <w:szCs w:val="28"/>
          <w:highlight w:val="none"/>
        </w:rPr>
        <w:fldChar w:fldCharType="end"/>
      </w:r>
    </w:p>
    <w:p>
      <w:pPr>
        <w:widowControl/>
        <w:spacing w:line="360" w:lineRule="auto"/>
        <w:jc w:val="left"/>
        <w:rPr>
          <w:color w:val="auto"/>
          <w:highlight w:val="none"/>
        </w:rPr>
        <w:sectPr>
          <w:pgSz w:w="11906" w:h="16838"/>
          <w:pgMar w:top="1474" w:right="1797" w:bottom="1247" w:left="1797" w:header="851" w:footer="851" w:gutter="0"/>
          <w:pgBorders>
            <w:top w:val="none" w:sz="0" w:space="0"/>
            <w:left w:val="none" w:sz="0" w:space="0"/>
            <w:bottom w:val="none" w:sz="0" w:space="0"/>
            <w:right w:val="none" w:sz="0" w:space="0"/>
          </w:pgBorders>
          <w:pgNumType w:start="1"/>
          <w:cols w:space="720" w:num="1"/>
        </w:sectPr>
      </w:pPr>
    </w:p>
    <w:p>
      <w:pPr>
        <w:spacing w:line="480" w:lineRule="auto"/>
        <w:jc w:val="center"/>
        <w:outlineLvl w:val="0"/>
        <w:rPr>
          <w:color w:val="auto"/>
          <w:sz w:val="28"/>
          <w:szCs w:val="28"/>
          <w:highlight w:val="none"/>
        </w:rPr>
      </w:pPr>
      <w:bookmarkStart w:id="0" w:name="_Toc11290"/>
      <w:r>
        <w:rPr>
          <w:rFonts w:hint="eastAsia"/>
          <w:color w:val="auto"/>
          <w:sz w:val="28"/>
          <w:szCs w:val="28"/>
          <w:highlight w:val="none"/>
        </w:rPr>
        <w:t>第一章公开招标公告</w:t>
      </w:r>
      <w:bookmarkEnd w:id="0"/>
    </w:p>
    <w:tbl>
      <w:tblPr>
        <w:tblStyle w:val="28"/>
        <w:tblW w:w="8527" w:type="dxa"/>
        <w:jc w:val="center"/>
        <w:tblLayout w:type="autofit"/>
        <w:tblCellMar>
          <w:top w:w="0" w:type="dxa"/>
          <w:left w:w="108" w:type="dxa"/>
          <w:bottom w:w="0" w:type="dxa"/>
          <w:right w:w="108" w:type="dxa"/>
        </w:tblCellMar>
      </w:tblPr>
      <w:tblGrid>
        <w:gridCol w:w="8527"/>
      </w:tblGrid>
      <w:tr>
        <w:tblPrEx>
          <w:tblCellMar>
            <w:top w:w="0" w:type="dxa"/>
            <w:left w:w="108" w:type="dxa"/>
            <w:bottom w:w="0" w:type="dxa"/>
            <w:right w:w="108" w:type="dxa"/>
          </w:tblCellMar>
        </w:tblPrEx>
        <w:trPr>
          <w:jc w:val="center"/>
        </w:trPr>
        <w:tc>
          <w:tcPr>
            <w:tcW w:w="8527" w:type="dxa"/>
            <w:tcBorders>
              <w:top w:val="single" w:color="auto" w:sz="4" w:space="0"/>
              <w:left w:val="single" w:color="auto" w:sz="4" w:space="0"/>
              <w:bottom w:val="single" w:color="auto" w:sz="4" w:space="0"/>
              <w:right w:val="single" w:color="auto" w:sz="4" w:space="0"/>
            </w:tcBorders>
          </w:tcPr>
          <w:p>
            <w:pPr>
              <w:spacing w:line="360" w:lineRule="auto"/>
              <w:rPr>
                <w:rFonts w:ascii="宋体" w:hAnsi="宋体" w:cs="宋体"/>
                <w:color w:val="auto"/>
                <w:szCs w:val="21"/>
                <w:highlight w:val="none"/>
              </w:rPr>
            </w:pPr>
            <w:bookmarkStart w:id="1" w:name="_Toc28359002"/>
            <w:bookmarkStart w:id="2" w:name="_Toc35393621"/>
            <w:bookmarkStart w:id="3" w:name="_Toc35393790"/>
            <w:bookmarkStart w:id="4" w:name="_Toc28359079"/>
            <w:bookmarkStart w:id="5" w:name="_Hlk24379207"/>
            <w:r>
              <w:rPr>
                <w:rFonts w:hint="eastAsia" w:ascii="宋体" w:hAnsi="宋体" w:cs="宋体"/>
                <w:color w:val="auto"/>
                <w:szCs w:val="21"/>
                <w:highlight w:val="none"/>
              </w:rPr>
              <w:t>项目概况：</w:t>
            </w:r>
          </w:p>
          <w:p>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eastAsia="zh-CN"/>
              </w:rPr>
              <w:t>宁波市第一医院CIS、集成平台信息系统改造、全院心身整合医疗服务集成平台（PIS）、方桥院区数字化项目监理咨询服务</w:t>
            </w:r>
            <w:r>
              <w:rPr>
                <w:rFonts w:hint="eastAsia" w:ascii="宋体" w:hAnsi="宋体" w:cs="宋体"/>
                <w:color w:val="auto"/>
                <w:szCs w:val="21"/>
                <w:highlight w:val="none"/>
                <w:u w:val="single"/>
                <w:lang w:val="en-US" w:eastAsia="zh-CN"/>
              </w:rPr>
              <w:t>等</w:t>
            </w:r>
            <w:r>
              <w:rPr>
                <w:rFonts w:hint="eastAsia" w:ascii="宋体" w:hAnsi="宋体" w:cs="宋体"/>
                <w:color w:val="auto"/>
                <w:szCs w:val="21"/>
                <w:highlight w:val="none"/>
                <w:u w:val="single"/>
                <w:lang w:eastAsia="zh-CN"/>
              </w:rPr>
              <w:t>采购项目）</w:t>
            </w:r>
            <w:r>
              <w:rPr>
                <w:rFonts w:hint="eastAsia" w:ascii="宋体" w:hAnsi="宋体" w:cs="宋体"/>
                <w:color w:val="auto"/>
                <w:szCs w:val="21"/>
                <w:highlight w:val="none"/>
              </w:rPr>
              <w:t>招标项目的潜在投标人应在</w:t>
            </w:r>
            <w:r>
              <w:rPr>
                <w:rFonts w:hint="eastAsia" w:ascii="宋体" w:hAnsi="宋体" w:cs="宋体"/>
                <w:bCs/>
                <w:color w:val="auto"/>
                <w:szCs w:val="21"/>
                <w:highlight w:val="none"/>
                <w:u w:val="single"/>
              </w:rPr>
              <w:t>政府采购云平台（http://www.zcygov.cn/）</w:t>
            </w:r>
            <w:r>
              <w:rPr>
                <w:rFonts w:hint="eastAsia" w:ascii="宋体" w:hAnsi="宋体" w:cs="宋体"/>
                <w:color w:val="auto"/>
                <w:szCs w:val="21"/>
                <w:highlight w:val="none"/>
              </w:rPr>
              <w:t>获取（下载）招标文件，并于</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bCs/>
                <w:color w:val="auto"/>
                <w:szCs w:val="21"/>
                <w:highlight w:val="none"/>
                <w:u w:val="single"/>
              </w:rPr>
              <w:t>年</w:t>
            </w:r>
            <w:r>
              <w:rPr>
                <w:rFonts w:hint="eastAsia" w:ascii="宋体" w:hAnsi="宋体" w:cs="宋体"/>
                <w:bCs/>
                <w:color w:val="auto"/>
                <w:szCs w:val="21"/>
                <w:highlight w:val="none"/>
                <w:u w:val="single"/>
                <w:lang w:val="en-US" w:eastAsia="zh-CN"/>
              </w:rPr>
              <w:t>05</w:t>
            </w:r>
            <w:r>
              <w:rPr>
                <w:rFonts w:hint="eastAsia" w:ascii="宋体" w:hAnsi="宋体" w:cs="宋体"/>
                <w:bCs/>
                <w:color w:val="auto"/>
                <w:szCs w:val="21"/>
                <w:highlight w:val="none"/>
                <w:u w:val="single"/>
              </w:rPr>
              <w:t>月</w:t>
            </w:r>
            <w:r>
              <w:rPr>
                <w:rFonts w:hint="eastAsia" w:ascii="宋体" w:hAnsi="宋体" w:cs="宋体"/>
                <w:bCs/>
                <w:color w:val="auto"/>
                <w:szCs w:val="21"/>
                <w:highlight w:val="none"/>
                <w:u w:val="single"/>
                <w:lang w:val="en-US" w:eastAsia="zh-CN"/>
              </w:rPr>
              <w:t>18</w:t>
            </w:r>
            <w:r>
              <w:rPr>
                <w:rFonts w:hint="eastAsia" w:ascii="宋体" w:hAnsi="宋体" w:cs="宋体"/>
                <w:bCs/>
                <w:color w:val="auto"/>
                <w:szCs w:val="21"/>
                <w:highlight w:val="none"/>
                <w:u w:val="single"/>
              </w:rPr>
              <w:t>日</w:t>
            </w:r>
            <w:r>
              <w:rPr>
                <w:rFonts w:hint="eastAsia" w:ascii="宋体" w:hAnsi="宋体" w:cs="宋体"/>
                <w:bCs/>
                <w:color w:val="auto"/>
                <w:szCs w:val="21"/>
                <w:highlight w:val="none"/>
                <w:u w:val="single"/>
                <w:lang w:val="en-US" w:eastAsia="zh-CN"/>
              </w:rPr>
              <w:t>14：00</w:t>
            </w:r>
            <w:r>
              <w:rPr>
                <w:rFonts w:hint="eastAsia" w:ascii="宋体" w:hAnsi="宋体" w:cs="宋体"/>
                <w:bCs/>
                <w:color w:val="auto"/>
                <w:szCs w:val="21"/>
                <w:highlight w:val="none"/>
                <w:u w:val="single"/>
              </w:rPr>
              <w:t>（</w:t>
            </w:r>
            <w:r>
              <w:rPr>
                <w:rFonts w:hint="eastAsia" w:ascii="宋体" w:hAnsi="宋体" w:cs="宋体"/>
                <w:bCs/>
                <w:color w:val="auto"/>
                <w:szCs w:val="21"/>
                <w:highlight w:val="none"/>
              </w:rPr>
              <w:t>北京时间）前递交（上传）投标文件</w:t>
            </w:r>
            <w:r>
              <w:rPr>
                <w:rFonts w:hint="eastAsia" w:ascii="宋体" w:hAnsi="宋体" w:cs="宋体"/>
                <w:color w:val="auto"/>
                <w:szCs w:val="21"/>
                <w:highlight w:val="none"/>
              </w:rPr>
              <w:t>。</w:t>
            </w:r>
          </w:p>
        </w:tc>
      </w:tr>
    </w:tbl>
    <w:p>
      <w:pPr>
        <w:keepNext/>
        <w:keepLines/>
        <w:spacing w:line="360" w:lineRule="auto"/>
        <w:rPr>
          <w:rFonts w:ascii="宋体" w:hAnsi="宋体" w:cs="宋体"/>
          <w:b/>
          <w:color w:val="auto"/>
          <w:szCs w:val="21"/>
          <w:highlight w:val="none"/>
        </w:rPr>
      </w:pPr>
      <w:r>
        <w:rPr>
          <w:rFonts w:hint="eastAsia" w:ascii="宋体" w:hAnsi="宋体" w:cs="宋体"/>
          <w:b/>
          <w:color w:val="auto"/>
          <w:szCs w:val="21"/>
          <w:highlight w:val="none"/>
        </w:rPr>
        <w:t>一、项目基本情况</w:t>
      </w:r>
      <w:bookmarkEnd w:id="1"/>
      <w:bookmarkEnd w:id="2"/>
      <w:bookmarkEnd w:id="3"/>
      <w:bookmarkEnd w:id="4"/>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1.项目编号：</w:t>
      </w:r>
      <w:r>
        <w:rPr>
          <w:rFonts w:hint="eastAsia" w:ascii="宋体" w:hAnsi="宋体" w:cs="宋体"/>
          <w:color w:val="auto"/>
          <w:szCs w:val="21"/>
          <w:highlight w:val="none"/>
          <w:lang w:eastAsia="zh-CN"/>
        </w:rPr>
        <w:t>CBNB-202261</w:t>
      </w:r>
      <w:r>
        <w:rPr>
          <w:rFonts w:hint="eastAsia" w:ascii="宋体" w:hAnsi="宋体" w:cs="宋体"/>
          <w:color w:val="auto"/>
          <w:szCs w:val="21"/>
          <w:highlight w:val="none"/>
          <w:lang w:val="en-US" w:eastAsia="zh-CN"/>
        </w:rPr>
        <w:t>91</w:t>
      </w:r>
      <w:r>
        <w:rPr>
          <w:rFonts w:hint="eastAsia" w:ascii="宋体" w:hAnsi="宋体" w:cs="宋体"/>
          <w:color w:val="auto"/>
          <w:szCs w:val="21"/>
          <w:highlight w:val="none"/>
          <w:lang w:eastAsia="zh-CN"/>
        </w:rPr>
        <w:t>G</w:t>
      </w:r>
      <w:r>
        <w:rPr>
          <w:rFonts w:hint="eastAsia" w:ascii="宋体" w:hAnsi="宋体" w:cs="宋体"/>
          <w:color w:val="auto"/>
          <w:szCs w:val="21"/>
          <w:highlight w:val="none"/>
          <w:lang w:val="en-US" w:eastAsia="zh-CN"/>
        </w:rPr>
        <w:tab/>
      </w:r>
    </w:p>
    <w:p>
      <w:pPr>
        <w:spacing w:line="336"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2.项目名称：</w:t>
      </w:r>
      <w:r>
        <w:rPr>
          <w:rFonts w:hint="eastAsia" w:ascii="宋体" w:hAnsi="宋体" w:cs="宋体"/>
          <w:color w:val="auto"/>
          <w:szCs w:val="21"/>
          <w:highlight w:val="none"/>
          <w:lang w:eastAsia="zh-CN"/>
        </w:rPr>
        <w:t>宁波市第一医院CIS、集成平台信息系统改造、全院心身整合医疗服务集成平台（PIS）、方桥院区数字化项目监理咨询服务</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lang w:eastAsia="zh-CN"/>
        </w:rPr>
        <w:t>采购项目</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3.预算金额（元）：</w:t>
      </w:r>
      <w:r>
        <w:rPr>
          <w:rFonts w:hint="eastAsia" w:ascii="宋体" w:hAnsi="宋体" w:cs="宋体"/>
          <w:color w:val="auto"/>
          <w:szCs w:val="21"/>
          <w:highlight w:val="none"/>
          <w:lang w:val="en-US" w:eastAsia="zh-CN"/>
        </w:rPr>
        <w:t>17300000</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4.最高限价（元）：</w:t>
      </w:r>
      <w:r>
        <w:rPr>
          <w:rFonts w:hint="eastAsia" w:ascii="宋体" w:hAnsi="宋体" w:cs="宋体"/>
          <w:color w:val="auto"/>
          <w:szCs w:val="21"/>
          <w:highlight w:val="none"/>
          <w:lang w:val="en-US" w:eastAsia="zh-CN"/>
        </w:rPr>
        <w:t>12200000，3000000，2100000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5.采购需求：</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w:t>
      </w:r>
      <w:r>
        <w:rPr>
          <w:rFonts w:hint="eastAsia" w:ascii="宋体" w:hAnsi="宋体" w:cs="宋体"/>
          <w:color w:val="auto"/>
          <w:szCs w:val="21"/>
          <w:highlight w:val="none"/>
          <w:lang w:val="en-US" w:eastAsia="zh-CN"/>
        </w:rPr>
        <w:t>一</w:t>
      </w:r>
      <w:r>
        <w:rPr>
          <w:rFonts w:hint="eastAsia" w:ascii="宋体" w:hAnsi="宋体" w:cs="宋体"/>
          <w:color w:val="auto"/>
          <w:szCs w:val="21"/>
          <w:highlight w:val="none"/>
          <w:lang w:eastAsia="zh-CN"/>
        </w:rPr>
        <w:t>：</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：CIS、集成平台信息系统改造</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  </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12200000</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为满足医院集中一体化管理的模式，提供两个院区交互等功能，详见《第二章 采购需求》。</w:t>
      </w:r>
    </w:p>
    <w:p>
      <w:pPr>
        <w:spacing w:line="336" w:lineRule="auto"/>
        <w:ind w:firstLine="420" w:firstLineChars="200"/>
        <w:rPr>
          <w:rFonts w:hint="eastAsia" w:ascii="宋体" w:hAnsi="宋体" w:cs="宋体"/>
          <w:color w:val="auto"/>
          <w:szCs w:val="21"/>
          <w:highlight w:val="none"/>
        </w:rPr>
      </w:pP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w:t>
      </w:r>
      <w:r>
        <w:rPr>
          <w:rFonts w:hint="eastAsia" w:ascii="宋体" w:hAnsi="宋体" w:cs="宋体"/>
          <w:color w:val="auto"/>
          <w:szCs w:val="21"/>
          <w:highlight w:val="none"/>
          <w:lang w:val="en-US" w:eastAsia="zh-CN"/>
        </w:rPr>
        <w:t>二</w:t>
      </w:r>
      <w:r>
        <w:rPr>
          <w:rFonts w:hint="eastAsia" w:ascii="宋体" w:hAnsi="宋体" w:cs="宋体"/>
          <w:color w:val="auto"/>
          <w:szCs w:val="21"/>
          <w:highlight w:val="none"/>
          <w:lang w:eastAsia="zh-CN"/>
        </w:rPr>
        <w:t>：</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全院心身整合医疗服务集成平台（PIS）</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1套</w:t>
      </w:r>
      <w:r>
        <w:rPr>
          <w:rFonts w:hint="eastAsia" w:ascii="宋体" w:hAnsi="宋体" w:cs="宋体"/>
          <w:color w:val="auto"/>
          <w:szCs w:val="21"/>
          <w:highlight w:val="none"/>
        </w:rPr>
        <w:t>  </w:t>
      </w:r>
    </w:p>
    <w:p>
      <w:pPr>
        <w:spacing w:line="336"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3000000</w:t>
      </w: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将医学(西医、中医、心理学)理论与心身整体诊疗服务技术融合，实现心理健康状态快速筛查、MUS快速识别、心身疾病快速诊断，并为患者提供个性化干预治疗及心身整体护理等医护服务的集成平台</w:t>
      </w:r>
      <w:r>
        <w:rPr>
          <w:rFonts w:hint="eastAsia" w:ascii="宋体" w:hAnsi="宋体" w:cs="宋体"/>
          <w:color w:val="auto"/>
          <w:szCs w:val="21"/>
          <w:highlight w:val="none"/>
        </w:rPr>
        <w:t>，详见《第二章 采购需求》。</w:t>
      </w:r>
    </w:p>
    <w:p>
      <w:pPr>
        <w:spacing w:line="336" w:lineRule="auto"/>
        <w:ind w:firstLine="420" w:firstLineChars="200"/>
        <w:rPr>
          <w:rFonts w:hint="eastAsia" w:ascii="宋体" w:hAnsi="宋体" w:cs="宋体"/>
          <w:color w:val="auto"/>
          <w:szCs w:val="21"/>
          <w:highlight w:val="none"/>
        </w:rPr>
      </w:pP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lang w:eastAsia="zh-CN"/>
        </w:rPr>
        <w:t>：</w:t>
      </w: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标项名称</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宁波一院（方桥院区）数字化项目监理咨询服务</w:t>
      </w: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数量</w:t>
      </w: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项</w:t>
      </w:r>
      <w:r>
        <w:rPr>
          <w:rFonts w:hint="eastAsia" w:ascii="宋体" w:hAnsi="宋体" w:cs="宋体"/>
          <w:color w:val="auto"/>
          <w:szCs w:val="21"/>
          <w:highlight w:val="none"/>
        </w:rPr>
        <w:t>  </w:t>
      </w:r>
    </w:p>
    <w:p>
      <w:pPr>
        <w:spacing w:line="336" w:lineRule="auto"/>
        <w:ind w:firstLine="420" w:firstLineChars="200"/>
        <w:rPr>
          <w:rFonts w:hint="eastAsia" w:ascii="宋体" w:hAnsi="宋体" w:cs="宋体"/>
          <w:color w:val="auto"/>
          <w:szCs w:val="21"/>
          <w:highlight w:val="none"/>
          <w:lang w:val="en-US" w:eastAsia="zh-CN"/>
        </w:rPr>
      </w:pPr>
      <w:r>
        <w:rPr>
          <w:rFonts w:hint="eastAsia" w:ascii="宋体" w:hAnsi="宋体" w:cs="宋体"/>
          <w:color w:val="auto"/>
          <w:szCs w:val="21"/>
          <w:highlight w:val="none"/>
        </w:rPr>
        <w:t>预算金额（元）:</w:t>
      </w:r>
      <w:r>
        <w:rPr>
          <w:rFonts w:hint="eastAsia" w:ascii="宋体" w:hAnsi="宋体" w:cs="宋体"/>
          <w:color w:val="auto"/>
          <w:szCs w:val="21"/>
          <w:highlight w:val="none"/>
          <w:lang w:val="en-US" w:eastAsia="zh-CN"/>
        </w:rPr>
        <w:t>2100000</w:t>
      </w:r>
    </w:p>
    <w:p>
      <w:pPr>
        <w:spacing w:line="336"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简要规格描述或项目基本概况介绍、用途：</w:t>
      </w:r>
      <w:r>
        <w:rPr>
          <w:rFonts w:hint="eastAsia" w:ascii="宋体" w:hAnsi="宋体" w:cs="宋体"/>
          <w:color w:val="auto"/>
          <w:szCs w:val="21"/>
          <w:highlight w:val="none"/>
          <w:lang w:val="en-US" w:eastAsia="zh-CN"/>
        </w:rPr>
        <w:t>为宁波一院（方桥院区）数字化项目提供监理咨询服务</w:t>
      </w:r>
      <w:r>
        <w:rPr>
          <w:rFonts w:hint="eastAsia" w:ascii="宋体" w:hAnsi="宋体" w:cs="宋体"/>
          <w:color w:val="auto"/>
          <w:szCs w:val="21"/>
          <w:highlight w:val="none"/>
        </w:rPr>
        <w:t>，详见《第二章 采购需求》。</w:t>
      </w:r>
    </w:p>
    <w:p>
      <w:pPr>
        <w:pStyle w:val="2"/>
        <w:rPr>
          <w:color w:val="auto"/>
          <w:highlight w:val="none"/>
        </w:rPr>
      </w:pPr>
    </w:p>
    <w:p>
      <w:pPr>
        <w:spacing w:line="336" w:lineRule="auto"/>
        <w:ind w:firstLine="420" w:firstLineChars="200"/>
        <w:rPr>
          <w:rFonts w:ascii="宋体" w:hAnsi="宋体" w:cs="宋体"/>
          <w:color w:val="auto"/>
          <w:szCs w:val="21"/>
          <w:highlight w:val="none"/>
          <w:u w:val="single"/>
        </w:rPr>
      </w:pPr>
      <w:r>
        <w:rPr>
          <w:rFonts w:hint="eastAsia" w:ascii="宋体" w:hAnsi="宋体" w:cs="宋体"/>
          <w:color w:val="auto"/>
          <w:szCs w:val="21"/>
          <w:highlight w:val="none"/>
        </w:rPr>
        <w:t>6.合同履约期限：</w:t>
      </w:r>
      <w:r>
        <w:rPr>
          <w:rFonts w:hint="eastAsia" w:ascii="宋体" w:hAnsi="宋体" w:cs="宋体"/>
          <w:color w:val="auto"/>
          <w:szCs w:val="21"/>
          <w:highlight w:val="none"/>
          <w:lang w:val="en-US" w:eastAsia="zh-CN"/>
        </w:rPr>
        <w:t>标项一、二、三：自合同签订生效后开始至双方合同义务完全履行后截止</w:t>
      </w:r>
      <w:r>
        <w:rPr>
          <w:rFonts w:hint="eastAsia" w:ascii="宋体" w:hAnsi="宋体" w:cs="宋体"/>
          <w:color w:val="auto"/>
          <w:szCs w:val="21"/>
          <w:highlight w:val="none"/>
        </w:rPr>
        <w:t>。</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7.本项目（否）接受联合体投标。</w:t>
      </w:r>
    </w:p>
    <w:bookmarkEnd w:id="5"/>
    <w:p>
      <w:pPr>
        <w:keepNext/>
        <w:keepLines/>
        <w:spacing w:line="360" w:lineRule="auto"/>
        <w:rPr>
          <w:rFonts w:ascii="宋体" w:hAnsi="宋体" w:cs="宋体"/>
          <w:b/>
          <w:color w:val="auto"/>
          <w:szCs w:val="21"/>
          <w:highlight w:val="none"/>
        </w:rPr>
      </w:pPr>
      <w:bookmarkStart w:id="6" w:name="_Toc28359080"/>
      <w:bookmarkStart w:id="7" w:name="_Toc35393622"/>
      <w:bookmarkStart w:id="8" w:name="_Toc28359003"/>
      <w:bookmarkStart w:id="9" w:name="_Toc35393791"/>
      <w:r>
        <w:rPr>
          <w:rFonts w:hint="eastAsia" w:ascii="宋体" w:hAnsi="宋体" w:cs="宋体"/>
          <w:b/>
          <w:color w:val="auto"/>
          <w:szCs w:val="21"/>
          <w:highlight w:val="none"/>
        </w:rPr>
        <w:t>二、申请人的资格要求：</w:t>
      </w:r>
      <w:bookmarkEnd w:id="6"/>
      <w:bookmarkEnd w:id="7"/>
      <w:bookmarkEnd w:id="8"/>
      <w:bookmarkEnd w:id="9"/>
    </w:p>
    <w:p>
      <w:pPr>
        <w:spacing w:line="336" w:lineRule="auto"/>
        <w:ind w:firstLine="420" w:firstLineChars="200"/>
        <w:rPr>
          <w:rFonts w:ascii="宋体" w:hAnsi="宋体" w:cs="宋体"/>
          <w:color w:val="auto"/>
          <w:szCs w:val="21"/>
          <w:highlight w:val="none"/>
        </w:rPr>
      </w:pPr>
      <w:bookmarkStart w:id="10" w:name="_Toc28359004"/>
      <w:bookmarkStart w:id="11" w:name="_Toc28359081"/>
      <w:r>
        <w:rPr>
          <w:rFonts w:hint="eastAsia" w:ascii="宋体" w:hAnsi="宋体" w:cs="宋体"/>
          <w:color w:val="auto"/>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2.落实政府采购政策需满足的资格要求：无。</w:t>
      </w:r>
    </w:p>
    <w:p>
      <w:pPr>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3.本项目的特定资格要求：</w:t>
      </w:r>
      <w:r>
        <w:rPr>
          <w:rFonts w:hint="eastAsia" w:ascii="宋体" w:hAnsi="宋体" w:cs="宋体"/>
          <w:color w:val="auto"/>
          <w:szCs w:val="21"/>
          <w:highlight w:val="none"/>
          <w:lang w:val="en-US" w:eastAsia="zh-CN"/>
        </w:rPr>
        <w:t>标项一、二、三：</w:t>
      </w:r>
      <w:r>
        <w:rPr>
          <w:rFonts w:hint="eastAsia" w:ascii="宋体" w:hAnsi="宋体" w:cs="宋体"/>
          <w:color w:val="auto"/>
          <w:szCs w:val="21"/>
          <w:highlight w:val="none"/>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pPr>
        <w:keepNext/>
        <w:keepLines/>
        <w:spacing w:line="360" w:lineRule="auto"/>
        <w:rPr>
          <w:rFonts w:ascii="宋体" w:hAnsi="宋体" w:cs="宋体"/>
          <w:b/>
          <w:color w:val="auto"/>
          <w:szCs w:val="21"/>
          <w:highlight w:val="none"/>
        </w:rPr>
      </w:pPr>
      <w:bookmarkStart w:id="12" w:name="_Toc35393623"/>
      <w:bookmarkStart w:id="13" w:name="_Toc35393792"/>
      <w:r>
        <w:rPr>
          <w:rFonts w:hint="eastAsia" w:ascii="宋体" w:hAnsi="宋体" w:cs="宋体"/>
          <w:b/>
          <w:color w:val="auto"/>
          <w:szCs w:val="21"/>
          <w:highlight w:val="none"/>
        </w:rPr>
        <w:t>三、获取招标文件</w:t>
      </w:r>
      <w:bookmarkEnd w:id="10"/>
      <w:bookmarkEnd w:id="11"/>
      <w:bookmarkEnd w:id="12"/>
      <w:bookmarkEnd w:id="13"/>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1.时间：</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04</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28</w:t>
      </w:r>
      <w:r>
        <w:rPr>
          <w:rFonts w:hint="eastAsia" w:ascii="宋体" w:hAnsi="宋体" w:cs="宋体"/>
          <w:color w:val="auto"/>
          <w:szCs w:val="21"/>
          <w:highlight w:val="none"/>
          <w:u w:val="single"/>
        </w:rPr>
        <w:t>日</w:t>
      </w:r>
      <w:r>
        <w:rPr>
          <w:rFonts w:hint="eastAsia" w:ascii="宋体" w:hAnsi="宋体" w:cs="宋体"/>
          <w:color w:val="auto"/>
          <w:szCs w:val="21"/>
          <w:highlight w:val="none"/>
        </w:rPr>
        <w:t>至</w:t>
      </w:r>
      <w:r>
        <w:rPr>
          <w:rFonts w:hint="eastAsia"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2</w:t>
      </w:r>
      <w:r>
        <w:rPr>
          <w:rFonts w:hint="eastAsia" w:ascii="宋体" w:hAnsi="宋体" w:cs="宋体"/>
          <w:color w:val="auto"/>
          <w:szCs w:val="21"/>
          <w:highlight w:val="none"/>
          <w:u w:val="single"/>
        </w:rPr>
        <w:t>年</w:t>
      </w:r>
      <w:r>
        <w:rPr>
          <w:rFonts w:hint="eastAsia" w:ascii="宋体" w:hAnsi="宋体" w:cs="宋体"/>
          <w:color w:val="auto"/>
          <w:szCs w:val="21"/>
          <w:highlight w:val="none"/>
          <w:u w:val="single"/>
          <w:lang w:val="en-US" w:eastAsia="zh-CN"/>
        </w:rPr>
        <w:t>05</w:t>
      </w:r>
      <w:r>
        <w:rPr>
          <w:rFonts w:hint="eastAsia" w:ascii="宋体" w:hAnsi="宋体" w:cs="宋体"/>
          <w:color w:val="auto"/>
          <w:szCs w:val="21"/>
          <w:highlight w:val="none"/>
          <w:u w:val="single"/>
        </w:rPr>
        <w:t>月</w:t>
      </w:r>
      <w:r>
        <w:rPr>
          <w:rFonts w:hint="eastAsia" w:ascii="宋体" w:hAnsi="宋体" w:cs="宋体"/>
          <w:color w:val="auto"/>
          <w:szCs w:val="21"/>
          <w:highlight w:val="none"/>
          <w:u w:val="single"/>
          <w:lang w:val="en-US" w:eastAsia="zh-CN"/>
        </w:rPr>
        <w:t>09</w:t>
      </w:r>
      <w:r>
        <w:rPr>
          <w:rFonts w:hint="eastAsia" w:ascii="宋体" w:hAnsi="宋体" w:cs="宋体"/>
          <w:color w:val="auto"/>
          <w:szCs w:val="21"/>
          <w:highlight w:val="none"/>
          <w:u w:val="single"/>
        </w:rPr>
        <w:t>日</w:t>
      </w:r>
      <w:r>
        <w:rPr>
          <w:rFonts w:hint="eastAsia" w:ascii="宋体" w:hAnsi="宋体" w:cs="宋体"/>
          <w:color w:val="auto"/>
          <w:szCs w:val="21"/>
          <w:highlight w:val="none"/>
        </w:rPr>
        <w:t>，每天上午</w:t>
      </w:r>
      <w:r>
        <w:rPr>
          <w:rFonts w:hint="eastAsia" w:ascii="宋体" w:hAnsi="宋体" w:cs="宋体"/>
          <w:color w:val="auto"/>
          <w:szCs w:val="21"/>
          <w:highlight w:val="none"/>
          <w:u w:val="single"/>
        </w:rPr>
        <w:t>00:00</w:t>
      </w:r>
      <w:r>
        <w:rPr>
          <w:rFonts w:hint="eastAsia" w:ascii="宋体" w:hAnsi="宋体" w:cs="宋体"/>
          <w:color w:val="auto"/>
          <w:szCs w:val="21"/>
          <w:highlight w:val="none"/>
        </w:rPr>
        <w:t>至</w:t>
      </w:r>
      <w:r>
        <w:rPr>
          <w:rFonts w:hint="eastAsia" w:ascii="宋体" w:hAnsi="宋体" w:cs="宋体"/>
          <w:color w:val="auto"/>
          <w:szCs w:val="21"/>
          <w:highlight w:val="none"/>
          <w:u w:val="single"/>
        </w:rPr>
        <w:t>12:00</w:t>
      </w:r>
      <w:r>
        <w:rPr>
          <w:rFonts w:hint="eastAsia" w:ascii="宋体" w:hAnsi="宋体" w:cs="宋体"/>
          <w:color w:val="auto"/>
          <w:szCs w:val="21"/>
          <w:highlight w:val="none"/>
        </w:rPr>
        <w:t>，下午</w:t>
      </w:r>
      <w:r>
        <w:rPr>
          <w:rFonts w:hint="eastAsia" w:ascii="宋体" w:hAnsi="宋体" w:cs="宋体"/>
          <w:color w:val="auto"/>
          <w:szCs w:val="21"/>
          <w:highlight w:val="none"/>
          <w:u w:val="single"/>
        </w:rPr>
        <w:t>12:00</w:t>
      </w:r>
      <w:r>
        <w:rPr>
          <w:rFonts w:hint="eastAsia" w:ascii="宋体" w:hAnsi="宋体" w:cs="宋体"/>
          <w:color w:val="auto"/>
          <w:szCs w:val="21"/>
          <w:highlight w:val="none"/>
        </w:rPr>
        <w:t>至</w:t>
      </w:r>
      <w:r>
        <w:rPr>
          <w:rFonts w:hint="eastAsia" w:ascii="宋体" w:hAnsi="宋体" w:cs="宋体"/>
          <w:color w:val="auto"/>
          <w:szCs w:val="21"/>
          <w:highlight w:val="none"/>
          <w:u w:val="single"/>
        </w:rPr>
        <w:t>23:59</w:t>
      </w:r>
      <w:r>
        <w:rPr>
          <w:rFonts w:hint="eastAsia" w:ascii="宋体" w:hAnsi="宋体" w:cs="宋体"/>
          <w:color w:val="auto"/>
          <w:szCs w:val="21"/>
          <w:highlight w:val="none"/>
        </w:rPr>
        <w:t>（北京时间，线上获取法定节假日均可，线下获取文件法定节假日除外）。</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2.地点（网址）：政府采购云平台（http://www.zcygov.cn/）</w:t>
      </w:r>
    </w:p>
    <w:p>
      <w:pPr>
        <w:spacing w:line="336" w:lineRule="auto"/>
        <w:ind w:firstLine="540"/>
        <w:rPr>
          <w:rFonts w:ascii="宋体" w:hAnsi="宋体" w:cs="宋体"/>
          <w:color w:val="auto"/>
          <w:szCs w:val="21"/>
          <w:highlight w:val="none"/>
          <w:u w:val="single"/>
        </w:rPr>
      </w:pPr>
      <w:r>
        <w:rPr>
          <w:rFonts w:hint="eastAsia" w:ascii="宋体" w:hAnsi="宋体" w:cs="宋体"/>
          <w:color w:val="auto"/>
          <w:szCs w:val="21"/>
          <w:highlight w:val="none"/>
        </w:rPr>
        <w:t>3.方式：供应商注册后直接</w:t>
      </w:r>
      <w:r>
        <w:rPr>
          <w:rFonts w:hint="eastAsia" w:ascii="宋体" w:hAnsi="宋体" w:cs="宋体"/>
          <w:color w:val="auto"/>
          <w:szCs w:val="21"/>
          <w:highlight w:val="none"/>
          <w:lang w:val="en-US" w:eastAsia="zh-CN"/>
        </w:rPr>
        <w:t>登录</w:t>
      </w:r>
      <w:r>
        <w:rPr>
          <w:rFonts w:hint="eastAsia" w:ascii="宋体" w:hAnsi="宋体" w:cs="宋体"/>
          <w:color w:val="auto"/>
          <w:szCs w:val="21"/>
          <w:highlight w:val="none"/>
        </w:rPr>
        <w:t>“政府采购云平台”（http://www.zcygov.cn/）下载电子招标文件。供应商未在规定时间内或未按上述方式获取招标文件的，其投标无效。</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4.售价（元）：0</w:t>
      </w:r>
    </w:p>
    <w:p>
      <w:pPr>
        <w:keepNext/>
        <w:keepLines/>
        <w:spacing w:line="360" w:lineRule="auto"/>
        <w:rPr>
          <w:rFonts w:ascii="宋体" w:hAnsi="宋体" w:cs="宋体"/>
          <w:b/>
          <w:color w:val="auto"/>
          <w:szCs w:val="21"/>
          <w:highlight w:val="none"/>
        </w:rPr>
      </w:pPr>
      <w:bookmarkStart w:id="14" w:name="_Toc28359082"/>
      <w:bookmarkStart w:id="15" w:name="_Toc28359005"/>
      <w:bookmarkStart w:id="16" w:name="_Toc35393793"/>
      <w:bookmarkStart w:id="17" w:name="_Toc35393624"/>
      <w:r>
        <w:rPr>
          <w:rFonts w:hint="eastAsia" w:ascii="宋体" w:hAnsi="宋体" w:cs="宋体"/>
          <w:b/>
          <w:color w:val="auto"/>
          <w:szCs w:val="21"/>
          <w:highlight w:val="none"/>
        </w:rPr>
        <w:t>四、提交投标文件</w:t>
      </w:r>
      <w:bookmarkEnd w:id="14"/>
      <w:bookmarkEnd w:id="15"/>
      <w:r>
        <w:rPr>
          <w:rFonts w:hint="eastAsia" w:ascii="宋体" w:hAnsi="宋体" w:cs="宋体"/>
          <w:b/>
          <w:color w:val="auto"/>
          <w:szCs w:val="21"/>
          <w:highlight w:val="none"/>
        </w:rPr>
        <w:t>截止时间、开标时间和地点</w:t>
      </w:r>
      <w:bookmarkEnd w:id="16"/>
      <w:bookmarkEnd w:id="17"/>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1.提交投标文件截止时间：202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（北京时间）。</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2.投标地点（网址）：</w:t>
      </w:r>
      <w:r>
        <w:rPr>
          <w:rFonts w:hint="eastAsia" w:ascii="宋体" w:hAnsi="宋体" w:cs="宋体"/>
          <w:color w:val="auto"/>
          <w:szCs w:val="21"/>
          <w:highlight w:val="none"/>
          <w:u w:val="single"/>
        </w:rPr>
        <w:t>政府采购云平台</w:t>
      </w:r>
      <w:bookmarkStart w:id="18" w:name="_Hlt21454953"/>
      <w:bookmarkEnd w:id="18"/>
      <w:bookmarkStart w:id="19" w:name="_Hlt21454952"/>
      <w:bookmarkEnd w:id="19"/>
      <w:bookmarkStart w:id="20" w:name="_Hlt21454969"/>
      <w:bookmarkEnd w:id="20"/>
      <w:bookmarkStart w:id="21" w:name="_Hlt21454954"/>
      <w:bookmarkEnd w:id="21"/>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w:t>
      </w:r>
    </w:p>
    <w:p>
      <w:pPr>
        <w:spacing w:line="336" w:lineRule="auto"/>
        <w:ind w:firstLine="540"/>
        <w:rPr>
          <w:rFonts w:ascii="宋体" w:hAnsi="宋体" w:cs="宋体"/>
          <w:color w:val="auto"/>
          <w:szCs w:val="21"/>
          <w:highlight w:val="none"/>
        </w:rPr>
      </w:pPr>
      <w:r>
        <w:rPr>
          <w:rFonts w:hint="eastAsia" w:ascii="宋体" w:hAnsi="宋体" w:cs="宋体"/>
          <w:color w:val="auto"/>
          <w:szCs w:val="21"/>
          <w:highlight w:val="none"/>
        </w:rPr>
        <w:t>3.开标时间：202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05</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r>
        <w:rPr>
          <w:rFonts w:hint="eastAsia" w:ascii="宋体" w:hAnsi="宋体" w:cs="宋体"/>
          <w:color w:val="auto"/>
          <w:szCs w:val="21"/>
          <w:highlight w:val="none"/>
          <w:lang w:val="en-US" w:eastAsia="zh-CN"/>
        </w:rPr>
        <w:t>14：00</w:t>
      </w:r>
      <w:r>
        <w:rPr>
          <w:rFonts w:hint="eastAsia" w:ascii="宋体" w:hAnsi="宋体" w:cs="宋体"/>
          <w:color w:val="auto"/>
          <w:szCs w:val="21"/>
          <w:highlight w:val="none"/>
        </w:rPr>
        <w:t>（北京时间）。  </w:t>
      </w:r>
    </w:p>
    <w:p>
      <w:pPr>
        <w:spacing w:line="360" w:lineRule="auto"/>
        <w:ind w:firstLine="540"/>
        <w:rPr>
          <w:rFonts w:ascii="宋体" w:hAnsi="宋体" w:cs="宋体"/>
          <w:color w:val="auto"/>
          <w:szCs w:val="21"/>
          <w:highlight w:val="none"/>
        </w:rPr>
      </w:pPr>
      <w:r>
        <w:rPr>
          <w:rFonts w:hint="eastAsia" w:ascii="宋体" w:hAnsi="宋体" w:cs="宋体"/>
          <w:color w:val="auto"/>
          <w:szCs w:val="21"/>
          <w:highlight w:val="none"/>
        </w:rPr>
        <w:t>4.开标地点（网址）：</w:t>
      </w:r>
      <w:r>
        <w:rPr>
          <w:rFonts w:hint="eastAsia" w:ascii="宋体" w:hAnsi="宋体" w:cs="宋体"/>
          <w:color w:val="auto"/>
          <w:szCs w:val="21"/>
          <w:highlight w:val="none"/>
          <w:u w:val="single"/>
        </w:rPr>
        <w:t>政府采购云平台</w:t>
      </w:r>
      <w:r>
        <w:rPr>
          <w:rFonts w:hint="eastAsia" w:ascii="宋体" w:hAnsi="宋体" w:cs="宋体"/>
          <w:color w:val="auto"/>
          <w:szCs w:val="21"/>
          <w:highlight w:val="none"/>
          <w:u w:val="single"/>
        </w:rPr>
        <w:fldChar w:fldCharType="begin"/>
      </w:r>
      <w:r>
        <w:rPr>
          <w:rFonts w:hint="eastAsia" w:ascii="宋体" w:hAnsi="宋体" w:cs="宋体"/>
          <w:color w:val="auto"/>
          <w:szCs w:val="21"/>
          <w:highlight w:val="none"/>
          <w:u w:val="single"/>
        </w:rPr>
        <w:instrText xml:space="preserve"> HYPERLINK "http://www.zcygov.cn" </w:instrText>
      </w:r>
      <w:r>
        <w:rPr>
          <w:rFonts w:hint="eastAsia" w:ascii="宋体" w:hAnsi="宋体" w:cs="宋体"/>
          <w:color w:val="auto"/>
          <w:szCs w:val="21"/>
          <w:highlight w:val="none"/>
          <w:u w:val="single"/>
        </w:rPr>
        <w:fldChar w:fldCharType="separate"/>
      </w:r>
      <w:r>
        <w:rPr>
          <w:rFonts w:hint="eastAsia" w:ascii="宋体" w:hAnsi="宋体" w:cs="宋体"/>
          <w:color w:val="auto"/>
          <w:szCs w:val="21"/>
          <w:highlight w:val="none"/>
          <w:u w:val="single"/>
        </w:rPr>
        <w:t>www.zcygov.cn</w:t>
      </w:r>
      <w:r>
        <w:rPr>
          <w:rFonts w:hint="eastAsia" w:ascii="宋体" w:hAnsi="宋体" w:cs="宋体"/>
          <w:color w:val="auto"/>
          <w:szCs w:val="21"/>
          <w:highlight w:val="none"/>
          <w:u w:val="single"/>
        </w:rPr>
        <w:fldChar w:fldCharType="end"/>
      </w:r>
      <w:r>
        <w:rPr>
          <w:rFonts w:hint="eastAsia" w:ascii="宋体" w:hAnsi="宋体" w:cs="宋体"/>
          <w:color w:val="auto"/>
          <w:szCs w:val="21"/>
          <w:highlight w:val="none"/>
        </w:rPr>
        <w:t>。</w:t>
      </w:r>
    </w:p>
    <w:p>
      <w:pPr>
        <w:keepNext/>
        <w:keepLines/>
        <w:spacing w:line="360" w:lineRule="auto"/>
        <w:rPr>
          <w:rFonts w:ascii="宋体" w:hAnsi="宋体" w:cs="宋体"/>
          <w:b/>
          <w:color w:val="auto"/>
          <w:szCs w:val="21"/>
          <w:highlight w:val="none"/>
        </w:rPr>
      </w:pPr>
      <w:bookmarkStart w:id="22" w:name="_Toc28359007"/>
      <w:bookmarkStart w:id="23" w:name="_Toc28359084"/>
      <w:bookmarkStart w:id="24" w:name="_Toc35393625"/>
      <w:bookmarkStart w:id="25" w:name="_Toc35393794"/>
      <w:r>
        <w:rPr>
          <w:rFonts w:hint="eastAsia" w:ascii="宋体" w:hAnsi="宋体" w:cs="宋体"/>
          <w:b/>
          <w:color w:val="auto"/>
          <w:szCs w:val="21"/>
          <w:highlight w:val="none"/>
        </w:rPr>
        <w:t>五、公告期限</w:t>
      </w:r>
      <w:bookmarkEnd w:id="22"/>
      <w:bookmarkEnd w:id="23"/>
      <w:bookmarkEnd w:id="24"/>
      <w:bookmarkEnd w:id="25"/>
    </w:p>
    <w:p>
      <w:pPr>
        <w:spacing w:line="360"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自本公告发布之日起5个工作日。</w:t>
      </w:r>
    </w:p>
    <w:p>
      <w:pPr>
        <w:keepNext/>
        <w:keepLines/>
        <w:spacing w:line="360" w:lineRule="auto"/>
        <w:rPr>
          <w:rFonts w:ascii="宋体" w:hAnsi="宋体" w:cs="宋体"/>
          <w:b/>
          <w:color w:val="auto"/>
          <w:szCs w:val="21"/>
          <w:highlight w:val="none"/>
        </w:rPr>
      </w:pPr>
      <w:bookmarkStart w:id="26" w:name="_Toc35393795"/>
      <w:bookmarkStart w:id="27" w:name="_Toc35393626"/>
      <w:r>
        <w:rPr>
          <w:rFonts w:hint="eastAsia" w:ascii="宋体" w:hAnsi="宋体" w:cs="宋体"/>
          <w:b/>
          <w:color w:val="auto"/>
          <w:szCs w:val="21"/>
          <w:highlight w:val="none"/>
        </w:rPr>
        <w:t>六、其他补充事宜</w:t>
      </w:r>
      <w:bookmarkEnd w:id="26"/>
      <w:bookmarkEnd w:id="27"/>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1.供应商认为</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使自己的权益受到损害的，可以自获取</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之日或者</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公告期限届满之日（公告期限届满后获取</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的，以公告期限届满之日为准）起7个工作日内，对</w:t>
      </w:r>
      <w:r>
        <w:rPr>
          <w:rFonts w:hint="eastAsia" w:ascii="宋体" w:hAnsi="宋体" w:cs="宋体"/>
          <w:color w:val="auto"/>
          <w:kern w:val="0"/>
          <w:szCs w:val="21"/>
          <w:highlight w:val="none"/>
          <w:lang w:val="en-US" w:eastAsia="zh-CN"/>
        </w:rPr>
        <w:t>采购</w:t>
      </w:r>
      <w:r>
        <w:rPr>
          <w:rFonts w:hint="eastAsia" w:ascii="宋体" w:hAnsi="宋体" w:cs="宋体"/>
          <w:color w:val="auto"/>
          <w:kern w:val="0"/>
          <w:szCs w:val="21"/>
          <w:highlight w:val="none"/>
          <w:lang w:eastAsia="zh-CN"/>
        </w:rPr>
        <w:t>文件</w:t>
      </w:r>
      <w:r>
        <w:rPr>
          <w:rFonts w:hint="eastAsia" w:ascii="宋体" w:hAnsi="宋体" w:cs="宋体"/>
          <w:color w:val="auto"/>
          <w:kern w:val="0"/>
          <w:szCs w:val="21"/>
          <w:highlight w:val="none"/>
        </w:rPr>
        <w:t>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2.其他事项：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2.1落实的政策：</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2.1.1</w:t>
      </w:r>
      <w:r>
        <w:rPr>
          <w:rFonts w:hint="eastAsia" w:ascii="宋体" w:hAnsi="宋体" w:cs="宋体"/>
          <w:color w:val="auto"/>
          <w:kern w:val="0"/>
          <w:szCs w:val="21"/>
          <w:highlight w:val="none"/>
        </w:rPr>
        <w:t>对小微企业的产品给予价格优惠（监狱企业、残疾人福利性单位视同小微企业；残疾人福利性单位属于小型、微型企业的，不重复享受政策）；</w:t>
      </w:r>
    </w:p>
    <w:p>
      <w:pPr>
        <w:widowControl/>
        <w:spacing w:line="336" w:lineRule="auto"/>
        <w:ind w:firstLine="420" w:firstLineChars="200"/>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2.1.2</w:t>
      </w:r>
      <w:r>
        <w:rPr>
          <w:rFonts w:hint="eastAsia" w:ascii="宋体" w:hAnsi="宋体" w:cs="宋体"/>
          <w:color w:val="auto"/>
          <w:kern w:val="0"/>
          <w:szCs w:val="21"/>
          <w:highlight w:val="none"/>
        </w:rPr>
        <w:t>优先采购节能环保产品（注：所采购的货物在政府采购节能产品、环境标志产品实施品目清单范围内，且具有国家确定的认证机构出具的、处于有效期之内的节能产品、环境标志产品认证证书）。</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2.1.3扶持不发达地区和少数民族地区的政策。</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投标与开标注意事项</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.1本项目实行网上投标，采用电子投标文件。若供应商参与投标，自行承担投标一切费用。</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.2标前准备：因未办理CA数字证书等原因造成无法投标或投标失败等后果由供应商自行承担。</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.3投标文件制作：</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3.1应按照本项目招标文件和政府采购云平台的要求编制、加密并递交投标文件。供应商在使用系统进行投标的过程中遇到涉及平台使用的任何问题，可致电政府采购云平台技术支持热线咨询，联系方式：400-8817190。</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.3.2供应商通过政府采购云平台电子投标工具制作投标文件，电子投标工具请供应商自行前往浙江政府采购网下载并安装，投标文件制作具体流程详见政府采购云平台。</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.3.3以U盘存储的电子备份投标文件1份，按政府采购云平台要求</w:t>
      </w:r>
      <w:r>
        <w:rPr>
          <w:rFonts w:hint="eastAsia" w:ascii="宋体" w:hAnsi="宋体" w:cs="宋体"/>
          <w:color w:val="auto"/>
          <w:szCs w:val="21"/>
          <w:highlight w:val="none"/>
        </w:rPr>
        <w:t>制作的电子备份文件</w:t>
      </w:r>
      <w:r>
        <w:rPr>
          <w:rFonts w:hint="eastAsia" w:ascii="宋体" w:hAnsi="宋体" w:cs="宋体"/>
          <w:color w:val="auto"/>
          <w:kern w:val="0"/>
          <w:szCs w:val="21"/>
          <w:highlight w:val="none"/>
        </w:rPr>
        <w:t>，以用于异常情况处理。</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.3.4本项目供应商仍应准备纸质投标文件。当电子开评标无法正常进行时，即转为线下评标。若在此种情况下，由于供应商未提交纸质投标文件而导致该供应商放弃投标，由供应商自行承担。</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3</w:t>
      </w:r>
      <w:r>
        <w:rPr>
          <w:rFonts w:hint="eastAsia" w:ascii="宋体" w:hAnsi="宋体" w:cs="宋体"/>
          <w:color w:val="auto"/>
          <w:kern w:val="0"/>
          <w:szCs w:val="21"/>
          <w:highlight w:val="none"/>
        </w:rPr>
        <w:t>本招标公告附件中的招标文件仅供阅览使用，供应商应在规定的招标文件获取期限内在政采云平台登录供应商注册的账号后获取招标文件，未按上述方式获取招标文件的，不得对招标文件提起质疑投诉。</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供应商应于投标截止时间前将电子投标文件上传到政府采购云平台www.zcygov.cn，未上传电子投标文件，视为供应商放弃投标。</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供应商如提供备份投标文件的，应于提交投标文件截止时间前，将以U盘存储的电子备份投标文件和纸质备份投标文件分别密封，递交至</w:t>
      </w:r>
      <w:r>
        <w:rPr>
          <w:rFonts w:hint="eastAsia" w:ascii="宋体" w:hAnsi="宋体" w:cs="宋体"/>
          <w:color w:val="auto"/>
          <w:szCs w:val="21"/>
          <w:highlight w:val="none"/>
          <w:u w:val="single"/>
        </w:rPr>
        <w:t>中基招标会议中心开标室（宁波市鄞州区天童南路666号中基大厦1楼）</w:t>
      </w:r>
      <w:r>
        <w:rPr>
          <w:rFonts w:hint="eastAsia" w:ascii="宋体" w:hAnsi="宋体" w:cs="宋体"/>
          <w:color w:val="auto"/>
          <w:kern w:val="0"/>
          <w:szCs w:val="21"/>
          <w:highlight w:val="none"/>
        </w:rPr>
        <w:t>，逾期送达或未密封将予以拒收。供应商仅提供备份投标文件（包括以U盘存储的电子备份投标文件或纸质备份投标文件）的，投标无效。</w:t>
      </w:r>
    </w:p>
    <w:p>
      <w:pPr>
        <w:widowControl/>
        <w:spacing w:line="336" w:lineRule="auto"/>
        <w:ind w:firstLine="420" w:firstLineChars="200"/>
        <w:rPr>
          <w:rFonts w:ascii="宋体" w:hAnsi="宋体" w:cs="宋体"/>
          <w:color w:val="auto"/>
          <w:kern w:val="0"/>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采购代理机构将在招标文件规定的开标时间通过政府采购云平台组织开标、开启投标文件，所有供应商均应准时在线参加。开标时间后30分钟内供应商可以登录政府采购云平台www.zcygov.cn，用“项目采购-开标评标”功能进行解密投标文件。若供应商在开标时间后30分钟内无法解密或解密失败，</w:t>
      </w:r>
      <w:r>
        <w:rPr>
          <w:rFonts w:hint="eastAsia" w:ascii="宋体" w:hAnsi="宋体" w:cs="宋体"/>
          <w:color w:val="auto"/>
          <w:kern w:val="0"/>
          <w:szCs w:val="21"/>
          <w:highlight w:val="none"/>
          <w:lang w:val="en-US" w:eastAsia="zh-CN"/>
        </w:rPr>
        <w:t>则视为该供应商未按要求提交投标文件</w:t>
      </w:r>
      <w:r>
        <w:rPr>
          <w:rFonts w:hint="eastAsia" w:ascii="宋体" w:hAnsi="宋体" w:cs="宋体"/>
          <w:color w:val="auto"/>
          <w:kern w:val="0"/>
          <w:szCs w:val="21"/>
          <w:highlight w:val="none"/>
        </w:rPr>
        <w:t>。</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kern w:val="0"/>
          <w:szCs w:val="21"/>
          <w:highlight w:val="none"/>
        </w:rPr>
        <w:t>2.</w:t>
      </w:r>
      <w:r>
        <w:rPr>
          <w:rFonts w:hint="eastAsia" w:ascii="宋体" w:hAnsi="宋体" w:cs="宋体"/>
          <w:color w:val="auto"/>
          <w:kern w:val="0"/>
          <w:szCs w:val="21"/>
          <w:highlight w:val="none"/>
          <w:lang w:val="en-US" w:eastAsia="zh-CN"/>
        </w:rPr>
        <w:t>7</w:t>
      </w:r>
      <w:r>
        <w:rPr>
          <w:rFonts w:hint="eastAsia" w:ascii="宋体" w:hAnsi="宋体" w:cs="宋体"/>
          <w:bCs/>
          <w:color w:val="auto"/>
          <w:szCs w:val="21"/>
          <w:highlight w:val="none"/>
        </w:rPr>
        <w:t>项目交易的开评标环节全程录音录像，供应商确有需要到现场的，相关单位到场人员应执行以下规定要求：</w:t>
      </w:r>
    </w:p>
    <w:p>
      <w:pPr>
        <w:snapToGrid w:val="0"/>
        <w:spacing w:line="360" w:lineRule="auto"/>
        <w:ind w:firstLine="420"/>
        <w:rPr>
          <w:rFonts w:ascii="宋体" w:hAnsi="宋体" w:cs="宋体"/>
          <w:bCs/>
          <w:color w:val="auto"/>
          <w:szCs w:val="21"/>
          <w:highlight w:val="none"/>
        </w:rPr>
      </w:pPr>
      <w:r>
        <w:rPr>
          <w:rFonts w:hint="eastAsia" w:ascii="宋体" w:hAnsi="宋体" w:cs="宋体"/>
          <w:color w:val="auto"/>
          <w:szCs w:val="21"/>
          <w:highlight w:val="none"/>
        </w:rPr>
        <w:t>所有供应商安排“甬行码”为绿色的相关人员（原则上不超过一名）在投标截止时间前将备份投标文件送至指定地点。投标文件递交时需同时递交供应商的法定代表人（或其委托代理人）联系方式，并保证开标期间联系方式的畅通。</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8</w:t>
      </w:r>
      <w:r>
        <w:rPr>
          <w:rFonts w:hint="eastAsia" w:ascii="宋体" w:hAnsi="宋体" w:cs="宋体"/>
          <w:bCs/>
          <w:color w:val="auto"/>
          <w:szCs w:val="21"/>
          <w:highlight w:val="none"/>
        </w:rPr>
        <w:t>如本项目改为线下评标，供应商须在纸质备份投标文件（资格文件）中提供（1）指定作出澄清、说明或补正的电子邮箱、传真号码；（2）法定代表人或授权代表的</w:t>
      </w:r>
      <w:r>
        <w:rPr>
          <w:rFonts w:hint="eastAsia" w:ascii="宋体" w:hAnsi="宋体" w:cs="宋体"/>
          <w:bCs/>
          <w:color w:val="auto"/>
          <w:szCs w:val="21"/>
          <w:highlight w:val="none"/>
          <w:lang w:val="en-US" w:eastAsia="zh-CN"/>
        </w:rPr>
        <w:t>手机</w:t>
      </w:r>
      <w:r>
        <w:rPr>
          <w:rFonts w:hint="eastAsia" w:ascii="宋体" w:hAnsi="宋体" w:cs="宋体"/>
          <w:bCs/>
          <w:color w:val="auto"/>
          <w:szCs w:val="21"/>
          <w:highlight w:val="none"/>
        </w:rPr>
        <w:t>号。评审过程中有关澄清、说明或者补正，采购代理机构将通过以下电子邮箱进行收发。</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电子邮箱：</w:t>
      </w:r>
      <w:r>
        <w:rPr>
          <w:rFonts w:hint="eastAsia" w:ascii="宋体" w:hAnsi="宋体" w:cs="宋体"/>
          <w:bCs/>
          <w:color w:val="auto"/>
          <w:szCs w:val="21"/>
          <w:highlight w:val="none"/>
          <w:lang w:val="en-US" w:eastAsia="zh-CN"/>
        </w:rPr>
        <w:t>24692711</w:t>
      </w:r>
      <w:r>
        <w:rPr>
          <w:rFonts w:hint="eastAsia" w:ascii="宋体" w:hAnsi="宋体" w:cs="宋体"/>
          <w:bCs/>
          <w:color w:val="auto"/>
          <w:szCs w:val="21"/>
          <w:highlight w:val="none"/>
        </w:rPr>
        <w:t>@qq.com</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9</w:t>
      </w:r>
      <w:r>
        <w:rPr>
          <w:rFonts w:hint="eastAsia" w:ascii="宋体" w:hAnsi="宋体" w:cs="宋体"/>
          <w:bCs/>
          <w:color w:val="auto"/>
          <w:szCs w:val="21"/>
          <w:highlight w:val="none"/>
        </w:rPr>
        <w:t>投标人员须做好佩戴口罩、手套等防护措施，自觉接受体温检测、接受防疫询问，并如实报告相关情况。</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0</w:t>
      </w:r>
      <w:r>
        <w:rPr>
          <w:rFonts w:hint="eastAsia" w:ascii="宋体" w:hAnsi="宋体" w:cs="宋体"/>
          <w:bCs/>
          <w:color w:val="auto"/>
          <w:szCs w:val="21"/>
          <w:highlight w:val="none"/>
        </w:rPr>
        <w:t>投标人员还需配合做好疫情防控“五个一律”：一律全面消毒、一律体温检测、一律承诺登记、一律按序办事、一律服从管理。</w:t>
      </w:r>
    </w:p>
    <w:p>
      <w:pPr>
        <w:snapToGrid w:val="0"/>
        <w:spacing w:line="360" w:lineRule="auto"/>
        <w:ind w:firstLine="420"/>
        <w:rPr>
          <w:rFonts w:ascii="宋体" w:hAnsi="宋体" w:cs="宋体"/>
          <w:bCs/>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1</w:t>
      </w:r>
      <w:r>
        <w:rPr>
          <w:rFonts w:hint="eastAsia" w:ascii="宋体" w:hAnsi="宋体" w:cs="宋体"/>
          <w:bCs/>
          <w:color w:val="auto"/>
          <w:szCs w:val="21"/>
          <w:highlight w:val="none"/>
        </w:rPr>
        <w:t>如投标截止时间前疫情解除，上述第2.</w:t>
      </w:r>
      <w:r>
        <w:rPr>
          <w:rFonts w:hint="eastAsia" w:ascii="宋体" w:hAnsi="宋体" w:cs="宋体"/>
          <w:bCs/>
          <w:color w:val="auto"/>
          <w:szCs w:val="21"/>
          <w:highlight w:val="none"/>
          <w:lang w:val="en-US" w:eastAsia="zh-CN"/>
        </w:rPr>
        <w:t>7</w:t>
      </w:r>
      <w:r>
        <w:rPr>
          <w:rFonts w:hint="eastAsia" w:ascii="宋体" w:hAnsi="宋体" w:cs="宋体"/>
          <w:bCs/>
          <w:color w:val="auto"/>
          <w:szCs w:val="21"/>
          <w:highlight w:val="none"/>
        </w:rPr>
        <w:t>-2.</w:t>
      </w:r>
      <w:r>
        <w:rPr>
          <w:rFonts w:hint="eastAsia" w:ascii="宋体" w:hAnsi="宋体" w:cs="宋体"/>
          <w:bCs/>
          <w:color w:val="auto"/>
          <w:szCs w:val="21"/>
          <w:highlight w:val="none"/>
          <w:lang w:val="en-US" w:eastAsia="zh-CN"/>
        </w:rPr>
        <w:t>10</w:t>
      </w:r>
      <w:r>
        <w:rPr>
          <w:rFonts w:hint="eastAsia" w:ascii="宋体" w:hAnsi="宋体" w:cs="宋体"/>
          <w:bCs/>
          <w:color w:val="auto"/>
          <w:szCs w:val="21"/>
          <w:highlight w:val="none"/>
        </w:rPr>
        <w:t>条内容废止。</w:t>
      </w:r>
    </w:p>
    <w:p>
      <w:pPr>
        <w:widowControl/>
        <w:spacing w:line="360" w:lineRule="auto"/>
        <w:ind w:firstLine="420" w:firstLineChars="200"/>
        <w:rPr>
          <w:rFonts w:ascii="宋体" w:hAnsi="宋体" w:cs="宋体"/>
          <w:color w:val="auto"/>
          <w:szCs w:val="21"/>
          <w:highlight w:val="none"/>
        </w:rPr>
      </w:pPr>
      <w:r>
        <w:rPr>
          <w:rFonts w:hint="eastAsia" w:ascii="宋体" w:hAnsi="宋体" w:cs="宋体"/>
          <w:bCs/>
          <w:color w:val="auto"/>
          <w:szCs w:val="21"/>
          <w:highlight w:val="none"/>
        </w:rPr>
        <w:t>2.1</w:t>
      </w:r>
      <w:r>
        <w:rPr>
          <w:rFonts w:hint="eastAsia" w:ascii="宋体" w:hAnsi="宋体" w:cs="宋体"/>
          <w:bCs/>
          <w:color w:val="auto"/>
          <w:szCs w:val="21"/>
          <w:highlight w:val="none"/>
          <w:lang w:val="en-US" w:eastAsia="zh-CN"/>
        </w:rPr>
        <w:t>2</w:t>
      </w:r>
      <w:r>
        <w:rPr>
          <w:rFonts w:hint="eastAsia" w:ascii="宋体" w:hAnsi="宋体" w:cs="宋体"/>
          <w:bCs/>
          <w:color w:val="auto"/>
          <w:szCs w:val="21"/>
          <w:highlight w:val="none"/>
        </w:rPr>
        <w:t>肺炎防疫期间，请各供应商遵守宁波中基国际招标有限公司各项防疫措施规定。</w:t>
      </w:r>
    </w:p>
    <w:p>
      <w:pPr>
        <w:keepNext/>
        <w:keepLines/>
        <w:spacing w:line="360" w:lineRule="auto"/>
        <w:rPr>
          <w:rFonts w:ascii="宋体" w:hAnsi="宋体" w:cs="宋体"/>
          <w:b/>
          <w:color w:val="auto"/>
          <w:szCs w:val="21"/>
          <w:highlight w:val="none"/>
        </w:rPr>
      </w:pPr>
      <w:bookmarkStart w:id="28" w:name="_Toc35393796"/>
      <w:bookmarkStart w:id="29" w:name="_Toc28359008"/>
      <w:bookmarkStart w:id="30" w:name="_Toc28359085"/>
      <w:bookmarkStart w:id="31" w:name="_Toc35393627"/>
      <w:r>
        <w:rPr>
          <w:rFonts w:hint="eastAsia" w:ascii="宋体" w:hAnsi="宋体" w:cs="宋体"/>
          <w:b/>
          <w:color w:val="auto"/>
          <w:szCs w:val="21"/>
          <w:highlight w:val="none"/>
        </w:rPr>
        <w:t>七、对本次招标提出询问，请按以下方式联系。</w:t>
      </w:r>
      <w:bookmarkEnd w:id="28"/>
      <w:bookmarkEnd w:id="29"/>
      <w:bookmarkEnd w:id="30"/>
      <w:bookmarkEnd w:id="31"/>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1.采购人信息</w:t>
      </w:r>
    </w:p>
    <w:p>
      <w:pPr>
        <w:spacing w:line="336" w:lineRule="auto"/>
        <w:ind w:firstLine="630" w:firstLineChars="300"/>
        <w:rPr>
          <w:rFonts w:ascii="宋体" w:hAnsi="宋体" w:cs="宋体"/>
          <w:color w:val="auto"/>
          <w:szCs w:val="21"/>
          <w:highlight w:val="none"/>
        </w:rPr>
      </w:pPr>
      <w:bookmarkStart w:id="32" w:name="_Toc28359009"/>
      <w:bookmarkStart w:id="33" w:name="_Toc28359086"/>
      <w:r>
        <w:rPr>
          <w:rFonts w:hint="eastAsia" w:ascii="宋体" w:hAnsi="宋体" w:cs="宋体"/>
          <w:color w:val="auto"/>
          <w:szCs w:val="21"/>
          <w:highlight w:val="none"/>
        </w:rPr>
        <w:t>名    称：宁波市第一医院</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址：宁波市海曙区柳汀街59号</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传    真：</w:t>
      </w:r>
      <w:r>
        <w:rPr>
          <w:rFonts w:hint="eastAsia" w:ascii="宋体" w:hAnsi="宋体" w:cs="宋体"/>
          <w:color w:val="auto"/>
          <w:szCs w:val="21"/>
          <w:highlight w:val="none"/>
          <w:lang w:val="en-US" w:eastAsia="zh-CN"/>
        </w:rPr>
        <w:t>/</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项目联系人（询问）：</w:t>
      </w:r>
      <w:r>
        <w:rPr>
          <w:rFonts w:hint="eastAsia" w:ascii="宋体" w:hAnsi="宋体"/>
          <w:color w:val="auto"/>
          <w:szCs w:val="21"/>
          <w:highlight w:val="none"/>
          <w:lang w:val="en-US" w:eastAsia="zh-CN"/>
        </w:rPr>
        <w:t>吴先生</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项目联系方式（询问）：</w:t>
      </w:r>
      <w:r>
        <w:rPr>
          <w:rFonts w:hint="eastAsia" w:ascii="宋体" w:hAnsi="宋体"/>
          <w:color w:val="auto"/>
          <w:szCs w:val="21"/>
          <w:highlight w:val="none"/>
        </w:rPr>
        <w:t>0574－</w:t>
      </w:r>
      <w:r>
        <w:rPr>
          <w:rFonts w:hint="eastAsia" w:ascii="宋体" w:hAnsi="宋体"/>
          <w:color w:val="auto"/>
          <w:szCs w:val="21"/>
          <w:highlight w:val="none"/>
          <w:lang w:val="en-US" w:eastAsia="zh-CN"/>
        </w:rPr>
        <w:t>87085047</w:t>
      </w:r>
      <w:r>
        <w:rPr>
          <w:rFonts w:hint="eastAsia" w:ascii="宋体" w:hAnsi="宋体" w:cs="宋体"/>
          <w:color w:val="auto"/>
          <w:szCs w:val="21"/>
          <w:highlight w:val="none"/>
        </w:rPr>
        <w:t xml:space="preserve"> </w:t>
      </w:r>
    </w:p>
    <w:p>
      <w:pPr>
        <w:spacing w:line="336" w:lineRule="auto"/>
        <w:ind w:firstLine="630" w:firstLineChars="300"/>
        <w:rPr>
          <w:rFonts w:hint="eastAsia" w:ascii="宋体" w:hAnsi="宋体" w:eastAsia="宋体"/>
          <w:color w:val="auto"/>
          <w:szCs w:val="21"/>
          <w:highlight w:val="none"/>
          <w:lang w:val="en-US" w:eastAsia="zh-CN"/>
        </w:rPr>
      </w:pPr>
      <w:r>
        <w:rPr>
          <w:rFonts w:hint="eastAsia" w:ascii="宋体" w:hAnsi="宋体" w:cs="宋体"/>
          <w:color w:val="auto"/>
          <w:szCs w:val="21"/>
          <w:highlight w:val="none"/>
        </w:rPr>
        <w:t>质疑联系人：</w:t>
      </w:r>
      <w:r>
        <w:rPr>
          <w:rFonts w:hint="eastAsia" w:ascii="宋体" w:hAnsi="宋体"/>
          <w:color w:val="auto"/>
          <w:szCs w:val="21"/>
          <w:highlight w:val="none"/>
          <w:lang w:val="en-US" w:eastAsia="zh-CN"/>
        </w:rPr>
        <w:t>褚老师</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w:t>
      </w:r>
      <w:r>
        <w:rPr>
          <w:rFonts w:hint="eastAsia" w:ascii="宋体" w:hAnsi="宋体"/>
          <w:color w:val="auto"/>
          <w:szCs w:val="21"/>
          <w:highlight w:val="none"/>
        </w:rPr>
        <w:t>0574－</w:t>
      </w:r>
      <w:r>
        <w:rPr>
          <w:rFonts w:hint="eastAsia" w:ascii="宋体" w:hAnsi="宋体"/>
          <w:color w:val="auto"/>
          <w:szCs w:val="21"/>
          <w:highlight w:val="none"/>
          <w:lang w:val="en-US" w:eastAsia="zh-CN"/>
        </w:rPr>
        <w:t>87085047</w:t>
      </w:r>
      <w:r>
        <w:rPr>
          <w:rFonts w:hint="eastAsia" w:ascii="宋体" w:hAnsi="宋体" w:cs="宋体"/>
          <w:color w:val="auto"/>
          <w:szCs w:val="21"/>
          <w:highlight w:val="none"/>
        </w:rPr>
        <w:t xml:space="preserve">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2.采购代理机构信息</w:t>
      </w:r>
      <w:bookmarkEnd w:id="32"/>
      <w:bookmarkEnd w:id="33"/>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名    称：宁波中基国际招标有限公司</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地    址：宁波市鄞州区天童南路666号中基大厦19楼</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传    真：0574-87425373</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项目联系人（询问）： </w:t>
      </w:r>
      <w:r>
        <w:rPr>
          <w:rFonts w:hint="eastAsia" w:ascii="宋体" w:hAnsi="宋体" w:cs="宋体"/>
          <w:color w:val="auto"/>
          <w:szCs w:val="21"/>
          <w:highlight w:val="none"/>
          <w:lang w:val="en-US" w:eastAsia="zh-CN"/>
        </w:rPr>
        <w:t>孔晖</w:t>
      </w:r>
      <w:r>
        <w:rPr>
          <w:rFonts w:hint="eastAsia" w:ascii="宋体" w:hAnsi="宋体" w:cs="宋体"/>
          <w:color w:val="auto"/>
          <w:szCs w:val="21"/>
          <w:highlight w:val="none"/>
        </w:rPr>
        <w:t xml:space="preserve">            </w:t>
      </w:r>
    </w:p>
    <w:p>
      <w:pPr>
        <w:spacing w:line="336" w:lineRule="auto"/>
        <w:ind w:firstLine="630" w:firstLineChars="3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项目联系方式（询问）：0574-8742</w:t>
      </w:r>
      <w:r>
        <w:rPr>
          <w:rFonts w:hint="eastAsia" w:ascii="宋体" w:hAnsi="宋体" w:cs="宋体"/>
          <w:color w:val="auto"/>
          <w:szCs w:val="21"/>
          <w:highlight w:val="none"/>
          <w:lang w:val="en-US" w:eastAsia="zh-CN"/>
        </w:rPr>
        <w:t>5279</w:t>
      </w:r>
    </w:p>
    <w:p>
      <w:pPr>
        <w:spacing w:line="336" w:lineRule="auto"/>
        <w:ind w:firstLine="630" w:firstLineChars="3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王莹巧</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质疑联系方式：0574-8742</w:t>
      </w:r>
      <w:r>
        <w:rPr>
          <w:rFonts w:hint="eastAsia" w:ascii="宋体" w:hAnsi="宋体" w:cs="宋体"/>
          <w:color w:val="auto"/>
          <w:szCs w:val="21"/>
          <w:highlight w:val="none"/>
          <w:lang w:val="en-US" w:eastAsia="zh-CN"/>
        </w:rPr>
        <w:t>5583</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4.同级政府采购监督管理部门</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名    称：宁波市政府采购管理办公室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地    址：宁波市海曙区中山西路19号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 xml:space="preserve">传    真：/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联系人 ：</w:t>
      </w:r>
      <w:r>
        <w:rPr>
          <w:rFonts w:hint="eastAsia" w:ascii="宋体" w:hAnsi="宋体" w:cs="宋体"/>
          <w:color w:val="auto"/>
          <w:szCs w:val="21"/>
          <w:highlight w:val="none"/>
          <w:lang w:val="en-US" w:eastAsia="zh-CN"/>
        </w:rPr>
        <w:t>李</w:t>
      </w:r>
      <w:r>
        <w:rPr>
          <w:rFonts w:hint="eastAsia" w:ascii="宋体" w:hAnsi="宋体" w:cs="宋体"/>
          <w:color w:val="auto"/>
          <w:szCs w:val="21"/>
          <w:highlight w:val="none"/>
        </w:rPr>
        <w:t xml:space="preserve">老师             </w:t>
      </w:r>
    </w:p>
    <w:p>
      <w:pPr>
        <w:spacing w:line="336" w:lineRule="auto"/>
        <w:ind w:firstLine="630" w:firstLineChars="300"/>
        <w:rPr>
          <w:rFonts w:ascii="宋体" w:hAnsi="宋体" w:cs="宋体"/>
          <w:color w:val="auto"/>
          <w:szCs w:val="21"/>
          <w:highlight w:val="none"/>
        </w:rPr>
      </w:pPr>
      <w:r>
        <w:rPr>
          <w:rFonts w:hint="eastAsia" w:ascii="宋体" w:hAnsi="宋体" w:cs="宋体"/>
          <w:color w:val="auto"/>
          <w:szCs w:val="21"/>
          <w:highlight w:val="none"/>
        </w:rPr>
        <w:t>投诉电话：0574-89388042</w:t>
      </w:r>
    </w:p>
    <w:p>
      <w:pPr>
        <w:spacing w:line="336" w:lineRule="auto"/>
        <w:ind w:firstLine="420" w:firstLineChars="200"/>
        <w:rPr>
          <w:rFonts w:ascii="宋体" w:hAnsi="宋体" w:cs="宋体"/>
          <w:color w:val="auto"/>
          <w:highlight w:val="none"/>
        </w:rPr>
      </w:pP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若对项目采购电子交易系统操作有疑问，可登录政采云（https://www.zcygov.cn/），点击右侧咨询小采，获取采小蜜智能服务管家帮助，或拨打政采云服务热线400-881-7190获取热线服务帮助。</w:t>
      </w:r>
    </w:p>
    <w:p>
      <w:pPr>
        <w:spacing w:line="336" w:lineRule="auto"/>
        <w:ind w:firstLine="420" w:firstLineChars="200"/>
        <w:rPr>
          <w:rFonts w:ascii="宋体" w:hAnsi="宋体" w:cs="宋体"/>
          <w:color w:val="auto"/>
          <w:highlight w:val="none"/>
        </w:rPr>
      </w:pPr>
      <w:r>
        <w:rPr>
          <w:rFonts w:hint="eastAsia" w:ascii="宋体" w:hAnsi="宋体" w:cs="宋体"/>
          <w:color w:val="auto"/>
          <w:highlight w:val="none"/>
        </w:rPr>
        <w:t>CA问题联系电话（人工）：汇信CA 400-888-4636；天谷CA 400-087-8198。</w:t>
      </w:r>
    </w:p>
    <w:p>
      <w:pPr>
        <w:spacing w:line="336" w:lineRule="auto"/>
        <w:ind w:firstLine="420" w:firstLineChars="200"/>
        <w:rPr>
          <w:rFonts w:ascii="Times New Roman" w:hAnsi="Times New Roman"/>
          <w:color w:val="auto"/>
          <w:highlight w:val="none"/>
        </w:rPr>
      </w:pPr>
      <w:r>
        <w:rPr>
          <w:rFonts w:hint="eastAsia" w:ascii="宋体" w:hAnsi="宋体" w:cs="宋体"/>
          <w:color w:val="auto"/>
          <w:highlight w:val="none"/>
        </w:rPr>
        <w:br w:type="page"/>
      </w:r>
    </w:p>
    <w:p>
      <w:pPr>
        <w:snapToGrid w:val="0"/>
        <w:spacing w:line="360" w:lineRule="auto"/>
        <w:ind w:firstLine="562" w:firstLineChars="200"/>
        <w:jc w:val="center"/>
        <w:outlineLvl w:val="0"/>
        <w:rPr>
          <w:rFonts w:ascii="黑体" w:hAnsi="宋体" w:eastAsia="黑体"/>
          <w:color w:val="auto"/>
          <w:sz w:val="30"/>
          <w:szCs w:val="30"/>
          <w:highlight w:val="none"/>
        </w:rPr>
      </w:pPr>
      <w:bookmarkStart w:id="34" w:name="_Toc13297"/>
      <w:r>
        <w:rPr>
          <w:rFonts w:hint="eastAsia"/>
          <w:b/>
          <w:bCs/>
          <w:color w:val="auto"/>
          <w:sz w:val="28"/>
          <w:szCs w:val="28"/>
          <w:highlight w:val="none"/>
        </w:rPr>
        <w:t>第二章采购需求</w:t>
      </w:r>
      <w:bookmarkEnd w:id="34"/>
    </w:p>
    <w:p>
      <w:pPr>
        <w:spacing w:line="320" w:lineRule="exact"/>
        <w:jc w:val="center"/>
        <w:rPr>
          <w:color w:val="auto"/>
          <w:szCs w:val="21"/>
          <w:highlight w:val="none"/>
        </w:rPr>
      </w:pPr>
      <w:r>
        <w:rPr>
          <w:rFonts w:hint="eastAsia"/>
          <w:color w:val="auto"/>
          <w:szCs w:val="21"/>
          <w:highlight w:val="none"/>
        </w:rPr>
        <w:t>前附表</w:t>
      </w:r>
    </w:p>
    <w:tbl>
      <w:tblPr>
        <w:tblStyle w:val="2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247"/>
        <w:gridCol w:w="530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803" w:type="dxa"/>
            <w:tcBorders>
              <w:top w:val="single" w:color="auto" w:sz="12" w:space="0"/>
              <w:left w:val="single" w:color="auto" w:sz="12"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2247" w:type="dxa"/>
            <w:tcBorders>
              <w:top w:val="single" w:color="auto" w:sz="12" w:space="0"/>
              <w:left w:val="single" w:color="auto" w:sz="4" w:space="0"/>
              <w:bottom w:val="single" w:color="auto" w:sz="4" w:space="0"/>
              <w:right w:val="single" w:color="auto" w:sz="4"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项目</w:t>
            </w:r>
          </w:p>
        </w:tc>
        <w:tc>
          <w:tcPr>
            <w:tcW w:w="5307" w:type="dxa"/>
            <w:tcBorders>
              <w:top w:val="single" w:color="auto" w:sz="12" w:space="0"/>
              <w:left w:val="single" w:color="auto" w:sz="4" w:space="0"/>
              <w:bottom w:val="single" w:color="auto" w:sz="4" w:space="0"/>
              <w:right w:val="single" w:color="auto" w:sz="12" w:space="0"/>
            </w:tcBorders>
            <w:vAlign w:val="center"/>
          </w:tcPr>
          <w:p>
            <w:pPr>
              <w:spacing w:line="360" w:lineRule="exact"/>
              <w:jc w:val="center"/>
              <w:rPr>
                <w:rFonts w:ascii="宋体" w:hAnsi="宋体"/>
                <w:b/>
                <w:color w:val="auto"/>
                <w:szCs w:val="21"/>
                <w:highlight w:val="none"/>
              </w:rPr>
            </w:pPr>
            <w:r>
              <w:rPr>
                <w:rFonts w:hint="eastAsia" w:ascii="宋体" w:hAnsi="宋体"/>
                <w:b/>
                <w:color w:val="auto"/>
                <w:szCs w:val="21"/>
                <w:highlight w:val="none"/>
              </w:rPr>
              <w:t>招标需求内容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采购内容　</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eastAsia="宋体"/>
                <w:color w:val="auto"/>
                <w:szCs w:val="21"/>
                <w:highlight w:val="none"/>
                <w:lang w:eastAsia="zh-CN"/>
              </w:rPr>
            </w:pPr>
            <w:r>
              <w:rPr>
                <w:rFonts w:hint="eastAsia" w:ascii="宋体" w:hAnsi="宋体" w:cs="Arial"/>
                <w:bCs/>
                <w:color w:val="auto"/>
                <w:szCs w:val="21"/>
                <w:highlight w:val="none"/>
                <w:lang w:eastAsia="zh-CN"/>
              </w:rPr>
              <w:t>宁波市第一医院CIS、集成平台信息系统改造、全院心身整合医疗服务集成平台（PIS）、方桥院区数字化项目监理咨询服务</w:t>
            </w:r>
            <w:r>
              <w:rPr>
                <w:rFonts w:hint="eastAsia" w:ascii="宋体" w:hAnsi="宋体" w:cs="Arial"/>
                <w:bCs/>
                <w:color w:val="auto"/>
                <w:szCs w:val="21"/>
                <w:highlight w:val="none"/>
                <w:lang w:val="en-US" w:eastAsia="zh-CN"/>
              </w:rPr>
              <w:t>等</w:t>
            </w:r>
            <w:r>
              <w:rPr>
                <w:rFonts w:hint="eastAsia" w:ascii="宋体" w:hAnsi="宋体" w:cs="Arial"/>
                <w:bCs/>
                <w:color w:val="auto"/>
                <w:szCs w:val="21"/>
                <w:highlight w:val="none"/>
                <w:lang w:eastAsia="zh-CN"/>
              </w:rPr>
              <w:t>采购项目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2</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单位及数量</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3</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交付或者实施的时间和地点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4</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需实现的功能或者目标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color w:val="auto"/>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5</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执行的国家相关标准、行业标准、地方标准或者其它标准、规范</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s="宋体"/>
                <w:color w:val="auto"/>
                <w:szCs w:val="21"/>
                <w:highlight w:val="none"/>
              </w:rPr>
              <w:t>执行的国家相关标准、行业标准、地方标准或者其它标准、规范（如有）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6</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技术规格要求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7</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物理特性要求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8</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质量、安全要求</w:t>
            </w:r>
          </w:p>
        </w:tc>
        <w:tc>
          <w:tcPr>
            <w:tcW w:w="5307" w:type="dxa"/>
            <w:tcBorders>
              <w:top w:val="single" w:color="auto" w:sz="4" w:space="0"/>
              <w:left w:val="single" w:color="auto" w:sz="4" w:space="0"/>
              <w:bottom w:val="single" w:color="auto" w:sz="4" w:space="0"/>
              <w:right w:val="single" w:color="auto" w:sz="12" w:space="0"/>
            </w:tcBorders>
            <w:vAlign w:val="center"/>
          </w:tcPr>
          <w:p>
            <w:pPr>
              <w:snapToGrid w:val="0"/>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9</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服务标准、期限、效率</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详见本章内容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10</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验收标准</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ascii="宋体" w:hAnsi="宋体"/>
                <w:color w:val="auto"/>
                <w:szCs w:val="21"/>
                <w:highlight w:val="none"/>
              </w:rPr>
            </w:pPr>
            <w:r>
              <w:rPr>
                <w:rFonts w:hint="eastAsia" w:ascii="宋体" w:hAnsi="宋体"/>
                <w:color w:val="auto"/>
                <w:szCs w:val="21"/>
                <w:highlight w:val="none"/>
                <w:lang w:eastAsia="zh-CN"/>
              </w:rPr>
              <w:t>详见本章内容，</w:t>
            </w:r>
            <w:r>
              <w:rPr>
                <w:rFonts w:hint="eastAsia" w:ascii="宋体" w:hAnsi="宋体"/>
                <w:color w:val="auto"/>
                <w:szCs w:val="21"/>
                <w:highlight w:val="none"/>
                <w:lang w:val="en-US" w:eastAsia="zh-CN"/>
              </w:rPr>
              <w:t>其中</w:t>
            </w:r>
            <w:r>
              <w:rPr>
                <w:rFonts w:hint="eastAsia" w:ascii="宋体" w:hAnsi="宋体"/>
                <w:color w:val="auto"/>
                <w:szCs w:val="21"/>
                <w:highlight w:val="none"/>
                <w:lang w:eastAsia="zh-CN"/>
              </w:rPr>
              <w:t>本</w:t>
            </w:r>
            <w:r>
              <w:rPr>
                <w:rFonts w:hint="eastAsia" w:ascii="宋体" w:hAnsi="宋体"/>
                <w:color w:val="auto"/>
                <w:szCs w:val="21"/>
                <w:highlight w:val="none"/>
              </w:rPr>
              <w:t>项目</w:t>
            </w:r>
            <w:r>
              <w:rPr>
                <w:rFonts w:hint="eastAsia" w:ascii="宋体" w:hAnsi="宋体"/>
                <w:color w:val="auto"/>
                <w:szCs w:val="21"/>
                <w:highlight w:val="none"/>
                <w:lang w:val="en-US" w:eastAsia="zh-CN"/>
              </w:rPr>
              <w:t>标项一、标项二</w:t>
            </w:r>
            <w:r>
              <w:rPr>
                <w:rFonts w:hint="eastAsia" w:ascii="宋体" w:hAnsi="宋体"/>
                <w:color w:val="auto"/>
                <w:szCs w:val="21"/>
                <w:highlight w:val="none"/>
              </w:rPr>
              <w:t>验收时除约定的系统功能全部实现并稳定运行外，还应包含以下内容：</w:t>
            </w:r>
          </w:p>
          <w:p>
            <w:pPr>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1）</w:t>
            </w:r>
            <w:r>
              <w:rPr>
                <w:rFonts w:hint="eastAsia" w:ascii="宋体" w:hAnsi="宋体"/>
                <w:color w:val="auto"/>
                <w:szCs w:val="21"/>
                <w:highlight w:val="none"/>
              </w:rPr>
              <w:t>项目实施报告（含二次开发内容）</w:t>
            </w:r>
          </w:p>
          <w:p>
            <w:pPr>
              <w:spacing w:line="360" w:lineRule="exact"/>
              <w:rPr>
                <w:rFonts w:hint="eastAsia" w:ascii="宋体" w:hAnsi="宋体"/>
                <w:color w:val="auto"/>
                <w:szCs w:val="21"/>
                <w:highlight w:val="none"/>
              </w:rPr>
            </w:pPr>
            <w:r>
              <w:rPr>
                <w:rFonts w:hint="eastAsia" w:ascii="宋体" w:hAnsi="宋体"/>
                <w:color w:val="auto"/>
                <w:szCs w:val="21"/>
                <w:highlight w:val="none"/>
                <w:lang w:val="en-US" w:eastAsia="zh-CN"/>
              </w:rPr>
              <w:t>2）</w:t>
            </w:r>
            <w:r>
              <w:rPr>
                <w:rFonts w:hint="eastAsia" w:ascii="宋体" w:hAnsi="宋体"/>
                <w:color w:val="auto"/>
                <w:szCs w:val="21"/>
                <w:highlight w:val="none"/>
              </w:rPr>
              <w:t>软件功能及操作手册</w:t>
            </w:r>
          </w:p>
          <w:p>
            <w:pPr>
              <w:spacing w:line="360" w:lineRule="exact"/>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项目验收报告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11</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rFonts w:ascii="宋体" w:hAnsi="宋体"/>
                <w:color w:val="auto"/>
                <w:szCs w:val="21"/>
                <w:highlight w:val="none"/>
              </w:rPr>
            </w:pPr>
            <w:r>
              <w:rPr>
                <w:rFonts w:hint="eastAsia"/>
                <w:color w:val="auto"/>
                <w:highlight w:val="none"/>
              </w:rPr>
              <w:t>现场踏勘</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color w:val="auto"/>
                <w:highlight w:val="none"/>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12</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演示时间及地点</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13</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ascii="宋体" w:hAnsi="宋体" w:cs="宋体"/>
                <w:color w:val="auto"/>
                <w:highlight w:val="none"/>
              </w:rPr>
              <w:t>样品要求</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4"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14</w:t>
            </w:r>
          </w:p>
        </w:tc>
        <w:tc>
          <w:tcPr>
            <w:tcW w:w="2247" w:type="dxa"/>
            <w:tcBorders>
              <w:top w:val="single" w:color="auto" w:sz="4" w:space="0"/>
              <w:left w:val="single" w:color="auto" w:sz="4" w:space="0"/>
              <w:bottom w:val="single" w:color="auto" w:sz="4" w:space="0"/>
              <w:right w:val="single" w:color="auto" w:sz="4" w:space="0"/>
            </w:tcBorders>
            <w:vAlign w:val="center"/>
          </w:tcPr>
          <w:p>
            <w:pPr>
              <w:spacing w:line="360" w:lineRule="exact"/>
              <w:rPr>
                <w:color w:val="auto"/>
                <w:highlight w:val="none"/>
              </w:rPr>
            </w:pPr>
            <w:r>
              <w:rPr>
                <w:rFonts w:hint="eastAsia"/>
                <w:color w:val="auto"/>
                <w:highlight w:val="none"/>
              </w:rPr>
              <w:t>本项目的核心产品</w:t>
            </w:r>
          </w:p>
        </w:tc>
        <w:tc>
          <w:tcPr>
            <w:tcW w:w="5307" w:type="dxa"/>
            <w:tcBorders>
              <w:top w:val="single" w:color="auto" w:sz="4" w:space="0"/>
              <w:left w:val="single" w:color="auto" w:sz="4" w:space="0"/>
              <w:bottom w:val="single" w:color="auto" w:sz="4" w:space="0"/>
              <w:right w:val="single" w:color="auto" w:sz="12" w:space="0"/>
            </w:tcBorders>
            <w:vAlign w:val="center"/>
          </w:tcPr>
          <w:p>
            <w:pPr>
              <w:spacing w:line="360" w:lineRule="exact"/>
              <w:rPr>
                <w:rFonts w:hint="eastAsia" w:hAnsi="宋体" w:eastAsia="宋体" w:cs="Times New Roman"/>
                <w:color w:val="auto"/>
                <w:szCs w:val="21"/>
                <w:highlight w:val="none"/>
                <w:lang w:val="en-US" w:eastAsia="zh-CN"/>
              </w:rPr>
            </w:pPr>
            <w:r>
              <w:rPr>
                <w:rFonts w:hint="eastAsia" w:ascii="宋体" w:hAnsi="宋体"/>
                <w:color w:val="auto"/>
                <w:szCs w:val="21"/>
                <w:highlight w:val="none"/>
                <w:lang w:val="en-US" w:eastAsia="zh-CN"/>
              </w:rPr>
              <w:t>标项一：集成平台</w:t>
            </w:r>
            <w:r>
              <w:rPr>
                <w:rFonts w:hint="eastAsia" w:hAnsi="宋体" w:eastAsia="宋体" w:cs="Times New Roman"/>
                <w:color w:val="auto"/>
                <w:szCs w:val="21"/>
                <w:highlight w:val="none"/>
                <w:lang w:val="en-US" w:eastAsia="zh-CN"/>
              </w:rPr>
              <w:t>；</w:t>
            </w:r>
          </w:p>
          <w:p>
            <w:pPr>
              <w:spacing w:line="360" w:lineRule="exact"/>
              <w:rPr>
                <w:rFonts w:hint="eastAsia" w:hAnsi="宋体" w:eastAsia="宋体" w:cs="Times New Roman"/>
                <w:color w:val="auto"/>
                <w:szCs w:val="21"/>
                <w:highlight w:val="none"/>
                <w:lang w:eastAsia="zh-CN"/>
              </w:rPr>
            </w:pPr>
            <w:r>
              <w:rPr>
                <w:rFonts w:hint="eastAsia" w:ascii="宋体" w:hAnsi="宋体"/>
                <w:color w:val="auto"/>
                <w:szCs w:val="21"/>
                <w:highlight w:val="none"/>
                <w:lang w:val="en-US" w:eastAsia="zh-CN"/>
              </w:rPr>
              <w:t>标项二：</w:t>
            </w:r>
            <w:r>
              <w:rPr>
                <w:rFonts w:hint="eastAsia" w:hAnsi="宋体" w:eastAsia="宋体" w:cs="Times New Roman"/>
                <w:color w:val="auto"/>
                <w:szCs w:val="21"/>
                <w:highlight w:val="none"/>
                <w:lang w:val="en-US" w:eastAsia="zh-CN"/>
              </w:rPr>
              <w:t>集成平台</w:t>
            </w:r>
            <w:r>
              <w:rPr>
                <w:rFonts w:hint="eastAsia" w:hAnsi="宋体" w:eastAsia="宋体" w:cs="Times New Roman"/>
                <w:color w:val="auto"/>
                <w:szCs w:val="21"/>
                <w:highlight w:val="none"/>
                <w:lang w:eastAsia="zh-CN"/>
              </w:rPr>
              <w:t>；</w:t>
            </w:r>
          </w:p>
          <w:p>
            <w:pPr>
              <w:spacing w:line="360" w:lineRule="exact"/>
              <w:rPr>
                <w:rFonts w:hint="default" w:ascii="宋体" w:hAnsi="宋体" w:eastAsia="宋体"/>
                <w:color w:val="auto"/>
                <w:szCs w:val="21"/>
                <w:highlight w:val="none"/>
                <w:lang w:val="en-US" w:eastAsia="zh-CN"/>
              </w:rPr>
            </w:pPr>
            <w:r>
              <w:rPr>
                <w:rFonts w:hint="eastAsia" w:hAnsi="宋体" w:cs="Times New Roman"/>
                <w:color w:val="auto"/>
                <w:szCs w:val="21"/>
                <w:highlight w:val="none"/>
                <w:lang w:val="en-US" w:eastAsia="zh-CN"/>
              </w:rPr>
              <w:t>标项三：/。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3" w:type="dxa"/>
            <w:tcBorders>
              <w:top w:val="single" w:color="auto" w:sz="4" w:space="0"/>
              <w:left w:val="single" w:color="auto" w:sz="12" w:space="0"/>
              <w:bottom w:val="single" w:color="auto" w:sz="12" w:space="0"/>
              <w:right w:val="single" w:color="auto" w:sz="4" w:space="0"/>
            </w:tcBorders>
            <w:vAlign w:val="center"/>
          </w:tcPr>
          <w:p>
            <w:pPr>
              <w:spacing w:line="360" w:lineRule="exact"/>
              <w:jc w:val="center"/>
              <w:rPr>
                <w:rFonts w:ascii="宋体" w:hAnsi="宋体"/>
                <w:color w:val="auto"/>
                <w:szCs w:val="21"/>
                <w:highlight w:val="none"/>
              </w:rPr>
            </w:pPr>
            <w:r>
              <w:rPr>
                <w:rFonts w:hint="eastAsia" w:ascii="宋体" w:hAnsi="宋体"/>
                <w:color w:val="auto"/>
                <w:szCs w:val="21"/>
                <w:highlight w:val="none"/>
              </w:rPr>
              <w:t>★15</w:t>
            </w:r>
          </w:p>
        </w:tc>
        <w:tc>
          <w:tcPr>
            <w:tcW w:w="2247" w:type="dxa"/>
            <w:tcBorders>
              <w:top w:val="single" w:color="auto" w:sz="4" w:space="0"/>
              <w:left w:val="single" w:color="auto" w:sz="4" w:space="0"/>
              <w:bottom w:val="single" w:color="auto" w:sz="12" w:space="0"/>
              <w:right w:val="single" w:color="auto" w:sz="4" w:space="0"/>
            </w:tcBorders>
            <w:vAlign w:val="center"/>
          </w:tcPr>
          <w:p>
            <w:pPr>
              <w:spacing w:line="360" w:lineRule="exact"/>
              <w:rPr>
                <w:color w:val="auto"/>
                <w:highlight w:val="none"/>
              </w:rPr>
            </w:pPr>
            <w:r>
              <w:rPr>
                <w:rFonts w:hint="eastAsia"/>
                <w:color w:val="auto"/>
                <w:highlight w:val="none"/>
              </w:rPr>
              <w:t>其他说明</w:t>
            </w:r>
          </w:p>
        </w:tc>
        <w:tc>
          <w:tcPr>
            <w:tcW w:w="5307" w:type="dxa"/>
            <w:tcBorders>
              <w:top w:val="single" w:color="auto" w:sz="4" w:space="0"/>
              <w:left w:val="single" w:color="auto" w:sz="4" w:space="0"/>
              <w:bottom w:val="single" w:color="auto" w:sz="12" w:space="0"/>
              <w:right w:val="single" w:color="auto" w:sz="12" w:space="0"/>
            </w:tcBorders>
            <w:vAlign w:val="center"/>
          </w:tcPr>
          <w:p>
            <w:pPr>
              <w:spacing w:line="360" w:lineRule="exact"/>
              <w:rPr>
                <w:rFonts w:ascii="宋体" w:hAnsi="宋体"/>
                <w:color w:val="auto"/>
                <w:szCs w:val="21"/>
                <w:highlight w:val="none"/>
              </w:rPr>
            </w:pPr>
            <w:r>
              <w:rPr>
                <w:rFonts w:hint="eastAsia" w:ascii="宋体" w:hAnsi="宋体"/>
                <w:color w:val="auto"/>
                <w:szCs w:val="21"/>
                <w:highlight w:val="none"/>
              </w:rPr>
              <w:t>本项目</w:t>
            </w:r>
            <w:r>
              <w:rPr>
                <w:rFonts w:hint="eastAsia" w:ascii="宋体" w:hAnsi="宋体"/>
                <w:color w:val="auto"/>
                <w:szCs w:val="21"/>
                <w:highlight w:val="none"/>
                <w:lang w:val="en-US" w:eastAsia="zh-CN"/>
              </w:rPr>
              <w:t>标项一、标项二</w:t>
            </w:r>
            <w:r>
              <w:rPr>
                <w:rFonts w:hint="eastAsia" w:ascii="宋体" w:hAnsi="宋体"/>
                <w:color w:val="auto"/>
                <w:szCs w:val="21"/>
                <w:highlight w:val="none"/>
              </w:rPr>
              <w:t>不允许采购进口产品。</w:t>
            </w:r>
          </w:p>
        </w:tc>
      </w:tr>
    </w:tbl>
    <w:p>
      <w:pPr>
        <w:rPr>
          <w:rFonts w:ascii="宋体" w:hAnsi="宋体" w:cs="宋体"/>
          <w:color w:val="auto"/>
          <w:szCs w:val="21"/>
          <w:highlight w:val="none"/>
        </w:rPr>
      </w:pPr>
      <w:r>
        <w:rPr>
          <w:rFonts w:hint="eastAsia" w:ascii="宋体" w:hAnsi="宋体" w:cs="宋体"/>
          <w:color w:val="auto"/>
          <w:szCs w:val="21"/>
          <w:highlight w:val="none"/>
        </w:rPr>
        <w:br w:type="page"/>
      </w:r>
    </w:p>
    <w:p>
      <w:pPr>
        <w:spacing w:line="440" w:lineRule="exact"/>
        <w:rPr>
          <w:rFonts w:hint="eastAsia" w:ascii="宋体" w:eastAsia="宋体"/>
          <w:b/>
          <w:color w:val="auto"/>
          <w:highlight w:val="none"/>
          <w:lang w:eastAsia="zh-CN"/>
        </w:rPr>
      </w:pPr>
      <w:r>
        <w:rPr>
          <w:rFonts w:hint="eastAsia" w:ascii="宋体" w:hAnsi="宋体" w:cs="宋体"/>
          <w:color w:val="auto"/>
          <w:szCs w:val="21"/>
          <w:highlight w:val="none"/>
        </w:rPr>
        <w:t>★一、</w:t>
      </w:r>
      <w:r>
        <w:rPr>
          <w:rFonts w:hint="eastAsia" w:ascii="宋体" w:hAnsi="宋体" w:cs="宋体"/>
          <w:b/>
          <w:color w:val="auto"/>
          <w:szCs w:val="21"/>
          <w:highlight w:val="none"/>
        </w:rPr>
        <w:t>重要商务要求一览表</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适用于标项一</w:t>
      </w:r>
      <w:r>
        <w:rPr>
          <w:rFonts w:hint="eastAsia" w:ascii="宋体" w:hAnsi="宋体" w:cs="宋体"/>
          <w:b/>
          <w:color w:val="auto"/>
          <w:szCs w:val="21"/>
          <w:highlight w:val="none"/>
          <w:lang w:eastAsia="zh-CN"/>
        </w:rPr>
        <w:t>）</w:t>
      </w:r>
    </w:p>
    <w:tbl>
      <w:tblPr>
        <w:tblStyle w:val="2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75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46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1、交货期</w:t>
            </w:r>
          </w:p>
        </w:tc>
        <w:tc>
          <w:tcPr>
            <w:tcW w:w="6469" w:type="dxa"/>
            <w:vAlign w:val="center"/>
          </w:tcPr>
          <w:p>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个月内完成本项目系统建设，经过测试运行及培训，并通过采购人组织初步验收确认合格，投入试运行。经正式验收合格，正式交付使用，进入维护期</w:t>
            </w:r>
            <w:r>
              <w:rPr>
                <w:rFonts w:hint="eastAsia" w:ascii="宋体" w:hAnsi="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2、实施地点</w:t>
            </w:r>
          </w:p>
        </w:tc>
        <w:tc>
          <w:tcPr>
            <w:tcW w:w="6469"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3、付款方式</w:t>
            </w:r>
          </w:p>
        </w:tc>
        <w:tc>
          <w:tcPr>
            <w:tcW w:w="6469" w:type="dxa"/>
            <w:vAlign w:val="center"/>
          </w:tcPr>
          <w:p>
            <w:pPr>
              <w:numPr>
                <w:ilvl w:val="0"/>
                <w:numId w:val="0"/>
              </w:num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个工作日内，支付合同金额的</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w:t>
            </w:r>
          </w:p>
          <w:p>
            <w:pPr>
              <w:numPr>
                <w:ilvl w:val="0"/>
                <w:numId w:val="0"/>
              </w:numPr>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2）项目初步上线后，15个工作日内，支付合同金额的30%。</w:t>
            </w:r>
          </w:p>
          <w:p>
            <w:pPr>
              <w:numPr>
                <w:ilvl w:val="0"/>
                <w:numId w:val="0"/>
              </w:num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项目通过</w:t>
            </w:r>
            <w:r>
              <w:rPr>
                <w:rFonts w:hint="eastAsia" w:ascii="宋体" w:hAnsi="宋体" w:cs="宋体"/>
                <w:color w:val="auto"/>
                <w:szCs w:val="21"/>
                <w:highlight w:val="none"/>
                <w:lang w:val="en-US" w:eastAsia="zh-CN"/>
              </w:rPr>
              <w:t>正式</w:t>
            </w:r>
            <w:r>
              <w:rPr>
                <w:rFonts w:hint="eastAsia" w:ascii="宋体" w:hAnsi="宋体" w:eastAsia="宋体" w:cs="宋体"/>
                <w:color w:val="auto"/>
                <w:szCs w:val="21"/>
                <w:highlight w:val="none"/>
              </w:rPr>
              <w:t>验收后，支付合同金额的</w:t>
            </w: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pPr>
              <w:numPr>
                <w:ilvl w:val="0"/>
                <w:numId w:val="0"/>
              </w:numPr>
              <w:spacing w:line="400" w:lineRule="exact"/>
              <w:rPr>
                <w:rFonts w:ascii="宋体" w:hAnsi="宋体" w:cs="宋体"/>
                <w:color w:val="auto"/>
                <w:szCs w:val="21"/>
                <w:highlight w:val="none"/>
              </w:rPr>
            </w:pPr>
            <w:r>
              <w:rPr>
                <w:rFonts w:hint="eastAsia" w:ascii="宋体" w:hAnsi="宋体" w:eastAsia="宋体" w:cs="宋体"/>
                <w:color w:val="auto"/>
                <w:szCs w:val="21"/>
                <w:highlight w:val="none"/>
                <w:lang w:val="en-US" w:eastAsia="zh-CN"/>
              </w:rPr>
              <w:t>4）</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向</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支付货款前，</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应向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开具同等金额的增值税普通发票。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履约保证金</w:t>
            </w:r>
          </w:p>
        </w:tc>
        <w:tc>
          <w:tcPr>
            <w:tcW w:w="6469"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履约保证金的收取及退还：</w:t>
            </w:r>
          </w:p>
          <w:p>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1）履约保证金金额：合同金额的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在双方签订合同之日起七日内</w:t>
            </w:r>
            <w:r>
              <w:rPr>
                <w:rFonts w:hint="eastAsia" w:ascii="宋体" w:hAnsi="宋体" w:cs="宋体"/>
                <w:color w:val="auto"/>
                <w:szCs w:val="21"/>
                <w:highlight w:val="none"/>
                <w:lang w:val="en-US" w:eastAsia="zh-CN"/>
              </w:rPr>
              <w:t>支付</w:t>
            </w:r>
            <w:r>
              <w:rPr>
                <w:rFonts w:hint="eastAsia" w:ascii="宋体" w:hAnsi="宋体" w:cs="宋体"/>
                <w:color w:val="auto"/>
                <w:szCs w:val="21"/>
                <w:highlight w:val="none"/>
                <w:lang w:eastAsia="zh-CN"/>
              </w:rPr>
              <w:t>；</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3）履约保证金的退取：履约保证金在</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安装验收合格后无息退还（但如中标人未能履行合同规定的任何义务，采购人有权扣除相应履约保证金）。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lang w:val="en-US" w:eastAsia="zh-CN"/>
              </w:rPr>
              <w:t>5、售后服务要求</w:t>
            </w:r>
          </w:p>
        </w:tc>
        <w:tc>
          <w:tcPr>
            <w:tcW w:w="6469" w:type="dxa"/>
            <w:vAlign w:val="center"/>
          </w:tcPr>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1）质保期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维护期</w:t>
            </w:r>
            <w:r>
              <w:rPr>
                <w:rFonts w:hint="eastAsia" w:ascii="宋体" w:hAnsi="宋体" w:cs="宋体"/>
                <w:color w:val="auto"/>
                <w:szCs w:val="21"/>
                <w:highlight w:val="none"/>
                <w:lang w:eastAsia="zh-CN"/>
              </w:rPr>
              <w:t>）</w:t>
            </w:r>
            <w:r>
              <w:rPr>
                <w:rFonts w:hint="eastAsia" w:ascii="宋体" w:hAnsi="宋体" w:cs="宋体"/>
                <w:color w:val="auto"/>
                <w:szCs w:val="21"/>
                <w:highlight w:val="none"/>
              </w:rPr>
              <w:t>要求为</w:t>
            </w:r>
            <w:r>
              <w:rPr>
                <w:rFonts w:hint="eastAsia" w:ascii="宋体" w:hAnsi="宋体" w:cs="宋体"/>
                <w:color w:val="auto"/>
                <w:szCs w:val="21"/>
                <w:highlight w:val="none"/>
                <w:lang w:val="en-US" w:eastAsia="zh-CN"/>
              </w:rPr>
              <w:t>正式</w:t>
            </w:r>
            <w:r>
              <w:rPr>
                <w:rFonts w:hint="eastAsia" w:ascii="宋体" w:hAnsi="宋体" w:cs="宋体"/>
                <w:color w:val="auto"/>
                <w:szCs w:val="21"/>
                <w:highlight w:val="none"/>
              </w:rPr>
              <w:t>验收合格后</w:t>
            </w:r>
            <w:r>
              <w:rPr>
                <w:rFonts w:hint="eastAsia" w:ascii="宋体" w:hAnsi="宋体" w:cs="宋体"/>
                <w:color w:val="auto"/>
                <w:szCs w:val="21"/>
                <w:highlight w:val="none"/>
                <w:lang w:eastAsia="zh-CN"/>
              </w:rPr>
              <w:t>不少于</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p>
          <w:p>
            <w:pPr>
              <w:snapToGrid w:val="0"/>
              <w:spacing w:line="400" w:lineRule="exact"/>
              <w:rPr>
                <w:rFonts w:hint="eastAsia" w:ascii="宋体" w:hAnsi="宋体" w:cs="宋体"/>
                <w:color w:val="auto"/>
                <w:szCs w:val="21"/>
                <w:highlight w:val="none"/>
              </w:rPr>
            </w:pPr>
            <w:r>
              <w:rPr>
                <w:rFonts w:hint="eastAsia" w:ascii="宋体" w:hAnsi="宋体" w:cs="宋体"/>
                <w:color w:val="auto"/>
                <w:szCs w:val="21"/>
                <w:highlight w:val="none"/>
              </w:rPr>
              <w:t>2）质保期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维护期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内，免费提供7</w:t>
            </w:r>
            <w:r>
              <w:rPr>
                <w:rFonts w:hint="eastAsia" w:ascii="宋体" w:hAnsi="宋体" w:cs="宋体"/>
                <w:color w:val="auto"/>
                <w:szCs w:val="21"/>
                <w:highlight w:val="none"/>
                <w:lang w:val="en-US" w:eastAsia="zh-CN"/>
              </w:rPr>
              <w:t>×</w:t>
            </w:r>
            <w:r>
              <w:rPr>
                <w:rFonts w:hint="eastAsia" w:ascii="宋体" w:hAnsi="宋体" w:cs="宋体"/>
                <w:color w:val="auto"/>
                <w:szCs w:val="21"/>
                <w:highlight w:val="none"/>
              </w:rPr>
              <w:t>24技术服务，有任何问题和故障，即时响应，2小时内到达现场，提供不间断的服务直到系统恢复正常。</w:t>
            </w:r>
          </w:p>
          <w:p>
            <w:pPr>
              <w:snapToGrid w:val="0"/>
              <w:spacing w:line="400" w:lineRule="exact"/>
              <w:rPr>
                <w:color w:val="auto"/>
                <w:highlight w:val="none"/>
              </w:rPr>
            </w:pPr>
            <w:r>
              <w:rPr>
                <w:rFonts w:hint="eastAsia" w:ascii="宋体" w:hAnsi="宋体" w:cs="宋体"/>
                <w:color w:val="auto"/>
                <w:szCs w:val="21"/>
                <w:highlight w:val="none"/>
              </w:rPr>
              <w:t>3）质保期</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维护期</w:t>
            </w:r>
            <w:r>
              <w:rPr>
                <w:rFonts w:hint="eastAsia" w:ascii="宋体" w:hAnsi="宋体" w:cs="宋体"/>
                <w:color w:val="auto"/>
                <w:szCs w:val="21"/>
                <w:highlight w:val="none"/>
                <w:lang w:eastAsia="zh-CN"/>
              </w:rPr>
              <w:t>）</w:t>
            </w:r>
            <w:r>
              <w:rPr>
                <w:rFonts w:hint="eastAsia" w:ascii="宋体" w:hAnsi="宋体" w:cs="宋体"/>
                <w:color w:val="auto"/>
                <w:szCs w:val="21"/>
                <w:highlight w:val="none"/>
              </w:rPr>
              <w:t>内，免费服务内容包括</w:t>
            </w:r>
            <w:r>
              <w:rPr>
                <w:rFonts w:hint="eastAsia" w:ascii="宋体" w:hAnsi="宋体" w:cs="宋体"/>
                <w:color w:val="auto"/>
                <w:szCs w:val="21"/>
                <w:highlight w:val="none"/>
                <w:lang w:eastAsia="zh-CN"/>
              </w:rPr>
              <w:t>但不限于</w:t>
            </w:r>
            <w:r>
              <w:rPr>
                <w:rFonts w:hint="eastAsia" w:ascii="宋体" w:hAnsi="宋体" w:cs="宋体"/>
                <w:color w:val="auto"/>
                <w:szCs w:val="21"/>
                <w:highlight w:val="none"/>
              </w:rPr>
              <w:t>技术咨询、故障排除、定期巡检、性能优化、软件升级、功能完善等。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vAlign w:val="center"/>
          </w:tcPr>
          <w:p>
            <w:pPr>
              <w:snapToGrid w:val="0"/>
              <w:spacing w:line="400" w:lineRule="exact"/>
              <w:rPr>
                <w:rFonts w:hint="eastAsia" w:ascii="宋体" w:hAnsi="宋体"/>
                <w:color w:val="auto"/>
                <w:szCs w:val="21"/>
                <w:highlight w:val="none"/>
              </w:rPr>
            </w:pP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、培训要求</w:t>
            </w:r>
          </w:p>
        </w:tc>
        <w:tc>
          <w:tcPr>
            <w:tcW w:w="6469" w:type="dxa"/>
            <w:vAlign w:val="center"/>
          </w:tcPr>
          <w:p>
            <w:pPr>
              <w:snapToGrid w:val="0"/>
              <w:spacing w:line="400" w:lineRule="exact"/>
              <w:rPr>
                <w:rFonts w:hint="eastAsia" w:hAnsi="宋体"/>
                <w:color w:val="auto"/>
                <w:szCs w:val="21"/>
                <w:highlight w:val="none"/>
              </w:rPr>
            </w:pPr>
            <w:r>
              <w:rPr>
                <w:rFonts w:hint="eastAsia"/>
                <w:color w:val="auto"/>
                <w:highlight w:val="none"/>
                <w:lang w:eastAsia="zh-CN"/>
              </w:rPr>
              <w:t>中标人</w:t>
            </w:r>
            <w:r>
              <w:rPr>
                <w:rFonts w:hint="eastAsia"/>
                <w:color w:val="auto"/>
                <w:highlight w:val="none"/>
              </w:rPr>
              <w:t>需为</w:t>
            </w:r>
            <w:r>
              <w:rPr>
                <w:rFonts w:hint="eastAsia"/>
                <w:color w:val="auto"/>
                <w:highlight w:val="none"/>
                <w:lang w:eastAsia="zh-CN"/>
              </w:rPr>
              <w:t>采购人</w:t>
            </w:r>
            <w:r>
              <w:rPr>
                <w:rFonts w:hint="eastAsia"/>
                <w:color w:val="auto"/>
                <w:highlight w:val="none"/>
              </w:rPr>
              <w:t>提供专业技术培训，并提供技术指导和咨询，通过多种方式解决需求，提供支持，确保</w:t>
            </w:r>
            <w:r>
              <w:rPr>
                <w:rFonts w:hint="eastAsia"/>
                <w:color w:val="auto"/>
                <w:highlight w:val="none"/>
                <w:lang w:eastAsia="zh-CN"/>
              </w:rPr>
              <w:t>采购人</w:t>
            </w:r>
            <w:r>
              <w:rPr>
                <w:rFonts w:hint="eastAsia"/>
                <w:color w:val="auto"/>
                <w:highlight w:val="none"/>
              </w:rPr>
              <w:t>相关工作人员可以正确使用。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36" w:lineRule="auto"/>
              <w:jc w:val="left"/>
              <w:rPr>
                <w:rFonts w:hint="eastAsia" w:ascii="宋体" w:hAnsi="宋体"/>
                <w:color w:val="auto"/>
                <w:szCs w:val="21"/>
                <w:highlight w:val="none"/>
                <w:lang w:val="en-US" w:eastAsia="zh-CN"/>
              </w:rPr>
            </w:pPr>
            <w:r>
              <w:rPr>
                <w:rFonts w:hint="eastAsia" w:ascii="宋体" w:hAnsi="宋体" w:cs="宋体"/>
                <w:color w:val="auto"/>
                <w:sz w:val="21"/>
                <w:szCs w:val="21"/>
                <w:highlight w:val="none"/>
                <w:lang w:val="en-US" w:eastAsia="zh-CN"/>
              </w:rPr>
              <w:t>7</w:t>
            </w:r>
            <w:r>
              <w:rPr>
                <w:rFonts w:hint="eastAsia" w:ascii="宋体" w:hAnsi="宋体" w:eastAsia="宋体" w:cs="宋体"/>
                <w:color w:val="auto"/>
                <w:sz w:val="21"/>
                <w:szCs w:val="21"/>
                <w:highlight w:val="none"/>
              </w:rPr>
              <w:t>、合同终止</w:t>
            </w:r>
          </w:p>
        </w:tc>
        <w:tc>
          <w:tcPr>
            <w:tcW w:w="6469" w:type="dxa"/>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color w:val="auto"/>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pPr>
        <w:spacing w:line="440" w:lineRule="exact"/>
        <w:rPr>
          <w:rFonts w:hint="eastAsia" w:ascii="宋体" w:hAnsi="宋体" w:cs="宋体"/>
          <w:b/>
          <w:color w:val="auto"/>
          <w:szCs w:val="21"/>
          <w:highlight w:val="none"/>
        </w:rPr>
      </w:pPr>
    </w:p>
    <w:p>
      <w:pPr>
        <w:spacing w:line="440" w:lineRule="exact"/>
        <w:rPr>
          <w:rFonts w:hint="eastAsia" w:ascii="宋体" w:hAnsi="宋体" w:cs="宋体"/>
          <w:b/>
          <w:color w:val="auto"/>
          <w:szCs w:val="21"/>
          <w:highlight w:val="none"/>
        </w:rPr>
      </w:pPr>
    </w:p>
    <w:p>
      <w:pPr>
        <w:spacing w:line="440" w:lineRule="exact"/>
        <w:rPr>
          <w:rFonts w:hint="eastAsia" w:ascii="宋体" w:eastAsia="宋体" w:cs="Times New Roman"/>
          <w:b/>
          <w:color w:val="auto"/>
          <w:highlight w:val="none"/>
          <w:lang w:eastAsia="zh-CN"/>
        </w:rPr>
      </w:pPr>
      <w:r>
        <w:rPr>
          <w:rFonts w:hint="eastAsia" w:ascii="宋体" w:hAnsi="宋体" w:eastAsia="宋体" w:cs="宋体"/>
          <w:color w:val="auto"/>
          <w:szCs w:val="21"/>
          <w:highlight w:val="none"/>
        </w:rPr>
        <w:t>★一、</w:t>
      </w:r>
      <w:r>
        <w:rPr>
          <w:rFonts w:hint="eastAsia" w:ascii="宋体" w:hAnsi="宋体" w:eastAsia="宋体" w:cs="宋体"/>
          <w:b/>
          <w:color w:val="auto"/>
          <w:szCs w:val="21"/>
          <w:highlight w:val="none"/>
        </w:rPr>
        <w:t>重要商务要求一览表</w:t>
      </w:r>
      <w:r>
        <w:rPr>
          <w:rFonts w:hint="eastAsia" w:ascii="宋体" w:hAnsi="宋体" w:eastAsia="宋体" w:cs="宋体"/>
          <w:b/>
          <w:color w:val="auto"/>
          <w:szCs w:val="21"/>
          <w:highlight w:val="none"/>
          <w:lang w:eastAsia="zh-CN"/>
        </w:rPr>
        <w:t>（</w:t>
      </w:r>
      <w:r>
        <w:rPr>
          <w:rFonts w:hint="eastAsia" w:ascii="宋体" w:hAnsi="宋体" w:eastAsia="宋体" w:cs="宋体"/>
          <w:b/>
          <w:color w:val="auto"/>
          <w:szCs w:val="21"/>
          <w:highlight w:val="none"/>
          <w:lang w:val="en-US" w:eastAsia="zh-CN"/>
        </w:rPr>
        <w:t>适用于标项二</w:t>
      </w:r>
      <w:r>
        <w:rPr>
          <w:rFonts w:hint="eastAsia" w:ascii="宋体" w:hAnsi="宋体" w:eastAsia="宋体" w:cs="宋体"/>
          <w:b/>
          <w:color w:val="auto"/>
          <w:szCs w:val="21"/>
          <w:highlight w:val="none"/>
          <w:lang w:eastAsia="zh-CN"/>
        </w:rPr>
        <w:t>）</w:t>
      </w:r>
    </w:p>
    <w:tbl>
      <w:tblPr>
        <w:tblStyle w:val="2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750"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项目</w:t>
            </w:r>
          </w:p>
        </w:tc>
        <w:tc>
          <w:tcPr>
            <w:tcW w:w="6469" w:type="dxa"/>
            <w:vAlign w:val="center"/>
          </w:tcPr>
          <w:p>
            <w:pPr>
              <w:jc w:val="center"/>
              <w:rPr>
                <w:rFonts w:ascii="宋体" w:hAnsi="宋体" w:eastAsia="宋体" w:cs="宋体"/>
                <w:b/>
                <w:bCs/>
                <w:color w:val="auto"/>
                <w:szCs w:val="21"/>
                <w:highlight w:val="none"/>
              </w:rPr>
            </w:pPr>
            <w:r>
              <w:rPr>
                <w:rFonts w:hint="eastAsia" w:ascii="宋体" w:hAnsi="宋体" w:eastAsia="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5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1、交货期</w:t>
            </w:r>
          </w:p>
        </w:tc>
        <w:tc>
          <w:tcPr>
            <w:tcW w:w="6469" w:type="dxa"/>
            <w:vAlign w:val="center"/>
          </w:tcPr>
          <w:p>
            <w:pPr>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个月内完成本项目系统建设，经过测试运行及培训，并通过采购人组织初步验收确认合格，投入试运行。经正式验收合格，正式交付使用，进入维护期</w:t>
            </w:r>
            <w:r>
              <w:rPr>
                <w:rFonts w:hint="eastAsia" w:ascii="宋体" w:hAnsi="宋体" w:eastAsia="宋体" w:cs="宋体"/>
                <w:color w:val="auto"/>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5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2、实施地点</w:t>
            </w:r>
          </w:p>
        </w:tc>
        <w:tc>
          <w:tcPr>
            <w:tcW w:w="6469" w:type="dxa"/>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5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3、付款方式</w:t>
            </w:r>
          </w:p>
        </w:tc>
        <w:tc>
          <w:tcPr>
            <w:tcW w:w="6469" w:type="dxa"/>
            <w:vAlign w:val="center"/>
          </w:tcPr>
          <w:p>
            <w:pPr>
              <w:numPr>
                <w:ilvl w:val="0"/>
                <w:numId w:val="0"/>
              </w:num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合同签订后，</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个工作日内，支付合同金额的</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0%。</w:t>
            </w:r>
          </w:p>
          <w:p>
            <w:pPr>
              <w:numPr>
                <w:ilvl w:val="0"/>
                <w:numId w:val="0"/>
              </w:num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2）项目初步上线后，15个工作日内，支付合同金额的30%。</w:t>
            </w:r>
          </w:p>
          <w:p>
            <w:pPr>
              <w:numPr>
                <w:ilvl w:val="0"/>
                <w:numId w:val="0"/>
              </w:numPr>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项目通过</w:t>
            </w:r>
            <w:r>
              <w:rPr>
                <w:rFonts w:hint="eastAsia" w:ascii="宋体" w:hAnsi="宋体" w:eastAsia="宋体" w:cs="宋体"/>
                <w:color w:val="auto"/>
                <w:szCs w:val="21"/>
                <w:highlight w:val="none"/>
                <w:lang w:val="en-US" w:eastAsia="zh-CN"/>
              </w:rPr>
              <w:t>正式</w:t>
            </w:r>
            <w:r>
              <w:rPr>
                <w:rFonts w:hint="eastAsia" w:ascii="宋体" w:hAnsi="宋体" w:eastAsia="宋体" w:cs="宋体"/>
                <w:color w:val="auto"/>
                <w:szCs w:val="21"/>
                <w:highlight w:val="none"/>
              </w:rPr>
              <w:t>验收后，支付合同金额的</w:t>
            </w:r>
            <w:r>
              <w:rPr>
                <w:rFonts w:hint="eastAsia" w:ascii="宋体" w:hAnsi="宋体" w:eastAsia="宋体" w:cs="宋体"/>
                <w:color w:val="auto"/>
                <w:szCs w:val="21"/>
                <w:highlight w:val="none"/>
                <w:lang w:val="en-US" w:eastAsia="zh-CN"/>
              </w:rPr>
              <w:t>30</w:t>
            </w:r>
            <w:r>
              <w:rPr>
                <w:rFonts w:hint="eastAsia" w:ascii="宋体" w:hAnsi="宋体" w:eastAsia="宋体" w:cs="宋体"/>
                <w:color w:val="auto"/>
                <w:szCs w:val="21"/>
                <w:highlight w:val="none"/>
              </w:rPr>
              <w:t>%。</w:t>
            </w:r>
          </w:p>
          <w:p>
            <w:pPr>
              <w:numPr>
                <w:ilvl w:val="0"/>
                <w:numId w:val="0"/>
              </w:numPr>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4）采购人</w:t>
            </w:r>
            <w:r>
              <w:rPr>
                <w:rFonts w:hint="eastAsia" w:ascii="宋体" w:hAnsi="宋体" w:eastAsia="宋体" w:cs="宋体"/>
                <w:color w:val="auto"/>
                <w:szCs w:val="21"/>
                <w:highlight w:val="none"/>
              </w:rPr>
              <w:t>向</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支付货款前，</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应向</w:t>
            </w:r>
            <w:r>
              <w:rPr>
                <w:rFonts w:hint="eastAsia" w:ascii="宋体" w:hAnsi="宋体" w:eastAsia="宋体" w:cs="宋体"/>
                <w:color w:val="auto"/>
                <w:szCs w:val="21"/>
                <w:highlight w:val="none"/>
                <w:lang w:val="en-US" w:eastAsia="zh-CN"/>
              </w:rPr>
              <w:t>采购人</w:t>
            </w:r>
            <w:r>
              <w:rPr>
                <w:rFonts w:hint="eastAsia" w:ascii="宋体" w:hAnsi="宋体" w:eastAsia="宋体" w:cs="宋体"/>
                <w:color w:val="auto"/>
                <w:szCs w:val="21"/>
                <w:highlight w:val="none"/>
              </w:rPr>
              <w:t>开具同等金额的增值税普通发票。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75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Times New Roman"/>
                <w:color w:val="auto"/>
                <w:szCs w:val="21"/>
                <w:highlight w:val="none"/>
              </w:rPr>
              <w:t>履约保证金</w:t>
            </w:r>
          </w:p>
        </w:tc>
        <w:tc>
          <w:tcPr>
            <w:tcW w:w="6469" w:type="dxa"/>
            <w:vAlign w:val="center"/>
          </w:tcPr>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履约保证金的收取及退还：</w:t>
            </w:r>
          </w:p>
          <w:p>
            <w:pPr>
              <w:snapToGrid w:val="0"/>
              <w:spacing w:line="400" w:lineRule="exact"/>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1）履约保证金金额：合同金额的</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在双方签订合同之日起七日内</w:t>
            </w:r>
            <w:r>
              <w:rPr>
                <w:rFonts w:hint="eastAsia" w:ascii="宋体" w:hAnsi="宋体" w:eastAsia="宋体" w:cs="宋体"/>
                <w:color w:val="auto"/>
                <w:szCs w:val="21"/>
                <w:highlight w:val="none"/>
                <w:lang w:val="en-US" w:eastAsia="zh-CN"/>
              </w:rPr>
              <w:t>支付</w:t>
            </w:r>
            <w:r>
              <w:rPr>
                <w:rFonts w:hint="eastAsia" w:ascii="宋体" w:hAnsi="宋体" w:eastAsia="宋体" w:cs="宋体"/>
                <w:color w:val="auto"/>
                <w:szCs w:val="21"/>
                <w:highlight w:val="none"/>
                <w:lang w:eastAsia="zh-CN"/>
              </w:rPr>
              <w:t>；</w:t>
            </w:r>
          </w:p>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eastAsia="宋体" w:cs="宋体"/>
                <w:color w:val="auto"/>
                <w:szCs w:val="21"/>
                <w:highlight w:val="none"/>
              </w:rPr>
            </w:pPr>
            <w:r>
              <w:rPr>
                <w:rFonts w:hint="eastAsia" w:ascii="宋体" w:hAnsi="宋体" w:eastAsia="宋体" w:cs="宋体"/>
                <w:color w:val="auto"/>
                <w:szCs w:val="21"/>
                <w:highlight w:val="none"/>
              </w:rPr>
              <w:t>3）履约保证金的退取：履约保证金在</w:t>
            </w:r>
            <w:r>
              <w:rPr>
                <w:rFonts w:hint="eastAsia" w:ascii="宋体" w:hAnsi="宋体" w:eastAsia="宋体" w:cs="宋体"/>
                <w:color w:val="auto"/>
                <w:szCs w:val="21"/>
                <w:highlight w:val="none"/>
                <w:lang w:val="en-US" w:eastAsia="zh-CN"/>
              </w:rPr>
              <w:t>设备</w:t>
            </w:r>
            <w:r>
              <w:rPr>
                <w:rFonts w:hint="eastAsia" w:ascii="宋体" w:hAnsi="宋体" w:eastAsia="宋体" w:cs="宋体"/>
                <w:color w:val="auto"/>
                <w:szCs w:val="21"/>
                <w:highlight w:val="none"/>
              </w:rPr>
              <w:t>安装验收合格后无息退还（但如中标人未能履行合同规定的任何义务，采购人有权扣除相应履约保证金）。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0" w:type="dxa"/>
            <w:vAlign w:val="center"/>
          </w:tcPr>
          <w:p>
            <w:pPr>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5、售后服务要求</w:t>
            </w:r>
          </w:p>
        </w:tc>
        <w:tc>
          <w:tcPr>
            <w:tcW w:w="6469" w:type="dxa"/>
            <w:vAlign w:val="center"/>
          </w:tcPr>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1）质保期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维护期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要求为</w:t>
            </w:r>
            <w:r>
              <w:rPr>
                <w:rFonts w:hint="eastAsia" w:ascii="宋体" w:hAnsi="宋体" w:eastAsia="宋体" w:cs="宋体"/>
                <w:color w:val="auto"/>
                <w:szCs w:val="21"/>
                <w:highlight w:val="none"/>
                <w:lang w:val="en-US" w:eastAsia="zh-CN"/>
              </w:rPr>
              <w:t>正式</w:t>
            </w:r>
            <w:r>
              <w:rPr>
                <w:rFonts w:hint="eastAsia" w:ascii="宋体" w:hAnsi="宋体" w:eastAsia="宋体" w:cs="宋体"/>
                <w:color w:val="auto"/>
                <w:szCs w:val="21"/>
                <w:highlight w:val="none"/>
              </w:rPr>
              <w:t>验收合格后</w:t>
            </w:r>
            <w:r>
              <w:rPr>
                <w:rFonts w:hint="eastAsia" w:ascii="宋体" w:hAnsi="宋体" w:eastAsia="宋体" w:cs="宋体"/>
                <w:color w:val="auto"/>
                <w:szCs w:val="21"/>
                <w:highlight w:val="none"/>
                <w:lang w:eastAsia="zh-CN"/>
              </w:rPr>
              <w:t>不少于</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w:t>
            </w:r>
          </w:p>
          <w:p>
            <w:pPr>
              <w:snapToGrid w:val="0"/>
              <w:spacing w:line="4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2）质保期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维护期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内，免费提供7</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24技术服务，有任何问题和故障，即时响应，2小时内到达现场，提供不间断的服务直到系统恢复正常。</w:t>
            </w:r>
          </w:p>
          <w:p>
            <w:pPr>
              <w:snapToGrid w:val="0"/>
              <w:spacing w:line="400" w:lineRule="exact"/>
              <w:rPr>
                <w:rFonts w:eastAsia="宋体" w:cs="Times New Roman"/>
                <w:color w:val="auto"/>
                <w:highlight w:val="none"/>
              </w:rPr>
            </w:pPr>
            <w:r>
              <w:rPr>
                <w:rFonts w:hint="eastAsia" w:ascii="宋体" w:hAnsi="宋体" w:eastAsia="宋体" w:cs="宋体"/>
                <w:color w:val="auto"/>
                <w:szCs w:val="21"/>
                <w:highlight w:val="none"/>
              </w:rPr>
              <w:t>3）质保期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维护期</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内，免费服务内容包括</w:t>
            </w:r>
            <w:r>
              <w:rPr>
                <w:rFonts w:hint="eastAsia" w:ascii="宋体" w:hAnsi="宋体" w:eastAsia="宋体" w:cs="宋体"/>
                <w:color w:val="auto"/>
                <w:szCs w:val="21"/>
                <w:highlight w:val="none"/>
                <w:lang w:eastAsia="zh-CN"/>
              </w:rPr>
              <w:t>但不限于</w:t>
            </w:r>
            <w:r>
              <w:rPr>
                <w:rFonts w:hint="eastAsia" w:ascii="宋体" w:hAnsi="宋体" w:eastAsia="宋体" w:cs="宋体"/>
                <w:color w:val="auto"/>
                <w:szCs w:val="21"/>
                <w:highlight w:val="none"/>
              </w:rPr>
              <w:t>技术咨询、故障排除、定期巡检、性能优化、软件升级、功能完善等。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vAlign w:val="center"/>
          </w:tcPr>
          <w:p>
            <w:pPr>
              <w:snapToGrid w:val="0"/>
              <w:spacing w:line="400" w:lineRule="exact"/>
              <w:rPr>
                <w:rFonts w:hint="eastAsia" w:ascii="宋体" w:hAnsi="宋体" w:eastAsia="宋体" w:cs="Times New Roman"/>
                <w:color w:val="auto"/>
                <w:szCs w:val="21"/>
                <w:highlight w:val="none"/>
              </w:rPr>
            </w:pP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、培训要求</w:t>
            </w:r>
          </w:p>
        </w:tc>
        <w:tc>
          <w:tcPr>
            <w:tcW w:w="6469" w:type="dxa"/>
            <w:vAlign w:val="center"/>
          </w:tcPr>
          <w:p>
            <w:pPr>
              <w:snapToGrid w:val="0"/>
              <w:spacing w:line="400" w:lineRule="exact"/>
              <w:rPr>
                <w:rFonts w:hint="eastAsia" w:hAnsi="宋体" w:eastAsia="宋体" w:cs="Times New Roman"/>
                <w:color w:val="auto"/>
                <w:szCs w:val="21"/>
                <w:highlight w:val="none"/>
              </w:rPr>
            </w:pPr>
            <w:r>
              <w:rPr>
                <w:rFonts w:hint="eastAsia" w:eastAsia="宋体" w:cs="Times New Roman"/>
                <w:color w:val="auto"/>
                <w:highlight w:val="none"/>
                <w:lang w:eastAsia="zh-CN"/>
              </w:rPr>
              <w:t>中标人</w:t>
            </w:r>
            <w:r>
              <w:rPr>
                <w:rFonts w:hint="eastAsia" w:eastAsia="宋体" w:cs="Times New Roman"/>
                <w:color w:val="auto"/>
                <w:highlight w:val="none"/>
              </w:rPr>
              <w:t>需为</w:t>
            </w:r>
            <w:r>
              <w:rPr>
                <w:rFonts w:hint="eastAsia" w:eastAsia="宋体" w:cs="Times New Roman"/>
                <w:color w:val="auto"/>
                <w:highlight w:val="none"/>
                <w:lang w:eastAsia="zh-CN"/>
              </w:rPr>
              <w:t>采购人</w:t>
            </w:r>
            <w:r>
              <w:rPr>
                <w:rFonts w:hint="eastAsia" w:eastAsia="宋体" w:cs="Times New Roman"/>
                <w:color w:val="auto"/>
                <w:highlight w:val="none"/>
              </w:rPr>
              <w:t>提供专业技术培训，并提供技术指导和咨询，通过多种方式解决需求，提供支持，确保</w:t>
            </w:r>
            <w:r>
              <w:rPr>
                <w:rFonts w:hint="eastAsia" w:eastAsia="宋体" w:cs="Times New Roman"/>
                <w:color w:val="auto"/>
                <w:highlight w:val="none"/>
                <w:lang w:eastAsia="zh-CN"/>
              </w:rPr>
              <w:t>采购人</w:t>
            </w:r>
            <w:r>
              <w:rPr>
                <w:rFonts w:hint="eastAsia" w:eastAsia="宋体" w:cs="Times New Roman"/>
                <w:color w:val="auto"/>
                <w:highlight w:val="none"/>
              </w:rPr>
              <w:t>相关工作人员可以正确使用。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750" w:type="dxa"/>
            <w:vAlign w:val="center"/>
          </w:tcPr>
          <w:p>
            <w:pPr>
              <w:keepNext w:val="0"/>
              <w:keepLines w:val="0"/>
              <w:pageBreakBefore w:val="0"/>
              <w:widowControl w:val="0"/>
              <w:tabs>
                <w:tab w:val="left" w:pos="3234"/>
              </w:tabs>
              <w:kinsoku/>
              <w:wordWrap/>
              <w:overflowPunct/>
              <w:topLinePunct w:val="0"/>
              <w:autoSpaceDE/>
              <w:autoSpaceDN/>
              <w:bidi w:val="0"/>
              <w:adjustRightInd/>
              <w:snapToGrid/>
              <w:spacing w:line="336" w:lineRule="auto"/>
              <w:jc w:val="left"/>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、合同终止</w:t>
            </w:r>
          </w:p>
        </w:tc>
        <w:tc>
          <w:tcPr>
            <w:tcW w:w="6469" w:type="dxa"/>
            <w:vAlign w:val="center"/>
          </w:tcPr>
          <w:p>
            <w:pPr>
              <w:keepNext w:val="0"/>
              <w:keepLines w:val="0"/>
              <w:pageBreakBefore w:val="0"/>
              <w:widowControl w:val="0"/>
              <w:kinsoku/>
              <w:wordWrap/>
              <w:overflowPunct/>
              <w:topLinePunct w:val="0"/>
              <w:autoSpaceDE/>
              <w:autoSpaceDN/>
              <w:bidi w:val="0"/>
              <w:adjustRightInd/>
              <w:snapToGrid/>
              <w:spacing w:line="336" w:lineRule="auto"/>
              <w:textAlignment w:val="baseline"/>
              <w:rPr>
                <w:rFonts w:hint="eastAsia" w:ascii="宋体" w:hAnsi="宋体" w:eastAsia="宋体" w:cs="Times New Roman"/>
                <w:color w:val="auto"/>
                <w:szCs w:val="21"/>
                <w:highlight w:val="none"/>
                <w:lang w:val="en-US" w:eastAsia="zh-CN"/>
              </w:rPr>
            </w:pPr>
            <w:r>
              <w:rPr>
                <w:rFonts w:hint="eastAsia" w:ascii="宋体" w:hAnsi="宋体" w:eastAsia="宋体" w:cs="宋体"/>
                <w:color w:val="auto"/>
                <w:sz w:val="21"/>
                <w:szCs w:val="21"/>
                <w:highlight w:val="none"/>
              </w:rPr>
              <w:t>中标人在合同有效期内，不得以任何理由终止合同，确有特殊情况的，须提前两个月向采购人提出书面申请，经采购人同意后，方可终止合同，同时酌情扣除履约保证金。因中标人不能保证工作质量，或发生重大差错事故的，采购人可有权终止协议，中标人承担全部责任。</w:t>
            </w:r>
          </w:p>
        </w:tc>
      </w:tr>
    </w:tbl>
    <w:p>
      <w:pPr>
        <w:spacing w:line="440" w:lineRule="exact"/>
        <w:rPr>
          <w:rFonts w:hint="eastAsia" w:ascii="宋体" w:hAnsi="宋体" w:cs="宋体"/>
          <w:b/>
          <w:color w:val="auto"/>
          <w:szCs w:val="21"/>
          <w:highlight w:val="none"/>
        </w:rPr>
      </w:pPr>
    </w:p>
    <w:p>
      <w:pPr>
        <w:spacing w:line="440" w:lineRule="exact"/>
        <w:rPr>
          <w:rFonts w:hint="eastAsia" w:ascii="宋体" w:hAnsi="宋体" w:cs="宋体"/>
          <w:b/>
          <w:color w:val="auto"/>
          <w:szCs w:val="21"/>
          <w:highlight w:val="none"/>
        </w:rPr>
      </w:pPr>
    </w:p>
    <w:p>
      <w:pPr>
        <w:spacing w:line="440" w:lineRule="exact"/>
        <w:rPr>
          <w:rFonts w:hint="eastAsia" w:ascii="宋体" w:eastAsia="宋体"/>
          <w:b/>
          <w:color w:val="auto"/>
          <w:highlight w:val="none"/>
          <w:lang w:eastAsia="zh-CN"/>
        </w:rPr>
      </w:pPr>
      <w:r>
        <w:rPr>
          <w:rFonts w:hint="eastAsia" w:ascii="宋体" w:hAnsi="宋体" w:cs="宋体"/>
          <w:b/>
          <w:color w:val="auto"/>
          <w:szCs w:val="21"/>
          <w:highlight w:val="none"/>
        </w:rPr>
        <w:t>★</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重要商务要求一览表</w:t>
      </w:r>
      <w:r>
        <w:rPr>
          <w:rFonts w:hint="eastAsia" w:ascii="宋体" w:hAnsi="宋体" w:cs="宋体"/>
          <w:b/>
          <w:color w:val="auto"/>
          <w:szCs w:val="21"/>
          <w:highlight w:val="none"/>
          <w:lang w:eastAsia="zh-CN"/>
        </w:rPr>
        <w:t>（</w:t>
      </w:r>
      <w:r>
        <w:rPr>
          <w:rFonts w:hint="eastAsia" w:ascii="宋体" w:hAnsi="宋体" w:cs="宋体"/>
          <w:b/>
          <w:color w:val="auto"/>
          <w:szCs w:val="21"/>
          <w:highlight w:val="none"/>
          <w:lang w:val="en-US" w:eastAsia="zh-CN"/>
        </w:rPr>
        <w:t>适用于标项三</w:t>
      </w:r>
      <w:r>
        <w:rPr>
          <w:rFonts w:hint="eastAsia" w:ascii="宋体" w:hAnsi="宋体" w:cs="宋体"/>
          <w:b/>
          <w:color w:val="auto"/>
          <w:szCs w:val="21"/>
          <w:highlight w:val="none"/>
          <w:lang w:eastAsia="zh-CN"/>
        </w:rPr>
        <w:t>）</w:t>
      </w:r>
    </w:p>
    <w:tbl>
      <w:tblPr>
        <w:tblStyle w:val="28"/>
        <w:tblW w:w="8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64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6" w:hRule="atLeast"/>
          <w:jc w:val="center"/>
        </w:trPr>
        <w:tc>
          <w:tcPr>
            <w:tcW w:w="1750"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项目</w:t>
            </w:r>
          </w:p>
        </w:tc>
        <w:tc>
          <w:tcPr>
            <w:tcW w:w="6469" w:type="dxa"/>
            <w:vAlign w:val="center"/>
          </w:tcPr>
          <w:p>
            <w:pPr>
              <w:jc w:val="center"/>
              <w:rPr>
                <w:rFonts w:ascii="宋体" w:hAnsi="宋体" w:cs="宋体"/>
                <w:b/>
                <w:bCs/>
                <w:color w:val="auto"/>
                <w:szCs w:val="21"/>
                <w:highlight w:val="none"/>
              </w:rPr>
            </w:pPr>
            <w:r>
              <w:rPr>
                <w:rFonts w:hint="eastAsia" w:ascii="宋体" w:hAnsi="宋体" w:cs="宋体"/>
                <w:b/>
                <w:bCs/>
                <w:color w:val="auto"/>
                <w:szCs w:val="21"/>
                <w:highlight w:val="none"/>
              </w:rPr>
              <w:t xml:space="preserve">要 求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50" w:type="dxa"/>
            <w:vAlign w:val="center"/>
          </w:tcPr>
          <w:p>
            <w:pPr>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服务期限</w:t>
            </w:r>
          </w:p>
        </w:tc>
        <w:tc>
          <w:tcPr>
            <w:tcW w:w="6469" w:type="dxa"/>
            <w:vAlign w:val="center"/>
          </w:tcPr>
          <w:p>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为宁波一院（方桥院区）数字化项目提供全过程监理至所有项目全部通过正式验收合格，并正式交付使用。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2、实施地点</w:t>
            </w:r>
          </w:p>
        </w:tc>
        <w:tc>
          <w:tcPr>
            <w:tcW w:w="6469"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4"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3、付款方式</w:t>
            </w:r>
          </w:p>
        </w:tc>
        <w:tc>
          <w:tcPr>
            <w:tcW w:w="6469" w:type="dxa"/>
            <w:vAlign w:val="center"/>
          </w:tcPr>
          <w:p>
            <w:pPr>
              <w:numPr>
                <w:ilvl w:val="0"/>
                <w:numId w:val="0"/>
              </w:num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合同签订后，</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个工作日内，支付合同金额的</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0%。</w:t>
            </w:r>
          </w:p>
          <w:p>
            <w:pPr>
              <w:numPr>
                <w:ilvl w:val="0"/>
                <w:numId w:val="0"/>
              </w:numPr>
              <w:spacing w:line="400" w:lineRule="exact"/>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2）宁波一院（方桥院区）数字化项目全部</w:t>
            </w:r>
            <w:r>
              <w:rPr>
                <w:rFonts w:hint="eastAsia" w:ascii="宋体" w:hAnsi="宋体" w:eastAsia="宋体" w:cs="宋体"/>
                <w:color w:val="auto"/>
                <w:szCs w:val="21"/>
                <w:highlight w:val="none"/>
              </w:rPr>
              <w:t>通过正式验收合格，</w:t>
            </w:r>
            <w:r>
              <w:rPr>
                <w:rFonts w:hint="eastAsia" w:ascii="宋体" w:hAnsi="宋体" w:cs="宋体"/>
                <w:color w:val="auto"/>
                <w:szCs w:val="21"/>
                <w:highlight w:val="none"/>
                <w:lang w:val="en-US" w:eastAsia="zh-CN"/>
              </w:rPr>
              <w:t>并</w:t>
            </w:r>
            <w:r>
              <w:rPr>
                <w:rFonts w:hint="eastAsia" w:ascii="宋体" w:hAnsi="宋体" w:eastAsia="宋体" w:cs="宋体"/>
                <w:color w:val="auto"/>
                <w:szCs w:val="21"/>
                <w:highlight w:val="none"/>
              </w:rPr>
              <w:t>正式交付使用后，支付合同金额的</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pPr>
              <w:numPr>
                <w:ilvl w:val="0"/>
                <w:numId w:val="0"/>
              </w:numPr>
              <w:spacing w:line="400" w:lineRule="exact"/>
              <w:rPr>
                <w:rFonts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eastAsia="宋体" w:cs="宋体"/>
                <w:color w:val="auto"/>
                <w:szCs w:val="21"/>
                <w:highlight w:val="none"/>
                <w:lang w:val="en-US" w:eastAsia="zh-CN"/>
              </w:rPr>
              <w:t>）</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向</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支付货款前，</w:t>
            </w:r>
            <w:r>
              <w:rPr>
                <w:rFonts w:hint="eastAsia" w:ascii="宋体" w:hAnsi="宋体" w:cs="宋体"/>
                <w:color w:val="auto"/>
                <w:szCs w:val="21"/>
                <w:highlight w:val="none"/>
                <w:lang w:val="en-US" w:eastAsia="zh-CN"/>
              </w:rPr>
              <w:t>中标人</w:t>
            </w:r>
            <w:r>
              <w:rPr>
                <w:rFonts w:hint="eastAsia" w:ascii="宋体" w:hAnsi="宋体" w:eastAsia="宋体" w:cs="宋体"/>
                <w:color w:val="auto"/>
                <w:szCs w:val="21"/>
                <w:highlight w:val="none"/>
              </w:rPr>
              <w:t>应向</w:t>
            </w:r>
            <w:r>
              <w:rPr>
                <w:rFonts w:hint="eastAsia" w:ascii="宋体" w:hAnsi="宋体" w:cs="宋体"/>
                <w:color w:val="auto"/>
                <w:szCs w:val="21"/>
                <w:highlight w:val="none"/>
                <w:lang w:val="en-US" w:eastAsia="zh-CN"/>
              </w:rPr>
              <w:t>采购人</w:t>
            </w:r>
            <w:r>
              <w:rPr>
                <w:rFonts w:hint="eastAsia" w:ascii="宋体" w:hAnsi="宋体" w:eastAsia="宋体" w:cs="宋体"/>
                <w:color w:val="auto"/>
                <w:szCs w:val="21"/>
                <w:highlight w:val="none"/>
              </w:rPr>
              <w:t>开具同等金额的增值税普通发票。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8" w:hRule="atLeast"/>
          <w:jc w:val="center"/>
        </w:trPr>
        <w:tc>
          <w:tcPr>
            <w:tcW w:w="1750" w:type="dxa"/>
            <w:vAlign w:val="center"/>
          </w:tcPr>
          <w:p>
            <w:pPr>
              <w:rPr>
                <w:rFonts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olor w:val="auto"/>
                <w:szCs w:val="21"/>
                <w:highlight w:val="none"/>
              </w:rPr>
              <w:t>履约保证金</w:t>
            </w:r>
          </w:p>
        </w:tc>
        <w:tc>
          <w:tcPr>
            <w:tcW w:w="6469" w:type="dxa"/>
            <w:vAlign w:val="center"/>
          </w:tcPr>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履约保证金的收取及退还：</w:t>
            </w:r>
          </w:p>
          <w:p>
            <w:pPr>
              <w:snapToGrid w:val="0"/>
              <w:spacing w:line="400" w:lineRule="exac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1）履约保证金金额：合同金额的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在双方签订合同之日起七日内</w:t>
            </w:r>
            <w:r>
              <w:rPr>
                <w:rFonts w:hint="eastAsia" w:ascii="宋体" w:hAnsi="宋体" w:cs="宋体"/>
                <w:color w:val="auto"/>
                <w:szCs w:val="21"/>
                <w:highlight w:val="none"/>
                <w:lang w:val="en-US" w:eastAsia="zh-CN"/>
              </w:rPr>
              <w:t>支付</w:t>
            </w:r>
            <w:r>
              <w:rPr>
                <w:rFonts w:hint="eastAsia" w:ascii="宋体" w:hAnsi="宋体" w:cs="宋体"/>
                <w:color w:val="auto"/>
                <w:szCs w:val="21"/>
                <w:highlight w:val="none"/>
                <w:lang w:eastAsia="zh-CN"/>
              </w:rPr>
              <w:t>；</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2）履约保证金形式：银行汇票（电汇）、支票（仅限于使用宁波大市区范围内的银行开具的支票）、保险保单或银行保函；</w:t>
            </w:r>
          </w:p>
          <w:p>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3）履约保证金的退取：履约保证金在</w:t>
            </w:r>
            <w:r>
              <w:rPr>
                <w:rFonts w:hint="eastAsia" w:ascii="宋体" w:hAnsi="宋体" w:cs="宋体"/>
                <w:color w:val="auto"/>
                <w:szCs w:val="21"/>
                <w:highlight w:val="none"/>
                <w:lang w:val="en-US" w:eastAsia="zh-CN"/>
              </w:rPr>
              <w:t>设备</w:t>
            </w:r>
            <w:r>
              <w:rPr>
                <w:rFonts w:hint="eastAsia" w:ascii="宋体" w:hAnsi="宋体" w:cs="宋体"/>
                <w:color w:val="auto"/>
                <w:szCs w:val="21"/>
                <w:highlight w:val="none"/>
              </w:rPr>
              <w:t>安装验收合格后无息退还（但如中标人未能履行合同规定的任何义务，采购人有权扣除相应履约保证金）。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1750" w:type="dxa"/>
            <w:vAlign w:val="center"/>
          </w:tcPr>
          <w:p>
            <w:pPr>
              <w:widowControl w:val="0"/>
              <w:tabs>
                <w:tab w:val="left" w:pos="3234"/>
              </w:tabs>
              <w:adjustRightInd/>
              <w:spacing w:line="360" w:lineRule="auto"/>
              <w:ind w:left="0" w:leftChars="0" w:firstLine="0" w:firstLineChars="0"/>
              <w:jc w:val="left"/>
              <w:textAlignment w:val="auto"/>
              <w:rPr>
                <w:rFonts w:ascii="宋体" w:hAnsi="宋体" w:cs="宋体"/>
                <w:color w:val="auto"/>
                <w:szCs w:val="21"/>
                <w:highlight w:val="none"/>
              </w:rPr>
            </w:pPr>
            <w:r>
              <w:rPr>
                <w:rFonts w:hint="eastAsia" w:ascii="宋体" w:hAnsi="宋体" w:eastAsia="宋体" w:cs="宋体"/>
                <w:color w:val="auto"/>
                <w:kern w:val="2"/>
                <w:szCs w:val="21"/>
                <w:highlight w:val="none"/>
                <w:lang w:val="en-US" w:eastAsia="zh-CN"/>
              </w:rPr>
              <w:t>5</w:t>
            </w:r>
            <w:r>
              <w:rPr>
                <w:rFonts w:hint="eastAsia" w:ascii="宋体" w:hAnsi="宋体" w:eastAsia="宋体" w:cs="宋体"/>
                <w:color w:val="auto"/>
                <w:kern w:val="2"/>
                <w:szCs w:val="21"/>
                <w:highlight w:val="none"/>
              </w:rPr>
              <w:t>、合同终止</w:t>
            </w:r>
          </w:p>
        </w:tc>
        <w:tc>
          <w:tcPr>
            <w:tcW w:w="6469" w:type="dxa"/>
            <w:vAlign w:val="center"/>
          </w:tcPr>
          <w:p>
            <w:pPr>
              <w:widowControl w:val="0"/>
              <w:adjustRightInd/>
              <w:spacing w:line="360" w:lineRule="auto"/>
              <w:ind w:left="0" w:leftChars="0" w:firstLine="0" w:firstLineChars="0"/>
              <w:jc w:val="left"/>
              <w:textAlignment w:val="auto"/>
              <w:rPr>
                <w:color w:val="auto"/>
                <w:highlight w:val="none"/>
              </w:rPr>
            </w:pPr>
            <w:r>
              <w:rPr>
                <w:rFonts w:hint="eastAsia" w:ascii="宋体" w:hAnsi="宋体" w:eastAsia="宋体" w:cs="宋体"/>
                <w:color w:val="auto"/>
                <w:kern w:val="2"/>
                <w:szCs w:val="21"/>
                <w:highlight w:val="none"/>
                <w:lang w:eastAsia="zh-CN"/>
              </w:rPr>
              <w:t>中标人</w:t>
            </w:r>
            <w:r>
              <w:rPr>
                <w:rFonts w:hint="eastAsia" w:ascii="宋体" w:hAnsi="宋体" w:eastAsia="宋体" w:cs="宋体"/>
                <w:color w:val="auto"/>
                <w:kern w:val="2"/>
                <w:szCs w:val="21"/>
                <w:highlight w:val="none"/>
              </w:rPr>
              <w:t>在合同有效期内，不得以任何理由终止合同，确有不可抗力情形的，须提前一个月向采购人提出书面申请，经采购人同意后，方可终止合同，同时酌情扣除履约保证金。</w:t>
            </w:r>
          </w:p>
        </w:tc>
      </w:tr>
    </w:tbl>
    <w:p>
      <w:pPr>
        <w:rPr>
          <w:rFonts w:ascii="宋体" w:hAnsi="宋体"/>
          <w:b/>
          <w:bCs/>
          <w:color w:val="auto"/>
          <w:kern w:val="0"/>
          <w:szCs w:val="21"/>
          <w:highlight w:val="none"/>
        </w:rPr>
      </w:pPr>
    </w:p>
    <w:p>
      <w:pPr>
        <w:adjustRightInd w:val="0"/>
        <w:snapToGrid w:val="0"/>
        <w:spacing w:line="360" w:lineRule="auto"/>
        <w:rPr>
          <w:rFonts w:ascii="宋体" w:hAnsi="宋体" w:cs="宋体"/>
          <w:color w:val="auto"/>
          <w:szCs w:val="21"/>
          <w:highlight w:val="none"/>
        </w:rPr>
      </w:pPr>
      <w:r>
        <w:rPr>
          <w:rFonts w:hint="eastAsia" w:ascii="宋体" w:hAnsi="宋体"/>
          <w:b/>
          <w:bCs/>
          <w:color w:val="auto"/>
          <w:kern w:val="0"/>
          <w:szCs w:val="21"/>
          <w:highlight w:val="none"/>
        </w:rPr>
        <w:t>二、</w:t>
      </w:r>
      <w:r>
        <w:rPr>
          <w:rFonts w:hint="eastAsia" w:ascii="宋体" w:hAnsi="宋体" w:cs="宋体"/>
          <w:b/>
          <w:bCs/>
          <w:color w:val="auto"/>
          <w:szCs w:val="21"/>
          <w:highlight w:val="none"/>
        </w:rPr>
        <w:t>招标要求</w:t>
      </w:r>
    </w:p>
    <w:p>
      <w:pPr>
        <w:spacing w:line="360" w:lineRule="auto"/>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标项一：</w:t>
      </w:r>
      <w:bookmarkStart w:id="35" w:name="_Toc13016"/>
    </w:p>
    <w:p>
      <w:pPr>
        <w:spacing w:line="360" w:lineRule="auto"/>
        <w:rPr>
          <w:rFonts w:hint="eastAsia" w:ascii="宋体" w:hAnsi="宋体" w:eastAsia="宋体" w:cs="宋体"/>
          <w:b/>
          <w:color w:val="auto"/>
          <w:kern w:val="2"/>
          <w:sz w:val="21"/>
          <w:szCs w:val="21"/>
          <w:highlight w:val="none"/>
          <w:lang w:val="en-US" w:eastAsia="zh-CN" w:bidi="ar-SA"/>
        </w:rPr>
      </w:pPr>
      <w:r>
        <w:rPr>
          <w:rFonts w:hint="eastAsia" w:ascii="宋体" w:hAnsi="宋体" w:cs="宋体"/>
          <w:b/>
          <w:bCs/>
          <w:color w:val="auto"/>
          <w:szCs w:val="21"/>
          <w:highlight w:val="none"/>
          <w:lang w:val="en-US" w:eastAsia="zh-CN"/>
        </w:rPr>
        <w:t>1、</w:t>
      </w:r>
      <w:r>
        <w:rPr>
          <w:rFonts w:hint="eastAsia" w:ascii="宋体" w:hAnsi="宋体" w:eastAsia="宋体" w:cs="宋体"/>
          <w:b/>
          <w:color w:val="auto"/>
          <w:kern w:val="2"/>
          <w:sz w:val="21"/>
          <w:szCs w:val="21"/>
          <w:highlight w:val="none"/>
          <w:lang w:val="en-US" w:eastAsia="zh-CN" w:bidi="ar-SA"/>
        </w:rPr>
        <w:t>建设目标</w:t>
      </w:r>
      <w:bookmarkEnd w:id="35"/>
    </w:p>
    <w:p>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本次项目建设的信息系统涉及两个院区交互，为一体化设计，最终交付的产品要求能在两个院区实施上线，且满足医院集中一体化管理的模式。</w:t>
      </w:r>
    </w:p>
    <w:p>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为确保系统上线后，两个院区和今后可能拓展托管的其他院区基础数据的一致性，数据的标准化管理主要包括如下几个方面：基础数据字典，基础码表，诊疗项目，药品，材料、机构、人员等基本信息的统一性；全院系统用户信息的统一性，系统用户统一管理，单点登录，统一授权和认证等统一性；全院患者信息的统一性，包括患者信息的唯一标识等统一性；全院支付的统一性，在“一院两区”层面实现集中支付。另一方面，由于全院的业务包括门急诊业务，收费管理，住院管理，药库药房管理，预约业务等都可以在各院区使用。因此本项目将系统的开发分为三个部分，分别完成平台层面和院区业务层面的开发，三个部分划分如下：</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集成平台多院区改造：</w:t>
      </w:r>
      <w:r>
        <w:rPr>
          <w:rFonts w:hint="eastAsia" w:ascii="宋体" w:hAnsi="宋体" w:eastAsia="宋体" w:cs="宋体"/>
          <w:color w:val="auto"/>
          <w:kern w:val="0"/>
          <w:sz w:val="21"/>
          <w:szCs w:val="21"/>
          <w:highlight w:val="none"/>
          <w:lang w:val="en-US" w:eastAsia="zh-CN" w:bidi="ar-SA"/>
        </w:rPr>
        <w:t>原有的信息集成平台ESB服务为单节点部署，只支持宁波市第一医院月湖院区现有的业务系统交互，为满足后续多院区发展需求，本次项目需要对信息集成平台做适配性改造，扩展多节点部署，统一多院区数据对接标准化，配置环境变量完成多院区部署。</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CIS系统新院区部署及新业务功能开发：现有的CIS系统为单院区的运行模式，为了更好的提高医疗效率，改善用户体验，本次项目需要对现有CIS临床信息系统进行多院区适配性改造。</w:t>
      </w:r>
    </w:p>
    <w:p>
      <w:pPr>
        <w:adjustRightInd w:val="0"/>
        <w:snapToGrid w:val="0"/>
        <w:spacing w:line="360" w:lineRule="auto"/>
        <w:ind w:firstLine="420" w:firstLineChars="200"/>
        <w:jc w:val="both"/>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HIS系统多院区融合改造：</w:t>
      </w:r>
      <w:r>
        <w:rPr>
          <w:rFonts w:hint="eastAsia" w:ascii="宋体" w:hAnsi="宋体" w:eastAsia="宋体" w:cs="宋体"/>
          <w:color w:val="auto"/>
          <w:kern w:val="2"/>
          <w:sz w:val="21"/>
          <w:szCs w:val="21"/>
          <w:highlight w:val="none"/>
          <w:lang w:val="en-US" w:eastAsia="zh-CN" w:bidi="ar-SA"/>
        </w:rPr>
        <w:t>为满足后续多院区医院发展需求，及一体化大方向，本次项目需要对HIS系统进行迭代升级，新的HIS系统将基于中台+微服务架构，采用.NET开发语言，同时要求升级迭代后的系统满足“一院多区”的运行模式。</w:t>
      </w:r>
      <w:bookmarkStart w:id="36" w:name="_Toc57300534"/>
      <w:bookmarkEnd w:id="36"/>
      <w:bookmarkStart w:id="37" w:name="_Toc49350068"/>
      <w:bookmarkEnd w:id="37"/>
      <w:bookmarkStart w:id="38" w:name="_Toc49350291"/>
      <w:bookmarkEnd w:id="38"/>
      <w:bookmarkStart w:id="39" w:name="_Toc57300246"/>
      <w:bookmarkEnd w:id="39"/>
      <w:bookmarkStart w:id="40" w:name="_Toc56496189"/>
      <w:bookmarkEnd w:id="40"/>
      <w:bookmarkStart w:id="41" w:name="_Toc56496014"/>
      <w:bookmarkEnd w:id="41"/>
      <w:bookmarkStart w:id="42" w:name="_Toc60143153"/>
      <w:bookmarkEnd w:id="42"/>
      <w:bookmarkStart w:id="43" w:name="_Toc60143113"/>
      <w:bookmarkEnd w:id="43"/>
      <w:bookmarkStart w:id="44" w:name="_Toc28873"/>
    </w:p>
    <w:p>
      <w:pPr>
        <w:adjustRightInd w:val="0"/>
        <w:snapToGrid w:val="0"/>
        <w:spacing w:line="360" w:lineRule="auto"/>
        <w:jc w:val="both"/>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2、</w:t>
      </w:r>
      <w:r>
        <w:rPr>
          <w:rFonts w:hint="eastAsia" w:ascii="宋体" w:hAnsi="宋体" w:eastAsia="宋体" w:cs="宋体"/>
          <w:b/>
          <w:color w:val="auto"/>
          <w:kern w:val="2"/>
          <w:sz w:val="21"/>
          <w:szCs w:val="21"/>
          <w:highlight w:val="none"/>
          <w:lang w:val="en-US" w:eastAsia="zh-CN" w:bidi="ar-SA"/>
        </w:rPr>
        <w:t>采购需求</w:t>
      </w:r>
      <w:bookmarkEnd w:id="44"/>
    </w:p>
    <w:p>
      <w:pPr>
        <w:pStyle w:val="141"/>
        <w:numPr>
          <w:ilvl w:val="1"/>
          <w:numId w:val="0"/>
        </w:numPr>
        <w:bidi w:val="0"/>
        <w:ind w:leftChars="0"/>
        <w:rPr>
          <w:rFonts w:hint="eastAsia" w:ascii="宋体" w:hAnsi="宋体" w:eastAsia="宋体" w:cs="宋体"/>
          <w:b/>
          <w:color w:val="auto"/>
          <w:kern w:val="2"/>
          <w:sz w:val="21"/>
          <w:szCs w:val="21"/>
          <w:highlight w:val="none"/>
          <w:lang w:val="en-US" w:eastAsia="zh-CN" w:bidi="ar-SA"/>
        </w:rPr>
      </w:pPr>
      <w:bookmarkStart w:id="45" w:name="_Toc4435"/>
      <w:r>
        <w:rPr>
          <w:rFonts w:hint="eastAsia" w:ascii="宋体" w:hAnsi="宋体" w:eastAsia="宋体" w:cs="宋体"/>
          <w:b/>
          <w:color w:val="auto"/>
          <w:kern w:val="2"/>
          <w:sz w:val="21"/>
          <w:szCs w:val="21"/>
          <w:highlight w:val="none"/>
          <w:lang w:val="en-US" w:eastAsia="zh-CN" w:bidi="ar-SA"/>
        </w:rPr>
        <w:t>2.1建设清单</w:t>
      </w:r>
      <w:bookmarkEnd w:id="45"/>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7"/>
        <w:gridCol w:w="2546"/>
        <w:gridCol w:w="3750"/>
        <w:gridCol w:w="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247" w:type="dxa"/>
            <w:vAlign w:val="top"/>
          </w:tcPr>
          <w:p>
            <w:pPr>
              <w:widowControl/>
              <w:spacing w:line="36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序号</w:t>
            </w:r>
          </w:p>
        </w:tc>
        <w:tc>
          <w:tcPr>
            <w:tcW w:w="6296" w:type="dxa"/>
            <w:gridSpan w:val="2"/>
            <w:vAlign w:val="top"/>
          </w:tcPr>
          <w:p>
            <w:pPr>
              <w:widowControl/>
              <w:spacing w:line="36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建设内容</w:t>
            </w:r>
          </w:p>
        </w:tc>
        <w:tc>
          <w:tcPr>
            <w:tcW w:w="951" w:type="dxa"/>
            <w:vAlign w:val="top"/>
          </w:tcPr>
          <w:p>
            <w:pPr>
              <w:widowControl/>
              <w:spacing w:line="360" w:lineRule="auto"/>
              <w:ind w:firstLine="0" w:firstLineChars="0"/>
              <w:jc w:val="center"/>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4" w:type="dxa"/>
            <w:gridSpan w:val="4"/>
          </w:tcPr>
          <w:p>
            <w:pPr>
              <w:widowControl/>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一、集成平台多院区改造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vAlign w:val="center"/>
          </w:tcPr>
          <w:p>
            <w:pPr>
              <w:widowControl/>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多院区平台改造</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企业服务总线多院区改造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消息管理多院区改造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主数据多院区改造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统一用户认证及单点登录多院区改造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患者主索引多院区改造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应用系统接入多院区改造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平台监控多院区改造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平台调度系统多院区改造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日志中心多院区改造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vAlign w:val="center"/>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接口改造开发</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原有接口改造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新接口开发</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字典管理改造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收费标准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用户管理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权限管理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247" w:type="dxa"/>
            <w:vMerge w:val="restart"/>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vAlign w:val="center"/>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数据中心多院区改造</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数据采集处理系统多院区改造及部署</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1247" w:type="dxa"/>
            <w:vMerge w:val="continue"/>
          </w:tcPr>
          <w:p>
            <w:pPr>
              <w:widowControl/>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数据中心API查询服务接口改造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dxa"/>
            <w:vMerge w:val="restart"/>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患者360视图多院区改造</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患者360视图（PC端）多院区改造</w:t>
            </w:r>
          </w:p>
        </w:tc>
        <w:tc>
          <w:tcPr>
            <w:tcW w:w="951" w:type="dxa"/>
            <w:vMerge w:val="restart"/>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7" w:type="dxa"/>
            <w:vMerge w:val="continue"/>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患者360视图（移动端）多院区改造</w:t>
            </w:r>
          </w:p>
        </w:tc>
        <w:tc>
          <w:tcPr>
            <w:tcW w:w="951"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vAlign w:val="center"/>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商业智能BI多院区改造</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医院运营</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门诊分析</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住院分析</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医技分析</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绩效考核</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核心制度</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合理用药</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疾病分析</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质量管理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智慧医疗</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4"/>
          </w:tcPr>
          <w:p>
            <w:pPr>
              <w:widowControl/>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二、CIS系统新院区部署及新业务功能开发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vAlign w:val="center"/>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CIS系统新院区改造部署</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一体化门诊医生工作站</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一体化急诊预检分诊工作站</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一体化急诊留抢医生工作站</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一体化急诊留抢护士工作站</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一体化急诊皮试输液管理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一体化住院医生工作站</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一体化住院护士工作站</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医生临床路径管理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移动护理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CIS系统数据库改造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restart"/>
            <w:vAlign w:val="center"/>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新业务功能开发</w:t>
            </w: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MDT会诊管理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急诊质控管理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手术分级管理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日间手术管理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病历无纸化</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静脉输液专科护理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智慧可视屏</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电子审批工作流</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微服务检查、检验开单</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PDA端应用</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2546" w:type="dxa"/>
            <w:vMerge w:val="continue"/>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c>
          <w:tcPr>
            <w:tcW w:w="3750"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互联网医院与CIS系统对接</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94" w:type="dxa"/>
            <w:gridSpan w:val="4"/>
          </w:tcPr>
          <w:p>
            <w:pPr>
              <w:widowControl/>
              <w:spacing w:line="360" w:lineRule="auto"/>
              <w:ind w:firstLine="0" w:firstLineChars="0"/>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三、HIS系统多院区融合改造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自助结算</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门急诊挂号管理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门急诊收费管理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住院收费管理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门诊西药房管理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门诊中药房管理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住院药房管理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西药库房管理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中药库房管理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医技管理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麻醉管理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手术管理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门办管理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疾病报卡管理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报表管理</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7" w:type="dxa"/>
          </w:tcPr>
          <w:p>
            <w:pPr>
              <w:widowControl/>
              <w:numPr>
                <w:ilvl w:val="0"/>
                <w:numId w:val="3"/>
              </w:numPr>
              <w:spacing w:line="360" w:lineRule="auto"/>
              <w:ind w:firstLine="200" w:firstLineChars="0"/>
              <w:jc w:val="left"/>
              <w:rPr>
                <w:rFonts w:hint="eastAsia" w:ascii="宋体" w:hAnsi="宋体" w:eastAsia="宋体" w:cs="宋体"/>
                <w:color w:val="auto"/>
                <w:kern w:val="2"/>
                <w:sz w:val="21"/>
                <w:szCs w:val="21"/>
                <w:highlight w:val="none"/>
                <w:lang w:val="en-US" w:eastAsia="zh-CN" w:bidi="ar-SA"/>
              </w:rPr>
            </w:pPr>
          </w:p>
        </w:tc>
        <w:tc>
          <w:tcPr>
            <w:tcW w:w="6296" w:type="dxa"/>
            <w:gridSpan w:val="2"/>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HIS系统业务数据库改造</w:t>
            </w:r>
          </w:p>
        </w:tc>
        <w:tc>
          <w:tcPr>
            <w:tcW w:w="951" w:type="dxa"/>
          </w:tcPr>
          <w:p>
            <w:pPr>
              <w:widowControl/>
              <w:spacing w:line="360" w:lineRule="auto"/>
              <w:ind w:firstLine="0" w:firstLineChars="0"/>
              <w:jc w:val="left"/>
              <w:rPr>
                <w:rFonts w:hint="eastAsia" w:ascii="宋体" w:hAnsi="宋体" w:eastAsia="宋体" w:cs="宋体"/>
                <w:color w:val="auto"/>
                <w:kern w:val="2"/>
                <w:sz w:val="21"/>
                <w:szCs w:val="21"/>
                <w:highlight w:val="none"/>
                <w:lang w:val="en-US" w:eastAsia="zh-CN" w:bidi="ar-SA"/>
              </w:rPr>
            </w:pPr>
          </w:p>
        </w:tc>
      </w:tr>
    </w:tbl>
    <w:p>
      <w:pPr>
        <w:pStyle w:val="141"/>
        <w:keepLines w:val="0"/>
        <w:pageBreakBefore w:val="0"/>
        <w:numPr>
          <w:ilvl w:val="1"/>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宋体" w:hAnsi="宋体" w:eastAsia="宋体" w:cs="宋体"/>
          <w:color w:val="auto"/>
          <w:sz w:val="21"/>
          <w:szCs w:val="15"/>
          <w:highlight w:val="none"/>
          <w:lang w:val="en-US" w:eastAsia="zh-CN"/>
        </w:rPr>
      </w:pPr>
      <w:bookmarkStart w:id="46" w:name="_Toc9221"/>
      <w:r>
        <w:rPr>
          <w:rFonts w:hint="eastAsia" w:ascii="宋体" w:hAnsi="宋体" w:eastAsia="宋体" w:cs="宋体"/>
          <w:color w:val="auto"/>
          <w:sz w:val="21"/>
          <w:szCs w:val="15"/>
          <w:highlight w:val="none"/>
          <w:lang w:val="en-US" w:eastAsia="zh-CN"/>
        </w:rPr>
        <w:t>2.2建设内容</w:t>
      </w:r>
      <w:bookmarkEnd w:id="46"/>
    </w:p>
    <w:p>
      <w:pPr>
        <w:pStyle w:val="141"/>
        <w:keepLines w:val="0"/>
        <w:pageBreakBefore w:val="0"/>
        <w:numPr>
          <w:ilvl w:val="1"/>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宋体" w:hAnsi="宋体" w:eastAsia="宋体" w:cs="宋体"/>
          <w:color w:val="auto"/>
          <w:sz w:val="21"/>
          <w:szCs w:val="15"/>
          <w:highlight w:val="none"/>
          <w:lang w:val="en-US" w:eastAsia="zh-CN"/>
        </w:rPr>
      </w:pPr>
      <w:bookmarkStart w:id="47" w:name="_Toc26926"/>
      <w:r>
        <w:rPr>
          <w:rFonts w:hint="eastAsia" w:ascii="宋体" w:hAnsi="宋体" w:eastAsia="宋体" w:cs="宋体"/>
          <w:color w:val="auto"/>
          <w:sz w:val="21"/>
          <w:szCs w:val="15"/>
          <w:highlight w:val="none"/>
          <w:lang w:val="en-US" w:eastAsia="zh-CN"/>
        </w:rPr>
        <w:t>2.2.1集成平台多院区改造</w:t>
      </w:r>
      <w:bookmarkEnd w:id="47"/>
    </w:p>
    <w:p>
      <w:pPr>
        <w:keepLines w:val="0"/>
        <w:pageBreakBefore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信息集成平台主要采用面向服务的架构（SOA），以企业服务总线（ESB）的方式，采用国家的卫生信息交互标准的通讯协议，实现医院应用系统之间的互联互通、信息共享、流程协作。原有信息集成平台已建设包括ESB企业服务总线、消息管理、主数据管理、统一用户认证与单点登录、患者主索引管理、监控、调度、日志中心等功能，但原有的信息集成平台ESB服务为单节点部署，只支持宁波市第一医院月湖院区现有的业务系统交互，为满足后续多院区发展需求，本次项目需要对信息集成平台做适配性改造，扩展多节点部署，统一多院区数据对接标准化，配置环境变量完成多院区部署。</w:t>
      </w:r>
    </w:p>
    <w:p>
      <w:pPr>
        <w:keepLines w:val="0"/>
        <w:pageBreakBefore w:val="0"/>
        <w:kinsoku/>
        <w:wordWrap/>
        <w:overflowPunct/>
        <w:topLinePunct w:val="0"/>
        <w:autoSpaceDE/>
        <w:autoSpaceDN/>
        <w:bidi w:val="0"/>
        <w:adjustRightInd w:val="0"/>
        <w:snapToGrid w:val="0"/>
        <w:spacing w:before="0" w:beforeLines="0" w:after="0" w:afterLines="0"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2.2.1.1多院区平台改造</w:t>
      </w:r>
    </w:p>
    <w:p>
      <w:pPr>
        <w:keepLines w:val="0"/>
        <w:pageBreakBefore w:val="0"/>
        <w:kinsoku/>
        <w:wordWrap/>
        <w:overflowPunct/>
        <w:topLinePunct w:val="0"/>
        <w:autoSpaceDE/>
        <w:autoSpaceDN/>
        <w:bidi w:val="0"/>
        <w:adjustRightInd w:val="0"/>
        <w:snapToGrid w:val="0"/>
        <w:spacing w:before="0" w:beforeLines="0" w:after="0" w:afterLines="0" w:line="36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2.2.1.1.1企业服务总线多院区改造</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（1）ESB服务通用组件</w:t>
      </w:r>
    </w:p>
    <w:p>
      <w:pPr>
        <w:keepLines w:val="0"/>
        <w:pageBreakBefore w:val="0"/>
        <w:numPr>
          <w:ilvl w:val="0"/>
          <w:numId w:val="4"/>
        </w:numPr>
        <w:kinsoku/>
        <w:wordWrap/>
        <w:overflowPunct/>
        <w:topLinePunct w:val="0"/>
        <w:autoSpaceDE/>
        <w:autoSpaceDN/>
        <w:bidi w:val="0"/>
        <w:adjustRightInd w:val="0"/>
        <w:snapToGrid w:val="0"/>
        <w:spacing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支持所有模块调整缓存存储内容，尽可能多的使用缓存，且改造缓存更新方式，减少与数据库的交互来提升性能，同时也能动态刷新到缓存的修改信息；</w:t>
      </w:r>
    </w:p>
    <w:p>
      <w:pPr>
        <w:keepLines w:val="0"/>
        <w:pageBreakBefore w:val="0"/>
        <w:numPr>
          <w:ilvl w:val="0"/>
          <w:numId w:val="4"/>
        </w:numPr>
        <w:kinsoku/>
        <w:wordWrap/>
        <w:overflowPunct/>
        <w:topLinePunct w:val="0"/>
        <w:autoSpaceDE/>
        <w:autoSpaceDN/>
        <w:bidi w:val="0"/>
        <w:adjustRightInd w:val="0"/>
        <w:snapToGrid w:val="0"/>
        <w:spacing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支持所有模块缓存新增院区的过滤；</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消息中间件的连接方式，采用短连接与长连接并用的方式，使用长连接的模式，减少交互时的连接频率以提升性能，减轻中间件的压力，针对于特殊业务逻辑的处理，保持原有的短连接方式与消息中间件进行交互；</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支持配置文件的调整，支持修改历史记录的保存，方便当多院区运行时，配置的修改历史及修改内容，方便回滚原有的配置信息；</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支持升级消息中间件的版本，提升ESB服务性能与稳定性；</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支持针对多院区模式，调整ESB服务各个模块主控服务的管理方式，调整优化进程数量，整合进程，且对调整后进程进行监控、预警。</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（2）同步监听服务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支持新增不同交互服务版本（如：HL7 V2、HL7 V3、NonHL7Xml、NonHL7Json、RDCAPI、RDCHL7）对院区的解析及校验，调整消息流转结构体中院区的支持；</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支持调整同步路由引擎校验，新增多院区的判断，调整同步交互服务交互成功之后，对异步路由队列的写入方式；</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支持调整同步发送服务支持多院区模式，支持单个接收系统配置多个发送地址，保障多院区模式下，接收系统多节点的部署配置；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支持多地址配置时，接收方故障时自动切换至服务存活的地址，保障服务的高可用；</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支持同步交互服务的交互日志结构调整，优化消息流转结构，减轻交互量大时I\O压力；</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支持调整日志写入消息中间件时，使用长连接的模式，减少交互时的连接频率以提升性能，减轻中间件的压力。</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（3）异步监听服务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支持新增不同交互服务版本（如：HL7 V2、HL7 V3、NonHL7Xml、NonHL7Json）对院区的解析及校验，调整消息流转结构体中多院区的支持；</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支持调整异常日志的存储，数据交互量增大，日志存取改为异步处理的模式，避免由于写入日志占用监听服务的性能；</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支持优化消息验证、解析方式，分离调试模式、正式运行模式的解析方式，尽可能减轻因消息内容的解析对性能造成的影响；</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支持针对消息内容过长的消息，优化解析、流转方式，减轻程序处理压力。</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（4）路由引擎服务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路由表达式中，节点内容支持正则表达式、包含、不包含、相似、不相似等方式的验证，支持对整条消息内容的验证，支持HL7 v2版本重复段的验证，保障复杂业务的交互时，能够按实际业务需求进行路由验证；</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改造多院区模式下的重新路由服务；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调整路由键的存储方式，支持对超过50个业务系统的路由支持，且路由验证分配过程小于1s，保障大业务量情况下交互服务的正常流转；</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路由引擎支持院内、院区间的路由验证。</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（5）发送服务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调整异步发送服务支持多院区模式，支持单个接收系统配置多个发送地址，保障多院区模式下，接收系统多节点的部署配置；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支持多地址配置的情况下，故障时自动切换至服务存活的地址，保障接收厂商服务的高可用；</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改造多院区模式下故障重发服务。</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（6）日志服务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支持调整日志服务消息流转结构体，按照消息类型或院区分离出不同的模块进行日志的异步写入，保障写入性能；</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支持调整消息流转日志、消息发送日志的存储结构，视运行效果拆分出不同的消息日志表，提升查询、读取性能；</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支持整合日志写入进程，能够根据配置动态调整日志服务的进程数，可根据消息量、日志写入实际性能来配置不同的进程数，保障日志的正常写入读取。</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（7）主数据服务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支持多院区模式下，主索引查询服务、新建档案、修改档案、删除档案的适配改造；</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支持多院区模式下，科室、病区、职工等组织机构字典的读取写入。</w:t>
      </w:r>
    </w:p>
    <w:p>
      <w:pPr>
        <w:pStyle w:val="146"/>
        <w:numPr>
          <w:ilvl w:val="4"/>
          <w:numId w:val="0"/>
        </w:numPr>
        <w:bidi w:val="0"/>
        <w:ind w:leftChars="0"/>
        <w:rPr>
          <w:rFonts w:hint="eastAsia" w:ascii="宋体" w:hAnsi="宋体" w:eastAsia="宋体" w:cs="宋体"/>
          <w:color w:val="auto"/>
          <w:sz w:val="21"/>
          <w:szCs w:val="18"/>
          <w:highlight w:val="none"/>
          <w:lang w:val="en-US" w:eastAsia="zh-CN"/>
        </w:rPr>
      </w:pPr>
      <w:r>
        <w:rPr>
          <w:rFonts w:hint="eastAsia" w:ascii="宋体" w:hAnsi="宋体" w:eastAsia="宋体" w:cs="宋体"/>
          <w:color w:val="auto"/>
          <w:sz w:val="21"/>
          <w:szCs w:val="18"/>
          <w:highlight w:val="none"/>
          <w:lang w:val="en-US" w:eastAsia="zh-CN"/>
        </w:rPr>
        <w:t>2.2.1.1.2消息管理多院区改造</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对多院区的消息进行统一管理，版本控制，同时支持多院区消息路由配置，授权不用院区的服务查询配置提供可视化的路由配置界面，通过拖曳，勾选即可完成路由的配置。</w:t>
      </w:r>
    </w:p>
    <w:p>
      <w:pPr>
        <w:adjustRightInd w:val="0"/>
        <w:snapToGrid w:val="0"/>
        <w:spacing w:line="360" w:lineRule="auto"/>
        <w:ind w:firstLine="420"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SA"/>
        </w:rPr>
        <w:t>（1）业务路由</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支持多院区的消息路由配置，支持授权不同院区的业务类推送消息的配置，提供可视化的路由配置界面，通过拖拉曳、勾选即可完成业务路由的配置，支持院内业务的路由配置，也支持院区之间的业务路由配置。</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（2）服务路由</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的服务路由配置，支持以院区的维度授权不同院区的服务查询配置，根据实际业务需要控制不用院区的服务查询、服务路由管理，支持按照院区的维度进行服务管理，注册不同院区的服务到ESB服务总线，满足院内、院区之间的服务查询、路由管理。</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（3）服务概览</w:t>
      </w:r>
    </w:p>
    <w:p>
      <w:pPr>
        <w:adjustRightInd w:val="0"/>
        <w:snapToGrid w:val="0"/>
        <w:spacing w:line="360" w:lineRule="auto"/>
        <w:ind w:left="218" w:leftChars="104" w:firstLine="199" w:firstLineChars="95"/>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多院区模式下，新增服务概览的界面，查看不同院区之间的交互服务配置情况，方便管理各院区间的交互服务。</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（4）消息追踪</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支持提供以院区为维度的消息追踪体系，细化、拆分不同院区的消息追踪路径日志，既满足每一条的消息追溯节点的记录，又满足消息追溯时的性能要求；</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支持按照实际需求来清理消息追溯节点的记录信息，避免多院区模式下数据量较大导致日志存储空间暴涨的问题；</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支持路由重发功能，支持不同院区的重新路由，当某一院区出现故障时，不影响其余院区的业务正常运行。</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支持院区消息追溯详情查看功能，调整追踪展示方式，新增院区的展示，方便查看消息在院内还是院区之间的流转过程；</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（5）故障恢复</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支持提供以院区、接收厂商为维度的故障重发，支持同一个界面查询不同院区的厂商接收消息日志；</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支持可按照实际需求来清理厂商接收日志信息，可按照不同消息类型（如：字典类、业务类）、时间段进行历史日志清理，避免多院区模式下数据量较大导致日志存储空间暴涨的问题；</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支持故障重发功能，支持不同院区的故障消息重发，支持以院区的维度批量重发故障消息；</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cs="宋体"/>
          <w:b/>
          <w:bCs/>
          <w:color w:val="auto"/>
          <w:kern w:val="0"/>
          <w:sz w:val="21"/>
          <w:szCs w:val="21"/>
          <w:highlight w:val="none"/>
          <w:lang w:val="en-US" w:eastAsia="zh-CN" w:bidi="ar-SA"/>
        </w:rPr>
        <w:t>（6）</w:t>
      </w:r>
      <w:r>
        <w:rPr>
          <w:rFonts w:hint="eastAsia" w:ascii="宋体" w:hAnsi="宋体" w:eastAsia="宋体" w:cs="宋体"/>
          <w:b/>
          <w:bCs/>
          <w:color w:val="auto"/>
          <w:kern w:val="0"/>
          <w:sz w:val="21"/>
          <w:szCs w:val="21"/>
          <w:highlight w:val="none"/>
          <w:lang w:val="en-US" w:eastAsia="zh-CN" w:bidi="ar-SA"/>
        </w:rPr>
        <w:t>消息统计</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支持院区统计的维度查看各院区之间的交互服务统计详情，包括按平台、按服务类型、接收厂商统计等；</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支持ESB服务总线在多院区模式下，可扩展更多的节点满足大交互量的运行，支持对更多节点的统计详情展示；</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支持改造后台交互服务统计功能，调整交互服务统计信息的表结构，视统计性能的实际情况考虑分表存储统计信息。</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color w:val="auto"/>
          <w:highlight w:val="none"/>
          <w:lang w:val="en-US" w:eastAsia="zh-CN"/>
        </w:rPr>
      </w:pPr>
      <w:r>
        <w:rPr>
          <w:rFonts w:hint="eastAsia" w:ascii="宋体" w:hAnsi="宋体" w:eastAsia="宋体" w:cs="宋体"/>
          <w:color w:val="auto"/>
          <w:sz w:val="21"/>
          <w:szCs w:val="18"/>
          <w:highlight w:val="none"/>
          <w:lang w:val="en-US" w:eastAsia="zh-CN"/>
        </w:rPr>
        <w:t>2.2.1.1.3主数据多院区改造</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构建多院区统一、唯一的主数据标准，建立多院区统一的组织机构架构，立足多院区模式，支持维护同一专科与病区之间一对多或多对一的关系，符合医院实际的科室多层级架构，包括临床业务科室、职能部门、后勤部门等。</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支持为管理全院信息平台上的各应用系统、患者提供完整、统一的医疗卫生机构（科室）信息；</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支持院区使用范围的控制对接，主数据初始化时可以以院区的维度进行初始化数据的推送。</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18"/>
          <w:highlight w:val="none"/>
          <w:lang w:val="en-US" w:eastAsia="zh-CN"/>
        </w:rPr>
      </w:pPr>
      <w:r>
        <w:rPr>
          <w:rFonts w:hint="eastAsia" w:ascii="宋体" w:hAnsi="宋体" w:eastAsia="宋体" w:cs="宋体"/>
          <w:color w:val="auto"/>
          <w:sz w:val="21"/>
          <w:szCs w:val="18"/>
          <w:highlight w:val="none"/>
          <w:lang w:val="en-US" w:eastAsia="zh-CN"/>
        </w:rPr>
        <w:t>2.2.1.1.4统一用户认证及单点登录多院区改造</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支持在多院区一体化模式下，管理人员通过单一的用户授权管理系统界面，对医院多个院区的科室、院内职工、院外人员使用医院信息系统的行为进行统一管理；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支持信息系统间权限集中管理；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支持建立各类多级授权管理体系，建立人事系统员工相关信息变化和医院信息系统用户权限变化的联动关系，为各类人员提供统一的医院信息系统访问方式。</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18"/>
          <w:highlight w:val="none"/>
          <w:lang w:val="en-US" w:eastAsia="zh-CN"/>
        </w:rPr>
      </w:pPr>
      <w:r>
        <w:rPr>
          <w:rFonts w:hint="eastAsia" w:ascii="宋体" w:hAnsi="宋体" w:eastAsia="宋体" w:cs="宋体"/>
          <w:color w:val="auto"/>
          <w:sz w:val="21"/>
          <w:szCs w:val="18"/>
          <w:highlight w:val="none"/>
          <w:lang w:val="en-US" w:eastAsia="zh-CN"/>
        </w:rPr>
        <w:t>▲2.2.1.1.5患者主索引多院区改造</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支持构建多院区统一、唯一的主索引标准，调整建档、挂号收费、自助机建档、入院登记等建档入口，对主索引信息新增院区标识，调整历史数据中院区的标识；</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支持主索引统计、主索引首页以院区的维度展示不同院区间的主索引统计信息；</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支持主索引管理、主索引合并界面对院区的展示、查询，支持所有院区、单院区的主索引查询；</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改造主索引初始化服务，调整对新增的单独院区初始化，不影响原有数据；</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改造主索引相似度计算、相似度合并服务，拆分主索引相似段计算区间，避免数据量过大导致内存溢出、性能变慢的问题。</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2.2.1.1.6应用系统接入多院区改造</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right="-313" w:rightChars="-149"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支持分离不同院区的业务，扩展消息发送、接收节点，减小服务故障时业务影响范围；</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right="-512" w:rightChars="-244"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支持适配器发送、接收日志调整，细化、拆分日志表，改造日志表、中间表的清理策略；</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right="-512" w:rightChars="-244"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支持第三方系统交互消息院区的改造，集成平台、业务系统等相应的消息对接调试测试。</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2.2.1.1.7平台监控多院区改造</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支持多院区模式下的扩展节点监控，展示不同院区的节点分布，便于监控管理。</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2.2.1.1.8平台调度系统多院区改造</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支持多院区模式下的扩展节点调度功能，适配多院区的节点分布。</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2.2.1.1.9日志中心多院区改造</w:t>
      </w:r>
    </w:p>
    <w:p>
      <w:pPr>
        <w:keepLines w:val="0"/>
        <w:pageBreakBefore w:val="0"/>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支持多院区模式日志采集。</w:t>
      </w:r>
    </w:p>
    <w:p>
      <w:pPr>
        <w:pStyle w:val="145"/>
        <w:keepLines w:val="0"/>
        <w:pageBreakBefore w:val="0"/>
        <w:numPr>
          <w:ilvl w:val="3"/>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2.2.1.2接口改造开发</w:t>
      </w:r>
    </w:p>
    <w:p>
      <w:pPr>
        <w:pStyle w:val="146"/>
        <w:keepLines w:val="0"/>
        <w:pageBreakBefore w:val="0"/>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2.2.1.2.1原有接口改造</w:t>
      </w:r>
    </w:p>
    <w:p>
      <w:pPr>
        <w:keepLines w:val="0"/>
        <w:pageBreakBefore w:val="0"/>
        <w:kinsoku/>
        <w:wordWrap/>
        <w:overflowPunct/>
        <w:topLinePunct w:val="0"/>
        <w:autoSpaceDE/>
        <w:autoSpaceDN/>
        <w:bidi w:val="0"/>
        <w:adjustRightInd w:val="0"/>
        <w:snapToGrid w:val="0"/>
        <w:spacing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（1）国家智慧医保</w:t>
      </w:r>
    </w:p>
    <w:p>
      <w:pPr>
        <w:keepLines w:val="0"/>
        <w:pageBreakBefore w:val="0"/>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满足医疗保障信息平台定点医药机构接口规范，完成系统对接改造。</w:t>
      </w:r>
    </w:p>
    <w:p>
      <w:pPr>
        <w:keepLines w:val="0"/>
        <w:pageBreakBefore w:val="0"/>
        <w:kinsoku/>
        <w:wordWrap/>
        <w:overflowPunct/>
        <w:topLinePunct w:val="0"/>
        <w:autoSpaceDE/>
        <w:autoSpaceDN/>
        <w:bidi w:val="0"/>
        <w:adjustRightInd w:val="0"/>
        <w:snapToGrid w:val="0"/>
        <w:spacing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（2）市区域平台接口改造</w:t>
      </w:r>
    </w:p>
    <w:p>
      <w:pPr>
        <w:keepLines w:val="0"/>
        <w:pageBreakBefore w:val="0"/>
        <w:kinsoku/>
        <w:wordWrap/>
        <w:overflowPunct/>
        <w:topLinePunct w:val="0"/>
        <w:autoSpaceDE/>
        <w:autoSpaceDN/>
        <w:bidi w:val="0"/>
        <w:adjustRightInd w:val="0"/>
        <w:snapToGrid w:val="0"/>
        <w:spacing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市区域平台接口进行对接改造，上传包含：基本信息上传、患者过敏信息、挂号信息、就诊信息、挂号预约、门诊处方、收费信息、门诊结算、住院登记、医嘱信息、在院费用、出院小结、出院结算信息、检验报告、检查报告、检验报告明细、检查预约记录、健康体检表、成人体检登记等数据。</w:t>
      </w:r>
    </w:p>
    <w:p>
      <w:pPr>
        <w:keepLines w:val="0"/>
        <w:pageBreakBefore w:val="0"/>
        <w:kinsoku/>
        <w:wordWrap/>
        <w:overflowPunct/>
        <w:topLinePunct w:val="0"/>
        <w:autoSpaceDE/>
        <w:autoSpaceDN/>
        <w:bidi w:val="0"/>
        <w:adjustRightInd w:val="0"/>
        <w:snapToGrid w:val="0"/>
        <w:spacing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（3）智能病案系统接口改造</w:t>
      </w:r>
    </w:p>
    <w:p>
      <w:pPr>
        <w:keepLines w:val="0"/>
        <w:pageBreakBefore w:val="0"/>
        <w:kinsoku/>
        <w:wordWrap/>
        <w:overflowPunct/>
        <w:topLinePunct w:val="0"/>
        <w:autoSpaceDE/>
        <w:autoSpaceDN/>
        <w:bidi w:val="0"/>
        <w:adjustRightInd w:val="0"/>
        <w:snapToGrid w:val="0"/>
        <w:spacing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智能病案系统接口进行对接改造，包含出院记录、入院记录、再次或多次入院记录、手术记录、操作记录、上级医师首次查房记录、日常查房记录、24h内入出院记录、24h内入院死亡记录、首次病程记录、死亡记录、日常病程记录、病案首页、病理报告、住院收费项目明细、人员信息等接口。</w:t>
      </w:r>
    </w:p>
    <w:p>
      <w:pPr>
        <w:adjustRightInd w:val="0"/>
        <w:snapToGrid w:val="0"/>
        <w:spacing w:line="360" w:lineRule="auto"/>
        <w:ind w:firstLine="422" w:firstLineChars="200"/>
        <w:jc w:val="both"/>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（4）重症监护系统接口改造</w:t>
      </w:r>
    </w:p>
    <w:p>
      <w:pPr>
        <w:adjustRightInd w:val="0"/>
        <w:snapToGrid w:val="0"/>
        <w:spacing w:line="360" w:lineRule="auto"/>
        <w:ind w:firstLine="420" w:firstLineChars="200"/>
        <w:jc w:val="both"/>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支持与重症监护系统接口进行对接改造，包含呼吸监护、体温单、医嘱信息、住院基本信息、转科记录、病程记录、检验报告等接口。</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（5）医保预警分析系统接口改造</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支持与医保预警分析系统接口进行对接改造，包含上传门诊结算信息、门诊收费明细、门诊处方明细、门诊基本信息、住院结算、住院基本信息、住院收费明细、住院医嘱明细、患者信息、职工信息等数据。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2.2.1.2.2新接口开发</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（1）与五大中心平台对接</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五大中心平台对接，开发胸痛中心、卒中中心、创伤中心、危重孕产妇救治中心、危重儿童和新生儿救治中心等数据接口，五大中心平台可采集包括医院科室、人员、门诊挂号就诊信息、患者处方/医嘱信息、住院就诊信息、出院记录、急诊分诊信息、急诊就诊信息等数据。</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（2）与PIS系统对接</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支持与PIS平台对接，PIS平台可获取医嘱申请单号、姓名、性别、申请医师、申请科室、申请时间等数据，同时PIS平台产生的报告数据等可进行回流。</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（3）与成本核算系统对接</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支持与成本核算系统进行对接，成本核算系统可获取包括开单科室、开单医生、执行医生、执行时间、金额等数据。</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（4）与生命体征监控中台对接</w:t>
      </w:r>
    </w:p>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生命体征监控中台进行接口对接。生命体征监控中台可获取患者业务消息部分（包括患者入院信息、出院信息、位置转移信息、建档信息、入科信息等）、患者医嘱消息部分（包括用药医嘱、患者医嘱执行计划、检验医嘱、检验结果、检查医嘱、检查结果等信息）、字典部分（包括职工字典、类别字典、药物字典、检验项目字典、给药方式字典等）等数据。</w:t>
      </w:r>
    </w:p>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（5）与数据展示中心系统对接</w:t>
      </w:r>
    </w:p>
    <w:p>
      <w:pPr>
        <w:keepNext w:val="0"/>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数据展示中心系统进行接口对接，数据展示中心系统可获取包括院区床位使用情况（总数、未使用数量，使用率信息）、院区报修信息与进度、消防系统监测数据、设备在离线情况、重点区域巡检巡查完成率、安防系统概况（设备告警、异常事件及处理进度）、科室人数、年龄性别占比，以及值班情况等数据。</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jc w:val="both"/>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（6）与人工智能客服中心对接</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支持针对人工智能客服中心进行接口对接，实现与HIS系统数据互通，实现院内预问诊、导诊等功能，给用户提供智能机器人的问答服务。</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2.2.1.3字典管理改造</w:t>
      </w:r>
    </w:p>
    <w:p>
      <w:pPr>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支持对各类字典进行统一改造，实现</w:t>
      </w:r>
      <w:r>
        <w:rPr>
          <w:rFonts w:hint="eastAsia" w:ascii="宋体" w:hAnsi="宋体" w:cs="宋体"/>
          <w:color w:val="auto"/>
          <w:sz w:val="21"/>
          <w:szCs w:val="21"/>
          <w:highlight w:val="none"/>
          <w:lang w:val="en-US" w:eastAsia="zh-CN"/>
        </w:rPr>
        <w:t>多</w:t>
      </w:r>
      <w:r>
        <w:rPr>
          <w:rFonts w:hint="eastAsia" w:ascii="宋体" w:hAnsi="宋体" w:eastAsia="宋体" w:cs="宋体"/>
          <w:color w:val="auto"/>
          <w:sz w:val="21"/>
          <w:szCs w:val="21"/>
          <w:highlight w:val="none"/>
        </w:rPr>
        <w:t>院区字典的统一：</w:t>
      </w:r>
    </w:p>
    <w:p>
      <w:pPr>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常用公用代码：</w:t>
      </w:r>
      <w:r>
        <w:rPr>
          <w:rFonts w:hint="eastAsia" w:ascii="宋体" w:hAnsi="宋体" w:eastAsia="宋体" w:cs="宋体"/>
          <w:color w:val="auto"/>
          <w:sz w:val="21"/>
          <w:szCs w:val="21"/>
          <w:highlight w:val="none"/>
        </w:rPr>
        <w:t>支持多院区的常用公用代码维护，包括民族，省市县，用药频次，给药方式，麻醉权限级别，职工类别，医生等级等。</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公用参数：</w:t>
      </w:r>
      <w:r>
        <w:rPr>
          <w:rFonts w:hint="eastAsia" w:ascii="宋体" w:hAnsi="宋体" w:eastAsia="宋体" w:cs="宋体"/>
          <w:color w:val="auto"/>
          <w:sz w:val="21"/>
          <w:szCs w:val="21"/>
          <w:highlight w:val="none"/>
        </w:rPr>
        <w:t>支持多院区的公用参数维护，包括全局参数，系统参数，应用参数，关联参数，参数作用域，操作日志。</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标准字典：</w:t>
      </w:r>
      <w:r>
        <w:rPr>
          <w:rFonts w:hint="eastAsia" w:ascii="宋体" w:hAnsi="宋体" w:eastAsia="宋体" w:cs="宋体"/>
          <w:color w:val="auto"/>
          <w:sz w:val="21"/>
          <w:szCs w:val="21"/>
          <w:highlight w:val="none"/>
        </w:rPr>
        <w:t>支持多院区的标准字典维护，如身份证件类型、地址类别、ABO血型代码、RH血型代码、麻醉方法等字典。</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院级字典：</w:t>
      </w:r>
      <w:r>
        <w:rPr>
          <w:rFonts w:hint="eastAsia" w:ascii="宋体" w:hAnsi="宋体" w:eastAsia="宋体" w:cs="宋体"/>
          <w:color w:val="auto"/>
          <w:sz w:val="21"/>
          <w:szCs w:val="21"/>
          <w:highlight w:val="none"/>
        </w:rPr>
        <w:t>支持多院区的院级字典维护，如职工类别、职工权限、科室性质、科室属性、诊断类别、检查类型等。</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药品字典：</w:t>
      </w:r>
      <w:r>
        <w:rPr>
          <w:rFonts w:hint="eastAsia" w:ascii="宋体" w:hAnsi="宋体" w:eastAsia="宋体" w:cs="宋体"/>
          <w:color w:val="auto"/>
          <w:sz w:val="21"/>
          <w:szCs w:val="21"/>
          <w:highlight w:val="none"/>
        </w:rPr>
        <w:t>支持多院区的药品字典维护，如药品主别名、药品信息、药品规格、药品产地、给药方式等。</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费用字典：</w:t>
      </w:r>
      <w:r>
        <w:rPr>
          <w:rFonts w:hint="eastAsia" w:ascii="宋体" w:hAnsi="宋体" w:eastAsia="宋体" w:cs="宋体"/>
          <w:color w:val="auto"/>
          <w:sz w:val="21"/>
          <w:szCs w:val="21"/>
          <w:highlight w:val="none"/>
        </w:rPr>
        <w:t>支持多院区的费用字典维护，如收费项目、收费项目类型、收费项目组套等。</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医嘱字段：</w:t>
      </w:r>
      <w:r>
        <w:rPr>
          <w:rFonts w:hint="eastAsia" w:ascii="宋体" w:hAnsi="宋体" w:eastAsia="宋体" w:cs="宋体"/>
          <w:color w:val="auto"/>
          <w:sz w:val="21"/>
          <w:szCs w:val="21"/>
          <w:highlight w:val="none"/>
        </w:rPr>
        <w:t>支持多院区的医嘱字典维护，如医嘱项目、床位牌显示、排斥医嘱等。</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医技字典：</w:t>
      </w:r>
      <w:r>
        <w:rPr>
          <w:rFonts w:hint="eastAsia" w:ascii="宋体" w:hAnsi="宋体" w:eastAsia="宋体" w:cs="宋体"/>
          <w:color w:val="auto"/>
          <w:sz w:val="21"/>
          <w:szCs w:val="21"/>
          <w:highlight w:val="none"/>
        </w:rPr>
        <w:t>支持多院区的医技字典维护，如检查项目、检查部位、检查项目部位对应、检验项目、检验套餐、试验项目、检验项目收费、样本类型等。</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组织架构：</w:t>
      </w:r>
      <w:r>
        <w:rPr>
          <w:rFonts w:hint="eastAsia" w:ascii="宋体" w:hAnsi="宋体" w:eastAsia="宋体" w:cs="宋体"/>
          <w:color w:val="auto"/>
          <w:sz w:val="21"/>
          <w:szCs w:val="21"/>
          <w:highlight w:val="none"/>
        </w:rPr>
        <w:t>支持多院区的组织架构，包括科室信息、病区信息、院区信息、医疗组等。</w:t>
      </w:r>
    </w:p>
    <w:p>
      <w:pPr>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1"/>
          <w:szCs w:val="21"/>
          <w:highlight w:val="none"/>
        </w:rPr>
        <w:t>值域对照：</w:t>
      </w:r>
      <w:r>
        <w:rPr>
          <w:rFonts w:hint="eastAsia" w:ascii="宋体" w:hAnsi="宋体" w:eastAsia="宋体" w:cs="宋体"/>
          <w:color w:val="auto"/>
          <w:sz w:val="21"/>
          <w:szCs w:val="21"/>
          <w:highlight w:val="none"/>
        </w:rPr>
        <w:t>支持院级字段、标准字段与各个业务系统的对照关系维护。</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常用公用参数管理：</w:t>
      </w:r>
      <w:r>
        <w:rPr>
          <w:rFonts w:hint="eastAsia" w:ascii="宋体" w:hAnsi="宋体" w:eastAsia="宋体" w:cs="宋体"/>
          <w:color w:val="auto"/>
          <w:kern w:val="2"/>
          <w:sz w:val="21"/>
          <w:szCs w:val="21"/>
          <w:highlight w:val="none"/>
          <w:lang w:val="en-US" w:eastAsia="zh-CN" w:bidi="ar-SA"/>
        </w:rPr>
        <w:t>支持多院区的常用公用参数管理维护如360视图菜单显示配置、职工信息密码加密方式、日志保留天数、登录超时时间、单点登录类型、登录方式等。</w:t>
      </w:r>
    </w:p>
    <w:p>
      <w:pPr>
        <w:pStyle w:val="145"/>
        <w:keepLines w:val="0"/>
        <w:pageBreakBefore w:val="0"/>
        <w:numPr>
          <w:ilvl w:val="3"/>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2.2.1.4收费标准</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支持多院区收费项目维护，包括增加、修改、作废；</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支持检验检查项目维护，包括项目类型、部位维护、项目累加类型维护；</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支持核算项目、收费套餐维护，包括增加、修改、作废；</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支持多院区床位维护，包括增加、修改、作废；</w:t>
      </w:r>
    </w:p>
    <w:p>
      <w:pPr>
        <w:keepLines w:val="0"/>
        <w:pageBreakBefore w:val="0"/>
        <w:numPr>
          <w:ilvl w:val="0"/>
          <w:numId w:val="4"/>
        </w:numPr>
        <w:kinsoku/>
        <w:wordWrap/>
        <w:overflowPunct/>
        <w:topLinePunct w:val="0"/>
        <w:autoSpaceDE/>
        <w:autoSpaceDN/>
        <w:bidi w:val="0"/>
        <w:adjustRightInd w:val="0"/>
        <w:snapToGrid w:val="0"/>
        <w:spacing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支持医嘱项目维护，包括增加、修改、作废。</w:t>
      </w:r>
    </w:p>
    <w:p>
      <w:pPr>
        <w:pStyle w:val="145"/>
        <w:keepLines w:val="0"/>
        <w:pageBreakBefore w:val="0"/>
        <w:numPr>
          <w:ilvl w:val="3"/>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2.2.1.5用户管理</w:t>
      </w:r>
    </w:p>
    <w:p>
      <w:pPr>
        <w:keepLines w:val="0"/>
        <w:pageBreakBefore w:val="0"/>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多院区全院系统用户管理（职工信息基础信息维护，职工科室、病区，医疗组维护职工资质，职工医疗组，核算科室维护，职工GCP等），包括角色维护，用户权限分配，用户角色分配，角色功能分配，操作日志等。</w:t>
      </w:r>
    </w:p>
    <w:p>
      <w:pPr>
        <w:pStyle w:val="145"/>
        <w:keepLines w:val="0"/>
        <w:pageBreakBefore w:val="0"/>
        <w:numPr>
          <w:ilvl w:val="3"/>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2.2.1.6权限管理</w:t>
      </w:r>
    </w:p>
    <w:p>
      <w:pPr>
        <w:keepLines w:val="0"/>
        <w:pageBreakBefore w:val="0"/>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支持针对多院区系统的权限管理，包括功能权限预览，批量设置职工权限，职工转科，操作日志跟踪等。</w:t>
      </w:r>
    </w:p>
    <w:p>
      <w:pPr>
        <w:pStyle w:val="145"/>
        <w:keepLines w:val="0"/>
        <w:pageBreakBefore w:val="0"/>
        <w:numPr>
          <w:ilvl w:val="3"/>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2.2.1.7数据中心多院区改造</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目前宁波市第一医院月湖院区已建有ODS数据中心，将月湖院区各个系统中的数据集成起来统一管理，起到数据备份的作用，同时基于ODS数据中心，通过ETL将数据进行抽取、转换为国家和省厅相关数据集标准，加载形成了CDR（临床主题数据库）、ODR（运营主题数据库）两个主题数据库，供CDR集成视图、临床科研分析、运营分析使用。本次项目需基于多院区一体化的建设管理模式，对原有的数据中心进行多院区适配性改造。</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2.2.1.7.1数据采集处理系统多院区改造及部署</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数据采集</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数据采集系统根据“一院多区”的要求进行改造，新增院区标识，并在方桥院区的前置机上进行新增部署，定时把所需数据从业务系统中采集过来，采集的数据包括但不限于检查结果、检验结果、出院小结等。</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数据处理</w:t>
      </w:r>
    </w:p>
    <w:p>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处理主要通过ETL等技术，将ODS备份统计数据中心中的数据通过增量抓取、清洗、转化，ETL的主要功能包括范围过滤、字段过滤、条件过滤、格式转换、类型转换、代码转换、数值转换、字段合并、拆分、数据合并、行列转换、完整性检查等，本次项目需新增对方桥院区的数据处理。</w:t>
      </w:r>
    </w:p>
    <w:p>
      <w:pPr>
        <w:adjustRightInd w:val="0"/>
        <w:snapToGri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数据入库</w:t>
      </w:r>
    </w:p>
    <w:p>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通过ETL等技术，将ODS备份统计数据中心中的数据通过增量抓取、清洗、转换为标准数据集之后，加载CDR与ODR数据中心，包括更新入库、插入入库、刷新入库等。</w:t>
      </w:r>
    </w:p>
    <w:p>
      <w:pPr>
        <w:adjustRightInd w:val="0"/>
        <w:snapToGri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临床数据中心（CDR）</w:t>
      </w:r>
    </w:p>
    <w:p>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DR临床数据中心是一个整合医患各类数据的集合体，以“患者为中心”实时收集和管理医疗数据，通过对各类临床业务系统数据进行采集、抽取、转换以及集成平台数据“落地”等操作，最终标准化、机构化地表达、组织和存储，同时在此基础上开发各种标准的、符合法律规范和安全要求的数据访问服务，为医院的各类信息化应用提供一个统一的、完整的数据视图，最终实现辅助改善医疗服务质量，减少医疗差错，提高医院临床科研水平和降低医疗成本等主要目标。</w:t>
      </w:r>
    </w:p>
    <w:p>
      <w:pPr>
        <w:adjustRightInd w:val="0"/>
        <w:snapToGrid w:val="0"/>
        <w:spacing w:line="360" w:lineRule="auto"/>
        <w:ind w:firstLine="420" w:firstLineChars="20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支持采集包括HIS、LIS、EMR、放射、超声、内镜、病理、手麻、重症等系统中的门诊处方、医嘱、医技报告、体检、手术、生命体征等数据，本次在原有基础上新增方桥院区的相关数据。</w:t>
      </w:r>
    </w:p>
    <w:p>
      <w:pPr>
        <w:adjustRightInd w:val="0"/>
        <w:snapToGrid w:val="0"/>
        <w:spacing w:line="360" w:lineRule="auto"/>
        <w:ind w:firstLine="422" w:firstLineChars="200"/>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运营数据中心（ODR）</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通过对各个应用系统的运营数据进行采集量化与分析，有效地整合各部门业务数据，统一对信息进行利用和管理，提供统一的数据视图和综合管理分析支撑环境，为医院各部门和相关管理部门提供报表、分析应用和所需的数据，最终为提高医院运营管理质量提供有力支撑。本次在原有基础上新增方桥院区的相关数据。</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2.2.1.7.2数据中心API查询服务接口改造</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数据中心支持多院区业务模式，支持跨院区的数据交换与共享，支持多院区间业务协同服务，本次项目基于“一院多区”的要求对数据中心查询服务接口进行改造，主要包括：</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支持为所有查询API接口提供院区的入参、出参查询；</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支持多院区模式下，查询、调阅权限对院区的控制；</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支持针对于不同院区，上报接口区分适配，满足不同院区数据上报的需求。</w:t>
      </w:r>
    </w:p>
    <w:p>
      <w:pPr>
        <w:pStyle w:val="145"/>
        <w:keepLines w:val="0"/>
        <w:pageBreakBefore w:val="0"/>
        <w:numPr>
          <w:ilvl w:val="3"/>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2.2.1.8患者360视图多院区改造</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患者360视图将以丰富的UI集中展示医疗活动中需要的客观数据，提供全过程医疗数据的图表化表达，实现对各种医学影像（超声、X光、CT、MRI等）、心电、麻醉监护数据、手术、医嘱、用血、检验信息等多种医疗数据的综合阅览分析，为临床医护人员提供统一的、完整的、单一界面的数据整合视图，使医护人员在大量有参考价值的信息基础上，开展下一步的诊疗活动，本次项目将对现有的患者360视图进行多院区的改造。</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2.2.1.8.1患者360视图（PC端）多院区改造</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支持自定义闭环类型，支持多院区闭环流程追踪，为每个闭环类型自定义节点，用于360视图中闭环展示；</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支持临床数据中心首页新增院区维度的临床数据中心概览信息的展示；</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360视图权限控制改造，支持本院区仅能查看到本院的患者信息，若患者已经合并，可关联出本院区患者所有的就诊记录；</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360视图、共享文档调阅接口，支持跨院区的调用的权限控制及隐私保护；</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支持院区的日志记录和展示。</w:t>
      </w:r>
    </w:p>
    <w:p>
      <w:pPr>
        <w:pStyle w:val="146"/>
        <w:keepLines w:val="0"/>
        <w:pageBreakBefore w:val="0"/>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2.2.1.8.2患者360视图（移动端）多院区改造</w:t>
      </w:r>
    </w:p>
    <w:p>
      <w:pPr>
        <w:keepLines w:val="0"/>
        <w:pageBreakBefore w:val="0"/>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以多院区PC端患者医疗集成可视化的功能为基础，提供移动端患者360视图应用，可通过APP或提供接口嵌入其他移动应用中，通过移动设备（手机）临床医生随时随地可以查看患者的全部就诊信息、检查检验报告和病历文书等，主要包括：</w:t>
      </w:r>
    </w:p>
    <w:p>
      <w:pPr>
        <w:keepLines w:val="0"/>
        <w:pageBreakBefore w:val="0"/>
        <w:numPr>
          <w:ilvl w:val="0"/>
          <w:numId w:val="4"/>
        </w:numPr>
        <w:kinsoku/>
        <w:wordWrap/>
        <w:overflowPunct/>
        <w:topLinePunct w:val="0"/>
        <w:autoSpaceDE/>
        <w:autoSpaceDN/>
        <w:bidi w:val="0"/>
        <w:adjustRightInd w:val="0"/>
        <w:snapToGrid w:val="0"/>
        <w:spacing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支持按院区显示各院区业务数据，支持跨院区调用的权限控制及隐私保护；</w:t>
      </w:r>
    </w:p>
    <w:p>
      <w:pPr>
        <w:keepLines w:val="0"/>
        <w:pageBreakBefore w:val="0"/>
        <w:numPr>
          <w:ilvl w:val="0"/>
          <w:numId w:val="4"/>
        </w:numPr>
        <w:kinsoku/>
        <w:wordWrap/>
        <w:overflowPunct/>
        <w:topLinePunct w:val="0"/>
        <w:autoSpaceDE/>
        <w:autoSpaceDN/>
        <w:bidi w:val="0"/>
        <w:adjustRightInd w:val="0"/>
        <w:snapToGrid w:val="0"/>
        <w:spacing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支持以医疗时间为轴线的临床信息综合展示,提供个性化定制患者列表，可以按科室和主管医生分类展示病人信息；</w:t>
      </w:r>
    </w:p>
    <w:p>
      <w:pPr>
        <w:keepLines w:val="0"/>
        <w:pageBreakBefore w:val="0"/>
        <w:numPr>
          <w:ilvl w:val="0"/>
          <w:numId w:val="4"/>
        </w:numPr>
        <w:kinsoku/>
        <w:wordWrap/>
        <w:overflowPunct/>
        <w:topLinePunct w:val="0"/>
        <w:autoSpaceDE/>
        <w:autoSpaceDN/>
        <w:bidi w:val="0"/>
        <w:adjustRightInd w:val="0"/>
        <w:snapToGrid w:val="0"/>
        <w:spacing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支持患者通过移动设备（手机）查看患者自己的在本院的就诊信息、检查检验报告和病历文书等。</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支持与钉钉或微信公众号进行对接。</w:t>
      </w:r>
    </w:p>
    <w:p>
      <w:pPr>
        <w:pStyle w:val="145"/>
        <w:keepLines w:val="0"/>
        <w:pageBreakBefore w:val="0"/>
        <w:numPr>
          <w:ilvl w:val="3"/>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2.2.1.9商业智能BI多院区改造</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本次项目主要是对商业智能BI新增多院区模式的展示，数据抽取，实现多院区治疗资源查看及工作量精准核定，提供适用于多院区运营管理的集中数据中心和展示界面，提供智能化分析工具，为医院经营决策提供数据依据。</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2.2.1.9.1医院运营</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BI首页、运营分析、今日动态、新冠病毒核酸检测情况日报表、当日现场加号预约查询表、营养科特医食品查询、发热门诊每日核酸检测报表、DRGS医疗服务报表、等级护理床日数、手术病人术前等候时间、宁波市双向转诊、伙食费统计报表等查询统计分析。</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2.2.1.9.2门诊分析</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诊疗预约分析、门诊就诊人次报表（仅供奖金核算用）、门诊收入报表、门诊费用明细统计报表、门诊收入核算项目明细报表、互联网医院工作量、门诊均费分析、挂号人次报表、门诊均费报表、门诊病人信息、平均候诊时间报表、挂号人次报表等。</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2.2.1.9.3住院分析</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床位实时使用情况、床位使用情况、住院均费报表、住院病人信息、住院人次报表、住院手术报表_手术类别、床位使用情况、住院手术报表、住院费用明细统计报表、预住院统计、住院收入报表、住院均费分析、平均住院日报表、平均住院日分析、住院收入按核算项目明细报表、床位使用与周转、预住院统计子表、出入院人次_实时、GCP统计、住院收治患者统计等。</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2.2.1.9.4医技分析</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支持院区选择，提供多院区住院手术分析、检查人次报表、检验人次报表、手术接台耗时统计、医技收入分析（实时）、手术明细报表、手术麻醉分析、手术耗时统计、样本采集工作量等。</w:t>
      </w:r>
    </w:p>
    <w:p>
      <w:pPr>
        <w:pStyle w:val="146"/>
        <w:keepLines w:val="0"/>
        <w:pageBreakBefore w:val="0"/>
        <w:widowControl/>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2.2.1.9.5绩效考核</w:t>
      </w:r>
    </w:p>
    <w:p>
      <w:pPr>
        <w:keepLines w:val="0"/>
        <w:pageBreakBefore w:val="0"/>
        <w:widowControl/>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浙江省绩效考核报表、浙江省绩效考核填报报表、绩效考核报表、浙江省绩效考核权限配置、绩效考核填报报表、浙江省医疗质量核心指标、绩效考核权限配置、绩效考核汇总_填报(护理版)、绩效考核指标模版、绩效考核汇总_查询(医生版)、绩效考核指标填报、绩效考核汇总_查询(护理版)、绩效考核指标查询、绩效考核自定义模板维护、绩效考核汇总_填报(医生版)、绩效考核汇总_填报(医技版)、绩效考核汇总_填报(职能版)、绩效考核汇总_查询(医技版)、绩效考核汇总_查询(职能版)等。</w:t>
      </w:r>
    </w:p>
    <w:p>
      <w:pPr>
        <w:pStyle w:val="146"/>
        <w:keepLines w:val="0"/>
        <w:pageBreakBefore w:val="0"/>
        <w:widowControl/>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2.2.1.9.6核心制度</w:t>
      </w:r>
    </w:p>
    <w:p>
      <w:pPr>
        <w:keepLines w:val="0"/>
        <w:pageBreakBefore w:val="0"/>
        <w:widowControl/>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支持院区选择，提供多院区危急值统计、科室会诊统计、急危重疑难死亡病历统计等。</w:t>
      </w:r>
    </w:p>
    <w:p>
      <w:pPr>
        <w:pStyle w:val="146"/>
        <w:keepLines w:val="0"/>
        <w:pageBreakBefore w:val="0"/>
        <w:widowControl/>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2.2.1.9.7合理用药</w:t>
      </w:r>
    </w:p>
    <w:p>
      <w:pPr>
        <w:keepLines w:val="0"/>
        <w:pageBreakBefore w:val="0"/>
        <w:widowControl/>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门诊药品使用情况统计报表、门诊合理用药、门诊抗菌人次比、出院患者抗菌药物使用、送检率、住院静脉输液袋数、抗菌药物特殊使用报表、住院合理用药、出院抗菌人次比、输液袋数统计、抗肿瘤药物使用统计、全院药品使用量、金额排名、外配药统计、门诊皮试结果分析、住院抗菌药物使用强度、住院抗菌药物消耗分析、职工处方权限、4+7药品统计、出院患者药品使用情况统计等。</w:t>
      </w:r>
    </w:p>
    <w:p>
      <w:pPr>
        <w:pStyle w:val="146"/>
        <w:keepLines w:val="0"/>
        <w:pageBreakBefore w:val="0"/>
        <w:widowControl/>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2.2.1.9.8疾病分析</w:t>
      </w:r>
    </w:p>
    <w:p>
      <w:pPr>
        <w:keepLines w:val="0"/>
        <w:pageBreakBefore w:val="0"/>
        <w:widowControl/>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支持院区选择，提供多院区18种重点手术统计报表、18种重点疾病统计报表等。</w:t>
      </w:r>
    </w:p>
    <w:p>
      <w:pPr>
        <w:pStyle w:val="146"/>
        <w:keepLines w:val="0"/>
        <w:pageBreakBefore w:val="0"/>
        <w:widowControl/>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2.2.1.9.9质量管理</w:t>
      </w:r>
    </w:p>
    <w:p>
      <w:pPr>
        <w:keepLines w:val="0"/>
        <w:pageBreakBefore w:val="0"/>
        <w:widowControl/>
        <w:kinsoku/>
        <w:wordWrap/>
        <w:overflowPunct/>
        <w:topLinePunct w:val="0"/>
        <w:autoSpaceDE/>
        <w:autoSpaceDN/>
        <w:bidi w:val="0"/>
        <w:adjustRightInd w:val="0"/>
        <w:snapToGrid w:val="0"/>
        <w:spacing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支持院区选择，提供多院区首诊测血压统计、术中用血统计、肿瘤TNM统计、临床路径汇总、医生效率报表、输液人数统计报表、病案归档统计、医生VTE评估统计等。</w:t>
      </w:r>
    </w:p>
    <w:p>
      <w:pPr>
        <w:pStyle w:val="146"/>
        <w:keepLines w:val="0"/>
        <w:pageBreakBefore w:val="0"/>
        <w:widowControl/>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2.2.1.9.10智慧医疗</w:t>
      </w:r>
    </w:p>
    <w:p>
      <w:pPr>
        <w:keepLines w:val="0"/>
        <w:pageBreakBefore w:val="0"/>
        <w:widowControl/>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院区选择，提供多院区医生出诊次数报表、护士办理入院人次、病假单统计、候诊人次分析、门诊医生准时出诊率、检验检查互认表、新冠病毒核酸检测信息平台数据（24小时）、门诊结算人次报表、预约挂号人次分类统计等。</w:t>
      </w:r>
    </w:p>
    <w:p>
      <w:pPr>
        <w:pStyle w:val="144"/>
        <w:keepLines w:val="0"/>
        <w:pageBreakBefore w:val="0"/>
        <w:numPr>
          <w:ilvl w:val="2"/>
          <w:numId w:val="0"/>
        </w:numPr>
        <w:kinsoku/>
        <w:wordWrap/>
        <w:overflowPunct/>
        <w:topLinePunct w:val="0"/>
        <w:autoSpaceDE/>
        <w:autoSpaceDN/>
        <w:bidi w:val="0"/>
        <w:adjustRightInd w:val="0"/>
        <w:snapToGrid w:val="0"/>
        <w:spacing w:before="0" w:beforeLines="0" w:after="0" w:afterLines="0"/>
        <w:ind w:leftChars="0"/>
        <w:textAlignment w:val="auto"/>
        <w:rPr>
          <w:rFonts w:hint="eastAsia" w:ascii="宋体" w:hAnsi="宋体" w:eastAsia="宋体" w:cs="宋体"/>
          <w:color w:val="auto"/>
          <w:sz w:val="21"/>
          <w:szCs w:val="21"/>
          <w:highlight w:val="none"/>
          <w:lang w:val="en-US" w:eastAsia="zh-CN"/>
        </w:rPr>
      </w:pPr>
      <w:bookmarkStart w:id="48" w:name="_Toc21354"/>
      <w:r>
        <w:rPr>
          <w:rFonts w:hint="eastAsia" w:ascii="宋体" w:hAnsi="宋体" w:eastAsia="宋体" w:cs="宋体"/>
          <w:color w:val="auto"/>
          <w:sz w:val="21"/>
          <w:szCs w:val="21"/>
          <w:highlight w:val="none"/>
          <w:lang w:val="en-US" w:eastAsia="zh-CN"/>
        </w:rPr>
        <w:t>2.2.2 CIS系统新院区部署及新业务功能开发</w:t>
      </w:r>
      <w:bookmarkEnd w:id="48"/>
    </w:p>
    <w:p>
      <w:pPr>
        <w:keepLines w:val="0"/>
        <w:pageBreakBefore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CIS临床信息系统是以电子病历为核心，为全院医护人员提供流程化、信息化、结构化、智能化的临床业务信息综合处理系统，宁波市第一医院月湖院区现有的CIS临床信息系统是2021年开发建设的，只适用单院区的运行模式，本次项目将对现有CIS临床信息系统进行多院区适配性改造，包括一体化门诊医生工作站、一体化急诊预检分诊工作站、一体化急诊留抢医生工作站、一体化急诊留抢护士工作站、一体化急诊皮试输液管理、一体化住院医生工作站、一体化住院护士工作站、医生临床路径管理、移动护理等，同时新增MDT会诊管理、急诊质控管理、手术分级管理、日间手术管理、病历无纸化、护理管理、静脉输液专科护理、智慧可视屏、电子审批工作流、微服务检查、检验开单、PDA端应用、AI应用、互联网医院与本地CIS系统对接等，满足全院各级用户多层次的应用需求。</w:t>
      </w:r>
    </w:p>
    <w:p>
      <w:pPr>
        <w:pStyle w:val="145"/>
        <w:keepLines w:val="0"/>
        <w:pageBreakBefore w:val="0"/>
        <w:numPr>
          <w:ilvl w:val="3"/>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 CIS系统新院区改造部署</w:t>
      </w:r>
    </w:p>
    <w:p>
      <w:pPr>
        <w:pStyle w:val="146"/>
        <w:keepLines w:val="0"/>
        <w:pageBreakBefore w:val="0"/>
        <w:numPr>
          <w:ilvl w:val="4"/>
          <w:numId w:val="0"/>
        </w:numPr>
        <w:kinsoku/>
        <w:wordWrap/>
        <w:overflowPunct/>
        <w:topLinePunct w:val="0"/>
        <w:autoSpaceDE/>
        <w:autoSpaceDN/>
        <w:bidi w:val="0"/>
        <w:adjustRightInd w:val="0"/>
        <w:snapToGrid w:val="0"/>
        <w:spacing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2.2.2.1.1一体化门诊医生工作站</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（1）就诊列表</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就诊列表展示。</w:t>
      </w:r>
      <w:r>
        <w:rPr>
          <w:rFonts w:hint="eastAsia" w:ascii="宋体" w:hAnsi="宋体" w:eastAsia="宋体" w:cs="宋体"/>
          <w:color w:val="auto"/>
          <w:kern w:val="0"/>
          <w:sz w:val="21"/>
          <w:szCs w:val="21"/>
          <w:highlight w:val="none"/>
          <w:lang w:val="en-US" w:eastAsia="zh-CN" w:bidi="ar-SA"/>
        </w:rPr>
        <w:t>支持按院区显示未诊、已诊列表，根据登录的科室自动识别所属院区，按挂号分院区显示就诊列表。</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检查跨院区预约。</w:t>
      </w:r>
      <w:r>
        <w:rPr>
          <w:rFonts w:hint="eastAsia" w:ascii="宋体" w:hAnsi="宋体" w:eastAsia="宋体" w:cs="宋体"/>
          <w:color w:val="auto"/>
          <w:kern w:val="0"/>
          <w:sz w:val="21"/>
          <w:szCs w:val="21"/>
          <w:highlight w:val="none"/>
          <w:lang w:val="en-US" w:eastAsia="zh-CN" w:bidi="ar-SA"/>
        </w:rPr>
        <w:t>可根据预约实际情况，支持跨院区检查的预约。</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检查检验报告跨院区查询。</w:t>
      </w:r>
      <w:r>
        <w:rPr>
          <w:rFonts w:hint="eastAsia" w:ascii="宋体" w:hAnsi="宋体" w:eastAsia="宋体" w:cs="宋体"/>
          <w:color w:val="auto"/>
          <w:kern w:val="0"/>
          <w:sz w:val="21"/>
          <w:szCs w:val="21"/>
          <w:highlight w:val="none"/>
          <w:lang w:val="en-US" w:eastAsia="zh-CN" w:bidi="ar-SA"/>
        </w:rPr>
        <w:t>支持不同的院区检查检验报告统一展示，方便检查检验结果查看。</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疾病报卡跨院区模式调整。</w:t>
      </w:r>
      <w:r>
        <w:rPr>
          <w:rFonts w:hint="eastAsia" w:ascii="宋体" w:hAnsi="宋体" w:eastAsia="宋体" w:cs="宋体"/>
          <w:color w:val="auto"/>
          <w:kern w:val="0"/>
          <w:sz w:val="21"/>
          <w:szCs w:val="21"/>
          <w:highlight w:val="none"/>
          <w:lang w:val="en-US" w:eastAsia="zh-CN" w:bidi="ar-SA"/>
        </w:rPr>
        <w:t>支持疾病报卡多院区数据统一，避免重复报卡。</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增加按不同院区代挂号模式。</w:t>
      </w:r>
      <w:r>
        <w:rPr>
          <w:rFonts w:hint="eastAsia" w:ascii="宋体" w:hAnsi="宋体" w:eastAsia="宋体" w:cs="宋体"/>
          <w:color w:val="auto"/>
          <w:kern w:val="0"/>
          <w:sz w:val="21"/>
          <w:szCs w:val="21"/>
          <w:highlight w:val="none"/>
          <w:lang w:val="en-US" w:eastAsia="zh-CN" w:bidi="ar-SA"/>
        </w:rPr>
        <w:t>根据医院实际情况，支持不同院区不同的挂号模式或代收模式。</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（2）病历查阅</w:t>
      </w:r>
    </w:p>
    <w:p>
      <w:pPr>
        <w:keepLines w:val="0"/>
        <w:pageBreakBefore w:val="0"/>
        <w:kinsoku/>
        <w:wordWrap/>
        <w:overflowPunct/>
        <w:topLinePunct w:val="0"/>
        <w:autoSpaceDE/>
        <w:autoSpaceDN/>
        <w:bidi w:val="0"/>
        <w:adjustRightInd w:val="0"/>
        <w:snapToGrid w:val="0"/>
        <w:spacing w:beforeLines="0" w:after="0"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支持按院区显示患者病史。</w:t>
      </w:r>
    </w:p>
    <w:p>
      <w:pPr>
        <w:keepLines w:val="0"/>
        <w:pageBreakBefore w:val="0"/>
        <w:kinsoku/>
        <w:wordWrap/>
        <w:overflowPunct/>
        <w:topLinePunct w:val="0"/>
        <w:autoSpaceDE/>
        <w:autoSpaceDN/>
        <w:bidi w:val="0"/>
        <w:adjustRightInd w:val="0"/>
        <w:snapToGrid w:val="0"/>
        <w:spacing w:beforeLines="0" w:after="0" w:after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（3）书写病历</w:t>
      </w:r>
    </w:p>
    <w:p>
      <w:pPr>
        <w:keepLines w:val="0"/>
        <w:pageBreakBefore w:val="0"/>
        <w:kinsoku/>
        <w:wordWrap/>
        <w:overflowPunct/>
        <w:topLinePunct w:val="0"/>
        <w:autoSpaceDE/>
        <w:autoSpaceDN/>
        <w:bidi w:val="0"/>
        <w:adjustRightInd w:val="0"/>
        <w:snapToGrid w:val="0"/>
        <w:spacing w:beforeLines="0" w:after="0"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支持在门诊病历、处置单申请、检验检查申请、就诊记录等功能中增加院区标识和过敏史院区标志。</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（4）处方与报告</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支持处方开立，判断所属药房药品库存情况；</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支持检查检验单开立时自动调用所属院区的项目；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支持不同院区项目开立时各种不同条件控制。</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（5）住院申请</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支持住院申请跨院区科室、病区选择。</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（6）复诊预约</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支持在不同院区投放号源有效时间内，对本科普通，专家进行复诊预约；</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支持通过权限控制跨院区，跨科室进行复诊预约，保存和打印预约单据，取消预约；</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支持查看投放号源日期内不同院区的剩余号源数。</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（7）医疗证明</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支持查阅不同院区历史医疗证明。</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（8）门诊手术</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支持跨院区门诊手术申请，保存院区标识。</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（9）知情同意书</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支持不同院区各类知情同意书（化疗、门诊产科、妇科、妇科门诊手术等），保存，作废，打印；</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支持对跨院区历史知情同意书进行查阅。</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（10）消息推送</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支持消息推送；</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支持按院区进行危急值管理。</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（11）临床报表</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支持按照院区进行分诊病人明细、分诊人次统计、医保办药品使用统计等。</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（12）诊间结算</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调整优化诊间结算模式，为提高诊间结算效率，需要将原有调用EXE模式改为内嵌诊间系统模式，主要改造内容包括：</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支持将业务逻辑重新整理，重构代码至门诊医生工作站中；</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支持医保相关流程及控制梳理；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支持原来医保流程改造，独立封装接口供诊间系统调用。</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2.2.2.1.2一体化急诊预检分诊工作站</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（1）预检分诊</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支持过滤显示各院区急诊患者数据，对应院区的预检分诊；</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支持按院区不同模式代收挂号费功能。</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SA"/>
        </w:rPr>
        <w:t>（2）分诊评估</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增加分诊数据院区标识，支持按院区进行分诊评估；</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支持患者生命体征、各类评分院区标识保存；</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支持问诊信息院区标识保存。</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（3）分诊列表</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支持按院区显示分诊人数列表、按院区显示当天分诊人数列表、按患者分诊状态进行筛选显示、按院区按患者疾病等级进行筛选显示。</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（4）群体事件</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支持按院区群体事件基本信息登记并保存相关标识；</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支持按院区群体事件伤者快速分诊。</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（5）临床报表</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支持院区选择，支持多院区分诊病人明细、分诊人次统计等功能。</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2.2.2.1.3一体化急诊留抢医生工作站</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（1）床位牌</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支持按照院区进行床位牌管理；</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支持跨院区过敏史数据显示；</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支持患者医生分院区分配；</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支持院区选择，床位牌卡片形式和列表形式可按院区进行切换。</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（2）患者首页</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支持院区选择，按照院区显示患者概览、医嘱、抢救、留抢首页、检验报告、检查报告、会诊、用血、手术、病历文书等内容；</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支持跨院区患者就诊历史查看；</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支持跨院区历史医疗证明查看；</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支持打印费用处理转移到各院区门诊结算。</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（3）急诊报表</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支持多院区急诊收治人数统计。</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2.2.2.1.4一体化急诊留抢护士工作站</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（1）床位牌</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支持按照院区进行床位牌管理；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支持跨院区过敏史数据显示；</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支持患者护士分院区分配；</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支持院区选择，床位牌卡片形式和列表形式可按院区进行切换。</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（2）患者首页</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支持院区选择，按照院区显示患者概览、医嘱、抢救、留抢首页、检验报告、检查报告、会诊、用血、手术、病历文书等内容。</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（3）急诊报表</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支持多院区急诊收治人数统计。</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（4）查询统计</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支持院区选择，可按照院区进行出院患者检索、当日留抢、急诊患者统计、按指定日期检索患者信息，同时支持根据检索结果显示患者信息列表，抢救患者醒目显示。</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2.2.2.1.5一体化急诊皮试输液管理</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SA"/>
        </w:rPr>
        <w:t>（1）输液接药</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接药登记。</w:t>
      </w:r>
      <w:r>
        <w:rPr>
          <w:rFonts w:hint="eastAsia" w:ascii="宋体" w:hAnsi="宋体" w:eastAsia="宋体" w:cs="宋体"/>
          <w:color w:val="auto"/>
          <w:kern w:val="0"/>
          <w:sz w:val="21"/>
          <w:szCs w:val="21"/>
          <w:highlight w:val="none"/>
          <w:lang w:val="en-US" w:eastAsia="zh-CN" w:bidi="ar-SA"/>
        </w:rPr>
        <w:t>增加院区选项，支持本院区通过不同方式核对输液药品，进行接药登记。</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选座。</w:t>
      </w:r>
      <w:r>
        <w:rPr>
          <w:rFonts w:hint="eastAsia" w:ascii="宋体" w:hAnsi="宋体" w:eastAsia="宋体" w:cs="宋体"/>
          <w:color w:val="auto"/>
          <w:kern w:val="0"/>
          <w:sz w:val="21"/>
          <w:szCs w:val="21"/>
          <w:highlight w:val="none"/>
          <w:lang w:val="en-US" w:eastAsia="zh-CN" w:bidi="ar-SA"/>
        </w:rPr>
        <w:t>增加院区选项，支持为患者选择本院区座位。</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（2）输液执行</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增加院区选项，同时输液患者查询界面执行情况增加院区过滤。</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（3）输液工作量统计</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增加院区选项，支持多院区接药记录统计、输液记录统计。</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（4）皮试登记、反馈、记录</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皮试登记。</w:t>
      </w:r>
      <w:r>
        <w:rPr>
          <w:rFonts w:hint="eastAsia" w:ascii="宋体" w:hAnsi="宋体" w:eastAsia="宋体" w:cs="宋体"/>
          <w:color w:val="auto"/>
          <w:kern w:val="0"/>
          <w:sz w:val="21"/>
          <w:szCs w:val="21"/>
          <w:highlight w:val="none"/>
          <w:lang w:val="en-US" w:eastAsia="zh-CN" w:bidi="ar-SA"/>
        </w:rPr>
        <w:t>支持按院区患者读卡后显示患者基本信息、药品信息，皮试信息的登记提交。</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皮试列表。</w:t>
      </w:r>
      <w:r>
        <w:rPr>
          <w:rFonts w:hint="eastAsia" w:ascii="宋体" w:hAnsi="宋体" w:eastAsia="宋体" w:cs="宋体"/>
          <w:color w:val="auto"/>
          <w:kern w:val="0"/>
          <w:sz w:val="21"/>
          <w:szCs w:val="21"/>
          <w:highlight w:val="none"/>
          <w:lang w:val="en-US" w:eastAsia="zh-CN" w:bidi="ar-SA"/>
        </w:rPr>
        <w:t>支持按院区显示本院皮试列表。</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（5）注射处理、统计</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注射处理。</w:t>
      </w:r>
      <w:r>
        <w:rPr>
          <w:rFonts w:hint="eastAsia" w:ascii="宋体" w:hAnsi="宋体" w:eastAsia="宋体" w:cs="宋体"/>
          <w:color w:val="auto"/>
          <w:kern w:val="0"/>
          <w:sz w:val="21"/>
          <w:szCs w:val="21"/>
          <w:highlight w:val="none"/>
          <w:lang w:val="en-US" w:eastAsia="zh-CN" w:bidi="ar-SA"/>
        </w:rPr>
        <w:t>增加院区选项，支持读卡显示患者需要注射的医嘱信息，护士可进行执行确认。</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注射统计。</w:t>
      </w:r>
      <w:r>
        <w:rPr>
          <w:rFonts w:hint="eastAsia" w:ascii="宋体" w:hAnsi="宋体" w:eastAsia="宋体" w:cs="宋体"/>
          <w:color w:val="auto"/>
          <w:kern w:val="0"/>
          <w:sz w:val="21"/>
          <w:szCs w:val="21"/>
          <w:highlight w:val="none"/>
          <w:lang w:val="en-US" w:eastAsia="zh-CN" w:bidi="ar-SA"/>
        </w:rPr>
        <w:t>增加院区选项，支持查看已完成注射的患者列表，并且可读卡或手动定位到个人并查看注射详情。</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（6）基础设置</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收费套餐维护。</w:t>
      </w:r>
      <w:r>
        <w:rPr>
          <w:rFonts w:hint="eastAsia" w:ascii="宋体" w:hAnsi="宋体" w:eastAsia="宋体" w:cs="宋体"/>
          <w:color w:val="auto"/>
          <w:kern w:val="0"/>
          <w:sz w:val="21"/>
          <w:szCs w:val="21"/>
          <w:highlight w:val="none"/>
          <w:lang w:val="en-US" w:eastAsia="zh-CN" w:bidi="ar-SA"/>
        </w:rPr>
        <w:t>增加院区选项，对输液室常用的收费项目进行维护，根据不同类型的输液方式，分别维护多个套餐，方便在费用录入的时候快速导入，进行收费。</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座位管理。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增加院区选项，可分别维护座位（普通区，躺椅区，儿童区等），可以对维护好的座位进行作废，修改处理；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支持查看各院区座位的使用情况，以及使用座位者姓名信息。</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（7）急诊报表</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支持多院区急诊收治人数统计。</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2.2.2.1.6一体化住院医生工作站</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（1）工作台</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临床提示。</w:t>
      </w:r>
      <w:r>
        <w:rPr>
          <w:rFonts w:hint="eastAsia" w:ascii="宋体" w:hAnsi="宋体" w:eastAsia="宋体" w:cs="宋体"/>
          <w:color w:val="auto"/>
          <w:kern w:val="0"/>
          <w:sz w:val="21"/>
          <w:szCs w:val="21"/>
          <w:highlight w:val="none"/>
          <w:lang w:val="en-US" w:eastAsia="zh-CN" w:bidi="ar-SA"/>
        </w:rPr>
        <w:t>增加院区选项，支持按照院区对诊疗组病人临床提示。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待完成任务展示。</w:t>
      </w:r>
      <w:r>
        <w:rPr>
          <w:rFonts w:hint="eastAsia" w:ascii="宋体" w:hAnsi="宋体" w:eastAsia="宋体" w:cs="宋体"/>
          <w:color w:val="auto"/>
          <w:kern w:val="0"/>
          <w:sz w:val="21"/>
          <w:szCs w:val="21"/>
          <w:highlight w:val="none"/>
          <w:lang w:val="en-US" w:eastAsia="zh-CN" w:bidi="ar-SA"/>
        </w:rPr>
        <w:t>支持对待处理会诊，待审批病历、手术申请、用血申请，出院病人待录项，病历质控消息功能等增加院区选项，当日待完成任务按照院区条件过滤展示。</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SA"/>
        </w:rPr>
        <w:t>住院指标展示。</w:t>
      </w:r>
      <w:r>
        <w:rPr>
          <w:rFonts w:hint="eastAsia" w:ascii="宋体" w:hAnsi="宋体" w:eastAsia="宋体" w:cs="宋体"/>
          <w:color w:val="auto"/>
          <w:kern w:val="0"/>
          <w:sz w:val="21"/>
          <w:szCs w:val="21"/>
          <w:highlight w:val="none"/>
          <w:lang w:val="en-US" w:eastAsia="zh-CN" w:bidi="ar-SA"/>
        </w:rPr>
        <w:t>新增院区选项，支持按院区对当月手术总台数，当月抗菌药物使用率、当月抗菌药物送检率等、临床路径人数等数据进行展示。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患者信息展示。</w:t>
      </w:r>
      <w:r>
        <w:rPr>
          <w:rFonts w:hint="eastAsia" w:ascii="宋体" w:hAnsi="宋体" w:eastAsia="宋体" w:cs="宋体"/>
          <w:color w:val="auto"/>
          <w:kern w:val="0"/>
          <w:sz w:val="21"/>
          <w:szCs w:val="21"/>
          <w:highlight w:val="none"/>
          <w:lang w:val="en-US" w:eastAsia="zh-CN" w:bidi="ar-SA"/>
        </w:rPr>
        <w:t>新增院区选项，支持按院区对患者信息概览、床位牌、授权病人、会诊与出院病人进行展示；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会诊管理。</w:t>
      </w:r>
      <w:r>
        <w:rPr>
          <w:rFonts w:hint="eastAsia" w:ascii="宋体" w:hAnsi="宋体" w:eastAsia="宋体" w:cs="宋体"/>
          <w:color w:val="auto"/>
          <w:kern w:val="0"/>
          <w:sz w:val="21"/>
          <w:szCs w:val="21"/>
          <w:highlight w:val="none"/>
          <w:lang w:val="en-US" w:eastAsia="zh-CN" w:bidi="ar-SA"/>
        </w:rPr>
        <w:t>支持会诊管理按院区过滤。</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检查历史报告。</w:t>
      </w:r>
      <w:r>
        <w:rPr>
          <w:rFonts w:hint="eastAsia" w:ascii="宋体" w:hAnsi="宋体" w:eastAsia="宋体" w:cs="宋体"/>
          <w:color w:val="auto"/>
          <w:kern w:val="0"/>
          <w:sz w:val="21"/>
          <w:szCs w:val="21"/>
          <w:highlight w:val="none"/>
          <w:lang w:val="en-US" w:eastAsia="zh-CN" w:bidi="ar-SA"/>
        </w:rPr>
        <w:t>新增院区选项，支持按院区对检查历史报告进行查看，包括患者具体检查项目，检查结果，查看报告图片，查看闭环等。</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检验历史报告。</w:t>
      </w:r>
      <w:r>
        <w:rPr>
          <w:rFonts w:hint="eastAsia" w:ascii="宋体" w:hAnsi="宋体" w:eastAsia="宋体" w:cs="宋体"/>
          <w:color w:val="auto"/>
          <w:kern w:val="0"/>
          <w:sz w:val="21"/>
          <w:szCs w:val="21"/>
          <w:highlight w:val="none"/>
          <w:lang w:val="en-US" w:eastAsia="zh-CN" w:bidi="ar-SA"/>
        </w:rPr>
        <w:t>新增院区选项，支持按院区查看患者具体检验项目，查看闭环，生成趋势图。</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医生交班。</w:t>
      </w:r>
      <w:r>
        <w:rPr>
          <w:rFonts w:hint="eastAsia" w:ascii="宋体" w:hAnsi="宋体" w:eastAsia="宋体" w:cs="宋体"/>
          <w:color w:val="auto"/>
          <w:kern w:val="0"/>
          <w:sz w:val="21"/>
          <w:szCs w:val="21"/>
          <w:highlight w:val="none"/>
          <w:lang w:val="en-US" w:eastAsia="zh-CN" w:bidi="ar-SA"/>
        </w:rPr>
        <w:t>新增院区选项，支持生成和查看多病区医生交班概况，支持按院区查看新编辑交班内容，交班汇总，交班历史。</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医生病历。</w:t>
      </w:r>
      <w:r>
        <w:rPr>
          <w:rFonts w:hint="eastAsia" w:ascii="宋体" w:hAnsi="宋体" w:eastAsia="宋体" w:cs="宋体"/>
          <w:color w:val="auto"/>
          <w:kern w:val="0"/>
          <w:sz w:val="21"/>
          <w:szCs w:val="21"/>
          <w:highlight w:val="none"/>
          <w:lang w:val="en-US" w:eastAsia="zh-CN" w:bidi="ar-SA"/>
        </w:rPr>
        <w:t>新增院区选项，支持医生病历按病区提交信息。</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GCP患者展示。</w:t>
      </w:r>
      <w:r>
        <w:rPr>
          <w:rFonts w:hint="eastAsia" w:ascii="宋体" w:hAnsi="宋体" w:eastAsia="宋体" w:cs="宋体"/>
          <w:color w:val="auto"/>
          <w:kern w:val="0"/>
          <w:sz w:val="21"/>
          <w:szCs w:val="21"/>
          <w:highlight w:val="none"/>
          <w:lang w:val="en-US" w:eastAsia="zh-CN" w:bidi="ar-SA"/>
        </w:rPr>
        <w:t>新增院区选项，支持按照按院区对GCP患者信息进行查看。</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（2）手术管理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对手术流程、相关文书进行多院区改造，支持查看本院区手术的安排信息，和实时状态。</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（3）用血管理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新增院区选项，支持多院区用血流程、相关文书、用血记录等查看展示。</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（4）临床数据查询</w:t>
      </w:r>
    </w:p>
    <w:p>
      <w:pPr>
        <w:adjustRightInd w:val="0"/>
        <w:snapToGrid w:val="0"/>
        <w:spacing w:line="360" w:lineRule="auto"/>
        <w:ind w:left="538" w:firstLine="0"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val="en-US" w:eastAsia="zh-CN" w:bidi="ar-SA"/>
        </w:rPr>
        <w:t>新增院区选项，支持多院区检查报告，检验报告，生命体征，医嘱，历史病历（门诊、住院），护理记录（体温单、血糖记录单、护理评估）等临床数据查阅；</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支持多院区检验、检查的全闭环流程跟踪查询；</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支持检验、检查报告按院区、按时间、按项目查看；</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支持历史病历可按院区查询，查看患者门诊，住院，急诊的就诊历史。</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（5）病历文书</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增加院区各类模板标识。</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（6）医嘱管理</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增加本院区对应药房相关业务改造及控制，主要包括医嘱下达、医嘱复制、删除、撤销等业务流程改造；</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支持医嘱开立时，自动判断本院区对应药房的流程。</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（7）危急值消息及处理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增加院区选项，支持按院区显示危急值报告功能。</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（8）医疗证明</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增加院区选项，支持按院区保存相关医疗证明。</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（9）报表管理</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住院报表。</w:t>
      </w:r>
      <w:r>
        <w:rPr>
          <w:rFonts w:hint="eastAsia" w:ascii="宋体" w:hAnsi="宋体" w:eastAsia="宋体" w:cs="宋体"/>
          <w:color w:val="auto"/>
          <w:kern w:val="0"/>
          <w:sz w:val="21"/>
          <w:szCs w:val="21"/>
          <w:highlight w:val="none"/>
          <w:lang w:val="en-US" w:eastAsia="zh-CN" w:bidi="ar-SA"/>
        </w:rPr>
        <w:t>增加院区选项，支持多院区17点和8点在院及入院人次、费用明细查询、眼科慈善助医院统计、住院预交款查询、住院预交款明细、住院预交款往来、住院月末留院费用查询等。</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财务报表。</w:t>
      </w:r>
      <w:r>
        <w:rPr>
          <w:rFonts w:hint="eastAsia" w:ascii="宋体" w:hAnsi="宋体" w:eastAsia="宋体" w:cs="宋体"/>
          <w:color w:val="auto"/>
          <w:kern w:val="0"/>
          <w:sz w:val="21"/>
          <w:szCs w:val="21"/>
          <w:highlight w:val="none"/>
          <w:lang w:val="en-US" w:eastAsia="zh-CN" w:bidi="ar-SA"/>
        </w:rPr>
        <w:t>增加院区选项，支持多院区120急救收费统计、GCP汇总统计、财务收入统计表、挂号人次统计、门诊出诊天数统计、门诊电子发票查询、门诊科室工作量、门诊医生收治人数统计、全院收入按核算项目明细、全院收入统计、甬易支付方式统计、支付明细统计、住院收入按核算项目统计等。</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（10）基础管理</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支持针对原有医嘱表、医嘱费用表、医技申请单表、住院计费单表、临床路径表、手术申请表、用血申请表、会诊单表相关表结构针对多院区需要进行改造升级。</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2.2.2.1.7一体化住院护士工作站</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（1）患者管理</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对患者入科、患者转科、患者概览院区相关节点进行改造，支持显示本院区相关数据字典。</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（2）医嘱业务</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支持生成医嘱执行计划本院区对应药房控制；</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支持药品请领至本院区对应药房。</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（3）基础业务</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针对医嘱执行表，药品申请单表，护理病历表，床位牌显示表,检验条码表，管道评估表进行多院区改造。</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2.2.2.1.8医生临床路径管理</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（1）病种管理</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病种与对应疾病列表支持显示已维护的病种与疾病列表，支持新增病种与疾病种类、作废病种、修改病种及对应疾病种类；</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支持多病区变异规则维护，维护具体变异项目，变异因素，变异内容；支持多病区合理变异设置，与病种和项目关联。</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（2）路径维护</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新增临床路径。</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路径维护支持对已经维护好的病种新增临床路径，新增临床路径时，支持填写参考费用以及项目阶段的自定义设置；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支持修改、作废、复制已经维护的临床路径。管理者还可审核已经提交的临床路径，只有被审核通过的临床路径才能启用。</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临床路径修改。</w:t>
      </w:r>
      <w:r>
        <w:rPr>
          <w:rFonts w:hint="eastAsia" w:ascii="宋体" w:hAnsi="宋体" w:eastAsia="宋体" w:cs="宋体"/>
          <w:color w:val="auto"/>
          <w:kern w:val="0"/>
          <w:sz w:val="21"/>
          <w:szCs w:val="21"/>
          <w:highlight w:val="none"/>
          <w:lang w:val="en-US" w:eastAsia="zh-CN" w:bidi="ar-SA"/>
        </w:rPr>
        <w:t>支持某个临床路径中阶段和项目的增加、删除和修改，路径中项目支持的类型有药品、检查、检验和手术。</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SA"/>
        </w:rPr>
        <w:t>维护子路径。</w:t>
      </w:r>
      <w:r>
        <w:rPr>
          <w:rFonts w:hint="eastAsia" w:ascii="宋体" w:hAnsi="宋体" w:eastAsia="宋体" w:cs="宋体"/>
          <w:color w:val="auto"/>
          <w:kern w:val="0"/>
          <w:sz w:val="21"/>
          <w:szCs w:val="21"/>
          <w:highlight w:val="none"/>
          <w:lang w:val="en-US" w:eastAsia="zh-CN" w:bidi="ar-SA"/>
        </w:rPr>
        <w:t>支持维护多病区子路径数据，支持根据不同病情走向，设置不同子路径。</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维护药品数据。</w:t>
      </w:r>
      <w:r>
        <w:rPr>
          <w:rFonts w:hint="eastAsia" w:ascii="宋体" w:hAnsi="宋体" w:eastAsia="宋体" w:cs="宋体"/>
          <w:color w:val="auto"/>
          <w:kern w:val="0"/>
          <w:sz w:val="21"/>
          <w:szCs w:val="21"/>
          <w:highlight w:val="none"/>
          <w:lang w:val="en-US" w:eastAsia="zh-CN" w:bidi="ar-SA"/>
        </w:rPr>
        <w:t>支持维护多病区路径的默认药品数据。</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维护多病区路径顺序号。</w:t>
      </w:r>
      <w:r>
        <w:rPr>
          <w:rFonts w:hint="eastAsia" w:ascii="宋体" w:hAnsi="宋体" w:eastAsia="宋体" w:cs="宋体"/>
          <w:color w:val="auto"/>
          <w:kern w:val="0"/>
          <w:sz w:val="21"/>
          <w:szCs w:val="21"/>
          <w:highlight w:val="none"/>
          <w:lang w:val="en-US" w:eastAsia="zh-CN" w:bidi="ar-SA"/>
        </w:rPr>
        <w:t>支持维护多病区路径的多阶段的顺序号。</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查询。</w:t>
      </w:r>
      <w:r>
        <w:rPr>
          <w:rFonts w:hint="eastAsia" w:ascii="宋体" w:hAnsi="宋体" w:eastAsia="宋体" w:cs="宋体"/>
          <w:color w:val="auto"/>
          <w:kern w:val="0"/>
          <w:sz w:val="21"/>
          <w:szCs w:val="21"/>
          <w:highlight w:val="none"/>
          <w:lang w:val="en-US" w:eastAsia="zh-CN" w:bidi="ar-SA"/>
        </w:rPr>
        <w:t>支持路径列表的模糊查询，快速定为路径位置。</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（3）替换项目维护</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支持替换项目列表、新增替换项目、作废替换项目、变异原因列表、新增变异原因、删除变异原因。</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（4）患者出入径管理</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临床医嘱导入。</w:t>
      </w:r>
      <w:r>
        <w:rPr>
          <w:rFonts w:hint="eastAsia" w:ascii="宋体" w:hAnsi="宋体" w:eastAsia="宋体" w:cs="宋体"/>
          <w:color w:val="auto"/>
          <w:kern w:val="0"/>
          <w:sz w:val="21"/>
          <w:szCs w:val="21"/>
          <w:highlight w:val="none"/>
          <w:lang w:val="en-US" w:eastAsia="zh-CN" w:bidi="ar-SA"/>
        </w:rPr>
        <w:t>支持临床医生对已入径患者导入临床路径医嘱，导入后的临床路径医嘱可在医嘱管理中查看，同时支持临床路径阶段的调整、临床路径项目筛选、项目调整。</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异常原因录入。</w:t>
      </w:r>
      <w:r>
        <w:rPr>
          <w:rFonts w:hint="eastAsia" w:ascii="宋体" w:hAnsi="宋体" w:eastAsia="宋体" w:cs="宋体"/>
          <w:color w:val="auto"/>
          <w:kern w:val="0"/>
          <w:sz w:val="21"/>
          <w:szCs w:val="21"/>
          <w:highlight w:val="none"/>
          <w:lang w:val="en-US" w:eastAsia="zh-CN" w:bidi="ar-SA"/>
        </w:rPr>
        <w:t>支持对已入径的患者中途异常出径并录入异常出径原因。当患者完成全部临床路径阶段的项目，临床医生可对患者正常出径。</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入径情况查看。</w:t>
      </w:r>
      <w:r>
        <w:rPr>
          <w:rFonts w:hint="eastAsia" w:ascii="宋体" w:hAnsi="宋体" w:eastAsia="宋体" w:cs="宋体"/>
          <w:color w:val="auto"/>
          <w:kern w:val="0"/>
          <w:sz w:val="21"/>
          <w:szCs w:val="21"/>
          <w:highlight w:val="none"/>
          <w:lang w:val="en-US" w:eastAsia="zh-CN" w:bidi="ar-SA"/>
        </w:rPr>
        <w:t>支持查看患者历史入径数据；</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（5）临床路径统计</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支持系统通过数据分析统计与临床路径相关的指标包括出入径人数、各科室路径实施情况、变异率、按病种付费病种数等。</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2.2.2.1.9移动护理</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（1）移动护理</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支持多院区用户选择和切换院区进行登录。</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1）患者管理床位牌。</w:t>
      </w:r>
    </w:p>
    <w:p>
      <w:pPr>
        <w:keepLines w:val="0"/>
        <w:pageBreakBefore w:val="0"/>
        <w:widowControl/>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支持在病区床位上显示患者状态标识，病人信息栏出现的图标标识患者当前的状态，如护理等级，防跌倒，高温病人，新病人、过敏史、新医嘱、手术病人、欠费等。</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支持在登录界面选择病区登录系统后，进入患者列表界面，有多个病区权限的用户可选择病区进行切换，同时可通过床位组查看自己所负责的患者，床位牌显示的风格也可自定义设置；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支持患者列表扫腕带进行患者相关医嘱的执行和按照姓名住院号进行患者查询；</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支持按照患者状态标识查询相应的患者。</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患者分组管理。</w:t>
      </w:r>
      <w:r>
        <w:rPr>
          <w:rFonts w:hint="eastAsia" w:ascii="宋体" w:hAnsi="宋体" w:eastAsia="宋体" w:cs="宋体"/>
          <w:color w:val="auto"/>
          <w:kern w:val="0"/>
          <w:sz w:val="21"/>
          <w:szCs w:val="21"/>
          <w:highlight w:val="none"/>
          <w:lang w:val="en-US" w:eastAsia="zh-CN" w:bidi="ar-SA"/>
        </w:rPr>
        <w:t>支持将本病区病人分配给相应责任护士。</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入科。</w:t>
      </w:r>
      <w:r>
        <w:rPr>
          <w:rFonts w:hint="eastAsia" w:ascii="宋体" w:hAnsi="宋体" w:eastAsia="宋体" w:cs="宋体"/>
          <w:color w:val="auto"/>
          <w:kern w:val="0"/>
          <w:sz w:val="21"/>
          <w:szCs w:val="21"/>
          <w:highlight w:val="none"/>
          <w:lang w:val="en-US" w:eastAsia="zh-CN" w:bidi="ar-SA"/>
        </w:rPr>
        <w:t>支持为新入院患者办理入科，通过病人腕带扫描，可对病人基本信息进行展示，填写相关内容后保存，完成入科操作。</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转科。</w:t>
      </w:r>
      <w:r>
        <w:rPr>
          <w:rFonts w:hint="eastAsia" w:ascii="宋体" w:hAnsi="宋体" w:eastAsia="宋体" w:cs="宋体"/>
          <w:color w:val="auto"/>
          <w:kern w:val="0"/>
          <w:sz w:val="21"/>
          <w:szCs w:val="21"/>
          <w:highlight w:val="none"/>
          <w:lang w:val="en-US" w:eastAsia="zh-CN" w:bidi="ar-SA"/>
        </w:rPr>
        <w:t>支持通过扫描患者腕带填写信息保存成功后，对患者当前的护理记录单上病情变化与措施插入相应的记录。</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2）查询统计</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支持多院区医嘱查询。</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（2）留抢移动护理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留抢护士日常工作需要，基于PDA，进行留抢移动护理应用建设，可进行患者的医嘱执行、各类闭环管理、各类文书查询及记录等工作，提高留抢护士工作效率，提高留抢患者安全性，主要包括留抢患者列表展示、医嘱执行、病人入科、输血闭环、标本送检、病房巡视、巡视查询、批量血糖录入、检验检查查询、护理评估、健康宣教、查询统计等功能模块。</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1）留抢患者列表展示</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支持可切换不同风格展示患者信息，同时可根据患者姓名等各类筛选条件筛选患者，另外针对患者各类不同的护理标识可进行显示，包括护理登记、跌倒、高危、过敏、多重耐药等。</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2）医嘱执行</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支持通过扫描患者腕带，展示患者各类医嘱信息，在同一页面进行各类医嘱的执行，支持高危药品双签名执行。</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3）病人入科</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支持通过扫描患者腕带后，进行入科确认，使入科时间更加准确。</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4）输血闭环</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对血袋收血、用血双人核对、用血巡视、结束、血袋回收等全流程管理，当用血出库超过30分钟进行警示提醒，输血开始、输血15分钟、输血结束时可进行生命体征录入，同时可对不良反应进行录入并通知医生。</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5）标本送检</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支持检验标本执行后将样本送检，系统可对送检时间及送检人信息进行记录。</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6）病房巡视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支持按患者的护理等级自动生成巡视计划列表，在计划巡视时间外如果超时的可填写超时原因，以供后续督察分析，同时可对巡视信息回传至PC端。</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7）批量血糖录入</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支持自动同步PC端血糖测量医嘱，过滤不同测量时机下的患者列表，方便护士录入。</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8）护理评估</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支持对各项护理评估结果进行录入，同时已录入的护理评估计信息可进行查询，另外针对PC端患者待评记录提醒信息可进行同步，以防遗漏。</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9）健康宣教</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支持在PDA上进行健康宣教，同时支持同步PC端智能生成的宣教内容进行床旁宣教。</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10）查询</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巡视查询。</w:t>
      </w:r>
      <w:r>
        <w:rPr>
          <w:rFonts w:hint="eastAsia" w:ascii="宋体" w:hAnsi="宋体" w:eastAsia="宋体" w:cs="宋体"/>
          <w:color w:val="auto"/>
          <w:kern w:val="0"/>
          <w:sz w:val="21"/>
          <w:szCs w:val="21"/>
          <w:highlight w:val="none"/>
          <w:lang w:val="en-US" w:eastAsia="zh-CN" w:bidi="ar-SA"/>
        </w:rPr>
        <w:t>支持对历史巡视记录进行查询，可根据巡视时间展示巡视记录。</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检验检查查询。</w:t>
      </w:r>
      <w:r>
        <w:rPr>
          <w:rFonts w:hint="eastAsia" w:ascii="宋体" w:hAnsi="宋体" w:eastAsia="宋体" w:cs="宋体"/>
          <w:color w:val="auto"/>
          <w:kern w:val="0"/>
          <w:sz w:val="21"/>
          <w:szCs w:val="21"/>
          <w:highlight w:val="none"/>
          <w:lang w:val="en-US" w:eastAsia="zh-CN" w:bidi="ar-SA"/>
        </w:rPr>
        <w:t>支持检验检查结果查询，包括术前检查等，使手术室护士通过PDA就能快速查询患者手术相关检验检查结果。</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医嘱查询。</w:t>
      </w:r>
      <w:r>
        <w:rPr>
          <w:rFonts w:hint="eastAsia" w:ascii="宋体" w:hAnsi="宋体" w:eastAsia="宋体" w:cs="宋体"/>
          <w:color w:val="auto"/>
          <w:kern w:val="0"/>
          <w:sz w:val="21"/>
          <w:szCs w:val="21"/>
          <w:highlight w:val="none"/>
          <w:lang w:val="en-US" w:eastAsia="zh-CN" w:bidi="ar-SA"/>
        </w:rPr>
        <w:t>支持在PDA端查询患者所有医嘱信息，可根据执行状态及医嘱类型进行查询。</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2.2.2.1.10 CIS系统数据库改造</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支持对CIS业务数据库中的相关业务库表增加院区标识，实现两个院区数据逻辑隔离，统一管理。</w:t>
      </w:r>
    </w:p>
    <w:p>
      <w:pPr>
        <w:pStyle w:val="145"/>
        <w:keepLines w:val="0"/>
        <w:pageBreakBefore w:val="0"/>
        <w:numPr>
          <w:ilvl w:val="3"/>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2.2.2.2新业务功能开发</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2.2.2.2.1MDT会诊管理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MDT会诊管理主要用来满足临床医生MDT会诊的发起、审核、会诊意见汇总记录以及会诊记录查询的需求，同时支持管理部门对会诊团队信息的维护。MDT会诊管理主要包括会诊申请、会诊审核、会诊结果记录、会诊查询、会诊团队管理等功能模块。</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（1）会诊申请</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支持多院区MDT会诊申请，可对会诊团队进行选择，同时支持导入临床数据到病情概述，可自动获取需诊断病人的现病史、诊断补充说明等，多病区会诊申请后可进行短信通知和消息通知。</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（2）会诊审核</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支持针对会诊申请，会诊团队秘书可接收或拒绝会诊，若拒绝会诊申请，需填写拒诊原因，会诊审核后，相应的团队成员可接受到相应的会诊信息。</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（3）会诊结果记录</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支持对患者病情描述进行查看，同时每位出席医生可记录个人的会诊意见，系统可支持对会诊意见进行汇总；</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支持会诊意见采纳情况的记录，可由团队秘书现场直接确定，也可在会诊后由申请医生填写，若不采纳则需填写不采纳的理由；</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支持最终提交会诊结果时由会诊首席专家通过工号密码签名确认会诊讨论结果。</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（4）会诊查询</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支持通过申请日期、会诊团队、申请医生、患者姓名、就诊卡号等多维度检索会诊记录，同时可对会诊详情进行查看，通过医生账号控制列表内容查看权限。</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（5）会诊团队管理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会诊团队进行新增、修改和启/停用等操作，同时可对会诊团队信息进行维护，包括团队名称、团队秘书、会诊病种、团队科室等信息，另外全员MDT会诊团队以列表形式进行展示，可通过名称、状态等进行筛选检索。</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2.2.2.2.2急诊质控管理</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急诊质控管理主要实现最新的急诊质控指标管理，提供多种急诊科室统计，满足科室质控和管理需求，主要包括急诊质控指标的管理、危急值管理功能模块。</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（1）急诊质控指标统计分析</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支持急诊质控指标的管理，包含急诊科医患比、急诊科护患比、急诊各级患者比例、急性心肌梗死。</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（2）危急值管理</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支持有效管理急诊科常见危急值，能够在医护工作站，分诊工作站予以提示和异常提醒。</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2.2.2.2.3手术分级管理</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手术分级管理主要是实现手术分级管理，针对手术医师进行权限控制，主要包括手术分级基础设置、手术申请及审批、报表数据查询等功能。</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（1）手术分级基础设置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支持提供手术分级字典定义，可对手术字典按手术分级目录进行手术等级设置；</w:t>
      </w:r>
    </w:p>
    <w:p>
      <w:pPr>
        <w:numPr>
          <w:ilvl w:val="0"/>
          <w:numId w:val="4"/>
        </w:numPr>
        <w:adjustRightInd w:val="0"/>
        <w:snapToGrid w:val="0"/>
        <w:spacing w:line="360" w:lineRule="auto"/>
        <w:ind w:left="340" w:firstLine="198" w:firstLineChars="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支持提供以医师维度设置可准入的手术项目和准入医师。</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（2）手术申请及审批</w:t>
      </w:r>
    </w:p>
    <w:p>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支持根据医生输入手术名称，自动进行手术项目分级，同时提供手术项目与手术医师准入校验自动提醒，并可发起手术的电子审批流程。</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（3）报表数据查询</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支持手术病人信息查询、手术病人申请信息查询、手术病人审批信息查询、手术病人手术等级查询、手术分类统计报表查询等。</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2.2.2.2.4日间手术管理</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日间手术管理系统是现代医院经营模式变化中产生的新需求</w:t>
      </w: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该系统都是整个数字化医院建设的重要组成部分，是实现居民健康的重要保障之一，有利于提升医院的效率和效益，缓解医疗资源的紧缺。在原有门诊医生工作站中新增日间手术管理模块，主要包括患者信息管理、日间手术申请、日间手术开单、日间手术统计等功能模块。</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（1）患者信息管理</w:t>
      </w:r>
    </w:p>
    <w:p>
      <w:pPr>
        <w:adjustRightInd w:val="0"/>
        <w:snapToGrid w:val="0"/>
        <w:spacing w:line="360" w:lineRule="auto"/>
        <w:ind w:firstLine="422" w:firstLineChars="200"/>
        <w:rPr>
          <w:rFonts w:hint="eastAsia" w:ascii="宋体" w:hAnsi="宋体" w:eastAsia="宋体" w:cs="宋体"/>
          <w:color w:val="auto"/>
          <w:kern w:val="0"/>
          <w:sz w:val="21"/>
          <w:szCs w:val="21"/>
          <w:highlight w:val="none"/>
        </w:rPr>
      </w:pPr>
      <w:r>
        <w:rPr>
          <w:rFonts w:hint="eastAsia" w:ascii="宋体" w:hAnsi="宋体" w:eastAsia="宋体" w:cs="宋体"/>
          <w:b/>
          <w:bCs/>
          <w:color w:val="auto"/>
          <w:sz w:val="21"/>
          <w:szCs w:val="21"/>
          <w:highlight w:val="none"/>
        </w:rPr>
        <w:t>患者信息登记。</w:t>
      </w:r>
      <w:r>
        <w:rPr>
          <w:rFonts w:hint="eastAsia" w:ascii="宋体" w:hAnsi="宋体" w:eastAsia="宋体" w:cs="宋体"/>
          <w:color w:val="auto"/>
          <w:sz w:val="21"/>
          <w:szCs w:val="21"/>
          <w:highlight w:val="none"/>
        </w:rPr>
        <w:t>支持对患者基本信息进行登记展示，包括登记号、病人姓名、性别、年龄、体重、联系电话、就诊科室、诊断、日间病房、床位、家庭地址、病人标签（已联系、电话未接）、备注说明、主治医生、主治医生工号、手术名称、手术日期、特殊说明等，分床后改信息转到预约床位患者管理。</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预约信息管理。</w:t>
      </w:r>
      <w:r>
        <w:rPr>
          <w:rFonts w:hint="eastAsia" w:ascii="宋体" w:hAnsi="宋体" w:eastAsia="宋体" w:cs="宋体"/>
          <w:color w:val="auto"/>
          <w:sz w:val="21"/>
          <w:szCs w:val="21"/>
          <w:highlight w:val="none"/>
        </w:rPr>
        <w:t>支持对患者预约信息按患者预约时间有近到远进行显示，同时可对患者预约信息进行修改，预约成果后可发送手术通知短信。</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（2）预约床位患者管理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支持按日期、病房、主治医生、状态、标签、性别检索床位；支持所有医生的手术汇总数量查询；已预约状态可以取消预约或修改，并对取消原因进行填写；病人标签显示患者电话已接、未接，男、女等情况。</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（3）预约日历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支持根据预约管理的手术日期统计当天医生手术量；支持医生检索，显示医师当前星期的预约的手术安排的患者；支持按日历卡片形式展示当天医生手术量。</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（4）日间手术申请</w:t>
      </w:r>
    </w:p>
    <w:p>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在门诊医生工作站住院申请界面中新增日间手术功能点，支持门诊医生在填写住院申请信息时，可勾选日间手术，并填写住院病区、住院科室、预住院日期、联系人等信息。</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（5）日间手术检查检验预约申请</w:t>
      </w:r>
    </w:p>
    <w:p>
      <w:pPr>
        <w:adjustRightInd w:val="0"/>
        <w:snapToGrid w:val="0"/>
        <w:spacing w:line="360" w:lineRule="auto"/>
        <w:ind w:firstLine="420" w:firstLineChars="200"/>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在门诊医生工作站住院申请界面中新增日间检查、检验预约申请，支持门诊医生在填写住院申请信息时，可完成日间检查、检验项目的预约申请。</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（6）日间手术统计</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日间手术取消统计。</w:t>
      </w:r>
      <w:r>
        <w:rPr>
          <w:rFonts w:hint="eastAsia" w:ascii="宋体" w:hAnsi="宋体" w:eastAsia="宋体" w:cs="宋体"/>
          <w:color w:val="auto"/>
          <w:sz w:val="21"/>
          <w:szCs w:val="21"/>
          <w:highlight w:val="none"/>
        </w:rPr>
        <w:t>支持根据手术日期、医生科室、手术医生作为检索条件，对所在科室、手术医生、数量进行统计。</w:t>
      </w:r>
    </w:p>
    <w:p>
      <w:pPr>
        <w:adjustRightInd w:val="0"/>
        <w:snapToGrid w:val="0"/>
        <w:spacing w:line="360" w:lineRule="auto"/>
        <w:ind w:firstLine="422" w:firstLineChars="200"/>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日间手术患者统计。</w:t>
      </w:r>
      <w:r>
        <w:rPr>
          <w:rFonts w:hint="eastAsia" w:ascii="宋体" w:hAnsi="宋体" w:eastAsia="宋体" w:cs="宋体"/>
          <w:color w:val="auto"/>
          <w:sz w:val="21"/>
          <w:szCs w:val="21"/>
          <w:highlight w:val="none"/>
        </w:rPr>
        <w:t>支持根据日期为检索条件，对病房、日期、开放床位数、预约患者数、剩余床位数、男患者数、女患者数，数量进行统计。</w:t>
      </w:r>
    </w:p>
    <w:p>
      <w:pPr>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日间手术科室医生统计。</w:t>
      </w:r>
      <w:r>
        <w:rPr>
          <w:rFonts w:hint="eastAsia" w:ascii="宋体" w:hAnsi="宋体" w:eastAsia="宋体" w:cs="宋体"/>
          <w:color w:val="auto"/>
          <w:sz w:val="21"/>
          <w:szCs w:val="21"/>
          <w:highlight w:val="none"/>
        </w:rPr>
        <w:t>支持根据日期、所属科室、手术医生作为检索条件，所在科室、手术医生、手术次数、取消次数，数量进行统计。</w:t>
      </w:r>
    </w:p>
    <w:p>
      <w:pPr>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日间手术统计图表。</w:t>
      </w:r>
      <w:r>
        <w:rPr>
          <w:rFonts w:hint="eastAsia" w:ascii="宋体" w:hAnsi="宋体" w:eastAsia="宋体" w:cs="宋体"/>
          <w:color w:val="auto"/>
          <w:sz w:val="21"/>
          <w:szCs w:val="21"/>
          <w:highlight w:val="none"/>
        </w:rPr>
        <w:t>支持对整体日间预约手术情况进行汇总统计。</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2.2.2.2.5病历无纸化</w:t>
      </w:r>
    </w:p>
    <w:p>
      <w:pPr>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CA电子签名对接</w:t>
      </w:r>
    </w:p>
    <w:p>
      <w:pPr>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1）医生端业务对接</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支持对医院现有CA签名业务接口对接。</w:t>
      </w:r>
    </w:p>
    <w:p>
      <w:pPr>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2）患者及家属签名业务对接</w:t>
      </w:r>
    </w:p>
    <w:p>
      <w:pPr>
        <w:keepLines w:val="0"/>
        <w:pageBreakBefore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支持对PAD端、手写板进行业务接口对接，医生在医生工作站完成授权书/知情文书的录入和生成，其中门诊患者通过手写板进行授权书/知情文书的签署</w:t>
      </w:r>
      <w:r>
        <w:rPr>
          <w:rFonts w:hint="eastAsia" w:ascii="宋体" w:hAnsi="宋体" w:eastAsia="宋体" w:cs="宋体"/>
          <w:color w:val="auto"/>
          <w:sz w:val="21"/>
          <w:szCs w:val="21"/>
          <w:highlight w:val="none"/>
          <w:lang w:eastAsia="zh-CN"/>
        </w:rPr>
        <w:t>。</w:t>
      </w:r>
    </w:p>
    <w:p>
      <w:pPr>
        <w:keepLines w:val="0"/>
        <w:pageBreakBefore w:val="0"/>
        <w:kinsoku/>
        <w:wordWrap/>
        <w:overflowPunct/>
        <w:topLinePunct w:val="0"/>
        <w:autoSpaceDE/>
        <w:autoSpaceDN/>
        <w:bidi w:val="0"/>
        <w:adjustRightInd w:val="0"/>
        <w:snapToGrid w:val="0"/>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病历管理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病历管理面向医院用户进行病历资料归档管理，助推医院实现临床无纸化。从患者入院至出院，病历书写至完成签收归档，再到病历借阅与复印登记，将病历进行全生命周期管理，通过改造数据权限及菜单权限，满足多院区试用的需求。</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病历提交。</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支持医生站对完成的病历进行提交归档；</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支持医生、护士病历双提交流程；</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支持病历提交时自动进行病历缺陷检查，低于预设分值的病历不允许提交；</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支持医生站对已提交的病历发起退档申请；</w:t>
      </w:r>
    </w:p>
    <w:p>
      <w:pPr>
        <w:keepLines w:val="0"/>
        <w:pageBreakBefore w:val="0"/>
        <w:numPr>
          <w:ilvl w:val="0"/>
          <w:numId w:val="4"/>
        </w:numPr>
        <w:kinsoku/>
        <w:wordWrap/>
        <w:overflowPunct/>
        <w:topLinePunct w:val="0"/>
        <w:autoSpaceDE/>
        <w:autoSpaceDN/>
        <w:bidi w:val="0"/>
        <w:adjustRightInd w:val="0"/>
        <w:snapToGrid w:val="0"/>
        <w:spacing w:before="0" w:before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支持通过参数控制是否开启强制提交以及控制提交时限。</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病历签收。</w:t>
      </w:r>
      <w:r>
        <w:rPr>
          <w:rFonts w:hint="eastAsia" w:ascii="宋体" w:hAnsi="宋体" w:eastAsia="宋体" w:cs="宋体"/>
          <w:color w:val="auto"/>
          <w:kern w:val="0"/>
          <w:sz w:val="21"/>
          <w:szCs w:val="21"/>
          <w:highlight w:val="none"/>
          <w:lang w:val="en-US" w:eastAsia="zh-CN" w:bidi="ar-SA"/>
        </w:rPr>
        <w:t>支持根据病案室人员的院区权限来显示该院区下面的病历信息，并可对病历状态进行查看、可以批量对病历进行签收、归档等。</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病历召回。</w:t>
      </w:r>
      <w:r>
        <w:rPr>
          <w:rFonts w:hint="eastAsia" w:ascii="宋体" w:hAnsi="宋体" w:eastAsia="宋体" w:cs="宋体"/>
          <w:color w:val="auto"/>
          <w:kern w:val="0"/>
          <w:sz w:val="21"/>
          <w:szCs w:val="21"/>
          <w:highlight w:val="none"/>
          <w:lang w:val="en-US" w:eastAsia="zh-CN" w:bidi="ar-SA"/>
        </w:rPr>
        <w:t>支持医生在医生站可以对已经归档的病历发起召回申请，病案室在病历管理中对召回申请进行审核，查看召回申请、召回有效期控制、有效时间内自动归档。</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退档管理。</w:t>
      </w:r>
      <w:r>
        <w:rPr>
          <w:rFonts w:hint="eastAsia" w:ascii="宋体" w:hAnsi="宋体" w:eastAsia="宋体" w:cs="宋体"/>
          <w:color w:val="auto"/>
          <w:kern w:val="0"/>
          <w:sz w:val="21"/>
          <w:szCs w:val="21"/>
          <w:highlight w:val="none"/>
          <w:lang w:val="en-US" w:eastAsia="zh-CN" w:bidi="ar-SA"/>
        </w:rPr>
        <w:t>支持按照院区对退档信息进行查看，包括病历退档、退档记录查看、退档状态查看等。</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延期申请。</w:t>
      </w:r>
      <w:r>
        <w:rPr>
          <w:rFonts w:hint="eastAsia" w:ascii="宋体" w:hAnsi="宋体" w:eastAsia="宋体" w:cs="宋体"/>
          <w:color w:val="auto"/>
          <w:kern w:val="0"/>
          <w:sz w:val="21"/>
          <w:szCs w:val="21"/>
          <w:highlight w:val="none"/>
          <w:lang w:val="en-US" w:eastAsia="zh-CN" w:bidi="ar-SA"/>
        </w:rPr>
        <w:t>支持医生对已出院患者病历进行延期归档申请，病案室对延期归档进行审核，分院区显示延期申请信息。</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复印登记。</w:t>
      </w:r>
      <w:r>
        <w:rPr>
          <w:rFonts w:hint="eastAsia" w:ascii="宋体" w:hAnsi="宋体" w:eastAsia="宋体" w:cs="宋体"/>
          <w:color w:val="auto"/>
          <w:kern w:val="0"/>
          <w:sz w:val="21"/>
          <w:szCs w:val="21"/>
          <w:highlight w:val="none"/>
          <w:lang w:val="en-US" w:eastAsia="zh-CN" w:bidi="ar-SA"/>
        </w:rPr>
        <w:t>支持申请人通过移动端进行申请复印病历，审核通过后可以快递给申请人，并可支持现场复印，按院区显示复印登记的信息，主要包括复印信息登记、患者住院记录查询、身份证件扫描、证件上传等。</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病历借阅。</w:t>
      </w:r>
      <w:r>
        <w:rPr>
          <w:rFonts w:hint="eastAsia" w:ascii="宋体" w:hAnsi="宋体" w:eastAsia="宋体" w:cs="宋体"/>
          <w:color w:val="auto"/>
          <w:kern w:val="0"/>
          <w:sz w:val="21"/>
          <w:szCs w:val="21"/>
          <w:highlight w:val="none"/>
          <w:lang w:val="en-US" w:eastAsia="zh-CN" w:bidi="ar-SA"/>
        </w:rPr>
        <w:t>支持医生在医生站发起借阅申请，病案室在病历管理系统中进行审核，形成报表，明确了解每份病历的情况，根据病历的所属院区来分院区显示病历借阅信息，包括借阅申请查看、借阅闭环节处理等功能。</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病历浏览。</w:t>
      </w:r>
      <w:r>
        <w:rPr>
          <w:rFonts w:hint="eastAsia" w:ascii="宋体" w:hAnsi="宋体" w:eastAsia="宋体" w:cs="宋体"/>
          <w:color w:val="auto"/>
          <w:kern w:val="0"/>
          <w:sz w:val="21"/>
          <w:szCs w:val="21"/>
          <w:highlight w:val="none"/>
          <w:lang w:val="en-US" w:eastAsia="zh-CN" w:bidi="ar-SA"/>
        </w:rPr>
        <w:t>支持按照院区显示病历信息列表，同时可对历史就诊医嘱进行查看、各类报告进行浏览、患者列表进行导出。</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病历锁定。</w:t>
      </w:r>
      <w:r>
        <w:rPr>
          <w:rFonts w:hint="eastAsia" w:ascii="宋体" w:hAnsi="宋体" w:eastAsia="宋体" w:cs="宋体"/>
          <w:color w:val="auto"/>
          <w:kern w:val="0"/>
          <w:sz w:val="21"/>
          <w:szCs w:val="21"/>
          <w:highlight w:val="none"/>
          <w:lang w:val="en-US" w:eastAsia="zh-CN" w:bidi="ar-SA"/>
        </w:rPr>
        <w:t>支持按照院区显示病历锁定记录，支持多种情况病历锁定、病人解锁。</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病历归档统计。</w:t>
      </w:r>
      <w:r>
        <w:rPr>
          <w:rFonts w:hint="eastAsia" w:ascii="宋体" w:hAnsi="宋体" w:eastAsia="宋体" w:cs="宋体"/>
          <w:color w:val="auto"/>
          <w:kern w:val="0"/>
          <w:sz w:val="21"/>
          <w:szCs w:val="21"/>
          <w:highlight w:val="none"/>
          <w:lang w:val="en-US" w:eastAsia="zh-CN" w:bidi="ar-SA"/>
        </w:rPr>
        <w:t>支持可按照院区对2日归档率、5日归档率、7日归档率等报表数据进行归档统计。</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2.2.2.2.6静脉输液专科护理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静脉输液专科护理系统是针对静脉输液专科护士的日常工作所设计的产品，协助专科护士完成门诊患者管道维护、门诊及住院患者置管、输液并发症的患者会诊处理等事务。从患者置管、维护到拔管全流程的记录，方便专科护士进行全面的管道规范化管理，各类统计分析也为护理科研提供数据依据，不断提高静脉输液护理工作质量，提升患者输液安全性。</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（1）患者列表管理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支持患者列表分会诊列表、置管患者、门诊患者。</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（2）会诊列表管理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支持列表展示门诊医生、住院护士发起的静脉专科护理会诊。</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支持接收或拒绝会诊申请单，支持修改已回复的会诊单；支持新发起的会诊申请消息通知。</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b/>
          <w:bCs/>
          <w:color w:val="auto"/>
          <w:kern w:val="0"/>
          <w:sz w:val="21"/>
          <w:szCs w:val="21"/>
          <w:highlight w:val="none"/>
          <w:lang w:val="en-US" w:eastAsia="zh-CN" w:bidi="ar-SA"/>
        </w:rPr>
        <w:t>（3）置管患者管理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支持展示已进行置管登记的患者，并查询置管记录、安全核查表、并发症、知情同意书等相关文书；支持展示置管会诊通过的患者列表，可进行置管登记；</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支持进行患者影像查看，查看患者置管后的定位胸片，并进行定位确认；支持费用核对并进行核对确认。</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（4）门诊患者管理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支持查看门诊挂号的患者列表，并可根据就诊状态筛选；支持患者门诊病历书写，并收取PICC维护相关费用；支持查看患者历次维护记录，本院置管的患者也可获取置管登记信息。</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（5）报表查询</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并发症呈报明细。</w:t>
      </w:r>
      <w:r>
        <w:rPr>
          <w:rFonts w:hint="eastAsia" w:ascii="宋体" w:hAnsi="宋体" w:eastAsia="宋体" w:cs="宋体"/>
          <w:color w:val="auto"/>
          <w:kern w:val="0"/>
          <w:sz w:val="21"/>
          <w:szCs w:val="21"/>
          <w:highlight w:val="none"/>
          <w:lang w:val="en-US" w:eastAsia="zh-CN" w:bidi="ar-SA"/>
        </w:rPr>
        <w:t>支持列表展示各病区上报的静脉输液并发症明细，支持多条件查询不同类型并发症。</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并发症呈报统计。</w:t>
      </w:r>
      <w:r>
        <w:rPr>
          <w:rFonts w:hint="eastAsia" w:ascii="宋体" w:hAnsi="宋体" w:eastAsia="宋体" w:cs="宋体"/>
          <w:color w:val="auto"/>
          <w:kern w:val="0"/>
          <w:sz w:val="21"/>
          <w:szCs w:val="21"/>
          <w:highlight w:val="none"/>
          <w:lang w:val="en-US" w:eastAsia="zh-CN" w:bidi="ar-SA"/>
        </w:rPr>
        <w:t>支持多条件统计呈报的并发症，如按上报病区、按部位、按置管类型、按输液工具等。</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置管病区统计。</w:t>
      </w:r>
      <w:r>
        <w:rPr>
          <w:rFonts w:hint="eastAsia" w:ascii="宋体" w:hAnsi="宋体" w:eastAsia="宋体" w:cs="宋体"/>
          <w:color w:val="auto"/>
          <w:kern w:val="0"/>
          <w:sz w:val="21"/>
          <w:szCs w:val="21"/>
          <w:highlight w:val="none"/>
          <w:lang w:val="en-US" w:eastAsia="zh-CN" w:bidi="ar-SA"/>
        </w:rPr>
        <w:t>支持统计住院部各病区不同方式的静脉置管数量。</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工作量统计。</w:t>
      </w:r>
      <w:r>
        <w:rPr>
          <w:rFonts w:hint="eastAsia" w:ascii="宋体" w:hAnsi="宋体" w:eastAsia="宋体" w:cs="宋体"/>
          <w:color w:val="auto"/>
          <w:kern w:val="0"/>
          <w:sz w:val="21"/>
          <w:szCs w:val="21"/>
          <w:highlight w:val="none"/>
          <w:lang w:val="en-US" w:eastAsia="zh-CN" w:bidi="ar-SA"/>
        </w:rPr>
        <w:t>支持统计各静脉专科护士各种类型的工作量和静脉输液专科全院各类型的工作量。</w:t>
      </w:r>
    </w:p>
    <w:p>
      <w:pPr>
        <w:pStyle w:val="146"/>
        <w:keepLines w:val="0"/>
        <w:pageBreakBefore w:val="0"/>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2.2.2.2.7智慧可视屏</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（1）护士智联看板</w:t>
      </w:r>
    </w:p>
    <w:p>
      <w:pPr>
        <w:keepLines w:val="0"/>
        <w:pageBreakBefore w:val="0"/>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1）病区信息一览表</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支持公告栏分别显示当前病区内基本信息，每日详情、各类提醒、备注信息等，相应信息会自动刷新显示在电子屏上，信息自动更新，同时可设置不同的颜色区分展现的信息，全部数据自动采集且实时更新。</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2）患者信息追踪</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患者信息查询。</w:t>
      </w:r>
      <w:r>
        <w:rPr>
          <w:rFonts w:hint="eastAsia" w:ascii="宋体" w:hAnsi="宋体" w:eastAsia="宋体" w:cs="宋体"/>
          <w:color w:val="auto"/>
          <w:kern w:val="0"/>
          <w:sz w:val="21"/>
          <w:szCs w:val="21"/>
          <w:highlight w:val="none"/>
          <w:lang w:val="en-US" w:eastAsia="zh-CN" w:bidi="ar-SA"/>
        </w:rPr>
        <w:t>支持根据所属护理单元查看病区患者信息，流动情况、诊断治疗信息，可查询患者的入院评估、各类护理记录单、体温单，也可调阅患者检验检查报告，同时当患者信息有变化时，系统能及时更新，保证信息的准确统一。</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输液进程追踪。</w:t>
      </w:r>
      <w:r>
        <w:rPr>
          <w:rFonts w:hint="eastAsia" w:ascii="宋体" w:hAnsi="宋体" w:eastAsia="宋体" w:cs="宋体"/>
          <w:color w:val="auto"/>
          <w:kern w:val="0"/>
          <w:sz w:val="21"/>
          <w:szCs w:val="21"/>
          <w:highlight w:val="none"/>
          <w:lang w:val="en-US" w:eastAsia="zh-CN" w:bidi="ar-SA"/>
        </w:rPr>
        <w:t>支持电子屏显示输液进程信息，输液监控系统借助物联网技术将实时流速、剩余液量、输液停止或过快过慢等信息传送到电子屏上，并根据输液余量进行逐级提示。</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3）护士交班</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根据护士交班内容和流程，登记并盘点所有的物品和药品、高危药，记录并追踪使用情况（使用数量、对应的患者、用药时间点等），同时可对护理记录进行追踪，可调阅患者体征数据、患者评估结果、检验检查报告等，实现护士所有信息和事项的交接，保障交班的顺利和没有疏漏。</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患者基本信息。</w:t>
      </w:r>
      <w:r>
        <w:rPr>
          <w:rFonts w:hint="eastAsia" w:ascii="宋体" w:hAnsi="宋体" w:eastAsia="宋体" w:cs="宋体"/>
          <w:color w:val="auto"/>
          <w:kern w:val="0"/>
          <w:sz w:val="21"/>
          <w:szCs w:val="21"/>
          <w:highlight w:val="none"/>
          <w:lang w:val="en-US" w:eastAsia="zh-CN" w:bidi="ar-SA"/>
        </w:rPr>
        <w:t>支持通过HIS系统数据的采集，可实时展示患者的基本信息、诊断信息和治疗记录等。</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护理记录单。</w:t>
      </w:r>
      <w:r>
        <w:rPr>
          <w:rFonts w:hint="eastAsia" w:ascii="宋体" w:hAnsi="宋体" w:eastAsia="宋体" w:cs="宋体"/>
          <w:color w:val="auto"/>
          <w:kern w:val="0"/>
          <w:sz w:val="21"/>
          <w:szCs w:val="21"/>
          <w:highlight w:val="none"/>
          <w:lang w:val="en-US" w:eastAsia="zh-CN" w:bidi="ar-SA"/>
        </w:rPr>
        <w:t>支持通过移动护理系统数据的采集，对患者的护理记录等可进行完整的记录展示。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患者生命体征信息。</w:t>
      </w:r>
      <w:r>
        <w:rPr>
          <w:rFonts w:hint="eastAsia" w:ascii="宋体" w:hAnsi="宋体" w:eastAsia="宋体" w:cs="宋体"/>
          <w:color w:val="auto"/>
          <w:kern w:val="0"/>
          <w:sz w:val="21"/>
          <w:szCs w:val="21"/>
          <w:highlight w:val="none"/>
          <w:lang w:val="en-US" w:eastAsia="zh-CN" w:bidi="ar-SA"/>
        </w:rPr>
        <w:t>支持通过对生命体征采集仪、移动护理系统等数据的采集，可实时调阅患者生命体征信息，动态查询患者生命体征、能显示单个生命体征的趋势图。</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检验检查报告及结果提醒。</w:t>
      </w:r>
      <w:r>
        <w:rPr>
          <w:rFonts w:hint="eastAsia" w:ascii="宋体" w:hAnsi="宋体" w:eastAsia="宋体" w:cs="宋体"/>
          <w:color w:val="auto"/>
          <w:kern w:val="0"/>
          <w:sz w:val="21"/>
          <w:szCs w:val="21"/>
          <w:highlight w:val="none"/>
          <w:lang w:val="en-US" w:eastAsia="zh-CN" w:bidi="ar-SA"/>
        </w:rPr>
        <w:t>支持通过对LIS系统、PACS系统数据的采集，可实时调阅患者检验检查报告，对检验结果异常的报告进行显著标注。</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4）宣教</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提供多媒体素材的宣教方式（支持PPT幻灯片、视频等），支持PPT、视频播放，同时支持新增、修改、删除，同时增加互动性，对宣教内容和告知事项可有效的传达和沟通，提升宣教的效果。</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5）患者呼叫提示</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支持在患者有需求时通过无线传输技术，在电子屏上提示患者呼叫信息，让护士第一时间获知患者呼叫信息以便及时给予协助，并可通过减少护理隐患的发生。</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6）系统设备对接</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支持与第三方物联网设备对接。</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（2）医生智联看板</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重点提示栏。</w:t>
      </w:r>
      <w:r>
        <w:rPr>
          <w:rFonts w:hint="eastAsia" w:ascii="宋体" w:hAnsi="宋体" w:eastAsia="宋体" w:cs="宋体"/>
          <w:color w:val="auto"/>
          <w:kern w:val="0"/>
          <w:sz w:val="21"/>
          <w:szCs w:val="21"/>
          <w:highlight w:val="none"/>
          <w:lang w:val="en-US" w:eastAsia="zh-CN" w:bidi="ar-SA"/>
        </w:rPr>
        <w:t>支持对新的会诊单、术后重点关注的人员，体征异常人员、危重病人、危急值报警等信息进行预警提醒。</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医生一览表。</w:t>
      </w:r>
      <w:r>
        <w:rPr>
          <w:rFonts w:hint="eastAsia" w:ascii="宋体" w:hAnsi="宋体" w:eastAsia="宋体" w:cs="宋体"/>
          <w:color w:val="auto"/>
          <w:kern w:val="0"/>
          <w:sz w:val="21"/>
          <w:szCs w:val="21"/>
          <w:highlight w:val="none"/>
          <w:lang w:val="en-US" w:eastAsia="zh-CN" w:bidi="ar-SA"/>
        </w:rPr>
        <w:t>支持每个医生相对应的患者床位号，用药占比及相关责任护士进行展示，针对病患需要会诊等信息及时提醒相关医生。</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患者一览表。</w:t>
      </w:r>
      <w:r>
        <w:rPr>
          <w:rFonts w:hint="eastAsia" w:ascii="宋体" w:hAnsi="宋体" w:eastAsia="宋体" w:cs="宋体"/>
          <w:color w:val="auto"/>
          <w:kern w:val="0"/>
          <w:sz w:val="21"/>
          <w:szCs w:val="21"/>
          <w:highlight w:val="none"/>
          <w:lang w:val="en-US" w:eastAsia="zh-CN" w:bidi="ar-SA"/>
        </w:rPr>
        <w:t>支持对全院患者的床号、姓名、入院天数、主治医生、病床护理等级、是否手术，异常生命体征的显示等信息进行展示。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检验、检查报告查询。</w:t>
      </w:r>
      <w:r>
        <w:rPr>
          <w:rFonts w:hint="eastAsia" w:ascii="宋体" w:hAnsi="宋体" w:eastAsia="宋体" w:cs="宋体"/>
          <w:color w:val="auto"/>
          <w:kern w:val="0"/>
          <w:sz w:val="21"/>
          <w:szCs w:val="21"/>
          <w:highlight w:val="none"/>
          <w:lang w:val="en-US" w:eastAsia="zh-CN" w:bidi="ar-SA"/>
        </w:rPr>
        <w:t>支持查看病人各个历史记录的检查、检验报告。</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手术概览。</w:t>
      </w:r>
      <w:r>
        <w:rPr>
          <w:rFonts w:hint="eastAsia" w:ascii="宋体" w:hAnsi="宋体" w:eastAsia="宋体" w:cs="宋体"/>
          <w:color w:val="auto"/>
          <w:kern w:val="0"/>
          <w:sz w:val="21"/>
          <w:szCs w:val="21"/>
          <w:highlight w:val="none"/>
          <w:lang w:val="en-US" w:eastAsia="zh-CN" w:bidi="ar-SA"/>
        </w:rPr>
        <w:t>支持对今日、明日手术人员、手术时间、手术内容及注意事项进行展示；请求会诊通知，如果有其他科室要求本科室医生对某个病人进行会诊，医生大屏会根据会诊申请单，在重点提示栏上及时提醒医生。</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医嘱查询。</w:t>
      </w:r>
      <w:r>
        <w:rPr>
          <w:rFonts w:hint="eastAsia" w:ascii="宋体" w:hAnsi="宋体" w:eastAsia="宋体" w:cs="宋体"/>
          <w:color w:val="auto"/>
          <w:kern w:val="0"/>
          <w:sz w:val="21"/>
          <w:szCs w:val="21"/>
          <w:highlight w:val="none"/>
          <w:lang w:val="en-US" w:eastAsia="zh-CN" w:bidi="ar-SA"/>
        </w:rPr>
        <w:t>支持病人查询相关医嘱，支持医嘱开停，医嘱分类查询，对患者各个阶段的历史病历进行展示。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生命体征显示。</w:t>
      </w:r>
      <w:r>
        <w:rPr>
          <w:rFonts w:hint="eastAsia" w:ascii="宋体" w:hAnsi="宋体" w:eastAsia="宋体" w:cs="宋体"/>
          <w:color w:val="auto"/>
          <w:kern w:val="0"/>
          <w:sz w:val="21"/>
          <w:szCs w:val="21"/>
          <w:highlight w:val="none"/>
          <w:lang w:val="en-US" w:eastAsia="zh-CN" w:bidi="ar-SA"/>
        </w:rPr>
        <w:t>支持多种生命体征设备的接入显示，针对病人的状况，以图表形式进行生命体征实时显示。</w:t>
      </w:r>
    </w:p>
    <w:p>
      <w:pPr>
        <w:adjustRightInd w:val="0"/>
        <w:snapToGrid w:val="0"/>
        <w:spacing w:line="360" w:lineRule="auto"/>
        <w:ind w:firstLine="422"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会诊签到。</w:t>
      </w:r>
      <w:r>
        <w:rPr>
          <w:rFonts w:hint="eastAsia" w:ascii="宋体" w:hAnsi="宋体" w:eastAsia="宋体" w:cs="宋体"/>
          <w:color w:val="auto"/>
          <w:kern w:val="0"/>
          <w:sz w:val="21"/>
          <w:szCs w:val="21"/>
          <w:highlight w:val="none"/>
          <w:lang w:val="en-US" w:eastAsia="zh-CN" w:bidi="ar-SA"/>
        </w:rPr>
        <w:t>支持对会诊病人的情况进行查看，实现医生对患者的病情会诊签到。</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无线投屏。</w:t>
      </w:r>
      <w:r>
        <w:rPr>
          <w:rFonts w:hint="eastAsia" w:ascii="宋体" w:hAnsi="宋体" w:eastAsia="宋体" w:cs="宋体"/>
          <w:color w:val="auto"/>
          <w:kern w:val="0"/>
          <w:sz w:val="21"/>
          <w:szCs w:val="21"/>
          <w:highlight w:val="none"/>
          <w:lang w:val="en-US" w:eastAsia="zh-CN" w:bidi="ar-SA"/>
        </w:rPr>
        <w:t>支持手机、平板、电脑和大屏之间通过wifi进行传输，用户可迅速将文件、图片、音乐、和视频等内容投到会议平板上，画面和声音可以同步传输到大屏上，另外手机可将摄像头所摄画面投至大屏。</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2.2.2.2.8电子审批工作流</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电子审批工作流主要用于如手术和抗菌药物的审批，支持审批业务定制，并与钉钉端集成，把以往需要手工签批的纸质表格全部固化为标准化流程，只需在系统上填写申请内容发送，流程自动转呈相关领导审批。大大提高了工作效率。</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（1）工作流维护</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支持针对多院区实现各类工作流维护设置，支持通过拖拽等方式进行工作流的新增，同时可对已配置的工作流进行修改、删除、解析等操作。</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（2）工作流审批</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支持针对多院区实现按工作流审批各业务流程，系统发起工作流审批，拥有权限的人进行审批，若审批不通过记录原因，若审批通过正常执行。</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2.2.2.2.9微服务检查、检验开单</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w:t>
      </w:r>
      <w:r>
        <w:rPr>
          <w:rFonts w:hint="eastAsia" w:ascii="宋体" w:hAnsi="宋体" w:eastAsia="宋体" w:cs="宋体"/>
          <w:color w:val="auto"/>
          <w:kern w:val="2"/>
          <w:sz w:val="21"/>
          <w:szCs w:val="21"/>
          <w:highlight w:val="none"/>
          <w:lang w:val="en-US" w:eastAsia="zh-CN" w:bidi="ar-SA"/>
        </w:rPr>
        <w:t>对接全院统一预约中心，实现检查、检验开单微服务化，支持自助开单，诊间开单，移动端开单等不同渠道的开单方式。</w:t>
      </w:r>
    </w:p>
    <w:p>
      <w:pPr>
        <w:pStyle w:val="146"/>
        <w:keepLines w:val="0"/>
        <w:pageBreakBefore w:val="0"/>
        <w:widowControl/>
        <w:numPr>
          <w:ilvl w:val="4"/>
          <w:numId w:val="0"/>
        </w:numPr>
        <w:kinsoku/>
        <w:wordWrap/>
        <w:overflowPunct/>
        <w:topLinePunct w:val="0"/>
        <w:autoSpaceDE/>
        <w:autoSpaceDN/>
        <w:bidi w:val="0"/>
        <w:adjustRightInd w:val="0"/>
        <w:snapToGrid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2.2.2.2.10 PDA端应用</w:t>
      </w:r>
    </w:p>
    <w:p>
      <w:pPr>
        <w:keepLines w:val="0"/>
        <w:pageBreakBefore w:val="0"/>
        <w:widowControl/>
        <w:kinsoku/>
        <w:wordWrap/>
        <w:overflowPunct/>
        <w:topLinePunct w:val="0"/>
        <w:autoSpaceDE/>
        <w:autoSpaceDN/>
        <w:bidi w:val="0"/>
        <w:adjustRightInd w:val="0"/>
        <w:snapToGrid w:val="0"/>
        <w:spacing w:before="0" w:beforeLines="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（1）医技执行</w:t>
      </w:r>
    </w:p>
    <w:p>
      <w:pPr>
        <w:keepLines w:val="0"/>
        <w:pageBreakBefore w:val="0"/>
        <w:widowControl/>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支持原有检验流程的基础上，新增医技其他业务（放射、超声、心电、内镜）的医嘱核对与执行闭环。</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（2）病人交接</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模板编辑器对现在的交接单进行节点改造，交接单界面扫患者腕带第一次填写存在多张单子会选择填写的是哪张交接单，选择单子后一些基本信息会自动置上，护士填写其他选项后点击保存，手术室护士扫患者腕带后看下病区护士填写的内容无误后点击确认，患者手术结束后扫腕带要选择患者的去向，回病房，进复苏室，进ICU，选择去向后填写不同去向的单子，如果是进复苏室扫腕带选择患者去向，回病房，进ICU，填写相应的单子，如果是ICU扫腕后是回病房，患者回到病房后会提示是否回病房，如果选择的是整个交接流程完成，在护士站其他文术中可查看，每个环节需要更改其中的内容可在护士站更改，更改后同步到PDA。</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（3）高值耗材管理</w:t>
      </w:r>
    </w:p>
    <w:p>
      <w:pPr>
        <w:adjustRightInd w:val="0"/>
        <w:snapToGrid w:val="0"/>
        <w:spacing w:line="360" w:lineRule="auto"/>
        <w:ind w:firstLine="420" w:firstLineChars="200"/>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支持对接高值耗材管理系统，使用PDA扫码进行物品的清点和使用。</w:t>
      </w:r>
    </w:p>
    <w:p>
      <w:pPr>
        <w:adjustRightInd w:val="0"/>
        <w:snapToGrid w:val="0"/>
        <w:spacing w:line="360" w:lineRule="auto"/>
        <w:ind w:firstLine="422" w:firstLineChars="200"/>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（4）药房盘点</w:t>
      </w:r>
    </w:p>
    <w:p>
      <w:pPr>
        <w:keepLines w:val="0"/>
        <w:pageBreakBefore w:val="0"/>
        <w:kinsoku/>
        <w:wordWrap/>
        <w:overflowPunct/>
        <w:topLinePunct w:val="0"/>
        <w:autoSpaceDE/>
        <w:autoSpaceDN/>
        <w:bidi w:val="0"/>
        <w:adjustRightInd w:val="0"/>
        <w:snapToGrid w:val="0"/>
        <w:spacing w:before="0" w:beforeLines="0" w:after="0" w:after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药房系统按照药品编码自动生成二维码，并可对二维码进行打印；支持盘点任务多方式分配（按库位码，按药品码），按任务展示药品清单，按不同颜色区分已盘点未盘点药品；支持PDA扫描盘点药品，并自动将不同货架同一药品合并盘存。</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2.2.2.2.11互联网医院与CIS系统对接</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通过与互联网医院系统对接，实现个人建档、预约挂号、当日挂号、在线复诊、检查检验、随访等业务数据线上线下一体化。其中在线复诊实现医生排班、查看历史处方、开具电子处方、患者查看处方订单等业务数据一体化对接；</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支持实现包括医生开具检查或检验电子申请单、获取检查预约资源等功能，用户线上申请，按约定时间到院支付后，并执行检查检验项目；</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支持出院患者院后随访申请执行服务管理，为医生提供随访分配、安排、计划制定、计划跟踪、计划执行反馈服务等管理，为管理者、运营者提供随访工作量统计、随访患者执行情况分析等。</w:t>
      </w:r>
    </w:p>
    <w:p>
      <w:pPr>
        <w:pStyle w:val="144"/>
        <w:keepLines w:val="0"/>
        <w:pageBreakBefore w:val="0"/>
        <w:numPr>
          <w:ilvl w:val="2"/>
          <w:numId w:val="0"/>
        </w:numPr>
        <w:kinsoku/>
        <w:wordWrap/>
        <w:overflowPunct/>
        <w:topLinePunct w:val="0"/>
        <w:autoSpaceDE/>
        <w:autoSpaceDN/>
        <w:bidi w:val="0"/>
        <w:spacing w:before="0" w:beforeLines="0" w:after="0" w:afterLines="0"/>
        <w:ind w:leftChars="0"/>
        <w:textAlignment w:val="auto"/>
        <w:rPr>
          <w:rFonts w:hint="eastAsia" w:ascii="宋体" w:hAnsi="宋体" w:eastAsia="宋体" w:cs="宋体"/>
          <w:color w:val="auto"/>
          <w:sz w:val="21"/>
          <w:szCs w:val="21"/>
          <w:highlight w:val="none"/>
          <w:lang w:val="en-US" w:eastAsia="zh-CN"/>
        </w:rPr>
      </w:pPr>
      <w:bookmarkStart w:id="49" w:name="_Toc4927"/>
      <w:r>
        <w:rPr>
          <w:rFonts w:hint="eastAsia" w:ascii="宋体" w:hAnsi="宋体" w:eastAsia="宋体" w:cs="宋体"/>
          <w:color w:val="auto"/>
          <w:sz w:val="21"/>
          <w:szCs w:val="21"/>
          <w:highlight w:val="none"/>
          <w:lang w:val="en-US" w:eastAsia="zh-CN"/>
        </w:rPr>
        <w:t>2.2.3 HIS系统多院区融合改造</w:t>
      </w:r>
      <w:bookmarkEnd w:id="49"/>
    </w:p>
    <w:p>
      <w:pPr>
        <w:keepLines w:val="0"/>
        <w:pageBreakBefore w:val="0"/>
        <w:kinsoku/>
        <w:wordWrap/>
        <w:overflowPunct/>
        <w:topLinePunct w:val="0"/>
        <w:autoSpaceDE/>
        <w:autoSpaceDN/>
        <w:bidi w:val="0"/>
        <w:adjustRightInd w:val="0"/>
        <w:snapToGrid w:val="0"/>
        <w:spacing w:before="0" w:beforeLines="0" w:after="0" w:afterLines="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当前宁波市第一医院月湖院区所运行的HIS系统基于C/S架构，PB语言开发的，且仅支持单院区业务运行，而CIS系统采用中台+微服务架构，.NET开发语言，国家在2021年05月14日，国务院办公厅《关于推动公立医院高质量发展的意见》，其中提到“推进电子病历、智慧服务、智慧管理‘三位一体’的智慧医院建设和医院信息标准化建设”。为满足后续多院区医院发展需求，及一体化大方向，本次项目需要对HIS系统进行迭代升级，新的HIS系统将基于中台+微服务架构，采用.NET开发语言，同时升级迭代后的系统满足“一院多区”的运行模式。</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2.2.3.1自助结算</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自助结算系统主要包括门诊自助结算、诊间自助结算、住院自助结算模块。</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2.2.3.1.1门诊自助结算</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支持提供多院区患者自助建档功能，根据病人唯一的主索引，实现患者信息数据共享，提供多院区根据患者主索引，就诊卡号查询门诊患者结算费用信息；</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支持提供多院区患者在自助机补录材料，检查，检验等相关费用，并直接结算；提供通过电子凭证，电子社保卡，医保卡在自助机进行门诊收费结算和查询费用信息；</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支持提供多院区门诊自费、医保挂号、医保结算功能；</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支持多院区门诊结算通过调用第三方支付接口进行结算，第三方接口支持门诊挂号、收费、建档等门诊业务。</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2.2.3.1.2诊间自助结算</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支持医保病人通过电子凭证，医保卡，电子社保卡支持走医保中间件进行医保交易，进行诊间实时结算；</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支持提供门诊医生工作站实时结算功能，医保病人诊间结算调用第三方支付接口进行结算，并打印相应的结算单据。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2.2.3.1.3住院自助结算</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支持患者自助建档，根据病人唯一的主索引，实现患者信息数据共享；</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支持自助机入院登记、出院结算等出院业务处理；</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支持多院区住院自费，医保患者预交款缴纳；提供多院区住院自费，医保患者出院结算；</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支持多院区住院患者出院结算通过调用第三方支付接口进行结算；</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支持多院区根据患者主索引、就诊卡号，住院号查询住院患者结算费用信息。</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2.2.3.2门急诊挂号管理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门急诊挂号管理主要完成门诊病人基本信息的登记、修改、维护、挂号，是用于医院门诊挂号处工作的应用，包括患者建档、挂号退号换号、日报、基础设置、报表查询统计等功能。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2.2.3.2.1患者建档</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支持多院区建档时主索引生成唯一，提供多院区患者建档，根据病人唯一的主索引，实现患者信息数据共享；</w:t>
      </w:r>
    </w:p>
    <w:p>
      <w:pPr>
        <w:keepLines w:val="0"/>
        <w:pageBreakBefore w:val="0"/>
        <w:numPr>
          <w:ilvl w:val="0"/>
          <w:numId w:val="4"/>
        </w:numPr>
        <w:kinsoku/>
        <w:wordWrap/>
        <w:overflowPunct/>
        <w:topLinePunct w:val="0"/>
        <w:autoSpaceDE/>
        <w:autoSpaceDN/>
        <w:bidi w:val="0"/>
        <w:adjustRightInd w:val="0"/>
        <w:snapToGrid w:val="0"/>
        <w:spacing w:before="0" w:beforeLines="0" w:after="0" w:afterLines="0" w:line="360" w:lineRule="auto"/>
        <w:ind w:left="340" w:firstLine="198" w:firstLineChars="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支持多院区患者建档时根据患者姓名，身份证号等信息查重。</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2.2.3.2.2挂号</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就诊卡、电子凭证、电子社保卡、医保卡进行挂号操作，支持挂号类别、挂号科室选择，挂号时将对科室或专家号源进行控制，医保患者支持与医保实时交易，自付部分可通过现金、第三方支付等渠道完成结算，支持各类优惠类别诊疗费的减免结算，挂号完成时打印挂号小票，显示内容主要有患者信息、挂号信息、支付信息、就诊地址等信息。</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2.2.3.2.3取号</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支持通过省预约平台、宁波市预约平台、医院公众号、自助机预约、复诊预约、院内预约等方式预约号进行取号并结算操作。</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2.2.3.2.4退号换号</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支持已挂号未就诊病人进行退号换号操作。</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2.2.3.2.5查询统计</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支持对患者挂号信息、挂号工作量进行查询统计，同时可按挂号类别、科室、日期范围分类统计挂号信息汇总，另外可根据不同的条件查询患者的历史挂号信息。</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2.2.3.2.6日报业务</w:t>
      </w:r>
    </w:p>
    <w:p>
      <w:pPr>
        <w:keepLines w:val="0"/>
        <w:pageBreakBefore w:val="0"/>
        <w:kinsoku/>
        <w:wordWrap/>
        <w:overflowPunct/>
        <w:topLinePunct w:val="0"/>
        <w:autoSpaceDE/>
        <w:autoSpaceDN/>
        <w:bidi w:val="0"/>
        <w:adjustRightInd w:val="0"/>
        <w:snapToGrid w:val="0"/>
        <w:spacing w:before="0" w:beforeLines="0" w:after="0" w:afterLines="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多院区挂号日报。</w:t>
      </w:r>
      <w:r>
        <w:rPr>
          <w:rFonts w:hint="eastAsia" w:ascii="宋体" w:hAnsi="宋体" w:eastAsia="宋体" w:cs="宋体"/>
          <w:color w:val="auto"/>
          <w:kern w:val="2"/>
          <w:sz w:val="21"/>
          <w:szCs w:val="21"/>
          <w:highlight w:val="none"/>
          <w:lang w:val="en-US" w:eastAsia="zh-CN" w:bidi="ar-SA"/>
        </w:rPr>
        <w:t>支持按收费员进行当天挂号业务汇总。</w:t>
      </w:r>
    </w:p>
    <w:p>
      <w:pPr>
        <w:keepLines w:val="0"/>
        <w:pageBreakBefore w:val="0"/>
        <w:kinsoku/>
        <w:wordWrap/>
        <w:overflowPunct/>
        <w:topLinePunct w:val="0"/>
        <w:autoSpaceDE/>
        <w:autoSpaceDN/>
        <w:bidi w:val="0"/>
        <w:adjustRightInd w:val="0"/>
        <w:snapToGrid w:val="0"/>
        <w:spacing w:before="0" w:beforeLines="0" w:after="0" w:afterLines="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多院区挂号日报汇总。</w:t>
      </w:r>
      <w:r>
        <w:rPr>
          <w:rFonts w:hint="eastAsia" w:ascii="宋体" w:hAnsi="宋体" w:eastAsia="宋体" w:cs="宋体"/>
          <w:color w:val="auto"/>
          <w:kern w:val="2"/>
          <w:sz w:val="21"/>
          <w:szCs w:val="21"/>
          <w:highlight w:val="none"/>
          <w:lang w:val="en-US" w:eastAsia="zh-CN" w:bidi="ar-SA"/>
        </w:rPr>
        <w:t>支持财务科汇总收费员已提交的日报。</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2.2.3.2.7基础设置</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一周排班模板设置。</w:t>
      </w:r>
      <w:r>
        <w:rPr>
          <w:rFonts w:hint="eastAsia" w:ascii="宋体" w:hAnsi="宋体" w:eastAsia="宋体" w:cs="宋体"/>
          <w:color w:val="auto"/>
          <w:kern w:val="2"/>
          <w:sz w:val="21"/>
          <w:szCs w:val="21"/>
          <w:highlight w:val="none"/>
          <w:lang w:val="en-US" w:eastAsia="zh-CN" w:bidi="ar-SA"/>
        </w:rPr>
        <w:t>支持按周进行门诊排班，每天自动生成当天排班。</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特殊排班维护。</w:t>
      </w:r>
      <w:r>
        <w:rPr>
          <w:rFonts w:hint="eastAsia" w:ascii="宋体" w:hAnsi="宋体" w:eastAsia="宋体" w:cs="宋体"/>
          <w:color w:val="auto"/>
          <w:kern w:val="2"/>
          <w:sz w:val="21"/>
          <w:szCs w:val="21"/>
          <w:highlight w:val="none"/>
          <w:lang w:val="en-US" w:eastAsia="zh-CN" w:bidi="ar-SA"/>
        </w:rPr>
        <w:t>支持对于不固定排班、节假日排班进行临时特殊操作，系统会根据设置的日期自动生成当天排班。</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当日排班设置。</w:t>
      </w:r>
      <w:r>
        <w:rPr>
          <w:rFonts w:hint="eastAsia" w:ascii="宋体" w:hAnsi="宋体" w:eastAsia="宋体" w:cs="宋体"/>
          <w:color w:val="auto"/>
          <w:kern w:val="2"/>
          <w:sz w:val="21"/>
          <w:szCs w:val="21"/>
          <w:highlight w:val="none"/>
          <w:lang w:val="en-US" w:eastAsia="zh-CN" w:bidi="ar-SA"/>
        </w:rPr>
        <w:t>支持对生成的当日排班进行维护、号源调整、停诊等操作。</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侯诊时间设置。</w:t>
      </w:r>
      <w:r>
        <w:rPr>
          <w:rFonts w:hint="eastAsia" w:ascii="宋体" w:hAnsi="宋体" w:eastAsia="宋体" w:cs="宋体"/>
          <w:color w:val="auto"/>
          <w:kern w:val="2"/>
          <w:sz w:val="21"/>
          <w:szCs w:val="21"/>
          <w:highlight w:val="none"/>
          <w:lang w:val="en-US" w:eastAsia="zh-CN" w:bidi="ar-SA"/>
        </w:rPr>
        <w:t>支持对各排班各号源侯诊时间维护。</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票据领用。</w:t>
      </w:r>
      <w:r>
        <w:rPr>
          <w:rFonts w:hint="eastAsia" w:ascii="宋体" w:hAnsi="宋体" w:eastAsia="宋体" w:cs="宋体"/>
          <w:color w:val="auto"/>
          <w:kern w:val="2"/>
          <w:sz w:val="21"/>
          <w:szCs w:val="21"/>
          <w:highlight w:val="none"/>
          <w:lang w:val="en-US" w:eastAsia="zh-CN" w:bidi="ar-SA"/>
        </w:rPr>
        <w:t>支持挂号票据领用、分配。</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2.2.3.3门急诊收费管理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门急诊收费管理是直接为门急诊病人服务的，建立病人标识码，减少病人排队时间，提高挂号工作效率和服务质量，门诊收费管理主要包括收费结算、退费处理、作废处理、发票管理、查询统计、日报业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2.2.3.3.1收费结算</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门急诊处方及各类检查单进行收费处理，并打印出相应的发票，支持自费结算、医保结算、电子凭证结算，自付部分支持现金、微信、支付宝或其他第三方支付，支持优惠患者进行费用优惠结算，支持普通、特殊病种处方结算。</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2.2.3.3.2退费处理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支持对已发过药的收费单医生站进行退药，后进行退费，包括部分退款和全部退款，系统保留所有的操作痕迹。</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2.2.3.3.3作废处理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支持对未发药的处方或者未做检查检查的收费单据进行作废。</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2.2.3.3.4发票重打</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支持对已收费的发票进行重新打印功能。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2.2.3.3.5发票管理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支持发票的领用管理，将票据分配到相应操作人员，操作人员再进行发票段启用，维护当前发票号码，每次收费使用一个号码。</w:t>
      </w:r>
    </w:p>
    <w:p>
      <w:pPr>
        <w:keepLines w:val="0"/>
        <w:pageBreakBefore w:val="0"/>
        <w:widowControl/>
        <w:kinsoku/>
        <w:wordWrap/>
        <w:overflowPunct/>
        <w:topLinePunct w:val="0"/>
        <w:autoSpaceDE/>
        <w:autoSpaceDN/>
        <w:bidi w:val="0"/>
        <w:spacing w:before="0" w:beforeLines="0" w:beforeAutospacing="0" w:after="0" w:afterLines="0" w:afterAutospacing="0" w:line="360" w:lineRule="auto"/>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2.2.3.3.6查询统计</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支持提供系统查询统计功能，包括门急诊患者统计、收费个人查询统计、收费汇总查询统计、手工发票查询统计、门诊发票查询统计、患者费用查询统计、收款员收据查询统计、收费员工作量查询统计等</w:t>
      </w:r>
      <w:r>
        <w:rPr>
          <w:rFonts w:hint="eastAsia" w:ascii="宋体" w:hAnsi="宋体" w:eastAsia="宋体" w:cs="宋体"/>
          <w:color w:val="auto"/>
          <w:kern w:val="0"/>
          <w:sz w:val="21"/>
          <w:szCs w:val="21"/>
          <w:highlight w:val="none"/>
          <w:lang w:val="en-US" w:eastAsia="zh-CN" w:bidi="ar-SA"/>
        </w:rPr>
        <w:t>。</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2.2.3.3.7日报业务</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收费日报。</w:t>
      </w:r>
      <w:r>
        <w:rPr>
          <w:rFonts w:hint="eastAsia" w:ascii="宋体" w:hAnsi="宋体" w:eastAsia="宋体" w:cs="宋体"/>
          <w:color w:val="auto"/>
          <w:kern w:val="2"/>
          <w:sz w:val="21"/>
          <w:szCs w:val="21"/>
          <w:highlight w:val="none"/>
          <w:lang w:val="en-US" w:eastAsia="zh-CN" w:bidi="ar-SA"/>
        </w:rPr>
        <w:t>支持按收费员进行当天收费业务汇总。</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收费汇总日报。</w:t>
      </w:r>
      <w:r>
        <w:rPr>
          <w:rFonts w:hint="eastAsia" w:ascii="宋体" w:hAnsi="宋体" w:eastAsia="宋体" w:cs="宋体"/>
          <w:color w:val="auto"/>
          <w:kern w:val="0"/>
          <w:sz w:val="21"/>
          <w:szCs w:val="21"/>
          <w:highlight w:val="none"/>
          <w:lang w:val="en-US" w:eastAsia="zh-CN" w:bidi="ar-SA"/>
        </w:rPr>
        <w:t>支持财务科汇总收费员已提交的日报</w:t>
      </w:r>
      <w:r>
        <w:rPr>
          <w:rFonts w:hint="eastAsia" w:ascii="宋体" w:hAnsi="宋体" w:eastAsia="宋体" w:cs="宋体"/>
          <w:color w:val="auto"/>
          <w:kern w:val="2"/>
          <w:sz w:val="21"/>
          <w:szCs w:val="21"/>
          <w:highlight w:val="none"/>
          <w:lang w:val="en-US" w:eastAsia="zh-CN" w:bidi="ar-SA"/>
        </w:rPr>
        <w:t>。</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2.2.3.4住院收费管理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住院收费管理主要用于住院病人费用管理，包括入院登记、患者信息管理、取消住院、住院预交款、病人担保、住院退费、费用重算、患者出院、病人召回、取消结算、查询统计、收入日报、基础设置等功能，能够及时准确地为患者和临床医护人员提供费用信息，及时准确地为患者办理出院手续，支持医院经济核算、提供信息共享和减轻工作人员的劳动强度。</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2.2.3.4.1入院登记</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支持对入院患者进行登记操作，通过就诊卡号或其他介质调用诊间入院申请直接办理入院登记；支持录入住院科室、诊断等内容，同时可对患者档案进行查重；对患者腕带进行打印。</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2.2.3.4.2患者信息管理</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支持对已入院的患者信息进行修改管理。</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2.2.3.4.3取消住院</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支持在院患者进行取消住院的功能，取消住院前必须将患者费用全部处理完。</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2.2.3.4.4住院预交款</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为患者通过现金、微信、支付宝或其他第三方支付方式缴纳预交款的功能；支持为患者缴纳的预交金进行冲销处理，微信、支付宝或第三方支付方式原路退回；支持查询一段时间内的患者预交款明细；支持查看今日预交款工作量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2.2.3.4.5病人担保</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支持为患者新增、删除担保记录。</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2.2.3.4.6住院退费</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支持为患者进行退费处理。</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2.2.3.4.7费用重算</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支持按患者进行费用重算，费用重算时将获取项目的各类控制，包括批量获取项目自付比例。</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2.2.3.4.8患者出院</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支持结算患者住院期间的所有费用，医保患者将费用明细传入医保进行结算，支持GCP及眼科慈善结算，自付部分支持现金、微信、支付宝或其他第三方支付结算；出院完成后，打印发票或开立电子发票。</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2.2.3.4.9病人召回、取消结算</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支持对已结算日报病人进行病人召回处理，处理完后将冲销原有发票，待费用处理完成后再进行结算，对已结算未日报病人进行取消结算，待费用处理完后可再次进行结算。</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2.2.3.4.10查询统计</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 xml:space="preserve">支持多院区查询统计功能，包括在院患者浏览（按病区浏览患者信息，查询费用等）、出院信息查询（查询出院患者基本信息）、出院帐页查询、操作日志查询、在院帐页查询、出院未结账患者浏览、未发生费用患者、转科记录查询、患者统计查询、病区床位浏览、出院患者浏览、住院收入日报查询、操作员日报查询等、住院日报统计、挂帐汇总报表统计、工作量统计（统计操作员办理入院，出院，预交款，费用录入相关录入量）、项目费用统计（根据相关条件查询某段时间内的项目费用情况）等。 </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2.2.3.4.11收入日报</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支持生成、提交个人收费日报的功能，对未提交的日报可进行提交，对已提交的日报进行取消提交并重新生成的功能。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2.2.3.4.12基础设置</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科室费用控制。</w:t>
      </w:r>
      <w:r>
        <w:rPr>
          <w:rFonts w:hint="eastAsia" w:ascii="宋体" w:hAnsi="宋体" w:eastAsia="宋体" w:cs="宋体"/>
          <w:color w:val="auto"/>
          <w:kern w:val="2"/>
          <w:sz w:val="21"/>
          <w:szCs w:val="21"/>
          <w:highlight w:val="none"/>
          <w:lang w:val="en-US" w:eastAsia="zh-CN" w:bidi="ar-SA"/>
        </w:rPr>
        <w:t>支持根据不同的科室、费用性质按不同的类型设置费用控制的功能。</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费用冻结控制点设置。</w:t>
      </w:r>
      <w:r>
        <w:rPr>
          <w:rFonts w:hint="eastAsia" w:ascii="宋体" w:hAnsi="宋体" w:eastAsia="宋体" w:cs="宋体"/>
          <w:color w:val="auto"/>
          <w:kern w:val="2"/>
          <w:sz w:val="21"/>
          <w:szCs w:val="21"/>
          <w:highlight w:val="none"/>
          <w:lang w:val="en-US" w:eastAsia="zh-CN" w:bidi="ar-SA"/>
        </w:rPr>
        <w:t>支持新增、修改根据不同的功能点提供不同的控制动作的功能；支持按不同的功能点对欠费病人进行提示。</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票据管理。</w:t>
      </w:r>
      <w:r>
        <w:rPr>
          <w:rFonts w:hint="eastAsia" w:ascii="宋体" w:hAnsi="宋体" w:eastAsia="宋体" w:cs="宋体"/>
          <w:color w:val="auto"/>
          <w:kern w:val="2"/>
          <w:sz w:val="21"/>
          <w:szCs w:val="21"/>
          <w:highlight w:val="none"/>
          <w:lang w:val="en-US" w:eastAsia="zh-CN" w:bidi="ar-SA"/>
        </w:rPr>
        <w:t>支持住院票据管理功能。</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票据领用管理。</w:t>
      </w:r>
      <w:r>
        <w:rPr>
          <w:rFonts w:hint="eastAsia" w:ascii="宋体" w:hAnsi="宋体" w:eastAsia="宋体" w:cs="宋体"/>
          <w:color w:val="auto"/>
          <w:kern w:val="2"/>
          <w:sz w:val="21"/>
          <w:szCs w:val="21"/>
          <w:highlight w:val="none"/>
          <w:lang w:val="en-US" w:eastAsia="zh-CN" w:bidi="ar-SA"/>
        </w:rPr>
        <w:t>支持查看票据领用情况的功能；支持新增、删除票据领用的功能。</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交易手工解锁。</w:t>
      </w:r>
      <w:r>
        <w:rPr>
          <w:rFonts w:hint="eastAsia" w:ascii="宋体" w:hAnsi="宋体" w:eastAsia="宋体" w:cs="宋体"/>
          <w:color w:val="auto"/>
          <w:kern w:val="2"/>
          <w:sz w:val="21"/>
          <w:szCs w:val="21"/>
          <w:highlight w:val="none"/>
          <w:lang w:val="en-US" w:eastAsia="zh-CN" w:bidi="ar-SA"/>
        </w:rPr>
        <w:t>支持为锁定状态的患者提供手工解除锁定的功能。</w:t>
      </w:r>
    </w:p>
    <w:p>
      <w:pPr>
        <w:keepLines w:val="0"/>
        <w:pageBreakBefore w:val="0"/>
        <w:widowControl/>
        <w:kinsoku/>
        <w:wordWrap/>
        <w:overflowPunct/>
        <w:topLinePunct w:val="0"/>
        <w:autoSpaceDE/>
        <w:autoSpaceDN/>
        <w:bidi w:val="0"/>
        <w:spacing w:before="0" w:beforeLines="0" w:beforeAutospacing="0" w:after="0" w:afterLines="0" w:afterAutospacing="0" w:line="360" w:lineRule="auto"/>
        <w:ind w:firstLine="422"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业务表单调整。</w:t>
      </w:r>
      <w:r>
        <w:rPr>
          <w:rFonts w:hint="eastAsia" w:ascii="宋体" w:hAnsi="宋体" w:eastAsia="宋体" w:cs="宋体"/>
          <w:color w:val="auto"/>
          <w:kern w:val="2"/>
          <w:sz w:val="21"/>
          <w:szCs w:val="21"/>
          <w:highlight w:val="none"/>
          <w:lang w:val="en-US" w:eastAsia="zh-CN" w:bidi="ar-SA"/>
        </w:rPr>
        <w:t>医院原有表结构中需要针对住院费用表，住院结算表，住院病人信息表，住院发票表，住院预交款表，住院医保结算表，相关表单设计针对院区需要进行改造。</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2.2.3.5门诊西药房管理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西药房管理系统是协助门诊药房药师进行药品库存管理的系统，完成长期、临时的针剂、片剂、大输液等药品的摆药、发放和退药，主要包括发药处理、药品入库、药品出库、药品请领、药品管理、药品盘存、期末结转、报损管理、借还药、效期管理、高级数据维护、规格设置、月报、查询统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2.2.3.5.1发药处理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已收费的门诊处方进行窗口发药；支持按不同条件进行检索查看患者待发处方信息；支持多选处方发药的功能；支持查询患者发药记录的功能；支持按药品检索发药记录的功能；支持为患者取消发药、退药、取消退药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2.2.3.5.2药品入库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2.2.3.5.3药品出库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支持新增、修改、删除出库单据的功能；支持按条件检索出库单据记录的功能；支持药品出库自动记账功能。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2.2.3.5.4药品请领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支持向不同库房进行药品请领的功能；支持药品请领自动记账。</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2.2.3.5.5药品管理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支持药品库存查看；支持药品停用，作废；支持药品虚拟库存设置；支持药品请领；支持不同药房间药品互拔。</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2.2.3.5.6药品盘存</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支持药品盘点的功能；支持按不同条件批量导入明细数据的功能；支持多台电脑同时盘存，最后统一汇总盘存功能；盘存单打印。</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2.2.3.5.7期末结转</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支持为库房会计进行财务期间的结转处理的功能。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2.2.3.5.8报损管理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支持药库房工作人员对药品进行报损操作的功能。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2.2.3.5.9借还药</w:t>
      </w:r>
      <w:r>
        <w:rPr>
          <w:rFonts w:hint="eastAsia" w:ascii="宋体" w:hAnsi="宋体" w:eastAsia="宋体" w:cs="宋体"/>
          <w:color w:val="auto"/>
          <w:sz w:val="21"/>
          <w:szCs w:val="21"/>
          <w:highlight w:val="none"/>
          <w:lang w:val="en-US" w:eastAsia="zh-CN"/>
        </w:rPr>
        <w:tab/>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支持为科室或个人进行借还药操作的功能。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2.2.3.5.10效期管理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支持按筛选条件对效期将近的药品进行查询的功能；支持对效期药品进行退库的功能；支持对不同效期的药品进行区分显示。</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2.2.3.5.11高级数据维护</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支持维护出入库方式、统计药品分类、库存上下限、药品摆放位置的功能。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2.2.3.5.12规格设置</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支持维护药品的最小规格转换、增加中间规格的功能。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2.2.3.5.13月报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药房月末核算报表。</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2.2.3.5.14查询统计</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处方查询。</w:t>
      </w:r>
      <w:r>
        <w:rPr>
          <w:rFonts w:hint="eastAsia" w:ascii="宋体" w:hAnsi="宋体" w:eastAsia="宋体" w:cs="宋体"/>
          <w:color w:val="auto"/>
          <w:sz w:val="21"/>
          <w:szCs w:val="21"/>
          <w:highlight w:val="none"/>
        </w:rPr>
        <w:t>支持多院区查询处方发放情况；</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药品账簿查询。</w:t>
      </w:r>
      <w:r>
        <w:rPr>
          <w:rFonts w:hint="eastAsia" w:ascii="宋体" w:hAnsi="宋体" w:eastAsia="宋体" w:cs="宋体"/>
          <w:color w:val="auto"/>
          <w:sz w:val="21"/>
          <w:szCs w:val="21"/>
          <w:highlight w:val="none"/>
        </w:rPr>
        <w:t>支持多院区药品台账功能；</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库存查询。</w:t>
      </w:r>
      <w:r>
        <w:rPr>
          <w:rFonts w:hint="eastAsia" w:ascii="宋体" w:hAnsi="宋体" w:eastAsia="宋体" w:cs="宋体"/>
          <w:color w:val="auto"/>
          <w:sz w:val="21"/>
          <w:szCs w:val="21"/>
          <w:highlight w:val="none"/>
        </w:rPr>
        <w:t>支持药房查看药品库存功能。</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2.2.3.6门诊中药房管理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门诊中药房管理主要包括发药处理、药品入库、药品出库、药品请领、药品管理、药品盘存、期末结转、报损管理、借还药、效期管理、高级数据维护、规格设置、月报、查询统计等功能。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2.2.3.6.1发药处理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已收费的门诊处方进行发药；支持按不同条件进行检索查看患者待发处方信息的功能；支持多选处方发药的功能；支持查询患者发药记录的功能；支持按药品检索发药记录的功能；支持为患者取消发药、退药、取消退药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2.2.3.6.2药品入库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2.2.3.6.3药品请领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支持向不同库房进行药品请领的功能；支持药品请领自动记账。</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2.2.3.6.4药品管理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支持药品库存查看；支持药品停用，作废；支持药品虚拟库存设置；支持药品请领；支持不同药房间药品互拔。</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2.2.3.6.5药品盘存</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支持药品盘点的功能；支持按不同条件批量导入明细数据的功能；支持多台电脑同时盘存，最后统一汇总盘存功能；盘存单打印。</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2.2.3.6.6期末结转</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支持为库房会计进行财务期间的结转处理的功能。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2.2.3.6.7报损管理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支持药库房工作人员对药品进行报损操作的功能。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2.2.3.6.8借还药</w:t>
      </w:r>
      <w:r>
        <w:rPr>
          <w:rFonts w:hint="eastAsia" w:ascii="宋体" w:hAnsi="宋体" w:eastAsia="宋体" w:cs="宋体"/>
          <w:color w:val="auto"/>
          <w:sz w:val="21"/>
          <w:szCs w:val="21"/>
          <w:highlight w:val="none"/>
          <w:lang w:val="en-US" w:eastAsia="zh-CN"/>
        </w:rPr>
        <w:tab/>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支持为科室或个人进行借还药操作的功能。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2.2.3.6.9效期管理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支持按筛选条件对效期将近的药品进行查询的功能；支持对效期药品进行退库的功能；3个月、6个月、12个月失药药品用不同颜色标注。</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2.2.3.6.10高级数据维护</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支持维护出入库方式、统计药品分类、库存上下限、药品摆放位置的功能。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2.2.3.6.11规格设置</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支持维护药品的最小规格转换、增加中间规格的功能。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2.2.3.6.12月报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药房月末核算报表。</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2.2.3.6.13查询统计</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处方查询。</w:t>
      </w:r>
      <w:r>
        <w:rPr>
          <w:rFonts w:hint="eastAsia" w:ascii="宋体" w:hAnsi="宋体" w:eastAsia="宋体" w:cs="宋体"/>
          <w:color w:val="auto"/>
          <w:sz w:val="21"/>
          <w:szCs w:val="21"/>
          <w:highlight w:val="none"/>
        </w:rPr>
        <w:t>支持多院区查询处方发放情况；</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药品账簿查询。</w:t>
      </w:r>
      <w:r>
        <w:rPr>
          <w:rFonts w:hint="eastAsia" w:ascii="宋体" w:hAnsi="宋体" w:eastAsia="宋体" w:cs="宋体"/>
          <w:color w:val="auto"/>
          <w:sz w:val="21"/>
          <w:szCs w:val="21"/>
          <w:highlight w:val="none"/>
        </w:rPr>
        <w:t>支持多院区药品台账功能；</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库存查询。</w:t>
      </w:r>
      <w:r>
        <w:rPr>
          <w:rFonts w:hint="eastAsia" w:ascii="宋体" w:hAnsi="宋体" w:eastAsia="宋体" w:cs="宋体"/>
          <w:color w:val="auto"/>
          <w:sz w:val="21"/>
          <w:szCs w:val="21"/>
          <w:highlight w:val="none"/>
        </w:rPr>
        <w:t>支持药房查看药品库存功能。</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2.2.3.7住院药房管理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住院药房管理系统是协助住院药房药师进行药品库存管理的系统，完成长期、临时的针剂、片剂、大输液等药品的摆药、发放和退药，主要包括发药管理、库存管理、入库管理、出库管理、药品请领、基础设置、查询统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2.2.3.7.1发药管理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院区药品医嘱发放；支持多病区药品医嘱批量发放；支持查看不同病区病人医嘱；支持多院区药品出院带药发放；支持多院区大输液药品发放；支持多病区药品医嘱退药；支持不同病区药品开立；支持多院区药品销售价格不同；支持病区按不同方式进行发药操作；支持按病区进行汇总发药的功能；支持按医嘱明细进行发药的功能；支持病区退药功能；支持查看病区发药情况的功能；片剂、输液、毒麻和其它等类型的摆药单和统领单，同时追踪各药品的库存及患者的押金等，实现对特殊医嘱、隔日医嘱等的处理。</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2.2.3.7.2库存管理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支持查看药品库存；支持作废或启用药品。</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2.2.3.7.3入库管理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2.2.3.7.4出库管理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支持新增、修改、删除出库单据的功能；支持按条件检索出库单据记录的功能；支持药品出库自动记账功能。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2.2.3.7.5药品请领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支持向不同库房进行药品请领的功能；支持药品请领自动记账。</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2.2.3.7.6基础设置</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药品盘存。</w:t>
      </w:r>
      <w:r>
        <w:rPr>
          <w:rFonts w:hint="eastAsia" w:ascii="宋体" w:hAnsi="宋体" w:eastAsia="宋体" w:cs="宋体"/>
          <w:color w:val="auto"/>
          <w:sz w:val="21"/>
          <w:szCs w:val="21"/>
          <w:highlight w:val="none"/>
        </w:rPr>
        <w:t>支持药品盘点的功能；支持按不同条件批量导入明细数据的功能；</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期末结转。</w:t>
      </w:r>
      <w:r>
        <w:rPr>
          <w:rFonts w:hint="eastAsia" w:ascii="宋体" w:hAnsi="宋体" w:eastAsia="宋体" w:cs="宋体"/>
          <w:color w:val="auto"/>
          <w:sz w:val="21"/>
          <w:szCs w:val="21"/>
          <w:highlight w:val="none"/>
        </w:rPr>
        <w:t>支持为库房会计进行财务期间的结转处理的功能；</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药品包装规格设置。</w:t>
      </w:r>
      <w:r>
        <w:rPr>
          <w:rFonts w:hint="eastAsia" w:ascii="宋体" w:hAnsi="宋体" w:eastAsia="宋体" w:cs="宋体"/>
          <w:color w:val="auto"/>
          <w:sz w:val="21"/>
          <w:szCs w:val="21"/>
          <w:highlight w:val="none"/>
        </w:rPr>
        <w:t>支持设置药品使用规格。</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2.2.3.7.7查询统计</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院区药品出入库明细报表、药品出入库汇总报表、药品发放报表、每日药品消耗报表、病区大输液发放、病区用药分类、药品收支月报、药房工作量、药品批号、麻醉药品使用登记表、药房药品台账、药房药品消耗报表等查询统计。</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2.2.3.8西药库房管理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西药库房管理是协助药剂科进行药品信息、库存和价格管理，并根据各药房的需要进行药品的采购、入库、定价与调价、发放、退货、盘点、有效期和核算管理，同时支持各种数据查询，主要包括药品入库、药品出库、药品请领、药品调价、期末结转、药品采购、应付款管理、效期管理、基础设置、查询统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2.2.3.8.1药品入库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2.2.3.8.2药品出库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2.2.3.8.3药品请领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支持向不同库房进行药品请领的功能；支持药品请领自动记账功能。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2.2.3.8.4药品调价</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支持对药品进行调价操作的功能；支持按不同条件批量导入明细数据的功能；支持自动监控尾差不平并给予提示。</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2.2.3.8.5期末结转</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支持为库房会计进行财务期间的结转处理的功能。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2.2.3.8.6药品采购</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支持自动生成采购计划及生成采购单并对接采购平台的功能；支持按日期查询采购计划单，可新增、修改、删除采购计划单。</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2.2.3.8.7应付款管理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支持可对未付结算单进行退单、作废、未取单据、销账等功能；支持入库单补登发票号码的功能。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2.2.3.8.8效期管理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支持按筛选条件对效期将近的药品进行查询的功能；支持对效期药品进行退库的功能； 3个月、6个月、12个月按颜色标识不同效期。</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2.2.3.8.9基础设置</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药品字典维护。</w:t>
      </w:r>
      <w:r>
        <w:rPr>
          <w:rFonts w:hint="eastAsia" w:ascii="宋体" w:hAnsi="宋体" w:eastAsia="宋体" w:cs="宋体"/>
          <w:color w:val="auto"/>
          <w:sz w:val="21"/>
          <w:szCs w:val="21"/>
          <w:highlight w:val="none"/>
        </w:rPr>
        <w:t>支持对新进药品所属分类、名称、规格、产地、价格等基础信息进行设置维护。</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药品字典查询。</w:t>
      </w:r>
      <w:r>
        <w:rPr>
          <w:rFonts w:hint="eastAsia" w:ascii="宋体" w:hAnsi="宋体" w:eastAsia="宋体" w:cs="宋体"/>
          <w:color w:val="auto"/>
          <w:sz w:val="21"/>
          <w:szCs w:val="21"/>
          <w:highlight w:val="none"/>
        </w:rPr>
        <w:t>支持按药品分类进行药品字典查询。</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基础字典设置。</w:t>
      </w:r>
      <w:r>
        <w:rPr>
          <w:rFonts w:hint="eastAsia" w:ascii="宋体" w:hAnsi="宋体" w:eastAsia="宋体" w:cs="宋体"/>
          <w:color w:val="auto"/>
          <w:sz w:val="21"/>
          <w:szCs w:val="21"/>
          <w:highlight w:val="none"/>
        </w:rPr>
        <w:t>支持对药品产地、供货单位、调拔单位、绿色通道药品进行字典维护。</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高级字典设置。</w:t>
      </w:r>
      <w:r>
        <w:rPr>
          <w:rFonts w:hint="eastAsia" w:ascii="宋体" w:hAnsi="宋体" w:eastAsia="宋体" w:cs="宋体"/>
          <w:color w:val="auto"/>
          <w:sz w:val="21"/>
          <w:szCs w:val="21"/>
          <w:highlight w:val="none"/>
        </w:rPr>
        <w:t>支持出入库方式、统计药品分类、药品摆放位置、会计期间、4+7批次设置。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2.2.3.8.10查询统计</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院区药品账薄查询、资金总账查询、每日库存查询、前期库存查询、药品查询、入库查询、出库查询、盘存清单查询、调价药品统计、应付款查询、统计月报、药库药品台账、全院精神麻醉药品统计、药品字典查询报表、药品消耗量统计报表、每日结存库存查询等。</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2.2.3.9中药库房管理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药库房管理系统协助药剂科进行药品信息、库存和价格管理，并根据各药房的需要进行药品的采购、入库、定价与调价、发放、退货、盘点、有效期和核算管理，同时支持各种数据查询，主要包括药品入库、药品出库、药品请领、药品调价、期末结转、药品采购、应付款管理、效期管理、基础设置、查询统计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2.2.3.9.1采购入库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2.2.3.9.2药品出库</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支持新增、修改、删除入库单据的功能；支持按条件检索入库单据记录的功能；支持药品入库自动记账功能。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2.2.3.9.3药品请领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支持向不同库房进行药品请领的功能；支持药品请领自动记账功能。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2.2.3.9.4药品调价</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支持对药品进行调价操作的功能；支持按不同条件批量导入明细数据的功能；支持自动监控尾差不平并给予提示。</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2.2.3.9.5期末结转</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支持为库房会计进行财务期间的结转处理的功能。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2.2.3.9.6药品采购</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支持自动生成采购计划及生成采购单并对接采购平台的功能；支持按日期查询采购计划单，可新增、修改、删除采购计划单。</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2.2.3.9.7应付款管理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支持可对未付结算单进行退单、作废、未取单据、销账等功能；支持入库单补登发票号码的功能。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2.2.3.9.8效期管理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支持按筛选条件对效期将近的药品进行查询的功能；支持对效期药品进行退库的功能；3个月、6个月、12个月按颜色标识不同效期。</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2.2.3.9.9基础设置</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药品字典维护。</w:t>
      </w:r>
      <w:r>
        <w:rPr>
          <w:rFonts w:hint="eastAsia" w:ascii="宋体" w:hAnsi="宋体" w:eastAsia="宋体" w:cs="宋体"/>
          <w:color w:val="auto"/>
          <w:sz w:val="21"/>
          <w:szCs w:val="21"/>
          <w:highlight w:val="none"/>
        </w:rPr>
        <w:t>支持对新进药品所属分类、名称、规格、产地、价格等基础信息进行设置维护。</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药品字典查询。</w:t>
      </w:r>
      <w:r>
        <w:rPr>
          <w:rFonts w:hint="eastAsia" w:ascii="宋体" w:hAnsi="宋体" w:eastAsia="宋体" w:cs="宋体"/>
          <w:color w:val="auto"/>
          <w:sz w:val="21"/>
          <w:szCs w:val="21"/>
          <w:highlight w:val="none"/>
        </w:rPr>
        <w:t>支持按药品分类进行药品字典查询。</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基础字典设置。</w:t>
      </w:r>
      <w:r>
        <w:rPr>
          <w:rFonts w:hint="eastAsia" w:ascii="宋体" w:hAnsi="宋体" w:eastAsia="宋体" w:cs="宋体"/>
          <w:color w:val="auto"/>
          <w:sz w:val="21"/>
          <w:szCs w:val="21"/>
          <w:highlight w:val="none"/>
        </w:rPr>
        <w:t>支持对药品产地、供货单位、调拔单位、绿色通道药品进行字典维护。</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高级字典设置。</w:t>
      </w:r>
      <w:r>
        <w:rPr>
          <w:rFonts w:hint="eastAsia" w:ascii="宋体" w:hAnsi="宋体" w:eastAsia="宋体" w:cs="宋体"/>
          <w:color w:val="auto"/>
          <w:sz w:val="21"/>
          <w:szCs w:val="21"/>
          <w:highlight w:val="none"/>
        </w:rPr>
        <w:t>支持出入库方式、统计药品分类、药品摆放位置、会计期间、4+7批次设置。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2.2.3.9.10查询统计</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院区药品账薄查询、资金总账查询、每日库存查询、前期库存查询、药品查询、入库查询、出库查询、盘存清单查询、调价药品统计、应付款查询、统计月报、药库药品台账、全院精神麻醉药品统计、药品字典查询报表、药品消耗量统计报表、每日结存库存查询等。</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2.2.3.10医技管理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医技科室主要是根据临床医生所开检查单，由医技科室检查并根据CT、B超或者心电图信息，将相关诊断结果反馈给临床。医技管理主要包括检查划价、查询统计、基础设置等功能。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2.2.3.10.1检查划价</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支持对门诊病人对应的申请单进行补录费用，导入收费套餐，支持对补录费用进行实时结算，支持自费、医保交易结算并打印结算单据。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2.2.3.10.2统计查询</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病人账页。</w:t>
      </w:r>
      <w:r>
        <w:rPr>
          <w:rFonts w:hint="eastAsia" w:ascii="宋体" w:hAnsi="宋体" w:eastAsia="宋体" w:cs="宋体"/>
          <w:color w:val="auto"/>
          <w:sz w:val="21"/>
          <w:szCs w:val="21"/>
          <w:highlight w:val="none"/>
        </w:rPr>
        <w:t>支持按住院号、床位、姓名等条件查询病人住院账页。</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医技科室工作量统计（按病人）。</w:t>
      </w:r>
      <w:r>
        <w:rPr>
          <w:rFonts w:hint="eastAsia" w:ascii="宋体" w:hAnsi="宋体" w:eastAsia="宋体" w:cs="宋体"/>
          <w:color w:val="auto"/>
          <w:sz w:val="21"/>
          <w:szCs w:val="21"/>
          <w:highlight w:val="none"/>
        </w:rPr>
        <w:t>支持按病人对在院病人医技项目展示。</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门诊医技科室工作量统计。</w:t>
      </w:r>
      <w:r>
        <w:rPr>
          <w:rFonts w:hint="eastAsia" w:ascii="宋体" w:hAnsi="宋体" w:eastAsia="宋体" w:cs="宋体"/>
          <w:color w:val="auto"/>
          <w:sz w:val="21"/>
          <w:szCs w:val="21"/>
          <w:highlight w:val="none"/>
        </w:rPr>
        <w:t>支持按执行科室对门诊项目进行汇总。</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住院医技科室工作量统计。</w:t>
      </w:r>
      <w:r>
        <w:rPr>
          <w:rFonts w:hint="eastAsia" w:ascii="宋体" w:hAnsi="宋体" w:eastAsia="宋体" w:cs="宋体"/>
          <w:color w:val="auto"/>
          <w:sz w:val="21"/>
          <w:szCs w:val="21"/>
          <w:highlight w:val="none"/>
        </w:rPr>
        <w:t>支持按执行科室对住院项目进行汇总。</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全院医技科室医生工作量统计。</w:t>
      </w:r>
      <w:r>
        <w:rPr>
          <w:rFonts w:hint="eastAsia" w:ascii="宋体" w:hAnsi="宋体" w:eastAsia="宋体" w:cs="宋体"/>
          <w:color w:val="auto"/>
          <w:sz w:val="21"/>
          <w:szCs w:val="21"/>
          <w:highlight w:val="none"/>
        </w:rPr>
        <w:t>支持对全院按执行科室进行汇总。</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2.2.3.10.3基础设置</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支持对公用套餐进行维护，按执行科室维护收费套餐。</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2.2.3.11麻醉管理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麻醉安排是一个复杂的过程，合理、有效、安全的麻醉管理能有效保证医院手术麻醉的正常进行，HIS系统中的手术麻醉管理主要用于病人麻醉的申请、审批、安排以及术后和麻醉后有关信息的记录和跟踪等功能序，主要包括患者手术列表展示、麻醉安排、执行计划管理、执行签名、检查、检验、术中冰冻病理、用血复核、药品医嘱退药、处方/卡片打印、医嘱查询、患者概览、病历文书、用血管理、检查/检验报告、护理文书、手术费用录入、医嘱开立、麻醉记录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2.2.3.11.1患者手术列表</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手术室、手术要求日期、申请科室、主刀医师、患者姓名等多维度查询不同手术状态的手术申请单或手术安排单；支持查看已记账、未记账的手术申请单或手术安排单；支持对急诊、危急、择期、日间手术颜色标记区分成分设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2.2.3.11.2麻醉安排</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支持对手术申请单进行麻醉安排（安排包括：麻醉方式、麻醉师1、麻醉师2、其他麻醉人员（规培）；支持对已安排、进行中、已结束、已取消手术进行查看；支持对已安排麻醉进行重新安排和取消安排。</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2.2.3.11.3执行计划管理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支持对主刀医生在病区开的医嘱进行生成执行计划（发药）。</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2.2.3.11.4执行签名</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支持对术前、中医嘱执行签名。</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2.2.3.11.5检查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支持术中检查申请报告打印，检查结果查询。</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2.2.3.11.6检验</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支持术中检查申请报告打印，检查结果查询；支持检验生成条码、样本采集、样本打包、样本送检。</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2.2.3.11.7术中冰冻病理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支持查看术中冰冻病理报告。</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2.2.3.11.8用血复核</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支持单打印用血申请单、取血单、交叉配血单。</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2.2.3.11.9药品医嘱退药</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支持对的药品进行退药操作。</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2.2.3.11.10处方、卡片打印</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支持对精麻处方、各类注射卡片进行打印。</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2.2.3.11.11医嘱查询</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支持对手术病人在院医嘱查询。</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2.2.3.11.12患者概览</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支持查询患者基本信息以及术前的皮试结果。</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2.2.3.11.13病历文书</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支持查看患者病历文书。</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2.2.3.11.14用血管理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支持查看患者历次用血信息。</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2.2.3.11.15检查、检验报告</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支持查看手术病人门急住的检查报告和检验报告。</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2.2.3.11.16护理文书</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支持查看手术病人护理文书（体温单、血糖单、护理记录单、入院护理评估、护理评分、专项评估、交接单等）。</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2.2.3.11.17麻醉费用录入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麻醉费用组套进行维护；支持对进行中或已结束的手术进行麻醉费用录入；支持展示病人GCP标识；支持麻醉费用保存、执行、完成手术记账；支持结束麻醉记账判断病人是否有未发药、未退药、未做检查判断限制；支持导入已维护好的费用组套。</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2.2.3.11.18医嘱开立</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支持开立术中医嘱；支持标识GCP手术病人。</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2.2.3.11.16麻醉记录</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支持麻醉记录（麻醉时间、麻醉方式、麻醉部位、麻醉效果等）；支持临控信息记录（出血量、全血量、血液等信息）；并发症记录；PACU记录（入室情况、出室情况等）。</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2.2.3.12手术管理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手术安排是一个复杂的过程，合理、有效、安全的管理能有效保证医院手术的正常进行。手术管理主要包括患者手术列表展示、手术安排、执行计划管理、执行签名、检查、检验、术中冰冻病理、用血复核、药品医嘱退药、处方/卡片打印、医嘱查询、患者概览、病历文书、用血管理、检查/检验报告、护理文书、麻醉费用录入、术后记录等功能。</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2.2.3.12.1患者手术列表</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按照手术室、手术要求日期、申请科室、主刀医师、患者姓名等多维度查询不同手术状态的手术申请单或手术安排单维度；支持查看已记账、未记账的手术申请单或手术安排单；支持对急诊、危急、择期、日间手术颜色标记区分成分设置。</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2.2.3.12.2手术安排</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手术申请单进行手术安排（安排包括：手术室、手术间、手术时间、台次、安排时间、手术部位、手术名称、主刀、一二、三助等、洗手护士、巡回护士）；支持对已安排、进行中、已结束、已取消手术进行查看；支持对已安排手术进行从新安排；支持对手术申请单取消（手术室和主刀医生沟通后，取消手术）；支持对已安排手术进行开始，状态也可以从第三方系统获取；支持对进行中的手术进行结束手术，状态也可以从第三方系统获取样本接收；支持打印手术通知单（接患者使用）、手术安排单（核对工作人员进行手术用）。</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2.2.3.12.3生成执行计划</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支持对主刀医生在病区开的医嘱进行生成执行计划（发药）。</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2.2.3.12.4执行签名</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支持对术前、中医嘱执行签名。</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2.2.3.12.5检查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支持术中检查申请报告打印，检查结果查询。</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2.2.3.12.6检验</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支持术中检查申请报告打印，检查结果查询；支持检验生成条码、样本采集、样本打包、样本送检。</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2.2.3.12.7术中冰冻病理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支持查看术中冰冻病理报告。</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2.2.3.12.8用血复核</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支持单打印用血申请单、取血单、交叉配血单。</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2.2.3.12.9药品医嘱退药</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支持对术中的药品进行退药操作。</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2.2.3.12.10处方、卡片打印</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支持对精麻处方、各类注射卡片进行打印。</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2.2.3.12.11医嘱查询</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支持对手术病人在院医嘱查询。</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2.2.3.12.12患者概览</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支持查询患者基本信息以及术前的皮试结果。</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2.2.3.12.13病历文书</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支持查看患者病历文书。</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2.2.3.12.14用血管理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支持查看患者历次用血信息。</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2.2.3.12.15检查、检验报告</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支持查看手术病人门急住的检查报告、检验报告。</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2.2.3.12.16护理文书</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支持查看手术病人护理文书（体温单、血糖单、护理记录单、入院护理评估、护理评分、专项评估、交接单等）。</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2.2.3.12.17手术费用录入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手术费用组套进行维护；支持对进行中或已结束的手术进行手术费用录入；支持展示病人GCP标识；支持手术费用保存、执行、完成手术记账；支持结束手术记账判断病人是否有未发药、未退药、未做检查判断限制；支持导入已维护好的费用组套；支持对已完成记账的手术取消记账后补费用。</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2.2.3.12.18术后记录</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支持术后对实际的手术安排进行记录。</w:t>
      </w:r>
    </w:p>
    <w:p>
      <w:pPr>
        <w:pStyle w:val="145"/>
        <w:keepLines w:val="0"/>
        <w:pageBreakBefore w:val="0"/>
        <w:numPr>
          <w:ilvl w:val="3"/>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2.2.3.13门办管理</w:t>
      </w:r>
    </w:p>
    <w:p>
      <w:pPr>
        <w:keepLines w:val="0"/>
        <w:pageBreakBefore w:val="0"/>
        <w:kinsoku/>
        <w:wordWrap/>
        <w:overflowPunct/>
        <w:topLinePunct w:val="0"/>
        <w:autoSpaceDE/>
        <w:autoSpaceDN/>
        <w:bidi w:val="0"/>
        <w:spacing w:line="360" w:lineRule="auto"/>
        <w:ind w:firstLine="48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门办管理负责门诊多院区日常的管理和协调工作，规范门诊诊疗秩序，加强病人隐私保护，改进医疗作风，改善服务态度，提高服务质量，实施多种形式的预约诊疗服务和分时段服务，合理安排各科专科专家门诊，检查门诊各科医生出诊和到岗情况，根据各科病人就诊数量增调医生。门办管理主要包括排版管理、门诊管理、综合查询、停诊审核等功能模块。</w:t>
      </w:r>
    </w:p>
    <w:p>
      <w:pPr>
        <w:pStyle w:val="146"/>
        <w:keepLines w:val="0"/>
        <w:pageBreakBefore w:val="0"/>
        <w:numPr>
          <w:ilvl w:val="4"/>
          <w:numId w:val="0"/>
        </w:numPr>
        <w:kinsoku/>
        <w:wordWrap/>
        <w:overflowPunct/>
        <w:topLinePunct w:val="0"/>
        <w:autoSpaceDE/>
        <w:autoSpaceDN/>
        <w:bidi w:val="0"/>
        <w:spacing w:before="0" w:beforeLines="0"/>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2.2.3.13.1排班管理</w:t>
      </w:r>
    </w:p>
    <w:p>
      <w:pPr>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（1）一周排版模板</w:t>
      </w:r>
    </w:p>
    <w:p>
      <w:pPr>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排班信息查看。</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切换查看不同院区不同科室医生的排班信息。</w:t>
      </w:r>
    </w:p>
    <w:p>
      <w:pPr>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排班信息查询。</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根据挂号科室、挂号医生进行检索，检索后直接定位到该科室该医生的排班信息或者根据检索条件检索到该医生的所有排班信息。</w:t>
      </w:r>
    </w:p>
    <w:p>
      <w:pPr>
        <w:spacing w:line="360" w:lineRule="auto"/>
        <w:ind w:left="42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长期排班。</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医生长期排班，若有维护好的基础数据，可同步基础数据。</w:t>
      </w:r>
    </w:p>
    <w:p>
      <w:pPr>
        <w:spacing w:line="360" w:lineRule="auto"/>
        <w:ind w:left="420"/>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排班信息管理。</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查看医生的排班号源和就诊时间及预约方式是否正确，若不</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正确允许修改。</w:t>
      </w:r>
    </w:p>
    <w:p>
      <w:pPr>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长期排班删除。</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删除医生的长期排班，删除时检测该医生的长期排班是已有预约，并发送第三方通知平台。</w:t>
      </w:r>
    </w:p>
    <w:p>
      <w:pPr>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长期排班修改。</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修改长期排班后根据启用日期生效，就诊时间和预约方式同步更新；</w:t>
      </w:r>
    </w:p>
    <w:p>
      <w:pPr>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临时修改排班。</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修改长期排班中的某一天号源，仅当天有效，就诊时间和预约方式不变。</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（2）一周排版</w:t>
      </w:r>
    </w:p>
    <w:p>
      <w:pPr>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新增排班。</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在已生成的排班基础上新增医生临时排班并根据所维护的基础数据同步限号数和预约方式。</w:t>
      </w:r>
    </w:p>
    <w:p>
      <w:pPr>
        <w:spacing w:line="360" w:lineRule="auto"/>
        <w:ind w:firstLine="482"/>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rPr>
        <w:t>临时停诊。</w:t>
      </w:r>
      <w:r>
        <w:rPr>
          <w:rFonts w:hint="eastAsia" w:ascii="宋体" w:hAnsi="宋体" w:eastAsia="宋体" w:cs="宋体"/>
          <w:color w:val="auto"/>
          <w:sz w:val="21"/>
          <w:szCs w:val="21"/>
          <w:highlight w:val="none"/>
        </w:rPr>
        <w:t>支持</w:t>
      </w:r>
      <w:r>
        <w:rPr>
          <w:rFonts w:hint="eastAsia" w:ascii="宋体" w:hAnsi="宋体" w:eastAsia="宋体" w:cs="宋体"/>
          <w:color w:val="auto"/>
          <w:kern w:val="0"/>
          <w:sz w:val="21"/>
          <w:szCs w:val="21"/>
          <w:highlight w:val="none"/>
        </w:rPr>
        <w:t>将医生排班进行某天临时停诊，停诊时检测患者有无预约，并发送第三方通知平台。</w:t>
      </w:r>
    </w:p>
    <w:p>
      <w:pPr>
        <w:spacing w:line="360" w:lineRule="auto"/>
        <w:ind w:firstLine="482"/>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（3）特殊排班管理</w:t>
      </w:r>
    </w:p>
    <w:p>
      <w:pPr>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b/>
          <w:bCs/>
          <w:color w:val="auto"/>
          <w:sz w:val="21"/>
          <w:szCs w:val="21"/>
          <w:highlight w:val="none"/>
        </w:rPr>
        <w:t xml:space="preserve"> 临时排版。</w:t>
      </w:r>
      <w:r>
        <w:rPr>
          <w:rFonts w:hint="eastAsia" w:ascii="宋体" w:hAnsi="宋体" w:eastAsia="宋体" w:cs="宋体"/>
          <w:color w:val="auto"/>
          <w:sz w:val="21"/>
          <w:szCs w:val="21"/>
          <w:highlight w:val="none"/>
        </w:rPr>
        <w:t>支持医生某一段时间的临时排班并根据所选模板维护好对应的就诊时间和预约方式，过期自动失效。</w:t>
      </w:r>
    </w:p>
    <w:p>
      <w:pPr>
        <w:spacing w:line="360" w:lineRule="auto"/>
        <w:ind w:firstLine="482"/>
        <w:rPr>
          <w:rFonts w:hint="eastAsia" w:ascii="宋体" w:hAnsi="宋体" w:eastAsia="宋体" w:cs="宋体"/>
          <w:color w:val="auto"/>
          <w:kern w:val="0"/>
          <w:sz w:val="21"/>
          <w:szCs w:val="21"/>
          <w:highlight w:val="none"/>
        </w:rPr>
      </w:pPr>
      <w:r>
        <w:rPr>
          <w:rFonts w:hint="eastAsia" w:ascii="宋体" w:hAnsi="宋体" w:eastAsia="宋体" w:cs="宋体"/>
          <w:b/>
          <w:bCs/>
          <w:color w:val="auto"/>
          <w:kern w:val="0"/>
          <w:sz w:val="21"/>
          <w:szCs w:val="21"/>
          <w:highlight w:val="none"/>
        </w:rPr>
        <w:t>节假日排版。</w:t>
      </w:r>
      <w:r>
        <w:rPr>
          <w:rFonts w:hint="eastAsia" w:ascii="宋体" w:hAnsi="宋体" w:eastAsia="宋体" w:cs="宋体"/>
          <w:color w:val="auto"/>
          <w:sz w:val="21"/>
          <w:szCs w:val="21"/>
          <w:highlight w:val="none"/>
        </w:rPr>
        <w:t>支持根据</w:t>
      </w:r>
      <w:r>
        <w:rPr>
          <w:rFonts w:hint="eastAsia" w:ascii="宋体" w:hAnsi="宋体" w:eastAsia="宋体" w:cs="宋体"/>
          <w:color w:val="auto"/>
          <w:kern w:val="0"/>
          <w:sz w:val="21"/>
          <w:szCs w:val="21"/>
          <w:highlight w:val="none"/>
        </w:rPr>
        <w:t>所选院区和科室一键切换节假日排班（就诊时间和预约方式同步更改，仅当天有效，不影响长期排班）。</w:t>
      </w:r>
    </w:p>
    <w:p>
      <w:pPr>
        <w:widowControl w:val="0"/>
        <w:spacing w:line="360" w:lineRule="auto"/>
        <w:ind w:firstLine="422" w:firstLineChars="200"/>
        <w:jc w:val="left"/>
        <w:textAlignment w:val="baseline"/>
        <w:rPr>
          <w:rFonts w:hint="eastAsia" w:ascii="宋体" w:hAnsi="宋体" w:eastAsia="宋体" w:cs="宋体"/>
          <w:color w:val="auto"/>
          <w:kern w:val="0"/>
          <w:sz w:val="21"/>
          <w:szCs w:val="21"/>
          <w:highlight w:val="none"/>
          <w:lang w:val="zh-CN" w:eastAsia="zh-CN" w:bidi="ar-SA"/>
        </w:rPr>
      </w:pPr>
      <w:r>
        <w:rPr>
          <w:rFonts w:hint="eastAsia" w:ascii="宋体" w:hAnsi="宋体" w:eastAsia="宋体" w:cs="宋体"/>
          <w:b/>
          <w:bCs/>
          <w:color w:val="auto"/>
          <w:kern w:val="0"/>
          <w:sz w:val="21"/>
          <w:szCs w:val="21"/>
          <w:highlight w:val="none"/>
          <w:lang w:val="zh-CN" w:eastAsia="zh-CN" w:bidi="ar-SA"/>
        </w:rPr>
        <w:t>批量临时停诊。</w:t>
      </w:r>
      <w:r>
        <w:rPr>
          <w:rFonts w:hint="eastAsia" w:ascii="宋体" w:hAnsi="宋体" w:eastAsia="宋体" w:cs="宋体"/>
          <w:color w:val="auto"/>
          <w:kern w:val="0"/>
          <w:sz w:val="21"/>
          <w:szCs w:val="21"/>
          <w:highlight w:val="none"/>
          <w:lang w:val="zh-CN" w:eastAsia="zh-CN" w:bidi="ar-SA"/>
        </w:rPr>
        <w:t>支持根据院区、科室、医生、挂号类别、停诊时间（或时间段）进行批量临时停诊。</w:t>
      </w:r>
    </w:p>
    <w:p>
      <w:pPr>
        <w:keepLines w:val="0"/>
        <w:pageBreakBefore w:val="0"/>
        <w:kinsoku/>
        <w:wordWrap/>
        <w:overflowPunct/>
        <w:topLinePunct w:val="0"/>
        <w:autoSpaceDE/>
        <w:autoSpaceDN/>
        <w:bidi w:val="0"/>
        <w:spacing w:line="360" w:lineRule="auto"/>
        <w:ind w:firstLine="482"/>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（4）排班基础设置</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支持提前将挂号类别、限号数、最高限号数、就诊时间、预约方式以模板的形式维护好，增加或修改时可快速关联号源、就诊时间和预约方式。</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2.2.3.13.2门诊管理</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诊室信息维护。</w:t>
      </w:r>
      <w:r>
        <w:rPr>
          <w:rFonts w:hint="eastAsia" w:ascii="宋体" w:hAnsi="宋体" w:eastAsia="宋体" w:cs="宋体"/>
          <w:color w:val="auto"/>
          <w:sz w:val="21"/>
          <w:szCs w:val="21"/>
          <w:highlight w:val="none"/>
        </w:rPr>
        <w:t>支持对门诊科室对应的诊室名称、输入码、候诊和就诊区域等基本信息进行维护。</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医疗证明。</w:t>
      </w:r>
      <w:r>
        <w:rPr>
          <w:rFonts w:hint="eastAsia" w:ascii="宋体" w:hAnsi="宋体" w:eastAsia="宋体" w:cs="宋体"/>
          <w:color w:val="auto"/>
          <w:sz w:val="21"/>
          <w:szCs w:val="21"/>
          <w:highlight w:val="none"/>
        </w:rPr>
        <w:t>支持根据日期筛选患者查询审批医疗证明。</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2.2.3.13.3综合查询</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预约查询。</w:t>
      </w:r>
      <w:r>
        <w:rPr>
          <w:rFonts w:hint="eastAsia" w:ascii="宋体" w:hAnsi="宋体" w:eastAsia="宋体" w:cs="宋体"/>
          <w:color w:val="auto"/>
          <w:sz w:val="21"/>
          <w:szCs w:val="21"/>
          <w:highlight w:val="none"/>
        </w:rPr>
        <w:t>支持根据院区、科室、医生、预约时间查询预约信息并进行取消预约和发送短信的操作。</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显示设置。</w:t>
      </w:r>
      <w:r>
        <w:rPr>
          <w:rFonts w:hint="eastAsia" w:ascii="宋体" w:hAnsi="宋体" w:eastAsia="宋体" w:cs="宋体"/>
          <w:color w:val="auto"/>
          <w:sz w:val="21"/>
          <w:szCs w:val="21"/>
          <w:highlight w:val="none"/>
        </w:rPr>
        <w:t>支持工作人员根据实际需要配置预约查询时显示的字段。</w:t>
      </w:r>
    </w:p>
    <w:p>
      <w:pPr>
        <w:keepLines w:val="0"/>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操作记录。</w:t>
      </w:r>
      <w:r>
        <w:rPr>
          <w:rFonts w:hint="eastAsia" w:ascii="宋体" w:hAnsi="宋体" w:eastAsia="宋体" w:cs="宋体"/>
          <w:color w:val="auto"/>
          <w:sz w:val="21"/>
          <w:szCs w:val="21"/>
          <w:highlight w:val="none"/>
        </w:rPr>
        <w:t>支持查看工作人员每一条增删改的操作记录。</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2.2.3.13.4停诊审核</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支持通过门诊医生站或其他方式申请停诊后门办工作人员审核即可，若审核通过同步检测停诊当天患者有无预约，若有跳转到预约查询页发送通知。</w:t>
      </w:r>
    </w:p>
    <w:p>
      <w:pPr>
        <w:pStyle w:val="145"/>
        <w:keepLines w:val="0"/>
        <w:pageBreakBefore w:val="0"/>
        <w:numPr>
          <w:ilvl w:val="3"/>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2.2.3.14疾病报卡管理</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2.2.3.14.1报卡管理</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支持对两个院区传染病、慢病等各类报卡进行管理。</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2.2.3.14.2重复报卡、漏报筛查</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支持多院区医生重复报卡、漏报查询。</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2.2.3.14.3传染病、慢病上传</w:t>
      </w:r>
    </w:p>
    <w:p>
      <w:pPr>
        <w:keepLines w:val="0"/>
        <w:pageBreakBefore w:val="0"/>
        <w:widowControl w:val="0"/>
        <w:kinsoku/>
        <w:wordWrap/>
        <w:overflowPunct/>
        <w:topLinePunct w:val="0"/>
        <w:autoSpaceDE/>
        <w:autoSpaceDN/>
        <w:bidi w:val="0"/>
        <w:spacing w:before="0" w:beforeLines="0" w:line="360" w:lineRule="auto"/>
        <w:ind w:firstLine="420" w:firstLineChars="200"/>
        <w:jc w:val="both"/>
        <w:textAlignment w:val="auto"/>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lang w:val="en-US" w:eastAsia="zh-CN" w:bidi="ar-SA"/>
        </w:rPr>
        <w:t>防保科报卡审核后，</w:t>
      </w:r>
      <w:r>
        <w:rPr>
          <w:rFonts w:hint="eastAsia" w:ascii="宋体" w:hAnsi="宋体" w:eastAsia="宋体" w:cs="宋体"/>
          <w:snapToGrid w:val="0"/>
          <w:color w:val="auto"/>
          <w:kern w:val="2"/>
          <w:sz w:val="21"/>
          <w:szCs w:val="21"/>
          <w:highlight w:val="none"/>
          <w:lang w:val="en-US" w:eastAsia="zh-CN" w:bidi="ar-SA"/>
        </w:rPr>
        <w:t>支持</w:t>
      </w:r>
      <w:r>
        <w:rPr>
          <w:rFonts w:hint="eastAsia" w:ascii="宋体" w:hAnsi="宋体" w:eastAsia="宋体" w:cs="宋体"/>
          <w:snapToGrid w:val="0"/>
          <w:color w:val="auto"/>
          <w:kern w:val="0"/>
          <w:sz w:val="21"/>
          <w:szCs w:val="21"/>
          <w:highlight w:val="none"/>
          <w:lang w:val="en-US" w:eastAsia="zh-CN" w:bidi="ar-SA"/>
        </w:rPr>
        <w:t>对传染病、慢病报卡进行上传。</w:t>
      </w:r>
    </w:p>
    <w:p>
      <w:pPr>
        <w:pStyle w:val="145"/>
        <w:keepLines w:val="0"/>
        <w:pageBreakBefore w:val="0"/>
        <w:numPr>
          <w:ilvl w:val="3"/>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2.2.3.15报表管理</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为满足多院区需求，根据业务需求整理各类报表嵌入其中，通过权限角色管理控制，实现不同业务场景展现对应报表查询与统计，达到医疗质量监管。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2.2.3.15.1财务报表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120急救收费、GCP汇总、财务收入、挂号人次、门诊出诊天数、门诊电子发票查询、门诊科室工作量、门诊医生收治人数、全院收入按核算项目明细、全院收入、甬易支付方式、支付明细、住院收入按核算项目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2.2.3.15.2药品报表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病区发药、病区药房大输液药品、静脉用药袋、特殊药品使用登记本、体检处方（健康管理中心）发药数、血透发药、药房进出入库汇总、药房特殊药品分类、药品字典医保药械匹配、中草药处方开单数、中药药房工作量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2.2.3.15.3临床报表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通过报表工具，实现生成包括分诊病人明细、分诊人次等报表统计。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2.2.3.15.4医技报表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通过报表工具，实现生成包括精麻醉药品使用登记、手麻费用查询等报表统计。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2.2.3.15.5药库报表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4+7药品、国考基药指标、基药业务查询、全院药品实时库存查询、药房发药金额汇总、药房工作量、药房国药基药、房用药、药库出库汇总、药库国基药物、药库入库汇总、药库实物账册查询、药库收支月报、药品批次查询、药品验收记录、药品字典其他属性查询、医生开方药品、重点监控药品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2.2.3.15.6门诊报表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通过报表工具，实现生成包括急诊收治人数统计报表。</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2.2.3.15.7住院报表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通过报表工具，实现生成包括17点和8点在院及入院人次、费用明细、住院预交款、住院预交款明细、住院预交款往来、住院月末留院费用等报表统计。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2.2.3.15.8医保报表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通过报表工具，实现生成包括国标贯标清单、宁波医保核拨表、省移动支付明细、省异地医保核拨表、医保办药品使用情况等报表统计。</w:t>
      </w:r>
    </w:p>
    <w:p>
      <w:pPr>
        <w:pStyle w:val="146"/>
        <w:keepLines w:val="0"/>
        <w:pageBreakBefore w:val="0"/>
        <w:numPr>
          <w:ilvl w:val="4"/>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2.2.3.15.9其他报表</w:t>
      </w:r>
    </w:p>
    <w:p>
      <w:pPr>
        <w:keepLines w:val="0"/>
        <w:pageBreakBefore w:val="0"/>
        <w:kinsoku/>
        <w:wordWrap/>
        <w:overflowPunct/>
        <w:topLinePunct w:val="0"/>
        <w:autoSpaceDE/>
        <w:autoSpaceDN/>
        <w:bidi w:val="0"/>
        <w:adjustRightInd w:val="0"/>
        <w:snapToGrid w:val="0"/>
        <w:spacing w:before="0" w:beforeLines="0"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通过报表工具，实现生成包括单病人费用查询、服务台工作量、开单药品使用、科室出入转、留抢在院人数、卫生材料金额使用排名、新冠筛查病人费用明细、医保药品等级金额、注射室工作量等报表统计。</w:t>
      </w:r>
    </w:p>
    <w:p>
      <w:pPr>
        <w:pStyle w:val="145"/>
        <w:keepLines w:val="0"/>
        <w:pageBreakBefore w:val="0"/>
        <w:numPr>
          <w:ilvl w:val="3"/>
          <w:numId w:val="0"/>
        </w:numPr>
        <w:kinsoku/>
        <w:wordWrap/>
        <w:overflowPunct/>
        <w:topLinePunct w:val="0"/>
        <w:autoSpaceDE/>
        <w:autoSpaceDN/>
        <w:bidi w:val="0"/>
        <w:spacing w:before="0" w:beforeLines="0" w:line="360" w:lineRule="auto"/>
        <w:ind w:leftChars="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2.2.3.16 HIS系统业务数据库改造</w:t>
      </w:r>
    </w:p>
    <w:p>
      <w:pPr>
        <w:keepLines w:val="0"/>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支持对HIS业务数据库中的相关业务库表增加院区标识，实现两个院区数据逻辑隔离，统一管理。</w:t>
      </w:r>
    </w:p>
    <w:p>
      <w:pPr>
        <w:pStyle w:val="7"/>
        <w:rPr>
          <w:rFonts w:hint="eastAsia"/>
          <w:color w:val="auto"/>
          <w:highlight w:val="none"/>
        </w:rPr>
      </w:pPr>
    </w:p>
    <w:p>
      <w:pPr>
        <w:pageBreakBefore w:val="0"/>
        <w:kinsoku/>
        <w:wordWrap/>
        <w:overflowPunct/>
        <w:topLinePunct w:val="0"/>
        <w:autoSpaceDE/>
        <w:autoSpaceDN/>
        <w:bidi w:val="0"/>
        <w:spacing w:line="360" w:lineRule="auto"/>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Cs w:val="21"/>
          <w:highlight w:val="none"/>
          <w:lang w:val="en-US" w:eastAsia="zh-CN"/>
        </w:rPr>
        <w:t>标项二：</w:t>
      </w:r>
    </w:p>
    <w:p>
      <w:pPr>
        <w:keepNext/>
        <w:keepLines/>
        <w:pageBreakBefore w:val="0"/>
        <w:widowControl w:val="0"/>
        <w:kinsoku/>
        <w:wordWrap/>
        <w:overflowPunct/>
        <w:topLinePunct w:val="0"/>
        <w:autoSpaceDE/>
        <w:autoSpaceDN/>
        <w:bidi w:val="0"/>
        <w:spacing w:before="0" w:after="0"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50" w:name="_Toc80967129"/>
      <w:bookmarkStart w:id="51" w:name="_Toc86927258"/>
      <w:bookmarkStart w:id="52" w:name="_Toc80968170"/>
      <w:r>
        <w:rPr>
          <w:rFonts w:hint="eastAsia" w:ascii="宋体" w:hAnsi="宋体" w:eastAsia="宋体" w:cs="宋体"/>
          <w:b/>
          <w:bCs/>
          <w:color w:val="auto"/>
          <w:kern w:val="2"/>
          <w:sz w:val="21"/>
          <w:szCs w:val="21"/>
          <w:highlight w:val="none"/>
          <w:lang w:val="en-US" w:eastAsia="zh-CN" w:bidi="ar-SA"/>
        </w:rPr>
        <w:t>1、项目简介</w:t>
      </w:r>
      <w:bookmarkEnd w:id="50"/>
      <w:bookmarkEnd w:id="51"/>
      <w:bookmarkEnd w:id="52"/>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为PIS医院心身整合医疗服务集成平台，将医学(西医、中医、心理学)理论与心身整体诊疗服务技术融合，实现心理健康状态快速筛查、MUS快速识别、心身疾病快速诊断，并为患者提供个性化干预治疗及心身整体护理等医护服务。整个项目是建立在医院智能化HIS平台之上，与PACS 、LIS等系统兼容并蓄的一种新型临床医疗服务类信息化系统。</w:t>
      </w:r>
    </w:p>
    <w:p>
      <w:pPr>
        <w:keepNext/>
        <w:keepLines/>
        <w:pageBreakBefore w:val="0"/>
        <w:widowControl w:val="0"/>
        <w:kinsoku/>
        <w:wordWrap/>
        <w:overflowPunct/>
        <w:topLinePunct w:val="0"/>
        <w:autoSpaceDE/>
        <w:autoSpaceDN/>
        <w:bidi w:val="0"/>
        <w:spacing w:before="0" w:after="0"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53" w:name="_Toc86927259"/>
      <w:bookmarkStart w:id="54" w:name="_Toc80968171"/>
      <w:bookmarkStart w:id="55" w:name="_Toc80967130"/>
      <w:r>
        <w:rPr>
          <w:rFonts w:hint="eastAsia" w:ascii="宋体" w:hAnsi="宋体" w:eastAsia="宋体" w:cs="宋体"/>
          <w:b/>
          <w:bCs/>
          <w:color w:val="auto"/>
          <w:kern w:val="2"/>
          <w:sz w:val="21"/>
          <w:szCs w:val="21"/>
          <w:highlight w:val="none"/>
          <w:lang w:val="en-US" w:eastAsia="zh-CN" w:bidi="ar-SA"/>
        </w:rPr>
        <w:t>2、采购目标</w:t>
      </w:r>
      <w:bookmarkEnd w:id="53"/>
      <w:bookmarkEnd w:id="54"/>
      <w:bookmarkEnd w:id="55"/>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在全院范围内积极开展门诊与住院患者心理评估、心理干预、心理治疗以及各种培训服务。依托于适用于门诊、住院病区病人心身状态初筛评估工具，面向全院科室患者开展心理评估、诊断、治疗和转诊，让各临床科室非精神科医生更准确、有效地识别和治疗抑郁、焦虑等心理问题，提高心理问题筛查率、MUS识别率，心身疾病有效诊疗率，并深度提升慢病心身整体诊疗技术与水平，有效提高了医疗效率和医疗服务质量，医患纠纷与医疗风险事件显著下降。</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帮助</w:t>
      </w:r>
      <w:r>
        <w:rPr>
          <w:rFonts w:hint="eastAsia" w:ascii="宋体" w:hAnsi="宋体" w:eastAsia="宋体" w:cs="宋体"/>
          <w:color w:val="auto"/>
          <w:sz w:val="21"/>
          <w:szCs w:val="21"/>
          <w:highlight w:val="none"/>
          <w:lang w:val="en-US" w:eastAsia="zh-CN"/>
        </w:rPr>
        <w:t>宁波市第一医院</w:t>
      </w:r>
      <w:r>
        <w:rPr>
          <w:rFonts w:hint="eastAsia" w:ascii="宋体" w:hAnsi="宋体" w:eastAsia="宋体" w:cs="宋体"/>
          <w:color w:val="auto"/>
          <w:sz w:val="21"/>
          <w:szCs w:val="21"/>
          <w:highlight w:val="none"/>
        </w:rPr>
        <w:t>实现健康医院建设、人文医院建设、现代医学模式建设，践行健康中国行动计划，有效降低药品与高值耗材占比，培养心身整合服务方面高素质的护理团队，全面有效提高医护服务质量，缓解医患关系。</w:t>
      </w:r>
    </w:p>
    <w:p>
      <w:pPr>
        <w:pageBreakBefore w:val="0"/>
        <w:kinsoku/>
        <w:wordWrap/>
        <w:overflowPunct/>
        <w:topLinePunct w:val="0"/>
        <w:autoSpaceDE/>
        <w:autoSpaceDN/>
        <w:bidi w:val="0"/>
        <w:adjustRightInd w:val="0"/>
        <w:snapToGrid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全面提升患者满意度改善就医体验及患者满意度；及时发现患者的心理需求，防范安全风险。申请基于大数据的临床疾病心身整体诊疗项目课题研究，建立具有省医特色，中国特色的心身整体诊疗路径与模式，并为国家制定相关政策提供科学依据。</w:t>
      </w:r>
    </w:p>
    <w:p>
      <w:pPr>
        <w:keepNext/>
        <w:keepLines/>
        <w:pageBreakBefore w:val="0"/>
        <w:widowControl w:val="0"/>
        <w:kinsoku/>
        <w:wordWrap/>
        <w:overflowPunct/>
        <w:topLinePunct w:val="0"/>
        <w:autoSpaceDE/>
        <w:autoSpaceDN/>
        <w:bidi w:val="0"/>
        <w:spacing w:before="0" w:after="0"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56" w:name="_Toc80967131"/>
      <w:bookmarkStart w:id="57" w:name="_Toc80968172"/>
      <w:bookmarkStart w:id="58" w:name="_Toc86927260"/>
      <w:r>
        <w:rPr>
          <w:rFonts w:hint="eastAsia" w:ascii="宋体" w:hAnsi="宋体" w:eastAsia="宋体" w:cs="宋体"/>
          <w:b/>
          <w:bCs/>
          <w:color w:val="auto"/>
          <w:kern w:val="2"/>
          <w:sz w:val="21"/>
          <w:szCs w:val="21"/>
          <w:highlight w:val="none"/>
          <w:lang w:val="en-US" w:eastAsia="zh-CN" w:bidi="ar-SA"/>
        </w:rPr>
        <w:t>3、采购内容</w:t>
      </w:r>
      <w:bookmarkEnd w:id="56"/>
      <w:bookmarkEnd w:id="57"/>
      <w:bookmarkEnd w:id="58"/>
    </w:p>
    <w:p>
      <w:pPr>
        <w:pageBreakBefore w:val="0"/>
        <w:widowControl w:val="0"/>
        <w:kinsoku/>
        <w:wordWrap/>
        <w:overflowPunct/>
        <w:topLinePunct w:val="0"/>
        <w:autoSpaceDE/>
        <w:autoSpaceDN/>
        <w:bidi w:val="0"/>
        <w:adjustRightInd w:val="0"/>
        <w:snapToGrid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建设内容主要为：</w:t>
      </w:r>
    </w:p>
    <w:tbl>
      <w:tblPr>
        <w:tblStyle w:val="28"/>
        <w:tblW w:w="8213" w:type="dxa"/>
        <w:jc w:val="center"/>
        <w:tblLayout w:type="fixed"/>
        <w:tblCellMar>
          <w:top w:w="0" w:type="dxa"/>
          <w:left w:w="108" w:type="dxa"/>
          <w:bottom w:w="0" w:type="dxa"/>
          <w:right w:w="108" w:type="dxa"/>
        </w:tblCellMar>
      </w:tblPr>
      <w:tblGrid>
        <w:gridCol w:w="1125"/>
        <w:gridCol w:w="1314"/>
        <w:gridCol w:w="3032"/>
        <w:gridCol w:w="1418"/>
        <w:gridCol w:w="1324"/>
      </w:tblGrid>
      <w:tr>
        <w:tblPrEx>
          <w:tblCellMar>
            <w:top w:w="0" w:type="dxa"/>
            <w:left w:w="108" w:type="dxa"/>
            <w:bottom w:w="0" w:type="dxa"/>
            <w:right w:w="108" w:type="dxa"/>
          </w:tblCellMar>
        </w:tblPrEx>
        <w:trPr>
          <w:trHeight w:val="90" w:hRule="atLeast"/>
          <w:jc w:val="center"/>
        </w:trPr>
        <w:tc>
          <w:tcPr>
            <w:tcW w:w="1125" w:type="dxa"/>
            <w:tcBorders>
              <w:top w:val="single" w:color="auto" w:sz="4" w:space="0"/>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序号</w:t>
            </w:r>
          </w:p>
        </w:tc>
        <w:tc>
          <w:tcPr>
            <w:tcW w:w="4346" w:type="dxa"/>
            <w:gridSpan w:val="2"/>
            <w:tcBorders>
              <w:top w:val="single" w:color="auto" w:sz="4" w:space="0"/>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内容</w:t>
            </w:r>
          </w:p>
        </w:tc>
        <w:tc>
          <w:tcPr>
            <w:tcW w:w="1418" w:type="dxa"/>
            <w:tcBorders>
              <w:top w:val="single" w:color="auto" w:sz="4" w:space="0"/>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数量</w:t>
            </w:r>
          </w:p>
        </w:tc>
        <w:tc>
          <w:tcPr>
            <w:tcW w:w="1324" w:type="dxa"/>
            <w:tcBorders>
              <w:top w:val="single" w:color="auto" w:sz="4" w:space="0"/>
              <w:left w:val="single" w:color="auto" w:sz="4" w:space="0"/>
              <w:bottom w:val="single" w:color="000000"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单位</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HEI住院评估平台</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PEM科室诊疗平台</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全院患者心身问题大数据平台</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EAP医护人员心身关爱服务平台</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心身健康智慧在线服务平台</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6</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PIS专家培训管理平台</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7</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PIS科研及业务支持系统</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tcBorders>
              <w:top w:val="nil"/>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8</w:t>
            </w:r>
          </w:p>
        </w:tc>
        <w:tc>
          <w:tcPr>
            <w:tcW w:w="4346" w:type="dxa"/>
            <w:gridSpan w:val="2"/>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医院积极心理人文建设</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r>
        <w:tblPrEx>
          <w:tblCellMar>
            <w:top w:w="0" w:type="dxa"/>
            <w:left w:w="108" w:type="dxa"/>
            <w:bottom w:w="0" w:type="dxa"/>
            <w:right w:w="108" w:type="dxa"/>
          </w:tblCellMar>
        </w:tblPrEx>
        <w:trPr>
          <w:trHeight w:val="90" w:hRule="atLeast"/>
          <w:jc w:val="center"/>
        </w:trPr>
        <w:tc>
          <w:tcPr>
            <w:tcW w:w="1125" w:type="dxa"/>
            <w:vMerge w:val="restart"/>
            <w:tcBorders>
              <w:top w:val="single" w:color="auto" w:sz="4" w:space="0"/>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9</w:t>
            </w:r>
          </w:p>
        </w:tc>
        <w:tc>
          <w:tcPr>
            <w:tcW w:w="1314" w:type="dxa"/>
            <w:vMerge w:val="restart"/>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PIS临床科室辅助工作设备</w:t>
            </w:r>
          </w:p>
        </w:tc>
        <w:tc>
          <w:tcPr>
            <w:tcW w:w="30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移动心身整体护理车（带电源）</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314" w:type="dxa"/>
            <w:vMerge w:val="continue"/>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30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平板电脑</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30</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314" w:type="dxa"/>
            <w:vMerge w:val="continue"/>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30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心身健康管理一体机</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0" w:hRule="atLeast"/>
          <w:jc w:val="center"/>
        </w:trPr>
        <w:tc>
          <w:tcPr>
            <w:tcW w:w="1125" w:type="dxa"/>
            <w:vMerge w:val="continue"/>
            <w:tcBorders>
              <w:left w:val="single" w:color="auto" w:sz="4" w:space="0"/>
              <w:right w:val="single" w:color="auto" w:sz="4" w:space="0"/>
            </w:tcBorders>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314" w:type="dxa"/>
            <w:vMerge w:val="continue"/>
            <w:tcBorders>
              <w:top w:val="nil"/>
              <w:left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30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心理评估触摸一体机</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10</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台</w:t>
            </w:r>
          </w:p>
        </w:tc>
      </w:tr>
      <w:tr>
        <w:tblPrEx>
          <w:tblCellMar>
            <w:top w:w="0" w:type="dxa"/>
            <w:left w:w="108" w:type="dxa"/>
            <w:bottom w:w="0" w:type="dxa"/>
            <w:right w:w="108" w:type="dxa"/>
          </w:tblCellMar>
        </w:tblPrEx>
        <w:trPr>
          <w:trHeight w:val="90" w:hRule="atLeast"/>
          <w:jc w:val="center"/>
        </w:trPr>
        <w:tc>
          <w:tcPr>
            <w:tcW w:w="1125"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p>
        </w:tc>
        <w:tc>
          <w:tcPr>
            <w:tcW w:w="1314" w:type="dxa"/>
            <w:vMerge w:val="continue"/>
            <w:tcBorders>
              <w:left w:val="single" w:color="auto" w:sz="4" w:space="0"/>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p>
        </w:tc>
        <w:tc>
          <w:tcPr>
            <w:tcW w:w="3032"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大数据显示终端</w:t>
            </w:r>
          </w:p>
        </w:tc>
        <w:tc>
          <w:tcPr>
            <w:tcW w:w="1418"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324" w:type="dxa"/>
            <w:tcBorders>
              <w:top w:val="nil"/>
              <w:left w:val="nil"/>
              <w:bottom w:val="single" w:color="auto" w:sz="4" w:space="0"/>
              <w:right w:val="single" w:color="auto" w:sz="4" w:space="0"/>
            </w:tcBorders>
            <w:noWrap w:val="0"/>
            <w:vAlign w:val="center"/>
          </w:tcPr>
          <w:p>
            <w:pPr>
              <w:pageBreakBefore w:val="0"/>
              <w:widowControl/>
              <w:kinsoku/>
              <w:wordWrap/>
              <w:overflowPunct/>
              <w:topLinePunct w:val="0"/>
              <w:autoSpaceDE/>
              <w:autoSpaceDN/>
              <w:bidi w:val="0"/>
              <w:spacing w:line="360" w:lineRule="auto"/>
              <w:jc w:val="center"/>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套</w:t>
            </w:r>
          </w:p>
        </w:tc>
      </w:tr>
    </w:tbl>
    <w:p>
      <w:pPr>
        <w:keepNext/>
        <w:keepLines/>
        <w:pageBreakBefore w:val="0"/>
        <w:widowControl w:val="0"/>
        <w:kinsoku/>
        <w:wordWrap/>
        <w:overflowPunct/>
        <w:topLinePunct w:val="0"/>
        <w:autoSpaceDE/>
        <w:autoSpaceDN/>
        <w:bidi w:val="0"/>
        <w:spacing w:before="0" w:after="0" w:line="360" w:lineRule="auto"/>
        <w:ind w:firstLine="422" w:firstLineChars="200"/>
        <w:jc w:val="both"/>
        <w:textAlignment w:val="auto"/>
        <w:outlineLvl w:val="1"/>
        <w:rPr>
          <w:rFonts w:hint="eastAsia" w:ascii="宋体" w:hAnsi="宋体" w:eastAsia="宋体" w:cs="宋体"/>
          <w:b/>
          <w:bCs/>
          <w:color w:val="auto"/>
          <w:kern w:val="2"/>
          <w:sz w:val="21"/>
          <w:szCs w:val="21"/>
          <w:highlight w:val="none"/>
          <w:lang w:val="en-US" w:eastAsia="zh-CN" w:bidi="ar-SA"/>
        </w:rPr>
      </w:pPr>
      <w:bookmarkStart w:id="59" w:name="_Toc80967132"/>
      <w:bookmarkStart w:id="60" w:name="_Toc86927261"/>
      <w:bookmarkStart w:id="61" w:name="_Toc80968173"/>
      <w:r>
        <w:rPr>
          <w:rFonts w:hint="eastAsia" w:ascii="宋体" w:hAnsi="宋体" w:eastAsia="宋体" w:cs="宋体"/>
          <w:b/>
          <w:bCs/>
          <w:color w:val="auto"/>
          <w:kern w:val="2"/>
          <w:sz w:val="21"/>
          <w:szCs w:val="21"/>
          <w:highlight w:val="none"/>
          <w:lang w:val="en-US" w:eastAsia="zh-CN" w:bidi="ar-SA"/>
        </w:rPr>
        <w:t>4、主要技术参数要求</w:t>
      </w:r>
      <w:bookmarkEnd w:id="59"/>
      <w:bookmarkEnd w:id="60"/>
      <w:bookmarkEnd w:id="61"/>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4.1 </w:t>
      </w:r>
      <w:r>
        <w:rPr>
          <w:rFonts w:hint="eastAsia" w:ascii="宋体" w:hAnsi="宋体" w:eastAsia="宋体" w:cs="宋体"/>
          <w:b/>
          <w:bCs/>
          <w:color w:val="auto"/>
          <w:kern w:val="0"/>
          <w:sz w:val="21"/>
          <w:szCs w:val="21"/>
          <w:highlight w:val="none"/>
        </w:rPr>
        <w:t>HEI住院评估平台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1.1病区医生管理系统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该系统可根据临床科室心身整合医疗服务路径中医生与护士业务分工，按照科室业务特点、医护人员工作角色、数据类型划分不同人员访问权限，确保病人数据统一采集与分级管理，实现医嘱与HIS系统对接，医生护士可分别通过医生工作站与护士工作站按照权限获取HIS系统集成的报告数据。页面显示的内容包括患者档案管理列表、列表包括姓名、年龄、条形码、护理单元等。该系统需要对接HIS系统，实现患者信息的同步，并返回测评给HIS系统，供医生进行调阅查询报告；</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1.2病区护士管理系统</w:t>
      </w:r>
    </w:p>
    <w:p>
      <w:pPr>
        <w:pageBreakBefore w:val="0"/>
        <w:widowControl/>
        <w:tabs>
          <w:tab w:val="left" w:pos="8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实现护士管理分级权限，按照护理病区、角色、数据类型划分不同人员访问权限，实现住院患者账号HEI项目的快速评估与数据采集汇总。支持评估数据的汇报上传、分级处理；</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1.3患者HEI自评系统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支持HEI专业评估问卷根据经典心理测量理论和项目反应理论（Item Response Theory，IRT）编制而成，由9个条目组成，具有良好的信效度。该问卷评定结果仅用于心理健康问题的筛查，不作为精神病学诊断。该量表系统应支持智能语音答题与断点答题模式，兼容不同的终端设备（如平板、PC电脑、触摸一体机、床头屏、手机等），支持患者缴费后可自行通过手机扫描二维码方式进行评估并可在手机终端查询测试结果；</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1.4住院心理评估报告系统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为确保全院不同科室住院病人初筛以及深度心理评估需求，建设不低于150个心理量表数据库，支持HEI专业评估问卷与心理风险预警评估问卷，并能够根据医院科室需求定制研发相关量表。配置必要便捷操作硬件和移动设备，方便多病人同时测评。支持自定义心理评估套餐,可根据业务需要将系统中的量表分为不同的测评套餐，在分配测评项时可使用不同的测评套餐，建立不同标准收费项目目录。系统支持智能语音答题与断点答题模式，测评系统须兼容不同的终端设备（如平板、PC电脑、触摸一体机等），方便病人随时随地完成心理测评与评估；</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1.5</w:t>
      </w:r>
      <w:r>
        <w:rPr>
          <w:rFonts w:hint="eastAsia" w:ascii="宋体" w:hAnsi="宋体" w:eastAsia="宋体" w:cs="宋体"/>
          <w:color w:val="auto"/>
          <w:sz w:val="21"/>
          <w:szCs w:val="21"/>
          <w:highlight w:val="none"/>
        </w:rPr>
        <w:t xml:space="preserve"> </w:t>
      </w:r>
      <w:r>
        <w:rPr>
          <w:rFonts w:hint="eastAsia" w:ascii="宋体" w:hAnsi="宋体" w:eastAsia="宋体" w:cs="宋体"/>
          <w:color w:val="auto"/>
          <w:kern w:val="0"/>
          <w:sz w:val="21"/>
          <w:szCs w:val="21"/>
          <w:highlight w:val="none"/>
        </w:rPr>
        <w:t>CDSS智能风险识别及分级处理系统</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具有自学习功能，不断更新完善形成相关规则知识库，实现对存在心理隐患与心理风险病人的自动化预警，系统会根据默认的危机预警标准，将满足危机预警条件的病人根据危机级别来标记标识，并且将具体涉及的测试项及因子也标记上预警标识，便于科室安全管理。主管人员可根据不同时间段、不同个人信息进行组合查询与对比分析，支持对预警数据的批量导出，可对预警风险病人与数据进行关注标识，可附加病人相关信息内容，上传主管医生。按照四个不同心理状态区间（无、轻度、中度、重度），个性化出具对患者智能分级处理方案，配置住院病人移动心理干预硬件设备，满足不同科室住院病人心理干预个性化需求，心理干预内容多样化，心理干预包数量不低于150个，建立科室心身整合医疗与整合护理服务路径与规范。支持信息转诊推送，并将分级处理方案发送给相关会诊科室（如心身科）。</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4.2 </w:t>
      </w:r>
      <w:r>
        <w:rPr>
          <w:rFonts w:hint="eastAsia" w:ascii="宋体" w:hAnsi="宋体" w:eastAsia="宋体" w:cs="宋体"/>
          <w:b/>
          <w:bCs/>
          <w:color w:val="auto"/>
          <w:kern w:val="0"/>
          <w:sz w:val="21"/>
          <w:szCs w:val="21"/>
          <w:highlight w:val="none"/>
        </w:rPr>
        <w:t>PEM科室诊疗平台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2.1临床科室管理系统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需支持各专科的差异化配置，满足学科个性化需求。出诊医生拥有对自己接诊病人心理测评结果的管理权限，可批阅其名下的病人电子报告，支持医生电子签名。科室主任拥有对本科室所有就诊病人心理测评结果的管理权限。页面显示的内容包括患者档案管理列表、列表包括姓名、年龄、条形码等。该系统需要对接HIS系统，实现患者信息的同步，并返回测评给HIS系统，供医生进行调阅查询报告；</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2.2</w:t>
      </w:r>
      <w:r>
        <w:rPr>
          <w:rFonts w:hint="eastAsia" w:ascii="宋体" w:hAnsi="宋体" w:eastAsia="宋体" w:cs="宋体"/>
          <w:color w:val="auto"/>
          <w:kern w:val="0"/>
          <w:sz w:val="21"/>
          <w:szCs w:val="21"/>
          <w:highlight w:val="none"/>
        </w:rPr>
        <w:t>病人心身整体评估系统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门诊心理测评室量表库满足门诊心理初筛及进一步评估功能，配置必要的便捷操作硬件和移动设备，方便多病人同时测评。支持自定义心理评估套餐,可根据测评者中不同人群，将系统中的量表分为不同的测评套餐，在分配测评项时可使用不同的测评套餐。支持医院科室自定义个性化心理评估报告模板；</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2.3病人心身整体干预系统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为门诊医生提供个性化智能化心理干预与治疗方案，满足不同科室门诊病人心理干预与治疗的个性化需求。页面显示的内容包括干预的分类信息，点开就进入相关分类的信息列表，支持根据系统自动筛查情况确定是否需要对患者进行干预治疗。另外根据病人测试的报告提供相关的推荐个性化干预的套餐点击按钮等；</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2.4病人风险评估预警系统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系统会根据默认的危机预警标准，将满足危机预警条件的病人根据危机级别来标记标识，并且将具体涉及的测试项及因子也标记上预警标识，便于转诊与会诊。页面显示的内容包括预警人员信息列表，包括条形码，所在科室，预警量表和因子，预警的操作按钮（关注和转诊等）；</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2.5智能化专家分析报告系统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实现智能化专家自动报告与主管医生审签管理流程，并可根据各个科室情况调整心理评估报告出具时间：即时、延时、审阅、自定义多种模式。</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4.3</w:t>
      </w:r>
      <w:r>
        <w:rPr>
          <w:rFonts w:hint="eastAsia" w:ascii="宋体" w:hAnsi="宋体" w:eastAsia="宋体" w:cs="宋体"/>
          <w:b/>
          <w:bCs/>
          <w:color w:val="auto"/>
          <w:kern w:val="0"/>
          <w:sz w:val="21"/>
          <w:szCs w:val="21"/>
          <w:highlight w:val="none"/>
        </w:rPr>
        <w:t>全院患者心身问题大数据平台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3.1全院数据实时汇总系统（人口信息、评估信息等）</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应支持对全院数据不同维度的定制化统计（如总人次、病区数、科室数、心理测评人次、心理干预人次、预警总人次、年度服务人次、临床疾病与心理因子相关分析等）；支持按相关科室、病区等不同单元、不同病症的有限数据的统计分析。支持测评数据与历年数据的对比及队列分析；</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3.2</w:t>
      </w:r>
      <w:r>
        <w:rPr>
          <w:rFonts w:hint="eastAsia" w:ascii="宋体" w:hAnsi="宋体" w:eastAsia="宋体" w:cs="宋体"/>
          <w:color w:val="auto"/>
          <w:kern w:val="0"/>
          <w:sz w:val="21"/>
          <w:szCs w:val="21"/>
          <w:highlight w:val="none"/>
        </w:rPr>
        <w:t xml:space="preserve"> AI大数据分析系统（科室、病区及分布预警、心身问题分析、患者满意度评价等）</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Cs/>
          <w:color w:val="auto"/>
          <w:sz w:val="21"/>
          <w:szCs w:val="21"/>
          <w:highlight w:val="none"/>
        </w:rPr>
      </w:pPr>
      <w:r>
        <w:rPr>
          <w:rFonts w:hint="eastAsia" w:ascii="宋体" w:hAnsi="宋体" w:eastAsia="宋体" w:cs="宋体"/>
          <w:color w:val="auto"/>
          <w:sz w:val="21"/>
          <w:szCs w:val="21"/>
          <w:highlight w:val="none"/>
        </w:rPr>
        <w:t>可定制所需预警的相关心理评估量表，并支持对相关量表不同因子、不同得分区间进行自动化预警设置。病区护士长、科室主任、医院业务主管部门可实时动态分级掌握不同级别病人心理风险与危机预警信息。支持对焦虑、抑郁、压力、睡眠等患者常见心理问题进行统计分析；支持不同科室的相关疾病进行关联分析，如肿瘤患者的焦虑因子分布、消化病患者的睡眠分布等。</w:t>
      </w:r>
      <w:r>
        <w:rPr>
          <w:rFonts w:hint="eastAsia" w:ascii="宋体" w:hAnsi="宋体" w:eastAsia="宋体" w:cs="宋体"/>
          <w:bCs/>
          <w:color w:val="auto"/>
          <w:sz w:val="21"/>
          <w:szCs w:val="21"/>
          <w:highlight w:val="none"/>
        </w:rPr>
        <w:t>支持按照不同组合条件生成各单元的团体心理分析报告，大数据平台心理源数据导出，支持Excel格式文档；</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3.3</w:t>
      </w:r>
      <w:r>
        <w:rPr>
          <w:rFonts w:hint="eastAsia" w:ascii="宋体" w:hAnsi="宋体" w:eastAsia="宋体" w:cs="宋体"/>
          <w:color w:val="auto"/>
          <w:kern w:val="0"/>
          <w:sz w:val="21"/>
          <w:szCs w:val="21"/>
          <w:highlight w:val="none"/>
        </w:rPr>
        <w:t>大数据屏幕及控制系统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大数据屏幕展示应用系统，需具备很高的可视化程度，可提供各类图形直观显示，支持全院心理大数据多个统计分析维度的动态显示，画面信息应包含心理测试数据统计、科室的数据统计模块，阳性率的统计模块、各心身问题相关的统计模块。</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4.4 </w:t>
      </w:r>
      <w:r>
        <w:rPr>
          <w:rFonts w:hint="eastAsia" w:ascii="宋体" w:hAnsi="宋体" w:eastAsia="宋体" w:cs="宋体"/>
          <w:b/>
          <w:bCs/>
          <w:color w:val="auto"/>
          <w:kern w:val="0"/>
          <w:sz w:val="21"/>
          <w:szCs w:val="21"/>
          <w:highlight w:val="none"/>
        </w:rPr>
        <w:t>EAP医护人员关爱服务平台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bCs/>
          <w:color w:val="auto"/>
          <w:kern w:val="0"/>
          <w:sz w:val="21"/>
          <w:szCs w:val="21"/>
          <w:highlight w:val="none"/>
          <w:lang w:val="en-US" w:eastAsia="zh-CN"/>
        </w:rPr>
        <w:t>4.</w:t>
      </w:r>
      <w:r>
        <w:rPr>
          <w:rFonts w:hint="eastAsia" w:ascii="宋体" w:hAnsi="宋体" w:eastAsia="宋体" w:cs="宋体"/>
          <w:bCs/>
          <w:color w:val="auto"/>
          <w:kern w:val="0"/>
          <w:sz w:val="21"/>
          <w:szCs w:val="21"/>
          <w:highlight w:val="none"/>
        </w:rPr>
        <w:t>4.1</w:t>
      </w:r>
      <w:r>
        <w:rPr>
          <w:rFonts w:hint="eastAsia" w:ascii="宋体" w:hAnsi="宋体" w:eastAsia="宋体" w:cs="宋体"/>
          <w:color w:val="auto"/>
          <w:kern w:val="0"/>
          <w:sz w:val="21"/>
          <w:szCs w:val="21"/>
          <w:highlight w:val="none"/>
        </w:rPr>
        <w:t>医护人员心理筛查评估系统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color w:val="auto"/>
          <w:sz w:val="21"/>
          <w:szCs w:val="21"/>
          <w:highlight w:val="none"/>
        </w:rPr>
        <w:t>可对医护人员从情绪、认知、行为等方面进行全方位的心理健康状况评估</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4.2医护人员职业压力评估系统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可对医护人员工作生活中感受到的心理压力水平以及造成压力的相关因素进行评估，并对压力过大医护人员实现自动预警分级</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4.3医护人员职业倦怠评估系统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可对医护人员是否存在职业倦怠以及职业倦怠的程度进行评估，并包含职业适应能力、人格类型、积极心理素质等职业心理状态评估。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4.4医护人员心理自助干预系统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根据评估结果自动匹配个性化的医护人员心理干预训练，包括音乐治疗、冥想训练、心理视频、心理动漫和电子杂志，支持在线自助干预，帮助医护人员缓解不良情绪、学习减压方法和技巧、提升心理健康水平，在医院建立的医院员工心理减压室，通过配备专业的放松减压系统和设备为医务人员提供免费服务</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4.5医护人员EAP服务</w:t>
      </w:r>
    </w:p>
    <w:p>
      <w:pPr>
        <w:pageBreakBefore w:val="0"/>
        <w:widowControl/>
        <w:tabs>
          <w:tab w:val="left" w:pos="8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制定适合医院医务人员全年心理健康促进计划，为医务人员提供全年分阶梯心理健康知识讲座、减压放松训练、情绪管理、冥想心理干预训练、危机预防训练课程等，持续提高医护人员心理健康意识，丰富心理健康知识，改善自我心理健康水平，提升为病人提供心身健康服务能力。</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4.5</w:t>
      </w:r>
      <w:r>
        <w:rPr>
          <w:rFonts w:hint="eastAsia" w:ascii="宋体" w:hAnsi="宋体" w:eastAsia="宋体" w:cs="宋体"/>
          <w:b/>
          <w:bCs/>
          <w:color w:val="auto"/>
          <w:kern w:val="0"/>
          <w:sz w:val="21"/>
          <w:szCs w:val="21"/>
          <w:highlight w:val="none"/>
        </w:rPr>
        <w:t>心身健康智慧在线服务平台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5.1医护人员心理健康关爱APP</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建立医院医务人员专属手机APP应用平台,按年度制定医务人员专用的心理评估量表和24小时自助心理干预方案。</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5.2医护人员培训管理APP</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分配管理医生账号及个人信息，建立医护人员培训档案。采用积分考核模式，对计划进行过程监督、考核和效果评价。包含医护人员心身整体诊疗相关理论及技术课程，医护人员可随时随地访问，内容包含医患沟通技巧、常见精神问题与心理问题的识别与处理能力、心理测量的基本原则、基础理论及基本方法、心理咨询的常用技术、医院心理健康评估筛查操作流程、门诊/住院患者心理健康评估筛查操作流程、心理测试仪器设备的使用等专家视频课程内容。</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5.3患者院外在线随访跟踪系统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系统需满足患者出院后可继续使用心理评估和干预系统，并按时间阶段定期提交相关评估数据，以便医生对相关问题进行跟踪。系统支持【满意度随访】、【服务质量随访】、【护理部随访】、【心身问题随访】等多个随访模板可供医院参考使用。</w:t>
      </w:r>
      <w:r>
        <w:rPr>
          <w:rFonts w:hint="eastAsia" w:ascii="宋体" w:hAnsi="宋体" w:eastAsia="宋体" w:cs="宋体"/>
          <w:color w:val="auto"/>
          <w:kern w:val="0"/>
          <w:sz w:val="21"/>
          <w:szCs w:val="21"/>
          <w:highlight w:val="none"/>
        </w:rPr>
        <w:tab/>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5.4患者在线预约咨询系统</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应包含心理咨询预约系统，用户可查看系统中已存在的咨询师的预约时间表，根据自身情况和时间段来进行咨询预约。咨询师可在咨询期间随时记录咨询备忘录，咨询过程中，可随时应用心理干预促进处方系列产品推荐给体检用户。</w:t>
      </w:r>
      <w:r>
        <w:rPr>
          <w:rFonts w:hint="eastAsia" w:ascii="宋体" w:hAnsi="宋体" w:eastAsia="宋体" w:cs="宋体"/>
          <w:color w:val="auto"/>
          <w:kern w:val="0"/>
          <w:sz w:val="21"/>
          <w:szCs w:val="21"/>
          <w:highlight w:val="none"/>
        </w:rPr>
        <w:tab/>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5.5医联体协同支持（远程报告上传、专家远程诊疗、数据共享接口等）</w:t>
      </w:r>
    </w:p>
    <w:p>
      <w:pPr>
        <w:pageBreakBefore w:val="0"/>
        <w:widowControl/>
        <w:tabs>
          <w:tab w:val="left" w:pos="840"/>
        </w:tabs>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实现医联体架构下的心身整合医疗服务的远程诊疗、远程会诊、远程培训等服务。远程报告上传系统：支持下级医院或社区卫生中心将患者心理报告上传至医院一级管理平台，给相关专家开通查看和审核报告的相关权限，进行远程协助诊断。专家远程诊疗系统：借助远程视频系统与远程报告分析系统，实现上级医院对医联体内下级医疗机构进行专家视频会诊等功能。</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4.6 </w:t>
      </w:r>
      <w:r>
        <w:rPr>
          <w:rFonts w:hint="eastAsia" w:ascii="宋体" w:hAnsi="宋体" w:eastAsia="宋体" w:cs="宋体"/>
          <w:b/>
          <w:bCs/>
          <w:color w:val="auto"/>
          <w:kern w:val="0"/>
          <w:sz w:val="21"/>
          <w:szCs w:val="21"/>
          <w:highlight w:val="none"/>
        </w:rPr>
        <w:t>PIS专家培训管理平台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6.1医护人员心身诊疗系列培训课程（不少于30期相关培训课程）</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课程应包含《综合医院常见MUS识别与治疗策略》、《临床科室常见心身疾病基本知识》、《心身护理流程》、《PIS系统操作培训》、《病床护理常见心理问题》、《心身护理沟通技巧课程》、《华西心晴指数使用课程》、《常用心理量表》、《整合医学慢病心身整体诊疗模式》等课程。</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6.2心身疾病专家在线课堂（不少于10位知名心身专家系列课程）</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提供针对PIS平台的定制化专家培训课程，所有课程均应具备独立的知识产权，并进行不定期更新。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6.3非精神科医生心身疾病诊疗全国培训平台（临床心身医学培训服务不低于30家医院）</w:t>
      </w:r>
    </w:p>
    <w:p>
      <w:pPr>
        <w:pageBreakBefore w:val="0"/>
        <w:widowControl/>
        <w:kinsoku/>
        <w:wordWrap/>
        <w:overflowPunct/>
        <w:topLinePunct w:val="0"/>
        <w:autoSpaceDE/>
        <w:autoSpaceDN/>
        <w:bidi w:val="0"/>
        <w:spacing w:line="360" w:lineRule="auto"/>
        <w:ind w:left="1050" w:leftChars="200" w:hanging="630" w:hangingChars="3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搭建面向全国综合医院的联合培训平台，可为联盟医院提供相关的远程培训教育功能。</w:t>
      </w:r>
    </w:p>
    <w:p>
      <w:pPr>
        <w:pageBreakBefore w:val="0"/>
        <w:widowControl/>
        <w:numPr>
          <w:ilvl w:val="0"/>
          <w:numId w:val="0"/>
        </w:numPr>
        <w:kinsoku/>
        <w:wordWrap/>
        <w:overflowPunct/>
        <w:topLinePunct w:val="0"/>
        <w:autoSpaceDE/>
        <w:autoSpaceDN/>
        <w:bidi w:val="0"/>
        <w:spacing w:line="360" w:lineRule="auto"/>
        <w:ind w:leftChars="3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 xml:space="preserve">4.7 </w:t>
      </w:r>
      <w:r>
        <w:rPr>
          <w:rFonts w:hint="eastAsia" w:ascii="宋体" w:hAnsi="宋体" w:eastAsia="宋体" w:cs="宋体"/>
          <w:b/>
          <w:bCs/>
          <w:color w:val="auto"/>
          <w:kern w:val="0"/>
          <w:sz w:val="21"/>
          <w:szCs w:val="21"/>
          <w:highlight w:val="none"/>
        </w:rPr>
        <w:t>PIS科研及业务支持系统</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7.1</w:t>
      </w:r>
      <w:r>
        <w:rPr>
          <w:rFonts w:hint="eastAsia" w:ascii="宋体" w:hAnsi="宋体" w:eastAsia="宋体" w:cs="宋体"/>
          <w:color w:val="auto"/>
          <w:kern w:val="0"/>
          <w:sz w:val="21"/>
          <w:szCs w:val="21"/>
          <w:highlight w:val="none"/>
        </w:rPr>
        <w:t>临床科室个性化量表开发系统</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根据医院各科室的临床需求，协助科室定制开发不少于50套专业评估量表或科研调查问卷（</w:t>
      </w:r>
      <w:r>
        <w:rPr>
          <w:rFonts w:hint="eastAsia" w:ascii="宋体" w:hAnsi="宋体" w:eastAsia="宋体" w:cs="宋体"/>
          <w:color w:val="auto"/>
          <w:kern w:val="0"/>
          <w:sz w:val="21"/>
          <w:szCs w:val="21"/>
          <w:highlight w:val="none"/>
        </w:rPr>
        <w:t>不少于50套专业评估量表定制研发</w:t>
      </w:r>
      <w:r>
        <w:rPr>
          <w:rFonts w:hint="eastAsia" w:ascii="宋体" w:hAnsi="宋体" w:eastAsia="宋体" w:cs="宋体"/>
          <w:color w:val="auto"/>
          <w:sz w:val="21"/>
          <w:szCs w:val="21"/>
          <w:highlight w:val="none"/>
        </w:rPr>
        <w:t>）。</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7.2</w:t>
      </w:r>
      <w:r>
        <w:rPr>
          <w:rFonts w:hint="eastAsia" w:ascii="宋体" w:hAnsi="宋体" w:eastAsia="宋体" w:cs="宋体"/>
          <w:color w:val="auto"/>
          <w:kern w:val="0"/>
          <w:sz w:val="21"/>
          <w:szCs w:val="21"/>
          <w:highlight w:val="none"/>
        </w:rPr>
        <w:t>临床个性化心理干预开发系统</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根据医院需求及病人现状，定制开发不少于100套干预产品，用于临床病人的心理调适及自我疏导，内容包含治疗音乐、视频、游戏等系列(不少于100套干预产品，如治疗音乐、视频、游戏等系列)。</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7.3</w:t>
      </w:r>
      <w:r>
        <w:rPr>
          <w:rFonts w:hint="eastAsia" w:ascii="宋体" w:hAnsi="宋体" w:eastAsia="宋体" w:cs="宋体"/>
          <w:color w:val="auto"/>
          <w:kern w:val="0"/>
          <w:sz w:val="21"/>
          <w:szCs w:val="21"/>
          <w:highlight w:val="none"/>
        </w:rPr>
        <w:t>临床个性化报告单系统及电子签名支持</w:t>
      </w:r>
    </w:p>
    <w:p>
      <w:pPr>
        <w:pageBreakBefore w:val="0"/>
        <w:kinsoku/>
        <w:wordWrap/>
        <w:overflowPunct/>
        <w:topLinePunct w:val="0"/>
        <w:autoSpaceDE/>
        <w:autoSpaceDN/>
        <w:bidi w:val="0"/>
        <w:spacing w:line="360" w:lineRule="auto"/>
        <w:ind w:left="21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不少于20种心理量表图例化报告模板，支持对接医生电子签名系统。</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7.4</w:t>
      </w:r>
      <w:r>
        <w:rPr>
          <w:rFonts w:hint="eastAsia" w:ascii="宋体" w:hAnsi="宋体" w:eastAsia="宋体" w:cs="宋体"/>
          <w:color w:val="auto"/>
          <w:kern w:val="0"/>
          <w:sz w:val="21"/>
          <w:szCs w:val="21"/>
          <w:highlight w:val="none"/>
        </w:rPr>
        <w:t>临床心身疾病科研数据库</w:t>
      </w:r>
    </w:p>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帮助医院建立专属心身疾病知识库、文献库、临床心理检测数据库等，为医院科研提供文献及数据支持（</w:t>
      </w:r>
      <w:r>
        <w:rPr>
          <w:rFonts w:hint="eastAsia" w:ascii="宋体" w:hAnsi="宋体" w:eastAsia="宋体" w:cs="宋体"/>
          <w:color w:val="auto"/>
          <w:kern w:val="0"/>
          <w:sz w:val="21"/>
          <w:szCs w:val="21"/>
          <w:highlight w:val="none"/>
        </w:rPr>
        <w:t>心身疾病知识库、文献库、临床心理检测数据库等</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 xml:space="preserve"> </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4.8</w:t>
      </w:r>
      <w:r>
        <w:rPr>
          <w:rFonts w:hint="eastAsia" w:ascii="宋体" w:hAnsi="宋体" w:eastAsia="宋体" w:cs="宋体"/>
          <w:b/>
          <w:bCs/>
          <w:color w:val="auto"/>
          <w:kern w:val="0"/>
          <w:sz w:val="21"/>
          <w:szCs w:val="21"/>
          <w:highlight w:val="none"/>
        </w:rPr>
        <w:t>医院积极心理人文建设</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8.1积极心理视图</w:t>
      </w:r>
    </w:p>
    <w:p>
      <w:pPr>
        <w:pageBreakBefore w:val="0"/>
        <w:widowControl/>
        <w:kinsoku/>
        <w:wordWrap/>
        <w:overflowPunct/>
        <w:topLinePunct w:val="0"/>
        <w:autoSpaceDE/>
        <w:autoSpaceDN/>
        <w:bidi w:val="0"/>
        <w:spacing w:line="360" w:lineRule="auto"/>
        <w:ind w:left="21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为医院病区设计心理视图，用积极心理元素打造病区积极心理文化，体现病区人文关怀</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8.2心身疾病宣传展板</w:t>
      </w:r>
    </w:p>
    <w:p>
      <w:pPr>
        <w:pageBreakBefore w:val="0"/>
        <w:widowControl/>
        <w:kinsoku/>
        <w:wordWrap/>
        <w:overflowPunct/>
        <w:topLinePunct w:val="0"/>
        <w:autoSpaceDE/>
        <w:autoSpaceDN/>
        <w:bidi w:val="0"/>
        <w:spacing w:line="360" w:lineRule="auto"/>
        <w:ind w:left="210" w:firstLine="210" w:firstLineChars="1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宣传心身疾病防治知识，强化医护人员以及患者对疾病的心身整体认识，提升医护人员心身整体诊疗与护理水平，提高疾病治疗效果</w:t>
      </w:r>
      <w:r>
        <w:rPr>
          <w:rFonts w:hint="eastAsia" w:ascii="宋体" w:hAnsi="宋体" w:eastAsia="宋体" w:cs="宋体"/>
          <w:color w:val="auto"/>
          <w:kern w:val="0"/>
          <w:sz w:val="21"/>
          <w:szCs w:val="21"/>
          <w:highlight w:val="none"/>
        </w:rPr>
        <w:t>。</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8.3病区心身知识科普二维码平台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接医院公众号，进行链接服务，也可以通过张贴制作二维码形式贴于床旁进行使用，平台功能需包含心身常识、慢病管理、积极心理、妇幼心理、中医促进等知，支持病人通过手机进行音乐治疗、冥想训练等相关训练。</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8.4多媒体科普宣传视频动漫</w:t>
      </w:r>
    </w:p>
    <w:p>
      <w:pPr>
        <w:pageBreakBefore w:val="0"/>
        <w:widowControl/>
        <w:kinsoku/>
        <w:wordWrap/>
        <w:overflowPunct/>
        <w:topLinePunct w:val="0"/>
        <w:autoSpaceDE/>
        <w:autoSpaceDN/>
        <w:bidi w:val="0"/>
        <w:spacing w:line="360" w:lineRule="auto"/>
        <w:ind w:left="210" w:firstLine="210" w:firstLineChars="1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包含多科室的内容宣传，视频动漫内容必须具备自主知识产权</w:t>
      </w:r>
      <w:r>
        <w:rPr>
          <w:rFonts w:hint="eastAsia" w:ascii="宋体" w:hAnsi="宋体" w:eastAsia="宋体" w:cs="宋体"/>
          <w:color w:val="auto"/>
          <w:kern w:val="0"/>
          <w:sz w:val="21"/>
          <w:szCs w:val="21"/>
          <w:highlight w:val="none"/>
        </w:rPr>
        <w:t>。</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bookmarkStart w:id="62" w:name="_Toc516063325"/>
      <w:r>
        <w:rPr>
          <w:rFonts w:hint="eastAsia" w:ascii="宋体" w:hAnsi="宋体" w:eastAsia="宋体" w:cs="宋体"/>
          <w:b/>
          <w:bCs/>
          <w:color w:val="auto"/>
          <w:kern w:val="0"/>
          <w:sz w:val="21"/>
          <w:szCs w:val="21"/>
          <w:highlight w:val="none"/>
          <w:lang w:val="en-US" w:eastAsia="zh-CN"/>
        </w:rPr>
        <w:t>4.9</w:t>
      </w:r>
      <w:r>
        <w:rPr>
          <w:rFonts w:hint="eastAsia" w:ascii="宋体" w:hAnsi="宋体" w:eastAsia="宋体" w:cs="宋体"/>
          <w:b/>
          <w:bCs/>
          <w:color w:val="auto"/>
          <w:kern w:val="0"/>
          <w:sz w:val="21"/>
          <w:szCs w:val="21"/>
          <w:highlight w:val="none"/>
        </w:rPr>
        <w:t>接口要求</w:t>
      </w:r>
      <w:bookmarkEnd w:id="62"/>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GB" w:eastAsia="zh-CN"/>
        </w:rPr>
        <w:t>4.</w:t>
      </w:r>
      <w:r>
        <w:rPr>
          <w:rFonts w:hint="eastAsia" w:ascii="宋体" w:hAnsi="宋体" w:eastAsia="宋体" w:cs="宋体"/>
          <w:color w:val="auto"/>
          <w:kern w:val="0"/>
          <w:sz w:val="21"/>
          <w:szCs w:val="21"/>
          <w:highlight w:val="none"/>
        </w:rPr>
        <w:t>9.1接口总体目标：投标方需确保医院其他信息系统与招标项目系统的正常数据交互，实现业务的连续性和业务的正常运转。根据医院的实际情况，实现与所有有关系统的无缝对接，实现数据实时或定时对接，支持历史数据的导入。</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GB"/>
        </w:rPr>
        <w:t>★</w:t>
      </w:r>
      <w:r>
        <w:rPr>
          <w:rFonts w:hint="eastAsia" w:ascii="宋体" w:hAnsi="宋体" w:eastAsia="宋体" w:cs="宋体"/>
          <w:color w:val="auto"/>
          <w:sz w:val="21"/>
          <w:szCs w:val="21"/>
          <w:highlight w:val="none"/>
          <w:lang w:val="en-GB" w:eastAsia="zh-CN"/>
        </w:rPr>
        <w:t>4.</w:t>
      </w:r>
      <w:r>
        <w:rPr>
          <w:rFonts w:hint="eastAsia" w:ascii="宋体" w:hAnsi="宋体" w:eastAsia="宋体" w:cs="宋体"/>
          <w:color w:val="auto"/>
          <w:kern w:val="0"/>
          <w:sz w:val="21"/>
          <w:szCs w:val="21"/>
          <w:highlight w:val="none"/>
        </w:rPr>
        <w:t>9.2支持对接医院MQ集成平台。</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9.3支持与常用数据库（SQL、ORACLE、DB2、MYSQL）的数据对接，包括视图、中间表、存储过程、触发器等。</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9.4支持Webserver接口方式。</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9.5支持HL7接口标准规范。</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9.6免费开放所有标准API接口。</w:t>
      </w:r>
    </w:p>
    <w:p>
      <w:pPr>
        <w:pageBreakBefore w:val="0"/>
        <w:widowControl/>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9.7涉及到的第三方系统包括但不限于HIS系统、EMR系统、CDR系统、LIS系统、PACS系统、手麻系统、消毒供应系统、会计核算系统、成本核算系统、人事系统等。</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val="en-US" w:eastAsia="zh-CN"/>
        </w:rPr>
        <w:t>4.10</w:t>
      </w:r>
      <w:r>
        <w:rPr>
          <w:rFonts w:hint="eastAsia" w:ascii="宋体" w:hAnsi="宋体" w:eastAsia="宋体" w:cs="宋体"/>
          <w:b/>
          <w:bCs/>
          <w:color w:val="auto"/>
          <w:kern w:val="0"/>
          <w:sz w:val="21"/>
          <w:szCs w:val="21"/>
          <w:highlight w:val="none"/>
        </w:rPr>
        <w:t>性能要求</w:t>
      </w:r>
    </w:p>
    <w:p>
      <w:pPr>
        <w:pageBreakBefore w:val="0"/>
        <w:kinsoku/>
        <w:wordWrap/>
        <w:overflowPunct/>
        <w:topLinePunct w:val="0"/>
        <w:autoSpaceDE/>
        <w:autoSpaceDN/>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color w:val="auto"/>
          <w:sz w:val="21"/>
          <w:szCs w:val="21"/>
          <w:highlight w:val="none"/>
        </w:rPr>
        <w:t>软件对请求作出响应的时间，与业务处理相关操作的系统最大响应时间，从用户视角来看应为即时响应，无停顿或等待感觉；日常业务报表统计功能最大响应时间不能影响运作中软件的性能。</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b/>
          <w:bCs/>
          <w:color w:val="auto"/>
          <w:kern w:val="0"/>
          <w:sz w:val="21"/>
          <w:szCs w:val="21"/>
          <w:highlight w:val="none"/>
        </w:rPr>
      </w:pPr>
      <w:bookmarkStart w:id="63" w:name="_Toc146534277"/>
      <w:bookmarkStart w:id="64" w:name="_Toc515730405"/>
      <w:bookmarkStart w:id="65" w:name="_Toc234859260"/>
      <w:bookmarkStart w:id="66" w:name="_Toc142632512"/>
      <w:bookmarkStart w:id="67" w:name="_Toc137961771"/>
      <w:bookmarkStart w:id="68" w:name="_Toc125782128"/>
      <w:bookmarkStart w:id="69" w:name="_Toc124489993"/>
      <w:bookmarkStart w:id="70" w:name="_Toc516063330"/>
      <w:r>
        <w:rPr>
          <w:rFonts w:hint="eastAsia" w:ascii="宋体" w:hAnsi="宋体" w:eastAsia="宋体" w:cs="宋体"/>
          <w:b/>
          <w:bCs/>
          <w:color w:val="auto"/>
          <w:kern w:val="0"/>
          <w:sz w:val="21"/>
          <w:szCs w:val="21"/>
          <w:highlight w:val="none"/>
          <w:lang w:val="en-US" w:eastAsia="zh-CN"/>
        </w:rPr>
        <w:t>4.11</w:t>
      </w:r>
      <w:r>
        <w:rPr>
          <w:rFonts w:hint="eastAsia" w:ascii="宋体" w:hAnsi="宋体" w:eastAsia="宋体" w:cs="宋体"/>
          <w:b/>
          <w:bCs/>
          <w:color w:val="auto"/>
          <w:kern w:val="0"/>
          <w:sz w:val="21"/>
          <w:szCs w:val="21"/>
          <w:highlight w:val="none"/>
        </w:rPr>
        <w:t>技术</w:t>
      </w:r>
      <w:bookmarkEnd w:id="63"/>
      <w:bookmarkEnd w:id="64"/>
      <w:bookmarkEnd w:id="65"/>
      <w:bookmarkEnd w:id="66"/>
      <w:bookmarkEnd w:id="67"/>
      <w:bookmarkEnd w:id="68"/>
      <w:bookmarkEnd w:id="69"/>
      <w:bookmarkEnd w:id="70"/>
      <w:r>
        <w:rPr>
          <w:rFonts w:hint="eastAsia" w:ascii="宋体" w:hAnsi="宋体" w:eastAsia="宋体" w:cs="宋体"/>
          <w:b/>
          <w:bCs/>
          <w:color w:val="auto"/>
          <w:kern w:val="0"/>
          <w:sz w:val="21"/>
          <w:szCs w:val="21"/>
          <w:highlight w:val="none"/>
        </w:rPr>
        <w:t>要求</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投标方不能擅自对数据库进行加密。</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投标方不能使用加密狗或其它方式限制软件使用。</w:t>
      </w:r>
    </w:p>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bookmarkStart w:id="71" w:name="_Toc125782129"/>
      <w:bookmarkStart w:id="72" w:name="_Toc137961772"/>
      <w:r>
        <w:rPr>
          <w:rFonts w:hint="eastAsia" w:ascii="宋体" w:hAnsi="宋体" w:eastAsia="宋体" w:cs="宋体"/>
          <w:color w:val="auto"/>
          <w:kern w:val="2"/>
          <w:sz w:val="21"/>
          <w:szCs w:val="21"/>
          <w:highlight w:val="none"/>
          <w:lang w:val="en-US" w:eastAsia="zh-CN" w:bidi="ar-SA"/>
        </w:rPr>
        <w:t>本项目建设的技术要求必须根据本文件的内容进行结构性编制；也可以根据对项目建设总体目标的理解增加内容，并按照系统化的要求进行设计方案的编制。</w:t>
      </w:r>
    </w:p>
    <w:bookmarkEnd w:id="71"/>
    <w:bookmarkEnd w:id="72"/>
    <w:p>
      <w:pPr>
        <w:pageBreakBefore w:val="0"/>
        <w:widowControl w:val="0"/>
        <w:kinsoku/>
        <w:wordWrap/>
        <w:overflowPunct/>
        <w:topLinePunct w:val="0"/>
        <w:autoSpaceDE/>
        <w:autoSpaceDN/>
        <w:bidi w:val="0"/>
        <w:spacing w:before="0" w:after="0"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各业务流程、管理方案、配套工具、技术要求等须遵循国家标准、行业标准、医院统一的信息化标准、国家信息安全等级保护三级及以上标准、电子病历评级五级及以上标准、国家医疗健康信息互联互通五级已等及以上成熟度等要求。</w:t>
      </w:r>
    </w:p>
    <w:p>
      <w:pPr>
        <w:pageBreakBefore w:val="0"/>
        <w:widowControl/>
        <w:numPr>
          <w:ilvl w:val="0"/>
          <w:numId w:val="0"/>
        </w:numPr>
        <w:kinsoku/>
        <w:wordWrap/>
        <w:overflowPunct/>
        <w:topLinePunct w:val="0"/>
        <w:autoSpaceDE/>
        <w:autoSpaceDN/>
        <w:bidi w:val="0"/>
        <w:spacing w:line="360" w:lineRule="auto"/>
        <w:ind w:left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kern w:val="0"/>
          <w:sz w:val="21"/>
          <w:szCs w:val="21"/>
          <w:highlight w:val="none"/>
          <w:lang w:val="en-US" w:eastAsia="zh-CN"/>
        </w:rPr>
        <w:t>4.12</w:t>
      </w:r>
      <w:r>
        <w:rPr>
          <w:rFonts w:hint="eastAsia" w:ascii="宋体" w:hAnsi="宋体" w:eastAsia="宋体" w:cs="宋体"/>
          <w:b/>
          <w:bCs/>
          <w:color w:val="auto"/>
          <w:kern w:val="0"/>
          <w:sz w:val="21"/>
          <w:szCs w:val="21"/>
          <w:highlight w:val="none"/>
        </w:rPr>
        <w:t>终端设备配置要求</w:t>
      </w:r>
    </w:p>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1）移动心身整体护理车</w:t>
      </w:r>
    </w:p>
    <w:tbl>
      <w:tblPr>
        <w:tblStyle w:val="28"/>
        <w:tblW w:w="5228"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618"/>
        <w:gridCol w:w="1722"/>
        <w:gridCol w:w="657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restar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车体</w:t>
            </w:r>
          </w:p>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一体化设计</w:t>
            </w:r>
          </w:p>
        </w:tc>
        <w:tc>
          <w:tcPr>
            <w:tcW w:w="3686" w:type="pct"/>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整车一体化设计，主机、电池等均集成在台面内部，不外挂，不外露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工作台面</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显示器支架后移，保证台面使用面积最大的同时方便清洁消毒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工作台面升降</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工作台面可高低升降，可靠耐用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围栏</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工作台面配备一体化围栏，可防止桌面物品掉落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车体材质</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车体表面抑菌处理，方便清洁</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面板采用高光、高亮的ABS抑菌材料，耐受酒精、洗必泰、施康等医院常用消毒剂擦拭消毒</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线缆</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整车线缆隐藏式设计，车体线缆无外露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抽屉</w:t>
            </w:r>
          </w:p>
        </w:tc>
        <w:tc>
          <w:tcPr>
            <w:tcW w:w="3686" w:type="pct"/>
            <w:noWrap w:val="0"/>
            <w:vAlign w:val="top"/>
          </w:tcPr>
          <w:p>
            <w:pPr>
              <w:pageBreakBefore w:val="0"/>
              <w:kinsoku/>
              <w:wordWrap/>
              <w:overflowPunct/>
              <w:topLinePunct w:val="0"/>
              <w:autoSpaceDE/>
              <w:autoSpaceDN/>
              <w:bidi w:val="0"/>
              <w:adjustRightInd w:val="0"/>
              <w:snapToGrid w:val="0"/>
              <w:spacing w:line="360" w:lineRule="auto"/>
              <w:ind w:right="-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可加挂2-3层抽屉，柜体可直接快速安装于宽立柱上，柜体需与台面分离，抽屉可锁。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widowControl/>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键盘托</w:t>
            </w:r>
          </w:p>
        </w:tc>
        <w:tc>
          <w:tcPr>
            <w:tcW w:w="3686" w:type="pct"/>
            <w:noWrap w:val="0"/>
            <w:vAlign w:val="top"/>
          </w:tcPr>
          <w:p>
            <w:pPr>
              <w:pageBreakBefore w:val="0"/>
              <w:widowControl/>
              <w:kinsoku/>
              <w:wordWrap/>
              <w:overflowPunct/>
              <w:topLinePunct w:val="0"/>
              <w:autoSpaceDE/>
              <w:autoSpaceDN/>
              <w:bidi w:val="0"/>
              <w:adjustRightInd w:val="0"/>
              <w:snapToGrid w:val="0"/>
              <w:spacing w:line="360" w:lineRule="auto"/>
              <w:ind w:right="-2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内置医用有线键盘和鼠标。抽屉拉手隐形设计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可扩展台面</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工作台面支持扩展，并方便使用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显示器固定支架</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显示器支架允许单独升降、旋转、横竖屏转换， </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控制面板</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控制面板上具备LED显示灯，可实时显示电池状态及电量；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12"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车体升降</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工作台面可高低升降，可靠耐用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无线网络要求</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在医院无线网络环境可无缝漫游；提供无线网络调优，可根据网络环境自动适配调校最佳信号和漫游设置；与第三方网络供应商匹配优化，最大限度提高无线网络性能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充电线</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需配备2米以上，易于收藏的充电线</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脚轮</w:t>
            </w:r>
          </w:p>
        </w:tc>
        <w:tc>
          <w:tcPr>
            <w:tcW w:w="3686" w:type="pct"/>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4寸或5寸医疗级静音、防滑、防缠绕脚轮，其中两个带刹车功能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66" w:hRule="atLeast"/>
          <w:jc w:val="center"/>
        </w:trPr>
        <w:tc>
          <w:tcPr>
            <w:tcW w:w="347" w:type="pct"/>
            <w:vMerge w:val="restart"/>
            <w:noWrap w:val="0"/>
            <w:vAlign w:val="center"/>
          </w:tcPr>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主机</w:t>
            </w:r>
          </w:p>
          <w:p>
            <w:pPr>
              <w:pageBreakBefore w:val="0"/>
              <w:kinsoku/>
              <w:wordWrap/>
              <w:overflowPunct/>
              <w:topLinePunct w:val="0"/>
              <w:autoSpaceDE/>
              <w:autoSpaceDN/>
              <w:bidi w:val="0"/>
              <w:adjustRightInd w:val="0"/>
              <w:snapToGrid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w:t>
            </w: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硬件配置</w:t>
            </w:r>
          </w:p>
        </w:tc>
        <w:tc>
          <w:tcPr>
            <w:tcW w:w="3686" w:type="pct"/>
            <w:noWrap w:val="0"/>
            <w:vAlign w:val="top"/>
          </w:tcPr>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CPU：</w:t>
            </w:r>
            <w:r>
              <w:rPr>
                <w:rFonts w:hint="eastAsia" w:ascii="宋体" w:hAnsi="宋体" w:eastAsia="宋体" w:cs="宋体"/>
                <w:bCs/>
                <w:color w:val="auto"/>
                <w:sz w:val="21"/>
                <w:szCs w:val="21"/>
                <w:highlight w:val="none"/>
              </w:rPr>
              <w:t>Intel Core i5</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内存：8GB DDR4</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硬盘：256GB固态硬盘</w:t>
            </w:r>
          </w:p>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无线网卡：支持2.4G/5G双频Wifi网络，支持802.11 b/g/n/ac；</w:t>
            </w:r>
          </w:p>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操作系统：Windows7/Windows10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接口</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USB：4个或以上；1个RJ45</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vMerge w:val="continue"/>
            <w:noWrap w:val="0"/>
            <w:vAlign w:val="top"/>
          </w:tcPr>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显示模块</w:t>
            </w:r>
          </w:p>
        </w:tc>
        <w:tc>
          <w:tcPr>
            <w:tcW w:w="3686" w:type="pct"/>
            <w:noWrap w:val="0"/>
            <w:vAlign w:val="top"/>
          </w:tcPr>
          <w:p>
            <w:pPr>
              <w:pageBreakBefore w:val="0"/>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21.5“LED显示器或以上，分辨率≥1920</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1080；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noWrap w:val="0"/>
            <w:vAlign w:val="center"/>
          </w:tcPr>
          <w:p>
            <w:pPr>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配件</w:t>
            </w: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标准配件</w:t>
            </w:r>
          </w:p>
        </w:tc>
        <w:tc>
          <w:tcPr>
            <w:tcW w:w="3686" w:type="pct"/>
            <w:noWrap w:val="0"/>
            <w:vAlign w:val="top"/>
          </w:tcPr>
          <w:p>
            <w:pPr>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PVC台面垫</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p>
          <w:p>
            <w:pPr>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鼠标、键盘（有线）</w:t>
            </w:r>
          </w:p>
          <w:p>
            <w:pPr>
              <w:pageBreakBefore w:val="0"/>
              <w:widowControl/>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4寸（5寸）医用静音轮</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4，其中两个可以锁定</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347" w:type="pct"/>
            <w:noWrap w:val="0"/>
            <w:vAlign w:val="center"/>
          </w:tcPr>
          <w:p>
            <w:pPr>
              <w:pageBreakBefore w:val="0"/>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辅助</w:t>
            </w:r>
          </w:p>
        </w:tc>
        <w:tc>
          <w:tcPr>
            <w:tcW w:w="966"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打印接口</w:t>
            </w:r>
          </w:p>
        </w:tc>
        <w:tc>
          <w:tcPr>
            <w:tcW w:w="3686" w:type="pct"/>
            <w:noWrap w:val="0"/>
            <w:vAlign w:val="center"/>
          </w:tcPr>
          <w:p>
            <w:pPr>
              <w:pageBreakBefore w:val="0"/>
              <w:widowControl/>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支持常用打印设备接入</w:t>
            </w:r>
          </w:p>
        </w:tc>
      </w:tr>
    </w:tbl>
    <w:p>
      <w:pPr>
        <w:pageBreakBefore w:val="0"/>
        <w:kinsoku/>
        <w:wordWrap/>
        <w:overflowPunct/>
        <w:topLinePunct w:val="0"/>
        <w:autoSpaceDE/>
        <w:autoSpaceDN/>
        <w:bidi w:val="0"/>
        <w:spacing w:line="360" w:lineRule="auto"/>
        <w:ind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平板电脑</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1461"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平板电脑</w:t>
            </w:r>
          </w:p>
        </w:tc>
        <w:tc>
          <w:tcPr>
            <w:tcW w:w="3538" w:type="pct"/>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1.操作系统Android；</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2.处理器1.2GHz(8核心),ARM架构；</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3.存储容量16GB；</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4.系统内存3GB；</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5.显示屏屏幕尺寸8英寸，多点触摸IPS屏，防指纹涂层，触摸屏；</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6.网络链接WiFi双频功能，支持802.11a/b/g/n无线协议，蓝牙功能；</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7.支持音频视频、声音系统；内置音效芯片。</w:t>
            </w:r>
          </w:p>
        </w:tc>
      </w:tr>
    </w:tbl>
    <w:p>
      <w:pPr>
        <w:pageBreakBefore w:val="0"/>
        <w:kinsoku/>
        <w:wordWrap/>
        <w:overflowPunct/>
        <w:topLinePunct w:val="0"/>
        <w:autoSpaceDE/>
        <w:autoSpaceDN/>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心身健康管理一体机</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1461"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心身健康管理一体机</w:t>
            </w:r>
          </w:p>
        </w:tc>
        <w:tc>
          <w:tcPr>
            <w:tcW w:w="3539" w:type="pct"/>
            <w:noWrap w:val="0"/>
            <w:vAlign w:val="center"/>
          </w:tcPr>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1.处理器 Intel Core i5处理器；</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2.内存8GB DDR4 内存；</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3.硬盘256GB (固态硬盘)；</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4.显示器 23.8英寸；</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5.输入设备 无线键鼠套装；</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6.无线802.11ac Wi-Fi +蓝牙无线网卡/千兆有线网卡</w:t>
            </w:r>
          </w:p>
          <w:p>
            <w:pPr>
              <w:pageBreakBefore w:val="0"/>
              <w:kinsoku/>
              <w:wordWrap/>
              <w:overflowPunct/>
              <w:topLinePunct w:val="0"/>
              <w:autoSpaceDE/>
              <w:autoSpaceDN/>
              <w:bidi w:val="0"/>
              <w:spacing w:line="36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7.操作系统windows 10 64bit</w:t>
            </w:r>
          </w:p>
        </w:tc>
      </w:tr>
    </w:tbl>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4</w:t>
      </w:r>
      <w:r>
        <w:rPr>
          <w:rFonts w:hint="eastAsia" w:ascii="宋体" w:hAnsi="宋体" w:eastAsia="宋体" w:cs="宋体"/>
          <w:color w:val="auto"/>
          <w:sz w:val="21"/>
          <w:szCs w:val="21"/>
          <w:highlight w:val="none"/>
          <w:lang w:eastAsia="zh-CN"/>
        </w:rPr>
        <w:t>）</w:t>
      </w:r>
      <w:r>
        <w:rPr>
          <w:rFonts w:hint="eastAsia" w:ascii="宋体" w:hAnsi="宋体" w:eastAsia="宋体" w:cs="宋体"/>
          <w:bCs/>
          <w:color w:val="auto"/>
          <w:sz w:val="21"/>
          <w:szCs w:val="21"/>
          <w:highlight w:val="none"/>
        </w:rPr>
        <w:t>心理评估触摸一体机</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45" w:hRule="atLeast"/>
          <w:jc w:val="center"/>
        </w:trPr>
        <w:tc>
          <w:tcPr>
            <w:tcW w:w="1461" w:type="pct"/>
            <w:noWrap w:val="0"/>
            <w:vAlign w:val="center"/>
          </w:tcPr>
          <w:p>
            <w:pPr>
              <w:pageBreakBefore w:val="0"/>
              <w:kinsoku/>
              <w:wordWrap/>
              <w:overflowPunct/>
              <w:topLinePunct w:val="0"/>
              <w:autoSpaceDE/>
              <w:autoSpaceDN/>
              <w:bidi w:val="0"/>
              <w:spacing w:line="36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心理评估触摸一体机</w:t>
            </w:r>
          </w:p>
        </w:tc>
        <w:tc>
          <w:tcPr>
            <w:tcW w:w="3539" w:type="pct"/>
            <w:noWrap w:val="0"/>
            <w:vAlign w:val="center"/>
          </w:tcPr>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触摸屏：电阻式，压力感应，液晶屏</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对比度：1000:1</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触摸次数&gt;3500万次，响应时间：5ms</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显示尺寸22寸，分辨率1680×1050/60HZ</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操作系统windows 7</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支持二维码扫描快速登录</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支持身份证智能识别快速登录</w:t>
            </w:r>
          </w:p>
          <w:p>
            <w:pPr>
              <w:pageBreakBefore w:val="0"/>
              <w:numPr>
                <w:ilvl w:val="0"/>
                <w:numId w:val="5"/>
              </w:numPr>
              <w:kinsoku/>
              <w:wordWrap/>
              <w:overflowPunct/>
              <w:topLinePunct w:val="0"/>
              <w:autoSpaceDE/>
              <w:autoSpaceDN/>
              <w:bidi w:val="0"/>
              <w:spacing w:line="360" w:lineRule="auto"/>
              <w:ind w:left="360" w:hanging="360"/>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外置小数字键盘辅助输入操作</w:t>
            </w:r>
          </w:p>
        </w:tc>
      </w:tr>
    </w:tbl>
    <w:p>
      <w:pPr>
        <w:pageBreakBefore w:val="0"/>
        <w:kinsoku/>
        <w:wordWrap/>
        <w:overflowPunct/>
        <w:topLinePunct w:val="0"/>
        <w:autoSpaceDE/>
        <w:autoSpaceDN/>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5、大数据显示终端</w:t>
      </w:r>
    </w:p>
    <w:tbl>
      <w:tblPr>
        <w:tblStyle w:val="28"/>
        <w:tblW w:w="49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0"/>
        <w:gridCol w:w="6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3" w:hRule="atLeast"/>
          <w:jc w:val="center"/>
        </w:trPr>
        <w:tc>
          <w:tcPr>
            <w:tcW w:w="1461" w:type="pct"/>
            <w:noWrap w:val="0"/>
            <w:vAlign w:val="center"/>
          </w:tcPr>
          <w:p>
            <w:pPr>
              <w:pageBreakBefore w:val="0"/>
              <w:kinsoku/>
              <w:wordWrap/>
              <w:overflowPunct/>
              <w:topLinePunct w:val="0"/>
              <w:autoSpaceDE/>
              <w:autoSpaceDN/>
              <w:bidi w:val="0"/>
              <w:spacing w:line="240" w:lineRule="auto"/>
              <w:jc w:val="center"/>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大数据显示终端</w:t>
            </w:r>
          </w:p>
        </w:tc>
        <w:tc>
          <w:tcPr>
            <w:tcW w:w="3539" w:type="pct"/>
            <w:noWrap w:val="0"/>
            <w:vAlign w:val="center"/>
          </w:tcPr>
          <w:p>
            <w:pPr>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1.液晶屏参数：对角线尺寸49"，分辨率1920</w:t>
            </w:r>
            <w:r>
              <w:rPr>
                <w:rFonts w:hint="default" w:ascii="宋体" w:hAnsi="宋体" w:eastAsia="宋体" w:cs="宋体"/>
                <w:bCs/>
                <w:color w:val="auto"/>
                <w:sz w:val="21"/>
                <w:szCs w:val="21"/>
                <w:highlight w:val="none"/>
              </w:rPr>
              <w:t>×</w:t>
            </w:r>
            <w:r>
              <w:rPr>
                <w:rFonts w:hint="eastAsia" w:ascii="宋体" w:hAnsi="宋体" w:eastAsia="宋体" w:cs="宋体"/>
                <w:bCs/>
                <w:color w:val="auto"/>
                <w:sz w:val="21"/>
                <w:szCs w:val="21"/>
                <w:highlight w:val="none"/>
              </w:rPr>
              <w:t xml:space="preserve">1080，视频制式NTSC、PAL、SECAM，输入通道Video in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1、RGB in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1、DVI-D in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1、HDMI in</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1、RS323 IN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2，输出通道RS232 out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 xml:space="preserve">2、Video out </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1，同一显示单元内可显示一路四种类型中的任意一类输入信号，信号类型可选：DVI,VIDEO,HDMI,BNC。</w:t>
            </w:r>
          </w:p>
          <w:p>
            <w:pPr>
              <w:pageBreakBefore w:val="0"/>
              <w:kinsoku/>
              <w:wordWrap/>
              <w:overflowPunct/>
              <w:topLinePunct w:val="0"/>
              <w:autoSpaceDE/>
              <w:autoSpaceDN/>
              <w:bidi w:val="0"/>
              <w:spacing w:line="240" w:lineRule="auto"/>
              <w:textAlignment w:val="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2.监控管理电脑参数: 处理器Intel Core i3 处理器；内存4GB 1333MHz DDR3；存储设备1TB (7200 rpm) 硬盘</w:t>
            </w: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rPr>
              <w:t>图像处理器2G独立图形处理卡。</w:t>
            </w:r>
          </w:p>
        </w:tc>
      </w:tr>
    </w:tbl>
    <w:p>
      <w:pPr>
        <w:pageBreakBefore w:val="0"/>
        <w:kinsoku/>
        <w:wordWrap/>
        <w:overflowPunct/>
        <w:topLinePunct w:val="0"/>
        <w:autoSpaceDE/>
        <w:autoSpaceDN/>
        <w:bidi w:val="0"/>
        <w:spacing w:line="36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pPr>
        <w:keepNext w:val="0"/>
        <w:keepLines w:val="0"/>
        <w:pageBreakBefore w:val="0"/>
        <w:kinsoku/>
        <w:wordWrap/>
        <w:overflowPunct/>
        <w:topLinePunct w:val="0"/>
        <w:bidi w:val="0"/>
        <w:snapToGrid/>
        <w:spacing w:line="360" w:lineRule="auto"/>
        <w:ind w:firstLine="0" w:firstLineChars="0"/>
        <w:jc w:val="left"/>
        <w:textAlignment w:val="auto"/>
        <w:outlineLvl w:val="9"/>
        <w:rPr>
          <w:rFonts w:hint="eastAsia" w:ascii="宋体" w:hAnsi="宋体" w:eastAsia="宋体" w:cs="宋体"/>
          <w:b/>
          <w:bCs w:val="0"/>
          <w:color w:val="auto"/>
          <w:sz w:val="21"/>
          <w:szCs w:val="21"/>
          <w:highlight w:val="none"/>
          <w:lang w:val="en-US" w:eastAsia="zh-CN"/>
        </w:rPr>
      </w:pPr>
      <w:r>
        <w:rPr>
          <w:rFonts w:hint="eastAsia" w:ascii="宋体" w:hAnsi="宋体" w:cs="宋体"/>
          <w:b/>
          <w:bCs w:val="0"/>
          <w:color w:val="auto"/>
          <w:szCs w:val="21"/>
          <w:highlight w:val="none"/>
          <w:lang w:val="en-US" w:eastAsia="zh-CN"/>
        </w:rPr>
        <w:t>标项三：</w:t>
      </w:r>
      <w:bookmarkStart w:id="73" w:name="_Toc59655806"/>
    </w:p>
    <w:p>
      <w:pPr>
        <w:keepNext w:val="0"/>
        <w:keepLines w:val="0"/>
        <w:pageBreakBefore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、项目背景</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新冠疫情爆发之后，为公立医院一院多区建设发展创造了全新的机遇，2020年5月，时任国家卫生健康委医政医管局监察专员焦雅辉对实力强的公立医院“一院多区”发展提出了创新观点，引起了行业广泛关注，“一院多区”成为行业关注的热点话题。2021年2月举行的全国医疗管理工作会议则进一步明确提出，研究出台引导大型公立医院一院多区发展的政策，既要控制单体机构规模扩展，又要引导优质医疗资源扩容倍增、区域布局协调发展。</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2021年6月4日，国务院办公厅印发的《关于推动公立医院高质量发展的意见》（国办发〔2021〕18号）提出“支持部分实力强的公立医院在控制单体规模的基础上，适度建设发展多院区，发生重大疫情时迅速转换功能”，这是国家层面首次在政策中明确提出支持公立医院建设发展多院区，为卫生健康行政部门出台相关政策及公立医院多院区建设发展提供了遵循；2021年12月，国务院印发的《“十四五”公共服务规划》（发改社会〔2021〕1946号）在均衡发展优质医疗服务中提出“在医院资源不足地区，坚持‘按重点病种选医院、按需求选地址，院地合作、省部共建’的思路进一步推进区域医疗中心试点建设，通过建设高水平医院分中心、分支机构和‘一院多区’等方式，定向放大国家顶级优质医疗资源”，对医院管理者而言，可借力政策扶持发展一院多区，优化资源布局，提升医院实力和影响力。</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2018年12月在市政府的高度重视下，第一医院在奉化方桥选址高标准开建医院新院区并被列入市级重点项目。新院区建成投入使用后第一医院的核心功能将逐步搬迁至新院区，现有院区将继续保留并重点发展慢病和老年疾病的诊治研究，并结合第一医院托管医院形成“一个医院、多个院区”的发展格局。当前，为配合新院区建成投入使用，医院信息化建设既是重要的配套工程也是第一医院现代化建设的重要支撑。基于此，本次宁波市第一医院（方桥院区）数字化建设项目将以方桥新院区作为重点建设方向，同时也以面向医院未来五到十年的中长远发展需求为建设导向，信息化项目的成功建设将有助于建设成为高效、集约、多层次的都市医疗综合体，助推宁波成为省级医学中心。</w:t>
      </w:r>
    </w:p>
    <w:p>
      <w:pPr>
        <w:keepNext w:val="0"/>
        <w:keepLines w:val="0"/>
        <w:pageBreakBefore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、建设内容</w:t>
      </w:r>
    </w:p>
    <w:p>
      <w:pPr>
        <w:keepNext w:val="0"/>
        <w:keepLines w:val="0"/>
        <w:pageBreakBefore w:val="0"/>
        <w:widowControl/>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宁波市第一医院（方桥院区）数字化建设项目建设内容主要包括业务应用系统建设、应用支撑系统建设、数据资源建设、基础设施建设、配套智能化软硬件设备及办公设备购置、信息安全保障建设等六大板块。</w:t>
      </w:r>
    </w:p>
    <w:p>
      <w:pPr>
        <w:keepNext w:val="0"/>
        <w:keepLines w:val="0"/>
        <w:pageBreakBefore w:val="0"/>
        <w:kinsoku/>
        <w:wordWrap/>
        <w:overflowPunct/>
        <w:topLinePunct w:val="0"/>
        <w:bidi w:val="0"/>
        <w:snapToGrid/>
        <w:spacing w:after="0" w:line="360" w:lineRule="auto"/>
        <w:ind w:firstLine="422"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lang w:val="en-US" w:eastAsia="zh-CN" w:bidi="ar-SA"/>
        </w:rPr>
        <w:t>业务应用系统建设。</w:t>
      </w:r>
      <w:r>
        <w:rPr>
          <w:rFonts w:hint="eastAsia" w:ascii="宋体" w:hAnsi="宋体" w:eastAsia="宋体" w:cs="宋体"/>
          <w:color w:val="auto"/>
          <w:kern w:val="2"/>
          <w:sz w:val="21"/>
          <w:szCs w:val="21"/>
          <w:highlight w:val="none"/>
          <w:lang w:val="en-US" w:eastAsia="zh-CN" w:bidi="ar-SA"/>
        </w:rPr>
        <w:t>主要涉及到CIS系统、HIS系统、PACS系统、LIS系统、DSA介入系统、钉钉生态系统、手术麻醉系统、院感系统等20多个业务系统基于“一院多区”的要求进行改造或建设。</w:t>
      </w:r>
    </w:p>
    <w:p>
      <w:pPr>
        <w:keepNext w:val="0"/>
        <w:keepLines w:val="0"/>
        <w:pageBreakBefore w:val="0"/>
        <w:kinsoku/>
        <w:wordWrap/>
        <w:overflowPunct/>
        <w:topLinePunct w:val="0"/>
        <w:bidi w:val="0"/>
        <w:snapToGrid/>
        <w:spacing w:line="360" w:lineRule="auto"/>
        <w:ind w:firstLine="426" w:firstLineChars="202"/>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应用支撑系统建设。</w:t>
      </w:r>
      <w:r>
        <w:rPr>
          <w:rFonts w:hint="eastAsia" w:ascii="宋体" w:hAnsi="宋体" w:eastAsia="宋体" w:cs="宋体"/>
          <w:color w:val="auto"/>
          <w:sz w:val="21"/>
          <w:szCs w:val="21"/>
          <w:highlight w:val="none"/>
        </w:rPr>
        <w:t>主要包括集成平台多院区改造、人工智能客服中心平台建设、医生CA数字签名用户扩充、患者PDA数字签名软件改造等相关内容，为医院的业务系统应用提供能力支撑。</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数据资源建设。</w:t>
      </w:r>
      <w:r>
        <w:rPr>
          <w:rFonts w:hint="eastAsia" w:ascii="宋体" w:hAnsi="宋体" w:eastAsia="宋体" w:cs="宋体"/>
          <w:color w:val="auto"/>
          <w:sz w:val="21"/>
          <w:szCs w:val="21"/>
          <w:highlight w:val="none"/>
        </w:rPr>
        <w:t>主要包括业务系统数据库改造建设、数据中心多院区改造等。</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基础设施建设。</w:t>
      </w:r>
      <w:r>
        <w:rPr>
          <w:rFonts w:hint="eastAsia" w:ascii="宋体" w:hAnsi="宋体" w:eastAsia="宋体" w:cs="宋体"/>
          <w:color w:val="auto"/>
          <w:sz w:val="21"/>
          <w:szCs w:val="21"/>
          <w:highlight w:val="none"/>
        </w:rPr>
        <w:t>基础设施建设主要是为第一医院多院区构建一体化业务应用和发展提供基础能力支撑，主要包括私有云平台、PACS存储系统、数据库一体机、多院区网络架构、容灾备份系统等建设。</w:t>
      </w:r>
    </w:p>
    <w:p>
      <w:pPr>
        <w:keepNext w:val="0"/>
        <w:keepLines w:val="0"/>
        <w:pageBreakBefore w:val="0"/>
        <w:kinsoku/>
        <w:wordWrap/>
        <w:overflowPunct/>
        <w:topLinePunct w:val="0"/>
        <w:bidi w:val="0"/>
        <w:snapToGrid/>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配套智能化软硬件设备及办公设备购置。</w:t>
      </w:r>
      <w:r>
        <w:rPr>
          <w:rFonts w:hint="eastAsia" w:ascii="宋体" w:hAnsi="宋体" w:eastAsia="宋体" w:cs="宋体"/>
          <w:color w:val="auto"/>
          <w:sz w:val="21"/>
          <w:szCs w:val="21"/>
          <w:highlight w:val="none"/>
        </w:rPr>
        <w:t>主要涉及包括门诊发药机、病区包药机、药品核对机、发热门诊自助发药机、样本分拣机、麻醉药品智能柜等配套智能化设备的采购、安装及部署等，为医院业务发展提供智能辅助支撑。</w:t>
      </w:r>
    </w:p>
    <w:p>
      <w:pPr>
        <w:keepNext w:val="0"/>
        <w:keepLines w:val="0"/>
        <w:pageBreakBefore w:val="0"/>
        <w:widowControl w:val="0"/>
        <w:kinsoku/>
        <w:wordWrap/>
        <w:overflowPunct/>
        <w:topLinePunct w:val="0"/>
        <w:bidi w:val="0"/>
        <w:snapToGrid/>
        <w:spacing w:after="0" w:line="360" w:lineRule="auto"/>
        <w:ind w:left="0" w:leftChars="0" w:firstLine="422" w:firstLineChars="200"/>
        <w:jc w:val="both"/>
        <w:textAlignment w:val="auto"/>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b/>
          <w:bCs/>
          <w:color w:val="auto"/>
          <w:kern w:val="2"/>
          <w:sz w:val="21"/>
          <w:szCs w:val="21"/>
          <w:highlight w:val="none"/>
          <w:lang w:val="en-US" w:eastAsia="zh-CN" w:bidi="ar-SA"/>
        </w:rPr>
        <w:t>信息安全保障建设。</w:t>
      </w:r>
      <w:r>
        <w:rPr>
          <w:rFonts w:hint="eastAsia" w:ascii="宋体" w:hAnsi="宋体" w:eastAsia="宋体" w:cs="宋体"/>
          <w:color w:val="auto"/>
          <w:kern w:val="2"/>
          <w:sz w:val="21"/>
          <w:szCs w:val="21"/>
          <w:highlight w:val="none"/>
          <w:lang w:val="zh-CN" w:eastAsia="zh-CN" w:bidi="ar-SA"/>
        </w:rPr>
        <w:t>按照国家网络安全等级保护三级要求，以第一医院现有网络安全能力为基础，在方桥院区部署安装边界融合网关防火墙、自安全交换机系统、上网行为管理、堡垒机等安全设备，并对月湖院区网络安全进行升级改造，构建全方位、立体式网络安全防护体系，以满足第一医院多院区网络一体化安全防护的需要。</w:t>
      </w:r>
    </w:p>
    <w:p>
      <w:pPr>
        <w:keepNext w:val="0"/>
        <w:keepLines w:val="0"/>
        <w:pageBreakBefore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、监理服务内容</w:t>
      </w:r>
    </w:p>
    <w:p>
      <w:pPr>
        <w:keepNext w:val="0"/>
        <w:keepLines w:val="0"/>
        <w:pageBreakBefore w:val="0"/>
        <w:kinsoku/>
        <w:wordWrap/>
        <w:overflowPunct/>
        <w:topLinePunct w:val="0"/>
        <w:autoSpaceDE w:val="0"/>
        <w:autoSpaceDN w:val="0"/>
        <w:bidi w:val="0"/>
        <w:adjustRightInd w:val="0"/>
        <w:snapToGrid/>
        <w:spacing w:line="360" w:lineRule="auto"/>
        <w:ind w:firstLine="424" w:firstLineChars="202"/>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本项目提供全过程监理，具体包括：参与项目合同管理、总体实施方案的质量把关、系统集成调试、系统单元测试、项目培训、系统试运行和验收，做好系统移交及相关文档的起草和管理等工作，确保项目质量、进度和投资计划的顺利实施；受采购人委托，负责协调项目涉及的各承建单位之间的工作关系，协调解决项目建设过程中的各类纠纷；针对项目建设情况，向采购人提出合理化的改进改良建议。</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按照“三控制、两管理、一协调”的原则，保证项目在规定的合同履约期限内完成，并实现项目建设的目标。具体内容包括：</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1项目组织及技术总体方案的把关</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1）协助项目采购人方，共同审核和确认各承建单位的技术实施方案，确保技术实施方案符合项目总体设计的要求；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2）审核和确认承建单位的总体设计方案；</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3）审核和确认项目建设过程中的各种关键技术方案；</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4）审核和确认承建单位的组织和实施方案，和供应商提交的《项目计划》；</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5）审核和确认承建单位的项目质量保证计划、质量控制体系（含质量控制的关键性节点）；</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6）审核和确认承建单位的源代码管理方案；</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7）审核和确认承建单位的测试计划；</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8）审核和确认承建单位的项目进度计划和进度控制节点；</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9）审核和确认各承建单位的基础数据准备计划、安装调试计划、试运行计划、正式运行计划等。</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10)辅助采购人单位对总承包单位、多家承建单位之间的工作协调安排。</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2项目质量控制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（1）系统集成质量的控制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1）系统集成方案的审核和确认；</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2）审核关键设备、系统软件选型方案，协助系统集成商和采购人进行选型；</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3）对采购的硬件设备的质量进行检验、测试和验收；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4）对设备安装、系统软件的安装调试进行验收；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5）对系统集成进行总体验收。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（2）应用软件开发质量的控制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1)应用软件开发的阶段性计划的审核和确认；</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2)在对项目建设详细了解的基础上，协助项目设计单位、系统集成单位和采购人单位，对各个分系统、子系统应用软件的详细需求分析、详细设计、编码测试、系统安装调试、系统试运行进行把关；</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3)对承建单位的开发质量进行审核；</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4)对源代码、开发文件进行移交验收；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（3）软件应用培训的质量控制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1）审核确认承建单位的培训计划；</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2）监督承建单位实施其培训计划，并征求用户的反馈意见；</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3）审核确认承建单位的培训总结报告。</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3.3</w:t>
      </w:r>
      <w:r>
        <w:rPr>
          <w:rFonts w:hint="eastAsia" w:ascii="宋体" w:hAnsi="宋体" w:eastAsia="宋体" w:cs="宋体"/>
          <w:color w:val="auto"/>
          <w:sz w:val="21"/>
          <w:szCs w:val="21"/>
          <w:highlight w:val="none"/>
        </w:rPr>
        <w:t>项目进度控制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1）审核承建单位的进度分解计划，确认分解计划可以保证总体计划目标；</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2）对项目实施进度进行实时跟踪，并要求承建单位对进度计划进行动态调整，以确保项目的阶段和总体进度目标的实现；</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3）当工期目标严重偏离时，应及时指出，并提出对策建议，同时督促承建单位尽快采取措施。</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3.4</w:t>
      </w:r>
      <w:r>
        <w:rPr>
          <w:rFonts w:hint="eastAsia" w:ascii="宋体" w:hAnsi="宋体" w:eastAsia="宋体" w:cs="宋体"/>
          <w:color w:val="auto"/>
          <w:sz w:val="21"/>
          <w:szCs w:val="21"/>
          <w:highlight w:val="none"/>
        </w:rPr>
        <w:t>项目投资控制</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1）通过对项目实施中的方案及设计的优化，确保投资控制在合理、性价比高的范围内；</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2）协助采购人做好项目支付预算的现金流量表，将付款进度与项目质量与形象进度结合起来。</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rPr>
        <w:t>项目合同管理</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1）跟踪检查合同的执行情况，确保承建单位按时履约；</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2）对合同工期的延误和延期进行审核确认；</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3）对合同变更、索赔等事宜进行审核确认；</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4）根据合同约定，审核承建单位提交的支付申请，签发付款凭证。</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3.6</w:t>
      </w:r>
      <w:r>
        <w:rPr>
          <w:rFonts w:hint="eastAsia" w:ascii="宋体" w:hAnsi="宋体" w:eastAsia="宋体" w:cs="宋体"/>
          <w:color w:val="auto"/>
          <w:sz w:val="21"/>
          <w:szCs w:val="21"/>
          <w:highlight w:val="none"/>
        </w:rPr>
        <w:t>项目信息/文档管理</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1）做好监理日记及项目大事记；</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2）做好合同批复等各类往来文件的批复和存档；</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3）做好项目协调会、技术专题会的会议纪要；</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4）管理好实施期间的各类技术文档；</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5）项目周报；</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6）监理建议书；</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7）监理通知；</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8）各种会议纪要；</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9）阶段性项目总结；</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10）各承建方提交的技术文档。</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3.7</w:t>
      </w:r>
      <w:r>
        <w:rPr>
          <w:rFonts w:hint="eastAsia" w:ascii="宋体" w:hAnsi="宋体" w:eastAsia="宋体" w:cs="宋体"/>
          <w:color w:val="auto"/>
          <w:sz w:val="21"/>
          <w:szCs w:val="21"/>
          <w:highlight w:val="none"/>
        </w:rPr>
        <w:t>项目建设的协调</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 辅助采购人方协调项目各共建部门之间的工作关系；</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 辅助采购人方协调项目各承建单位之间的工作关系；</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 辅助采购人方协调项目建设过程中发生的各类纠纷和问题。 </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3.8</w:t>
      </w:r>
      <w:r>
        <w:rPr>
          <w:rFonts w:hint="eastAsia" w:ascii="宋体" w:hAnsi="宋体" w:eastAsia="宋体" w:cs="宋体"/>
          <w:color w:val="auto"/>
          <w:sz w:val="21"/>
          <w:szCs w:val="21"/>
          <w:highlight w:val="none"/>
        </w:rPr>
        <w:t>监理方应该通过必要的会议制度来实施协调工作，主要包括：</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1）项目现场会；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2）项目监理交底会；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3）项目周例会；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4）项目监理协调会；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5）项目专题讨论会；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6）项目专家论证会；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7）项目阶段工作总结会；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8）项目问题通报会；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9）项目阶段及最终验收会。</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3.9</w:t>
      </w:r>
      <w:r>
        <w:rPr>
          <w:rFonts w:hint="eastAsia" w:ascii="宋体" w:hAnsi="宋体" w:eastAsia="宋体" w:cs="宋体"/>
          <w:color w:val="auto"/>
          <w:sz w:val="21"/>
          <w:szCs w:val="21"/>
          <w:highlight w:val="none"/>
        </w:rPr>
        <w:t>项目安全的管理</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1）负责项目建设过程中所涉及的机密数据和资料的保护，保证不被非授权使用；</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2）负责项目建设施工过程中安全控制，确保不出现安全事故。</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3.10</w:t>
      </w:r>
      <w:r>
        <w:rPr>
          <w:rFonts w:hint="eastAsia" w:ascii="宋体" w:hAnsi="宋体" w:eastAsia="宋体" w:cs="宋体"/>
          <w:color w:val="auto"/>
          <w:sz w:val="21"/>
          <w:szCs w:val="21"/>
          <w:highlight w:val="none"/>
        </w:rPr>
        <w:t>项目知识产权的管理</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1）负责项目建设过程中所产生成果的知识产权保护，保证不被非授权使用；</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2）负责项目建设过程中涉及知识产权的产品和系统的使用审核，保证采购人方不在本项目建设中出现违反知识产权的行为。</w:t>
      </w:r>
    </w:p>
    <w:p>
      <w:pPr>
        <w:keepNext w:val="0"/>
        <w:keepLines w:val="0"/>
        <w:pageBreakBefore w:val="0"/>
        <w:kinsoku/>
        <w:wordWrap/>
        <w:overflowPunct/>
        <w:topLinePunct w:val="0"/>
        <w:bidi w:val="0"/>
        <w:snapToGrid/>
        <w:spacing w:line="360" w:lineRule="auto"/>
        <w:ind w:firstLine="422" w:firstLineChars="200"/>
        <w:textAlignment w:val="auto"/>
        <w:outlineLvl w:val="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、人员要求</w:t>
      </w:r>
    </w:p>
    <w:p>
      <w:pPr>
        <w:keepNext w:val="0"/>
        <w:keepLines w:val="0"/>
        <w:pageBreakBefore w:val="0"/>
        <w:kinsoku/>
        <w:wordWrap/>
        <w:overflowPunct/>
        <w:topLinePunct w:val="0"/>
        <w:bidi w:val="0"/>
        <w:snapToGrid/>
        <w:spacing w:line="360" w:lineRule="auto"/>
        <w:ind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根据项目需要，</w:t>
      </w:r>
      <w:r>
        <w:rPr>
          <w:rFonts w:hint="eastAsia" w:ascii="宋体" w:hAnsi="宋体" w:eastAsia="宋体" w:cs="宋体"/>
          <w:color w:val="auto"/>
          <w:kern w:val="0"/>
          <w:sz w:val="21"/>
          <w:szCs w:val="21"/>
          <w:highlight w:val="none"/>
          <w:lang w:val="en-US" w:eastAsia="zh-CN"/>
        </w:rPr>
        <w:t>供应商</w:t>
      </w:r>
      <w:r>
        <w:rPr>
          <w:rFonts w:hint="eastAsia" w:ascii="宋体" w:hAnsi="宋体" w:eastAsia="宋体" w:cs="宋体"/>
          <w:color w:val="auto"/>
          <w:kern w:val="0"/>
          <w:sz w:val="21"/>
          <w:szCs w:val="21"/>
          <w:highlight w:val="none"/>
        </w:rPr>
        <w:t>须针对宁波市第一医院（方桥院区）数字化建设项目成立监理工作组，设项目负责人1名，其他监理工程师8名，其中4-5名监理工程师提供驻场服务，其它工程师随叫随到。</w:t>
      </w:r>
    </w:p>
    <w:p>
      <w:pPr>
        <w:keepNext w:val="0"/>
        <w:keepLines w:val="0"/>
        <w:pageBreakBefore w:val="0"/>
        <w:kinsoku/>
        <w:wordWrap/>
        <w:overflowPunct/>
        <w:topLinePunct w:val="0"/>
        <w:bidi w:val="0"/>
        <w:snapToGrid/>
        <w:spacing w:line="360" w:lineRule="auto"/>
        <w:ind w:firstLine="420" w:firstLineChars="200"/>
        <w:jc w:val="left"/>
        <w:textAlignment w:val="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color w:val="auto"/>
          <w:kern w:val="0"/>
          <w:sz w:val="21"/>
          <w:szCs w:val="21"/>
          <w:highlight w:val="none"/>
        </w:rPr>
        <w:t>提供驻场服务人员需要具有相关信息化项目咨询或监理服务</w:t>
      </w:r>
      <w:r>
        <w:rPr>
          <w:rFonts w:hint="eastAsia" w:ascii="宋体" w:hAnsi="宋体" w:eastAsia="宋体" w:cs="宋体"/>
          <w:color w:val="auto"/>
          <w:kern w:val="0"/>
          <w:sz w:val="21"/>
          <w:szCs w:val="21"/>
          <w:highlight w:val="none"/>
          <w:lang w:val="en-US" w:eastAsia="zh-CN"/>
        </w:rPr>
        <w:t>能力及经验</w:t>
      </w:r>
      <w:r>
        <w:rPr>
          <w:rFonts w:hint="eastAsia" w:ascii="宋体" w:hAnsi="宋体" w:eastAsia="宋体" w:cs="宋体"/>
          <w:color w:val="auto"/>
          <w:kern w:val="0"/>
          <w:sz w:val="21"/>
          <w:szCs w:val="21"/>
          <w:highlight w:val="none"/>
        </w:rPr>
        <w:t>，若达不到采购人的要求，采购人可以</w:t>
      </w:r>
      <w:r>
        <w:rPr>
          <w:rFonts w:hint="eastAsia" w:ascii="宋体" w:hAnsi="宋体" w:eastAsia="宋体" w:cs="宋体"/>
          <w:color w:val="auto"/>
          <w:kern w:val="0"/>
          <w:sz w:val="21"/>
          <w:szCs w:val="21"/>
          <w:highlight w:val="none"/>
          <w:lang w:val="en-US" w:eastAsia="zh-CN"/>
        </w:rPr>
        <w:t>要求中标人予以更换人员直至满足项目要求，如中标人扔不能达到采购人要求，采购人有权</w:t>
      </w:r>
      <w:r>
        <w:rPr>
          <w:rFonts w:hint="eastAsia" w:ascii="宋体" w:hAnsi="宋体" w:eastAsia="宋体" w:cs="宋体"/>
          <w:color w:val="auto"/>
          <w:kern w:val="0"/>
          <w:sz w:val="21"/>
          <w:szCs w:val="21"/>
          <w:highlight w:val="none"/>
        </w:rPr>
        <w:t>中止合同</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中标人承担所有因此造成的损失</w:t>
      </w:r>
      <w:r>
        <w:rPr>
          <w:rFonts w:hint="eastAsia" w:ascii="宋体" w:hAnsi="宋体" w:eastAsia="宋体" w:cs="宋体"/>
          <w:color w:val="auto"/>
          <w:kern w:val="0"/>
          <w:sz w:val="21"/>
          <w:szCs w:val="21"/>
          <w:highlight w:val="none"/>
        </w:rPr>
        <w:t>。</w:t>
      </w:r>
    </w:p>
    <w:bookmarkEnd w:id="73"/>
    <w:p>
      <w:pPr>
        <w:spacing w:line="360" w:lineRule="auto"/>
        <w:rPr>
          <w:rFonts w:hint="eastAsia" w:ascii="宋体" w:hAnsi="宋体" w:eastAsia="宋体" w:cs="宋体"/>
          <w:b w:val="0"/>
          <w:bCs/>
          <w:color w:val="auto"/>
          <w:szCs w:val="21"/>
          <w:highlight w:val="none"/>
        </w:rPr>
      </w:pPr>
    </w:p>
    <w:p>
      <w:pPr>
        <w:snapToGrid w:val="0"/>
        <w:spacing w:line="360" w:lineRule="auto"/>
        <w:rPr>
          <w:rFonts w:hint="default" w:ascii="新宋体" w:hAnsi="新宋体" w:eastAsia="新宋体" w:cs="Times New Roman"/>
          <w:color w:val="auto"/>
          <w:szCs w:val="21"/>
          <w:highlight w:val="none"/>
          <w:lang w:val="en-US" w:eastAsia="zh-CN"/>
        </w:rPr>
      </w:pPr>
      <w:r>
        <w:rPr>
          <w:rFonts w:hint="eastAsia" w:ascii="新宋体" w:hAnsi="新宋体" w:eastAsia="新宋体"/>
          <w:b/>
          <w:bCs/>
          <w:color w:val="auto"/>
          <w:szCs w:val="21"/>
          <w:highlight w:val="none"/>
          <w:lang w:val="en-US" w:eastAsia="zh-CN"/>
        </w:rPr>
        <w:t>三</w:t>
      </w:r>
      <w:r>
        <w:rPr>
          <w:rFonts w:hint="eastAsia" w:ascii="新宋体" w:hAnsi="新宋体" w:eastAsia="新宋体"/>
          <w:b/>
          <w:bCs/>
          <w:color w:val="auto"/>
          <w:szCs w:val="21"/>
          <w:highlight w:val="none"/>
        </w:rPr>
        <w:t>、</w:t>
      </w:r>
      <w:r>
        <w:rPr>
          <w:rFonts w:hint="eastAsia" w:ascii="新宋体" w:hAnsi="新宋体" w:eastAsia="新宋体" w:cs="Times New Roman"/>
          <w:b/>
          <w:bCs/>
          <w:color w:val="auto"/>
          <w:szCs w:val="21"/>
          <w:highlight w:val="none"/>
          <w:lang w:val="en-US" w:eastAsia="zh-CN"/>
        </w:rPr>
        <w:t>其他要求</w:t>
      </w:r>
    </w:p>
    <w:p>
      <w:pPr>
        <w:snapToGrid w:val="0"/>
        <w:spacing w:line="360" w:lineRule="auto"/>
        <w:ind w:firstLine="420" w:firstLineChars="200"/>
        <w:rPr>
          <w:rFonts w:ascii="新宋体" w:hAnsi="新宋体" w:eastAsia="新宋体"/>
          <w:color w:val="auto"/>
          <w:szCs w:val="21"/>
          <w:highlight w:val="none"/>
        </w:rPr>
      </w:pPr>
      <w:r>
        <w:rPr>
          <w:rFonts w:hint="eastAsia" w:ascii="新宋体" w:hAnsi="新宋体" w:eastAsia="新宋体" w:cs="Times New Roman"/>
          <w:color w:val="auto"/>
          <w:szCs w:val="21"/>
          <w:highlight w:val="none"/>
          <w:lang w:val="en-US" w:eastAsia="zh-CN"/>
        </w:rPr>
        <w:t>1、各标项供应商需按评分标准要求提供针对本项目整体实施方案、技术方案、重难点分析及对策、验收方案、人员方案、设备方案、售后服务方案、培训方案等。</w:t>
      </w:r>
    </w:p>
    <w:p>
      <w:pPr>
        <w:spacing w:line="360" w:lineRule="auto"/>
        <w:jc w:val="left"/>
        <w:rPr>
          <w:color w:val="auto"/>
          <w:highlight w:val="none"/>
        </w:rPr>
        <w:sectPr>
          <w:footerReference r:id="rId3" w:type="default"/>
          <w:pgSz w:w="11906" w:h="16838"/>
          <w:pgMar w:top="1440" w:right="1800" w:bottom="1440" w:left="1800" w:header="851" w:footer="851" w:gutter="0"/>
          <w:pgBorders>
            <w:top w:val="none" w:sz="0" w:space="0"/>
            <w:left w:val="none" w:sz="0" w:space="0"/>
            <w:bottom w:val="none" w:sz="0" w:space="0"/>
            <w:right w:val="none" w:sz="0" w:space="0"/>
          </w:pgBorders>
          <w:pgNumType w:start="1"/>
          <w:cols w:space="720" w:num="1"/>
        </w:sectPr>
      </w:pPr>
    </w:p>
    <w:p>
      <w:pPr>
        <w:spacing w:line="360" w:lineRule="auto"/>
        <w:jc w:val="center"/>
        <w:rPr>
          <w:rFonts w:ascii="黑体" w:hAnsi="宋体" w:eastAsia="黑体"/>
          <w:color w:val="auto"/>
          <w:sz w:val="30"/>
          <w:szCs w:val="30"/>
          <w:highlight w:val="none"/>
        </w:rPr>
      </w:pPr>
      <w:bookmarkStart w:id="74" w:name="_Toc8354"/>
      <w:r>
        <w:rPr>
          <w:rFonts w:hint="eastAsia"/>
          <w:b/>
          <w:bCs/>
          <w:color w:val="auto"/>
          <w:sz w:val="28"/>
          <w:szCs w:val="28"/>
          <w:highlight w:val="none"/>
        </w:rPr>
        <w:t>第三章供应商须知</w:t>
      </w:r>
      <w:bookmarkEnd w:id="74"/>
    </w:p>
    <w:p>
      <w:pPr>
        <w:spacing w:line="320" w:lineRule="exact"/>
        <w:jc w:val="center"/>
        <w:rPr>
          <w:color w:val="auto"/>
          <w:highlight w:val="none"/>
        </w:rPr>
      </w:pPr>
      <w:r>
        <w:rPr>
          <w:rFonts w:hint="eastAsia"/>
          <w:color w:val="auto"/>
          <w:highlight w:val="none"/>
        </w:rPr>
        <w:t>前附表</w:t>
      </w:r>
    </w:p>
    <w:tbl>
      <w:tblPr>
        <w:tblStyle w:val="28"/>
        <w:tblW w:w="854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0"/>
        <w:gridCol w:w="773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9"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rPr>
                <w:color w:val="auto"/>
                <w:szCs w:val="21"/>
                <w:highlight w:val="none"/>
              </w:rPr>
            </w:pPr>
            <w:r>
              <w:rPr>
                <w:rFonts w:hint="eastAsia"/>
                <w:color w:val="auto"/>
                <w:szCs w:val="21"/>
                <w:highlight w:val="none"/>
              </w:rPr>
              <w:t>序号</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rFonts w:hint="eastAsia"/>
                <w:color w:val="auto"/>
                <w:szCs w:val="21"/>
                <w:highlight w:val="none"/>
              </w:rPr>
              <w:t>★</w:t>
            </w:r>
            <w:r>
              <w:rPr>
                <w:color w:val="auto"/>
                <w:szCs w:val="21"/>
                <w:highlight w:val="none"/>
              </w:rPr>
              <w:t>1</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highlight w:val="none"/>
              </w:rPr>
            </w:pPr>
            <w:r>
              <w:rPr>
                <w:rFonts w:hint="eastAsia"/>
                <w:color w:val="auto"/>
                <w:highlight w:val="none"/>
              </w:rPr>
              <w:t>投标报价及费用：</w:t>
            </w:r>
          </w:p>
          <w:p>
            <w:pPr>
              <w:spacing w:line="300" w:lineRule="exact"/>
              <w:rPr>
                <w:color w:val="auto"/>
                <w:highlight w:val="none"/>
              </w:rPr>
            </w:pPr>
            <w:r>
              <w:rPr>
                <w:color w:val="auto"/>
                <w:highlight w:val="none"/>
              </w:rPr>
              <w:t>1</w:t>
            </w:r>
            <w:r>
              <w:rPr>
                <w:rFonts w:hint="eastAsia"/>
                <w:color w:val="auto"/>
                <w:highlight w:val="none"/>
              </w:rPr>
              <w:t>、本项目投标应以人民币报价</w:t>
            </w:r>
            <w:r>
              <w:rPr>
                <w:rFonts w:hint="eastAsia"/>
                <w:color w:val="auto"/>
                <w:highlight w:val="none"/>
                <w:lang w:eastAsia="zh-CN"/>
              </w:rPr>
              <w:t>，报价超出最高限价，或者超出采购预算金额</w:t>
            </w:r>
            <w:r>
              <w:rPr>
                <w:rFonts w:hint="eastAsia"/>
                <w:color w:val="auto"/>
                <w:highlight w:val="none"/>
                <w:lang w:val="en-US" w:eastAsia="zh-CN"/>
              </w:rPr>
              <w:t>的将予以无效投标处理</w:t>
            </w:r>
            <w:r>
              <w:rPr>
                <w:rFonts w:hint="eastAsia"/>
                <w:color w:val="auto"/>
                <w:highlight w:val="none"/>
              </w:rPr>
              <w:t>；</w:t>
            </w:r>
          </w:p>
          <w:p>
            <w:pPr>
              <w:rPr>
                <w:rFonts w:hint="default" w:eastAsia="宋体"/>
                <w:color w:val="auto"/>
                <w:highlight w:val="none"/>
                <w:lang w:val="en-US" w:eastAsia="zh-CN"/>
              </w:rPr>
            </w:pPr>
            <w:r>
              <w:rPr>
                <w:color w:val="auto"/>
                <w:highlight w:val="none"/>
              </w:rPr>
              <w:t>2</w:t>
            </w:r>
            <w:r>
              <w:rPr>
                <w:rFonts w:hint="eastAsia"/>
                <w:color w:val="auto"/>
                <w:highlight w:val="none"/>
              </w:rPr>
              <w:t>、投标费用是履行合同的最终价格，</w:t>
            </w:r>
            <w:r>
              <w:rPr>
                <w:rFonts w:hint="eastAsia"/>
                <w:color w:val="auto"/>
                <w:highlight w:val="none"/>
                <w:lang w:val="en-US" w:eastAsia="zh-CN"/>
              </w:rPr>
              <w:t>标项一、标项二</w:t>
            </w:r>
            <w:r>
              <w:rPr>
                <w:rFonts w:hint="eastAsia"/>
                <w:color w:val="auto"/>
                <w:highlight w:val="none"/>
              </w:rPr>
              <w:t>包括但不限于</w:t>
            </w:r>
            <w:r>
              <w:rPr>
                <w:rFonts w:hint="eastAsia"/>
                <w:color w:val="auto"/>
                <w:highlight w:val="none"/>
                <w:lang w:eastAsia="zh-CN"/>
              </w:rPr>
              <w:t>制作</w:t>
            </w:r>
            <w:r>
              <w:rPr>
                <w:rFonts w:hint="eastAsia"/>
                <w:color w:val="auto"/>
                <w:highlight w:val="none"/>
              </w:rPr>
              <w:t>、调试、产品保护、试运行、检测费、验收费、技术培训、维护、售后服务</w:t>
            </w:r>
            <w:r>
              <w:rPr>
                <w:rFonts w:hint="eastAsia"/>
                <w:color w:val="auto"/>
                <w:highlight w:val="none"/>
                <w:lang w:val="en-US" w:eastAsia="zh-CN"/>
              </w:rPr>
              <w:t>、税金、利润</w:t>
            </w:r>
            <w:r>
              <w:rPr>
                <w:rFonts w:hint="eastAsia"/>
                <w:color w:val="auto"/>
                <w:highlight w:val="none"/>
              </w:rPr>
              <w:t>等一切费用</w:t>
            </w:r>
            <w:r>
              <w:rPr>
                <w:rFonts w:hint="eastAsia"/>
                <w:color w:val="auto"/>
                <w:highlight w:val="none"/>
                <w:lang w:eastAsia="zh-CN"/>
              </w:rPr>
              <w:t>；</w:t>
            </w:r>
            <w:r>
              <w:rPr>
                <w:rFonts w:hint="eastAsia"/>
                <w:color w:val="auto"/>
                <w:highlight w:val="none"/>
                <w:lang w:val="en-US" w:eastAsia="zh-CN"/>
              </w:rPr>
              <w:t>标项三包括但不限于人员费用、食宿费、检测费、技术培训、管理费用、税金、利润等一切费用。</w:t>
            </w:r>
          </w:p>
          <w:p>
            <w:pPr>
              <w:spacing w:line="300" w:lineRule="exact"/>
              <w:rPr>
                <w:color w:val="auto"/>
                <w:highlight w:val="none"/>
              </w:rPr>
            </w:pPr>
            <w:r>
              <w:rPr>
                <w:color w:val="auto"/>
                <w:highlight w:val="none"/>
              </w:rPr>
              <w:t>3</w:t>
            </w:r>
            <w:r>
              <w:rPr>
                <w:rFonts w:hint="eastAsia"/>
                <w:color w:val="auto"/>
                <w:highlight w:val="none"/>
              </w:rPr>
              <w:t>、不论投标结果如何，供应商均应自行承担所有与投标有关的全部费用；</w:t>
            </w:r>
          </w:p>
          <w:p>
            <w:pPr>
              <w:rPr>
                <w:rFonts w:hint="eastAsia" w:eastAsia="宋体"/>
                <w:color w:val="auto"/>
                <w:highlight w:val="none"/>
                <w:lang w:eastAsia="zh-CN"/>
              </w:rPr>
            </w:pPr>
            <w:r>
              <w:rPr>
                <w:color w:val="auto"/>
                <w:highlight w:val="none"/>
              </w:rPr>
              <w:t>4</w:t>
            </w:r>
            <w:r>
              <w:rPr>
                <w:rFonts w:hint="eastAsia"/>
                <w:color w:val="auto"/>
                <w:highlight w:val="none"/>
              </w:rPr>
              <w:t>、</w:t>
            </w:r>
            <w:r>
              <w:rPr>
                <w:rFonts w:hint="eastAsia"/>
                <w:color w:val="auto"/>
                <w:highlight w:val="none"/>
                <w:lang w:val="en-US" w:eastAsia="zh-CN"/>
              </w:rPr>
              <w:t>标项一、标项二</w:t>
            </w:r>
            <w:r>
              <w:rPr>
                <w:rFonts w:hint="eastAsia"/>
                <w:color w:val="auto"/>
                <w:highlight w:val="none"/>
              </w:rPr>
              <w:t>采购代理机构按下表中货物招标的标准，根据中标金额，向中标人收取中标服务费</w:t>
            </w:r>
            <w:r>
              <w:rPr>
                <w:rFonts w:hint="eastAsia"/>
                <w:color w:val="auto"/>
                <w:highlight w:val="none"/>
                <w:lang w:eastAsia="zh-CN"/>
              </w:rPr>
              <w:t>；</w:t>
            </w:r>
            <w:r>
              <w:rPr>
                <w:rFonts w:hint="eastAsia"/>
                <w:color w:val="auto"/>
                <w:highlight w:val="none"/>
                <w:lang w:val="en-US" w:eastAsia="zh-CN"/>
              </w:rPr>
              <w:t>标项三</w:t>
            </w:r>
            <w:r>
              <w:rPr>
                <w:rFonts w:hint="eastAsia"/>
                <w:color w:val="auto"/>
                <w:highlight w:val="none"/>
                <w:lang w:eastAsia="zh-CN"/>
              </w:rPr>
              <w:t>采购代理机构按下表中</w:t>
            </w:r>
            <w:r>
              <w:rPr>
                <w:rFonts w:hint="eastAsia"/>
                <w:color w:val="auto"/>
                <w:highlight w:val="none"/>
                <w:lang w:val="en-US" w:eastAsia="zh-CN"/>
              </w:rPr>
              <w:t>服务</w:t>
            </w:r>
            <w:r>
              <w:rPr>
                <w:rFonts w:hint="eastAsia"/>
                <w:color w:val="auto"/>
                <w:highlight w:val="none"/>
                <w:lang w:eastAsia="zh-CN"/>
              </w:rPr>
              <w:t>招标的标准，根据中标金额，向中标人收取中标服务费。</w:t>
            </w:r>
          </w:p>
          <w:tbl>
            <w:tblPr>
              <w:tblStyle w:val="28"/>
              <w:tblW w:w="6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934"/>
              <w:gridCol w:w="898"/>
              <w:gridCol w:w="898"/>
              <w:gridCol w:w="8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6" w:hRule="atLeast"/>
                <w:jc w:val="center"/>
              </w:trPr>
              <w:tc>
                <w:tcPr>
                  <w:tcW w:w="3934" w:type="dxa"/>
                  <w:tcBorders>
                    <w:tl2br w:val="single" w:color="auto" w:sz="4" w:space="0"/>
                  </w:tcBorders>
                  <w:noWrap w:val="0"/>
                  <w:tcMar>
                    <w:top w:w="30" w:type="dxa"/>
                    <w:left w:w="150" w:type="dxa"/>
                    <w:bottom w:w="30" w:type="dxa"/>
                    <w:right w:w="150" w:type="dxa"/>
                  </w:tcMar>
                  <w:vAlign w:val="center"/>
                  <mc:AlternateContent>
                    <mc:Choice Requires="wpsCustomData">
                      <wpsCustomData:diagonals>
                        <wpsCustomData:diagonal from="15800" to="30000">
                          <wpsCustomData:border w:val="single" w:color="auto" w:sz="4" w:space="0"/>
                        </wpsCustomData:diagonal>
                        <wpsCustomData:diagonal from="10000" to="30000">
                          <wpsCustomData:border w:val="single" w:color="auto" w:sz="4" w:space="0"/>
                        </wpsCustomData:diagonal>
                      </wpsCustomData:diagonals>
                    </mc:Choice>
                  </mc:AlternateContent>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金额（万元）</w:t>
                  </w:r>
                </w:p>
                <w:p>
                  <w:pPr>
                    <w:tabs>
                      <w:tab w:val="left" w:pos="675"/>
                      <w:tab w:val="left" w:pos="2550"/>
                      <w:tab w:val="left" w:pos="4935"/>
                      <w:tab w:val="left" w:pos="6641"/>
                    </w:tabs>
                    <w:adjustRightInd/>
                    <w:spacing w:line="288" w:lineRule="auto"/>
                    <w:jc w:val="left"/>
                    <w:rPr>
                      <w:rFonts w:hint="eastAsia" w:ascii="宋体" w:hAnsi="宋体" w:eastAsia="宋体" w:cs="宋体"/>
                      <w:color w:val="auto"/>
                      <w:sz w:val="18"/>
                      <w:szCs w:val="18"/>
                      <w:highlight w:val="none"/>
                    </w:rPr>
                  </w:pPr>
                </w:p>
                <w:p>
                  <w:pPr>
                    <w:tabs>
                      <w:tab w:val="left" w:pos="675"/>
                      <w:tab w:val="left" w:pos="2550"/>
                      <w:tab w:val="left" w:pos="4935"/>
                      <w:tab w:val="left" w:pos="6641"/>
                    </w:tabs>
                    <w:adjustRightInd/>
                    <w:spacing w:line="288" w:lineRule="auto"/>
                    <w:jc w:val="left"/>
                    <mc:AlternateContent>
                      <mc:Choice Requires="wpsCustomData">
                        <wpsCustomData:diagonalParaType/>
                      </mc:Choice>
                    </mc:AlternateConten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费率</w:t>
                  </w:r>
                </w:p>
                <w:p>
                  <w:pPr>
                    <w:tabs>
                      <w:tab w:val="left" w:pos="675"/>
                      <w:tab w:val="left" w:pos="2550"/>
                      <w:tab w:val="left" w:pos="4935"/>
                      <w:tab w:val="left" w:pos="6641"/>
                    </w:tabs>
                    <w:adjustRightInd/>
                    <w:spacing w:line="288" w:lineRule="auto"/>
                    <w:jc w:val="left"/>
                    <mc:AlternateContent>
                      <mc:Choice Requires="wpsCustomData">
                        <wpsCustomData:diagonalParaType/>
                      </mc:Choice>
                    </mc:AlternateContent>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费率</w:t>
                  </w:r>
                </w:p>
                <w:p>
                  <w:pPr>
                    <w:tabs>
                      <w:tab w:val="left" w:pos="675"/>
                      <w:tab w:val="left" w:pos="2550"/>
                      <w:tab w:val="left" w:pos="4935"/>
                      <w:tab w:val="left" w:pos="6641"/>
                    </w:tabs>
                    <w:adjustRightInd/>
                    <w:spacing w:line="288" w:lineRule="auto"/>
                    <w:jc w:val="lef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服务类型</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货物招标</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服务招标</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工程招标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3934"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100以下</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3934"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100-500</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1.1%</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0.8%</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3934"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500-1000</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0.8%</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0.45%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3934"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1000-5000</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0.25%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47" w:hRule="atLeast"/>
                <w:jc w:val="center"/>
              </w:trPr>
              <w:tc>
                <w:tcPr>
                  <w:tcW w:w="3934"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5000-10000</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0.25%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0.1%</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5" w:hRule="atLeast"/>
                <w:jc w:val="center"/>
              </w:trPr>
              <w:tc>
                <w:tcPr>
                  <w:tcW w:w="3934"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1亿～5亿</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0.05%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0.05%</w:t>
                  </w:r>
                </w:p>
              </w:tc>
              <w:tc>
                <w:tcPr>
                  <w:tcW w:w="898" w:type="dxa"/>
                  <w:noWrap w:val="0"/>
                  <w:tcMar>
                    <w:top w:w="30" w:type="dxa"/>
                    <w:left w:w="150" w:type="dxa"/>
                    <w:bottom w:w="30" w:type="dxa"/>
                    <w:right w:w="150" w:type="dxa"/>
                  </w:tcMar>
                  <w:vAlign w:val="center"/>
                </w:tcPr>
                <w:p>
                  <w:pPr>
                    <w:tabs>
                      <w:tab w:val="left" w:pos="675"/>
                      <w:tab w:val="left" w:pos="2550"/>
                      <w:tab w:val="left" w:pos="4935"/>
                      <w:tab w:val="left" w:pos="6641"/>
                    </w:tabs>
                    <w:adjustRightInd/>
                    <w:spacing w:line="288" w:lineRule="auto"/>
                    <w:jc w:val="left"/>
                    <w:rPr>
                      <w:rFonts w:hint="eastAsia" w:ascii="宋体" w:hAnsi="宋体" w:eastAsia="宋体" w:cs="宋体"/>
                      <w:color w:val="auto"/>
                      <w:sz w:val="21"/>
                      <w:highlight w:val="none"/>
                    </w:rPr>
                  </w:pPr>
                  <w:r>
                    <w:rPr>
                      <w:rFonts w:hint="eastAsia" w:ascii="宋体" w:hAnsi="宋体" w:eastAsia="宋体" w:cs="宋体"/>
                      <w:color w:val="auto"/>
                      <w:sz w:val="21"/>
                      <w:highlight w:val="none"/>
                    </w:rPr>
                    <w:t>0.05%</w:t>
                  </w:r>
                </w:p>
              </w:tc>
            </w:tr>
          </w:tbl>
          <w:p>
            <w:pPr>
              <w:rPr>
                <w:color w:val="auto"/>
                <w:highlight w:val="none"/>
              </w:rPr>
            </w:pPr>
            <w:r>
              <w:rPr>
                <w:color w:val="auto"/>
                <w:highlight w:val="none"/>
              </w:rPr>
              <w:t>5</w:t>
            </w:r>
            <w:r>
              <w:rPr>
                <w:rFonts w:hint="eastAsia"/>
                <w:color w:val="auto"/>
                <w:highlight w:val="none"/>
              </w:rPr>
              <w:t>、采购代理机构财务信息：</w:t>
            </w:r>
          </w:p>
          <w:p>
            <w:pPr>
              <w:rPr>
                <w:color w:val="auto"/>
                <w:highlight w:val="none"/>
              </w:rPr>
            </w:pPr>
            <w:r>
              <w:rPr>
                <w:rFonts w:hint="eastAsia"/>
                <w:color w:val="auto"/>
                <w:highlight w:val="none"/>
              </w:rPr>
              <w:t>开户银行：宁波银行科技支行</w:t>
            </w:r>
          </w:p>
          <w:p>
            <w:pPr>
              <w:rPr>
                <w:color w:val="auto"/>
                <w:highlight w:val="none"/>
              </w:rPr>
            </w:pPr>
            <w:r>
              <w:rPr>
                <w:rFonts w:hint="eastAsia"/>
                <w:color w:val="auto"/>
                <w:highlight w:val="none"/>
                <w:lang w:val="en-US" w:eastAsia="zh-CN"/>
              </w:rPr>
              <w:t>账</w:t>
            </w:r>
            <w:r>
              <w:rPr>
                <w:rFonts w:hint="eastAsia"/>
                <w:color w:val="auto"/>
                <w:highlight w:val="none"/>
              </w:rPr>
              <w:t>号：</w:t>
            </w:r>
            <w:r>
              <w:rPr>
                <w:color w:val="auto"/>
                <w:highlight w:val="none"/>
              </w:rPr>
              <w:t xml:space="preserve"> 31010122000005488</w:t>
            </w:r>
          </w:p>
          <w:p>
            <w:pPr>
              <w:rPr>
                <w:color w:val="auto"/>
                <w:highlight w:val="none"/>
              </w:rPr>
            </w:pPr>
            <w:r>
              <w:rPr>
                <w:rFonts w:hint="eastAsia"/>
                <w:color w:val="auto"/>
                <w:highlight w:val="none"/>
              </w:rPr>
              <w:t>户名：宁波中基国际招标有限公司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2</w:t>
            </w:r>
          </w:p>
        </w:tc>
        <w:tc>
          <w:tcPr>
            <w:tcW w:w="7732" w:type="dxa"/>
            <w:tcBorders>
              <w:top w:val="single" w:color="auto" w:sz="4" w:space="0"/>
              <w:left w:val="single" w:color="auto" w:sz="4" w:space="0"/>
              <w:bottom w:val="single" w:color="auto" w:sz="4" w:space="0"/>
              <w:right w:val="single" w:color="auto" w:sz="4" w:space="0"/>
            </w:tcBorders>
            <w:vAlign w:val="center"/>
          </w:tcPr>
          <w:p>
            <w:p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投标文件组成与份数：</w:t>
            </w:r>
          </w:p>
          <w:p>
            <w:pPr>
              <w:numPr>
                <w:ilvl w:val="0"/>
                <w:numId w:val="6"/>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上传到政府采购云平台的电子投标文件（含资格文件、商务技术文件、报价文件）1份。</w:t>
            </w:r>
          </w:p>
          <w:p>
            <w:pPr>
              <w:numPr>
                <w:ilvl w:val="0"/>
                <w:numId w:val="6"/>
              </w:numPr>
              <w:autoSpaceDE w:val="0"/>
              <w:autoSpaceDN w:val="0"/>
              <w:spacing w:line="288" w:lineRule="auto"/>
              <w:textAlignment w:val="bottom"/>
              <w:rPr>
                <w:rFonts w:ascii="宋体" w:hAnsi="宋体" w:cs="宋体"/>
                <w:color w:val="auto"/>
                <w:szCs w:val="21"/>
                <w:highlight w:val="none"/>
              </w:rPr>
            </w:pPr>
            <w:r>
              <w:rPr>
                <w:rFonts w:hint="eastAsia" w:ascii="宋体" w:hAnsi="宋体" w:cs="宋体"/>
                <w:color w:val="auto"/>
                <w:szCs w:val="21"/>
                <w:highlight w:val="none"/>
              </w:rPr>
              <w:t>以U盘存储的电子备份投标文件（含资格文件、商务技术文件、报价文件）1份。</w:t>
            </w:r>
          </w:p>
          <w:p>
            <w:pPr>
              <w:spacing w:line="300" w:lineRule="exact"/>
              <w:rPr>
                <w:color w:val="auto"/>
                <w:szCs w:val="21"/>
                <w:highlight w:val="none"/>
              </w:rPr>
            </w:pPr>
            <w:r>
              <w:rPr>
                <w:rFonts w:hint="eastAsia" w:ascii="宋体" w:hAnsi="宋体" w:cs="宋体"/>
                <w:color w:val="auto"/>
                <w:szCs w:val="21"/>
                <w:highlight w:val="none"/>
              </w:rPr>
              <w:t>（3）纸质备份投标文件：资格、商务技术文件（正本1份，副本4份）、报价文件（正本1份，副本4份）。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5"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3</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评标结果公示：评标结束后，评标结果公示于</w:t>
            </w:r>
            <w:r>
              <w:rPr>
                <w:rFonts w:hint="eastAsia" w:ascii="宋体" w:hAnsi="宋体" w:cs="宋体"/>
                <w:color w:val="auto"/>
                <w:szCs w:val="21"/>
                <w:highlight w:val="none"/>
              </w:rPr>
              <w:t>浙江政府采购网、</w:t>
            </w:r>
            <w:r>
              <w:rPr>
                <w:rFonts w:hint="eastAsia" w:cs="Arial"/>
                <w:color w:val="auto"/>
                <w:szCs w:val="21"/>
                <w:highlight w:val="none"/>
              </w:rPr>
              <w:t>宁波市政府采购网、宁波中基国际招标有限公司等网站。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4</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签订合同时间：中标通知书发出后</w:t>
            </w:r>
            <w:r>
              <w:rPr>
                <w:color w:val="auto"/>
                <w:szCs w:val="21"/>
                <w:highlight w:val="none"/>
              </w:rPr>
              <w:t>30</w:t>
            </w:r>
            <w:r>
              <w:rPr>
                <w:rFonts w:hint="eastAsia"/>
                <w:color w:val="auto"/>
                <w:szCs w:val="21"/>
                <w:highlight w:val="none"/>
              </w:rPr>
              <w:t>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5</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采购资金来源：预算资金。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6</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投标文件有效期：</w:t>
            </w:r>
            <w:r>
              <w:rPr>
                <w:color w:val="auto"/>
                <w:szCs w:val="21"/>
                <w:highlight w:val="none"/>
              </w:rPr>
              <w:t>90</w:t>
            </w:r>
            <w:r>
              <w:rPr>
                <w:rFonts w:hint="eastAsia"/>
                <w:color w:val="auto"/>
                <w:szCs w:val="21"/>
                <w:highlight w:val="none"/>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81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color w:val="auto"/>
                <w:szCs w:val="21"/>
                <w:highlight w:val="none"/>
              </w:rPr>
            </w:pPr>
            <w:r>
              <w:rPr>
                <w:color w:val="auto"/>
                <w:szCs w:val="21"/>
                <w:highlight w:val="none"/>
              </w:rPr>
              <w:t>7</w:t>
            </w:r>
          </w:p>
        </w:tc>
        <w:tc>
          <w:tcPr>
            <w:tcW w:w="7732" w:type="dxa"/>
            <w:tcBorders>
              <w:top w:val="single" w:color="auto" w:sz="4" w:space="0"/>
              <w:left w:val="single" w:color="auto" w:sz="4" w:space="0"/>
              <w:bottom w:val="single" w:color="auto" w:sz="4" w:space="0"/>
              <w:right w:val="single" w:color="auto" w:sz="4" w:space="0"/>
            </w:tcBorders>
            <w:vAlign w:val="center"/>
          </w:tcPr>
          <w:p>
            <w:pPr>
              <w:spacing w:line="300" w:lineRule="exact"/>
              <w:rPr>
                <w:color w:val="auto"/>
                <w:szCs w:val="21"/>
                <w:highlight w:val="none"/>
              </w:rPr>
            </w:pPr>
            <w:r>
              <w:rPr>
                <w:rFonts w:hint="eastAsia"/>
                <w:color w:val="auto"/>
                <w:szCs w:val="21"/>
                <w:highlight w:val="none"/>
              </w:rPr>
              <w:t>解释：本招标文件的解释权属于招标采购单位。</w:t>
            </w:r>
          </w:p>
        </w:tc>
      </w:tr>
    </w:tbl>
    <w:p>
      <w:pPr>
        <w:spacing w:line="360" w:lineRule="auto"/>
        <w:rPr>
          <w:rFonts w:hint="eastAsia"/>
          <w:b/>
          <w:bCs/>
          <w:color w:val="auto"/>
          <w:szCs w:val="21"/>
          <w:highlight w:val="none"/>
        </w:rPr>
        <w:sectPr>
          <w:pgSz w:w="11906" w:h="16838"/>
          <w:pgMar w:top="1304" w:right="1797" w:bottom="1247" w:left="1797" w:header="851" w:footer="851" w:gutter="0"/>
          <w:pgBorders>
            <w:top w:val="none" w:sz="0" w:space="0"/>
            <w:left w:val="none" w:sz="0" w:space="0"/>
            <w:bottom w:val="none" w:sz="0" w:space="0"/>
            <w:right w:val="none" w:sz="0" w:space="0"/>
          </w:pgBorders>
          <w:cols w:space="720" w:num="1"/>
        </w:sectPr>
      </w:pPr>
    </w:p>
    <w:p>
      <w:pPr>
        <w:spacing w:line="360" w:lineRule="auto"/>
        <w:rPr>
          <w:color w:val="auto"/>
          <w:szCs w:val="21"/>
          <w:highlight w:val="none"/>
        </w:rPr>
      </w:pPr>
      <w:r>
        <w:rPr>
          <w:rFonts w:hint="eastAsia"/>
          <w:b/>
          <w:bCs/>
          <w:color w:val="auto"/>
          <w:szCs w:val="21"/>
          <w:highlight w:val="none"/>
        </w:rPr>
        <w:t>一、总则</w:t>
      </w:r>
    </w:p>
    <w:p>
      <w:pPr>
        <w:spacing w:line="360" w:lineRule="auto"/>
        <w:rPr>
          <w:color w:val="auto"/>
          <w:szCs w:val="21"/>
          <w:highlight w:val="none"/>
        </w:rPr>
      </w:pPr>
      <w:r>
        <w:rPr>
          <w:rFonts w:hint="eastAsia"/>
          <w:color w:val="auto"/>
          <w:szCs w:val="21"/>
          <w:highlight w:val="none"/>
        </w:rPr>
        <w:t>（一）适用范围</w:t>
      </w:r>
    </w:p>
    <w:p>
      <w:pPr>
        <w:spacing w:line="360" w:lineRule="auto"/>
        <w:ind w:firstLine="420" w:firstLineChars="200"/>
        <w:rPr>
          <w:color w:val="auto"/>
          <w:szCs w:val="21"/>
          <w:highlight w:val="none"/>
        </w:rPr>
      </w:pPr>
      <w:r>
        <w:rPr>
          <w:rFonts w:hint="eastAsia"/>
          <w:color w:val="auto"/>
          <w:szCs w:val="21"/>
          <w:highlight w:val="none"/>
        </w:rPr>
        <w:t>本招标文件适用于</w:t>
      </w:r>
      <w:r>
        <w:rPr>
          <w:rFonts w:hint="eastAsia" w:ascii="宋体" w:hAnsi="宋体"/>
          <w:color w:val="auto"/>
          <w:szCs w:val="21"/>
          <w:highlight w:val="none"/>
          <w:lang w:val="en-US" w:eastAsia="zh-CN"/>
        </w:rPr>
        <w:t>本</w:t>
      </w:r>
      <w:r>
        <w:rPr>
          <w:rFonts w:hint="eastAsia" w:ascii="宋体" w:hAnsi="宋体"/>
          <w:color w:val="auto"/>
          <w:szCs w:val="21"/>
          <w:highlight w:val="none"/>
          <w:lang w:eastAsia="zh-CN"/>
        </w:rPr>
        <w:t>项目</w:t>
      </w:r>
      <w:r>
        <w:rPr>
          <w:rFonts w:hint="eastAsia"/>
          <w:color w:val="auto"/>
          <w:szCs w:val="21"/>
          <w:highlight w:val="none"/>
        </w:rPr>
        <w:t>的招标、投标、评标、定标、验收、合同履约、付款等行为（法律、法规另有规定的，从其规定）。</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（二）定义</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1、“招标采购单位”系指组织本次招标的采购代理机构和采购人。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2、“供应商”系指向采购人提交投标文件的单位或个人。</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3、“产品”系指供应商按招标文件规定，须向采购人提供的一切设备、保险、税金、备品备件、工具、手册及其它有关技术资料和材料。</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4、“服务”系指招标文件规定供应商须承担的安装、调试、技术协助、校准、培训、技术指导以及其他类似的义务。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5、“项目”系指供应商按招标文件规定向采购人提供的产品和服务。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6、“书面形式”包括信函、传真、电函等。</w:t>
      </w:r>
    </w:p>
    <w:p>
      <w:pPr>
        <w:widowControl/>
        <w:spacing w:line="360" w:lineRule="auto"/>
        <w:ind w:firstLine="420" w:firstLineChars="200"/>
        <w:jc w:val="left"/>
        <w:rPr>
          <w:rFonts w:ascii="宋体" w:hAnsi="宋体" w:cs="宋体"/>
          <w:b/>
          <w:color w:val="auto"/>
          <w:kern w:val="0"/>
          <w:szCs w:val="21"/>
          <w:highlight w:val="none"/>
        </w:rPr>
      </w:pPr>
      <w:r>
        <w:rPr>
          <w:rFonts w:hint="eastAsia" w:ascii="宋体" w:hAnsi="宋体" w:cs="宋体"/>
          <w:color w:val="auto"/>
          <w:kern w:val="0"/>
          <w:szCs w:val="21"/>
          <w:highlight w:val="none"/>
        </w:rPr>
        <w:t>7、“★”系指实质性要求条款，供应商的投标对任何带“★”号的重要商务和技术条款的偏离和未作实质性响应都将直接导致投标无效。</w:t>
      </w:r>
    </w:p>
    <w:p>
      <w:pPr>
        <w:widowControl/>
        <w:tabs>
          <w:tab w:val="left" w:pos="4907"/>
        </w:tabs>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（三）招标方式</w:t>
      </w:r>
      <w:r>
        <w:rPr>
          <w:rFonts w:hint="eastAsia" w:ascii="宋体" w:hAnsi="宋体" w:cs="宋体"/>
          <w:color w:val="auto"/>
          <w:kern w:val="0"/>
          <w:szCs w:val="21"/>
          <w:highlight w:val="none"/>
        </w:rPr>
        <w:tab/>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本次招标采用公开招标方式进行。</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（四）投标委托</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如供应商派授权代表出席开标会议，授权代表须携带有效身份证件。如供应商代表不是法定代表人，须有法定代表人出具的授权委托书（正本用原件，副本用复印件，格式见第六章）。</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（五）投标费用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不论投标结果如何，供应商均应自行承担所有与投标有关的全部费用（招标文件有其他规定除外）。</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（六）联合体投标</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本项目不接受联合体投标。</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（七）转包与分包</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本项目不允许转包；未经采购人同意，不允许分包。</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（八）特别说明：</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1、提供相同品牌产品且通过资格审查、符合性审查的不同供应商参加同一合同项下投标的，按一家供应商计算。</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若采用综合评分法进行评审的，评审后得分最高的同品牌供应商获得中标人推荐资格；评审得分相同的，由评标委员会按照招标文件规定的方式确定一个供应商获得中标人的推荐资格，招标文件未规定的采取随机抽取的方式确定，其他同品牌供应商不作为中标候选人。</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非单一产品采购项目，供应商使用相同制造产品（相同制造产品是指招标文件中指定的“核心产品”）作为其项目的一部分，按一家供应商认定。</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2、供应商在投标活动中提供任何虚假材料,其投标无效，并报监管部门查处；</w:t>
      </w:r>
      <w:r>
        <w:rPr>
          <w:rFonts w:hint="eastAsia" w:ascii="宋体" w:hAnsi="宋体" w:cs="宋体"/>
          <w:bCs/>
          <w:color w:val="auto"/>
          <w:kern w:val="0"/>
          <w:szCs w:val="20"/>
          <w:highlight w:val="none"/>
        </w:rPr>
        <w:t>中标后发现的,中标人须依照相关规定赔偿采购人，且民事赔偿并不免除违法供应商的行政与刑事责任。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 xml:space="preserve">3、招标文件的澄清与修改 </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（1）采购人或者采购代理机构对招标文件进行必要的澄清或者修改的，澄清或者修改在原公告发布媒体上发布澄清公告。澄清或者修改的内容可能影响投标文件编制的，澄清公告</w:t>
      </w:r>
      <w:r>
        <w:rPr>
          <w:rFonts w:hint="eastAsia" w:ascii="宋体" w:hAnsi="宋体" w:cs="宋体"/>
          <w:color w:val="auto"/>
          <w:szCs w:val="20"/>
          <w:highlight w:val="none"/>
        </w:rPr>
        <w:t>在投标截止时间至少15日前发出；</w:t>
      </w:r>
      <w:r>
        <w:rPr>
          <w:rFonts w:hint="eastAsia" w:ascii="宋体" w:hAnsi="宋体" w:cs="宋体"/>
          <w:bCs/>
          <w:color w:val="auto"/>
          <w:szCs w:val="20"/>
          <w:highlight w:val="none"/>
        </w:rPr>
        <w:t>不足15日的，顺延提交投标文件的截止时间。</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（2）澄清公告为招标文件的组成部分，一经在网站发布，视同已通知所有招标文件的收受人，不再采用其它方式传达相关信息, 若因未能及时了解到上述网站上发布的相关信息而导致的一切后果自行承担。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（3）招标文件澄清、答复、修改、补充的内容为招标文件的组成部分。当招标文件与招标文件的答复、澄清、修改、补充通知就同一内容的表述不一致时，以最后发出的澄清公告为准。</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（4）招标文件的澄清、答复、修改或补充都应该通过本代理机构以法定形式发布，采购人非通过本机构，不得擅自澄清、答复、修改或补充招标文件。</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4、关于分公司投标</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除银行、保险、石油石化、电力、电信、移动、联通等行业外，分公司投标的，需提供具有法人资格的总公司的营业执照及授权书，授权书须加盖总公司公章。总公司可就本项目或此类项目在一定范围或时间内出具授权书。已由总公司授权的，总公司取得的相关资质证书对分公司有效。</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5、关于知识产权</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必须保证，采购人在中华人民共和国境内使用投标货物、资料、技术、服务或其任何一部分时，享有不受限制的无偿使用权，如有第三方向采购人提出侵犯其专利权、商标权或其它知识产权的主张，该责任应由供应商承担。</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（2）投标报价应包含所有应向所有权人支付的专利权、商标权或其它知识产权的一切相关费用。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（3）系统软件、通用软件必须是具有在中国境内的合法使用权或版权的正版软件，涉及到第三方提出侵权或知识产权的起诉及支付版税等费用由供应商承担所有责任及费用。</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6、供应商的风险</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（1）供应商应详细阅读招标文件中的全部内容和要求，按照招标文件的要求提交投标文件，没有按照招标文件要求提供投标文件和资料导致的风险由供应商承担,并对所提供的全部资料的真实性承担法律责任。</w:t>
      </w:r>
    </w:p>
    <w:p>
      <w:pPr>
        <w:widowControl/>
        <w:snapToGrid w:val="0"/>
        <w:spacing w:line="360" w:lineRule="auto"/>
        <w:ind w:left="2" w:leftChars="1" w:firstLine="420" w:firstLineChars="200"/>
        <w:jc w:val="left"/>
        <w:rPr>
          <w:rFonts w:ascii="宋体" w:hAnsi="宋体" w:cs="宋体"/>
          <w:bCs/>
          <w:color w:val="auto"/>
          <w:szCs w:val="20"/>
          <w:highlight w:val="none"/>
        </w:rPr>
      </w:pPr>
      <w:r>
        <w:rPr>
          <w:rFonts w:hint="eastAsia" w:ascii="宋体" w:hAnsi="宋体" w:cs="宋体"/>
          <w:bCs/>
          <w:color w:val="auto"/>
          <w:szCs w:val="20"/>
          <w:highlight w:val="none"/>
        </w:rPr>
        <w:t>（2）无论因何种原因导致本次采购活动终止致供应商损失的，相关责任人均不承担任何责任。</w:t>
      </w:r>
    </w:p>
    <w:p>
      <w:pPr>
        <w:widowControl/>
        <w:snapToGrid w:val="0"/>
        <w:spacing w:line="360" w:lineRule="auto"/>
        <w:ind w:left="2" w:leftChars="1" w:firstLine="420" w:firstLineChars="200"/>
        <w:jc w:val="left"/>
        <w:rPr>
          <w:rFonts w:ascii="宋体" w:hAnsi="宋体" w:cs="宋体"/>
          <w:b/>
          <w:color w:val="auto"/>
          <w:szCs w:val="20"/>
          <w:highlight w:val="none"/>
        </w:rPr>
      </w:pPr>
      <w:r>
        <w:rPr>
          <w:rFonts w:hint="eastAsia" w:ascii="宋体" w:hAnsi="宋体" w:cs="宋体"/>
          <w:bCs/>
          <w:color w:val="auto"/>
          <w:szCs w:val="20"/>
          <w:highlight w:val="none"/>
        </w:rPr>
        <w:t>7、解释：本招标文件的解释权属于采购人。</w:t>
      </w:r>
    </w:p>
    <w:p>
      <w:pPr>
        <w:widowControl/>
        <w:spacing w:line="360" w:lineRule="auto"/>
        <w:jc w:val="left"/>
        <w:rPr>
          <w:rFonts w:ascii="宋体" w:hAnsi="宋体" w:cs="宋体"/>
          <w:color w:val="auto"/>
          <w:kern w:val="0"/>
          <w:szCs w:val="21"/>
          <w:highlight w:val="none"/>
        </w:rPr>
      </w:pPr>
      <w:bookmarkStart w:id="75" w:name="_Toc13650"/>
      <w:r>
        <w:rPr>
          <w:rFonts w:hint="eastAsia" w:ascii="宋体" w:hAnsi="宋体" w:cs="宋体"/>
          <w:color w:val="auto"/>
          <w:kern w:val="0"/>
          <w:szCs w:val="21"/>
          <w:highlight w:val="none"/>
        </w:rPr>
        <w:t>（九）质疑和投诉</w:t>
      </w:r>
      <w:bookmarkEnd w:id="75"/>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供应商认为招标文件、采购过程、中标或者成交结果使自己的权益受到损害的，须在应知其利益受损之日起七个工作日内以书面形式向采购人、采购代理机构提出质疑。供应商应当在法定质疑期内一次性提出针对同一采购程序环节的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提出质疑的供应商应当是参与所质疑项目采购活动的供应商。未依法获取招标文件的，不得就招标文件提出质疑；未提交投标文件的供应商，视为与采购结果没有利害关系，不得就采购响应截止时间后的采购过程、采购结果提出质疑。</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3、供应商提出质疑应当提交质疑函和必要的证明材料，质疑函应当面以书面形式提出，质疑函格式和内容须符合财政部《质疑函范本》要求，供应商可到浙江政府采购网下载专区下载。</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4、接收书面质疑函的方式：质疑人可通过送达、邮寄、传真的形式提交书面质疑函，通过邮寄方式提交的书面质疑函以被质疑人签收邮件之日为收到书面质疑文件之日，通过传真方式提交的书面质疑函以被质疑人收到书面质疑文件原件之日为收到书面质疑文件之日。采购人和采购代理机构接收质疑函的联系方式：见本招标文件第一章有关联系方式。</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5、供应商对采购人或采购代理机构的质疑答复不满意或者采购人或采购代理机构未在规定时间内作出答复的，可以在答复期满后十五个工作日内向同级采购监管部门投诉。投诉书范本请到浙江政府采购网下载专区下载。</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二、招标文件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（一）招标文件的构成。本招标文件由以下部分组成：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1、公开招标公告</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2、采购需求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4、评标办法及评分标准</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5、政府采购合同主要条款</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6、投标文件格式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7、本项目招标文件的澄清、答复、修改、补充的内容</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（二）供应商的风险</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供应商没有按照招标文件要求提供全部资料，或者供应商没有对招标文件在各方面作出实质性响应是供应商的风险，并可能导致其投标被拒绝。</w:t>
      </w: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三、投标文件的编制</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（一）投标文件的组成</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投标文件由资格文件、商务技术文件和报价文件三部分组成。</w:t>
      </w:r>
      <w:r>
        <w:rPr>
          <w:rFonts w:hint="eastAsia" w:ascii="宋体" w:hAnsi="宋体" w:cs="宋体"/>
          <w:b/>
          <w:bCs/>
          <w:color w:val="auto"/>
          <w:kern w:val="0"/>
          <w:szCs w:val="21"/>
          <w:highlight w:val="none"/>
        </w:rPr>
        <w:t>（纸质备份投标文件：</w:t>
      </w:r>
      <w:r>
        <w:rPr>
          <w:rFonts w:hint="eastAsia" w:ascii="宋体" w:hAnsi="宋体" w:cs="宋体"/>
          <w:b/>
          <w:bCs/>
          <w:color w:val="auto"/>
          <w:kern w:val="0"/>
          <w:szCs w:val="20"/>
          <w:highlight w:val="none"/>
        </w:rPr>
        <w:t>资格文件、商务技术文件二部分可一起装订成册，报价文件须单独装订成册）</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1、资格文件：</w:t>
      </w:r>
    </w:p>
    <w:p>
      <w:pPr>
        <w:widowControl/>
        <w:numPr>
          <w:ilvl w:val="0"/>
          <w:numId w:val="7"/>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7"/>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7"/>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（4）招标文件</w:t>
      </w:r>
      <w:r>
        <w:rPr>
          <w:rFonts w:hint="eastAsia" w:ascii="宋体" w:hAnsi="宋体" w:cs="宋体"/>
          <w:color w:val="auto"/>
          <w:kern w:val="0"/>
          <w:szCs w:val="21"/>
          <w:highlight w:val="none"/>
        </w:rPr>
        <w:t>要求的其他资格条件证明材料（如有）；</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2、商务技术文件</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供应商认为有需要提供的其它证明资料。</w:t>
      </w:r>
    </w:p>
    <w:p>
      <w:pPr>
        <w:snapToGrid w:val="0"/>
        <w:spacing w:line="360" w:lineRule="auto"/>
        <w:ind w:left="210" w:leftChars="1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3、报价文件：</w:t>
      </w:r>
    </w:p>
    <w:p>
      <w:pPr>
        <w:widowControl/>
        <w:numPr>
          <w:ilvl w:val="0"/>
          <w:numId w:val="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开标一览表（格式见附件）；</w:t>
      </w:r>
    </w:p>
    <w:p>
      <w:pPr>
        <w:widowControl/>
        <w:numPr>
          <w:ilvl w:val="0"/>
          <w:numId w:val="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投标报价明细表（格式见附件）；</w:t>
      </w:r>
    </w:p>
    <w:p>
      <w:pPr>
        <w:widowControl/>
        <w:numPr>
          <w:ilvl w:val="0"/>
          <w:numId w:val="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中小企业声明函（如有，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残疾人福利性单位声明函（如有）（</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供应商针对报价需要说明的其他文件和说明（</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spacing w:line="360" w:lineRule="auto"/>
        <w:ind w:firstLine="422" w:firstLineChars="20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 注：法定代表人授权委托书必须由法定代表人签署（签名或印章）并加盖单位公章；供应商资格声明函、投标函、开标一览表必须由法定代表人或授权代表签署（签名或印章）并加盖单位公章。</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（二）投标文件的语言及计量</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★1、投标文件以及供应商与采购人就有关投标事宜的所有来往函电，均应以中文汉语书写。除签名、盖章、专用名称等特殊情形外，以中文汉语以外的文字表述的投标文件视同未提供。</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★2、投标计量单位，招标文件已有明确规定的，使用招标文件规定的计量单位；招标文件没有规定的，应采用中华人民共和国法定计量单位（货币单位：人民币元），否则视同未响应。</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（三）投标报价</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1、投标报价应按招标文件中相关附表格式填写。</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★2、投标报价是履行合同的最终价格，具体详见第三章 供应商须知。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★3、投标文件只允许有一个报价，有选择的或有条件的报价将不予接受。</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（四）投标文件的有效期</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★1、自投标截止日起90 天投标文件应保持有效。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2、在特殊情况下，采购人可与供应商协商延长投标书的有效期，这种要求和答复均以书面形式进行。</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3、供应商同意延长有效期的，不能修改投标文件。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4、中标人的投标文件自开标之日起至合同履行完毕止均应保持有效。</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（五）投标文件的签署和份数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供应商应按本招标文件规定的格式和顺序编制、装订投标文件</w:t>
      </w:r>
      <w:r>
        <w:rPr>
          <w:rFonts w:hint="eastAsia" w:ascii="宋体" w:hAnsi="宋体" w:cs="宋体"/>
          <w:color w:val="auto"/>
          <w:kern w:val="0"/>
          <w:szCs w:val="21"/>
          <w:highlight w:val="none"/>
        </w:rPr>
        <w:t>，投标文件要求有目录并标注页码</w:t>
      </w:r>
      <w:r>
        <w:rPr>
          <w:rFonts w:hint="eastAsia" w:ascii="宋体" w:hAnsi="宋体" w:cs="宋体"/>
          <w:color w:val="auto"/>
          <w:kern w:val="0"/>
          <w:szCs w:val="20"/>
          <w:highlight w:val="none"/>
        </w:rPr>
        <w:t>，投标文件内容不完整、编排混乱导致投标文件被误读、漏读或者查找不到相关内容的，是供应商的责任。</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2、投标文件的份数：</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本项目实行网上投标，供应商应准备以下投标文件：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（1）上传到政府采购云平台的电子投标文件（含资格文件、商务技术文件、报价文件）1份。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（2）以U盘存储的电子备份投标文件（含资格文件、商务技术文件、报价文件）1份。</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（3）纸质备份投标文件：资格、商务技术文件（正本1份，副本4份）、报价文件（正本1份，副本4份）。 </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3、电子投标文件：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3.1供应商应根据</w:t>
      </w:r>
      <w:r>
        <w:rPr>
          <w:rFonts w:hint="eastAsia" w:ascii="宋体" w:hAnsi="宋体" w:cs="宋体"/>
          <w:color w:val="auto"/>
          <w:kern w:val="0"/>
          <w:szCs w:val="21"/>
          <w:highlight w:val="none"/>
        </w:rPr>
        <w:t>政府采购云平台的要求</w:t>
      </w:r>
      <w:r>
        <w:rPr>
          <w:rFonts w:hint="eastAsia" w:ascii="宋体" w:hAnsi="宋体" w:cs="宋体"/>
          <w:color w:val="auto"/>
          <w:kern w:val="0"/>
          <w:szCs w:val="20"/>
          <w:highlight w:val="none"/>
        </w:rPr>
        <w:t>及本招标文件规定的格式和顺序编制电子投标文件并进行关联定位。</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4、纸质备份投标文件：</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4.1投标文件应按招标文件要求由资格文件、商务技术文件和报价文件三部分组成。资格文件、商务技术文件二部分可一起装订成册，报价文件须单独装订成册。投标文件的封面应注明“正本”、“副本”字样。</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4.2若有多个标项，资格文件、商务技术文件二部分可装订成一册，报价文件应按标项分别装订、密封、包装，未按规定装订、密封、包装的投标文件将被拒绝。</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4.3投标文件的正本需打印或用不褪色的墨水填写，投标文件正本除本《供应商须知》中规定的可提供复印件外均须提供原件。副本可以为正本的复印件，投标文件正、副本内容不一致的，以正本为准。</w:t>
      </w:r>
    </w:p>
    <w:p>
      <w:pPr>
        <w:widowControl/>
        <w:spacing w:line="360" w:lineRule="auto"/>
        <w:ind w:firstLine="525" w:firstLineChars="250"/>
        <w:jc w:val="left"/>
        <w:rPr>
          <w:rFonts w:ascii="宋体" w:hAnsi="宋体" w:cs="宋体"/>
          <w:color w:val="auto"/>
          <w:kern w:val="0"/>
          <w:szCs w:val="20"/>
          <w:highlight w:val="none"/>
        </w:rPr>
      </w:pPr>
      <w:r>
        <w:rPr>
          <w:rFonts w:hint="eastAsia" w:ascii="宋体" w:hAnsi="宋体" w:cs="宋体"/>
          <w:color w:val="auto"/>
          <w:kern w:val="0"/>
          <w:szCs w:val="20"/>
          <w:highlight w:val="none"/>
        </w:rPr>
        <w:t>4.4投标文件不得涂改，若有修改错漏处，须加盖单位公章或者法定代表人或授权委托人签名或盖章。投标文件因字迹潦草或表达不清所引起的后果由供应商负责。</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0"/>
          <w:highlight w:val="none"/>
        </w:rPr>
        <w:t>4.5投标文件须由供应商在规定位置盖章并由法定代表人或法定代表人的授权委托人签署</w:t>
      </w:r>
      <w:r>
        <w:rPr>
          <w:rFonts w:hint="eastAsia" w:ascii="宋体" w:hAnsi="宋体" w:cs="宋体"/>
          <w:color w:val="auto"/>
          <w:szCs w:val="22"/>
          <w:highlight w:val="none"/>
        </w:rPr>
        <w:t>（签名或盖章）</w:t>
      </w:r>
      <w:r>
        <w:rPr>
          <w:rFonts w:hint="eastAsia" w:ascii="宋体" w:hAnsi="宋体" w:cs="宋体"/>
          <w:color w:val="auto"/>
          <w:kern w:val="0"/>
          <w:szCs w:val="20"/>
          <w:highlight w:val="none"/>
        </w:rPr>
        <w:t>，供应商应写全称。</w:t>
      </w:r>
    </w:p>
    <w:p>
      <w:pPr>
        <w:widowControl/>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（六）投标文件的包装、递交、修改和撤回</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1、以U盘存储的电子备份投标文件用封袋密封后递交。</w:t>
      </w:r>
    </w:p>
    <w:p>
      <w:pPr>
        <w:widowControl/>
        <w:snapToGrid w:val="0"/>
        <w:spacing w:line="360" w:lineRule="auto"/>
        <w:ind w:firstLine="420"/>
        <w:jc w:val="left"/>
        <w:rPr>
          <w:rFonts w:ascii="宋体" w:hAnsi="宋体" w:cs="宋体"/>
          <w:bCs/>
          <w:color w:val="auto"/>
          <w:kern w:val="0"/>
          <w:szCs w:val="21"/>
          <w:highlight w:val="none"/>
        </w:rPr>
      </w:pPr>
      <w:r>
        <w:rPr>
          <w:rFonts w:hint="eastAsia" w:ascii="宋体" w:hAnsi="宋体" w:cs="宋体"/>
          <w:color w:val="auto"/>
          <w:kern w:val="0"/>
          <w:szCs w:val="21"/>
          <w:highlight w:val="none"/>
        </w:rPr>
        <w:t>2、纸质备份投标文件</w:t>
      </w:r>
      <w:r>
        <w:rPr>
          <w:rFonts w:hint="eastAsia" w:ascii="宋体" w:hAnsi="宋体" w:cs="宋体"/>
          <w:bCs/>
          <w:color w:val="auto"/>
          <w:kern w:val="0"/>
          <w:szCs w:val="21"/>
          <w:highlight w:val="none"/>
        </w:rPr>
        <w:t>，要求分别按</w:t>
      </w:r>
      <w:r>
        <w:rPr>
          <w:rFonts w:hint="eastAsia" w:ascii="宋体" w:hAnsi="宋体" w:cs="宋体"/>
          <w:color w:val="auto"/>
          <w:kern w:val="0"/>
          <w:szCs w:val="21"/>
          <w:highlight w:val="none"/>
        </w:rPr>
        <w:t>资格、商务技术文件和报价文件二部分</w:t>
      </w:r>
      <w:r>
        <w:rPr>
          <w:rFonts w:hint="eastAsia" w:ascii="宋体" w:hAnsi="宋体" w:cs="宋体"/>
          <w:bCs/>
          <w:color w:val="auto"/>
          <w:kern w:val="0"/>
          <w:szCs w:val="21"/>
          <w:highlight w:val="none"/>
        </w:rPr>
        <w:t>分开包装。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bCs/>
          <w:color w:val="auto"/>
          <w:kern w:val="0"/>
          <w:szCs w:val="21"/>
          <w:highlight w:val="none"/>
        </w:rPr>
        <w:t>3、</w:t>
      </w:r>
      <w:r>
        <w:rPr>
          <w:rFonts w:hint="eastAsia" w:ascii="宋体" w:hAnsi="宋体" w:cs="宋体"/>
          <w:color w:val="auto"/>
          <w:kern w:val="0"/>
          <w:szCs w:val="21"/>
          <w:highlight w:val="none"/>
        </w:rPr>
        <w:t>投标文件的包装封面上应注明供应商名称、供应商地址、投标文件名称(电子备份投标文件/资格文件/商务技术文件/报价文件/资格、商务技术文件)、投标项目名称、项目编号、标项号，并加盖供应商公章。</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4、未按规定密封或标记的投标文件将被拒绝，由此造成投标文件被误投或提前拆封的风险由供应商承担。</w:t>
      </w:r>
    </w:p>
    <w:p>
      <w:pPr>
        <w:widowControl/>
        <w:snapToGrid w:val="0"/>
        <w:spacing w:line="360" w:lineRule="auto"/>
        <w:ind w:firstLine="42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在投标截止时间之前，可以对已提交的电子备份投标文件和纸质备份投标文件进行修改或撤回，并书面通知招标采购单位；投标截止时间后，供应商不得撤回、修改投标文件。修改后重新递交的电子备份投标文件和纸质备份投标文件应当按本招标文件的要求签署、盖章和密封。</w:t>
      </w:r>
    </w:p>
    <w:p>
      <w:pPr>
        <w:pStyle w:val="8"/>
        <w:numPr>
          <w:ilvl w:val="0"/>
          <w:numId w:val="0"/>
        </w:numPr>
        <w:tabs>
          <w:tab w:val="left" w:pos="720"/>
        </w:tabs>
        <w:adjustRightInd/>
        <w:spacing w:line="348" w:lineRule="auto"/>
        <w:ind w:firstLine="420" w:firstLineChars="200"/>
        <w:textAlignment w:val="baseline"/>
        <w:rPr>
          <w:rFonts w:hint="eastAsia" w:ascii="宋体" w:hAnsi="宋体" w:cs="宋体"/>
          <w:color w:val="auto"/>
          <w:kern w:val="0"/>
          <w:szCs w:val="21"/>
          <w:highlight w:val="none"/>
        </w:rPr>
      </w:pPr>
      <w:r>
        <w:rPr>
          <w:rFonts w:hint="eastAsia" w:ascii="宋体" w:hAnsi="宋体" w:cs="宋体"/>
          <w:color w:val="auto"/>
          <w:kern w:val="0"/>
          <w:szCs w:val="21"/>
          <w:highlight w:val="none"/>
        </w:rPr>
        <w:t>6、供应商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pStyle w:val="8"/>
        <w:numPr>
          <w:ilvl w:val="0"/>
          <w:numId w:val="0"/>
        </w:numPr>
        <w:tabs>
          <w:tab w:val="left" w:pos="720"/>
        </w:tabs>
        <w:adjustRightInd/>
        <w:spacing w:line="348" w:lineRule="auto"/>
        <w:ind w:firstLine="420" w:firstLineChars="200"/>
        <w:textAlignment w:val="baseline"/>
        <w:rPr>
          <w:rFonts w:ascii="宋体" w:hAnsi="宋体" w:eastAsia="宋体" w:cs="宋体"/>
          <w:b/>
          <w:color w:val="auto"/>
          <w:kern w:val="0"/>
          <w:sz w:val="21"/>
          <w:szCs w:val="21"/>
          <w:highlight w:val="none"/>
        </w:rPr>
      </w:pPr>
      <w:r>
        <w:rPr>
          <w:rFonts w:hint="eastAsia" w:ascii="宋体" w:hAnsi="宋体" w:eastAsia="宋体" w:cs="宋体"/>
          <w:b w:val="0"/>
          <w:bCs/>
          <w:color w:val="auto"/>
          <w:kern w:val="0"/>
          <w:sz w:val="21"/>
          <w:szCs w:val="21"/>
          <w:highlight w:val="none"/>
        </w:rPr>
        <w:t>（七）投标文件的形式和效力</w:t>
      </w:r>
    </w:p>
    <w:p>
      <w:pPr>
        <w:adjustRightInd/>
        <w:snapToGrid w:val="0"/>
        <w:spacing w:line="360" w:lineRule="auto"/>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1、投标文件分为：“电子投标文件”、“电子备份投标文件”、“</w:t>
      </w:r>
      <w:r>
        <w:rPr>
          <w:rFonts w:hint="eastAsia" w:ascii="宋体" w:hAnsi="宋体" w:eastAsia="宋体" w:cs="宋体"/>
          <w:color w:val="auto"/>
          <w:kern w:val="2"/>
          <w:sz w:val="21"/>
          <w:szCs w:val="24"/>
          <w:highlight w:val="none"/>
        </w:rPr>
        <w:t>纸质备份投标文件</w:t>
      </w:r>
      <w:r>
        <w:rPr>
          <w:rFonts w:hint="eastAsia" w:ascii="宋体" w:hAnsi="宋体" w:eastAsia="宋体" w:cs="宋体"/>
          <w:color w:val="auto"/>
          <w:kern w:val="0"/>
          <w:sz w:val="21"/>
          <w:szCs w:val="21"/>
          <w:highlight w:val="none"/>
        </w:rPr>
        <w:t>”。</w:t>
      </w:r>
    </w:p>
    <w:p>
      <w:pPr>
        <w:adjustRightInd/>
        <w:snapToGrid w:val="0"/>
        <w:spacing w:line="360" w:lineRule="auto"/>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2、“电子投标文件”是指通过“政采云电子交易客户端”完成投标文件编制后生成并加密的数据电文形式的投标文件（文件后缀为：jmbs）。</w:t>
      </w:r>
    </w:p>
    <w:p>
      <w:pPr>
        <w:adjustRightInd/>
        <w:snapToGrid w:val="0"/>
        <w:spacing w:line="360" w:lineRule="auto"/>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3、“电子备份投标文件”是指与“电子投标文件”同时生成的数据电文形式的电子文件文件后缀为：bfbs（备份标书），其他方式编制的备份投标文件视为无效备份投标文件。</w:t>
      </w:r>
    </w:p>
    <w:p>
      <w:pPr>
        <w:adjustRightInd/>
        <w:snapToGrid w:val="0"/>
        <w:spacing w:line="360" w:lineRule="auto"/>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4、“</w:t>
      </w:r>
      <w:r>
        <w:rPr>
          <w:rFonts w:hint="eastAsia" w:ascii="宋体" w:hAnsi="宋体" w:eastAsia="宋体" w:cs="宋体"/>
          <w:color w:val="auto"/>
          <w:kern w:val="2"/>
          <w:sz w:val="21"/>
          <w:szCs w:val="24"/>
          <w:highlight w:val="none"/>
        </w:rPr>
        <w:t>纸质备份投标文件”</w:t>
      </w:r>
      <w:r>
        <w:rPr>
          <w:rFonts w:hint="eastAsia" w:ascii="宋体" w:hAnsi="宋体" w:eastAsia="宋体" w:cs="宋体"/>
          <w:color w:val="auto"/>
          <w:kern w:val="0"/>
          <w:sz w:val="21"/>
          <w:szCs w:val="21"/>
          <w:highlight w:val="none"/>
        </w:rPr>
        <w:t>是指</w:t>
      </w:r>
      <w:r>
        <w:rPr>
          <w:rFonts w:hint="eastAsia" w:ascii="宋体" w:hAnsi="宋体" w:eastAsia="宋体" w:cs="宋体"/>
          <w:color w:val="auto"/>
          <w:kern w:val="2"/>
          <w:sz w:val="21"/>
          <w:szCs w:val="24"/>
          <w:highlight w:val="none"/>
        </w:rPr>
        <w:t>按招标文件要求编制的纸质投标文件。</w:t>
      </w:r>
    </w:p>
    <w:p>
      <w:pPr>
        <w:adjustRightInd/>
        <w:snapToGrid w:val="0"/>
        <w:spacing w:line="360" w:lineRule="auto"/>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5、投标文件的效力：投标文件的启用，按先后顺位分别为“电子投标文件”、“电子备份投标文件”、“</w:t>
      </w:r>
      <w:r>
        <w:rPr>
          <w:rFonts w:hint="eastAsia" w:ascii="宋体" w:hAnsi="宋体" w:eastAsia="宋体" w:cs="宋体"/>
          <w:color w:val="auto"/>
          <w:kern w:val="2"/>
          <w:sz w:val="21"/>
          <w:szCs w:val="24"/>
          <w:highlight w:val="none"/>
        </w:rPr>
        <w:t>纸质备份投标文件”</w:t>
      </w:r>
      <w:r>
        <w:rPr>
          <w:rFonts w:hint="eastAsia" w:ascii="宋体" w:hAnsi="宋体" w:eastAsia="宋体" w:cs="宋体"/>
          <w:color w:val="auto"/>
          <w:kern w:val="0"/>
          <w:sz w:val="21"/>
          <w:szCs w:val="21"/>
          <w:highlight w:val="none"/>
        </w:rPr>
        <w:t>。</w:t>
      </w:r>
    </w:p>
    <w:p>
      <w:pPr>
        <w:adjustRightInd/>
        <w:snapToGrid w:val="0"/>
        <w:spacing w:line="360" w:lineRule="auto"/>
        <w:ind w:firstLine="420"/>
        <w:jc w:val="left"/>
        <w:textAlignment w:val="auto"/>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在“电子备份投标文件”启用时，“电子投标文件”自动失效。“电子投标文件”在规定解密时间内无法解密时，供应商若在投标截止时间之前递交了“电子备份投标文件”的，由采购代理机构上传“电子备份投标文件”进行异常处理，并对“电子备份投标文件”进行解密，未在投标截止时间之前递交“电子备份投标文件”的视为放弃投标。其余供应商通过“政府采购云平台”上传递交的已按时解密的“电子投标文件”继续有效，其“电子备份投标文件”自动失效。</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eastAsia="宋体" w:cs="宋体"/>
          <w:color w:val="auto"/>
          <w:kern w:val="0"/>
          <w:sz w:val="21"/>
          <w:szCs w:val="21"/>
          <w:highlight w:val="none"/>
        </w:rPr>
        <w:t>在“</w:t>
      </w:r>
      <w:r>
        <w:rPr>
          <w:rFonts w:hint="eastAsia" w:ascii="宋体" w:hAnsi="宋体" w:eastAsia="宋体" w:cs="宋体"/>
          <w:color w:val="auto"/>
          <w:kern w:val="2"/>
          <w:sz w:val="21"/>
          <w:szCs w:val="24"/>
          <w:highlight w:val="none"/>
        </w:rPr>
        <w:t>纸质备份投标文件</w:t>
      </w:r>
      <w:r>
        <w:rPr>
          <w:rFonts w:hint="eastAsia" w:ascii="宋体" w:hAnsi="宋体" w:eastAsia="宋体" w:cs="宋体"/>
          <w:color w:val="auto"/>
          <w:kern w:val="0"/>
          <w:sz w:val="21"/>
          <w:szCs w:val="21"/>
          <w:highlight w:val="none"/>
        </w:rPr>
        <w:t>”启用时，“电子投标文件”、“电子备份投标文件”自动失效。“电子投标文件”、“电子备份投标文件”在规定解密时间内无法解密时，供应商若在投标截止时间之前递交了“</w:t>
      </w:r>
      <w:r>
        <w:rPr>
          <w:rFonts w:hint="eastAsia" w:ascii="宋体" w:hAnsi="宋体" w:eastAsia="宋体" w:cs="宋体"/>
          <w:color w:val="auto"/>
          <w:kern w:val="2"/>
          <w:sz w:val="21"/>
          <w:szCs w:val="24"/>
          <w:highlight w:val="none"/>
        </w:rPr>
        <w:t>纸质备份投标文件</w:t>
      </w:r>
      <w:r>
        <w:rPr>
          <w:rFonts w:hint="eastAsia" w:ascii="宋体" w:hAnsi="宋体" w:eastAsia="宋体" w:cs="宋体"/>
          <w:color w:val="auto"/>
          <w:kern w:val="0"/>
          <w:sz w:val="21"/>
          <w:szCs w:val="21"/>
          <w:highlight w:val="none"/>
        </w:rPr>
        <w:t>”的，由采购代理机构采用线下开标程序，未在投标截止时间之前递交“</w:t>
      </w:r>
      <w:r>
        <w:rPr>
          <w:rFonts w:hint="eastAsia" w:ascii="宋体" w:hAnsi="宋体" w:eastAsia="宋体" w:cs="宋体"/>
          <w:color w:val="auto"/>
          <w:kern w:val="2"/>
          <w:sz w:val="21"/>
          <w:szCs w:val="24"/>
          <w:highlight w:val="none"/>
        </w:rPr>
        <w:t>纸质备份投标文件</w:t>
      </w:r>
      <w:r>
        <w:rPr>
          <w:rFonts w:hint="eastAsia" w:ascii="宋体" w:hAnsi="宋体" w:eastAsia="宋体" w:cs="宋体"/>
          <w:color w:val="auto"/>
          <w:kern w:val="0"/>
          <w:sz w:val="21"/>
          <w:szCs w:val="21"/>
          <w:highlight w:val="none"/>
        </w:rPr>
        <w:t>”的视为放弃投标。所有供应商通过“政府采购云平台”上传递交的已按时解密的“电子投标文件”自动失效。</w:t>
      </w:r>
    </w:p>
    <w:p>
      <w:pPr>
        <w:spacing w:line="336" w:lineRule="auto"/>
        <w:ind w:left="211" w:hanging="211" w:hangingChars="100"/>
        <w:rPr>
          <w:rFonts w:ascii="宋体" w:hAnsi="宋体" w:cs="宋体"/>
          <w:b/>
          <w:color w:val="auto"/>
          <w:szCs w:val="21"/>
          <w:highlight w:val="none"/>
        </w:rPr>
      </w:pPr>
      <w:r>
        <w:rPr>
          <w:rFonts w:hint="eastAsia" w:ascii="宋体" w:hAnsi="宋体" w:cs="宋体"/>
          <w:b/>
          <w:color w:val="auto"/>
          <w:szCs w:val="21"/>
          <w:highlight w:val="none"/>
        </w:rPr>
        <w:t>四、特别说明</w:t>
      </w:r>
    </w:p>
    <w:p>
      <w:pPr>
        <w:spacing w:line="336" w:lineRule="auto"/>
        <w:ind w:firstLine="420"/>
        <w:jc w:val="left"/>
        <w:rPr>
          <w:rFonts w:ascii="宋体" w:hAnsi="宋体" w:cs="宋体"/>
          <w:color w:val="auto"/>
          <w:szCs w:val="21"/>
          <w:highlight w:val="none"/>
          <w:lang w:bidi="ar"/>
        </w:rPr>
      </w:pPr>
      <w:r>
        <w:rPr>
          <w:rFonts w:hint="eastAsia" w:ascii="宋体" w:hAnsi="宋体" w:cs="宋体"/>
          <w:color w:val="auto"/>
          <w:szCs w:val="21"/>
          <w:highlight w:val="none"/>
          <w:lang w:bidi="ar"/>
        </w:rPr>
        <w:t>1、本项目</w:t>
      </w:r>
      <w:r>
        <w:rPr>
          <w:rFonts w:hint="eastAsia" w:ascii="宋体" w:hAnsi="宋体" w:cs="宋体"/>
          <w:color w:val="auto"/>
          <w:szCs w:val="21"/>
          <w:highlight w:val="none"/>
          <w:u w:val="single"/>
          <w:lang w:bidi="ar"/>
        </w:rPr>
        <w:t xml:space="preserve"> 非 </w:t>
      </w:r>
      <w:r>
        <w:rPr>
          <w:rFonts w:hint="eastAsia" w:ascii="宋体" w:hAnsi="宋体" w:cs="宋体"/>
          <w:color w:val="auto"/>
          <w:szCs w:val="21"/>
          <w:highlight w:val="none"/>
          <w:lang w:bidi="ar"/>
        </w:rPr>
        <w:t>专门面向中小企业采购。</w:t>
      </w:r>
    </w:p>
    <w:p>
      <w:pPr>
        <w:spacing w:line="336" w:lineRule="auto"/>
        <w:ind w:firstLine="420"/>
        <w:jc w:val="left"/>
        <w:rPr>
          <w:rFonts w:ascii="宋体" w:hAnsi="宋体" w:cs="宋体"/>
          <w:color w:val="auto"/>
          <w:szCs w:val="21"/>
          <w:highlight w:val="none"/>
          <w:lang w:bidi="ar"/>
        </w:rPr>
      </w:pPr>
      <w:r>
        <w:rPr>
          <w:rFonts w:hint="eastAsia" w:ascii="宋体" w:hAnsi="宋体" w:cs="宋体"/>
          <w:color w:val="auto"/>
          <w:szCs w:val="21"/>
          <w:highlight w:val="none"/>
          <w:lang w:bidi="ar"/>
        </w:rPr>
        <w:t>2、本项目对应的中小企业划分标准所属行业：</w:t>
      </w:r>
      <w:r>
        <w:rPr>
          <w:rFonts w:hint="eastAsia" w:ascii="宋体" w:hAnsi="宋体" w:cs="宋体"/>
          <w:b/>
          <w:bCs/>
          <w:color w:val="auto"/>
          <w:szCs w:val="21"/>
          <w:highlight w:val="none"/>
          <w:u w:val="single"/>
          <w:lang w:bidi="ar"/>
        </w:rPr>
        <w:t>软件和信息技术服务业</w:t>
      </w:r>
      <w:r>
        <w:rPr>
          <w:rFonts w:hint="eastAsia" w:ascii="宋体" w:hAnsi="宋体" w:cs="宋体"/>
          <w:color w:val="auto"/>
          <w:szCs w:val="21"/>
          <w:highlight w:val="none"/>
          <w:lang w:bidi="ar"/>
        </w:rPr>
        <w:t xml:space="preserve">。 </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3、小微企业是指中华人民共和国境内依法设立，依据国务院批准的中小企业划分标准确定的小型企业和微型企业，但与大企业的负责人为同一人，或者与大企业存在直接控股、管理关系的除外。</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符合中小企业划分标准的个体工商户，在政府采购活动中视同中小企业。</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国务院批准的中小企业划分标准：具体见工信部联企业[2011]300号。</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4、在政府采购活动中，供应商提供的货物、工程或者服务符合下列情形的，可享受小型、微型企业（以下简称小微企业）的价格扣除：</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（1）在货物采购项目中，货物由小微企业制造，即货物由小微企业生产且使用该小微企业商号或者注册商标；</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（2）在工程采购项目中，工程由小微企业承建，即工程施工单位为小微企业；</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（3）在服务采购项目中，服务由小微企业承接，即提供服务的人员为小微企业依照《中华人民共和国劳动合同法》订立劳动合同的从业人员。</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以联合体形式参加政府采购活动，联合体各方均为小微企业的，联合体视同小微企业。</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5、在货物采购项目中，供应商提供的货物既有中小企业制造货物，也有大型企业制造货物的，不享受的小微企业价格扣除。</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6、本项目对符合《政府采购促进中小企业发展管理办法》（财库﹝2020﹞46号）规定的小微企业报价给予 </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%（工程项目为 </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%）的扣除，用扣除后的价格参加评审。</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 xml:space="preserve">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 </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 xml:space="preserve">%（工程项目为 </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%）的扣除，用扣除后的价格参加评审。组成联合体或者接受分包的小微企业与联合体内其他企业、分包企业之间存在直接控股、管理关系的，不享受价格扣除优惠政策。</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7、小微企业应按照招标文件格式要求提供《中小企业声明函》。</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8、根据《财政部司法部关于政府采购支持监狱企业发展有关问题的通知》（财库〔2014〕68号）规定，监狱企业视同小型、微型企业。监狱企业参加政府采购活动时，应当提供由省级以上监狱管理局、戒毒管理局（含新疆生产建设兵团）出具的属于监狱企业的证明文件。</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9、根据《关于促进残疾人就业政府采购政策的通知》（财库[2017]141号）规定，在政府采购活动中，残疾人福利性单位视同小型、微型企业。残疾人福利性单位参加政府采购活动时，提供《残疾人福利性单位声明函》。</w:t>
      </w:r>
    </w:p>
    <w:p>
      <w:pPr>
        <w:spacing w:line="336" w:lineRule="auto"/>
        <w:ind w:firstLine="420"/>
        <w:jc w:val="left"/>
        <w:rPr>
          <w:rFonts w:ascii="宋体" w:hAnsi="宋体" w:cs="宋体"/>
          <w:color w:val="auto"/>
          <w:szCs w:val="21"/>
          <w:highlight w:val="none"/>
        </w:rPr>
      </w:pPr>
      <w:r>
        <w:rPr>
          <w:rFonts w:hint="eastAsia" w:ascii="宋体" w:hAnsi="宋体" w:cs="宋体"/>
          <w:color w:val="auto"/>
          <w:szCs w:val="21"/>
          <w:highlight w:val="none"/>
        </w:rPr>
        <w:t>10、按规定享受扶持政策获得政府采购合同的，小微企业不得将合同分包给大中型企业，中型企业不得将合同分包给大型企业。</w:t>
      </w:r>
    </w:p>
    <w:p>
      <w:pPr>
        <w:widowControl/>
        <w:snapToGrid w:val="0"/>
        <w:spacing w:line="360" w:lineRule="auto"/>
        <w:ind w:firstLine="420"/>
        <w:jc w:val="left"/>
        <w:rPr>
          <w:rFonts w:ascii="宋体" w:hAnsi="宋体" w:cs="宋体"/>
          <w:color w:val="auto"/>
          <w:szCs w:val="21"/>
          <w:highlight w:val="none"/>
        </w:rPr>
      </w:pPr>
      <w:r>
        <w:rPr>
          <w:rFonts w:hint="eastAsia" w:ascii="宋体" w:hAnsi="宋体" w:cs="宋体"/>
          <w:color w:val="auto"/>
          <w:szCs w:val="21"/>
          <w:highlight w:val="none"/>
        </w:rPr>
        <w:t>11、供应商按照《政府采购促进中小企业发展管理办法》（财库﹝2020﹞46号）规定提供声明函内容不实的，属于提供虚假材料谋取中标、成交，依照《中华人民共和国政府采购法》等国家有关规定追究相应责任。</w:t>
      </w:r>
    </w:p>
    <w:p>
      <w:pPr>
        <w:spacing w:line="360" w:lineRule="auto"/>
        <w:jc w:val="center"/>
        <w:outlineLvl w:val="0"/>
        <w:rPr>
          <w:rFonts w:ascii="黑体" w:hAnsi="宋体" w:eastAsia="黑体"/>
          <w:color w:val="auto"/>
          <w:sz w:val="30"/>
          <w:szCs w:val="30"/>
          <w:highlight w:val="none"/>
        </w:rPr>
      </w:pPr>
      <w:r>
        <w:rPr>
          <w:color w:val="auto"/>
          <w:sz w:val="28"/>
          <w:szCs w:val="28"/>
          <w:highlight w:val="none"/>
        </w:rPr>
        <w:br w:type="page"/>
      </w:r>
      <w:bookmarkStart w:id="76" w:name="_Toc24415"/>
      <w:r>
        <w:rPr>
          <w:rFonts w:hint="eastAsia"/>
          <w:b/>
          <w:bCs/>
          <w:color w:val="auto"/>
          <w:sz w:val="28"/>
          <w:szCs w:val="28"/>
          <w:highlight w:val="none"/>
        </w:rPr>
        <w:t>第四章 评标办法及评分标准</w:t>
      </w:r>
      <w:bookmarkEnd w:id="76"/>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 xml:space="preserve">本办法严格遵照《中华人民共和国政府采购法》、《政府采购货物和服务招标投标管理办法》，结合项目所在地政府有关政府采购规定和项目的实际情况制定。 </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一、开标准备</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采购代理机构将在规定的时间和地点进行开标，供应商的法定代表人或其授权代表可参加开标会。供应商的法定代表人或其授权代表未参加开标会的，视同放弃开标监督权利、认可开标结果。</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二、开标程序：</w:t>
      </w:r>
    </w:p>
    <w:p>
      <w:pPr>
        <w:spacing w:line="400" w:lineRule="exact"/>
        <w:ind w:firstLine="420" w:firstLineChars="200"/>
        <w:jc w:val="left"/>
        <w:rPr>
          <w:rFonts w:ascii="宋体" w:hAnsi="宋体" w:cs="宋体"/>
          <w:bCs/>
          <w:color w:val="auto"/>
          <w:szCs w:val="21"/>
          <w:highlight w:val="none"/>
        </w:rPr>
      </w:pPr>
      <w:r>
        <w:rPr>
          <w:rFonts w:hint="eastAsia" w:ascii="宋体" w:hAnsi="宋体" w:cs="宋体"/>
          <w:bCs/>
          <w:color w:val="auto"/>
          <w:szCs w:val="21"/>
          <w:highlight w:val="none"/>
        </w:rPr>
        <w:t>1、电子招投标开标程序：</w:t>
      </w:r>
    </w:p>
    <w:p>
      <w:pPr>
        <w:numPr>
          <w:ilvl w:val="0"/>
          <w:numId w:val="10"/>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投标截止时间后，供应商登录政府采购云平台，用“项目采购-开标评标”功能对电子投标文件进行在线解密，在线解密电子投标文件时间为开标时间后30分钟内。</w:t>
      </w:r>
    </w:p>
    <w:p>
      <w:pPr>
        <w:numPr>
          <w:ilvl w:val="0"/>
          <w:numId w:val="10"/>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在政府采购云平台开启已解密供应商的“资格文件、商务技术文件、报价文件”，并做开标记录；</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（3）在</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公布评审结果。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（4）开标会议结束。</w:t>
      </w:r>
    </w:p>
    <w:p>
      <w:pPr>
        <w:numPr>
          <w:ilvl w:val="0"/>
          <w:numId w:val="11"/>
        </w:num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线下开标程序：</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（1）开标会由采购代理机构主持，主持人宣布开标会议开始；</w:t>
      </w:r>
    </w:p>
    <w:p>
      <w:pPr>
        <w:spacing w:line="400" w:lineRule="exact"/>
        <w:ind w:firstLine="420" w:firstLineChars="200"/>
        <w:jc w:val="left"/>
        <w:rPr>
          <w:rFonts w:ascii="宋体" w:hAnsi="宋体" w:cs="宋体"/>
          <w:color w:val="auto"/>
          <w:szCs w:val="21"/>
          <w:highlight w:val="none"/>
        </w:rPr>
      </w:pPr>
      <w:bookmarkStart w:id="77" w:name="_Toc396115155"/>
      <w:r>
        <w:rPr>
          <w:rFonts w:hint="eastAsia" w:ascii="宋体" w:hAnsi="宋体" w:cs="宋体"/>
          <w:color w:val="auto"/>
          <w:szCs w:val="21"/>
          <w:highlight w:val="none"/>
        </w:rPr>
        <w:t>（2）主持人介绍参加开标会的人员名单；</w:t>
      </w:r>
      <w:bookmarkEnd w:id="77"/>
    </w:p>
    <w:p>
      <w:pPr>
        <w:spacing w:line="400" w:lineRule="exact"/>
        <w:ind w:firstLine="420" w:firstLineChars="200"/>
        <w:jc w:val="left"/>
        <w:rPr>
          <w:rFonts w:ascii="宋体" w:hAnsi="宋体" w:cs="宋体"/>
          <w:color w:val="auto"/>
          <w:szCs w:val="21"/>
          <w:highlight w:val="none"/>
        </w:rPr>
      </w:pPr>
      <w:bookmarkStart w:id="78" w:name="_Toc396115156"/>
      <w:r>
        <w:rPr>
          <w:rFonts w:hint="eastAsia" w:ascii="宋体" w:hAnsi="宋体" w:cs="宋体"/>
          <w:color w:val="auto"/>
          <w:szCs w:val="21"/>
          <w:highlight w:val="none"/>
        </w:rPr>
        <w:t>（3）主持人宣布评标期间的有关事项，告知应当回避的情形,提请有关人员回避；</w:t>
      </w:r>
      <w:bookmarkEnd w:id="78"/>
    </w:p>
    <w:p>
      <w:pPr>
        <w:spacing w:line="400" w:lineRule="exact"/>
        <w:ind w:firstLine="420" w:firstLineChars="200"/>
        <w:jc w:val="left"/>
        <w:rPr>
          <w:rFonts w:ascii="宋体" w:hAnsi="宋体" w:cs="宋体"/>
          <w:color w:val="auto"/>
          <w:szCs w:val="21"/>
          <w:highlight w:val="none"/>
        </w:rPr>
      </w:pPr>
      <w:bookmarkStart w:id="79" w:name="_Toc396115157"/>
      <w:r>
        <w:rPr>
          <w:rFonts w:hint="eastAsia" w:ascii="宋体" w:hAnsi="宋体" w:cs="宋体"/>
          <w:color w:val="auto"/>
          <w:szCs w:val="21"/>
          <w:highlight w:val="none"/>
        </w:rPr>
        <w:t>（4）由供应商或其当场推荐的代表检查资格、商务技术文件、报价文件密封的完整性；</w:t>
      </w:r>
      <w:bookmarkEnd w:id="79"/>
      <w:bookmarkStart w:id="80" w:name="_Toc396115158"/>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（5）按各供应商提交投标文件时间的先后顺序打开投标文件的资格、商务技术文件、报价文件外包装，清点投标文件正本、副本数量</w:t>
      </w:r>
      <w:bookmarkEnd w:id="80"/>
      <w:r>
        <w:rPr>
          <w:rFonts w:hint="eastAsia" w:ascii="宋体" w:hAnsi="宋体" w:cs="宋体"/>
          <w:color w:val="auto"/>
          <w:szCs w:val="21"/>
          <w:highlight w:val="none"/>
        </w:rPr>
        <w:t>，由主持人宣读《开标一览表》中的供应商名称及在其投标文件中承诺的投标报价、交货期（服务期限）等投标内容，以及采购代理机构认为有必要宣读的其他内容，并做开标记录；同时由记录人、监督人当场签字确认；</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（6）主持人公布评审结果。</w:t>
      </w:r>
    </w:p>
    <w:p>
      <w:pPr>
        <w:spacing w:line="400" w:lineRule="exact"/>
        <w:ind w:firstLine="420" w:firstLineChars="200"/>
        <w:jc w:val="left"/>
        <w:rPr>
          <w:rFonts w:ascii="宋体" w:hAnsi="宋体" w:cs="宋体"/>
          <w:color w:val="auto"/>
          <w:szCs w:val="21"/>
          <w:highlight w:val="none"/>
        </w:rPr>
      </w:pPr>
      <w:bookmarkStart w:id="81" w:name="_Toc396115163"/>
      <w:r>
        <w:rPr>
          <w:rFonts w:hint="eastAsia" w:ascii="宋体" w:hAnsi="宋体" w:cs="宋体"/>
          <w:color w:val="auto"/>
          <w:szCs w:val="21"/>
          <w:highlight w:val="none"/>
        </w:rPr>
        <w:t>（7）开标会议结束。</w:t>
      </w:r>
      <w:bookmarkEnd w:id="81"/>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如对电子化开标及评审程序有调整的，按调整后的程序操作。</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本项目原则上采用政采云</w:t>
      </w:r>
      <w:r>
        <w:rPr>
          <w:rFonts w:hint="eastAsia" w:ascii="宋体" w:hAnsi="宋体" w:cs="宋体"/>
          <w:bCs/>
          <w:color w:val="auto"/>
          <w:szCs w:val="21"/>
          <w:highlight w:val="none"/>
        </w:rPr>
        <w:t>电子招投标开标程序</w:t>
      </w:r>
      <w:r>
        <w:rPr>
          <w:rFonts w:hint="eastAsia" w:ascii="宋体" w:hAnsi="宋体" w:cs="宋体"/>
          <w:color w:val="auto"/>
          <w:szCs w:val="21"/>
          <w:highlight w:val="none"/>
        </w:rPr>
        <w:t>，但有以下情形之一的，按以下情况处理：</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（1）若有供应商在规定时间内无法解密或解密失败，代理机构将开启该供应商递交的</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，上传至政采云平台项目采购模块，以完成开标，电子投标文件自动失效。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（2）若因</w:t>
      </w:r>
      <w:r>
        <w:rPr>
          <w:rFonts w:hint="eastAsia" w:ascii="宋体" w:hAnsi="宋体" w:cs="宋体"/>
          <w:color w:val="auto"/>
          <w:kern w:val="0"/>
          <w:szCs w:val="21"/>
          <w:highlight w:val="none"/>
        </w:rPr>
        <w:t>政府采购云平台</w:t>
      </w:r>
      <w:r>
        <w:rPr>
          <w:rFonts w:hint="eastAsia" w:ascii="宋体" w:hAnsi="宋体" w:cs="宋体"/>
          <w:color w:val="auto"/>
          <w:szCs w:val="21"/>
          <w:highlight w:val="none"/>
        </w:rPr>
        <w:t>原因无法读取或电子开评标无法正常进行，代理机构将开启所有供应商递交的纸质备份投标文件，以完成开标，电子投标文件及</w:t>
      </w:r>
      <w:r>
        <w:rPr>
          <w:rFonts w:hint="eastAsia" w:ascii="宋体" w:hAnsi="宋体" w:cs="宋体"/>
          <w:color w:val="auto"/>
          <w:kern w:val="0"/>
          <w:szCs w:val="21"/>
          <w:highlight w:val="none"/>
        </w:rPr>
        <w:t>以U盘存储的电子备份投标文件</w:t>
      </w:r>
      <w:r>
        <w:rPr>
          <w:rFonts w:hint="eastAsia" w:ascii="宋体" w:hAnsi="宋体" w:cs="宋体"/>
          <w:color w:val="auto"/>
          <w:szCs w:val="21"/>
          <w:highlight w:val="none"/>
        </w:rPr>
        <w:t>自动失效。</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（3）采购过程中出现以下情形，导致电子交易平台无法正常运行，或者无法保证电子交易的公平、公正和安全时，采购人（或代理机构）可中止电子交易活动：</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3.1电子交易平台发生故障而无法登录访问的；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3.2电子交易平台应用或数据库出现错误，不能进行正常操作的；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3.3电子交易平台发现严重安全漏洞，有潜在泄密危险的；</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 xml:space="preserve">3.4病毒发作导致不能进行正常操作的； </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3.5其他无法保证电子交易的公平、公正和安全的情况。</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出现前款规定情形，不影响采购公平、公正性的，采购人（或代理机构）可以待上述情形消除后继续组织电子交易活动，也可以决定某些环节以纸质形式进行。</w:t>
      </w:r>
    </w:p>
    <w:p>
      <w:pPr>
        <w:spacing w:line="400" w:lineRule="exact"/>
        <w:ind w:firstLine="420" w:firstLineChars="200"/>
        <w:jc w:val="left"/>
        <w:rPr>
          <w:rFonts w:ascii="宋体" w:hAnsi="宋体" w:cs="宋体"/>
          <w:color w:val="auto"/>
          <w:szCs w:val="21"/>
          <w:highlight w:val="none"/>
        </w:rPr>
      </w:pPr>
      <w:r>
        <w:rPr>
          <w:rFonts w:hint="eastAsia" w:ascii="宋体" w:hAnsi="宋体" w:cs="宋体"/>
          <w:color w:val="auto"/>
          <w:szCs w:val="21"/>
          <w:highlight w:val="none"/>
        </w:rPr>
        <w:t>（4）未开启的备份投标文件现场予以退还。</w:t>
      </w:r>
    </w:p>
    <w:p>
      <w:pPr>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三、评标委员会</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（一）本次招标依法组建评标委员会。</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二）评标原则。评标委员会必须遵循公平、公正、客观、科学的原则和规定的程序进行评标；评标的依据为招标文件和投标文件；评审人员应独立评标，不得带有任何倾向性和启发性影响他人评审；任何单位和个人不得干扰、影响评标的正常进行；评标委员会及有关工作人员不得私下与供应商接触，不得向外界透露任何与评标有关的内容。</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（三）评审专家有下列情形之一的，受到邀请应主动提出回避，采购当事人也可以要求该评审专家回避：</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1、本人、配偶或直系亲属3年内曾在参加该采购项目的供应商中任职（包括一般工作）或担任顾问，或与参加该采购项目的供应商发生过法律纠纷；</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2、任职单位与采购人或参加该采购项目供应商存在行政隶属关系；</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3、曾经参加过该采购项目的进口产品或招标文件、采购需求、采购方式的论证和咨询服务工作；</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4、是参加该采购项目供应商的上级主管部门、控股或参股单位的工作人员，或与该供应商存在其他经济利益关系；</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5、评审委员会成员之间具有配偶、近亲属关系；</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6、法律、法规、规章规定应当回避以及其他可能影响公正评审的。</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（四）评标委员会判断投标文件的有效性、合格性和响应情况，仅依据供应商所递交一切文件的真实表述，不受与本项目无直接关联的外部信息、传言而影响自身的专业判断。</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五）评委依法独立评审，并对评审意见承担个人责任。对明显畸高、畸低的评分（其总评分偏离平均分30%以上的），评标委员会主任委员提醒相关评审人员进行复核或书面说明理由。评委对需要共同认定的事项存在争议的，按照少数服从多数的原则做出结论。持不同意见的评委应当在评审报告上签署不同意见并说明理由，否则视为同意。</w:t>
      </w:r>
    </w:p>
    <w:p>
      <w:pPr>
        <w:spacing w:line="360" w:lineRule="auto"/>
        <w:rPr>
          <w:rFonts w:ascii="宋体" w:hAnsi="宋体" w:cs="宋体"/>
          <w:color w:val="auto"/>
          <w:szCs w:val="21"/>
          <w:highlight w:val="none"/>
        </w:rPr>
      </w:pPr>
      <w:r>
        <w:rPr>
          <w:rFonts w:hint="eastAsia" w:ascii="宋体" w:hAnsi="宋体" w:cs="宋体"/>
          <w:b/>
          <w:bCs/>
          <w:color w:val="auto"/>
          <w:szCs w:val="21"/>
          <w:highlight w:val="none"/>
        </w:rPr>
        <w:t>四、评标方法</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（一）本次采购项目的评标方法为：综合评分法。</w:t>
      </w:r>
    </w:p>
    <w:p>
      <w:pPr>
        <w:pStyle w:val="17"/>
        <w:spacing w:line="360" w:lineRule="auto"/>
        <w:ind w:firstLine="0" w:firstLineChars="0"/>
        <w:rPr>
          <w:rFonts w:ascii="宋体" w:cs="宋体"/>
          <w:b w:val="0"/>
          <w:bCs w:val="0"/>
          <w:color w:val="auto"/>
          <w:sz w:val="21"/>
          <w:szCs w:val="21"/>
          <w:highlight w:val="none"/>
        </w:rPr>
      </w:pPr>
      <w:r>
        <w:rPr>
          <w:rFonts w:hint="eastAsia" w:ascii="宋体" w:cs="宋体"/>
          <w:b w:val="0"/>
          <w:bCs w:val="0"/>
          <w:color w:val="auto"/>
          <w:sz w:val="21"/>
          <w:szCs w:val="21"/>
          <w:highlight w:val="none"/>
        </w:rPr>
        <w:t>（二）采用综合评分法的，评标结果按评审后得分由高到低顺序推荐3名及以上中标候选人。得分相同的，按投标报价由低到高顺序排列。得分且投标报价相同的并列，则抽签决定。</w:t>
      </w:r>
    </w:p>
    <w:p>
      <w:pPr>
        <w:spacing w:line="360" w:lineRule="auto"/>
        <w:rPr>
          <w:rFonts w:ascii="宋体" w:hAnsi="宋体" w:cs="宋体"/>
          <w:color w:val="auto"/>
          <w:szCs w:val="21"/>
          <w:highlight w:val="none"/>
        </w:rPr>
      </w:pPr>
      <w:r>
        <w:rPr>
          <w:rFonts w:hint="eastAsia" w:ascii="宋体" w:hAnsi="宋体" w:cs="宋体"/>
          <w:color w:val="auto"/>
          <w:szCs w:val="21"/>
          <w:highlight w:val="none"/>
        </w:rPr>
        <w:t>（三）投标文件的澄清</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1、对于投标文件中含义不明确、同类问题表述不一致或者有明显文字和计算错误的内容，评标委员会应当以书面形式要求供应商作出必要的澄清、说明或者补正。</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供应商的澄清、说明或者补正应当采用书面形式（或扫描件上传政采云平台），并加盖公章，或者由法定代表人或其授权的代表签名或盖章。供应商的澄清、说明或者补正不得超出投标文件的范围或者改变投标文件的实质性内容。</w:t>
      </w:r>
    </w:p>
    <w:p>
      <w:pPr>
        <w:spacing w:line="360" w:lineRule="auto"/>
        <w:rPr>
          <w:rFonts w:ascii="宋体" w:hAnsi="宋体" w:cs="宋体"/>
          <w:color w:val="auto"/>
          <w:szCs w:val="21"/>
          <w:highlight w:val="none"/>
        </w:rPr>
      </w:pPr>
      <w:r>
        <w:rPr>
          <w:rFonts w:hint="eastAsia" w:ascii="宋体" w:hAnsi="宋体" w:cs="宋体"/>
          <w:color w:val="auto"/>
          <w:szCs w:val="21"/>
          <w:highlight w:val="none"/>
        </w:rPr>
        <w:t>（四）投标文件错误修正原则</w:t>
      </w:r>
    </w:p>
    <w:p>
      <w:pPr>
        <w:spacing w:line="360" w:lineRule="auto"/>
        <w:rPr>
          <w:rFonts w:ascii="宋体" w:hAnsi="宋体" w:cs="宋体"/>
          <w:color w:val="auto"/>
          <w:szCs w:val="21"/>
          <w:highlight w:val="none"/>
        </w:rPr>
      </w:pPr>
      <w:r>
        <w:rPr>
          <w:rFonts w:hint="eastAsia" w:ascii="宋体" w:hAnsi="宋体" w:cs="宋体"/>
          <w:color w:val="auto"/>
          <w:szCs w:val="21"/>
          <w:highlight w:val="none"/>
        </w:rPr>
        <w:t>投标文件如果出现计算或表达上的错误，修正错误的原则如下：</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1、投标文件中开标一览表（报价表）内容与投标文件中相应内容不一致的，以开标一览表（报价表）为准；</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2、大写金额和小写金额不一致的，以大写金额为准；</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3、单价金额小数点或者百分比有明显错位的，以开标一览表的总价为准，并修改单价；</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4、总价金额与按单价汇总金额不一致的，以单价金额计算结果为准。</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5、政采云平台填报的开标一览表中的价格与上传的报价文件中开标一览表的报价不一致的，以上传的报价文件为准。</w:t>
      </w:r>
    </w:p>
    <w:p>
      <w:pPr>
        <w:pStyle w:val="17"/>
        <w:spacing w:line="360" w:lineRule="auto"/>
        <w:ind w:firstLine="417" w:firstLineChars="199"/>
        <w:rPr>
          <w:rFonts w:ascii="宋体" w:cs="宋体"/>
          <w:b w:val="0"/>
          <w:bCs w:val="0"/>
          <w:color w:val="auto"/>
          <w:sz w:val="21"/>
          <w:szCs w:val="21"/>
          <w:highlight w:val="none"/>
        </w:rPr>
      </w:pPr>
      <w:r>
        <w:rPr>
          <w:rFonts w:hint="eastAsia" w:ascii="宋体" w:cs="宋体"/>
          <w:b w:val="0"/>
          <w:bCs w:val="0"/>
          <w:color w:val="auto"/>
          <w:sz w:val="21"/>
          <w:szCs w:val="21"/>
          <w:highlight w:val="none"/>
        </w:rPr>
        <w:t>同时出现两种以上不一致的，按照前款规定的顺序修正。修正后的报价按照投标文件澄清第二款的规定经供应商确认后产生约束力，供应商不确认的，其投标无效。</w:t>
      </w:r>
    </w:p>
    <w:p>
      <w:pPr>
        <w:numPr>
          <w:ilvl w:val="0"/>
          <w:numId w:val="12"/>
        </w:numPr>
        <w:spacing w:line="360" w:lineRule="auto"/>
        <w:rPr>
          <w:rFonts w:ascii="宋体" w:hAnsi="宋体" w:cs="宋体"/>
          <w:b/>
          <w:bCs/>
          <w:color w:val="auto"/>
          <w:szCs w:val="21"/>
          <w:highlight w:val="none"/>
        </w:rPr>
      </w:pPr>
      <w:bookmarkStart w:id="82" w:name="_Toc481567077"/>
      <w:bookmarkStart w:id="83" w:name="_Toc493058318"/>
      <w:r>
        <w:rPr>
          <w:rFonts w:hint="eastAsia" w:ascii="宋体" w:hAnsi="宋体" w:cs="宋体"/>
          <w:b/>
          <w:bCs/>
          <w:color w:val="auto"/>
          <w:szCs w:val="21"/>
          <w:highlight w:val="none"/>
        </w:rPr>
        <w:t>评标</w:t>
      </w:r>
      <w:bookmarkEnd w:id="82"/>
      <w:r>
        <w:rPr>
          <w:rFonts w:hint="eastAsia" w:ascii="宋体" w:hAnsi="宋体" w:cs="宋体"/>
          <w:b/>
          <w:bCs/>
          <w:color w:val="auto"/>
          <w:szCs w:val="21"/>
          <w:highlight w:val="none"/>
        </w:rPr>
        <w:t>程序</w:t>
      </w:r>
      <w:bookmarkEnd w:id="83"/>
    </w:p>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（一）资格条件审查</w:t>
      </w:r>
    </w:p>
    <w:p>
      <w:pPr>
        <w:widowControl/>
        <w:spacing w:line="360" w:lineRule="auto"/>
        <w:ind w:firstLine="522" w:firstLineChars="249"/>
        <w:jc w:val="left"/>
        <w:rPr>
          <w:rFonts w:ascii="宋体" w:hAnsi="宋体" w:cs="宋体"/>
          <w:color w:val="auto"/>
          <w:kern w:val="0"/>
          <w:szCs w:val="21"/>
          <w:highlight w:val="none"/>
        </w:rPr>
      </w:pPr>
      <w:r>
        <w:rPr>
          <w:rFonts w:hint="eastAsia" w:ascii="宋体" w:hAnsi="宋体" w:cs="宋体"/>
          <w:color w:val="auto"/>
          <w:kern w:val="0"/>
          <w:szCs w:val="21"/>
          <w:highlight w:val="none"/>
        </w:rPr>
        <w:t>由采购人或采购代理机构对供应商的资格进行审查。</w:t>
      </w:r>
    </w:p>
    <w:tbl>
      <w:tblPr>
        <w:tblStyle w:val="2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1"/>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审查类别</w:t>
            </w: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center"/>
              <w:rPr>
                <w:rFonts w:ascii="宋体" w:hAnsi="宋体" w:cs="宋体"/>
                <w:b/>
                <w:color w:val="auto"/>
                <w:kern w:val="0"/>
                <w:szCs w:val="21"/>
                <w:highlight w:val="none"/>
              </w:rPr>
            </w:pPr>
            <w:r>
              <w:rPr>
                <w:rFonts w:hint="eastAsia" w:ascii="宋体" w:hAnsi="宋体" w:cs="宋体"/>
                <w:b/>
                <w:color w:val="auto"/>
                <w:kern w:val="0"/>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restart"/>
            <w:tcBorders>
              <w:top w:val="single" w:color="auto" w:sz="4" w:space="0"/>
              <w:left w:val="single" w:color="auto" w:sz="4" w:space="0"/>
              <w:bottom w:val="single" w:color="auto" w:sz="4" w:space="0"/>
              <w:right w:val="single" w:color="auto" w:sz="4" w:space="0"/>
            </w:tcBorders>
            <w:vAlign w:val="center"/>
          </w:tcPr>
          <w:p>
            <w:pPr>
              <w:spacing w:line="336"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资格条件审查</w:t>
            </w:r>
          </w:p>
        </w:tc>
        <w:tc>
          <w:tcPr>
            <w:tcW w:w="6794" w:type="dxa"/>
            <w:tcBorders>
              <w:top w:val="single" w:color="auto" w:sz="4" w:space="0"/>
              <w:left w:val="single" w:color="auto" w:sz="4" w:space="0"/>
              <w:bottom w:val="single" w:color="auto" w:sz="4" w:space="0"/>
              <w:right w:val="single" w:color="auto" w:sz="4" w:space="0"/>
            </w:tcBorders>
          </w:tcPr>
          <w:p>
            <w:pPr>
              <w:numPr>
                <w:ilvl w:val="0"/>
                <w:numId w:val="13"/>
              </w:num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满足《中华人民共和国政府采购法》第二十二条规定；未被“信用中国”（www.creditchina.gov.cn)、中国政府采购网（www.ccgp.gov.cn）列入失信被执行人、重大税收违法案件当事人名单、政府采购严重违法失信行为记录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numPr>
                <w:ilvl w:val="0"/>
                <w:numId w:val="13"/>
              </w:numPr>
              <w:spacing w:line="336"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落实政府采购政策需满足的资格要求：无。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（三）特定资格条件：详见“第一章  公开招标公告 二、申请人的资格要求：3.本项目的特定资格要求”；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（四）</w:t>
            </w:r>
            <w:r>
              <w:rPr>
                <w:rFonts w:hint="eastAsia" w:ascii="宋体" w:hAnsi="宋体" w:cs="宋体"/>
                <w:color w:val="auto"/>
                <w:kern w:val="0"/>
                <w:szCs w:val="20"/>
                <w:highlight w:val="none"/>
              </w:rPr>
              <w:t>本项目不接受联合体投标；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152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1"/>
                <w:highlight w:val="none"/>
              </w:rPr>
            </w:pPr>
          </w:p>
        </w:tc>
        <w:tc>
          <w:tcPr>
            <w:tcW w:w="6794" w:type="dxa"/>
            <w:tcBorders>
              <w:top w:val="single" w:color="auto" w:sz="4" w:space="0"/>
              <w:left w:val="single" w:color="auto" w:sz="4" w:space="0"/>
              <w:bottom w:val="single" w:color="auto" w:sz="4" w:space="0"/>
              <w:right w:val="single" w:color="auto" w:sz="4" w:space="0"/>
            </w:tcBorders>
          </w:tcPr>
          <w:p>
            <w:pPr>
              <w:spacing w:line="336" w:lineRule="auto"/>
              <w:jc w:val="left"/>
              <w:rPr>
                <w:rFonts w:ascii="宋体" w:hAnsi="宋体" w:cs="宋体"/>
                <w:color w:val="auto"/>
                <w:kern w:val="0"/>
                <w:szCs w:val="20"/>
                <w:highlight w:val="none"/>
              </w:rPr>
            </w:pPr>
            <w:r>
              <w:rPr>
                <w:rFonts w:hint="eastAsia" w:ascii="宋体" w:hAnsi="宋体" w:cs="宋体"/>
                <w:color w:val="auto"/>
                <w:kern w:val="0"/>
                <w:szCs w:val="21"/>
                <w:highlight w:val="none"/>
              </w:rPr>
              <w:t>（五）招标文件要求的其他资格条件（如有）。</w:t>
            </w:r>
          </w:p>
        </w:tc>
      </w:tr>
    </w:tbl>
    <w:p>
      <w:pPr>
        <w:widowControl/>
        <w:spacing w:line="360" w:lineRule="auto"/>
        <w:ind w:firstLine="422" w:firstLineChars="200"/>
        <w:jc w:val="left"/>
        <w:rPr>
          <w:rFonts w:ascii="宋体" w:hAnsi="宋体" w:cs="宋体"/>
          <w:b/>
          <w:color w:val="auto"/>
          <w:kern w:val="0"/>
          <w:szCs w:val="21"/>
          <w:highlight w:val="none"/>
        </w:rPr>
      </w:pPr>
      <w:r>
        <w:rPr>
          <w:rFonts w:hint="eastAsia" w:ascii="宋体" w:hAnsi="宋体" w:cs="宋体"/>
          <w:b/>
          <w:color w:val="auto"/>
          <w:kern w:val="0"/>
          <w:szCs w:val="21"/>
          <w:highlight w:val="none"/>
        </w:rPr>
        <w:t>（二）符合性审查</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评标委员会应当对符合资格的供应商的投标文件进行符合性审查，以确定其是否满足招标文件的实质性要求。</w:t>
      </w:r>
    </w:p>
    <w:tbl>
      <w:tblPr>
        <w:tblStyle w:val="2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0"/>
        <w:gridCol w:w="6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790"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bookmarkStart w:id="84" w:name="_Toc259108323"/>
            <w:bookmarkStart w:id="85" w:name="_Toc249866767"/>
            <w:r>
              <w:rPr>
                <w:rFonts w:hint="eastAsia" w:ascii="宋体" w:hAnsi="宋体" w:cs="宋体"/>
                <w:b/>
                <w:color w:val="auto"/>
                <w:szCs w:val="21"/>
                <w:highlight w:val="none"/>
              </w:rPr>
              <w:t>审查类别</w:t>
            </w:r>
          </w:p>
        </w:tc>
        <w:tc>
          <w:tcPr>
            <w:tcW w:w="6525" w:type="dxa"/>
            <w:tcBorders>
              <w:top w:val="single" w:color="auto" w:sz="4" w:space="0"/>
              <w:left w:val="single" w:color="auto" w:sz="4" w:space="0"/>
              <w:bottom w:val="single" w:color="auto" w:sz="4" w:space="0"/>
              <w:right w:val="single" w:color="auto" w:sz="4" w:space="0"/>
            </w:tcBorders>
          </w:tcPr>
          <w:p>
            <w:pPr>
              <w:spacing w:line="360" w:lineRule="auto"/>
              <w:jc w:val="center"/>
              <w:rPr>
                <w:rFonts w:ascii="宋体" w:hAnsi="宋体" w:cs="宋体"/>
                <w:b/>
                <w:color w:val="auto"/>
                <w:szCs w:val="21"/>
                <w:highlight w:val="none"/>
              </w:rPr>
            </w:pPr>
            <w:r>
              <w:rPr>
                <w:rFonts w:hint="eastAsia" w:ascii="宋体" w:hAnsi="宋体" w:cs="宋体"/>
                <w:b/>
                <w:color w:val="auto"/>
                <w:szCs w:val="21"/>
                <w:highlight w:val="none"/>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（商务技术文件）</w:t>
            </w: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（一）投标函已提交并符合招标文件要求；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（二）按照招标文件规定要求签署或盖章；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（四）投标文件项目齐全；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（六）投标文件的实质性内容使用中文表述且意思表述明确，前后无矛盾且使用计量单位符合招标文件要求的；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（七）带“★”的条款满足招标文件要求、已实质性响应招标文件要求且投标文件无采购人不能接受的附加条件的；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hint="eastAsia" w:ascii="宋体" w:hAnsi="宋体" w:cs="宋体"/>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九</w:t>
            </w:r>
            <w:r>
              <w:rPr>
                <w:rFonts w:hint="eastAsia" w:ascii="宋体" w:hAnsi="宋体" w:cs="宋体"/>
                <w:color w:val="auto"/>
                <w:szCs w:val="21"/>
                <w:highlight w:val="none"/>
              </w:rPr>
              <w:t>）不存在法律、法规和招标文件规定的其他无效情形；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tabs>
                <w:tab w:val="left" w:pos="612"/>
              </w:tabs>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十</w:t>
            </w:r>
            <w:r>
              <w:rPr>
                <w:rFonts w:hint="eastAsia" w:ascii="宋体" w:hAnsi="宋体" w:cs="宋体"/>
                <w:color w:val="auto"/>
                <w:szCs w:val="21"/>
                <w:highlight w:val="none"/>
              </w:rPr>
              <w:t>）不存在投标文件的有效期不满足招标文件要求情形；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color w:val="auto"/>
                <w:szCs w:val="21"/>
                <w:highlight w:val="none"/>
              </w:rPr>
            </w:pPr>
            <w:r>
              <w:rPr>
                <w:rFonts w:hint="eastAsia" w:ascii="宋体" w:hAnsi="宋体" w:cs="宋体"/>
                <w:color w:val="auto"/>
                <w:szCs w:val="21"/>
                <w:highlight w:val="none"/>
              </w:rPr>
              <w:t>符合性审查</w:t>
            </w:r>
          </w:p>
          <w:p>
            <w:pPr>
              <w:spacing w:line="360" w:lineRule="auto"/>
              <w:ind w:firstLine="210" w:firstLineChars="100"/>
              <w:jc w:val="center"/>
              <w:rPr>
                <w:rFonts w:ascii="宋体" w:hAnsi="宋体" w:cs="宋体"/>
                <w:color w:val="auto"/>
                <w:szCs w:val="21"/>
                <w:highlight w:val="none"/>
              </w:rPr>
            </w:pPr>
            <w:r>
              <w:rPr>
                <w:rFonts w:hint="eastAsia" w:ascii="宋体" w:hAnsi="宋体" w:cs="宋体"/>
                <w:color w:val="auto"/>
                <w:szCs w:val="21"/>
                <w:highlight w:val="none"/>
              </w:rPr>
              <w:t>（报价文件）</w:t>
            </w: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（一）按照招标文件规定要求签署或盖章；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（二）投标文件项目齐全；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（三）采用人民币报价或者按照招标文件标明的币种报价的；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（四）不存在报价超出最高限价，或者超出采购预算金额，</w:t>
            </w:r>
            <w:r>
              <w:rPr>
                <w:rFonts w:hint="eastAsia" w:ascii="宋体" w:hAnsi="宋体" w:cs="宋体"/>
                <w:color w:val="auto"/>
                <w:szCs w:val="21"/>
                <w:highlight w:val="none"/>
                <w:lang w:val="en-US" w:eastAsia="zh-CN"/>
              </w:rPr>
              <w:t>或者超出综合单价最高限价</w:t>
            </w:r>
            <w:r>
              <w:rPr>
                <w:rFonts w:hint="eastAsia" w:ascii="宋体" w:hAnsi="宋体" w:cs="宋体"/>
                <w:color w:val="auto"/>
                <w:szCs w:val="21"/>
                <w:highlight w:val="none"/>
              </w:rPr>
              <w:t>，采购人不能支付的情形。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（五）不存在投标报价具有选择性的情形；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（六）投标报价中未出现重大缺项、漏项；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trPr>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（七）不存在评标委员会认为供应商的报价明显低于其他通过符合性审查供应商的报价，有可能影响产品质量或者不能诚信履约的且不能在评标现场合理时间内提供相关证明材料说明其报价的合理性的情形；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（八）投标文件（报价文件）内容与投标文件（商务技术文件）内容不存在重大差异的；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9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szCs w:val="21"/>
                <w:highlight w:val="none"/>
              </w:rPr>
            </w:pPr>
          </w:p>
        </w:tc>
        <w:tc>
          <w:tcPr>
            <w:tcW w:w="6525"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宋体" w:hAnsi="宋体" w:cs="宋体"/>
                <w:color w:val="auto"/>
                <w:szCs w:val="21"/>
                <w:highlight w:val="none"/>
              </w:rPr>
            </w:pPr>
            <w:r>
              <w:rPr>
                <w:rFonts w:hint="eastAsia" w:ascii="宋体" w:hAnsi="宋体" w:cs="宋体"/>
                <w:color w:val="auto"/>
                <w:szCs w:val="21"/>
                <w:highlight w:val="none"/>
              </w:rPr>
              <w:t>（九）不存在法律、法规和招标文件规定的其他无效情形；</w:t>
            </w:r>
          </w:p>
        </w:tc>
      </w:tr>
    </w:tbl>
    <w:p>
      <w:pPr>
        <w:widowControl/>
        <w:spacing w:line="360" w:lineRule="auto"/>
        <w:ind w:firstLine="422" w:firstLineChars="200"/>
        <w:jc w:val="left"/>
        <w:rPr>
          <w:rFonts w:ascii="宋体" w:hAnsi="宋体" w:cs="宋体"/>
          <w:b/>
          <w:color w:val="auto"/>
          <w:kern w:val="0"/>
          <w:szCs w:val="20"/>
          <w:highlight w:val="none"/>
        </w:rPr>
      </w:pPr>
      <w:r>
        <w:rPr>
          <w:rFonts w:hint="eastAsia" w:ascii="宋体" w:hAnsi="宋体" w:cs="宋体"/>
          <w:b/>
          <w:color w:val="auto"/>
          <w:kern w:val="0"/>
          <w:szCs w:val="20"/>
          <w:highlight w:val="none"/>
        </w:rPr>
        <w:t>（三）投标无效的情形</w:t>
      </w:r>
      <w:bookmarkEnd w:id="84"/>
      <w:bookmarkEnd w:id="85"/>
    </w:p>
    <w:p>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没有响应招标文件实质性要求的投标将被视为无效投标。供应商不得通过修正或</w:t>
      </w:r>
      <w:r>
        <w:rPr>
          <w:rFonts w:hint="eastAsia" w:ascii="宋体" w:hAnsi="宋体" w:cs="宋体"/>
          <w:color w:val="auto"/>
          <w:kern w:val="0"/>
          <w:szCs w:val="21"/>
          <w:highlight w:val="none"/>
          <w:lang w:eastAsia="zh-CN"/>
        </w:rPr>
        <w:t>撤销</w:t>
      </w:r>
      <w:r>
        <w:rPr>
          <w:rFonts w:hint="eastAsia" w:ascii="宋体" w:hAnsi="宋体" w:cs="宋体"/>
          <w:color w:val="auto"/>
          <w:kern w:val="0"/>
          <w:szCs w:val="21"/>
          <w:highlight w:val="none"/>
        </w:rPr>
        <w:t>不合要求的偏离或保留从而使其投标成为实质上响应的投标，但经评标委员会认定属于供应商疏忽、笔误所造成的差错，可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供应商修改、补正投标文件后，不影响评标委员会对其投标文件所作的评价和评分结果。</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★上传投标文件同一网卡地址、同一IP地址的为无效标。</w:t>
      </w:r>
    </w:p>
    <w:p>
      <w:pPr>
        <w:widowControl/>
        <w:numPr>
          <w:ilvl w:val="0"/>
          <w:numId w:val="14"/>
        </w:numPr>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在资格审查时，如发现下列情形之一的，将被视为无效投标文件：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1、资格证明文件不全的或者不符合招标文件标明的资格要求的；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2、供应商资格声明函无法定代表人或授权代表签名或盖章；</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B、在符合性审查（商务技术文件）时，如发现下列情形之一的，将被视为无效投标文件：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w:t>
      </w:r>
      <w:r>
        <w:rPr>
          <w:rFonts w:hint="eastAsia" w:ascii="宋体" w:hAnsi="宋体" w:cs="宋体"/>
          <w:color w:val="auto"/>
          <w:kern w:val="0"/>
          <w:szCs w:val="20"/>
          <w:highlight w:val="none"/>
        </w:rPr>
        <w:t>提交投标函或投标函内容不符合招标文件要求；</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2、未按照招标文件规定要求签署或盖章；</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3、投标文件无法定代表人签署本人姓名（或印盖本人姓名章），或签署人未提供有效的法定代表人授权委托书或授权委托书填写项目不齐全的； </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5、投标文件标明的响应或偏离与事实不符或虚假投标的；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6、投标文件的实质性内容未使用中文表述、意思表述不明确、前后矛盾或者使用计量单位不符合招标文件要求的（经评标委员会认定并允许其当场更正的笔误除外）；</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7、带“★”的条款不能满足招标文件要求、未实质性响应招标文件要求或者投标文件有采购人不能接受的附加条件的；</w:t>
      </w:r>
    </w:p>
    <w:p>
      <w:pPr>
        <w:widowControl/>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8、投标技术方案不明确，存在一个或一个以上备选（替代）投标方案的；</w:t>
      </w:r>
    </w:p>
    <w:p>
      <w:pPr>
        <w:widowControl/>
        <w:spacing w:line="360" w:lineRule="auto"/>
        <w:ind w:firstLine="420"/>
        <w:jc w:val="left"/>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9</w:t>
      </w:r>
      <w:r>
        <w:rPr>
          <w:rFonts w:hint="eastAsia" w:ascii="宋体" w:hAnsi="宋体" w:cs="宋体"/>
          <w:color w:val="auto"/>
          <w:kern w:val="0"/>
          <w:szCs w:val="21"/>
          <w:highlight w:val="none"/>
        </w:rPr>
        <w:t>、法律、法规和</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规定的其他无效情形；</w:t>
      </w:r>
    </w:p>
    <w:p>
      <w:pPr>
        <w:widowControl/>
        <w:spacing w:line="360" w:lineRule="auto"/>
        <w:ind w:firstLine="420"/>
        <w:jc w:val="left"/>
        <w:rPr>
          <w:rFonts w:ascii="宋体" w:hAnsi="宋体" w:cs="宋体"/>
          <w:color w:val="auto"/>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0</w:t>
      </w:r>
      <w:r>
        <w:rPr>
          <w:rFonts w:hint="eastAsia" w:ascii="宋体" w:hAnsi="宋体" w:cs="宋体"/>
          <w:color w:val="auto"/>
          <w:kern w:val="0"/>
          <w:szCs w:val="21"/>
          <w:highlight w:val="none"/>
        </w:rPr>
        <w:t>、投标文件的有效期不满足</w:t>
      </w:r>
      <w:r>
        <w:rPr>
          <w:rFonts w:hint="eastAsia" w:ascii="宋体" w:hAnsi="宋体" w:cs="宋体"/>
          <w:color w:val="auto"/>
          <w:kern w:val="0"/>
          <w:szCs w:val="21"/>
          <w:highlight w:val="none"/>
          <w:lang w:eastAsia="zh-CN"/>
        </w:rPr>
        <w:t>招标文件</w:t>
      </w:r>
      <w:r>
        <w:rPr>
          <w:rFonts w:hint="eastAsia" w:ascii="宋体" w:hAnsi="宋体" w:cs="宋体"/>
          <w:color w:val="auto"/>
          <w:kern w:val="0"/>
          <w:szCs w:val="21"/>
          <w:highlight w:val="none"/>
        </w:rPr>
        <w:t>要求</w:t>
      </w:r>
      <w:r>
        <w:rPr>
          <w:rFonts w:hint="eastAsia" w:ascii="宋体" w:hAnsi="宋体" w:cs="宋体"/>
          <w:color w:val="auto"/>
          <w:szCs w:val="21"/>
          <w:highlight w:val="none"/>
        </w:rPr>
        <w:t>。</w:t>
      </w: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C、在符合性审查（报价文件）时，如发现下列情形之一的，将被视为无效投标文件：</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1、未按照招标文件规定要求签署或盖章；</w:t>
      </w:r>
    </w:p>
    <w:p>
      <w:pPr>
        <w:widowControl/>
        <w:spacing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1"/>
          <w:highlight w:val="none"/>
        </w:rPr>
        <w:t>2、投标文件项目不齐全；</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3、未采用人民币报价或者未按照招标文件标明的币种报价的；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4、报价超出最高限价，或者超出采购预算金额，</w:t>
      </w:r>
      <w:r>
        <w:rPr>
          <w:rFonts w:hint="eastAsia" w:ascii="宋体" w:hAnsi="宋体" w:cs="宋体"/>
          <w:color w:val="auto"/>
          <w:kern w:val="0"/>
          <w:szCs w:val="21"/>
          <w:highlight w:val="none"/>
          <w:lang w:val="en-US" w:eastAsia="zh-CN"/>
        </w:rPr>
        <w:t>或者超出综合单价最高限价，</w:t>
      </w:r>
      <w:r>
        <w:rPr>
          <w:rFonts w:hint="eastAsia" w:ascii="宋体" w:hAnsi="宋体" w:cs="宋体"/>
          <w:color w:val="auto"/>
          <w:kern w:val="0"/>
          <w:szCs w:val="21"/>
          <w:highlight w:val="none"/>
        </w:rPr>
        <w:t>采购人不能支付的；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5、投标报价具有选择性的；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6、投标报价中出现重大缺项、漏项；</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7、评标委员会认为供应商的报价明显低于其他通过符合性审查供应商的报价，有可能影响产品质量或者不能诚信履约的，且不能在评标现场合理时间内提供相关证明材料说明其报价的合理性的；</w:t>
      </w:r>
    </w:p>
    <w:p>
      <w:pPr>
        <w:widowControl/>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8、投标文件（报价文件）内容与投标文件（商务技术文件）内容有重大差异的；</w:t>
      </w:r>
    </w:p>
    <w:p>
      <w:pPr>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9、法律、法规和招标文件规定的其他无效情形</w:t>
      </w:r>
      <w:r>
        <w:rPr>
          <w:rFonts w:hint="eastAsia" w:ascii="宋体" w:hAnsi="宋体" w:cs="宋体"/>
          <w:color w:val="auto"/>
          <w:szCs w:val="21"/>
          <w:highlight w:val="none"/>
        </w:rPr>
        <w:t>。</w:t>
      </w:r>
    </w:p>
    <w:p>
      <w:pPr>
        <w:numPr>
          <w:ilvl w:val="0"/>
          <w:numId w:val="15"/>
        </w:numPr>
        <w:spacing w:line="360" w:lineRule="exact"/>
        <w:rPr>
          <w:rFonts w:ascii="宋体" w:hAnsi="宋体" w:cs="宋体"/>
          <w:b/>
          <w:color w:val="auto"/>
          <w:szCs w:val="21"/>
          <w:highlight w:val="none"/>
        </w:rPr>
      </w:pPr>
      <w:r>
        <w:rPr>
          <w:rFonts w:hint="eastAsia" w:ascii="宋体" w:hAnsi="宋体" w:cs="宋体"/>
          <w:b/>
          <w:color w:val="auto"/>
          <w:szCs w:val="21"/>
          <w:highlight w:val="none"/>
        </w:rPr>
        <w:t xml:space="preserve">评分标准（兼评委打分表） </w:t>
      </w:r>
    </w:p>
    <w:p>
      <w:pPr>
        <w:spacing w:line="360" w:lineRule="auto"/>
        <w:jc w:val="center"/>
        <w:rPr>
          <w:rFonts w:hint="eastAsia" w:ascii="宋体" w:hAnsi="宋体" w:eastAsia="宋体"/>
          <w:b/>
          <w:bCs/>
          <w:color w:val="auto"/>
          <w:highlight w:val="none"/>
          <w:lang w:eastAsia="zh-CN"/>
        </w:rPr>
      </w:pPr>
      <w:r>
        <w:rPr>
          <w:rFonts w:hint="eastAsia" w:ascii="宋体" w:hAnsi="宋体"/>
          <w:b/>
          <w:bCs/>
          <w:color w:val="auto"/>
          <w:highlight w:val="none"/>
        </w:rPr>
        <w:t>评分标准表</w:t>
      </w:r>
      <w:r>
        <w:rPr>
          <w:rFonts w:hint="eastAsia" w:ascii="宋体" w:hAnsi="宋体"/>
          <w:b/>
          <w:bCs/>
          <w:color w:val="auto"/>
          <w:highlight w:val="none"/>
          <w:lang w:eastAsia="zh-CN"/>
        </w:rPr>
        <w:t>（</w:t>
      </w:r>
      <w:r>
        <w:rPr>
          <w:rFonts w:hint="eastAsia" w:ascii="宋体" w:hAnsi="宋体"/>
          <w:b/>
          <w:bCs/>
          <w:color w:val="auto"/>
          <w:highlight w:val="none"/>
          <w:lang w:val="en-US" w:eastAsia="zh-CN"/>
        </w:rPr>
        <w:t>适用于标项一</w:t>
      </w:r>
      <w:r>
        <w:rPr>
          <w:rFonts w:hint="eastAsia" w:ascii="宋体" w:hAnsi="宋体"/>
          <w:b/>
          <w:bCs/>
          <w:color w:val="auto"/>
          <w:highlight w:val="none"/>
          <w:lang w:eastAsia="zh-CN"/>
        </w:rPr>
        <w:t>）</w:t>
      </w:r>
    </w:p>
    <w:tbl>
      <w:tblPr>
        <w:tblStyle w:val="28"/>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61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shd w:val="clear" w:color="auto" w:fill="auto"/>
            <w:vAlign w:val="center"/>
          </w:tcPr>
          <w:p>
            <w:pPr>
              <w:widowControl/>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内容</w:t>
            </w:r>
          </w:p>
        </w:tc>
        <w:tc>
          <w:tcPr>
            <w:tcW w:w="6185" w:type="dxa"/>
            <w:shd w:val="clear" w:color="auto" w:fill="auto"/>
            <w:vAlign w:val="center"/>
          </w:tcPr>
          <w:p>
            <w:pPr>
              <w:widowControl/>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评分标准</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restart"/>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投标人资信</w:t>
            </w: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1、供应商</w:t>
            </w:r>
            <w:r>
              <w:rPr>
                <w:rFonts w:hint="eastAsia" w:ascii="宋体" w:hAnsi="宋体" w:eastAsia="宋体" w:cs="宋体"/>
                <w:color w:val="auto"/>
                <w:kern w:val="0"/>
                <w:sz w:val="21"/>
                <w:szCs w:val="21"/>
                <w:highlight w:val="none"/>
                <w:lang w:bidi="ar"/>
              </w:rPr>
              <w:t>拥有云原生医院信息系统</w:t>
            </w:r>
            <w:r>
              <w:rPr>
                <w:rFonts w:hint="eastAsia" w:ascii="宋体" w:hAnsi="宋体" w:eastAsia="宋体" w:cs="宋体"/>
                <w:color w:val="auto"/>
                <w:kern w:val="0"/>
                <w:sz w:val="21"/>
                <w:szCs w:val="21"/>
                <w:highlight w:val="none"/>
                <w:lang w:val="en-US" w:eastAsia="zh-CN" w:bidi="ar"/>
              </w:rPr>
              <w:t>类</w:t>
            </w:r>
            <w:r>
              <w:rPr>
                <w:rFonts w:hint="eastAsia" w:ascii="宋体" w:hAnsi="宋体" w:eastAsia="宋体" w:cs="宋体"/>
                <w:color w:val="auto"/>
                <w:kern w:val="0"/>
                <w:sz w:val="21"/>
                <w:szCs w:val="21"/>
                <w:highlight w:val="none"/>
                <w:lang w:bidi="ar"/>
              </w:rPr>
              <w:t>、云原生电子病历</w:t>
            </w:r>
            <w:r>
              <w:rPr>
                <w:rFonts w:hint="eastAsia" w:ascii="宋体" w:hAnsi="宋体" w:eastAsia="宋体" w:cs="宋体"/>
                <w:color w:val="auto"/>
                <w:kern w:val="0"/>
                <w:sz w:val="21"/>
                <w:szCs w:val="21"/>
                <w:highlight w:val="none"/>
                <w:lang w:val="en-US" w:eastAsia="zh-CN" w:bidi="ar"/>
              </w:rPr>
              <w:t>类</w:t>
            </w:r>
            <w:r>
              <w:rPr>
                <w:rFonts w:hint="eastAsia" w:ascii="宋体" w:hAnsi="宋体" w:eastAsia="宋体" w:cs="宋体"/>
                <w:color w:val="auto"/>
                <w:kern w:val="0"/>
                <w:sz w:val="21"/>
                <w:szCs w:val="21"/>
                <w:highlight w:val="none"/>
                <w:lang w:bidi="ar"/>
              </w:rPr>
              <w:t>、综合管理平台</w:t>
            </w:r>
            <w:r>
              <w:rPr>
                <w:rFonts w:hint="eastAsia" w:ascii="宋体" w:hAnsi="宋体" w:eastAsia="宋体" w:cs="宋体"/>
                <w:color w:val="auto"/>
                <w:kern w:val="0"/>
                <w:sz w:val="21"/>
                <w:szCs w:val="21"/>
                <w:highlight w:val="none"/>
                <w:lang w:val="en-US" w:eastAsia="zh-CN" w:bidi="ar"/>
              </w:rPr>
              <w:t>类</w:t>
            </w:r>
            <w:r>
              <w:rPr>
                <w:rFonts w:hint="eastAsia" w:ascii="宋体" w:hAnsi="宋体" w:eastAsia="宋体" w:cs="宋体"/>
                <w:color w:val="auto"/>
                <w:kern w:val="0"/>
                <w:sz w:val="21"/>
                <w:szCs w:val="21"/>
                <w:highlight w:val="none"/>
                <w:lang w:bidi="ar"/>
              </w:rPr>
              <w:t>、信息集成平台</w:t>
            </w:r>
            <w:r>
              <w:rPr>
                <w:rFonts w:hint="eastAsia" w:ascii="宋体" w:hAnsi="宋体" w:eastAsia="宋体" w:cs="宋体"/>
                <w:color w:val="auto"/>
                <w:kern w:val="0"/>
                <w:sz w:val="21"/>
                <w:szCs w:val="21"/>
                <w:highlight w:val="none"/>
                <w:lang w:val="en-US" w:eastAsia="zh-CN" w:bidi="ar"/>
              </w:rPr>
              <w:t>类</w:t>
            </w:r>
            <w:r>
              <w:rPr>
                <w:rFonts w:hint="eastAsia" w:ascii="宋体" w:hAnsi="宋体" w:eastAsia="宋体" w:cs="宋体"/>
                <w:color w:val="auto"/>
                <w:kern w:val="0"/>
                <w:sz w:val="21"/>
                <w:szCs w:val="21"/>
                <w:highlight w:val="none"/>
                <w:lang w:bidi="ar"/>
              </w:rPr>
              <w:t>、临床数据中心</w:t>
            </w:r>
            <w:r>
              <w:rPr>
                <w:rFonts w:hint="eastAsia" w:ascii="宋体" w:hAnsi="宋体" w:eastAsia="宋体" w:cs="宋体"/>
                <w:color w:val="auto"/>
                <w:kern w:val="0"/>
                <w:sz w:val="21"/>
                <w:szCs w:val="21"/>
                <w:highlight w:val="none"/>
                <w:lang w:val="en-US" w:eastAsia="zh-CN" w:bidi="ar"/>
              </w:rPr>
              <w:t>类</w:t>
            </w:r>
            <w:r>
              <w:rPr>
                <w:rFonts w:hint="eastAsia" w:ascii="宋体" w:hAnsi="宋体" w:eastAsia="宋体" w:cs="宋体"/>
                <w:color w:val="auto"/>
                <w:kern w:val="0"/>
                <w:sz w:val="21"/>
                <w:szCs w:val="21"/>
                <w:highlight w:val="none"/>
                <w:lang w:bidi="ar"/>
              </w:rPr>
              <w:t>、运维监控平台系统</w:t>
            </w:r>
            <w:r>
              <w:rPr>
                <w:rFonts w:hint="eastAsia" w:ascii="宋体" w:hAnsi="宋体" w:eastAsia="宋体" w:cs="宋体"/>
                <w:color w:val="auto"/>
                <w:kern w:val="0"/>
                <w:sz w:val="21"/>
                <w:szCs w:val="21"/>
                <w:highlight w:val="none"/>
                <w:lang w:val="en-US" w:eastAsia="zh-CN" w:bidi="ar"/>
              </w:rPr>
              <w:t>类</w:t>
            </w:r>
            <w:r>
              <w:rPr>
                <w:rFonts w:hint="eastAsia" w:ascii="宋体" w:hAnsi="宋体" w:eastAsia="宋体" w:cs="宋体"/>
                <w:color w:val="auto"/>
                <w:kern w:val="0"/>
                <w:sz w:val="21"/>
                <w:szCs w:val="21"/>
                <w:highlight w:val="none"/>
                <w:lang w:bidi="ar"/>
              </w:rPr>
              <w:t>软件著作权，</w:t>
            </w:r>
            <w:r>
              <w:rPr>
                <w:rFonts w:hint="eastAsia" w:ascii="宋体" w:hAnsi="宋体" w:cs="宋体"/>
                <w:color w:val="auto"/>
                <w:kern w:val="0"/>
                <w:sz w:val="21"/>
                <w:szCs w:val="21"/>
                <w:highlight w:val="none"/>
                <w:lang w:val="en-US" w:eastAsia="zh-CN" w:bidi="ar"/>
              </w:rPr>
              <w:t>提供一</w:t>
            </w:r>
            <w:r>
              <w:rPr>
                <w:rFonts w:hint="eastAsia" w:ascii="宋体" w:hAnsi="宋体" w:eastAsia="宋体" w:cs="宋体"/>
                <w:color w:val="auto"/>
                <w:kern w:val="0"/>
                <w:sz w:val="21"/>
                <w:szCs w:val="21"/>
                <w:highlight w:val="none"/>
                <w:lang w:bidi="ar"/>
              </w:rPr>
              <w:t>个</w:t>
            </w:r>
            <w:r>
              <w:rPr>
                <w:rFonts w:hint="eastAsia" w:ascii="宋体" w:hAnsi="宋体" w:eastAsia="宋体" w:cs="宋体"/>
                <w:color w:val="auto"/>
                <w:kern w:val="0"/>
                <w:sz w:val="21"/>
                <w:szCs w:val="21"/>
                <w:highlight w:val="none"/>
                <w:lang w:val="en-US" w:eastAsia="zh-CN" w:bidi="ar"/>
              </w:rPr>
              <w:t>类别</w:t>
            </w:r>
            <w:r>
              <w:rPr>
                <w:rFonts w:hint="eastAsia" w:ascii="宋体" w:hAnsi="宋体" w:eastAsia="宋体" w:cs="宋体"/>
                <w:color w:val="auto"/>
                <w:kern w:val="0"/>
                <w:sz w:val="21"/>
                <w:szCs w:val="21"/>
                <w:highlight w:val="none"/>
                <w:lang w:bidi="ar"/>
              </w:rPr>
              <w:t>得0.5分，最多得</w:t>
            </w:r>
            <w:r>
              <w:rPr>
                <w:rFonts w:hint="eastAsia" w:ascii="宋体" w:hAnsi="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lang w:bidi="ar"/>
              </w:rPr>
              <w:t>分。（为保证系统的成熟度和高度集成，以上所有计算机软件著作权须由</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独自拥有，须提供相关证书复印件加盖公章）。</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2、供应商</w:t>
            </w:r>
            <w:r>
              <w:rPr>
                <w:rFonts w:hint="eastAsia" w:ascii="宋体" w:hAnsi="宋体" w:eastAsia="宋体" w:cs="宋体"/>
                <w:color w:val="auto"/>
                <w:kern w:val="0"/>
                <w:sz w:val="21"/>
                <w:szCs w:val="21"/>
                <w:highlight w:val="none"/>
                <w:lang w:bidi="ar"/>
              </w:rPr>
              <w:t>能够充分考虑本次项目建设实施的安全性、紧密性、创新性,且拥有</w:t>
            </w:r>
            <w:r>
              <w:rPr>
                <w:rFonts w:hint="eastAsia" w:ascii="宋体" w:hAnsi="宋体" w:eastAsia="宋体" w:cs="宋体"/>
                <w:color w:val="auto"/>
                <w:kern w:val="0"/>
                <w:sz w:val="21"/>
                <w:szCs w:val="21"/>
                <w:highlight w:val="none"/>
                <w:lang w:val="en-US" w:eastAsia="zh-CN" w:bidi="ar"/>
              </w:rPr>
              <w:t>信息化建设及数字化能力</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评委根据供应商能力相关证明进行综合评议，满分3分。</w:t>
            </w:r>
            <w:r>
              <w:rPr>
                <w:rFonts w:hint="eastAsia" w:ascii="宋体" w:hAnsi="宋体" w:eastAsia="宋体" w:cs="宋体"/>
                <w:color w:val="auto"/>
                <w:kern w:val="0"/>
                <w:sz w:val="21"/>
                <w:szCs w:val="21"/>
                <w:highlight w:val="none"/>
                <w:lang w:bidi="ar"/>
              </w:rPr>
              <w:t>（须提供</w:t>
            </w:r>
            <w:r>
              <w:rPr>
                <w:rFonts w:hint="eastAsia" w:ascii="宋体" w:hAnsi="宋体" w:eastAsia="宋体" w:cs="宋体"/>
                <w:color w:val="auto"/>
                <w:kern w:val="0"/>
                <w:sz w:val="21"/>
                <w:szCs w:val="21"/>
                <w:highlight w:val="none"/>
                <w:lang w:val="en-US" w:eastAsia="zh-CN" w:bidi="ar"/>
              </w:rPr>
              <w:t>证明</w:t>
            </w:r>
            <w:r>
              <w:rPr>
                <w:rFonts w:hint="eastAsia" w:ascii="宋体" w:hAnsi="宋体" w:eastAsia="宋体" w:cs="宋体"/>
                <w:color w:val="auto"/>
                <w:kern w:val="0"/>
                <w:sz w:val="21"/>
                <w:szCs w:val="21"/>
                <w:highlight w:val="none"/>
                <w:lang w:bidi="ar"/>
              </w:rPr>
              <w:t>加盖</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公章</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bidi="ar"/>
              </w:rPr>
              <w:t>为响应国家卫健委发布的《关于加快推进检查检验结果互认工作的通知》政策，有效缓解居民就医负担和推进分级诊疗实施，</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通过国家医疗信息系统互操作性集成规范测试的得2分。（提供《临床检验结果共享互操作性规范》通过相关测试证明的复印件并加盖公章）</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rPr>
              <w:t>4、投标</w:t>
            </w:r>
            <w:r>
              <w:rPr>
                <w:rFonts w:hint="eastAsia" w:ascii="宋体" w:hAnsi="宋体" w:eastAsia="宋体" w:cs="宋体"/>
                <w:color w:val="auto"/>
                <w:kern w:val="0"/>
                <w:sz w:val="21"/>
                <w:szCs w:val="21"/>
                <w:highlight w:val="none"/>
              </w:rPr>
              <w:t>产品</w:t>
            </w:r>
            <w:r>
              <w:rPr>
                <w:rFonts w:hint="eastAsia" w:ascii="宋体" w:hAnsi="宋体" w:eastAsia="宋体" w:cs="宋体"/>
                <w:color w:val="auto"/>
                <w:kern w:val="0"/>
                <w:sz w:val="21"/>
                <w:szCs w:val="21"/>
                <w:highlight w:val="none"/>
                <w:lang w:val="en-US" w:eastAsia="zh-CN"/>
              </w:rPr>
              <w:t>可通过</w:t>
            </w:r>
            <w:r>
              <w:rPr>
                <w:rFonts w:hint="eastAsia" w:ascii="宋体" w:hAnsi="宋体" w:eastAsia="宋体" w:cs="宋体"/>
                <w:color w:val="auto"/>
                <w:kern w:val="0"/>
                <w:sz w:val="21"/>
                <w:szCs w:val="21"/>
                <w:highlight w:val="none"/>
              </w:rPr>
              <w:t>场景测试（电子病历生成和读取、电子病历共享交换、临床辅助诊疗、患者、就诊、检查申请、检查报告、院内检验报告、院外检验报告、预约、手术、用药医嘱、术语）</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评委根据供应商提供的证明材料进行综合评议，满分3</w:t>
            </w:r>
            <w:r>
              <w:rPr>
                <w:rFonts w:hint="eastAsia" w:ascii="宋体" w:hAnsi="宋体" w:eastAsia="宋体" w:cs="宋体"/>
                <w:color w:val="auto"/>
                <w:kern w:val="0"/>
                <w:sz w:val="21"/>
                <w:szCs w:val="21"/>
                <w:highlight w:val="none"/>
              </w:rPr>
              <w:t>分。（须提供</w:t>
            </w:r>
            <w:r>
              <w:rPr>
                <w:rFonts w:hint="eastAsia" w:ascii="宋体" w:hAnsi="宋体" w:eastAsia="宋体" w:cs="宋体"/>
                <w:color w:val="auto"/>
                <w:kern w:val="0"/>
                <w:sz w:val="21"/>
                <w:szCs w:val="21"/>
                <w:highlight w:val="none"/>
                <w:lang w:val="en-US" w:eastAsia="zh-CN"/>
              </w:rPr>
              <w:t>证明材料</w:t>
            </w:r>
            <w:r>
              <w:rPr>
                <w:rFonts w:hint="eastAsia" w:ascii="宋体" w:hAnsi="宋体" w:eastAsia="宋体" w:cs="宋体"/>
                <w:color w:val="auto"/>
                <w:kern w:val="0"/>
                <w:sz w:val="21"/>
                <w:szCs w:val="21"/>
                <w:highlight w:val="none"/>
              </w:rPr>
              <w:t>加盖公章</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cs="宋体"/>
                <w:color w:val="auto"/>
                <w:kern w:val="0"/>
                <w:szCs w:val="21"/>
                <w:highlight w:val="none"/>
              </w:rPr>
              <w:t>供应商拥有科技部颁发的电子病历国家火炬计划项目证书</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得2分。（须提供证书复印件加盖公章）</w:t>
            </w:r>
          </w:p>
        </w:tc>
        <w:tc>
          <w:tcPr>
            <w:tcW w:w="992" w:type="dxa"/>
            <w:shd w:val="clear" w:color="auto" w:fill="auto"/>
            <w:vAlign w:val="center"/>
          </w:tcPr>
          <w:p>
            <w:pPr>
              <w:widowControl/>
              <w:adjustRightInd w:val="0"/>
              <w:snapToGrid w:val="0"/>
              <w:spacing w:line="360" w:lineRule="auto"/>
              <w:jc w:val="center"/>
              <w:rPr>
                <w:rFonts w:hint="eastAsia" w:ascii="宋体" w:hAnsi="宋体" w:cs="宋体"/>
                <w:color w:val="auto"/>
                <w:kern w:val="0"/>
                <w:szCs w:val="21"/>
                <w:highlight w:val="none"/>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lang w:val="en-US" w:eastAsia="zh-CN"/>
              </w:rPr>
              <w:t>6</w:t>
            </w:r>
            <w:r>
              <w:rPr>
                <w:rFonts w:hint="eastAsia" w:ascii="宋体" w:hAnsi="宋体" w:cs="宋体"/>
                <w:color w:val="auto"/>
                <w:kern w:val="0"/>
                <w:szCs w:val="21"/>
                <w:highlight w:val="none"/>
              </w:rPr>
              <w:t>、为了保障项目安全建设，供应商通过安全生产标准化，</w:t>
            </w:r>
            <w:r>
              <w:rPr>
                <w:rFonts w:hint="eastAsia" w:ascii="宋体" w:hAnsi="宋体" w:cs="宋体"/>
                <w:color w:val="auto"/>
                <w:kern w:val="0"/>
                <w:szCs w:val="21"/>
                <w:highlight w:val="none"/>
                <w:lang w:val="en-US" w:eastAsia="zh-CN"/>
              </w:rPr>
              <w:t>获得</w:t>
            </w:r>
            <w:r>
              <w:rPr>
                <w:rFonts w:hint="eastAsia" w:ascii="宋体" w:hAnsi="宋体" w:cs="宋体"/>
                <w:color w:val="auto"/>
                <w:kern w:val="0"/>
                <w:szCs w:val="21"/>
                <w:highlight w:val="none"/>
              </w:rPr>
              <w:t>三级及以上企业认证</w:t>
            </w:r>
            <w:r>
              <w:rPr>
                <w:rFonts w:hint="eastAsia" w:ascii="宋体" w:hAnsi="宋体" w:cs="宋体"/>
                <w:color w:val="auto"/>
                <w:kern w:val="0"/>
                <w:szCs w:val="21"/>
                <w:highlight w:val="none"/>
                <w:lang w:val="en-US" w:eastAsia="zh-CN"/>
              </w:rPr>
              <w:t>的</w:t>
            </w:r>
            <w:r>
              <w:rPr>
                <w:rFonts w:hint="eastAsia" w:ascii="宋体" w:hAnsi="宋体" w:cs="宋体"/>
                <w:color w:val="auto"/>
                <w:kern w:val="0"/>
                <w:szCs w:val="21"/>
                <w:highlight w:val="none"/>
              </w:rPr>
              <w:t>得2分。（须提供证书复印件加盖公章）</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Cs w:val="21"/>
                <w:highlight w:val="none"/>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restart"/>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业绩分</w:t>
            </w: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val="en-US" w:eastAsia="zh-CN" w:bidi="ar"/>
              </w:rPr>
              <w:t>7</w:t>
            </w:r>
            <w:r>
              <w:rPr>
                <w:rFonts w:hint="eastAsia" w:ascii="宋体" w:hAnsi="宋体" w:cs="宋体"/>
                <w:color w:val="auto"/>
                <w:kern w:val="0"/>
                <w:szCs w:val="21"/>
                <w:highlight w:val="none"/>
                <w:lang w:bidi="ar"/>
              </w:rPr>
              <w:t>、供应商具有医院项目建设的成功经验，提供2019年1月1日至今（以合同签订时间为准）类似项目业绩，合同内容</w:t>
            </w:r>
            <w:r>
              <w:rPr>
                <w:rFonts w:hint="eastAsia" w:ascii="宋体" w:hAnsi="宋体" w:cs="宋体"/>
                <w:color w:val="auto"/>
                <w:kern w:val="0"/>
                <w:szCs w:val="21"/>
                <w:highlight w:val="none"/>
                <w:lang w:val="en-US" w:eastAsia="zh-CN" w:bidi="ar"/>
              </w:rPr>
              <w:t>同时</w:t>
            </w:r>
            <w:r>
              <w:rPr>
                <w:rFonts w:hint="eastAsia" w:ascii="宋体" w:hAnsi="宋体" w:cs="宋体"/>
                <w:color w:val="auto"/>
                <w:kern w:val="0"/>
                <w:szCs w:val="21"/>
                <w:highlight w:val="none"/>
                <w:lang w:bidi="ar"/>
              </w:rPr>
              <w:t>包含HIS、电子病历、集成平台系统，每提供一个类似业绩得0.5分，本项最高得1分。（须提供合同复印件加盖公章）</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ascii="宋体" w:hAnsi="宋体" w:cs="宋体"/>
                <w:color w:val="auto"/>
                <w:kern w:val="0"/>
                <w:szCs w:val="21"/>
                <w:highlight w:val="none"/>
                <w:lang w:bidi="ar"/>
              </w:rPr>
            </w:pPr>
            <w:r>
              <w:rPr>
                <w:rFonts w:hint="eastAsia" w:ascii="宋体" w:hAnsi="宋体" w:cs="宋体"/>
                <w:color w:val="auto"/>
                <w:kern w:val="0"/>
                <w:szCs w:val="21"/>
                <w:highlight w:val="none"/>
                <w:lang w:val="en-US" w:eastAsia="zh-CN" w:bidi="ar"/>
              </w:rPr>
              <w:t>8</w:t>
            </w:r>
            <w:r>
              <w:rPr>
                <w:rFonts w:hint="eastAsia" w:ascii="宋体" w:hAnsi="宋体" w:cs="宋体"/>
                <w:color w:val="auto"/>
                <w:kern w:val="0"/>
                <w:szCs w:val="21"/>
                <w:highlight w:val="none"/>
                <w:lang w:bidi="ar"/>
              </w:rPr>
              <w:t>、投标人具有承建</w:t>
            </w:r>
            <w:r>
              <w:rPr>
                <w:rFonts w:hint="eastAsia" w:ascii="宋体" w:hAnsi="宋体" w:cs="宋体"/>
                <w:color w:val="auto"/>
                <w:kern w:val="0"/>
                <w:szCs w:val="21"/>
                <w:highlight w:val="none"/>
                <w:lang w:val="en-US" w:eastAsia="zh-CN" w:bidi="ar"/>
              </w:rPr>
              <w:t>的</w:t>
            </w:r>
            <w:r>
              <w:rPr>
                <w:rFonts w:hint="eastAsia" w:ascii="宋体" w:hAnsi="宋体" w:cs="宋体"/>
                <w:color w:val="auto"/>
                <w:kern w:val="0"/>
                <w:szCs w:val="21"/>
                <w:highlight w:val="none"/>
                <w:lang w:bidi="ar"/>
              </w:rPr>
              <w:t>单个医院同时通过 “电子病历系统功能应用分级评价”六级和“医院信息互联互通标准化成熟度测评”达到五乙水平的项目业绩经验</w:t>
            </w:r>
            <w:r>
              <w:rPr>
                <w:rFonts w:hint="eastAsia" w:ascii="宋体" w:hAnsi="宋体" w:cs="宋体"/>
                <w:color w:val="auto"/>
                <w:kern w:val="0"/>
                <w:szCs w:val="21"/>
                <w:highlight w:val="none"/>
                <w:lang w:val="en-US" w:eastAsia="zh-CN" w:bidi="ar"/>
              </w:rPr>
              <w:t>的</w:t>
            </w:r>
            <w:r>
              <w:rPr>
                <w:rFonts w:hint="eastAsia" w:ascii="宋体" w:hAnsi="宋体" w:cs="宋体"/>
                <w:color w:val="auto"/>
                <w:kern w:val="0"/>
                <w:szCs w:val="21"/>
                <w:highlight w:val="none"/>
                <w:lang w:bidi="ar"/>
              </w:rPr>
              <w:t>得2分。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Cs w:val="21"/>
                <w:highlight w:val="none"/>
                <w:lang w:bidi="ar"/>
              </w:rPr>
              <w:t>（须提供中标公告网站截图或中标通知书、项目合同（合同中需能体现电子病历、集成平台建设内容）、用户通过上述（电子病历、互联互通）评级的官方公示文件或证书复印件，以上3项证明材料加盖公章。</w:t>
            </w:r>
            <w:r>
              <w:rPr>
                <w:rFonts w:hint="eastAsia" w:ascii="宋体" w:hAnsi="宋体" w:cs="宋体"/>
                <w:color w:val="auto"/>
                <w:kern w:val="0"/>
                <w:szCs w:val="21"/>
                <w:highlight w:val="none"/>
                <w:lang w:val="en-US" w:eastAsia="zh-CN" w:bidi="ar"/>
              </w:rPr>
              <w:t>证明材料不全</w:t>
            </w:r>
            <w:r>
              <w:rPr>
                <w:rFonts w:hint="eastAsia" w:ascii="宋体" w:hAnsi="宋体" w:cs="宋体"/>
                <w:color w:val="auto"/>
                <w:kern w:val="0"/>
                <w:szCs w:val="21"/>
                <w:highlight w:val="none"/>
                <w:lang w:bidi="ar"/>
              </w:rPr>
              <w:t>的，不得分。）</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jc w:val="center"/>
        </w:trPr>
        <w:tc>
          <w:tcPr>
            <w:tcW w:w="1328"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项目技术方案</w:t>
            </w: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9</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对第二章“采购需求”</w:t>
            </w:r>
            <w:r>
              <w:rPr>
                <w:rFonts w:hint="eastAsia" w:ascii="宋体" w:hAnsi="宋体" w:eastAsia="宋体" w:cs="宋体"/>
                <w:color w:val="auto"/>
                <w:kern w:val="0"/>
                <w:sz w:val="21"/>
                <w:szCs w:val="21"/>
                <w:highlight w:val="none"/>
                <w:lang w:val="en-US" w:eastAsia="zh-CN" w:bidi="ar"/>
              </w:rPr>
              <w:t>2.2</w:t>
            </w:r>
            <w:r>
              <w:rPr>
                <w:rFonts w:hint="eastAsia" w:ascii="宋体" w:hAnsi="宋体" w:eastAsia="宋体" w:cs="宋体"/>
                <w:color w:val="auto"/>
                <w:kern w:val="0"/>
                <w:sz w:val="21"/>
                <w:szCs w:val="21"/>
                <w:highlight w:val="none"/>
                <w:lang w:bidi="ar"/>
              </w:rPr>
              <w:t>建设内容响应情况，标注“▲”参数每一项负偏离（或不响应）扣</w:t>
            </w: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分，须提供相应产品功能截图证明</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无相关证明材料不得分</w:t>
            </w:r>
            <w:r>
              <w:rPr>
                <w:rFonts w:hint="eastAsia" w:ascii="宋体" w:hAnsi="宋体" w:eastAsia="宋体" w:cs="宋体"/>
                <w:color w:val="auto"/>
                <w:kern w:val="0"/>
                <w:sz w:val="21"/>
                <w:szCs w:val="21"/>
                <w:highlight w:val="none"/>
                <w:lang w:bidi="ar"/>
              </w:rPr>
              <w:t>。</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非标注“▲”参数每一项负偏离的（或不响应）扣</w:t>
            </w:r>
            <w:r>
              <w:rPr>
                <w:rFonts w:hint="eastAsia" w:ascii="宋体" w:hAnsi="宋体" w:cs="宋体"/>
                <w:color w:val="auto"/>
                <w:kern w:val="0"/>
                <w:sz w:val="21"/>
                <w:szCs w:val="21"/>
                <w:highlight w:val="none"/>
                <w:lang w:val="en-US" w:eastAsia="zh-CN" w:bidi="ar"/>
              </w:rPr>
              <w:t>0.5</w:t>
            </w:r>
            <w:r>
              <w:rPr>
                <w:rFonts w:hint="eastAsia" w:ascii="宋体" w:hAnsi="宋体" w:eastAsia="宋体" w:cs="宋体"/>
                <w:color w:val="auto"/>
                <w:kern w:val="0"/>
                <w:sz w:val="21"/>
                <w:szCs w:val="21"/>
                <w:highlight w:val="none"/>
                <w:lang w:bidi="ar"/>
              </w:rPr>
              <w:t>分。</w:t>
            </w:r>
          </w:p>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bidi="ar"/>
              </w:rPr>
              <w:t>当有供应商此项分值扣减至0分时，该供应商投标将被拒绝，其投标文件作无效标处理，不再进行评审。</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10</w:t>
            </w:r>
            <w:r>
              <w:rPr>
                <w:rFonts w:hint="eastAsia" w:ascii="宋体" w:hAnsi="宋体" w:eastAsia="宋体" w:cs="宋体"/>
                <w:color w:val="auto"/>
                <w:kern w:val="0"/>
                <w:sz w:val="21"/>
                <w:szCs w:val="21"/>
                <w:highlight w:val="none"/>
                <w:lang w:val="en-US" w:eastAsia="zh-CN" w:bidi="ar"/>
              </w:rPr>
              <w:t>、根据供应商</w:t>
            </w:r>
            <w:r>
              <w:rPr>
                <w:rFonts w:hint="eastAsia" w:ascii="宋体" w:hAnsi="宋体" w:eastAsia="宋体" w:cs="宋体"/>
                <w:color w:val="auto"/>
                <w:kern w:val="0"/>
                <w:sz w:val="21"/>
                <w:szCs w:val="21"/>
                <w:highlight w:val="none"/>
                <w:lang w:bidi="ar"/>
              </w:rPr>
              <w:t>提供对项目背景、信息化现状、建设目标等方面整体情况的分析</w:t>
            </w:r>
            <w:r>
              <w:rPr>
                <w:rFonts w:hint="eastAsia" w:ascii="宋体" w:hAnsi="宋体" w:eastAsia="宋体" w:cs="宋体"/>
                <w:color w:val="auto"/>
                <w:kern w:val="0"/>
                <w:sz w:val="21"/>
                <w:szCs w:val="21"/>
                <w:highlight w:val="none"/>
                <w:lang w:val="en-US" w:eastAsia="zh-CN" w:bidi="ar"/>
              </w:rPr>
              <w:t>和理解程度</w:t>
            </w:r>
            <w:r>
              <w:rPr>
                <w:rFonts w:hint="eastAsia" w:ascii="宋体" w:hAnsi="宋体" w:eastAsia="宋体" w:cs="宋体"/>
                <w:color w:val="auto"/>
                <w:kern w:val="0"/>
                <w:sz w:val="21"/>
                <w:szCs w:val="21"/>
                <w:highlight w:val="none"/>
                <w:lang w:bidi="ar"/>
              </w:rPr>
              <w:t>进行综合</w:t>
            </w:r>
            <w:r>
              <w:rPr>
                <w:rFonts w:hint="eastAsia" w:ascii="宋体" w:hAnsi="宋体" w:eastAsia="宋体" w:cs="宋体"/>
                <w:color w:val="auto"/>
                <w:kern w:val="0"/>
                <w:sz w:val="21"/>
                <w:szCs w:val="21"/>
                <w:highlight w:val="none"/>
                <w:lang w:val="en-US" w:eastAsia="zh-CN" w:bidi="ar"/>
              </w:rPr>
              <w:t>评议，满分4分</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cs="宋体"/>
                <w:color w:val="auto"/>
                <w:kern w:val="0"/>
                <w:sz w:val="21"/>
                <w:szCs w:val="21"/>
                <w:highlight w:val="none"/>
                <w:lang w:val="en-US" w:eastAsia="zh-CN" w:bidi="ar"/>
              </w:rPr>
              <w:t>11</w:t>
            </w:r>
            <w:r>
              <w:rPr>
                <w:rFonts w:hint="eastAsia" w:ascii="宋体" w:hAnsi="宋体" w:eastAsia="宋体" w:cs="宋体"/>
                <w:color w:val="auto"/>
                <w:kern w:val="0"/>
                <w:sz w:val="21"/>
                <w:szCs w:val="21"/>
                <w:highlight w:val="none"/>
                <w:lang w:val="en-US" w:eastAsia="zh-CN" w:bidi="ar"/>
              </w:rPr>
              <w:t>、</w:t>
            </w:r>
            <w:r>
              <w:rPr>
                <w:rFonts w:hint="eastAsia" w:ascii="宋体" w:hAnsi="宋体" w:eastAsia="宋体" w:cs="宋体"/>
                <w:color w:val="auto"/>
                <w:kern w:val="0"/>
                <w:sz w:val="21"/>
                <w:szCs w:val="21"/>
                <w:highlight w:val="none"/>
                <w:lang w:bidi="ar"/>
              </w:rPr>
              <w:t>根据</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提供的项目总体设计方案，</w:t>
            </w:r>
            <w:r>
              <w:rPr>
                <w:rFonts w:hint="eastAsia" w:ascii="宋体" w:hAnsi="宋体" w:eastAsia="宋体" w:cs="宋体"/>
                <w:color w:val="auto"/>
                <w:kern w:val="0"/>
                <w:sz w:val="21"/>
                <w:szCs w:val="21"/>
                <w:highlight w:val="none"/>
                <w:lang w:val="en-US" w:eastAsia="zh-CN" w:bidi="ar"/>
              </w:rPr>
              <w:t>是否</w:t>
            </w:r>
            <w:r>
              <w:rPr>
                <w:rFonts w:hint="eastAsia" w:ascii="宋体" w:hAnsi="宋体" w:eastAsia="宋体" w:cs="宋体"/>
                <w:color w:val="auto"/>
                <w:kern w:val="0"/>
                <w:sz w:val="21"/>
                <w:szCs w:val="21"/>
                <w:highlight w:val="none"/>
                <w:lang w:bidi="ar"/>
              </w:rPr>
              <w:t>思路明确，内容全面，</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val="en-US" w:eastAsia="zh-CN" w:bidi="ar"/>
              </w:rPr>
              <w:t>包括但不限于</w:t>
            </w:r>
            <w:r>
              <w:rPr>
                <w:rFonts w:hint="eastAsia" w:ascii="宋体" w:hAnsi="宋体" w:eastAsia="宋体" w:cs="宋体"/>
                <w:color w:val="auto"/>
                <w:kern w:val="0"/>
                <w:sz w:val="21"/>
                <w:szCs w:val="21"/>
                <w:highlight w:val="none"/>
                <w:lang w:bidi="ar"/>
              </w:rPr>
              <w:t>解决系统关键问题、系统扩展性考虑、体系结构等</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，根据方案的合理性、可行性、针对性、完整性进行综合</w:t>
            </w:r>
            <w:r>
              <w:rPr>
                <w:rFonts w:hint="eastAsia" w:ascii="宋体" w:hAnsi="宋体" w:eastAsia="宋体" w:cs="宋体"/>
                <w:color w:val="auto"/>
                <w:kern w:val="0"/>
                <w:sz w:val="21"/>
                <w:szCs w:val="21"/>
                <w:highlight w:val="none"/>
                <w:lang w:val="en-US" w:eastAsia="zh-CN" w:bidi="ar"/>
              </w:rPr>
              <w:t>评议，满分4分</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0" w:hRule="atLeast"/>
          <w:jc w:val="center"/>
        </w:trPr>
        <w:tc>
          <w:tcPr>
            <w:tcW w:w="1328" w:type="dxa"/>
            <w:vMerge w:val="continue"/>
            <w:shd w:val="clear" w:color="auto" w:fill="auto"/>
            <w:vAlign w:val="center"/>
          </w:tcPr>
          <w:p>
            <w:pPr>
              <w:spacing w:line="360" w:lineRule="auto"/>
              <w:rPr>
                <w:rFonts w:hint="eastAsia" w:ascii="宋体" w:hAnsi="宋体" w:eastAsia="宋体" w:cs="宋体"/>
                <w:color w:val="auto"/>
                <w:sz w:val="21"/>
                <w:szCs w:val="21"/>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shd w:val="clear" w:color="auto" w:fill="FFFFFF"/>
                <w:lang w:val="en-US" w:eastAsia="zh-CN" w:bidi="ar"/>
              </w:rPr>
              <w:t>1</w:t>
            </w:r>
            <w:r>
              <w:rPr>
                <w:rFonts w:hint="eastAsia" w:ascii="宋体" w:hAnsi="宋体" w:cs="宋体"/>
                <w:color w:val="auto"/>
                <w:sz w:val="21"/>
                <w:szCs w:val="21"/>
                <w:highlight w:val="none"/>
                <w:shd w:val="clear" w:color="auto" w:fill="FFFFFF"/>
                <w:lang w:val="en-US" w:eastAsia="zh-CN" w:bidi="ar"/>
              </w:rPr>
              <w:t>2</w:t>
            </w:r>
            <w:r>
              <w:rPr>
                <w:rFonts w:hint="eastAsia" w:ascii="宋体" w:hAnsi="宋体" w:eastAsia="宋体" w:cs="宋体"/>
                <w:color w:val="auto"/>
                <w:sz w:val="21"/>
                <w:szCs w:val="21"/>
                <w:highlight w:val="none"/>
                <w:shd w:val="clear" w:color="auto" w:fill="FFFFFF"/>
                <w:lang w:val="en-US" w:eastAsia="zh-CN" w:bidi="ar"/>
              </w:rPr>
              <w:t>、供应商</w:t>
            </w:r>
            <w:r>
              <w:rPr>
                <w:rFonts w:hint="eastAsia" w:ascii="宋体" w:hAnsi="宋体" w:eastAsia="宋体" w:cs="宋体"/>
                <w:color w:val="auto"/>
                <w:sz w:val="21"/>
                <w:szCs w:val="21"/>
                <w:highlight w:val="none"/>
                <w:shd w:val="clear" w:color="auto" w:fill="FFFFFF"/>
                <w:lang w:bidi="ar"/>
              </w:rPr>
              <w:t>提供专业技术能力解决方案，应用于医院集成环境，满足以病人为中心的信息资源整合利用，满足以电子病历为核心的医院数据中心建设，可以对功能模块之间进行独立扩展、独立部署，弹性扩展，支持灰度发布（支持按科室按人员及按IP分开不同产品版本并行，不同科室不同站点不同版本并行）；同时支持业务中台和数据中台，在业务中台医院业务以微服务的方式进行拆分重构，在数据中台对医院数据进行整合赋能以及多院区融合赋能，</w:t>
            </w:r>
            <w:r>
              <w:rPr>
                <w:rFonts w:hint="eastAsia" w:ascii="宋体" w:hAnsi="宋体" w:cs="宋体"/>
                <w:color w:val="auto"/>
                <w:sz w:val="21"/>
                <w:szCs w:val="21"/>
                <w:highlight w:val="none"/>
                <w:shd w:val="clear" w:color="auto" w:fill="FFFFFF"/>
                <w:lang w:val="en-US" w:eastAsia="zh-CN" w:bidi="ar"/>
              </w:rPr>
              <w:t>评委对专业技术能力解决方案</w:t>
            </w:r>
            <w:r>
              <w:rPr>
                <w:rFonts w:hint="eastAsia" w:ascii="宋体" w:hAnsi="宋体" w:eastAsia="宋体" w:cs="宋体"/>
                <w:color w:val="auto"/>
                <w:sz w:val="21"/>
                <w:szCs w:val="21"/>
                <w:highlight w:val="none"/>
                <w:shd w:val="clear" w:color="auto" w:fill="FFFFFF"/>
                <w:lang w:bidi="ar"/>
              </w:rPr>
              <w:t>进行综合</w:t>
            </w:r>
            <w:r>
              <w:rPr>
                <w:rFonts w:hint="eastAsia" w:ascii="宋体" w:hAnsi="宋体" w:eastAsia="宋体" w:cs="宋体"/>
                <w:color w:val="auto"/>
                <w:sz w:val="21"/>
                <w:szCs w:val="21"/>
                <w:highlight w:val="none"/>
                <w:shd w:val="clear" w:color="auto" w:fill="FFFFFF"/>
                <w:lang w:val="en-US" w:eastAsia="zh-CN" w:bidi="ar"/>
              </w:rPr>
              <w:t>评议，满分</w:t>
            </w:r>
            <w:r>
              <w:rPr>
                <w:rFonts w:hint="eastAsia" w:ascii="宋体" w:hAnsi="宋体" w:cs="宋体"/>
                <w:color w:val="auto"/>
                <w:sz w:val="21"/>
                <w:szCs w:val="21"/>
                <w:highlight w:val="none"/>
                <w:shd w:val="clear" w:color="auto" w:fill="FFFFFF"/>
                <w:lang w:val="en-US" w:eastAsia="zh-CN" w:bidi="ar"/>
              </w:rPr>
              <w:t>5</w:t>
            </w:r>
            <w:r>
              <w:rPr>
                <w:rFonts w:hint="eastAsia" w:ascii="宋体" w:hAnsi="宋体" w:eastAsia="宋体" w:cs="宋体"/>
                <w:color w:val="auto"/>
                <w:sz w:val="21"/>
                <w:szCs w:val="21"/>
                <w:highlight w:val="none"/>
                <w:shd w:val="clear" w:color="auto" w:fill="FFFFFF"/>
                <w:lang w:val="en-US" w:eastAsia="zh-CN" w:bidi="ar"/>
              </w:rPr>
              <w:t>分</w:t>
            </w:r>
            <w:r>
              <w:rPr>
                <w:rFonts w:hint="eastAsia" w:ascii="宋体" w:hAnsi="宋体" w:eastAsia="宋体" w:cs="宋体"/>
                <w:color w:val="auto"/>
                <w:sz w:val="21"/>
                <w:szCs w:val="21"/>
                <w:highlight w:val="none"/>
                <w:shd w:val="clear" w:color="auto" w:fill="FFFFFF"/>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cs="宋体"/>
                <w:color w:val="auto"/>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328" w:type="dxa"/>
            <w:vMerge w:val="restart"/>
            <w:shd w:val="clear" w:color="auto" w:fill="auto"/>
            <w:vAlign w:val="center"/>
          </w:tcPr>
          <w:p>
            <w:pPr>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实施方案</w:t>
            </w: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3</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提供项目实施方案，实施方案具有科学性、合理性、规范性和可操作性，实施过程包括但不限于软件开发、安装调试、系统集成、试运行、验收等内容，同时提供组织机构、工作时间进度表、管理和协调方法、关键步骤的思路和要点等，根据方案内容进行综合</w:t>
            </w:r>
            <w:r>
              <w:rPr>
                <w:rFonts w:hint="eastAsia" w:ascii="宋体" w:hAnsi="宋体" w:eastAsia="宋体" w:cs="宋体"/>
                <w:color w:val="auto"/>
                <w:kern w:val="0"/>
                <w:sz w:val="21"/>
                <w:szCs w:val="21"/>
                <w:highlight w:val="none"/>
                <w:lang w:val="en-US" w:eastAsia="zh-CN" w:bidi="ar"/>
              </w:rPr>
              <w:t>评议，满分5分</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widowControl/>
              <w:adjustRightInd w:val="0"/>
              <w:snapToGrid w:val="0"/>
              <w:spacing w:line="360" w:lineRule="auto"/>
              <w:jc w:val="center"/>
              <w:rPr>
                <w:color w:val="auto"/>
                <w:highlight w:val="none"/>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jc w:val="both"/>
              <w:textAlignment w:val="auto"/>
              <w:rPr>
                <w:rFonts w:hint="eastAsia"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14、根据</w:t>
            </w:r>
            <w:r>
              <w:rPr>
                <w:rFonts w:hint="eastAsia" w:ascii="宋体" w:hAnsi="宋体" w:eastAsia="宋体" w:cs="宋体"/>
                <w:color w:val="auto"/>
                <w:kern w:val="0"/>
                <w:sz w:val="21"/>
                <w:szCs w:val="21"/>
                <w:highlight w:val="none"/>
                <w:lang w:val="en-US" w:eastAsia="zh-CN" w:bidi="ar"/>
              </w:rPr>
              <w:t>供应商</w:t>
            </w:r>
            <w:r>
              <w:rPr>
                <w:rFonts w:hint="eastAsia" w:ascii="宋体" w:hAnsi="宋体" w:cs="宋体"/>
                <w:color w:val="auto"/>
                <w:kern w:val="0"/>
                <w:sz w:val="21"/>
                <w:szCs w:val="21"/>
                <w:highlight w:val="none"/>
                <w:lang w:val="en-US" w:eastAsia="zh-CN" w:bidi="ar"/>
              </w:rPr>
              <w:t>提供的</w:t>
            </w:r>
            <w:r>
              <w:rPr>
                <w:rFonts w:hint="eastAsia" w:ascii="宋体" w:hAnsi="宋体" w:eastAsia="宋体" w:cs="宋体"/>
                <w:color w:val="auto"/>
                <w:kern w:val="0"/>
                <w:sz w:val="21"/>
                <w:szCs w:val="21"/>
                <w:highlight w:val="none"/>
                <w:lang w:val="en-US" w:eastAsia="zh-CN" w:bidi="ar"/>
              </w:rPr>
              <w:t>多院区信息互通</w:t>
            </w:r>
            <w:r>
              <w:rPr>
                <w:rFonts w:hint="eastAsia" w:ascii="宋体" w:hAnsi="宋体" w:cs="宋体"/>
                <w:color w:val="auto"/>
                <w:kern w:val="0"/>
                <w:sz w:val="21"/>
                <w:szCs w:val="21"/>
                <w:highlight w:val="none"/>
                <w:lang w:val="en-US" w:eastAsia="zh-CN" w:bidi="ar"/>
              </w:rPr>
              <w:t>保障方案</w:t>
            </w:r>
            <w:r>
              <w:rPr>
                <w:rFonts w:hint="eastAsia" w:ascii="宋体" w:hAnsi="宋体" w:eastAsia="宋体" w:cs="宋体"/>
                <w:color w:val="auto"/>
                <w:kern w:val="0"/>
                <w:sz w:val="21"/>
                <w:szCs w:val="21"/>
                <w:highlight w:val="none"/>
                <w:lang w:val="en-US" w:eastAsia="zh-CN" w:bidi="ar"/>
              </w:rPr>
              <w:t>，一院两区的一体化设计</w:t>
            </w:r>
            <w:r>
              <w:rPr>
                <w:rFonts w:hint="eastAsia" w:ascii="宋体" w:hAnsi="宋体" w:cs="宋体"/>
                <w:color w:val="auto"/>
                <w:kern w:val="0"/>
                <w:sz w:val="21"/>
                <w:szCs w:val="21"/>
                <w:highlight w:val="none"/>
                <w:lang w:val="en-US" w:eastAsia="zh-CN" w:bidi="ar"/>
              </w:rPr>
              <w:t>方案进行</w:t>
            </w:r>
            <w:r>
              <w:rPr>
                <w:rFonts w:hint="eastAsia" w:ascii="宋体" w:hAnsi="宋体" w:eastAsia="宋体" w:cs="宋体"/>
                <w:color w:val="auto"/>
                <w:kern w:val="0"/>
                <w:sz w:val="21"/>
                <w:szCs w:val="21"/>
                <w:highlight w:val="none"/>
                <w:lang w:val="en-US" w:eastAsia="zh-CN" w:bidi="ar"/>
              </w:rPr>
              <w:t>综合评议，满分</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分</w:t>
            </w:r>
            <w:r>
              <w:rPr>
                <w:rFonts w:hint="eastAsia" w:ascii="宋体" w:hAnsi="宋体" w:cs="宋体"/>
                <w:color w:val="auto"/>
                <w:kern w:val="0"/>
                <w:sz w:val="21"/>
                <w:szCs w:val="21"/>
                <w:highlight w:val="none"/>
                <w:lang w:val="en-US" w:eastAsia="zh-CN" w:bidi="ar"/>
              </w:rPr>
              <w:t>。</w:t>
            </w:r>
          </w:p>
        </w:tc>
        <w:tc>
          <w:tcPr>
            <w:tcW w:w="992"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1"/>
                <w:szCs w:val="21"/>
                <w:highlight w:val="none"/>
                <w:lang w:val="en-US" w:eastAsia="zh-CN" w:bidi="ar"/>
              </w:rPr>
            </w:pPr>
            <w:r>
              <w:rPr>
                <w:rFonts w:hint="eastAsia" w:ascii="宋体" w:hAnsi="宋体" w:cs="宋体"/>
                <w:color w:val="auto"/>
                <w:kern w:val="0"/>
                <w:sz w:val="21"/>
                <w:szCs w:val="21"/>
                <w:highlight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培训方案</w:t>
            </w: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5</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提供详细的培训方案，包括但不限于培训内容、时间、地点、人次、师资力量安排等，系统计算机管理人员培训，重点培训为软、硬件的安装、维护、调试、配置及使用技能；业务人员培训，重点对相应应用的操作、使用，进行综合</w:t>
            </w:r>
            <w:r>
              <w:rPr>
                <w:rFonts w:hint="eastAsia" w:ascii="宋体" w:hAnsi="宋体" w:eastAsia="宋体" w:cs="宋体"/>
                <w:color w:val="auto"/>
                <w:kern w:val="0"/>
                <w:sz w:val="21"/>
                <w:szCs w:val="21"/>
                <w:highlight w:val="none"/>
                <w:lang w:val="en-US" w:eastAsia="zh-CN" w:bidi="ar"/>
              </w:rPr>
              <w:t>评议，满分5分</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328"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人员安排</w:t>
            </w:r>
          </w:p>
        </w:tc>
        <w:tc>
          <w:tcPr>
            <w:tcW w:w="6185" w:type="dxa"/>
            <w:shd w:val="clear" w:color="auto" w:fill="auto"/>
            <w:vAlign w:val="center"/>
          </w:tcPr>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6</w:t>
            </w:r>
            <w:r>
              <w:rPr>
                <w:rFonts w:hint="eastAsia" w:ascii="宋体" w:hAnsi="宋体" w:eastAsia="宋体" w:cs="宋体"/>
                <w:color w:val="auto"/>
                <w:kern w:val="0"/>
                <w:sz w:val="21"/>
                <w:szCs w:val="21"/>
                <w:highlight w:val="none"/>
                <w:lang w:val="en-US" w:eastAsia="zh-CN" w:bidi="ar"/>
              </w:rPr>
              <w:t>、供应商</w:t>
            </w:r>
            <w:r>
              <w:rPr>
                <w:rFonts w:hint="eastAsia" w:ascii="宋体" w:hAnsi="宋体" w:eastAsia="宋体" w:cs="宋体"/>
                <w:color w:val="auto"/>
                <w:kern w:val="0"/>
                <w:sz w:val="21"/>
                <w:szCs w:val="21"/>
                <w:highlight w:val="none"/>
                <w:lang w:bidi="ar"/>
              </w:rPr>
              <w:t>实施团队组成结构合理，包括项目经理、产品经理、研发经理、系统设计师、研发工程师、测试工程师、实施工程师等；</w:t>
            </w:r>
            <w:r>
              <w:rPr>
                <w:rFonts w:hint="eastAsia" w:ascii="宋体" w:hAnsi="宋体" w:eastAsia="宋体" w:cs="宋体"/>
                <w:color w:val="auto"/>
                <w:kern w:val="0"/>
                <w:sz w:val="21"/>
                <w:szCs w:val="21"/>
                <w:highlight w:val="none"/>
                <w:lang w:val="en-US" w:eastAsia="zh-CN" w:bidi="ar"/>
              </w:rPr>
              <w:t>评委根据拟投入人员的技术水平、服务能力等进行综合评议，满分5分。</w:t>
            </w:r>
          </w:p>
          <w:p>
            <w:pPr>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投标文件中</w:t>
            </w:r>
            <w:r>
              <w:rPr>
                <w:rFonts w:hint="eastAsia" w:ascii="宋体" w:hAnsi="宋体" w:eastAsia="宋体" w:cs="宋体"/>
                <w:color w:val="auto"/>
                <w:kern w:val="0"/>
                <w:sz w:val="21"/>
                <w:szCs w:val="21"/>
                <w:highlight w:val="none"/>
                <w:lang w:bidi="ar"/>
              </w:rPr>
              <w:t>须提供以上</w:t>
            </w:r>
            <w:r>
              <w:rPr>
                <w:rFonts w:hint="eastAsia" w:ascii="宋体" w:hAnsi="宋体" w:eastAsia="宋体" w:cs="宋体"/>
                <w:color w:val="auto"/>
                <w:kern w:val="0"/>
                <w:sz w:val="21"/>
                <w:szCs w:val="21"/>
                <w:highlight w:val="none"/>
                <w:lang w:val="en-US" w:eastAsia="zh-CN" w:bidi="ar"/>
              </w:rPr>
              <w:t>人员</w:t>
            </w:r>
            <w:r>
              <w:rPr>
                <w:rFonts w:hint="eastAsia" w:ascii="宋体" w:hAnsi="宋体" w:eastAsia="宋体" w:cs="宋体"/>
                <w:color w:val="auto"/>
                <w:kern w:val="0"/>
                <w:sz w:val="21"/>
                <w:szCs w:val="21"/>
                <w:highlight w:val="none"/>
                <w:lang w:bidi="ar"/>
              </w:rPr>
              <w:t>相关资职证书复印件以及</w:t>
            </w:r>
            <w:r>
              <w:rPr>
                <w:rFonts w:hint="eastAsia" w:ascii="宋体" w:hAnsi="宋体" w:cs="宋体"/>
                <w:color w:val="auto"/>
                <w:kern w:val="0"/>
                <w:sz w:val="21"/>
                <w:szCs w:val="21"/>
                <w:highlight w:val="none"/>
                <w:lang w:val="en-US" w:eastAsia="zh-CN" w:bidi="ar"/>
              </w:rPr>
              <w:t>开标截止时间前</w:t>
            </w:r>
            <w:r>
              <w:rPr>
                <w:rFonts w:hint="eastAsia" w:ascii="宋体" w:hAnsi="宋体" w:eastAsia="宋体" w:cs="宋体"/>
                <w:color w:val="auto"/>
                <w:kern w:val="0"/>
                <w:sz w:val="21"/>
                <w:szCs w:val="21"/>
                <w:highlight w:val="none"/>
                <w:lang w:bidi="ar"/>
              </w:rPr>
              <w:t>近半年</w:t>
            </w:r>
            <w:r>
              <w:rPr>
                <w:rFonts w:hint="eastAsia" w:ascii="宋体" w:hAnsi="宋体" w:cs="宋体"/>
                <w:color w:val="auto"/>
                <w:kern w:val="0"/>
                <w:sz w:val="21"/>
                <w:szCs w:val="21"/>
                <w:highlight w:val="none"/>
                <w:lang w:val="en-US" w:eastAsia="zh-CN" w:bidi="ar"/>
              </w:rPr>
              <w:t>的</w:t>
            </w:r>
            <w:r>
              <w:rPr>
                <w:rFonts w:hint="eastAsia" w:ascii="宋体" w:hAnsi="宋体" w:eastAsia="宋体" w:cs="宋体"/>
                <w:color w:val="auto"/>
                <w:kern w:val="0"/>
                <w:sz w:val="21"/>
                <w:szCs w:val="21"/>
                <w:highlight w:val="none"/>
                <w:lang w:val="en-US" w:eastAsia="zh-CN" w:bidi="ar"/>
              </w:rPr>
              <w:t>由供应商缴纳的</w:t>
            </w:r>
            <w:r>
              <w:rPr>
                <w:rFonts w:hint="eastAsia" w:ascii="宋体" w:hAnsi="宋体" w:eastAsia="宋体" w:cs="宋体"/>
                <w:color w:val="auto"/>
                <w:kern w:val="0"/>
                <w:sz w:val="21"/>
                <w:szCs w:val="21"/>
                <w:highlight w:val="none"/>
                <w:lang w:bidi="ar"/>
              </w:rPr>
              <w:t>社保交纳证明加盖公章。）</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 w:hRule="atLeast"/>
          <w:jc w:val="center"/>
        </w:trPr>
        <w:tc>
          <w:tcPr>
            <w:tcW w:w="1328" w:type="dxa"/>
            <w:vMerge w:val="restart"/>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售后服务</w:t>
            </w: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7</w:t>
            </w:r>
            <w:r>
              <w:rPr>
                <w:rFonts w:hint="eastAsia" w:ascii="宋体" w:hAnsi="宋体" w:eastAsia="宋体" w:cs="宋体"/>
                <w:color w:val="auto"/>
                <w:kern w:val="0"/>
                <w:sz w:val="21"/>
                <w:szCs w:val="21"/>
                <w:highlight w:val="none"/>
                <w:lang w:val="en-US" w:eastAsia="zh-CN" w:bidi="ar"/>
              </w:rPr>
              <w:t>、根据供应商</w:t>
            </w:r>
            <w:r>
              <w:rPr>
                <w:rFonts w:hint="eastAsia" w:ascii="宋体" w:hAnsi="宋体" w:eastAsia="宋体" w:cs="宋体"/>
                <w:color w:val="auto"/>
                <w:kern w:val="0"/>
                <w:sz w:val="21"/>
                <w:szCs w:val="21"/>
                <w:highlight w:val="none"/>
                <w:lang w:bidi="ar"/>
              </w:rPr>
              <w:t>提供</w:t>
            </w:r>
            <w:r>
              <w:rPr>
                <w:rFonts w:hint="eastAsia" w:ascii="宋体" w:hAnsi="宋体" w:eastAsia="宋体" w:cs="宋体"/>
                <w:color w:val="auto"/>
                <w:kern w:val="0"/>
                <w:sz w:val="21"/>
                <w:szCs w:val="21"/>
                <w:highlight w:val="none"/>
                <w:lang w:val="en-US" w:eastAsia="zh-CN" w:bidi="ar"/>
              </w:rPr>
              <w:t>的针</w:t>
            </w:r>
            <w:r>
              <w:rPr>
                <w:rFonts w:hint="eastAsia" w:ascii="宋体" w:hAnsi="宋体" w:eastAsia="宋体" w:cs="宋体"/>
                <w:color w:val="auto"/>
                <w:kern w:val="0"/>
                <w:sz w:val="21"/>
                <w:szCs w:val="21"/>
                <w:highlight w:val="none"/>
                <w:lang w:bidi="ar"/>
              </w:rPr>
              <w:t>对本项目的售后服务方案，售后服务管理体系方案</w:t>
            </w:r>
            <w:r>
              <w:rPr>
                <w:rFonts w:hint="eastAsia" w:ascii="宋体" w:hAnsi="宋体" w:eastAsia="宋体" w:cs="宋体"/>
                <w:color w:val="auto"/>
                <w:kern w:val="0"/>
                <w:sz w:val="21"/>
                <w:szCs w:val="21"/>
                <w:highlight w:val="none"/>
                <w:lang w:val="en-US" w:eastAsia="zh-CN" w:bidi="ar"/>
              </w:rPr>
              <w:t>的完整性、</w:t>
            </w:r>
            <w:r>
              <w:rPr>
                <w:rFonts w:hint="eastAsia" w:ascii="宋体" w:hAnsi="宋体" w:eastAsia="宋体" w:cs="宋体"/>
                <w:color w:val="auto"/>
                <w:kern w:val="0"/>
                <w:sz w:val="21"/>
                <w:szCs w:val="21"/>
                <w:highlight w:val="none"/>
                <w:lang w:bidi="ar"/>
              </w:rPr>
              <w:t>合理</w:t>
            </w:r>
            <w:r>
              <w:rPr>
                <w:rFonts w:hint="eastAsia" w:ascii="宋体" w:hAnsi="宋体" w:eastAsia="宋体" w:cs="宋体"/>
                <w:color w:val="auto"/>
                <w:kern w:val="0"/>
                <w:sz w:val="21"/>
                <w:szCs w:val="21"/>
                <w:highlight w:val="none"/>
                <w:lang w:val="en-US" w:eastAsia="zh-CN" w:bidi="ar"/>
              </w:rPr>
              <w:t>性</w:t>
            </w:r>
            <w:r>
              <w:rPr>
                <w:rFonts w:hint="eastAsia" w:ascii="宋体" w:hAnsi="宋体" w:eastAsia="宋体" w:cs="宋体"/>
                <w:color w:val="auto"/>
                <w:kern w:val="0"/>
                <w:sz w:val="21"/>
                <w:szCs w:val="21"/>
                <w:highlight w:val="none"/>
                <w:lang w:eastAsia="zh-CN" w:bidi="ar"/>
              </w:rPr>
              <w:t>、</w:t>
            </w:r>
            <w:r>
              <w:rPr>
                <w:rFonts w:hint="eastAsia" w:ascii="宋体" w:hAnsi="宋体" w:eastAsia="宋体" w:cs="宋体"/>
                <w:color w:val="auto"/>
                <w:kern w:val="0"/>
                <w:sz w:val="21"/>
                <w:szCs w:val="21"/>
                <w:highlight w:val="none"/>
                <w:lang w:bidi="ar"/>
              </w:rPr>
              <w:t>切实可行</w:t>
            </w:r>
            <w:r>
              <w:rPr>
                <w:rFonts w:hint="eastAsia" w:ascii="宋体" w:hAnsi="宋体" w:eastAsia="宋体" w:cs="宋体"/>
                <w:color w:val="auto"/>
                <w:kern w:val="0"/>
                <w:sz w:val="21"/>
                <w:szCs w:val="21"/>
                <w:highlight w:val="none"/>
                <w:lang w:val="en-US" w:eastAsia="zh-CN" w:bidi="ar"/>
              </w:rPr>
              <w:t>性</w:t>
            </w:r>
            <w:r>
              <w:rPr>
                <w:rFonts w:hint="eastAsia" w:ascii="宋体" w:hAnsi="宋体" w:eastAsia="宋体" w:cs="宋体"/>
                <w:color w:val="auto"/>
                <w:kern w:val="0"/>
                <w:sz w:val="21"/>
                <w:szCs w:val="21"/>
                <w:highlight w:val="none"/>
                <w:lang w:bidi="ar"/>
              </w:rPr>
              <w:t>，</w:t>
            </w:r>
            <w:r>
              <w:rPr>
                <w:rFonts w:hint="eastAsia" w:ascii="宋体" w:hAnsi="宋体" w:eastAsia="宋体" w:cs="宋体"/>
                <w:color w:val="auto"/>
                <w:kern w:val="0"/>
                <w:sz w:val="21"/>
                <w:szCs w:val="21"/>
                <w:highlight w:val="none"/>
                <w:lang w:val="en-US" w:eastAsia="zh-CN" w:bidi="ar"/>
              </w:rPr>
              <w:t>及售后</w:t>
            </w:r>
            <w:r>
              <w:rPr>
                <w:rFonts w:hint="eastAsia" w:ascii="宋体" w:hAnsi="宋体" w:eastAsia="宋体" w:cs="宋体"/>
                <w:color w:val="auto"/>
                <w:kern w:val="0"/>
                <w:sz w:val="21"/>
                <w:szCs w:val="21"/>
                <w:highlight w:val="none"/>
                <w:lang w:bidi="ar"/>
              </w:rPr>
              <w:t>服务人员数量、资质和分工、服务机制等内容的合理性和可行性进行综合</w:t>
            </w:r>
            <w:r>
              <w:rPr>
                <w:rFonts w:hint="eastAsia" w:ascii="宋体" w:hAnsi="宋体" w:eastAsia="宋体" w:cs="宋体"/>
                <w:color w:val="auto"/>
                <w:kern w:val="0"/>
                <w:sz w:val="21"/>
                <w:szCs w:val="21"/>
                <w:highlight w:val="none"/>
                <w:lang w:val="en-US" w:eastAsia="zh-CN" w:bidi="ar"/>
              </w:rPr>
              <w:t>评议，满分5分</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bidi="ar"/>
              </w:rPr>
            </w:pPr>
          </w:p>
        </w:tc>
        <w:tc>
          <w:tcPr>
            <w:tcW w:w="6185" w:type="dxa"/>
            <w:shd w:val="clear" w:color="auto" w:fill="auto"/>
            <w:vAlign w:val="center"/>
          </w:tcPr>
          <w:p>
            <w:pPr>
              <w:keepNext w:val="0"/>
              <w:keepLines w:val="0"/>
              <w:pageBreakBefore w:val="0"/>
              <w:widowControl/>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val="en-US" w:eastAsia="zh-CN" w:bidi="ar"/>
              </w:rPr>
              <w:t>1</w:t>
            </w:r>
            <w:r>
              <w:rPr>
                <w:rFonts w:hint="eastAsia" w:ascii="宋体" w:hAnsi="宋体" w:cs="宋体"/>
                <w:color w:val="auto"/>
                <w:kern w:val="0"/>
                <w:sz w:val="21"/>
                <w:szCs w:val="21"/>
                <w:highlight w:val="none"/>
                <w:lang w:val="en-US" w:eastAsia="zh-CN" w:bidi="ar"/>
              </w:rPr>
              <w:t>8</w:t>
            </w:r>
            <w:r>
              <w:rPr>
                <w:rFonts w:hint="eastAsia" w:ascii="宋体" w:hAnsi="宋体" w:eastAsia="宋体" w:cs="宋体"/>
                <w:color w:val="auto"/>
                <w:kern w:val="0"/>
                <w:sz w:val="21"/>
                <w:szCs w:val="21"/>
                <w:highlight w:val="none"/>
                <w:lang w:val="en-US" w:eastAsia="zh-CN" w:bidi="ar"/>
              </w:rPr>
              <w:t>、评委根据供应商售后服务响应时间、</w:t>
            </w:r>
            <w:r>
              <w:rPr>
                <w:rFonts w:hint="eastAsia" w:ascii="宋体" w:hAnsi="宋体" w:eastAsia="宋体" w:cs="宋体"/>
                <w:color w:val="auto"/>
                <w:kern w:val="0"/>
                <w:sz w:val="21"/>
                <w:szCs w:val="21"/>
                <w:highlight w:val="none"/>
                <w:lang w:bidi="ar"/>
              </w:rPr>
              <w:t>故障解决</w:t>
            </w:r>
            <w:r>
              <w:rPr>
                <w:rFonts w:hint="eastAsia" w:ascii="宋体" w:hAnsi="宋体" w:eastAsia="宋体" w:cs="宋体"/>
                <w:color w:val="auto"/>
                <w:kern w:val="0"/>
                <w:sz w:val="21"/>
                <w:szCs w:val="21"/>
                <w:highlight w:val="none"/>
                <w:lang w:val="en-US" w:eastAsia="zh-CN" w:bidi="ar"/>
              </w:rPr>
              <w:t>方案、售后网点设置等进行综合评议，满分3分</w:t>
            </w:r>
            <w:r>
              <w:rPr>
                <w:rFonts w:hint="eastAsia" w:ascii="宋体" w:hAnsi="宋体" w:eastAsia="宋体" w:cs="宋体"/>
                <w:color w:val="auto"/>
                <w:kern w:val="0"/>
                <w:sz w:val="21"/>
                <w:szCs w:val="21"/>
                <w:highlight w:val="none"/>
                <w:lang w:bidi="ar"/>
              </w:rPr>
              <w:t>。</w:t>
            </w:r>
          </w:p>
        </w:tc>
        <w:tc>
          <w:tcPr>
            <w:tcW w:w="992" w:type="dxa"/>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eastAsia="zh-CN" w:bidi="ar"/>
              </w:rPr>
            </w:pPr>
            <w:r>
              <w:rPr>
                <w:rFonts w:hint="eastAsia" w:ascii="宋体" w:hAnsi="宋体" w:eastAsia="宋体" w:cs="宋体"/>
                <w:color w:val="auto"/>
                <w:kern w:val="0"/>
                <w:sz w:val="21"/>
                <w:szCs w:val="21"/>
                <w:highlight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restart"/>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政策分</w:t>
            </w:r>
          </w:p>
        </w:tc>
        <w:tc>
          <w:tcPr>
            <w:tcW w:w="6185" w:type="dxa"/>
            <w:shd w:val="clear" w:color="auto" w:fill="auto"/>
            <w:vAlign w:val="center"/>
          </w:tcPr>
          <w:p>
            <w:pPr>
              <w:widowControl/>
              <w:tabs>
                <w:tab w:val="left" w:pos="0"/>
              </w:tabs>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val="0"/>
                <w:bCs w:val="0"/>
                <w:color w:val="auto"/>
                <w:kern w:val="0"/>
                <w:szCs w:val="21"/>
                <w:highlight w:val="none"/>
                <w:lang w:val="en-US" w:eastAsia="zh-CN"/>
              </w:rPr>
              <w:t>1</w:t>
            </w:r>
            <w:r>
              <w:rPr>
                <w:rFonts w:hint="eastAsia" w:ascii="宋体" w:hAnsi="宋体" w:cs="宋体"/>
                <w:b w:val="0"/>
                <w:bCs w:val="0"/>
                <w:color w:val="auto"/>
                <w:kern w:val="0"/>
                <w:szCs w:val="21"/>
                <w:highlight w:val="none"/>
                <w:lang w:val="en-US" w:eastAsia="zh-CN"/>
              </w:rPr>
              <w:t>9</w:t>
            </w:r>
            <w:r>
              <w:rPr>
                <w:rFonts w:hint="eastAsia" w:ascii="宋体" w:hAnsi="宋体" w:eastAsia="宋体" w:cs="宋体"/>
                <w:b w:val="0"/>
                <w:bCs w:val="0"/>
                <w:color w:val="auto"/>
                <w:kern w:val="0"/>
                <w:szCs w:val="21"/>
                <w:highlight w:val="none"/>
                <w:lang w:val="en-US" w:eastAsia="zh-CN"/>
              </w:rPr>
              <w:t>、</w:t>
            </w:r>
            <w:r>
              <w:rPr>
                <w:rFonts w:hint="eastAsia" w:ascii="宋体" w:hAnsi="宋体" w:eastAsia="宋体" w:cs="宋体"/>
                <w:color w:val="auto"/>
                <w:kern w:val="0"/>
                <w:szCs w:val="21"/>
                <w:highlight w:val="none"/>
              </w:rPr>
              <w:t>供应商或制造商是国家认定的不发达地区或少数民族地区企业的加1分。</w:t>
            </w: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val="en-US" w:eastAsia="zh-CN"/>
              </w:rPr>
              <w:t>投标</w:t>
            </w:r>
            <w:r>
              <w:rPr>
                <w:rFonts w:hint="eastAsia" w:ascii="宋体" w:hAnsi="宋体" w:eastAsia="宋体" w:cs="宋体"/>
                <w:b/>
                <w:bCs/>
                <w:color w:val="auto"/>
                <w:kern w:val="0"/>
                <w:szCs w:val="21"/>
                <w:highlight w:val="none"/>
                <w:lang w:eastAsia="zh-CN"/>
              </w:rPr>
              <w:t>文件</w:t>
            </w:r>
            <w:r>
              <w:rPr>
                <w:rFonts w:hint="eastAsia" w:ascii="宋体" w:hAnsi="宋体" w:eastAsia="宋体" w:cs="宋体"/>
                <w:b/>
                <w:bCs/>
                <w:color w:val="auto"/>
                <w:kern w:val="0"/>
                <w:szCs w:val="21"/>
                <w:highlight w:val="none"/>
              </w:rPr>
              <w:t>中提供相关证明材料扫描件加盖公章。</w:t>
            </w:r>
          </w:p>
        </w:tc>
        <w:tc>
          <w:tcPr>
            <w:tcW w:w="992" w:type="dxa"/>
            <w:shd w:val="clear" w:color="auto" w:fill="auto"/>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vMerge w:val="continue"/>
            <w:shd w:val="clear" w:color="auto" w:fill="auto"/>
            <w:vAlign w:val="center"/>
          </w:tcPr>
          <w:p>
            <w:pPr>
              <w:widowControl/>
              <w:adjustRightInd w:val="0"/>
              <w:snapToGrid w:val="0"/>
              <w:spacing w:line="360" w:lineRule="auto"/>
              <w:jc w:val="center"/>
              <w:rPr>
                <w:rFonts w:hint="eastAsia" w:ascii="宋体" w:hAnsi="宋体" w:eastAsia="宋体" w:cs="宋体"/>
                <w:color w:val="auto"/>
                <w:kern w:val="0"/>
                <w:sz w:val="21"/>
                <w:szCs w:val="21"/>
                <w:highlight w:val="none"/>
                <w:lang w:val="en-US" w:eastAsia="zh-CN" w:bidi="ar"/>
              </w:rPr>
            </w:pPr>
          </w:p>
        </w:tc>
        <w:tc>
          <w:tcPr>
            <w:tcW w:w="6185" w:type="dxa"/>
            <w:shd w:val="clear" w:color="auto" w:fill="auto"/>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20、</w:t>
            </w:r>
            <w:r>
              <w:rPr>
                <w:rFonts w:hint="eastAsia" w:ascii="宋体" w:hAnsi="宋体" w:eastAsia="宋体" w:cs="宋体"/>
                <w:color w:val="auto"/>
                <w:kern w:val="0"/>
                <w:sz w:val="21"/>
                <w:szCs w:val="21"/>
                <w:highlight w:val="none"/>
              </w:rPr>
              <w:t>节能环保产品（</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所有</w:t>
            </w:r>
            <w:r>
              <w:rPr>
                <w:rFonts w:hint="eastAsia" w:ascii="宋体" w:hAnsi="宋体" w:eastAsia="宋体" w:cs="宋体"/>
                <w:color w:val="auto"/>
                <w:kern w:val="0"/>
                <w:sz w:val="21"/>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所有</w:t>
            </w:r>
            <w:r>
              <w:rPr>
                <w:rFonts w:hint="eastAsia" w:ascii="宋体" w:hAnsi="宋体" w:eastAsia="宋体" w:cs="宋体"/>
                <w:color w:val="auto"/>
                <w:kern w:val="0"/>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注：投标文件中必须同时提供以下资料：</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992" w:type="dxa"/>
            <w:shd w:val="clear" w:color="auto" w:fill="auto"/>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28" w:type="dxa"/>
            <w:shd w:val="clear" w:color="auto" w:fill="auto"/>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rPr>
              <w:t>报价分</w:t>
            </w:r>
          </w:p>
        </w:tc>
        <w:tc>
          <w:tcPr>
            <w:tcW w:w="6185" w:type="dxa"/>
            <w:shd w:val="clear" w:color="auto" w:fill="auto"/>
            <w:vAlign w:val="center"/>
          </w:tcPr>
          <w:p>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参与评审的价格=投标</w:t>
            </w:r>
            <w:r>
              <w:rPr>
                <w:rFonts w:hint="eastAsia" w:ascii="宋体" w:hAnsi="宋体" w:eastAsia="宋体" w:cs="宋体"/>
                <w:bCs/>
                <w:color w:val="auto"/>
                <w:sz w:val="21"/>
                <w:szCs w:val="21"/>
                <w:highlight w:val="none"/>
              </w:rPr>
              <w:t>总价</w:t>
            </w:r>
            <w:r>
              <w:rPr>
                <w:rFonts w:hint="eastAsia" w:ascii="宋体" w:hAnsi="宋体" w:eastAsia="宋体" w:cs="宋体"/>
                <w:bCs/>
                <w:color w:val="auto"/>
                <w:sz w:val="21"/>
                <w:szCs w:val="21"/>
                <w:highlight w:val="none"/>
                <w:lang w:val="zh-CN"/>
              </w:rPr>
              <w:t>-小微企业政策优惠（如有）；</w:t>
            </w:r>
          </w:p>
          <w:p>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满足采购要求的有效投标且参与评审的价格最低的参与评审的价格为评标基准价，得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0分；</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其他投标报价得分计算公式如下：投标报价得分=（评标基准价/参与评审的价格）×</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0%×100。</w:t>
            </w:r>
          </w:p>
        </w:tc>
        <w:tc>
          <w:tcPr>
            <w:tcW w:w="992" w:type="dxa"/>
            <w:shd w:val="clear" w:color="auto" w:fill="auto"/>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13" w:type="dxa"/>
            <w:gridSpan w:val="2"/>
            <w:shd w:val="clear" w:color="auto" w:fill="auto"/>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合计</w:t>
            </w:r>
          </w:p>
        </w:tc>
        <w:tc>
          <w:tcPr>
            <w:tcW w:w="992" w:type="dxa"/>
            <w:shd w:val="clear" w:color="auto" w:fill="auto"/>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100</w:t>
            </w:r>
          </w:p>
        </w:tc>
      </w:tr>
    </w:tbl>
    <w:p>
      <w:pPr>
        <w:spacing w:line="320" w:lineRule="exact"/>
        <w:rPr>
          <w:color w:val="auto"/>
          <w:highlight w:val="none"/>
        </w:rPr>
      </w:pPr>
      <w:r>
        <w:rPr>
          <w:rFonts w:hint="eastAsia"/>
          <w:color w:val="auto"/>
          <w:highlight w:val="none"/>
        </w:rPr>
        <w:t>注：</w:t>
      </w:r>
      <w:r>
        <w:rPr>
          <w:color w:val="auto"/>
          <w:highlight w:val="none"/>
        </w:rPr>
        <w:t>1</w:t>
      </w:r>
      <w:r>
        <w:rPr>
          <w:rFonts w:hint="eastAsia"/>
          <w:color w:val="auto"/>
          <w:highlight w:val="none"/>
        </w:rPr>
        <w:t>、小数点后保留</w:t>
      </w:r>
      <w:r>
        <w:rPr>
          <w:rFonts w:hint="eastAsia"/>
          <w:color w:val="auto"/>
          <w:highlight w:val="none"/>
          <w:lang w:val="en-US" w:eastAsia="zh-CN"/>
        </w:rPr>
        <w:t>一</w:t>
      </w:r>
      <w:r>
        <w:rPr>
          <w:rFonts w:hint="eastAsia"/>
          <w:color w:val="auto"/>
          <w:highlight w:val="none"/>
          <w:lang w:eastAsia="zh-CN"/>
        </w:rPr>
        <w:t>位小数</w:t>
      </w:r>
      <w:r>
        <w:rPr>
          <w:rFonts w:hint="eastAsia"/>
          <w:color w:val="auto"/>
          <w:highlight w:val="none"/>
        </w:rPr>
        <w:t>。</w:t>
      </w:r>
      <w:r>
        <w:rPr>
          <w:color w:val="auto"/>
          <w:highlight w:val="none"/>
        </w:rPr>
        <w:t>2</w:t>
      </w:r>
      <w:r>
        <w:rPr>
          <w:rFonts w:hint="eastAsia"/>
          <w:color w:val="auto"/>
          <w:highlight w:val="none"/>
        </w:rPr>
        <w:t>、重大事件由评标委员会集体讨论，须有三分之二或以上的评标委员会签字认可。</w:t>
      </w:r>
    </w:p>
    <w:p>
      <w:pPr>
        <w:spacing w:line="360" w:lineRule="auto"/>
        <w:jc w:val="center"/>
        <w:rPr>
          <w:rFonts w:hint="eastAsia" w:ascii="宋体" w:hAnsi="宋体"/>
          <w:b/>
          <w:bCs/>
          <w:color w:val="auto"/>
          <w:highlight w:val="none"/>
        </w:rPr>
      </w:pPr>
    </w:p>
    <w:p>
      <w:pPr>
        <w:spacing w:line="360" w:lineRule="auto"/>
        <w:jc w:val="center"/>
        <w:rPr>
          <w:rFonts w:hint="eastAsia" w:ascii="宋体" w:hAnsi="宋体" w:eastAsia="宋体"/>
          <w:b/>
          <w:bCs/>
          <w:color w:val="auto"/>
          <w:highlight w:val="none"/>
          <w:lang w:eastAsia="zh-CN"/>
        </w:rPr>
      </w:pPr>
      <w:r>
        <w:rPr>
          <w:rFonts w:hint="eastAsia" w:ascii="宋体" w:hAnsi="宋体"/>
          <w:b/>
          <w:bCs/>
          <w:color w:val="auto"/>
          <w:highlight w:val="none"/>
        </w:rPr>
        <w:t>评分标准表</w:t>
      </w:r>
      <w:r>
        <w:rPr>
          <w:rFonts w:hint="eastAsia" w:ascii="宋体" w:hAnsi="宋体"/>
          <w:b/>
          <w:bCs/>
          <w:color w:val="auto"/>
          <w:highlight w:val="none"/>
          <w:lang w:eastAsia="zh-CN"/>
        </w:rPr>
        <w:t>（</w:t>
      </w:r>
      <w:r>
        <w:rPr>
          <w:rFonts w:hint="eastAsia" w:ascii="宋体" w:hAnsi="宋体"/>
          <w:b/>
          <w:bCs/>
          <w:color w:val="auto"/>
          <w:highlight w:val="none"/>
          <w:lang w:val="en-US" w:eastAsia="zh-CN"/>
        </w:rPr>
        <w:t>适用于标项二</w:t>
      </w:r>
      <w:r>
        <w:rPr>
          <w:rFonts w:hint="eastAsia" w:ascii="宋体" w:hAnsi="宋体"/>
          <w:b/>
          <w:bCs/>
          <w:color w:val="auto"/>
          <w:highlight w:val="none"/>
          <w:lang w:eastAsia="zh-CN"/>
        </w:rPr>
        <w:t>）</w:t>
      </w:r>
    </w:p>
    <w:tbl>
      <w:tblPr>
        <w:tblStyle w:val="28"/>
        <w:tblW w:w="85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6161"/>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16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报价分</w:t>
            </w:r>
          </w:p>
        </w:tc>
        <w:tc>
          <w:tcPr>
            <w:tcW w:w="6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参与评审的价格=投标</w:t>
            </w:r>
            <w:r>
              <w:rPr>
                <w:rFonts w:hint="eastAsia" w:ascii="宋体" w:hAnsi="宋体" w:eastAsia="宋体" w:cs="宋体"/>
                <w:bCs/>
                <w:color w:val="auto"/>
                <w:sz w:val="21"/>
                <w:szCs w:val="21"/>
                <w:highlight w:val="none"/>
              </w:rPr>
              <w:t>总价</w:t>
            </w:r>
            <w:r>
              <w:rPr>
                <w:rFonts w:hint="eastAsia" w:ascii="宋体" w:hAnsi="宋体" w:eastAsia="宋体" w:cs="宋体"/>
                <w:bCs/>
                <w:color w:val="auto"/>
                <w:sz w:val="21"/>
                <w:szCs w:val="21"/>
                <w:highlight w:val="none"/>
                <w:lang w:val="zh-CN"/>
              </w:rPr>
              <w:t>-小微企业政策优惠（如有）；</w:t>
            </w:r>
          </w:p>
          <w:p>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满足采购要求的有效投标且参与评审的价格最低的参与评审的价格为评标基准价，得</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0分；</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其他投标报价得分计算公式如下：投标报价得分=（评标基准价/参与评审的价格）×</w:t>
            </w:r>
            <w:r>
              <w:rPr>
                <w:rFonts w:hint="eastAsia" w:ascii="宋体" w:hAnsi="宋体" w:eastAsia="宋体" w:cs="宋体"/>
                <w:bCs/>
                <w:color w:val="auto"/>
                <w:sz w:val="21"/>
                <w:szCs w:val="21"/>
                <w:highlight w:val="none"/>
              </w:rPr>
              <w:t>3</w:t>
            </w:r>
            <w:r>
              <w:rPr>
                <w:rFonts w:hint="eastAsia" w:ascii="宋体" w:hAnsi="宋体" w:eastAsia="宋体" w:cs="宋体"/>
                <w:bCs/>
                <w:color w:val="auto"/>
                <w:sz w:val="21"/>
                <w:szCs w:val="21"/>
                <w:highlight w:val="none"/>
                <w:lang w:val="zh-CN"/>
              </w:rPr>
              <w:t>0%×100。</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restart"/>
            <w:tcBorders>
              <w:top w:val="single" w:color="auto" w:sz="4" w:space="0"/>
              <w:left w:val="single" w:color="auto" w:sz="4" w:space="0"/>
              <w:right w:val="single" w:color="auto" w:sz="4" w:space="0"/>
            </w:tcBorders>
            <w:vAlign w:val="center"/>
          </w:tcPr>
          <w:p>
            <w:pPr>
              <w:widowControl w:val="0"/>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Times New Roman"/>
                <w:color w:val="auto"/>
                <w:kern w:val="2"/>
                <w:sz w:val="21"/>
                <w:szCs w:val="21"/>
                <w:highlight w:val="none"/>
                <w:lang w:val="en-US" w:eastAsia="zh-CN" w:bidi="ar-SA"/>
              </w:rPr>
              <w:t>商务技术分</w:t>
            </w: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满足招标文件要求的全部技术指标得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0分。“▲”条款有负偏离的每项扣</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r>
              <w:rPr>
                <w:rFonts w:hint="eastAsia" w:ascii="宋体" w:hAnsi="宋体" w:cs="宋体"/>
                <w:color w:val="auto"/>
                <w:sz w:val="21"/>
                <w:szCs w:val="21"/>
                <w:highlight w:val="none"/>
                <w:lang w:val="en-US" w:eastAsia="zh-CN"/>
              </w:rPr>
              <w:t>非</w:t>
            </w:r>
            <w:r>
              <w:rPr>
                <w:rFonts w:hint="eastAsia" w:ascii="宋体" w:hAnsi="宋体" w:cs="宋体"/>
                <w:color w:val="auto"/>
                <w:sz w:val="21"/>
                <w:szCs w:val="21"/>
                <w:highlight w:val="none"/>
              </w:rPr>
              <w:t>“▲”条款有负偏离的每项扣</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w:t>
            </w:r>
          </w:p>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当有供应商此项分值扣减至0分时，该供应商投标将被拒绝，其投标文件作无效标处理，不再进行评审。</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2、</w:t>
            </w:r>
            <w:r>
              <w:rPr>
                <w:rFonts w:hint="eastAsia" w:ascii="宋体" w:hAnsi="宋体" w:cs="宋体"/>
                <w:color w:val="auto"/>
                <w:kern w:val="0"/>
                <w:sz w:val="21"/>
                <w:szCs w:val="21"/>
                <w:highlight w:val="none"/>
              </w:rPr>
              <w:t>根据供应商提出的</w:t>
            </w:r>
            <w:r>
              <w:rPr>
                <w:rFonts w:hint="eastAsia" w:ascii="宋体" w:hAnsi="宋体" w:cs="宋体"/>
                <w:color w:val="auto"/>
                <w:kern w:val="0"/>
                <w:sz w:val="21"/>
                <w:szCs w:val="21"/>
                <w:highlight w:val="none"/>
                <w:lang w:val="en-US" w:eastAsia="zh-CN"/>
              </w:rPr>
              <w:t>项目</w:t>
            </w:r>
            <w:r>
              <w:rPr>
                <w:rFonts w:hint="eastAsia" w:ascii="宋体" w:hAnsi="宋体" w:cs="宋体"/>
                <w:color w:val="auto"/>
                <w:kern w:val="0"/>
                <w:sz w:val="21"/>
                <w:szCs w:val="21"/>
                <w:highlight w:val="none"/>
              </w:rPr>
              <w:t>总体设计方案的科学性、合理性及一定的深度与前瞻性进行综合评议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满分4分。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3、</w:t>
            </w:r>
            <w:r>
              <w:rPr>
                <w:rFonts w:hint="eastAsia" w:ascii="宋体" w:hAnsi="宋体" w:cs="宋体"/>
                <w:color w:val="auto"/>
                <w:kern w:val="0"/>
                <w:sz w:val="21"/>
                <w:szCs w:val="21"/>
                <w:highlight w:val="none"/>
              </w:rPr>
              <w:t>根据整体实施方案的合理性、完整性与可操作性进行综合评议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满分5分。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right w:val="single" w:color="auto" w:sz="4" w:space="0"/>
            </w:tcBorders>
            <w:vAlign w:val="center"/>
          </w:tcPr>
          <w:p>
            <w:pPr>
              <w:jc w:val="center"/>
              <w:rPr>
                <w:color w:val="auto"/>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rPr>
              <w:t>4</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项目负责人具有系统项目集成工程师中级及以上职称</w:t>
            </w:r>
            <w:r>
              <w:rPr>
                <w:rFonts w:hint="eastAsia" w:ascii="宋体" w:hAnsi="宋体" w:cs="宋体"/>
                <w:color w:val="auto"/>
                <w:sz w:val="21"/>
                <w:szCs w:val="21"/>
                <w:highlight w:val="none"/>
                <w:lang w:val="en-US" w:eastAsia="zh-CN"/>
              </w:rPr>
              <w:t>的，得</w:t>
            </w:r>
            <w:r>
              <w:rPr>
                <w:rFonts w:hint="eastAsia" w:ascii="宋体" w:hAnsi="宋体" w:cs="宋体"/>
                <w:color w:val="auto"/>
                <w:kern w:val="0"/>
                <w:sz w:val="21"/>
                <w:szCs w:val="21"/>
                <w:highlight w:val="none"/>
              </w:rPr>
              <w:t>2分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（投标文件中须提供相关证书复印件加盖公章）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rPr>
              <w:t>5、</w:t>
            </w:r>
            <w:r>
              <w:rPr>
                <w:rFonts w:hint="eastAsia" w:ascii="宋体" w:hAnsi="宋体" w:cs="宋体"/>
                <w:color w:val="auto"/>
                <w:kern w:val="0"/>
                <w:sz w:val="21"/>
                <w:szCs w:val="21"/>
                <w:highlight w:val="none"/>
              </w:rPr>
              <w:t>本项目其他服务人员（除项目负责人</w:t>
            </w:r>
            <w:r>
              <w:rPr>
                <w:rFonts w:hint="eastAsia" w:ascii="宋体" w:hAnsi="宋体" w:cs="宋体"/>
                <w:color w:val="auto"/>
                <w:kern w:val="0"/>
                <w:sz w:val="21"/>
                <w:szCs w:val="21"/>
                <w:highlight w:val="none"/>
                <w:lang w:val="en-US" w:eastAsia="zh-CN"/>
              </w:rPr>
              <w:t>外</w:t>
            </w:r>
            <w:r>
              <w:rPr>
                <w:rFonts w:hint="eastAsia" w:ascii="宋体" w:hAnsi="宋体" w:cs="宋体"/>
                <w:color w:val="auto"/>
                <w:kern w:val="0"/>
                <w:sz w:val="21"/>
                <w:szCs w:val="21"/>
                <w:highlight w:val="none"/>
              </w:rPr>
              <w:t>）具有心理学、教育学、计算机软件等相关专业的学历、资质</w:t>
            </w:r>
            <w:r>
              <w:rPr>
                <w:rFonts w:hint="eastAsia" w:ascii="宋体" w:hAnsi="宋体" w:cs="宋体"/>
                <w:color w:val="auto"/>
                <w:kern w:val="0"/>
                <w:sz w:val="21"/>
                <w:szCs w:val="21"/>
                <w:highlight w:val="none"/>
                <w:lang w:val="en-US" w:eastAsia="zh-CN"/>
              </w:rPr>
              <w:t>等</w:t>
            </w:r>
            <w:r>
              <w:rPr>
                <w:rFonts w:hint="eastAsia" w:ascii="宋体" w:hAnsi="宋体" w:cs="宋体"/>
                <w:color w:val="auto"/>
                <w:kern w:val="0"/>
                <w:sz w:val="21"/>
                <w:szCs w:val="21"/>
                <w:highlight w:val="none"/>
              </w:rPr>
              <w:t>进行综合评议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满分5分。</w:t>
            </w:r>
            <w:r>
              <w:rPr>
                <w:rFonts w:hint="eastAsia" w:ascii="宋体" w:hAnsi="宋体" w:cs="宋体"/>
                <w:color w:val="auto"/>
                <w:kern w:val="0"/>
                <w:sz w:val="21"/>
                <w:szCs w:val="21"/>
                <w:highlight w:val="none"/>
              </w:rPr>
              <w:t>（投标文件中须提供相关人员证书复印件加盖公章）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right w:val="single" w:color="auto" w:sz="4" w:space="0"/>
            </w:tcBorders>
            <w:vAlign w:val="center"/>
          </w:tcPr>
          <w:p>
            <w:pPr>
              <w:widowControl w:val="0"/>
              <w:jc w:val="center"/>
              <w:rPr>
                <w:rFonts w:hint="eastAsia" w:ascii="宋体" w:hAnsi="宋体" w:eastAsia="宋体" w:cs="Times New Roman"/>
                <w:color w:val="auto"/>
                <w:kern w:val="2"/>
                <w:sz w:val="21"/>
                <w:szCs w:val="21"/>
                <w:highlight w:val="none"/>
                <w:lang w:val="en-US" w:eastAsia="zh-CN" w:bidi="ar-SA"/>
              </w:rPr>
            </w:pPr>
          </w:p>
        </w:tc>
        <w:tc>
          <w:tcPr>
            <w:tcW w:w="6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highlight w:val="none"/>
              </w:rPr>
            </w:pPr>
            <w:r>
              <w:rPr>
                <w:rFonts w:hint="eastAsia" w:ascii="宋体" w:hAnsi="宋体" w:cs="宋体"/>
                <w:color w:val="auto"/>
                <w:kern w:val="0"/>
                <w:sz w:val="21"/>
                <w:szCs w:val="21"/>
                <w:highlight w:val="none"/>
                <w:lang w:val="en-US" w:eastAsia="zh-CN"/>
              </w:rPr>
              <w:t>6、</w:t>
            </w:r>
            <w:r>
              <w:rPr>
                <w:rFonts w:hint="eastAsia" w:ascii="宋体" w:hAnsi="宋体" w:cs="宋体"/>
                <w:color w:val="auto"/>
                <w:kern w:val="0"/>
                <w:sz w:val="21"/>
                <w:szCs w:val="21"/>
                <w:highlight w:val="none"/>
              </w:rPr>
              <w:t>根据</w:t>
            </w:r>
            <w:r>
              <w:rPr>
                <w:rFonts w:hint="eastAsia" w:ascii="宋体" w:hAnsi="宋体" w:cs="宋体"/>
                <w:color w:val="auto"/>
                <w:kern w:val="0"/>
                <w:sz w:val="21"/>
                <w:szCs w:val="21"/>
                <w:highlight w:val="none"/>
                <w:lang w:val="en-US" w:eastAsia="zh-CN"/>
              </w:rPr>
              <w:t>供应商</w:t>
            </w:r>
            <w:r>
              <w:rPr>
                <w:rFonts w:hint="eastAsia" w:ascii="宋体" w:hAnsi="宋体" w:cs="宋体"/>
                <w:color w:val="auto"/>
                <w:kern w:val="0"/>
                <w:sz w:val="21"/>
                <w:szCs w:val="21"/>
                <w:highlight w:val="none"/>
              </w:rPr>
              <w:t>提供的售后服务</w:t>
            </w:r>
            <w:r>
              <w:rPr>
                <w:rFonts w:hint="eastAsia" w:ascii="宋体" w:hAnsi="宋体" w:cs="宋体"/>
                <w:color w:val="auto"/>
                <w:kern w:val="0"/>
                <w:sz w:val="21"/>
                <w:szCs w:val="21"/>
                <w:highlight w:val="none"/>
                <w:lang w:val="en-US" w:eastAsia="zh-CN"/>
              </w:rPr>
              <w:t>方案</w:t>
            </w:r>
            <w:r>
              <w:rPr>
                <w:rFonts w:hint="eastAsia" w:ascii="宋体" w:hAnsi="宋体" w:cs="宋体"/>
                <w:color w:val="auto"/>
                <w:kern w:val="0"/>
                <w:sz w:val="21"/>
                <w:szCs w:val="21"/>
                <w:highlight w:val="none"/>
              </w:rPr>
              <w:t>、运维方案的合理性、科学性、重大故障的应急预案和措施等进行综合评议</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满分5分。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highlight w:val="none"/>
              </w:rPr>
            </w:pPr>
            <w:r>
              <w:rPr>
                <w:rFonts w:hint="eastAsia" w:ascii="宋体" w:hAnsi="宋体" w:cs="宋体"/>
                <w:color w:val="auto"/>
                <w:kern w:val="0"/>
                <w:sz w:val="21"/>
                <w:szCs w:val="21"/>
                <w:highlight w:val="none"/>
                <w:lang w:val="en-US" w:eastAsia="zh-CN"/>
              </w:rPr>
              <w:t>7、评委根据供应商售后服务响应时间、售后网点设置等进行综合评议，满分3分</w:t>
            </w:r>
            <w:r>
              <w:rPr>
                <w:rFonts w:hint="eastAsia" w:ascii="宋体" w:hAnsi="宋体" w:cs="宋体"/>
                <w:color w:val="auto"/>
                <w:kern w:val="0"/>
                <w:sz w:val="21"/>
                <w:szCs w:val="21"/>
                <w:highlight w:val="none"/>
              </w:rPr>
              <w:t>。</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76"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8、</w:t>
            </w:r>
            <w:r>
              <w:rPr>
                <w:rFonts w:hint="eastAsia" w:ascii="宋体" w:hAnsi="宋体" w:cs="宋体"/>
                <w:color w:val="auto"/>
                <w:kern w:val="0"/>
                <w:sz w:val="21"/>
                <w:szCs w:val="21"/>
                <w:highlight w:val="none"/>
              </w:rPr>
              <w:t>投标产品</w:t>
            </w:r>
            <w:r>
              <w:rPr>
                <w:rFonts w:hint="eastAsia" w:ascii="宋体" w:hAnsi="宋体" w:cs="宋体"/>
                <w:color w:val="auto"/>
                <w:kern w:val="0"/>
                <w:sz w:val="21"/>
                <w:szCs w:val="21"/>
                <w:highlight w:val="none"/>
                <w:lang w:val="en-US" w:eastAsia="zh-CN"/>
              </w:rPr>
              <w:t>制造商</w:t>
            </w:r>
            <w:r>
              <w:rPr>
                <w:rFonts w:hint="eastAsia" w:ascii="宋体" w:hAnsi="宋体" w:cs="宋体"/>
                <w:color w:val="auto"/>
                <w:kern w:val="0"/>
                <w:sz w:val="21"/>
                <w:szCs w:val="21"/>
                <w:highlight w:val="none"/>
              </w:rPr>
              <w:t>具有有效期内的ISO14001环境管理体系认证证书、OHSAS18000职业健康安全管理体系认证证书、ISO9001质量管理体系认证证书的，每提供1个得1分，本项满分3分。（证书的认证覆盖范围须包含计算机应用软件的研发，投标文件中须提供认证证书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right w:val="single" w:color="auto" w:sz="4" w:space="0"/>
            </w:tcBorders>
            <w:vAlign w:val="center"/>
          </w:tcPr>
          <w:p>
            <w:pPr>
              <w:rPr>
                <w:rFonts w:hint="eastAsia" w:ascii="宋体" w:hAnsi="宋体" w:eastAsia="宋体" w:cs="宋体"/>
                <w:bCs/>
                <w:color w:val="auto"/>
                <w:sz w:val="21"/>
                <w:szCs w:val="21"/>
                <w:highlight w:val="none"/>
                <w:lang w:val="zh-CN"/>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9、</w:t>
            </w:r>
            <w:r>
              <w:rPr>
                <w:rFonts w:hint="eastAsia" w:ascii="宋体" w:hAnsi="宋体" w:cs="宋体"/>
                <w:color w:val="auto"/>
                <w:kern w:val="0"/>
                <w:sz w:val="21"/>
                <w:szCs w:val="21"/>
                <w:highlight w:val="none"/>
              </w:rPr>
              <w:t>投标产品</w:t>
            </w:r>
            <w:r>
              <w:rPr>
                <w:rFonts w:hint="eastAsia" w:ascii="宋体" w:hAnsi="宋体" w:cs="宋体"/>
                <w:color w:val="auto"/>
                <w:kern w:val="0"/>
                <w:sz w:val="21"/>
                <w:szCs w:val="21"/>
                <w:highlight w:val="none"/>
                <w:lang w:val="en-US" w:eastAsia="zh-CN"/>
              </w:rPr>
              <w:t>制造商</w:t>
            </w:r>
            <w:r>
              <w:rPr>
                <w:rFonts w:hint="eastAsia" w:ascii="宋体" w:hAnsi="宋体" w:cs="宋体"/>
                <w:color w:val="auto"/>
                <w:kern w:val="0"/>
                <w:sz w:val="21"/>
                <w:szCs w:val="21"/>
                <w:highlight w:val="none"/>
              </w:rPr>
              <w:t>具有信息系统安全等级保护证明（三级或以上）</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得2分。</w:t>
            </w:r>
            <w:r>
              <w:rPr>
                <w:rFonts w:hint="eastAsia" w:ascii="宋体" w:hAnsi="宋体" w:cs="宋体"/>
                <w:color w:val="auto"/>
                <w:kern w:val="0"/>
                <w:sz w:val="21"/>
                <w:szCs w:val="21"/>
                <w:highlight w:val="none"/>
              </w:rPr>
              <w:t>（投标文件中须提供相关证明材料复印件加盖公章）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right w:val="single" w:color="auto" w:sz="4" w:space="0"/>
            </w:tcBorders>
            <w:vAlign w:val="center"/>
          </w:tcPr>
          <w:p>
            <w:pPr>
              <w:rPr>
                <w:rFonts w:hint="eastAsia" w:ascii="宋体" w:hAnsi="宋体" w:eastAsia="宋体" w:cs="宋体"/>
                <w:bCs/>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10、</w:t>
            </w:r>
            <w:r>
              <w:rPr>
                <w:rFonts w:hint="eastAsia" w:ascii="宋体" w:hAnsi="宋体" w:cs="宋体"/>
                <w:color w:val="auto"/>
                <w:kern w:val="0"/>
                <w:sz w:val="21"/>
                <w:szCs w:val="21"/>
                <w:highlight w:val="none"/>
              </w:rPr>
              <w:t>投标产品具有同类产品的计算机软件著作权证书</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lang w:val="en-US" w:eastAsia="zh-CN"/>
              </w:rPr>
              <w:t>得</w:t>
            </w:r>
            <w:r>
              <w:rPr>
                <w:rFonts w:hint="eastAsia" w:ascii="宋体" w:hAnsi="宋体" w:cs="宋体"/>
                <w:color w:val="auto"/>
                <w:kern w:val="0"/>
                <w:sz w:val="21"/>
                <w:szCs w:val="21"/>
                <w:highlight w:val="none"/>
              </w:rPr>
              <w:t>1分</w:t>
            </w:r>
            <w:r>
              <w:rPr>
                <w:rFonts w:hint="eastAsia" w:ascii="宋体" w:hAnsi="宋体" w:cs="宋体"/>
                <w:color w:val="auto"/>
                <w:kern w:val="0"/>
                <w:sz w:val="21"/>
                <w:szCs w:val="21"/>
                <w:highlight w:val="none"/>
                <w:lang w:eastAsia="zh-CN"/>
              </w:rPr>
              <w:t>。</w:t>
            </w:r>
            <w:r>
              <w:rPr>
                <w:rFonts w:hint="eastAsia" w:ascii="宋体" w:hAnsi="宋体" w:cs="宋体"/>
                <w:color w:val="auto"/>
                <w:kern w:val="0"/>
                <w:sz w:val="21"/>
                <w:szCs w:val="21"/>
                <w:highlight w:val="none"/>
              </w:rPr>
              <w:t>（投标文件中须提供相关证明材料复印件加盖公章）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right w:val="single" w:color="auto" w:sz="4" w:space="0"/>
            </w:tcBorders>
            <w:vAlign w:val="center"/>
          </w:tcPr>
          <w:p>
            <w:pPr>
              <w:rPr>
                <w:rFonts w:hint="eastAsia" w:ascii="宋体" w:hAnsi="宋体" w:eastAsia="宋体" w:cs="宋体"/>
                <w:bCs/>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11、评委根据供应商培训方案的合理性、全面性进行综合评议，满分5分。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right w:val="single" w:color="auto" w:sz="4" w:space="0"/>
            </w:tcBorders>
            <w:vAlign w:val="center"/>
          </w:tcPr>
          <w:p>
            <w:pPr>
              <w:rPr>
                <w:rFonts w:hint="eastAsia" w:ascii="宋体" w:hAnsi="宋体" w:eastAsia="宋体" w:cs="宋体"/>
                <w:bCs/>
                <w:color w:val="auto"/>
                <w:sz w:val="21"/>
                <w:szCs w:val="21"/>
                <w:highlight w:val="none"/>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12、根据投标产品制造商科研能力、心理健康大数据服务能力等进行综合评议，满分5分。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lang w:val="zh-CN"/>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13、评委根据供应商对本项目的理解及分析进行综合评议，满分3分。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cs="宋体"/>
                <w:bCs/>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76" w:type="dxa"/>
            <w:vMerge w:val="continue"/>
            <w:tcBorders>
              <w:left w:val="single" w:color="auto" w:sz="4" w:space="0"/>
              <w:bottom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lang w:val="zh-CN"/>
              </w:rPr>
            </w:pPr>
          </w:p>
        </w:tc>
        <w:tc>
          <w:tcPr>
            <w:tcW w:w="6161"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kern w:val="2"/>
                <w:sz w:val="21"/>
                <w:szCs w:val="21"/>
                <w:highlight w:val="none"/>
                <w:lang w:val="en-US" w:eastAsia="zh-CN" w:bidi="ar-SA"/>
              </w:rPr>
              <w:t>14、评委根据供应商对本项目的重难点分析及解决措施进行综合评议，满分2分。</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jc w:val="center"/>
        </w:trPr>
        <w:tc>
          <w:tcPr>
            <w:tcW w:w="1376"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业绩分</w:t>
            </w:r>
          </w:p>
        </w:tc>
        <w:tc>
          <w:tcPr>
            <w:tcW w:w="6161"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1</w:t>
            </w:r>
            <w:r>
              <w:rPr>
                <w:rFonts w:hint="eastAsia" w:ascii="宋体" w:hAnsi="宋体" w:cs="宋体"/>
                <w:color w:val="auto"/>
                <w:kern w:val="2"/>
                <w:sz w:val="21"/>
                <w:szCs w:val="21"/>
                <w:highlight w:val="none"/>
                <w:lang w:val="en-US" w:eastAsia="zh-CN" w:bidi="ar-SA"/>
              </w:rPr>
              <w:t>5</w:t>
            </w:r>
            <w:r>
              <w:rPr>
                <w:rFonts w:hint="eastAsia" w:ascii="宋体" w:hAnsi="宋体" w:eastAsia="宋体" w:cs="宋体"/>
                <w:color w:val="auto"/>
                <w:kern w:val="2"/>
                <w:sz w:val="21"/>
                <w:szCs w:val="21"/>
                <w:highlight w:val="none"/>
                <w:lang w:val="zh-CN" w:eastAsia="zh-CN" w:bidi="ar-SA"/>
              </w:rPr>
              <w:t>、供应商或投标产品制造商承担过心理健康大数据项目，以合同或中标/成交通知书为准，每提供一个得</w:t>
            </w:r>
            <w:r>
              <w:rPr>
                <w:rFonts w:hint="eastAsia" w:ascii="宋体" w:hAnsi="宋体" w:cs="宋体"/>
                <w:color w:val="auto"/>
                <w:kern w:val="2"/>
                <w:sz w:val="21"/>
                <w:szCs w:val="21"/>
                <w:highlight w:val="none"/>
                <w:lang w:val="en-US" w:eastAsia="zh-CN" w:bidi="ar-SA"/>
              </w:rPr>
              <w:t>0.5</w:t>
            </w:r>
            <w:r>
              <w:rPr>
                <w:rFonts w:hint="eastAsia" w:ascii="宋体" w:hAnsi="宋体" w:eastAsia="宋体" w:cs="宋体"/>
                <w:color w:val="auto"/>
                <w:kern w:val="2"/>
                <w:sz w:val="21"/>
                <w:szCs w:val="21"/>
                <w:highlight w:val="none"/>
                <w:lang w:val="zh-CN" w:eastAsia="zh-CN" w:bidi="ar-SA"/>
              </w:rPr>
              <w:t>分，最高得</w:t>
            </w:r>
            <w:r>
              <w:rPr>
                <w:rFonts w:hint="eastAsia" w:ascii="宋体" w:hAnsi="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zh-CN" w:eastAsia="zh-CN" w:bidi="ar-SA"/>
              </w:rPr>
              <w:t>分。（同一用户不重复计算得分）（投标文件需提供合同或中标通知书复印件加盖公章）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76" w:type="dxa"/>
            <w:vMerge w:val="continue"/>
            <w:tcBorders>
              <w:left w:val="single" w:color="auto" w:sz="4" w:space="0"/>
              <w:bottom w:val="single" w:color="auto" w:sz="4" w:space="0"/>
              <w:right w:val="single" w:color="auto" w:sz="4" w:space="0"/>
            </w:tcBorders>
            <w:vAlign w:val="center"/>
          </w:tcPr>
          <w:p>
            <w:pPr>
              <w:jc w:val="center"/>
              <w:rPr>
                <w:color w:val="auto"/>
                <w:highlight w:val="none"/>
              </w:rPr>
            </w:pPr>
          </w:p>
        </w:tc>
        <w:tc>
          <w:tcPr>
            <w:tcW w:w="6161" w:type="dxa"/>
            <w:tcBorders>
              <w:top w:val="single" w:color="auto" w:sz="4" w:space="0"/>
              <w:left w:val="single" w:color="auto" w:sz="4" w:space="0"/>
              <w:right w:val="single" w:color="auto" w:sz="4" w:space="0"/>
            </w:tcBorders>
            <w:vAlign w:val="center"/>
          </w:tcPr>
          <w:p>
            <w:pPr>
              <w:widowControl/>
              <w:jc w:val="left"/>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16、供应商</w:t>
            </w:r>
            <w:r>
              <w:rPr>
                <w:rFonts w:hint="eastAsia" w:ascii="宋体" w:hAnsi="宋体" w:cs="宋体"/>
                <w:color w:val="auto"/>
                <w:sz w:val="21"/>
                <w:szCs w:val="21"/>
                <w:highlight w:val="none"/>
              </w:rPr>
              <w:t>或投标产品</w:t>
            </w:r>
            <w:r>
              <w:rPr>
                <w:rFonts w:hint="eastAsia" w:ascii="宋体" w:hAnsi="宋体" w:cs="宋体"/>
                <w:color w:val="auto"/>
                <w:sz w:val="21"/>
                <w:szCs w:val="21"/>
                <w:highlight w:val="none"/>
                <w:lang w:val="en-US" w:eastAsia="zh-CN"/>
              </w:rPr>
              <w:t>制造商</w:t>
            </w:r>
            <w:r>
              <w:rPr>
                <w:rFonts w:hint="eastAsia" w:ascii="宋体" w:hAnsi="宋体" w:cs="宋体"/>
                <w:color w:val="auto"/>
                <w:sz w:val="21"/>
                <w:szCs w:val="21"/>
                <w:highlight w:val="none"/>
              </w:rPr>
              <w:t>自2018年1月1日(以签订合同时间为准)起承担过同类项目（同类项目指：心理健康管理、心身整体评估、</w:t>
            </w:r>
            <w:r>
              <w:rPr>
                <w:rFonts w:ascii="宋体" w:hAnsi="宋体" w:cs="宋体"/>
                <w:color w:val="auto"/>
                <w:sz w:val="21"/>
                <w:szCs w:val="21"/>
                <w:highlight w:val="none"/>
              </w:rPr>
              <w:t>心理健康大数据</w:t>
            </w:r>
            <w:r>
              <w:rPr>
                <w:rFonts w:hint="eastAsia" w:ascii="宋体" w:hAnsi="宋体" w:cs="宋体"/>
                <w:color w:val="auto"/>
                <w:sz w:val="21"/>
                <w:szCs w:val="21"/>
                <w:highlight w:val="none"/>
              </w:rPr>
              <w:t>），每个业绩得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rPr>
              <w:t>分，本项最高得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分（投标文件需提供合同复印件加盖公章）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0"/>
              </w:tabs>
              <w:spacing w:line="300" w:lineRule="exact"/>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政策加分（</w:t>
            </w:r>
            <w:r>
              <w:rPr>
                <w:rFonts w:hint="eastAsia" w:ascii="宋体" w:hAnsi="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t>供应商或制造商是国家认定的不发达地区或少数民族地区企业的加1分。</w:t>
            </w: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val="en-US" w:eastAsia="zh-CN"/>
              </w:rPr>
              <w:t>投标</w:t>
            </w:r>
            <w:r>
              <w:rPr>
                <w:rFonts w:hint="eastAsia" w:ascii="宋体" w:hAnsi="宋体" w:eastAsia="宋体" w:cs="宋体"/>
                <w:b/>
                <w:bCs/>
                <w:color w:val="auto"/>
                <w:kern w:val="0"/>
                <w:szCs w:val="21"/>
                <w:highlight w:val="none"/>
                <w:lang w:eastAsia="zh-CN"/>
              </w:rPr>
              <w:t>文件</w:t>
            </w:r>
            <w:r>
              <w:rPr>
                <w:rFonts w:hint="eastAsia" w:ascii="宋体" w:hAnsi="宋体" w:eastAsia="宋体" w:cs="宋体"/>
                <w:b/>
                <w:bCs/>
                <w:color w:val="auto"/>
                <w:kern w:val="0"/>
                <w:szCs w:val="21"/>
                <w:highlight w:val="none"/>
              </w:rPr>
              <w:t>中提供相关证明材料扫描件加盖公章。</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auto"/>
                <w:kern w:val="2"/>
                <w:sz w:val="22"/>
                <w:szCs w:val="22"/>
                <w:highlight w:val="none"/>
                <w:lang w:val="en-US" w:eastAsia="zh-CN" w:bidi="ar-SA"/>
              </w:rPr>
            </w:pPr>
            <w:r>
              <w:rPr>
                <w:rFonts w:hint="eastAsia" w:ascii="宋体" w:hAnsi="宋体" w:cs="宋体"/>
                <w:color w:val="auto"/>
                <w:sz w:val="22"/>
                <w:szCs w:val="22"/>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7"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节能环保产品（</w:t>
            </w:r>
            <w:r>
              <w:rPr>
                <w:rFonts w:hint="eastAsia" w:ascii="宋体" w:hAnsi="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所有</w:t>
            </w:r>
            <w:r>
              <w:rPr>
                <w:rFonts w:hint="eastAsia" w:ascii="宋体" w:hAnsi="宋体" w:eastAsia="宋体" w:cs="宋体"/>
                <w:color w:val="auto"/>
                <w:kern w:val="0"/>
                <w:sz w:val="21"/>
                <w:szCs w:val="21"/>
                <w:highlight w:val="none"/>
              </w:rPr>
              <w:t>投标产品属于《节能产品政府采购品目清单》范围的且具有国家确定的认证机构出具的、处于有效期之内的节能产品认证证书的得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所有</w:t>
            </w:r>
            <w:r>
              <w:rPr>
                <w:rFonts w:hint="eastAsia" w:ascii="宋体" w:hAnsi="宋体" w:eastAsia="宋体" w:cs="宋体"/>
                <w:color w:val="auto"/>
                <w:kern w:val="0"/>
                <w:sz w:val="21"/>
                <w:szCs w:val="21"/>
                <w:highlight w:val="none"/>
              </w:rPr>
              <w:t>投标产品属于《环境标志产品政府采购品目清单》范围的且具有国家确定的认证机构出具的、处于有效期之内的环境标志产品认证证书的得</w:t>
            </w:r>
            <w:r>
              <w:rPr>
                <w:rFonts w:hint="eastAsia" w:ascii="宋体" w:hAnsi="宋体" w:eastAsia="宋体" w:cs="宋体"/>
                <w:color w:val="auto"/>
                <w:kern w:val="0"/>
                <w:sz w:val="21"/>
                <w:szCs w:val="21"/>
                <w:highlight w:val="none"/>
                <w:lang w:val="en-US" w:eastAsia="zh-CN"/>
              </w:rPr>
              <w:t>0.5</w:t>
            </w:r>
            <w:r>
              <w:rPr>
                <w:rFonts w:hint="eastAsia" w:ascii="宋体" w:hAnsi="宋体" w:eastAsia="宋体" w:cs="宋体"/>
                <w:color w:val="auto"/>
                <w:kern w:val="0"/>
                <w:sz w:val="21"/>
                <w:szCs w:val="21"/>
                <w:highlight w:val="none"/>
              </w:rPr>
              <w:t>分。</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注：投标文件中必须同时提供以下资料：</w:t>
            </w:r>
          </w:p>
          <w:p>
            <w:pPr>
              <w:widowControl/>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提供政府采购品目清单相关内容页（并对相关内容作圈记），采购品目清单详见《关于印发环境标志产品政府采购品目清单的通知》（财库〔2019〕18号）和《关于印发节能产品政府采购品目清单的通知》（财库〔2019〕19号）。</w:t>
            </w:r>
          </w:p>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（2）《市场监管总局关于发布参与实施政府采购节能产品、环境标志产品认证机构名录的公告》中的认证机构出具的、处于有效期之内的节能产品/环境标志产品认证证书复印件并加盖公章。</w:t>
            </w:r>
          </w:p>
        </w:tc>
        <w:tc>
          <w:tcPr>
            <w:tcW w:w="101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537" w:type="dxa"/>
            <w:gridSpan w:val="2"/>
            <w:tcBorders>
              <w:top w:val="single" w:color="auto" w:sz="4" w:space="0"/>
              <w:left w:val="single" w:color="auto" w:sz="4" w:space="0"/>
              <w:bottom w:val="single" w:color="auto" w:sz="4" w:space="0"/>
              <w:right w:val="single" w:color="auto" w:sz="4" w:space="0"/>
            </w:tcBorders>
            <w:vAlign w:val="center"/>
          </w:tcPr>
          <w:p>
            <w:pPr>
              <w:widowControl/>
              <w:tabs>
                <w:tab w:val="left" w:pos="0"/>
              </w:tabs>
              <w:spacing w:line="300" w:lineRule="exact"/>
              <w:jc w:val="center"/>
              <w:rPr>
                <w:rFonts w:hint="eastAsia" w:ascii="宋体" w:hAnsi="宋体" w:eastAsia="宋体" w:cs="宋体"/>
                <w:b/>
                <w:bCs/>
                <w:color w:val="auto"/>
                <w:kern w:val="0"/>
                <w:szCs w:val="21"/>
                <w:highlight w:val="none"/>
                <w:lang w:val="en-US" w:eastAsia="zh-CN"/>
              </w:rPr>
            </w:pPr>
            <w:r>
              <w:rPr>
                <w:rFonts w:hint="eastAsia" w:ascii="宋体" w:hAnsi="宋体" w:cs="宋体"/>
                <w:b w:val="0"/>
                <w:bCs w:val="0"/>
                <w:color w:val="auto"/>
                <w:kern w:val="0"/>
                <w:szCs w:val="21"/>
                <w:highlight w:val="none"/>
                <w:lang w:val="en-US" w:eastAsia="zh-CN"/>
              </w:rPr>
              <w:t>合计</w:t>
            </w:r>
          </w:p>
        </w:tc>
        <w:tc>
          <w:tcPr>
            <w:tcW w:w="101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cs="宋体"/>
                <w:color w:val="auto"/>
                <w:sz w:val="22"/>
                <w:szCs w:val="22"/>
                <w:highlight w:val="none"/>
                <w:lang w:val="en-US" w:eastAsia="zh-CN"/>
              </w:rPr>
            </w:pPr>
            <w:r>
              <w:rPr>
                <w:rFonts w:hint="eastAsia" w:ascii="宋体" w:hAnsi="宋体" w:cs="宋体"/>
                <w:color w:val="auto"/>
                <w:sz w:val="22"/>
                <w:szCs w:val="22"/>
                <w:highlight w:val="none"/>
                <w:lang w:val="en-US" w:eastAsia="zh-CN"/>
              </w:rPr>
              <w:t>100</w:t>
            </w:r>
          </w:p>
        </w:tc>
      </w:tr>
    </w:tbl>
    <w:p>
      <w:pPr>
        <w:spacing w:line="360" w:lineRule="auto"/>
        <w:jc w:val="left"/>
        <w:rPr>
          <w:rFonts w:hint="eastAsia"/>
          <w:color w:val="auto"/>
          <w:highlight w:val="none"/>
        </w:rPr>
      </w:pPr>
      <w:r>
        <w:rPr>
          <w:rFonts w:hint="eastAsia"/>
          <w:color w:val="auto"/>
          <w:highlight w:val="none"/>
        </w:rPr>
        <w:t>注：</w:t>
      </w:r>
      <w:r>
        <w:rPr>
          <w:color w:val="auto"/>
          <w:highlight w:val="none"/>
        </w:rPr>
        <w:t>1</w:t>
      </w:r>
      <w:r>
        <w:rPr>
          <w:rFonts w:hint="eastAsia"/>
          <w:color w:val="auto"/>
          <w:highlight w:val="none"/>
        </w:rPr>
        <w:t>、小数点后保留</w:t>
      </w:r>
      <w:r>
        <w:rPr>
          <w:rFonts w:hint="eastAsia"/>
          <w:color w:val="auto"/>
          <w:highlight w:val="none"/>
          <w:lang w:val="en-US" w:eastAsia="zh-CN"/>
        </w:rPr>
        <w:t>一</w:t>
      </w:r>
      <w:r>
        <w:rPr>
          <w:rFonts w:hint="eastAsia"/>
          <w:color w:val="auto"/>
          <w:highlight w:val="none"/>
          <w:lang w:eastAsia="zh-CN"/>
        </w:rPr>
        <w:t>位小数</w:t>
      </w:r>
      <w:r>
        <w:rPr>
          <w:rFonts w:hint="eastAsia"/>
          <w:color w:val="auto"/>
          <w:highlight w:val="none"/>
        </w:rPr>
        <w:t>。</w:t>
      </w:r>
      <w:r>
        <w:rPr>
          <w:color w:val="auto"/>
          <w:highlight w:val="none"/>
        </w:rPr>
        <w:t>2</w:t>
      </w:r>
      <w:r>
        <w:rPr>
          <w:rFonts w:hint="eastAsia"/>
          <w:color w:val="auto"/>
          <w:highlight w:val="none"/>
        </w:rPr>
        <w:t>、重大事件由评标委员会集体讨论，须有三分之二或以上的评标委员会签字认可。</w:t>
      </w:r>
    </w:p>
    <w:p>
      <w:pPr>
        <w:jc w:val="center"/>
        <w:rPr>
          <w:rFonts w:hint="eastAsia"/>
          <w:color w:val="auto"/>
          <w:highlight w:val="none"/>
        </w:rPr>
      </w:pPr>
      <w:r>
        <w:rPr>
          <w:rFonts w:hint="eastAsia" w:ascii="宋体" w:hAnsi="宋体" w:cs="Times New Roman"/>
          <w:b/>
          <w:bCs/>
          <w:color w:val="auto"/>
          <w:highlight w:val="none"/>
        </w:rPr>
        <w:t>评分标准表</w:t>
      </w:r>
      <w:r>
        <w:rPr>
          <w:rFonts w:hint="eastAsia" w:ascii="宋体" w:hAnsi="宋体" w:cs="Times New Roman"/>
          <w:b/>
          <w:bCs/>
          <w:color w:val="auto"/>
          <w:highlight w:val="none"/>
          <w:lang w:eastAsia="zh-CN"/>
        </w:rPr>
        <w:t>（</w:t>
      </w:r>
      <w:r>
        <w:rPr>
          <w:rFonts w:hint="eastAsia" w:ascii="宋体" w:hAnsi="宋体" w:cs="Times New Roman"/>
          <w:b/>
          <w:bCs/>
          <w:color w:val="auto"/>
          <w:highlight w:val="none"/>
          <w:lang w:val="en-US" w:eastAsia="zh-CN"/>
        </w:rPr>
        <w:t>适用于标项三</w:t>
      </w:r>
      <w:r>
        <w:rPr>
          <w:rFonts w:hint="eastAsia" w:ascii="宋体" w:hAnsi="宋体" w:cs="Times New Roman"/>
          <w:b/>
          <w:bCs/>
          <w:color w:val="auto"/>
          <w:highlight w:val="none"/>
          <w:lang w:eastAsia="zh-CN"/>
        </w:rPr>
        <w:t>）</w:t>
      </w:r>
    </w:p>
    <w:tbl>
      <w:tblPr>
        <w:tblStyle w:val="28"/>
        <w:tblW w:w="85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6453"/>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评审内容</w:t>
            </w:r>
          </w:p>
        </w:tc>
        <w:tc>
          <w:tcPr>
            <w:tcW w:w="645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评分标准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报价分</w:t>
            </w: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参与评审的价格=投标</w:t>
            </w:r>
            <w:r>
              <w:rPr>
                <w:rFonts w:hint="eastAsia" w:ascii="宋体" w:hAnsi="宋体" w:eastAsia="宋体" w:cs="宋体"/>
                <w:bCs/>
                <w:color w:val="auto"/>
                <w:sz w:val="21"/>
                <w:szCs w:val="21"/>
                <w:highlight w:val="none"/>
              </w:rPr>
              <w:t>总价</w:t>
            </w:r>
            <w:r>
              <w:rPr>
                <w:rFonts w:hint="eastAsia" w:ascii="宋体" w:hAnsi="宋体" w:eastAsia="宋体" w:cs="宋体"/>
                <w:bCs/>
                <w:color w:val="auto"/>
                <w:sz w:val="21"/>
                <w:szCs w:val="21"/>
                <w:highlight w:val="none"/>
                <w:lang w:val="zh-CN"/>
              </w:rPr>
              <w:t>-小微企业政策优惠（如有）；</w:t>
            </w:r>
          </w:p>
          <w:p>
            <w:pPr>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满足采购要求的有效投标且参与评审的价格最低的参与评审的价格为评标基准价，得</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0分；</w:t>
            </w:r>
          </w:p>
          <w:p>
            <w:pP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val="zh-CN"/>
              </w:rPr>
              <w:t>其他投标报价得分计算公式如下：投标报价得分=（评标基准价/参与评审的价格）×</w:t>
            </w:r>
            <w:r>
              <w:rPr>
                <w:rFonts w:hint="eastAsia" w:ascii="宋体" w:hAnsi="宋体" w:cs="宋体"/>
                <w:bCs/>
                <w:color w:val="auto"/>
                <w:sz w:val="21"/>
                <w:szCs w:val="21"/>
                <w:highlight w:val="none"/>
                <w:lang w:val="en-US" w:eastAsia="zh-CN"/>
              </w:rPr>
              <w:t>1</w:t>
            </w:r>
            <w:r>
              <w:rPr>
                <w:rFonts w:hint="eastAsia" w:ascii="宋体" w:hAnsi="宋体" w:eastAsia="宋体" w:cs="宋体"/>
                <w:bCs/>
                <w:color w:val="auto"/>
                <w:sz w:val="21"/>
                <w:szCs w:val="21"/>
                <w:highlight w:val="none"/>
                <w:lang w:val="zh-CN"/>
              </w:rPr>
              <w:t>0%×100。</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restart"/>
            <w:tcBorders>
              <w:top w:val="single" w:color="auto" w:sz="4" w:space="0"/>
              <w:left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商务技术分</w:t>
            </w:r>
          </w:p>
        </w:tc>
        <w:tc>
          <w:tcPr>
            <w:tcW w:w="6453" w:type="dxa"/>
            <w:tcBorders>
              <w:top w:val="single" w:color="auto" w:sz="4" w:space="0"/>
              <w:left w:val="single" w:color="auto" w:sz="4" w:space="0"/>
              <w:bottom w:val="single" w:color="auto" w:sz="4" w:space="0"/>
              <w:right w:val="single" w:color="auto" w:sz="4" w:space="0"/>
            </w:tcBorders>
            <w:vAlign w:val="center"/>
          </w:tcPr>
          <w:p>
            <w:pPr>
              <w:rPr>
                <w:rFonts w:hint="default" w:cs="宋体"/>
                <w:snapToGrid w:val="0"/>
                <w:color w:val="auto"/>
                <w:sz w:val="21"/>
                <w:szCs w:val="21"/>
                <w:highlight w:val="none"/>
                <w:lang w:val="en-US" w:eastAsia="zh-CN"/>
              </w:rPr>
            </w:pPr>
            <w:r>
              <w:rPr>
                <w:rFonts w:hint="eastAsia" w:cs="宋体"/>
                <w:snapToGrid w:val="0"/>
                <w:color w:val="auto"/>
                <w:sz w:val="21"/>
                <w:szCs w:val="21"/>
                <w:highlight w:val="none"/>
                <w:lang w:val="en-US" w:eastAsia="zh-CN"/>
              </w:rPr>
              <w:t>评委根据供应商对本项目的了解程度及调研进行综合评议，满分5分。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widowControl w:val="0"/>
              <w:jc w:val="center"/>
              <w:rPr>
                <w:rFonts w:hint="eastAsia" w:ascii="宋体" w:hAnsi="宋体" w:eastAsia="宋体" w:cs="宋体"/>
                <w:bCs/>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cs="宋体"/>
                <w:snapToGrid w:val="0"/>
                <w:color w:val="auto"/>
                <w:sz w:val="21"/>
                <w:szCs w:val="21"/>
                <w:highlight w:val="none"/>
                <w:lang w:val="en-US" w:eastAsia="zh-CN"/>
              </w:rPr>
            </w:pPr>
            <w:r>
              <w:rPr>
                <w:rFonts w:hint="eastAsia" w:cs="宋体"/>
                <w:snapToGrid w:val="0"/>
                <w:color w:val="auto"/>
                <w:sz w:val="21"/>
                <w:szCs w:val="21"/>
                <w:highlight w:val="none"/>
                <w:lang w:val="en-US" w:eastAsia="zh-CN"/>
              </w:rPr>
              <w:t>评委根据供应商对本项目的重点难点分析进行综合评议，满分3分。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widowControl w:val="0"/>
              <w:jc w:val="center"/>
              <w:rPr>
                <w:rFonts w:hint="eastAsia" w:ascii="宋体" w:hAnsi="宋体" w:eastAsia="宋体" w:cs="宋体"/>
                <w:bCs/>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Calibri" w:hAnsi="Calibri" w:eastAsia="宋体" w:cs="宋体"/>
                <w:snapToGrid w:val="0"/>
                <w:color w:val="auto"/>
                <w:kern w:val="2"/>
                <w:sz w:val="21"/>
                <w:szCs w:val="21"/>
                <w:highlight w:val="none"/>
                <w:lang w:val="en-US" w:eastAsia="zh-CN" w:bidi="ar-SA"/>
              </w:rPr>
            </w:pPr>
            <w:r>
              <w:rPr>
                <w:rFonts w:hint="eastAsia" w:cs="宋体"/>
                <w:snapToGrid w:val="0"/>
                <w:color w:val="auto"/>
                <w:sz w:val="21"/>
                <w:szCs w:val="21"/>
                <w:highlight w:val="none"/>
                <w:lang w:val="en-US" w:eastAsia="zh-CN"/>
              </w:rPr>
              <w:t>评委根据供应商对本项目的重点难点，提出的解决方案进行综合评议，满分3分。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widowControl w:val="0"/>
              <w:jc w:val="center"/>
              <w:rPr>
                <w:rFonts w:hint="eastAsia" w:ascii="宋体" w:hAnsi="宋体" w:eastAsia="宋体" w:cs="宋体"/>
                <w:bCs/>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cs="宋体"/>
                <w:snapToGrid w:val="0"/>
                <w:color w:val="auto"/>
                <w:sz w:val="21"/>
                <w:szCs w:val="21"/>
                <w:highlight w:val="none"/>
                <w:lang w:val="en-US" w:eastAsia="zh-CN"/>
              </w:rPr>
            </w:pPr>
            <w:r>
              <w:rPr>
                <w:rFonts w:hint="eastAsia" w:cs="宋体"/>
                <w:snapToGrid w:val="0"/>
                <w:color w:val="auto"/>
                <w:sz w:val="21"/>
                <w:szCs w:val="21"/>
                <w:highlight w:val="none"/>
                <w:lang w:val="en-US" w:eastAsia="zh-CN"/>
              </w:rPr>
              <w:t>评委根据供应商对本项目的应急事件处理预案进行综合评议，满分5分。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widowControl w:val="0"/>
              <w:jc w:val="center"/>
              <w:rPr>
                <w:rFonts w:hint="eastAsia" w:ascii="宋体" w:hAnsi="宋体" w:eastAsia="宋体" w:cs="Times New Roman"/>
                <w:color w:val="auto"/>
                <w:kern w:val="2"/>
                <w:sz w:val="21"/>
                <w:szCs w:val="21"/>
                <w:highlight w:val="none"/>
                <w:lang w:val="en-US" w:eastAsia="zh-CN" w:bidi="ar-SA"/>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宋体"/>
                <w:snapToGrid w:val="0"/>
                <w:color w:val="auto"/>
                <w:kern w:val="2"/>
                <w:sz w:val="21"/>
                <w:szCs w:val="21"/>
                <w:highlight w:val="none"/>
                <w:lang w:val="en-US" w:eastAsia="zh-CN" w:bidi="ar-SA"/>
              </w:rPr>
            </w:pPr>
            <w:r>
              <w:rPr>
                <w:rFonts w:hint="eastAsia" w:cs="宋体"/>
                <w:snapToGrid w:val="0"/>
                <w:color w:val="auto"/>
                <w:sz w:val="21"/>
                <w:szCs w:val="21"/>
                <w:highlight w:val="none"/>
                <w:lang w:val="en-US" w:eastAsia="zh-CN"/>
              </w:rPr>
              <w:t>评委根据供应商</w:t>
            </w:r>
            <w:r>
              <w:rPr>
                <w:rFonts w:hint="eastAsia" w:cs="宋体"/>
                <w:snapToGrid w:val="0"/>
                <w:color w:val="auto"/>
                <w:sz w:val="21"/>
                <w:szCs w:val="21"/>
                <w:highlight w:val="none"/>
              </w:rPr>
              <w:t>信息技术服务咨询</w:t>
            </w:r>
            <w:r>
              <w:rPr>
                <w:rFonts w:hint="eastAsia" w:cs="宋体"/>
                <w:snapToGrid w:val="0"/>
                <w:color w:val="auto"/>
                <w:sz w:val="21"/>
                <w:szCs w:val="21"/>
                <w:highlight w:val="none"/>
                <w:lang w:val="en-US" w:eastAsia="zh-CN"/>
              </w:rPr>
              <w:t>能力</w:t>
            </w:r>
            <w:r>
              <w:rPr>
                <w:rFonts w:hint="eastAsia" w:cs="宋体"/>
                <w:snapToGrid w:val="0"/>
                <w:color w:val="auto"/>
                <w:sz w:val="21"/>
                <w:szCs w:val="21"/>
                <w:highlight w:val="none"/>
              </w:rPr>
              <w:t>和信息技术服务监理</w:t>
            </w:r>
            <w:r>
              <w:rPr>
                <w:rFonts w:hint="eastAsia" w:cs="宋体"/>
                <w:snapToGrid w:val="0"/>
                <w:color w:val="auto"/>
                <w:sz w:val="21"/>
                <w:szCs w:val="21"/>
                <w:highlight w:val="none"/>
                <w:lang w:val="en-US" w:eastAsia="zh-CN"/>
              </w:rPr>
              <w:t>能力进行综合评议，满分5分。投标文件中需提供相关能力证明材料，无相关材料的不得分。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rPr>
            </w:pPr>
            <w:r>
              <w:rPr>
                <w:rFonts w:hint="default" w:ascii="宋体" w:hAnsi="宋体" w:eastAsia="宋体" w:cs="宋体"/>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 w:hRule="atLeast"/>
          <w:jc w:val="center"/>
        </w:trPr>
        <w:tc>
          <w:tcPr>
            <w:tcW w:w="1362"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宋体"/>
                <w:snapToGrid w:val="0"/>
                <w:color w:val="auto"/>
                <w:kern w:val="2"/>
                <w:sz w:val="21"/>
                <w:szCs w:val="21"/>
                <w:highlight w:val="none"/>
                <w:lang w:val="en-US" w:eastAsia="zh-CN" w:bidi="ar-SA"/>
              </w:rPr>
            </w:pPr>
            <w:r>
              <w:rPr>
                <w:rFonts w:hint="eastAsia" w:cs="宋体"/>
                <w:snapToGrid w:val="0"/>
                <w:color w:val="auto"/>
                <w:sz w:val="21"/>
                <w:szCs w:val="21"/>
                <w:highlight w:val="none"/>
                <w:lang w:val="en-US" w:eastAsia="zh-CN"/>
              </w:rPr>
              <w:t>供应商</w:t>
            </w:r>
            <w:r>
              <w:rPr>
                <w:rFonts w:hint="eastAsia" w:cs="宋体"/>
                <w:snapToGrid w:val="0"/>
                <w:color w:val="auto"/>
                <w:sz w:val="21"/>
                <w:szCs w:val="21"/>
                <w:highlight w:val="none"/>
              </w:rPr>
              <w:t>具有ITSS信息技术咨询设计标准符合性证书的得2分。</w:t>
            </w:r>
            <w:r>
              <w:rPr>
                <w:rFonts w:hint="eastAsia" w:cs="宋体"/>
                <w:snapToGrid w:val="0"/>
                <w:color w:val="auto"/>
                <w:sz w:val="21"/>
                <w:szCs w:val="21"/>
                <w:highlight w:val="none"/>
                <w:lang w:val="en-US" w:eastAsia="zh-CN"/>
              </w:rPr>
              <w:t>投标文件中需提供证书复印件加盖公章。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1362" w:type="dxa"/>
            <w:vMerge w:val="continue"/>
            <w:tcBorders>
              <w:left w:val="single" w:color="auto" w:sz="4" w:space="0"/>
              <w:right w:val="single" w:color="auto" w:sz="4" w:space="0"/>
            </w:tcBorders>
            <w:vAlign w:val="center"/>
          </w:tcPr>
          <w:p>
            <w:pPr>
              <w:jc w:val="center"/>
              <w:rPr>
                <w:rFonts w:cs="Times New Roman"/>
                <w:color w:val="auto"/>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default" w:ascii="Calibri" w:hAnsi="Calibri" w:eastAsia="宋体" w:cs="宋体"/>
                <w:snapToGrid w:val="0"/>
                <w:color w:val="auto"/>
                <w:kern w:val="2"/>
                <w:sz w:val="21"/>
                <w:szCs w:val="21"/>
                <w:highlight w:val="none"/>
                <w:lang w:val="en-US" w:eastAsia="zh-CN" w:bidi="ar-SA"/>
              </w:rPr>
            </w:pPr>
            <w:r>
              <w:rPr>
                <w:rFonts w:hint="eastAsia" w:eastAsia="宋体" w:cs="宋体"/>
                <w:snapToGrid w:val="0"/>
                <w:color w:val="auto"/>
                <w:sz w:val="21"/>
                <w:szCs w:val="21"/>
                <w:highlight w:val="none"/>
                <w:lang w:val="en-US" w:eastAsia="zh-CN"/>
              </w:rPr>
              <w:t>评委根据供应商综合科研能力水平进行综合评议，满分5分，包括但不限于</w:t>
            </w:r>
            <w:r>
              <w:rPr>
                <w:rFonts w:hint="eastAsia" w:ascii="Calibri" w:hAnsi="Calibri" w:eastAsia="宋体" w:cs="宋体"/>
                <w:snapToGrid w:val="0"/>
                <w:color w:val="auto"/>
                <w:sz w:val="21"/>
                <w:szCs w:val="21"/>
                <w:highlight w:val="none"/>
              </w:rPr>
              <w:t>项目</w:t>
            </w:r>
            <w:r>
              <w:rPr>
                <w:rFonts w:ascii="Calibri" w:hAnsi="Calibri" w:eastAsia="宋体" w:cs="宋体"/>
                <w:snapToGrid w:val="0"/>
                <w:color w:val="auto"/>
                <w:sz w:val="21"/>
                <w:szCs w:val="21"/>
                <w:highlight w:val="none"/>
              </w:rPr>
              <w:t>监理</w:t>
            </w:r>
            <w:r>
              <w:rPr>
                <w:rFonts w:hint="eastAsia" w:ascii="Calibri" w:hAnsi="Calibri" w:eastAsia="宋体" w:cs="宋体"/>
                <w:snapToGrid w:val="0"/>
                <w:color w:val="auto"/>
                <w:sz w:val="21"/>
                <w:szCs w:val="21"/>
                <w:highlight w:val="none"/>
              </w:rPr>
              <w:t>管理软件和咨询设计资源管理平台软件</w:t>
            </w:r>
            <w:r>
              <w:rPr>
                <w:rFonts w:hint="eastAsia" w:eastAsia="宋体" w:cs="宋体"/>
                <w:snapToGrid w:val="0"/>
                <w:color w:val="auto"/>
                <w:sz w:val="21"/>
                <w:szCs w:val="21"/>
                <w:highlight w:val="none"/>
                <w:lang w:val="en-US" w:eastAsia="zh-CN"/>
              </w:rPr>
              <w:t>开发能力</w:t>
            </w:r>
            <w:r>
              <w:rPr>
                <w:rFonts w:hint="eastAsia" w:eastAsia="宋体" w:cs="宋体"/>
                <w:snapToGrid w:val="0"/>
                <w:color w:val="auto"/>
                <w:sz w:val="21"/>
                <w:szCs w:val="21"/>
                <w:highlight w:val="none"/>
                <w:lang w:eastAsia="zh-CN"/>
              </w:rPr>
              <w:t>，</w:t>
            </w:r>
            <w:r>
              <w:rPr>
                <w:rFonts w:hint="eastAsia" w:eastAsia="宋体" w:cs="宋体"/>
                <w:snapToGrid w:val="0"/>
                <w:color w:val="auto"/>
                <w:sz w:val="21"/>
                <w:szCs w:val="21"/>
                <w:highlight w:val="none"/>
                <w:lang w:val="en-US" w:eastAsia="zh-CN"/>
              </w:rPr>
              <w:t>智库支撑能力等。</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widowControl w:val="0"/>
              <w:jc w:val="center"/>
              <w:rPr>
                <w:rFonts w:hint="eastAsia" w:ascii="宋体" w:hAnsi="宋体" w:eastAsia="宋体" w:cs="Times New Roman"/>
                <w:color w:val="auto"/>
                <w:kern w:val="2"/>
                <w:sz w:val="21"/>
                <w:szCs w:val="21"/>
                <w:highlight w:val="none"/>
                <w:lang w:val="en-US" w:eastAsia="zh-CN" w:bidi="ar-SA"/>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sz w:val="21"/>
                <w:szCs w:val="21"/>
                <w:highlight w:val="none"/>
                <w:lang w:eastAsia="zh-CN"/>
              </w:rPr>
            </w:pPr>
            <w:r>
              <w:rPr>
                <w:rFonts w:hint="eastAsia" w:cs="宋体"/>
                <w:snapToGrid w:val="0"/>
                <w:color w:val="auto"/>
                <w:sz w:val="21"/>
                <w:szCs w:val="21"/>
                <w:highlight w:val="none"/>
                <w:lang w:val="en-US" w:eastAsia="zh-CN"/>
              </w:rPr>
              <w:t>供应商</w:t>
            </w:r>
            <w:r>
              <w:rPr>
                <w:rFonts w:hint="eastAsia" w:cs="宋体"/>
                <w:snapToGrid w:val="0"/>
                <w:color w:val="auto"/>
                <w:sz w:val="21"/>
                <w:szCs w:val="21"/>
                <w:highlight w:val="none"/>
              </w:rPr>
              <w:t>具有信息安全管理体系认证证书、信息技术服务管理系统认证证书、iso9001质量管理认证体系的</w:t>
            </w:r>
            <w:r>
              <w:rPr>
                <w:rFonts w:hint="eastAsia" w:cs="宋体"/>
                <w:snapToGrid w:val="0"/>
                <w:color w:val="auto"/>
                <w:sz w:val="21"/>
                <w:szCs w:val="21"/>
                <w:highlight w:val="none"/>
                <w:lang w:eastAsia="zh-CN"/>
              </w:rPr>
              <w:t>，</w:t>
            </w:r>
            <w:r>
              <w:rPr>
                <w:rFonts w:hint="eastAsia" w:cs="宋体"/>
                <w:snapToGrid w:val="0"/>
                <w:color w:val="auto"/>
                <w:sz w:val="21"/>
                <w:szCs w:val="21"/>
                <w:highlight w:val="none"/>
                <w:lang w:val="en-US" w:eastAsia="zh-CN"/>
              </w:rPr>
              <w:t>每提供一项得1分，满分</w:t>
            </w:r>
            <w:r>
              <w:rPr>
                <w:rFonts w:hint="eastAsia" w:cs="宋体"/>
                <w:snapToGrid w:val="0"/>
                <w:color w:val="auto"/>
                <w:sz w:val="21"/>
                <w:szCs w:val="21"/>
                <w:highlight w:val="none"/>
              </w:rPr>
              <w:t>3分</w:t>
            </w:r>
            <w:r>
              <w:rPr>
                <w:rFonts w:hint="eastAsia" w:cs="宋体"/>
                <w:snapToGrid w:val="0"/>
                <w:color w:val="auto"/>
                <w:sz w:val="21"/>
                <w:szCs w:val="21"/>
                <w:highlight w:val="none"/>
                <w:lang w:eastAsia="zh-CN"/>
              </w:rPr>
              <w:t>。</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bCs/>
                <w:color w:val="auto"/>
                <w:sz w:val="21"/>
                <w:szCs w:val="21"/>
                <w:highlight w:val="none"/>
                <w:lang w:val="en-US"/>
              </w:rPr>
            </w:pPr>
            <w:r>
              <w:rPr>
                <w:rFonts w:hint="eastAsia" w:ascii="宋体" w:hAnsi="宋体" w:cs="宋体"/>
                <w:snapToGrid w:val="0"/>
                <w:color w:val="auto"/>
                <w:sz w:val="21"/>
                <w:szCs w:val="21"/>
                <w:highlight w:val="none"/>
                <w:lang w:val="en-US" w:eastAsia="zh-CN"/>
              </w:rPr>
              <w:t>评委根据</w:t>
            </w:r>
            <w:r>
              <w:rPr>
                <w:rFonts w:hint="eastAsia" w:ascii="宋体" w:hAnsi="宋体" w:cs="宋体"/>
                <w:snapToGrid w:val="0"/>
                <w:color w:val="auto"/>
                <w:sz w:val="21"/>
                <w:szCs w:val="21"/>
                <w:highlight w:val="none"/>
              </w:rPr>
              <w:t>拟派项目负责人</w:t>
            </w:r>
            <w:r>
              <w:rPr>
                <w:rFonts w:hint="eastAsia" w:ascii="宋体" w:hAnsi="宋体" w:cs="宋体"/>
                <w:snapToGrid w:val="0"/>
                <w:color w:val="auto"/>
                <w:sz w:val="21"/>
                <w:szCs w:val="21"/>
                <w:highlight w:val="none"/>
                <w:lang w:val="en-US" w:eastAsia="zh-CN"/>
              </w:rPr>
              <w:t>经验水平、技术能力进行综合评议，满分5</w:t>
            </w:r>
            <w:r>
              <w:rPr>
                <w:rFonts w:hint="eastAsia" w:ascii="宋体" w:hAnsi="宋体" w:cs="宋体"/>
                <w:snapToGrid w:val="0"/>
                <w:color w:val="auto"/>
                <w:sz w:val="21"/>
                <w:szCs w:val="21"/>
                <w:highlight w:val="none"/>
              </w:rPr>
              <w:t>分。</w:t>
            </w:r>
            <w:r>
              <w:rPr>
                <w:rFonts w:hint="eastAsia" w:ascii="宋体" w:hAnsi="宋体" w:cs="宋体"/>
                <w:snapToGrid w:val="0"/>
                <w:color w:val="auto"/>
                <w:sz w:val="21"/>
                <w:szCs w:val="21"/>
                <w:highlight w:val="none"/>
                <w:lang w:val="en-US" w:eastAsia="zh-CN"/>
              </w:rPr>
              <w:t>投标文件中需提供</w:t>
            </w:r>
            <w:r>
              <w:rPr>
                <w:rFonts w:hint="eastAsia" w:ascii="宋体" w:hAnsi="宋体" w:cs="宋体"/>
                <w:snapToGrid w:val="0"/>
                <w:color w:val="auto"/>
                <w:sz w:val="21"/>
                <w:szCs w:val="21"/>
                <w:highlight w:val="none"/>
              </w:rPr>
              <w:t>人员社保证明</w:t>
            </w:r>
            <w:r>
              <w:rPr>
                <w:rFonts w:hint="eastAsia" w:ascii="宋体" w:hAnsi="宋体" w:cs="宋体"/>
                <w:snapToGrid w:val="0"/>
                <w:color w:val="auto"/>
                <w:sz w:val="21"/>
                <w:szCs w:val="21"/>
                <w:highlight w:val="none"/>
                <w:lang w:eastAsia="zh-CN"/>
              </w:rPr>
              <w:t>，</w:t>
            </w:r>
            <w:r>
              <w:rPr>
                <w:rFonts w:hint="eastAsia" w:ascii="宋体" w:hAnsi="宋体" w:cs="宋体"/>
                <w:snapToGrid w:val="0"/>
                <w:color w:val="auto"/>
                <w:sz w:val="21"/>
                <w:szCs w:val="21"/>
                <w:highlight w:val="none"/>
                <w:lang w:val="en-US" w:eastAsia="zh-CN"/>
              </w:rPr>
              <w:t>技术能力证明材料并加盖公章。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62"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评委根据拟派驻现场的监理工程师的经验水平、技术能力进行综合评议，满分5分。投标文件中需提供人员社保证明，技术能力证明材料并加盖公章。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362" w:type="dxa"/>
            <w:vMerge w:val="continue"/>
            <w:tcBorders>
              <w:left w:val="single" w:color="auto" w:sz="4" w:space="0"/>
              <w:right w:val="single" w:color="auto" w:sz="4" w:space="0"/>
            </w:tcBorders>
            <w:vAlign w:val="center"/>
          </w:tcPr>
          <w:p>
            <w:pPr>
              <w:widowControl/>
              <w:jc w:val="left"/>
              <w:rPr>
                <w:rFonts w:ascii="宋体" w:hAnsi="宋体" w:eastAsia="宋体" w:cs="Times New Roman"/>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评委根据供应商提供的针对本项目的咨询组织、监理机构设置的合理性、人员安排合理性、专业力量水平、现场到位率的承诺等情况进行综合评议，满分5分。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 w:type="dxa"/>
            <w:vMerge w:val="continue"/>
            <w:tcBorders>
              <w:left w:val="single" w:color="auto" w:sz="4" w:space="0"/>
              <w:right w:val="single" w:color="auto" w:sz="4" w:space="0"/>
            </w:tcBorders>
            <w:vAlign w:val="center"/>
          </w:tcPr>
          <w:p>
            <w:pPr>
              <w:rPr>
                <w:rFonts w:hint="eastAsia" w:ascii="宋体" w:hAnsi="宋体" w:eastAsia="宋体" w:cs="宋体"/>
                <w:bCs/>
                <w:color w:val="auto"/>
                <w:sz w:val="21"/>
                <w:szCs w:val="21"/>
                <w:highlight w:val="none"/>
                <w:lang w:val="zh-CN"/>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拟投入的项目组成员具备高级职称的，每一人得1分，最多2分</w:t>
            </w:r>
            <w:r>
              <w:rPr>
                <w:rFonts w:hint="eastAsia"/>
                <w:color w:val="auto"/>
                <w:highlight w:val="none"/>
                <w:lang w:eastAsia="zh-CN"/>
              </w:rPr>
              <w:t>。（投标文件中须提供相关证明材料复印件加盖公章）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 w:type="dxa"/>
            <w:vMerge w:val="continue"/>
            <w:tcBorders>
              <w:left w:val="single" w:color="auto" w:sz="4" w:space="0"/>
              <w:right w:val="single" w:color="auto" w:sz="4" w:space="0"/>
            </w:tcBorders>
            <w:vAlign w:val="center"/>
          </w:tcPr>
          <w:p>
            <w:pPr>
              <w:rPr>
                <w:rFonts w:hint="eastAsia" w:ascii="宋体" w:hAnsi="宋体" w:eastAsia="宋体" w:cs="宋体"/>
                <w:bCs/>
                <w:color w:val="auto"/>
                <w:sz w:val="21"/>
                <w:szCs w:val="21"/>
                <w:highlight w:val="none"/>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（1）供应商有医疗卫生咨询监理服务项目业绩，得0.5分。</w:t>
            </w:r>
          </w:p>
          <w:p>
            <w:pPr>
              <w:rPr>
                <w:rFonts w:hint="eastAsia" w:ascii="宋体" w:hAnsi="宋体" w:eastAsia="宋体" w:cs="宋体"/>
                <w:snapToGrid w:val="0"/>
                <w:color w:val="auto"/>
                <w:sz w:val="21"/>
                <w:szCs w:val="21"/>
                <w:highlight w:val="none"/>
                <w:lang w:val="en-US" w:eastAsia="zh-CN"/>
              </w:rPr>
            </w:pPr>
            <w:r>
              <w:rPr>
                <w:rFonts w:hint="eastAsia" w:ascii="宋体" w:hAnsi="宋体" w:eastAsia="宋体" w:cs="宋体"/>
                <w:snapToGrid w:val="0"/>
                <w:color w:val="auto"/>
                <w:sz w:val="21"/>
                <w:szCs w:val="21"/>
                <w:highlight w:val="none"/>
                <w:lang w:val="en-US" w:eastAsia="zh-CN"/>
              </w:rPr>
              <w:t>（2）供应商有医疗卫生监理服务项目业绩，得0.5分。</w:t>
            </w:r>
          </w:p>
          <w:p>
            <w:pPr>
              <w:rPr>
                <w:rFonts w:hint="eastAsia" w:ascii="宋体" w:hAnsi="宋体" w:eastAsia="宋体" w:cs="宋体"/>
                <w:snapToGrid w:val="0"/>
                <w:color w:val="auto"/>
                <w:sz w:val="21"/>
                <w:szCs w:val="21"/>
                <w:highlight w:val="none"/>
                <w:lang w:val="en-US" w:eastAsia="zh-CN"/>
              </w:rPr>
            </w:pPr>
            <w:r>
              <w:rPr>
                <w:rFonts w:hint="eastAsia"/>
                <w:color w:val="auto"/>
                <w:highlight w:val="none"/>
              </w:rPr>
              <w:t>（投标文件中须提供相关证明材料复印件加盖公章）</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lang w:val="zh-CN"/>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Calibri" w:hAnsi="Calibri" w:eastAsia="宋体" w:cs="宋体"/>
                <w:snapToGrid w:val="0"/>
                <w:color w:val="auto"/>
                <w:kern w:val="2"/>
                <w:sz w:val="21"/>
                <w:szCs w:val="21"/>
                <w:highlight w:val="none"/>
                <w:lang w:val="en-US" w:eastAsia="zh-CN" w:bidi="ar-SA"/>
              </w:rPr>
            </w:pPr>
            <w:r>
              <w:rPr>
                <w:rFonts w:hint="eastAsia" w:eastAsia="宋体" w:cs="宋体"/>
                <w:snapToGrid w:val="0"/>
                <w:color w:val="auto"/>
                <w:sz w:val="21"/>
                <w:szCs w:val="21"/>
                <w:highlight w:val="none"/>
                <w:lang w:val="en-US" w:eastAsia="zh-CN"/>
              </w:rPr>
              <w:t>评委根据供应商提供的</w:t>
            </w:r>
            <w:r>
              <w:rPr>
                <w:rFonts w:hint="eastAsia" w:ascii="Calibri" w:hAnsi="Calibri" w:eastAsia="宋体" w:cs="宋体"/>
                <w:snapToGrid w:val="0"/>
                <w:color w:val="auto"/>
                <w:sz w:val="21"/>
                <w:szCs w:val="21"/>
                <w:highlight w:val="none"/>
              </w:rPr>
              <w:t>质量控制的目标、内容、方法及措施</w:t>
            </w:r>
            <w:r>
              <w:rPr>
                <w:rFonts w:hint="eastAsia" w:eastAsia="宋体" w:cs="宋体"/>
                <w:snapToGrid w:val="0"/>
                <w:color w:val="auto"/>
                <w:sz w:val="21"/>
                <w:szCs w:val="21"/>
                <w:highlight w:val="none"/>
                <w:lang w:val="en-US" w:eastAsia="zh-CN"/>
              </w:rPr>
              <w:t>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1362" w:type="dxa"/>
            <w:vMerge w:val="continue"/>
            <w:tcBorders>
              <w:left w:val="single" w:color="auto" w:sz="4" w:space="0"/>
              <w:right w:val="single" w:color="auto" w:sz="4" w:space="0"/>
            </w:tcBorders>
            <w:vAlign w:val="center"/>
          </w:tcPr>
          <w:p>
            <w:pPr>
              <w:widowControl/>
              <w:jc w:val="left"/>
              <w:rPr>
                <w:rFonts w:ascii="宋体" w:hAnsi="宋体" w:eastAsia="宋体" w:cs="宋体"/>
                <w:bCs/>
                <w:color w:val="auto"/>
                <w:sz w:val="21"/>
                <w:szCs w:val="21"/>
                <w:highlight w:val="none"/>
                <w:lang w:val="zh-CN"/>
              </w:rPr>
            </w:pPr>
          </w:p>
        </w:tc>
        <w:tc>
          <w:tcPr>
            <w:tcW w:w="6453" w:type="dxa"/>
            <w:tcBorders>
              <w:top w:val="single" w:color="auto" w:sz="4" w:space="0"/>
              <w:left w:val="single" w:color="auto" w:sz="4" w:space="0"/>
              <w:bottom w:val="single" w:color="auto" w:sz="4" w:space="0"/>
              <w:right w:val="single" w:color="auto" w:sz="4" w:space="0"/>
            </w:tcBorders>
            <w:vAlign w:val="center"/>
          </w:tcPr>
          <w:p>
            <w:pPr>
              <w:rPr>
                <w:rFonts w:hint="eastAsia" w:ascii="Calibri" w:hAnsi="Calibri" w:eastAsia="宋体" w:cs="宋体"/>
                <w:snapToGrid w:val="0"/>
                <w:color w:val="auto"/>
                <w:kern w:val="2"/>
                <w:sz w:val="21"/>
                <w:szCs w:val="21"/>
                <w:highlight w:val="none"/>
                <w:lang w:val="en-US" w:eastAsia="zh-CN" w:bidi="ar-SA"/>
              </w:rPr>
            </w:pPr>
            <w:r>
              <w:rPr>
                <w:rFonts w:hint="eastAsia" w:ascii="Calibri" w:hAnsi="Calibri" w:eastAsia="宋体" w:cs="宋体"/>
                <w:snapToGrid w:val="0"/>
                <w:color w:val="auto"/>
                <w:sz w:val="21"/>
                <w:szCs w:val="21"/>
                <w:highlight w:val="none"/>
                <w:lang w:val="en-US" w:eastAsia="zh-CN"/>
              </w:rPr>
              <w:t>评委根据供应商提供的</w:t>
            </w:r>
            <w:r>
              <w:rPr>
                <w:rFonts w:hint="eastAsia" w:ascii="Calibri" w:hAnsi="Calibri" w:eastAsia="宋体" w:cs="宋体"/>
                <w:snapToGrid w:val="0"/>
                <w:color w:val="auto"/>
                <w:sz w:val="21"/>
                <w:szCs w:val="21"/>
                <w:highlight w:val="none"/>
              </w:rPr>
              <w:t>进度控制的目标及内容、方法及措施</w:t>
            </w:r>
            <w:r>
              <w:rPr>
                <w:rFonts w:hint="eastAsia" w:cs="宋体"/>
                <w:snapToGrid w:val="0"/>
                <w:color w:val="auto"/>
                <w:sz w:val="21"/>
                <w:szCs w:val="21"/>
                <w:highlight w:val="none"/>
                <w:lang w:val="en-US" w:eastAsia="zh-CN"/>
              </w:rPr>
              <w:t>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rPr>
            </w:pPr>
          </w:p>
        </w:tc>
        <w:tc>
          <w:tcPr>
            <w:tcW w:w="6453" w:type="dxa"/>
            <w:tcBorders>
              <w:top w:val="single" w:color="auto" w:sz="4" w:space="0"/>
              <w:left w:val="single" w:color="auto" w:sz="4" w:space="0"/>
              <w:right w:val="single" w:color="auto" w:sz="4" w:space="0"/>
            </w:tcBorders>
            <w:vAlign w:val="center"/>
          </w:tcPr>
          <w:p>
            <w:pPr>
              <w:rPr>
                <w:rFonts w:hint="eastAsia" w:ascii="Calibri" w:hAnsi="Calibri" w:eastAsia="宋体" w:cs="宋体"/>
                <w:snapToGrid w:val="0"/>
                <w:color w:val="auto"/>
                <w:kern w:val="2"/>
                <w:sz w:val="21"/>
                <w:szCs w:val="21"/>
                <w:highlight w:val="none"/>
                <w:lang w:val="zh-CN" w:eastAsia="zh-CN" w:bidi="ar-SA"/>
              </w:rPr>
            </w:pPr>
            <w:r>
              <w:rPr>
                <w:rFonts w:hint="eastAsia" w:ascii="Calibri" w:hAnsi="Calibri" w:eastAsia="宋体" w:cs="宋体"/>
                <w:snapToGrid w:val="0"/>
                <w:color w:val="auto"/>
                <w:sz w:val="21"/>
                <w:szCs w:val="21"/>
                <w:highlight w:val="none"/>
                <w:lang w:val="en-US" w:eastAsia="zh-CN"/>
              </w:rPr>
              <w:t>评委根据供应商提供的</w:t>
            </w:r>
            <w:r>
              <w:rPr>
                <w:rFonts w:hint="eastAsia" w:ascii="Calibri" w:hAnsi="Calibri" w:eastAsia="宋体" w:cs="宋体"/>
                <w:snapToGrid w:val="0"/>
                <w:color w:val="auto"/>
                <w:sz w:val="21"/>
                <w:szCs w:val="21"/>
                <w:highlight w:val="none"/>
              </w:rPr>
              <w:t>投资控制的目标、方法及措施</w:t>
            </w:r>
            <w:r>
              <w:rPr>
                <w:rFonts w:hint="eastAsia" w:cs="宋体"/>
                <w:snapToGrid w:val="0"/>
                <w:color w:val="auto"/>
                <w:sz w:val="21"/>
                <w:szCs w:val="21"/>
                <w:highlight w:val="none"/>
                <w:lang w:val="en-US" w:eastAsia="zh-CN"/>
              </w:rPr>
              <w:t>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jc w:val="center"/>
              <w:rPr>
                <w:rFonts w:hint="eastAsia" w:ascii="宋体" w:hAnsi="宋体" w:eastAsia="宋体" w:cs="Times New Roman"/>
                <w:color w:val="auto"/>
                <w:sz w:val="21"/>
                <w:szCs w:val="21"/>
                <w:highlight w:val="none"/>
              </w:rPr>
            </w:pPr>
          </w:p>
        </w:tc>
        <w:tc>
          <w:tcPr>
            <w:tcW w:w="6453" w:type="dxa"/>
            <w:tcBorders>
              <w:top w:val="single" w:color="auto" w:sz="4" w:space="0"/>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r>
              <w:rPr>
                <w:rFonts w:hint="eastAsia" w:ascii="Calibri" w:hAnsi="Calibri" w:eastAsia="宋体" w:cs="宋体"/>
                <w:snapToGrid w:val="0"/>
                <w:color w:val="auto"/>
                <w:sz w:val="21"/>
                <w:szCs w:val="21"/>
                <w:highlight w:val="none"/>
                <w:lang w:val="en-US" w:eastAsia="zh-CN"/>
              </w:rPr>
              <w:t>评委根据供应商提供的信息管理的目标、方法及措施进行综合评议，满分5分。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jc w:val="center"/>
              <w:rPr>
                <w:rFonts w:hint="eastAsia" w:ascii="宋体" w:hAnsi="宋体" w:eastAsia="宋体" w:cs="Times New Roman"/>
                <w:color w:val="auto"/>
                <w:sz w:val="21"/>
                <w:szCs w:val="21"/>
                <w:highlight w:val="none"/>
              </w:rPr>
            </w:pPr>
          </w:p>
        </w:tc>
        <w:tc>
          <w:tcPr>
            <w:tcW w:w="6453" w:type="dxa"/>
            <w:tcBorders>
              <w:top w:val="single" w:color="auto" w:sz="4" w:space="0"/>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r>
              <w:rPr>
                <w:rFonts w:hint="eastAsia" w:ascii="Calibri" w:hAnsi="Calibri" w:eastAsia="宋体" w:cs="宋体"/>
                <w:snapToGrid w:val="0"/>
                <w:color w:val="auto"/>
                <w:sz w:val="21"/>
                <w:szCs w:val="21"/>
                <w:highlight w:val="none"/>
                <w:lang w:val="en-US" w:eastAsia="zh-CN"/>
              </w:rPr>
              <w:t>评委根据供应商提供的组织协调的方法进行综合评议，满分5分。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p>
        </w:tc>
        <w:tc>
          <w:tcPr>
            <w:tcW w:w="6453" w:type="dxa"/>
            <w:tcBorders>
              <w:top w:val="single" w:color="auto" w:sz="4" w:space="0"/>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r>
              <w:rPr>
                <w:rFonts w:hint="eastAsia" w:ascii="Calibri" w:hAnsi="Calibri" w:eastAsia="宋体" w:cs="宋体"/>
                <w:snapToGrid w:val="0"/>
                <w:color w:val="auto"/>
                <w:sz w:val="21"/>
                <w:szCs w:val="21"/>
                <w:highlight w:val="none"/>
                <w:lang w:val="en-US" w:eastAsia="zh-CN"/>
              </w:rPr>
              <w:t>评委根据供应商提供的合同管理的目标、方法及措施进行综合评议，满分5分。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p>
        </w:tc>
        <w:tc>
          <w:tcPr>
            <w:tcW w:w="6453" w:type="dxa"/>
            <w:tcBorders>
              <w:top w:val="single" w:color="auto" w:sz="4" w:space="0"/>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r>
              <w:rPr>
                <w:rFonts w:hint="eastAsia" w:ascii="Calibri" w:hAnsi="Calibri" w:eastAsia="宋体" w:cs="宋体"/>
                <w:snapToGrid w:val="0"/>
                <w:color w:val="auto"/>
                <w:sz w:val="21"/>
                <w:szCs w:val="21"/>
                <w:highlight w:val="none"/>
                <w:lang w:val="en-US" w:eastAsia="zh-CN"/>
              </w:rPr>
              <w:t>评委根据供应商提供的用于本项目监理的检测设备设施及工具进行综合评议，满分5分。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62" w:type="dxa"/>
            <w:vMerge w:val="continue"/>
            <w:tcBorders>
              <w:left w:val="single" w:color="auto" w:sz="4" w:space="0"/>
              <w:bottom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p>
        </w:tc>
        <w:tc>
          <w:tcPr>
            <w:tcW w:w="6453" w:type="dxa"/>
            <w:tcBorders>
              <w:top w:val="single" w:color="auto" w:sz="4" w:space="0"/>
              <w:left w:val="single" w:color="auto" w:sz="4" w:space="0"/>
              <w:right w:val="single" w:color="auto" w:sz="4" w:space="0"/>
            </w:tcBorders>
            <w:vAlign w:val="center"/>
          </w:tcPr>
          <w:p>
            <w:pPr>
              <w:rPr>
                <w:rFonts w:hint="eastAsia" w:ascii="Calibri" w:hAnsi="Calibri" w:eastAsia="宋体" w:cs="宋体"/>
                <w:snapToGrid w:val="0"/>
                <w:color w:val="auto"/>
                <w:sz w:val="21"/>
                <w:szCs w:val="21"/>
                <w:highlight w:val="none"/>
                <w:lang w:val="en-US" w:eastAsia="zh-CN"/>
              </w:rPr>
            </w:pPr>
            <w:r>
              <w:rPr>
                <w:rFonts w:hint="eastAsia" w:eastAsia="宋体" w:cs="宋体"/>
                <w:snapToGrid w:val="0"/>
                <w:color w:val="auto"/>
                <w:sz w:val="21"/>
                <w:szCs w:val="21"/>
                <w:highlight w:val="none"/>
                <w:lang w:val="en-US" w:eastAsia="zh-CN"/>
              </w:rPr>
              <w:t>评委</w:t>
            </w:r>
            <w:r>
              <w:rPr>
                <w:rFonts w:hint="eastAsia" w:ascii="Calibri" w:hAnsi="Calibri" w:eastAsia="宋体" w:cs="宋体"/>
                <w:snapToGrid w:val="0"/>
                <w:color w:val="auto"/>
                <w:sz w:val="21"/>
                <w:szCs w:val="21"/>
                <w:highlight w:val="none"/>
                <w:lang w:val="en-US" w:eastAsia="zh-CN"/>
              </w:rPr>
              <w:t>根据供应商的服务保证措施及承诺（服务方案承诺，响应时间、服务质量承诺及保障措施等）的可行性、合理性、可信度等情况进行综合评议，满分5分。</w:t>
            </w:r>
          </w:p>
        </w:tc>
        <w:tc>
          <w:tcPr>
            <w:tcW w:w="72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bCs/>
                <w:color w:val="auto"/>
                <w:sz w:val="21"/>
                <w:szCs w:val="21"/>
                <w:highlight w:val="none"/>
                <w:lang w:val="en-US" w:eastAsia="zh-CN"/>
              </w:rPr>
            </w:pPr>
            <w:r>
              <w:rPr>
                <w:rFonts w:hint="eastAsia" w:ascii="宋体" w:hAnsi="宋体" w:cs="宋体"/>
                <w:bCs/>
                <w:color w:val="auto"/>
                <w:sz w:val="21"/>
                <w:szCs w:val="21"/>
                <w:highlight w:val="no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2"/>
          </w:tcPr>
          <w:p>
            <w:pPr>
              <w:widowControl/>
              <w:jc w:val="left"/>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b/>
                <w:bCs/>
                <w:color w:val="auto"/>
                <w:kern w:val="0"/>
                <w:szCs w:val="21"/>
                <w:highlight w:val="none"/>
              </w:rPr>
              <w:t>政策加分（</w:t>
            </w:r>
            <w:r>
              <w:rPr>
                <w:rFonts w:hint="eastAsia" w:ascii="宋体" w:hAnsi="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分）</w:t>
            </w:r>
            <w:r>
              <w:rPr>
                <w:rFonts w:hint="eastAsia" w:ascii="宋体" w:hAnsi="宋体" w:eastAsia="宋体" w:cs="宋体"/>
                <w:b/>
                <w:bCs/>
                <w:color w:val="auto"/>
                <w:kern w:val="0"/>
                <w:szCs w:val="21"/>
                <w:highlight w:val="none"/>
                <w:lang w:eastAsia="zh-CN"/>
              </w:rPr>
              <w:t>：</w:t>
            </w:r>
            <w:r>
              <w:rPr>
                <w:rFonts w:hint="eastAsia" w:ascii="宋体" w:hAnsi="宋体" w:eastAsia="宋体" w:cs="宋体"/>
                <w:color w:val="auto"/>
                <w:kern w:val="0"/>
                <w:szCs w:val="21"/>
                <w:highlight w:val="none"/>
              </w:rPr>
              <w:t>供应商或制造商是国家认定的不发达地区或少数民族地区企业的加1分。</w:t>
            </w:r>
            <w:r>
              <w:rPr>
                <w:rFonts w:hint="eastAsia" w:ascii="宋体" w:hAnsi="宋体" w:eastAsia="宋体" w:cs="宋体"/>
                <w:b/>
                <w:bCs/>
                <w:color w:val="auto"/>
                <w:kern w:val="0"/>
                <w:szCs w:val="21"/>
                <w:highlight w:val="none"/>
              </w:rPr>
              <w:t>注：</w:t>
            </w:r>
            <w:r>
              <w:rPr>
                <w:rFonts w:hint="eastAsia" w:ascii="宋体" w:hAnsi="宋体" w:eastAsia="宋体" w:cs="宋体"/>
                <w:b/>
                <w:bCs/>
                <w:color w:val="auto"/>
                <w:kern w:val="0"/>
                <w:szCs w:val="21"/>
                <w:highlight w:val="none"/>
                <w:lang w:val="en-US" w:eastAsia="zh-CN"/>
              </w:rPr>
              <w:t>投标</w:t>
            </w:r>
            <w:r>
              <w:rPr>
                <w:rFonts w:hint="eastAsia" w:ascii="宋体" w:hAnsi="宋体" w:eastAsia="宋体" w:cs="宋体"/>
                <w:b/>
                <w:bCs/>
                <w:color w:val="auto"/>
                <w:kern w:val="0"/>
                <w:szCs w:val="21"/>
                <w:highlight w:val="none"/>
                <w:lang w:eastAsia="zh-CN"/>
              </w:rPr>
              <w:t>文件</w:t>
            </w:r>
            <w:r>
              <w:rPr>
                <w:rFonts w:hint="eastAsia" w:ascii="宋体" w:hAnsi="宋体" w:eastAsia="宋体" w:cs="宋体"/>
                <w:b/>
                <w:bCs/>
                <w:color w:val="auto"/>
                <w:kern w:val="0"/>
                <w:szCs w:val="21"/>
                <w:highlight w:val="none"/>
              </w:rPr>
              <w:t>中提供相关证明材料扫描件加盖公章。</w:t>
            </w:r>
          </w:p>
        </w:tc>
        <w:tc>
          <w:tcPr>
            <w:tcW w:w="0" w:type="auto"/>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gridSpan w:val="2"/>
          </w:tcPr>
          <w:p>
            <w:pPr>
              <w:widowControl/>
              <w:jc w:val="center"/>
              <w:rPr>
                <w:rFonts w:hint="default" w:ascii="宋体" w:hAnsi="宋体" w:eastAsia="宋体" w:cs="宋体"/>
                <w:color w:val="auto"/>
                <w:kern w:val="0"/>
                <w:sz w:val="21"/>
                <w:szCs w:val="21"/>
                <w:highlight w:val="none"/>
                <w:lang w:val="en-US" w:eastAsia="zh-CN" w:bidi="ar-SA"/>
              </w:rPr>
            </w:pPr>
            <w:r>
              <w:rPr>
                <w:rFonts w:hint="eastAsia" w:ascii="宋体" w:hAnsi="宋体" w:cs="宋体"/>
                <w:color w:val="auto"/>
                <w:kern w:val="0"/>
                <w:sz w:val="21"/>
                <w:szCs w:val="21"/>
                <w:highlight w:val="none"/>
                <w:lang w:val="en-US" w:eastAsia="zh-CN" w:bidi="ar-SA"/>
              </w:rPr>
              <w:t>合计</w:t>
            </w:r>
          </w:p>
        </w:tc>
        <w:tc>
          <w:tcPr>
            <w:tcW w:w="0" w:type="auto"/>
            <w:vAlign w:val="center"/>
          </w:tcPr>
          <w:p>
            <w:pPr>
              <w:jc w:val="center"/>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100</w:t>
            </w:r>
          </w:p>
        </w:tc>
      </w:tr>
    </w:tbl>
    <w:p>
      <w:pPr>
        <w:pStyle w:val="15"/>
        <w:snapToGrid w:val="0"/>
        <w:spacing w:line="360" w:lineRule="auto"/>
        <w:rPr>
          <w:rFonts w:hint="eastAsia"/>
          <w:color w:val="auto"/>
          <w:highlight w:val="none"/>
        </w:rPr>
      </w:pPr>
      <w:r>
        <w:rPr>
          <w:rFonts w:hint="eastAsia"/>
          <w:color w:val="auto"/>
          <w:highlight w:val="none"/>
        </w:rPr>
        <w:t>注：1、小数点后保留</w:t>
      </w:r>
      <w:r>
        <w:rPr>
          <w:rFonts w:hint="eastAsia"/>
          <w:color w:val="auto"/>
          <w:highlight w:val="none"/>
          <w:lang w:val="en-US" w:eastAsia="zh-CN"/>
        </w:rPr>
        <w:t>一</w:t>
      </w:r>
      <w:r>
        <w:rPr>
          <w:rFonts w:hint="eastAsia"/>
          <w:color w:val="auto"/>
          <w:highlight w:val="none"/>
          <w:lang w:eastAsia="zh-CN"/>
        </w:rPr>
        <w:t>位小数</w:t>
      </w:r>
      <w:r>
        <w:rPr>
          <w:rFonts w:hint="eastAsia"/>
          <w:color w:val="auto"/>
          <w:highlight w:val="none"/>
        </w:rPr>
        <w:t>。2、重大事件由评标委员会集体讨论，须有三分之二或以上的评标委员会签字认可。</w:t>
      </w:r>
      <w:bookmarkStart w:id="86" w:name="_Toc9029"/>
    </w:p>
    <w:p>
      <w:pPr>
        <w:pStyle w:val="15"/>
        <w:snapToGrid w:val="0"/>
        <w:spacing w:line="360" w:lineRule="auto"/>
        <w:ind w:firstLine="422" w:firstLineChars="200"/>
        <w:rPr>
          <w:rFonts w:ascii="宋体" w:hAnsi="宋体" w:eastAsia="宋体" w:cs="宋体"/>
          <w:b/>
          <w:color w:val="auto"/>
          <w:szCs w:val="21"/>
          <w:highlight w:val="none"/>
        </w:rPr>
      </w:pPr>
      <w:r>
        <w:rPr>
          <w:rFonts w:hint="eastAsia" w:ascii="宋体" w:hAnsi="宋体" w:eastAsia="宋体" w:cs="宋体"/>
          <w:b/>
          <w:color w:val="auto"/>
          <w:szCs w:val="21"/>
          <w:highlight w:val="none"/>
        </w:rPr>
        <w:t>六、定标</w:t>
      </w:r>
      <w:bookmarkEnd w:id="86"/>
    </w:p>
    <w:p>
      <w:pPr>
        <w:pStyle w:val="15"/>
        <w:snapToGrid w:val="0"/>
        <w:spacing w:line="360" w:lineRule="auto"/>
        <w:ind w:firstLine="413" w:firstLineChars="196"/>
        <w:rPr>
          <w:rFonts w:ascii="宋体" w:hAnsi="宋体" w:eastAsia="宋体" w:cs="宋体"/>
          <w:b/>
          <w:bCs/>
          <w:color w:val="auto"/>
          <w:szCs w:val="21"/>
          <w:highlight w:val="none"/>
        </w:rPr>
      </w:pPr>
      <w:r>
        <w:rPr>
          <w:rFonts w:hint="eastAsia" w:ascii="宋体" w:hAnsi="宋体" w:eastAsia="宋体" w:cs="宋体"/>
          <w:b/>
          <w:bCs/>
          <w:color w:val="auto"/>
          <w:szCs w:val="21"/>
          <w:highlight w:val="none"/>
        </w:rPr>
        <w:t>（一）确定中标人。本项目由采购人（或采购人事先授权评标委员会）确定中标人。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1.采购代理机构在评标结束后将评标报告交采购人确认。</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2.供应商对评标结果无异议的，采购人应在收到评标报告后5个工作日内对评标结果进行确认。如有供应商对评标结果提出质疑的，采购人可在质疑处理完毕后确定中标人。</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3.采购人依法确定中标人后2个工作日内，采购代理机构以书面形式发出《中标通知书》,并同时在相关网站上发布中标公告。</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4.若中标人放弃中标，或因不可抗力提出不能履行合同，或不按招标文件规定提交履约担保，或其它原因被依法撤销中标资格，则采购人可确定排名次之的中标候选人为中标人或重新组织招标。</w:t>
      </w:r>
    </w:p>
    <w:p>
      <w:pPr>
        <w:snapToGrid w:val="0"/>
        <w:spacing w:line="360" w:lineRule="auto"/>
        <w:rPr>
          <w:rFonts w:ascii="宋体" w:hAnsi="宋体" w:cs="宋体"/>
          <w:b/>
          <w:bCs/>
          <w:color w:val="auto"/>
          <w:szCs w:val="21"/>
          <w:highlight w:val="none"/>
        </w:rPr>
      </w:pPr>
      <w:r>
        <w:rPr>
          <w:rFonts w:hint="eastAsia" w:ascii="宋体" w:hAnsi="宋体" w:cs="宋体"/>
          <w:b/>
          <w:bCs/>
          <w:color w:val="auto"/>
          <w:szCs w:val="21"/>
          <w:highlight w:val="none"/>
        </w:rPr>
        <w:t>七、评标过程的监控与保密</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1、本项目评标过程实行全程录音、录像监控，供应商在评标过程中所进行的试图影响评标结果的不公正活动，可能导致其投标被拒绝。</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2、开标后到中标通知书发出之前，所有涉及评标委员会名单以及对投标文件的澄清、评价、比较等情况，评标委员会成员、采购人和采购代理机构的有关人员均不得向供应商或其他无关人员透露。</w:t>
      </w:r>
    </w:p>
    <w:p>
      <w:pPr>
        <w:snapToGrid w:val="0"/>
        <w:spacing w:line="360" w:lineRule="auto"/>
        <w:rPr>
          <w:rFonts w:ascii="宋体" w:hAnsi="宋体" w:cs="宋体"/>
          <w:b/>
          <w:bCs/>
          <w:color w:val="auto"/>
          <w:szCs w:val="21"/>
          <w:highlight w:val="none"/>
        </w:rPr>
      </w:pPr>
      <w:bookmarkStart w:id="87" w:name="_Toc17747"/>
      <w:r>
        <w:rPr>
          <w:rFonts w:hint="eastAsia" w:ascii="宋体" w:hAnsi="宋体" w:cs="宋体"/>
          <w:b/>
          <w:color w:val="auto"/>
          <w:szCs w:val="21"/>
          <w:highlight w:val="none"/>
        </w:rPr>
        <w:t>八、合同授予</w:t>
      </w:r>
      <w:bookmarkEnd w:id="87"/>
      <w:r>
        <w:rPr>
          <w:rFonts w:hint="eastAsia" w:ascii="宋体" w:hAnsi="宋体" w:cs="宋体"/>
          <w:b/>
          <w:color w:val="auto"/>
          <w:szCs w:val="21"/>
          <w:highlight w:val="none"/>
        </w:rPr>
        <w:t>：</w:t>
      </w:r>
      <w:r>
        <w:rPr>
          <w:rFonts w:hint="eastAsia" w:ascii="宋体" w:hAnsi="宋体" w:cs="宋体"/>
          <w:b/>
          <w:bCs/>
          <w:color w:val="auto"/>
          <w:szCs w:val="21"/>
          <w:highlight w:val="none"/>
        </w:rPr>
        <w:t>签订合同</w:t>
      </w:r>
    </w:p>
    <w:p>
      <w:pPr>
        <w:snapToGrid w:val="0"/>
        <w:spacing w:line="360" w:lineRule="auto"/>
        <w:ind w:firstLine="420" w:firstLineChars="200"/>
        <w:rPr>
          <w:rFonts w:ascii="宋体" w:hAnsi="宋体" w:cs="宋体"/>
          <w:color w:val="auto"/>
          <w:kern w:val="0"/>
          <w:szCs w:val="21"/>
          <w:highlight w:val="none"/>
        </w:rPr>
      </w:pPr>
      <w:r>
        <w:rPr>
          <w:rFonts w:hint="eastAsia" w:ascii="宋体" w:hAnsi="宋体" w:cs="宋体"/>
          <w:color w:val="auto"/>
          <w:szCs w:val="21"/>
          <w:highlight w:val="none"/>
        </w:rPr>
        <w:t>1.</w:t>
      </w:r>
      <w:r>
        <w:rPr>
          <w:rFonts w:hint="eastAsia" w:ascii="宋体" w:hAnsi="宋体" w:cs="宋体"/>
          <w:color w:val="auto"/>
          <w:kern w:val="0"/>
          <w:szCs w:val="21"/>
          <w:highlight w:val="none"/>
        </w:rPr>
        <w:t>采购人应当自中标通知书发出之日起30日内，按照招标文件和中标人投标文件的规定，与中标人签订书面合同。所签订的合同不得对招标文件确定的事项和中标人投标文件作实质性修改。</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kern w:val="0"/>
          <w:szCs w:val="21"/>
          <w:highlight w:val="none"/>
        </w:rPr>
        <w:t>采购人不</w:t>
      </w:r>
      <w:r>
        <w:rPr>
          <w:rFonts w:hint="eastAsia" w:ascii="宋体" w:hAnsi="宋体" w:cs="宋体"/>
          <w:color w:val="auto"/>
          <w:szCs w:val="21"/>
          <w:highlight w:val="none"/>
        </w:rPr>
        <w:t>得向中标人提出任何不合理的要求作为签订合同的条件。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2.采购人在签订合同时，在合同金额变更范围内，如需审批的办理相关审批手续。有权变更采购项目的数量和服务内容，但不能对单价或其他条款和条件作任何改变。</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3.招标文件、中标人的投标文件及评标过程中有关的澄清文件均应作为合同签订的附件。</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4.中标或者成交供应商拒绝与采购人签订合同的，采购人应重新招标。</w:t>
      </w:r>
    </w:p>
    <w:p>
      <w:pPr>
        <w:snapToGrid w:val="0"/>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中标人如不遵守招标文件或投标文件各项条款的邀约与要约，或在接到中标通知书后借故拖延，拒签合同的，采购人将按《浙江省政府采购供应商注册及诚信管理暂行办法》的规定上报诚信状况。给采购人造成的损失的还应当予以赔偿。</w:t>
      </w:r>
    </w:p>
    <w:p>
      <w:pPr>
        <w:snapToGrid w:val="0"/>
        <w:spacing w:line="360" w:lineRule="auto"/>
        <w:rPr>
          <w:rFonts w:ascii="宋体" w:hAnsi="宋体" w:cs="宋体"/>
          <w:b/>
          <w:color w:val="auto"/>
          <w:szCs w:val="21"/>
          <w:highlight w:val="none"/>
        </w:rPr>
      </w:pPr>
      <w:r>
        <w:rPr>
          <w:rFonts w:hint="eastAsia" w:ascii="宋体" w:hAnsi="宋体" w:cs="宋体"/>
          <w:b/>
          <w:color w:val="auto"/>
          <w:szCs w:val="21"/>
          <w:highlight w:val="none"/>
        </w:rPr>
        <w:t>九、履约验收：</w:t>
      </w:r>
    </w:p>
    <w:p>
      <w:pPr>
        <w:pStyle w:val="13"/>
        <w:spacing w:after="0" w:line="360" w:lineRule="auto"/>
        <w:ind w:firstLine="420" w:firstLineChars="200"/>
        <w:rPr>
          <w:rFonts w:ascii="宋体" w:hAnsi="宋体"/>
          <w:b/>
          <w:bCs/>
          <w:color w:val="auto"/>
          <w:highlight w:val="none"/>
        </w:rPr>
      </w:pPr>
      <w:r>
        <w:rPr>
          <w:rFonts w:hint="eastAsia" w:ascii="宋体" w:hAnsi="宋体" w:cs="宋体"/>
          <w:bCs/>
          <w:color w:val="auto"/>
          <w:sz w:val="21"/>
          <w:szCs w:val="21"/>
          <w:highlight w:val="none"/>
        </w:rPr>
        <w:t>采购人负责对</w:t>
      </w:r>
      <w:r>
        <w:rPr>
          <w:rFonts w:hint="eastAsia" w:ascii="宋体" w:hAnsi="宋体" w:cs="宋体"/>
          <w:color w:val="auto"/>
          <w:sz w:val="21"/>
          <w:szCs w:val="21"/>
          <w:highlight w:val="none"/>
        </w:rPr>
        <w:t>中标人</w:t>
      </w:r>
      <w:r>
        <w:rPr>
          <w:rFonts w:hint="eastAsia" w:ascii="宋体" w:hAnsi="宋体" w:cs="宋体"/>
          <w:bCs/>
          <w:color w:val="auto"/>
          <w:sz w:val="21"/>
          <w:szCs w:val="21"/>
          <w:highlight w:val="none"/>
        </w:rPr>
        <w:t>的履约行为进行验收。政府向社会公众提供的公共服务项目，验收时应当邀请服务对象参与并出具意见，验收结果应当向社会公告。</w:t>
      </w:r>
    </w:p>
    <w:p>
      <w:pPr>
        <w:spacing w:line="360" w:lineRule="exact"/>
        <w:jc w:val="center"/>
        <w:outlineLvl w:val="0"/>
        <w:rPr>
          <w:color w:val="auto"/>
          <w:sz w:val="28"/>
          <w:szCs w:val="28"/>
          <w:highlight w:val="none"/>
        </w:rPr>
        <w:sectPr>
          <w:pgSz w:w="11906" w:h="16838"/>
          <w:pgMar w:top="1304" w:right="1797" w:bottom="1247" w:left="1797" w:header="851" w:footer="851" w:gutter="0"/>
          <w:pgBorders>
            <w:top w:val="none" w:sz="0" w:space="0"/>
            <w:left w:val="none" w:sz="0" w:space="0"/>
            <w:bottom w:val="none" w:sz="0" w:space="0"/>
            <w:right w:val="none" w:sz="0" w:space="0"/>
          </w:pgBorders>
          <w:cols w:space="720" w:num="1"/>
        </w:sectPr>
      </w:pPr>
      <w:bookmarkStart w:id="88" w:name="_Toc8298"/>
    </w:p>
    <w:p>
      <w:pPr>
        <w:spacing w:line="360" w:lineRule="exact"/>
        <w:jc w:val="center"/>
        <w:outlineLvl w:val="0"/>
        <w:rPr>
          <w:rFonts w:hAnsi="宋体"/>
          <w:color w:val="auto"/>
          <w:sz w:val="30"/>
          <w:szCs w:val="30"/>
          <w:highlight w:val="none"/>
        </w:rPr>
      </w:pPr>
      <w:r>
        <w:rPr>
          <w:rFonts w:hint="eastAsia"/>
          <w:color w:val="auto"/>
          <w:sz w:val="28"/>
          <w:szCs w:val="28"/>
          <w:highlight w:val="none"/>
        </w:rPr>
        <w:t>第五章政府采购合同主要条款</w:t>
      </w:r>
      <w:bookmarkEnd w:id="88"/>
    </w:p>
    <w:p>
      <w:pPr>
        <w:snapToGrid w:val="0"/>
        <w:spacing w:before="120" w:beforeLines="50" w:after="120" w:afterLines="50" w:line="400" w:lineRule="exact"/>
        <w:rPr>
          <w:rFonts w:ascii="宋体" w:hAnsi="宋体" w:cs="宋体"/>
          <w:color w:val="auto"/>
          <w:szCs w:val="21"/>
          <w:highlight w:val="none"/>
        </w:rPr>
      </w:pPr>
      <w:r>
        <w:rPr>
          <w:rFonts w:hint="eastAsia" w:ascii="宋体" w:hAnsi="宋体" w:cs="宋体"/>
          <w:color w:val="auto"/>
          <w:szCs w:val="21"/>
          <w:highlight w:val="none"/>
        </w:rPr>
        <w:t>甲方：（买方）</w:t>
      </w:r>
    </w:p>
    <w:p>
      <w:pPr>
        <w:snapToGrid w:val="0"/>
        <w:spacing w:before="120" w:beforeLines="50" w:after="120" w:afterLines="50" w:line="400" w:lineRule="exact"/>
        <w:rPr>
          <w:rFonts w:ascii="宋体" w:hAnsi="宋体" w:cs="宋体"/>
          <w:color w:val="auto"/>
          <w:szCs w:val="21"/>
          <w:highlight w:val="none"/>
        </w:rPr>
      </w:pPr>
      <w:r>
        <w:rPr>
          <w:rFonts w:hint="eastAsia" w:ascii="宋体" w:hAnsi="宋体" w:cs="宋体"/>
          <w:color w:val="auto"/>
          <w:szCs w:val="21"/>
          <w:highlight w:val="none"/>
        </w:rPr>
        <w:t>乙方：（卖方）</w:t>
      </w:r>
    </w:p>
    <w:p>
      <w:pPr>
        <w:snapToGrid w:val="0"/>
        <w:spacing w:before="120" w:beforeLines="50" w:after="120" w:afterLines="50" w:line="400" w:lineRule="exact"/>
        <w:rPr>
          <w:rFonts w:ascii="宋体" w:hAnsi="宋体" w:cs="宋体"/>
          <w:b/>
          <w:color w:val="auto"/>
          <w:szCs w:val="21"/>
          <w:highlight w:val="none"/>
        </w:rPr>
      </w:pPr>
      <w:r>
        <w:rPr>
          <w:rFonts w:hint="eastAsia" w:ascii="宋体" w:hAnsi="宋体" w:cs="宋体"/>
          <w:color w:val="auto"/>
          <w:szCs w:val="21"/>
          <w:highlight w:val="none"/>
        </w:rPr>
        <w:t>甲、乙双方根据</w:t>
      </w:r>
      <w:r>
        <w:rPr>
          <w:rFonts w:hint="eastAsia" w:ascii="宋体" w:hAnsi="宋体" w:cs="宋体"/>
          <w:color w:val="auto"/>
          <w:szCs w:val="21"/>
          <w:highlight w:val="none"/>
          <w:u w:val="single"/>
          <w:lang w:eastAsia="zh-CN"/>
        </w:rPr>
        <w:t>宁波市第一医院CIS、集成平台信息系统改造、全院心身整合医疗服务集成平台（PIS）、方桥院区数字化项目监理咨询服务</w:t>
      </w:r>
      <w:r>
        <w:rPr>
          <w:rFonts w:hint="eastAsia" w:ascii="宋体" w:hAnsi="宋体" w:cs="宋体"/>
          <w:color w:val="auto"/>
          <w:szCs w:val="21"/>
          <w:highlight w:val="none"/>
          <w:u w:val="single"/>
          <w:lang w:val="en-US" w:eastAsia="zh-CN"/>
        </w:rPr>
        <w:t>等</w:t>
      </w:r>
      <w:r>
        <w:rPr>
          <w:rFonts w:hint="eastAsia" w:ascii="宋体" w:hAnsi="宋体" w:cs="宋体"/>
          <w:color w:val="auto"/>
          <w:szCs w:val="21"/>
          <w:highlight w:val="none"/>
          <w:u w:val="single"/>
          <w:lang w:eastAsia="zh-CN"/>
        </w:rPr>
        <w:t>采购项目</w:t>
      </w:r>
      <w:r>
        <w:rPr>
          <w:rFonts w:hint="eastAsia" w:ascii="宋体" w:hAnsi="宋体" w:cs="宋体"/>
          <w:color w:val="auto"/>
          <w:szCs w:val="21"/>
          <w:highlight w:val="none"/>
          <w:u w:val="single"/>
        </w:rPr>
        <w:t>（项目编号：</w:t>
      </w:r>
      <w:r>
        <w:rPr>
          <w:rFonts w:hint="eastAsia" w:ascii="宋体" w:hAnsi="宋体" w:cs="宋体"/>
          <w:color w:val="auto"/>
          <w:szCs w:val="21"/>
          <w:highlight w:val="none"/>
          <w:u w:val="single"/>
          <w:lang w:eastAsia="zh-CN"/>
        </w:rPr>
        <w:t>CBNB-202261</w:t>
      </w:r>
      <w:r>
        <w:rPr>
          <w:rFonts w:hint="eastAsia" w:ascii="宋体" w:hAnsi="宋体" w:cs="宋体"/>
          <w:color w:val="auto"/>
          <w:szCs w:val="21"/>
          <w:highlight w:val="none"/>
          <w:u w:val="single"/>
          <w:lang w:val="en-US" w:eastAsia="zh-CN"/>
        </w:rPr>
        <w:t>91</w:t>
      </w:r>
      <w:r>
        <w:rPr>
          <w:rFonts w:hint="eastAsia" w:ascii="宋体" w:hAnsi="宋体" w:cs="宋体"/>
          <w:color w:val="auto"/>
          <w:szCs w:val="21"/>
          <w:highlight w:val="none"/>
          <w:u w:val="single"/>
          <w:lang w:eastAsia="zh-CN"/>
        </w:rPr>
        <w:t>G</w:t>
      </w:r>
      <w:r>
        <w:rPr>
          <w:rFonts w:hint="eastAsia" w:ascii="宋体" w:hAnsi="宋体" w:cs="宋体"/>
          <w:color w:val="auto"/>
          <w:szCs w:val="21"/>
          <w:highlight w:val="none"/>
          <w:u w:val="single"/>
        </w:rPr>
        <w:t>）</w:t>
      </w:r>
      <w:r>
        <w:rPr>
          <w:rFonts w:hint="eastAsia" w:ascii="宋体" w:hAnsi="宋体" w:cs="宋体"/>
          <w:color w:val="auto"/>
          <w:szCs w:val="21"/>
          <w:highlight w:val="none"/>
        </w:rPr>
        <w:t>的招标结果，签署本合同。</w:t>
      </w:r>
    </w:p>
    <w:p>
      <w:pPr>
        <w:snapToGrid w:val="0"/>
        <w:spacing w:before="120" w:beforeLines="50" w:after="120" w:afterLines="50" w:line="400" w:lineRule="exact"/>
        <w:rPr>
          <w:rFonts w:ascii="宋体" w:hAnsi="宋体" w:cs="宋体"/>
          <w:b/>
          <w:color w:val="auto"/>
          <w:szCs w:val="21"/>
          <w:highlight w:val="none"/>
        </w:rPr>
      </w:pPr>
      <w:r>
        <w:rPr>
          <w:rFonts w:hint="eastAsia" w:ascii="宋体" w:hAnsi="宋体" w:cs="宋体"/>
          <w:b/>
          <w:color w:val="auto"/>
          <w:szCs w:val="21"/>
          <w:highlight w:val="none"/>
        </w:rPr>
        <w:t>一、</w:t>
      </w:r>
      <w:r>
        <w:rPr>
          <w:rFonts w:hint="eastAsia" w:ascii="宋体" w:hAnsi="宋体" w:cs="宋体"/>
          <w:b/>
          <w:color w:val="auto"/>
          <w:szCs w:val="21"/>
          <w:highlight w:val="none"/>
          <w:lang w:val="en-US" w:eastAsia="zh-CN"/>
        </w:rPr>
        <w:t>采购</w:t>
      </w:r>
      <w:r>
        <w:rPr>
          <w:rFonts w:hint="eastAsia" w:ascii="宋体" w:hAnsi="宋体" w:cs="宋体"/>
          <w:b/>
          <w:color w:val="auto"/>
          <w:szCs w:val="21"/>
          <w:highlight w:val="none"/>
        </w:rPr>
        <w:t>内容</w:t>
      </w:r>
    </w:p>
    <w:p>
      <w:pPr>
        <w:snapToGrid w:val="0"/>
        <w:spacing w:before="120" w:beforeLines="50" w:after="120" w:afterLines="50" w:line="4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1.1采购内容</w:t>
      </w:r>
      <w:r>
        <w:rPr>
          <w:rFonts w:hint="eastAsia" w:ascii="宋体" w:hAnsi="宋体" w:cs="宋体"/>
          <w:color w:val="auto"/>
          <w:szCs w:val="21"/>
          <w:highlight w:val="none"/>
        </w:rPr>
        <w:t>：</w:t>
      </w:r>
    </w:p>
    <w:p>
      <w:pPr>
        <w:snapToGrid w:val="0"/>
        <w:spacing w:before="120" w:beforeLines="50" w:after="120" w:afterLines="50" w:line="400" w:lineRule="exact"/>
        <w:rPr>
          <w:rFonts w:ascii="宋体" w:hAnsi="宋体" w:cs="宋体"/>
          <w:b/>
          <w:color w:val="auto"/>
          <w:szCs w:val="21"/>
          <w:highlight w:val="none"/>
        </w:rPr>
      </w:pPr>
      <w:r>
        <w:rPr>
          <w:rFonts w:hint="eastAsia" w:ascii="宋体" w:hAnsi="宋体" w:cs="宋体"/>
          <w:b/>
          <w:color w:val="auto"/>
          <w:szCs w:val="21"/>
          <w:highlight w:val="none"/>
        </w:rPr>
        <w:t>二、合同金额</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2.1 本合同金额为（大写）：_______________________元（￥_______________元）人民币。</w:t>
      </w:r>
    </w:p>
    <w:p>
      <w:pPr>
        <w:snapToGrid w:val="0"/>
        <w:spacing w:before="120" w:beforeLines="50" w:after="120" w:afterLines="50" w:line="400" w:lineRule="exact"/>
        <w:rPr>
          <w:rFonts w:ascii="宋体" w:hAnsi="宋体" w:cs="宋体"/>
          <w:b/>
          <w:color w:val="auto"/>
          <w:szCs w:val="21"/>
          <w:highlight w:val="none"/>
        </w:rPr>
      </w:pPr>
      <w:r>
        <w:rPr>
          <w:rFonts w:hint="eastAsia" w:ascii="宋体" w:hAnsi="宋体" w:cs="宋体"/>
          <w:b/>
          <w:color w:val="auto"/>
          <w:szCs w:val="21"/>
          <w:highlight w:val="none"/>
        </w:rPr>
        <w:t>三、技术资料</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3.1乙方应按招标文件规定的时间向甲方提供使用货物的有关技术资料。</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3.2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3.3最终交付使用需提交5套完整的技术资料、图纸和文件；</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3.4设备交货时乙方向甲方提供下列技术资料、图纸和文件</w:t>
      </w:r>
      <w:r>
        <w:rPr>
          <w:rFonts w:hint="eastAsia" w:ascii="宋体" w:hAnsi="宋体" w:cs="宋体"/>
          <w:color w:val="auto"/>
          <w:szCs w:val="21"/>
          <w:highlight w:val="none"/>
          <w:lang w:eastAsia="zh-CN"/>
        </w:rPr>
        <w:t>：</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（1）设备合格证或质量检验证书；</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（2）设备安装布置图；</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（3）设备安装、使用、维护说明书以及有关手册；</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（4）易损件清单；</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（5）备品备件和专用工具清单；</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（6）提供关键零部件的设备合格证和质量检验文件的复印件；</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（7）乙方认为有必要提供的其他文件和技术资料。</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Ansi="宋体" w:cs="宋体"/>
          <w:color w:val="auto"/>
          <w:szCs w:val="21"/>
          <w:highlight w:val="none"/>
        </w:rPr>
        <w:t>3</w:t>
      </w:r>
      <w:r>
        <w:rPr>
          <w:rFonts w:hint="eastAsia" w:ascii="宋体" w:hAnsi="宋体" w:cs="宋体"/>
          <w:color w:val="auto"/>
          <w:szCs w:val="21"/>
          <w:highlight w:val="none"/>
        </w:rPr>
        <w:t>.5另外一套完整的上述资料应包装好随同设备一起发运。</w:t>
      </w:r>
    </w:p>
    <w:p>
      <w:pPr>
        <w:snapToGrid w:val="0"/>
        <w:spacing w:before="120" w:beforeLines="50" w:after="120" w:afterLines="50" w:line="400" w:lineRule="exact"/>
        <w:ind w:left="359" w:hanging="359" w:hangingChars="171"/>
        <w:rPr>
          <w:rFonts w:ascii="宋体" w:hAnsi="宋体" w:cs="宋体"/>
          <w:color w:val="auto"/>
          <w:szCs w:val="21"/>
          <w:highlight w:val="none"/>
        </w:rPr>
      </w:pPr>
      <w:r>
        <w:rPr>
          <w:rFonts w:hint="eastAsia" w:ascii="宋体" w:hAnsi="宋体" w:cs="宋体"/>
          <w:color w:val="auto"/>
          <w:szCs w:val="21"/>
          <w:highlight w:val="none"/>
        </w:rPr>
        <w:t>3.6如果甲方确认乙方提供的技术资料不完整或在运输过程中丢失，乙方将在收到甲方通知后3天内将这些资料免费寄给甲方。若乙方未能在规定时间内提供完整的技术资料，甲方将按合同总价款扣罚5‰的资料损失费。</w:t>
      </w:r>
    </w:p>
    <w:p>
      <w:pPr>
        <w:pStyle w:val="15"/>
        <w:numPr>
          <w:ilvl w:val="0"/>
          <w:numId w:val="16"/>
        </w:numPr>
        <w:spacing w:before="120" w:beforeLines="50" w:after="120" w:afterLines="50" w:line="400" w:lineRule="exact"/>
        <w:rPr>
          <w:rFonts w:hint="eastAsia" w:ascii="宋体" w:hAnsi="宋体" w:cs="宋体"/>
          <w:b/>
          <w:color w:val="auto"/>
          <w:szCs w:val="21"/>
          <w:highlight w:val="none"/>
        </w:rPr>
      </w:pPr>
      <w:r>
        <w:rPr>
          <w:rFonts w:hint="eastAsia" w:ascii="宋体" w:hAnsi="宋体" w:eastAsia="宋体" w:cs="宋体"/>
          <w:b/>
          <w:color w:val="auto"/>
          <w:kern w:val="2"/>
          <w:sz w:val="21"/>
          <w:szCs w:val="21"/>
          <w:highlight w:val="none"/>
          <w:lang w:val="en-US" w:eastAsia="zh-CN" w:bidi="ar-SA"/>
        </w:rPr>
        <w:t>技术条款的确认</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4.1在本合同签订后 7日内乙方应向甲方提交对与招投标文件相符的规格参数在内的所有技术条款进行确认，甲方于乙方提交之日起 7日内将确认的技术条款交付乙方。</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4.2设备制造之前，乙方须派专业技术人员到现场核对实际尺寸。</w:t>
      </w:r>
    </w:p>
    <w:p>
      <w:pPr>
        <w:adjustRightInd w:val="0"/>
        <w:snapToGrid w:val="0"/>
        <w:spacing w:line="360" w:lineRule="auto"/>
        <w:ind w:left="360" w:hanging="361" w:hangingChars="171"/>
        <w:textAlignment w:val="baseline"/>
        <w:rPr>
          <w:rFonts w:ascii="宋体" w:hAnsi="宋体" w:cs="宋体"/>
          <w:b/>
          <w:color w:val="auto"/>
          <w:szCs w:val="21"/>
          <w:highlight w:val="none"/>
        </w:rPr>
      </w:pPr>
      <w:r>
        <w:rPr>
          <w:rFonts w:hint="eastAsia" w:ascii="宋体" w:hAnsi="宋体" w:cs="宋体"/>
          <w:b/>
          <w:color w:val="auto"/>
          <w:szCs w:val="21"/>
          <w:highlight w:val="none"/>
        </w:rPr>
        <w:t>五、知识产权</w:t>
      </w:r>
    </w:p>
    <w:p>
      <w:pPr>
        <w:adjustRightInd w:val="0"/>
        <w:snapToGrid w:val="0"/>
        <w:spacing w:line="360" w:lineRule="auto"/>
        <w:ind w:left="359" w:hanging="359" w:hangingChars="171"/>
        <w:textAlignment w:val="baseline"/>
        <w:rPr>
          <w:rFonts w:ascii="宋体" w:hAnsi="宋体" w:cs="宋体"/>
          <w:bCs/>
          <w:color w:val="auto"/>
          <w:szCs w:val="21"/>
          <w:highlight w:val="none"/>
        </w:rPr>
      </w:pPr>
      <w:r>
        <w:rPr>
          <w:rFonts w:hint="eastAsia" w:ascii="宋体" w:hAnsi="宋体" w:cs="宋体"/>
          <w:color w:val="auto"/>
          <w:szCs w:val="21"/>
          <w:highlight w:val="none"/>
        </w:rPr>
        <w:t>5.1 乙方应保证所提供的货物或其任何一部分均不会侵犯任何第三方的知识产权</w:t>
      </w:r>
      <w:r>
        <w:rPr>
          <w:rFonts w:hint="eastAsia" w:ascii="宋体" w:hAnsi="宋体" w:cs="宋体"/>
          <w:bCs/>
          <w:color w:val="auto"/>
          <w:szCs w:val="21"/>
          <w:highlight w:val="none"/>
        </w:rPr>
        <w:t>。如果任何第三方提出侵权指控，乙方须与第三方交涉并承担可能发生的一切法律责任和费用。</w:t>
      </w:r>
    </w:p>
    <w:p>
      <w:pPr>
        <w:adjustRightInd w:val="0"/>
        <w:snapToGrid w:val="0"/>
        <w:spacing w:line="360" w:lineRule="auto"/>
        <w:textAlignment w:val="baseline"/>
        <w:rPr>
          <w:rFonts w:ascii="宋体" w:hAnsi="宋体" w:cs="宋体"/>
          <w:color w:val="auto"/>
          <w:szCs w:val="21"/>
          <w:highlight w:val="none"/>
          <w:u w:val="single"/>
        </w:rPr>
      </w:pPr>
      <w:r>
        <w:rPr>
          <w:rFonts w:hint="eastAsia" w:ascii="宋体" w:hAnsi="宋体" w:cs="宋体"/>
          <w:b/>
          <w:color w:val="auto"/>
          <w:szCs w:val="21"/>
          <w:highlight w:val="none"/>
        </w:rPr>
        <w:t>六、产权担保</w:t>
      </w:r>
    </w:p>
    <w:p>
      <w:pPr>
        <w:adjustRightInd w:val="0"/>
        <w:snapToGrid w:val="0"/>
        <w:spacing w:line="360" w:lineRule="auto"/>
        <w:ind w:left="357" w:hanging="357" w:hangingChars="170"/>
        <w:textAlignment w:val="baseline"/>
        <w:rPr>
          <w:rFonts w:ascii="宋体" w:hAnsi="宋体" w:cs="宋体"/>
          <w:color w:val="auto"/>
          <w:szCs w:val="21"/>
          <w:highlight w:val="none"/>
          <w:u w:val="single"/>
        </w:rPr>
      </w:pPr>
      <w:r>
        <w:rPr>
          <w:rFonts w:hint="eastAsia" w:ascii="宋体" w:hAnsi="宋体" w:cs="宋体"/>
          <w:color w:val="auto"/>
          <w:szCs w:val="21"/>
          <w:highlight w:val="none"/>
        </w:rPr>
        <w:t>6.1 乙方保证所交付的货物的所有权完全属于乙方且无任何抵押、查封等产权瑕疵。</w:t>
      </w:r>
    </w:p>
    <w:p>
      <w:pPr>
        <w:adjustRightInd w:val="0"/>
        <w:snapToGrid w:val="0"/>
        <w:spacing w:line="360" w:lineRule="auto"/>
        <w:ind w:left="358" w:hanging="358" w:hangingChars="170"/>
        <w:textAlignment w:val="baseline"/>
        <w:rPr>
          <w:rFonts w:ascii="宋体" w:hAnsi="宋体" w:cs="宋体"/>
          <w:b/>
          <w:color w:val="auto"/>
          <w:szCs w:val="21"/>
          <w:highlight w:val="none"/>
        </w:rPr>
      </w:pPr>
      <w:r>
        <w:rPr>
          <w:rFonts w:hint="eastAsia" w:ascii="宋体" w:hAnsi="宋体" w:cs="宋体"/>
          <w:b/>
          <w:color w:val="auto"/>
          <w:szCs w:val="21"/>
          <w:highlight w:val="none"/>
        </w:rPr>
        <w:t>七、履约保证金</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7.1履约保证金金额：合同金额的</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5%</w:t>
      </w:r>
      <w:r>
        <w:rPr>
          <w:rFonts w:hint="eastAsia" w:ascii="宋体" w:hAnsi="宋体" w:cs="宋体"/>
          <w:color w:val="auto"/>
          <w:szCs w:val="21"/>
          <w:highlight w:val="none"/>
          <w:lang w:eastAsia="zh-CN"/>
        </w:rPr>
        <w:t>，</w:t>
      </w:r>
      <w:r>
        <w:rPr>
          <w:rFonts w:hint="eastAsia" w:ascii="宋体" w:hAnsi="宋体" w:cs="宋体"/>
          <w:color w:val="auto"/>
          <w:szCs w:val="21"/>
          <w:highlight w:val="none"/>
        </w:rPr>
        <w:t>在双方签订合同之日起七日内</w:t>
      </w:r>
      <w:r>
        <w:rPr>
          <w:rFonts w:hint="eastAsia" w:ascii="宋体" w:hAnsi="宋体" w:cs="宋体"/>
          <w:color w:val="auto"/>
          <w:szCs w:val="21"/>
          <w:highlight w:val="none"/>
          <w:lang w:val="en-US" w:eastAsia="zh-CN"/>
        </w:rPr>
        <w:t>支付</w:t>
      </w:r>
      <w:r>
        <w:rPr>
          <w:rFonts w:hint="eastAsia" w:ascii="宋体" w:hAnsi="宋体" w:cs="宋体"/>
          <w:color w:val="auto"/>
          <w:szCs w:val="21"/>
          <w:highlight w:val="none"/>
          <w:lang w:eastAsia="zh-CN"/>
        </w:rPr>
        <w:t>；</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7.2履约保证金形式：银行汇票（电汇）、支票（仅限于使用宁波大市区范围内的银行开具的支票）、保险保单或银行保函；</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7.3履约保证金的退取：履约保证金在乙方完成合同履约后无息退还（但如乙方未能履行合同规定的任何义务，甲方有权扣除相应履约保证金）。</w:t>
      </w:r>
    </w:p>
    <w:p>
      <w:pPr>
        <w:adjustRightInd w:val="0"/>
        <w:snapToGrid w:val="0"/>
        <w:spacing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rPr>
        <w:t>八、转包或分包</w:t>
      </w:r>
    </w:p>
    <w:p>
      <w:pPr>
        <w:adjustRightInd w:val="0"/>
        <w:snapToGrid w:val="0"/>
        <w:spacing w:line="360" w:lineRule="auto"/>
        <w:ind w:left="357" w:hanging="357" w:hangingChars="17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8.1本合同范围的货物，应由乙方直接供应，不得转让他人供应；</w:t>
      </w:r>
    </w:p>
    <w:p>
      <w:pPr>
        <w:adjustRightInd w:val="0"/>
        <w:snapToGrid w:val="0"/>
        <w:spacing w:line="360" w:lineRule="auto"/>
        <w:ind w:left="357" w:hanging="357" w:hangingChars="17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8.2 除非得到甲方的书面同意，乙方不得部分分包给他人供应。</w:t>
      </w:r>
    </w:p>
    <w:p>
      <w:pPr>
        <w:adjustRightInd w:val="0"/>
        <w:snapToGrid w:val="0"/>
        <w:spacing w:line="360" w:lineRule="auto"/>
        <w:ind w:left="357" w:hanging="357" w:hangingChars="17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8.3如有转让和未经甲方同意的分包行为，甲方有权给予终止合同。</w:t>
      </w:r>
    </w:p>
    <w:p>
      <w:pPr>
        <w:adjustRightInd w:val="0"/>
        <w:snapToGrid w:val="0"/>
        <w:spacing w:line="360" w:lineRule="auto"/>
        <w:textAlignment w:val="baseline"/>
        <w:rPr>
          <w:rFonts w:ascii="宋体" w:hAnsi="宋体" w:cs="宋体"/>
          <w:color w:val="auto"/>
          <w:szCs w:val="21"/>
          <w:highlight w:val="none"/>
        </w:rPr>
      </w:pPr>
      <w:r>
        <w:rPr>
          <w:rFonts w:hint="eastAsia" w:ascii="宋体" w:hAnsi="宋体" w:cs="宋体"/>
          <w:b/>
          <w:color w:val="auto"/>
          <w:szCs w:val="21"/>
          <w:highlight w:val="none"/>
        </w:rPr>
        <w:t>九、质保期</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9.1 质保期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个月。（自全部货物验收合格之日起计）</w:t>
      </w:r>
    </w:p>
    <w:p>
      <w:pPr>
        <w:adjustRightInd w:val="0"/>
        <w:snapToGrid w:val="0"/>
        <w:spacing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rPr>
        <w:t>十、交货期、交货方式及交货地点</w:t>
      </w:r>
    </w:p>
    <w:p>
      <w:pPr>
        <w:spacing w:line="336" w:lineRule="auto"/>
        <w:rPr>
          <w:rFonts w:ascii="宋体" w:hAnsi="宋体" w:cs="宋体"/>
          <w:bCs/>
          <w:color w:val="auto"/>
          <w:szCs w:val="21"/>
          <w:highlight w:val="none"/>
        </w:rPr>
      </w:pPr>
      <w:r>
        <w:rPr>
          <w:rFonts w:hint="eastAsia" w:ascii="宋体" w:hAnsi="宋体" w:cs="宋体"/>
          <w:bCs/>
          <w:color w:val="auto"/>
          <w:szCs w:val="21"/>
          <w:highlight w:val="none"/>
        </w:rPr>
        <w:t>10.1 交货期：</w:t>
      </w:r>
      <w:r>
        <w:rPr>
          <w:rFonts w:hint="eastAsia" w:ascii="宋体" w:hAnsi="宋体" w:cs="宋体"/>
          <w:color w:val="auto"/>
          <w:szCs w:val="21"/>
          <w:highlight w:val="none"/>
        </w:rPr>
        <w:t>合同签订后</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rPr>
        <w:t>个月内交货。</w:t>
      </w:r>
    </w:p>
    <w:p>
      <w:pPr>
        <w:adjustRightInd w:val="0"/>
        <w:snapToGrid w:val="0"/>
        <w:spacing w:line="360" w:lineRule="auto"/>
        <w:ind w:left="357" w:hanging="357" w:hangingChars="170"/>
        <w:textAlignment w:val="baseline"/>
        <w:rPr>
          <w:rFonts w:ascii="宋体" w:hAnsi="宋体" w:cs="宋体"/>
          <w:bCs/>
          <w:color w:val="auto"/>
          <w:szCs w:val="21"/>
          <w:highlight w:val="none"/>
        </w:rPr>
      </w:pPr>
      <w:r>
        <w:rPr>
          <w:rFonts w:hint="eastAsia" w:ascii="宋体" w:hAnsi="宋体" w:cs="宋体"/>
          <w:bCs/>
          <w:color w:val="auto"/>
          <w:szCs w:val="21"/>
          <w:highlight w:val="none"/>
        </w:rPr>
        <w:t>10.2 交货地点：</w:t>
      </w:r>
      <w:r>
        <w:rPr>
          <w:rFonts w:hint="eastAsia" w:ascii="宋体" w:hAnsi="宋体" w:cs="宋体"/>
          <w:bCs/>
          <w:color w:val="auto"/>
          <w:szCs w:val="21"/>
          <w:highlight w:val="none"/>
          <w:lang w:val="en-US" w:eastAsia="zh-CN"/>
        </w:rPr>
        <w:t>甲方指定地点</w:t>
      </w:r>
      <w:r>
        <w:rPr>
          <w:rFonts w:hint="eastAsia" w:ascii="宋体" w:hAnsi="宋体" w:cs="宋体"/>
          <w:bCs/>
          <w:color w:val="auto"/>
          <w:szCs w:val="21"/>
          <w:highlight w:val="none"/>
        </w:rPr>
        <w:t>。</w:t>
      </w:r>
    </w:p>
    <w:p>
      <w:pPr>
        <w:adjustRightInd w:val="0"/>
        <w:snapToGrid w:val="0"/>
        <w:spacing w:line="360" w:lineRule="auto"/>
        <w:ind w:left="358" w:hanging="358" w:hangingChars="170"/>
        <w:textAlignment w:val="baseline"/>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一</w:t>
      </w:r>
      <w:r>
        <w:rPr>
          <w:rFonts w:hint="eastAsia" w:ascii="宋体" w:hAnsi="宋体" w:cs="宋体"/>
          <w:b/>
          <w:color w:val="auto"/>
          <w:szCs w:val="21"/>
          <w:highlight w:val="none"/>
        </w:rPr>
        <w:t>、货款支付</w:t>
      </w:r>
    </w:p>
    <w:p>
      <w:pPr>
        <w:adjustRightInd w:val="0"/>
        <w:snapToGrid w:val="0"/>
        <w:spacing w:line="360" w:lineRule="auto"/>
        <w:ind w:left="357" w:hanging="357" w:hangingChars="170"/>
        <w:textAlignment w:val="baseline"/>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r>
        <w:rPr>
          <w:rFonts w:hint="eastAsia" w:ascii="宋体" w:hAnsi="宋体" w:cs="宋体"/>
          <w:color w:val="auto"/>
          <w:kern w:val="0"/>
          <w:szCs w:val="21"/>
          <w:highlight w:val="none"/>
          <w:lang w:val="en-US" w:eastAsia="zh-CN"/>
        </w:rPr>
        <w:t>1</w:t>
      </w:r>
      <w:r>
        <w:rPr>
          <w:rFonts w:hint="eastAsia" w:ascii="宋体" w:hAnsi="宋体" w:eastAsia="宋体" w:cs="宋体"/>
          <w:color w:val="auto"/>
          <w:kern w:val="0"/>
          <w:szCs w:val="21"/>
          <w:highlight w:val="none"/>
          <w:lang w:val="en-US" w:eastAsia="zh-CN"/>
        </w:rPr>
        <w:t>.1</w:t>
      </w:r>
    </w:p>
    <w:p>
      <w:pPr>
        <w:adjustRightInd w:val="0"/>
        <w:snapToGrid w:val="0"/>
        <w:spacing w:line="360" w:lineRule="auto"/>
        <w:ind w:left="358" w:hanging="358" w:hangingChars="170"/>
        <w:textAlignment w:val="baseline"/>
        <w:rPr>
          <w:rFonts w:ascii="宋体" w:hAnsi="宋体" w:cs="宋体"/>
          <w:b/>
          <w:color w:val="auto"/>
          <w:kern w:val="0"/>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val="en-US" w:eastAsia="zh-CN"/>
        </w:rPr>
        <w:t>二</w:t>
      </w:r>
      <w:r>
        <w:rPr>
          <w:rFonts w:hint="eastAsia" w:ascii="宋体" w:hAnsi="宋体" w:cs="宋体"/>
          <w:b/>
          <w:color w:val="auto"/>
          <w:kern w:val="0"/>
          <w:szCs w:val="21"/>
          <w:highlight w:val="none"/>
        </w:rPr>
        <w:t>、税</w:t>
      </w:r>
    </w:p>
    <w:p>
      <w:pPr>
        <w:adjustRightInd w:val="0"/>
        <w:snapToGrid w:val="0"/>
        <w:spacing w:line="360" w:lineRule="auto"/>
        <w:ind w:left="357" w:hanging="357" w:hangingChars="17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rPr>
        <w:t>.1本合同执行中相关的一切税费均由乙方负担。</w:t>
      </w:r>
    </w:p>
    <w:p>
      <w:pPr>
        <w:adjustRightInd w:val="0"/>
        <w:snapToGrid w:val="0"/>
        <w:spacing w:line="360" w:lineRule="auto"/>
        <w:ind w:left="360" w:hanging="361" w:hangingChars="171"/>
        <w:textAlignment w:val="baseline"/>
        <w:rPr>
          <w:rFonts w:ascii="宋体" w:hAnsi="宋体" w:cs="宋体"/>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三</w:t>
      </w:r>
      <w:r>
        <w:rPr>
          <w:rFonts w:hint="eastAsia" w:ascii="宋体" w:hAnsi="宋体" w:cs="宋体"/>
          <w:b/>
          <w:color w:val="auto"/>
          <w:szCs w:val="21"/>
          <w:highlight w:val="none"/>
        </w:rPr>
        <w:t>、质量保证及售后服务</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.1 在质保期内发生的乙方责任范围内的一切部件更换及设备维修费用由乙方承担。乙方应提供全部技术服务和售后服务，应为甲方提供及时、迅速、优质的服务。质保期内，投标产品出现质量问题，乙方应</w:t>
      </w:r>
      <w:r>
        <w:rPr>
          <w:rFonts w:hint="eastAsia" w:ascii="宋体" w:hAnsi="宋体" w:cs="宋体"/>
          <w:bCs/>
          <w:color w:val="auto"/>
          <w:kern w:val="0"/>
          <w:szCs w:val="21"/>
          <w:highlight w:val="none"/>
          <w:u w:val="single"/>
          <w:lang w:val="en-US" w:eastAsia="zh-CN"/>
        </w:rPr>
        <w:t xml:space="preserve">  </w:t>
      </w:r>
      <w:r>
        <w:rPr>
          <w:rFonts w:hint="eastAsia" w:ascii="宋体" w:hAnsi="宋体" w:cs="宋体"/>
          <w:bCs/>
          <w:color w:val="auto"/>
          <w:kern w:val="0"/>
          <w:szCs w:val="21"/>
          <w:highlight w:val="none"/>
        </w:rPr>
        <w:t>小时内</w:t>
      </w:r>
      <w:r>
        <w:rPr>
          <w:rFonts w:hint="eastAsia" w:ascii="宋体" w:hAnsi="宋体" w:cs="宋体"/>
          <w:bCs/>
          <w:color w:val="auto"/>
          <w:kern w:val="0"/>
          <w:szCs w:val="21"/>
          <w:highlight w:val="none"/>
          <w:lang w:val="en-US" w:eastAsia="zh-CN"/>
        </w:rPr>
        <w:t>响应，并及时</w:t>
      </w:r>
      <w:r>
        <w:rPr>
          <w:rFonts w:hint="eastAsia" w:ascii="宋体" w:hAnsi="宋体" w:cs="宋体"/>
          <w:bCs/>
          <w:color w:val="auto"/>
          <w:kern w:val="0"/>
          <w:szCs w:val="21"/>
          <w:highlight w:val="none"/>
        </w:rPr>
        <w:t>赶到现场予以无偿返修或更换；</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2乙方应保证设备是全新、未使用过的，是用一流的工艺和最佳材料制造而成的，并完全符合合同规定的质量、规格和性能的要求。乙方应保证所提供的设备经正确安装、正常运转和保养在其使用寿命期内应具有满意的性能。在质保期内，乙方应对由于设计、工艺或材料的缺陷而发生的任何不足或故障负责。</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3根据甲方按检验标准自己检验结果和第三方检测机构检验结果，或在质保期内，如果设备的数量、质量、规格与合同不符，或证实设备是有缺陷的，包括潜在的缺陷或使用不符合要求的材料等，甲方应尽快以书面形式通知乙方，提出索赔。</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.4乙方在收到通知后应免费维修或更换有缺陷的设备或部件。</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.5如果乙方在收到通知后30天内没有弥补缺陷，甲方可采取必要的补救措施，但风险和费用将由乙方承担。</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3</w:t>
      </w:r>
      <w:r>
        <w:rPr>
          <w:rFonts w:hint="eastAsia" w:ascii="宋体" w:hAnsi="宋体" w:cs="宋体"/>
          <w:bCs/>
          <w:color w:val="auto"/>
          <w:kern w:val="0"/>
          <w:szCs w:val="21"/>
          <w:highlight w:val="none"/>
        </w:rPr>
        <w:t>.6 如发现设备的规格、配置、数量或产地品牌其中一项或多项与合同文件、招投标文件不符，乙方应无条件及时更换，并保证工程进度需要，否则按违约处理，扣除合同金额5％的履约担保，如果给甲方造成的损失超过履约担保金额的，甲方有权在设备运抵现场后90天内根据第三方检测机构出具的检验证书向乙方提出索赔。</w:t>
      </w:r>
    </w:p>
    <w:p>
      <w:pPr>
        <w:adjustRightInd w:val="0"/>
        <w:snapToGrid w:val="0"/>
        <w:spacing w:line="360" w:lineRule="auto"/>
        <w:textAlignment w:val="baseline"/>
        <w:rPr>
          <w:rFonts w:ascii="宋体" w:hAnsi="宋体" w:cs="宋体"/>
          <w:b/>
          <w:color w:val="auto"/>
          <w:szCs w:val="21"/>
          <w:highlight w:val="none"/>
        </w:rPr>
      </w:pPr>
      <w:r>
        <w:rPr>
          <w:rFonts w:hint="eastAsia" w:ascii="宋体" w:hAnsi="宋体" w:cs="宋体"/>
          <w:b/>
          <w:color w:val="auto"/>
          <w:kern w:val="0"/>
          <w:szCs w:val="21"/>
          <w:highlight w:val="none"/>
        </w:rPr>
        <w:t>十</w:t>
      </w:r>
      <w:r>
        <w:rPr>
          <w:rFonts w:hint="eastAsia" w:ascii="宋体" w:hAnsi="宋体" w:cs="宋体"/>
          <w:b/>
          <w:color w:val="auto"/>
          <w:kern w:val="0"/>
          <w:szCs w:val="21"/>
          <w:highlight w:val="none"/>
          <w:lang w:val="en-US" w:eastAsia="zh-CN"/>
        </w:rPr>
        <w:t>四</w:t>
      </w:r>
      <w:r>
        <w:rPr>
          <w:rFonts w:hint="eastAsia" w:ascii="宋体" w:hAnsi="宋体" w:cs="宋体"/>
          <w:b/>
          <w:color w:val="auto"/>
          <w:kern w:val="0"/>
          <w:szCs w:val="21"/>
          <w:highlight w:val="none"/>
        </w:rPr>
        <w:t>、</w:t>
      </w:r>
      <w:r>
        <w:rPr>
          <w:rFonts w:hint="eastAsia" w:ascii="宋体" w:hAnsi="宋体" w:cs="宋体"/>
          <w:b/>
          <w:color w:val="auto"/>
          <w:szCs w:val="21"/>
          <w:highlight w:val="none"/>
        </w:rPr>
        <w:t>调试和验收</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4</w:t>
      </w:r>
      <w:r>
        <w:rPr>
          <w:rFonts w:hint="eastAsia" w:ascii="宋体" w:hAnsi="宋体" w:cs="宋体"/>
          <w:bCs/>
          <w:color w:val="auto"/>
          <w:kern w:val="0"/>
          <w:szCs w:val="21"/>
          <w:highlight w:val="none"/>
        </w:rPr>
        <w:t>.1 工具、材料、仪器设备和劳务人员：乙方应派有工作经验的工程师在现场负责调试，以检测其设计、制造、运行效果等，并提供所有测试和调试所需的工具、材料、仪器和劳务人员。</w:t>
      </w:r>
    </w:p>
    <w:p>
      <w:pPr>
        <w:adjustRightInd w:val="0"/>
        <w:snapToGrid w:val="0"/>
        <w:spacing w:line="360" w:lineRule="auto"/>
        <w:ind w:left="357" w:hanging="357" w:hangingChars="170"/>
        <w:textAlignment w:val="baseline"/>
        <w:rPr>
          <w:rFonts w:ascii="宋体" w:hAnsi="宋体" w:cs="宋体"/>
          <w:bCs/>
          <w:color w:val="auto"/>
          <w:kern w:val="0"/>
          <w:szCs w:val="21"/>
          <w:highlight w:val="none"/>
        </w:rPr>
      </w:pPr>
      <w:r>
        <w:rPr>
          <w:rFonts w:hint="eastAsia" w:ascii="宋体" w:hAnsi="宋体" w:cs="宋体"/>
          <w:bCs/>
          <w:color w:val="auto"/>
          <w:kern w:val="0"/>
          <w:szCs w:val="21"/>
          <w:highlight w:val="none"/>
          <w:lang w:val="en-US" w:eastAsia="zh-CN"/>
        </w:rPr>
        <w:t>14</w:t>
      </w:r>
      <w:r>
        <w:rPr>
          <w:rFonts w:hint="eastAsia" w:ascii="宋体" w:hAnsi="宋体" w:cs="宋体"/>
          <w:bCs/>
          <w:color w:val="auto"/>
          <w:kern w:val="0"/>
          <w:szCs w:val="21"/>
          <w:highlight w:val="none"/>
        </w:rPr>
        <w:t>.</w:t>
      </w:r>
      <w:r>
        <w:rPr>
          <w:rFonts w:hint="eastAsia" w:ascii="宋体" w:hAnsi="宋体" w:cs="宋体"/>
          <w:bCs/>
          <w:color w:val="auto"/>
          <w:kern w:val="0"/>
          <w:szCs w:val="21"/>
          <w:highlight w:val="none"/>
          <w:lang w:val="en-US" w:eastAsia="zh-CN"/>
        </w:rPr>
        <w:t>2</w:t>
      </w:r>
      <w:r>
        <w:rPr>
          <w:rFonts w:hint="eastAsia" w:ascii="宋体" w:hAnsi="宋体" w:cs="宋体"/>
          <w:bCs/>
          <w:color w:val="auto"/>
          <w:kern w:val="0"/>
          <w:szCs w:val="21"/>
          <w:highlight w:val="none"/>
        </w:rPr>
        <w:t xml:space="preserve"> 验收</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验收按国家有关规范、标准及当地政府主管部门要求进行。验收过程中发生的所有费用由乙方承担。</w:t>
      </w:r>
    </w:p>
    <w:p>
      <w:pPr>
        <w:spacing w:line="360" w:lineRule="auto"/>
        <w:ind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验收合格条件为：</w:t>
      </w:r>
    </w:p>
    <w:p>
      <w:pPr>
        <w:spacing w:line="360" w:lineRule="auto"/>
        <w:ind w:left="420" w:leftChars="200" w:firstLine="420" w:firstLineChars="200"/>
        <w:rPr>
          <w:rFonts w:ascii="宋体" w:hAnsi="宋体" w:cs="宋体"/>
          <w:bCs/>
          <w:color w:val="auto"/>
          <w:kern w:val="0"/>
          <w:szCs w:val="21"/>
          <w:highlight w:val="none"/>
        </w:rPr>
      </w:pPr>
      <w:r>
        <w:rPr>
          <w:rFonts w:hint="eastAsia" w:ascii="宋体" w:hAnsi="宋体" w:cs="宋体"/>
          <w:bCs/>
          <w:color w:val="auto"/>
          <w:kern w:val="0"/>
          <w:szCs w:val="21"/>
          <w:highlight w:val="none"/>
        </w:rPr>
        <w:t>A)运行结果符合产品标准、技术规范和招标文件及合同要求；</w:t>
      </w:r>
    </w:p>
    <w:p>
      <w:pPr>
        <w:spacing w:line="360" w:lineRule="auto"/>
        <w:ind w:left="420" w:leftChars="200" w:firstLine="420" w:firstLineChars="200"/>
        <w:rPr>
          <w:rFonts w:ascii="宋体" w:hAnsi="宋体"/>
          <w:color w:val="auto"/>
          <w:szCs w:val="21"/>
          <w:highlight w:val="none"/>
        </w:rPr>
      </w:pPr>
      <w:r>
        <w:rPr>
          <w:rFonts w:hint="eastAsia" w:ascii="宋体" w:hAnsi="宋体"/>
          <w:color w:val="auto"/>
          <w:szCs w:val="21"/>
          <w:highlight w:val="none"/>
        </w:rPr>
        <w:t>B)所有规定的货物、材料、整套设备图纸及投标文件等都</w:t>
      </w:r>
      <w:r>
        <w:rPr>
          <w:rFonts w:hint="eastAsia" w:ascii="宋体" w:hAnsi="宋体"/>
          <w:color w:val="auto"/>
          <w:szCs w:val="21"/>
          <w:highlight w:val="none"/>
          <w:lang w:eastAsia="zh-CN"/>
        </w:rPr>
        <w:t>已</w:t>
      </w:r>
      <w:r>
        <w:rPr>
          <w:rFonts w:hint="eastAsia" w:ascii="宋体" w:hAnsi="宋体"/>
          <w:color w:val="auto"/>
          <w:szCs w:val="21"/>
          <w:highlight w:val="none"/>
        </w:rPr>
        <w:t>提交并得到甲方接受；</w:t>
      </w:r>
    </w:p>
    <w:p>
      <w:pPr>
        <w:spacing w:line="360" w:lineRule="auto"/>
        <w:ind w:left="420" w:leftChars="200" w:firstLine="420" w:firstLineChars="200"/>
        <w:rPr>
          <w:rFonts w:ascii="宋体" w:hAnsi="宋体"/>
          <w:color w:val="auto"/>
          <w:szCs w:val="21"/>
          <w:highlight w:val="none"/>
        </w:rPr>
      </w:pPr>
      <w:r>
        <w:rPr>
          <w:rFonts w:hint="eastAsia" w:ascii="宋体" w:hAnsi="宋体"/>
          <w:color w:val="auto"/>
          <w:szCs w:val="21"/>
          <w:highlight w:val="none"/>
        </w:rPr>
        <w:t>C)整套设备图纸及技术文档都已提交并得到接受；</w:t>
      </w:r>
    </w:p>
    <w:p>
      <w:pPr>
        <w:adjustRightInd w:val="0"/>
        <w:snapToGrid w:val="0"/>
        <w:spacing w:line="360" w:lineRule="auto"/>
        <w:ind w:left="420" w:leftChars="200" w:firstLine="420" w:firstLineChars="200"/>
        <w:textAlignment w:val="baseline"/>
        <w:rPr>
          <w:rFonts w:ascii="宋体" w:hAnsi="宋体" w:cs="宋体"/>
          <w:color w:val="auto"/>
          <w:szCs w:val="21"/>
          <w:highlight w:val="none"/>
        </w:rPr>
      </w:pPr>
      <w:r>
        <w:rPr>
          <w:rFonts w:hint="eastAsia" w:ascii="宋体" w:hAnsi="宋体"/>
          <w:color w:val="auto"/>
          <w:szCs w:val="21"/>
          <w:highlight w:val="none"/>
        </w:rPr>
        <w:t>D)整套设备在交由甲方之前已验收合格。</w:t>
      </w:r>
    </w:p>
    <w:p>
      <w:pPr>
        <w:adjustRightInd w:val="0"/>
        <w:snapToGrid w:val="0"/>
        <w:spacing w:line="360" w:lineRule="auto"/>
        <w:ind w:left="358" w:hanging="358" w:hangingChars="170"/>
        <w:textAlignment w:val="baseline"/>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五</w:t>
      </w:r>
      <w:r>
        <w:rPr>
          <w:rFonts w:hint="eastAsia" w:ascii="宋体" w:hAnsi="宋体" w:cs="宋体"/>
          <w:b/>
          <w:color w:val="auto"/>
          <w:szCs w:val="21"/>
          <w:highlight w:val="none"/>
        </w:rPr>
        <w:t>、违约责任</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bCs/>
          <w:color w:val="auto"/>
          <w:kern w:val="0"/>
          <w:szCs w:val="21"/>
          <w:highlight w:val="none"/>
        </w:rPr>
        <w:t>1</w:t>
      </w:r>
      <w:r>
        <w:rPr>
          <w:rFonts w:hint="eastAsia" w:ascii="宋体" w:hAnsi="宋体" w:cs="宋体"/>
          <w:bCs/>
          <w:color w:val="auto"/>
          <w:kern w:val="0"/>
          <w:szCs w:val="21"/>
          <w:highlight w:val="none"/>
          <w:lang w:val="en-US" w:eastAsia="zh-CN"/>
        </w:rPr>
        <w:t>5</w:t>
      </w:r>
      <w:r>
        <w:rPr>
          <w:rFonts w:hint="eastAsia" w:ascii="宋体" w:hAnsi="宋体" w:cs="宋体"/>
          <w:color w:val="auto"/>
          <w:szCs w:val="21"/>
          <w:highlight w:val="none"/>
        </w:rPr>
        <w:t>.1 甲方无正当理由拒收货物的，甲方向乙方偿付拒收货款总值的百分之五违约金。</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.2 甲方无故逾期验收和办理货款支付手续的,甲方应按逾期付款总额每日万分之五向乙方支付违约金。</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.4 乙方所交的货物品种、规格、技术参数、质量不符合合同规定及招标文件规定标准的，甲方有权拒收该货物，乙方愿意更换货物但逾期交货的，按乙方逾期交货处理。乙方拒绝更换货物的，甲方可单方面解除合同并扣除全部履约保证金。</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.5甲方在乙方违约的情况下，如果</w:t>
      </w:r>
      <w:r>
        <w:rPr>
          <w:rFonts w:hint="eastAsia" w:ascii="宋体" w:hAnsi="宋体" w:cs="宋体"/>
          <w:color w:val="auto"/>
          <w:szCs w:val="21"/>
          <w:highlight w:val="none"/>
          <w:lang w:eastAsia="zh-CN"/>
        </w:rPr>
        <w:t>：</w:t>
      </w:r>
    </w:p>
    <w:p>
      <w:pPr>
        <w:adjustRightInd w:val="0"/>
        <w:snapToGrid w:val="0"/>
        <w:spacing w:line="360" w:lineRule="auto"/>
        <w:ind w:left="420" w:leftChars="200" w:firstLine="63" w:firstLineChars="30"/>
        <w:textAlignment w:val="baseline"/>
        <w:rPr>
          <w:rFonts w:ascii="宋体" w:hAnsi="宋体" w:cs="宋体"/>
          <w:color w:val="auto"/>
          <w:szCs w:val="21"/>
          <w:highlight w:val="none"/>
        </w:rPr>
      </w:pPr>
      <w:r>
        <w:rPr>
          <w:rFonts w:hint="eastAsia" w:ascii="宋体" w:hAnsi="宋体" w:cs="宋体"/>
          <w:color w:val="auto"/>
          <w:szCs w:val="21"/>
          <w:highlight w:val="none"/>
        </w:rPr>
        <w:t>乙方未能在合同规定的限期或甲方同意延长的限期内提供全部或部分设备；或如果乙方未能履行合同规定的其它义务，乙方在收到甲方发出的违约通知后10天内，或经甲方书面认可延长的时间内未能纠正其过失，甲方可向乙方发出书面通知，终止部分或全部合同。在这种情况下，并不影响甲方向乙方提出的索赔。</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.6在甲方根据上述第1</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.5条规定，终止了全部或部分合同，甲方可以依其认为适当的条件和方法购买与未交设备类似的设备，乙方应对购买类似设备所超出的费用负责，而且乙方还应继续执行合同中未终止的部分。</w:t>
      </w:r>
    </w:p>
    <w:p>
      <w:pPr>
        <w:adjustRightInd w:val="0"/>
        <w:snapToGrid w:val="0"/>
        <w:spacing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rPr>
        <w:t>十</w:t>
      </w:r>
      <w:r>
        <w:rPr>
          <w:rFonts w:hint="eastAsia" w:ascii="宋体" w:hAnsi="宋体" w:cs="宋体"/>
          <w:b/>
          <w:color w:val="auto"/>
          <w:szCs w:val="21"/>
          <w:highlight w:val="none"/>
          <w:lang w:val="en-US" w:eastAsia="zh-CN"/>
        </w:rPr>
        <w:t>六</w:t>
      </w:r>
      <w:r>
        <w:rPr>
          <w:rFonts w:hint="eastAsia" w:ascii="宋体" w:hAnsi="宋体" w:cs="宋体"/>
          <w:b/>
          <w:color w:val="auto"/>
          <w:szCs w:val="21"/>
          <w:highlight w:val="none"/>
        </w:rPr>
        <w:t>、不可抗力事件处理</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.1 在合同有效期内，任何一方因不可抗力事件导致不能履行合同，则合同履行期可延长，其延长期与不可抗力影响期相同。</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.2 不可抗力事件发生后，应立即通知对方，并寄送有关权威机构出具的证明。</w:t>
      </w:r>
    </w:p>
    <w:p>
      <w:pPr>
        <w:adjustRightInd w:val="0"/>
        <w:snapToGrid w:val="0"/>
        <w:spacing w:line="360" w:lineRule="auto"/>
        <w:textAlignment w:val="baseline"/>
        <w:rPr>
          <w:rFonts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r>
        <w:rPr>
          <w:rFonts w:hint="eastAsia" w:ascii="宋体" w:hAnsi="宋体" w:cs="宋体"/>
          <w:bCs/>
          <w:color w:val="auto"/>
          <w:kern w:val="0"/>
          <w:szCs w:val="21"/>
          <w:highlight w:val="none"/>
        </w:rPr>
        <w:t>.</w:t>
      </w:r>
      <w:r>
        <w:rPr>
          <w:rFonts w:hint="eastAsia" w:ascii="宋体" w:hAnsi="宋体" w:cs="宋体"/>
          <w:color w:val="auto"/>
          <w:szCs w:val="21"/>
          <w:highlight w:val="none"/>
        </w:rPr>
        <w:t>3 不可抗力事件延续120天以上，双方应通过友好协商，确定是否继续履行合同。</w:t>
      </w:r>
    </w:p>
    <w:p>
      <w:pPr>
        <w:adjustRightInd w:val="0"/>
        <w:snapToGrid w:val="0"/>
        <w:spacing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十七</w:t>
      </w:r>
      <w:r>
        <w:rPr>
          <w:rFonts w:hint="eastAsia" w:ascii="宋体" w:hAnsi="宋体" w:cs="宋体"/>
          <w:b/>
          <w:color w:val="auto"/>
          <w:szCs w:val="21"/>
          <w:highlight w:val="none"/>
        </w:rPr>
        <w:t>、诉讼</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17</w:t>
      </w:r>
      <w:r>
        <w:rPr>
          <w:rFonts w:hint="eastAsia" w:ascii="宋体" w:hAnsi="宋体" w:cs="宋体"/>
          <w:color w:val="auto"/>
          <w:szCs w:val="21"/>
          <w:highlight w:val="none"/>
        </w:rPr>
        <w:t>.1 双方在执行合同中所发生的一切争议，应通过协商解决。如协商不成，可向合同签订地法院起诉，合同签订地在此约定为</w:t>
      </w:r>
      <w:r>
        <w:rPr>
          <w:rFonts w:hint="eastAsia" w:ascii="宋体" w:hAnsi="宋体" w:cs="宋体"/>
          <w:color w:val="auto"/>
          <w:szCs w:val="21"/>
          <w:highlight w:val="none"/>
          <w:u w:val="single"/>
        </w:rPr>
        <w:t xml:space="preserve"> 宁波市第一医院。</w:t>
      </w:r>
    </w:p>
    <w:p>
      <w:pPr>
        <w:adjustRightInd w:val="0"/>
        <w:snapToGrid w:val="0"/>
        <w:spacing w:line="360" w:lineRule="auto"/>
        <w:textAlignment w:val="baseline"/>
        <w:rPr>
          <w:rFonts w:ascii="宋体" w:hAnsi="宋体" w:cs="宋体"/>
          <w:b/>
          <w:color w:val="auto"/>
          <w:szCs w:val="21"/>
          <w:highlight w:val="none"/>
        </w:rPr>
      </w:pPr>
      <w:r>
        <w:rPr>
          <w:rFonts w:hint="eastAsia" w:ascii="宋体" w:hAnsi="宋体" w:cs="宋体"/>
          <w:b/>
          <w:color w:val="auto"/>
          <w:szCs w:val="21"/>
          <w:highlight w:val="none"/>
          <w:lang w:val="en-US" w:eastAsia="zh-CN"/>
        </w:rPr>
        <w:t>十八</w:t>
      </w:r>
      <w:r>
        <w:rPr>
          <w:rFonts w:hint="eastAsia" w:ascii="宋体" w:hAnsi="宋体" w:cs="宋体"/>
          <w:b/>
          <w:color w:val="auto"/>
          <w:szCs w:val="21"/>
          <w:highlight w:val="none"/>
        </w:rPr>
        <w:t>、合同生效及其它</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.1 合同经双方法定代表人或授权委托代理人签字并加盖单位公章后生效。</w:t>
      </w:r>
    </w:p>
    <w:p>
      <w:pPr>
        <w:adjustRightInd w:val="0"/>
        <w:snapToGrid w:val="0"/>
        <w:spacing w:line="360" w:lineRule="auto"/>
        <w:ind w:left="357" w:hanging="357" w:hangingChars="170"/>
        <w:textAlignment w:val="baseline"/>
        <w:rPr>
          <w:rFonts w:ascii="宋体" w:hAnsi="宋体" w:cs="宋体"/>
          <w:color w:val="auto"/>
          <w:szCs w:val="21"/>
          <w:highlight w:val="none"/>
          <w:u w:val="singl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.2 甲方项目负责人姓名：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u w:val="single"/>
        </w:rPr>
        <w:t xml:space="preserve">          </w:t>
      </w:r>
    </w:p>
    <w:p>
      <w:pPr>
        <w:adjustRightInd w:val="0"/>
        <w:snapToGrid w:val="0"/>
        <w:spacing w:line="360" w:lineRule="auto"/>
        <w:ind w:left="357" w:hanging="357" w:hangingChars="170"/>
        <w:textAlignment w:val="baseline"/>
        <w:rPr>
          <w:rFonts w:ascii="宋体" w:hAnsi="宋体" w:cs="宋体"/>
          <w:color w:val="auto"/>
          <w:szCs w:val="21"/>
          <w:highlight w:val="none"/>
          <w:u w:val="single"/>
        </w:rPr>
      </w:pPr>
      <w:r>
        <w:rPr>
          <w:rFonts w:hint="eastAsia" w:ascii="宋体" w:hAnsi="宋体" w:cs="宋体"/>
          <w:color w:val="auto"/>
          <w:szCs w:val="21"/>
          <w:highlight w:val="none"/>
        </w:rPr>
        <w:t xml:space="preserve">     乙方项目负责人姓名：</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联系电话：</w:t>
      </w:r>
      <w:r>
        <w:rPr>
          <w:rFonts w:hint="eastAsia" w:ascii="宋体" w:hAnsi="宋体" w:cs="宋体"/>
          <w:color w:val="auto"/>
          <w:szCs w:val="21"/>
          <w:highlight w:val="none"/>
          <w:u w:val="single"/>
        </w:rPr>
        <w:t xml:space="preserve">          </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.3本合同未尽事宜，遵照《民法典》有关条文执行。</w:t>
      </w:r>
    </w:p>
    <w:p>
      <w:pPr>
        <w:adjustRightInd w:val="0"/>
        <w:snapToGrid w:val="0"/>
        <w:spacing w:line="360" w:lineRule="auto"/>
        <w:ind w:left="357" w:hanging="357" w:hangingChars="170"/>
        <w:textAlignment w:val="baseline"/>
        <w:rPr>
          <w:rFonts w:ascii="宋体" w:hAnsi="宋体" w:cs="宋体"/>
          <w:color w:val="auto"/>
          <w:szCs w:val="21"/>
          <w:highlight w:val="none"/>
        </w:rPr>
      </w:pP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.4本合同正本一式</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份，具有同等法律效力，甲乙双方各执</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份。</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甲方</w:t>
      </w:r>
      <w:r>
        <w:rPr>
          <w:rFonts w:hint="eastAsia" w:ascii="宋体" w:hAnsi="宋体" w:cs="宋体"/>
          <w:color w:val="auto"/>
          <w:szCs w:val="21"/>
          <w:highlight w:val="none"/>
          <w:lang w:eastAsia="zh-CN"/>
        </w:rPr>
        <w:t>：</w:t>
      </w:r>
      <w:r>
        <w:rPr>
          <w:rFonts w:hint="eastAsia" w:ascii="宋体" w:hAnsi="宋体" w:cs="宋体"/>
          <w:color w:val="auto"/>
          <w:szCs w:val="21"/>
          <w:highlight w:val="none"/>
        </w:rPr>
        <w:t>（公章）:                            乙方</w:t>
      </w:r>
      <w:r>
        <w:rPr>
          <w:rFonts w:hint="eastAsia" w:ascii="宋体" w:hAnsi="宋体" w:cs="宋体"/>
          <w:color w:val="auto"/>
          <w:szCs w:val="21"/>
          <w:highlight w:val="none"/>
          <w:lang w:eastAsia="zh-CN"/>
        </w:rPr>
        <w:t>：</w:t>
      </w:r>
      <w:r>
        <w:rPr>
          <w:rFonts w:hint="eastAsia" w:ascii="宋体" w:hAnsi="宋体" w:cs="宋体"/>
          <w:color w:val="auto"/>
          <w:szCs w:val="21"/>
          <w:highlight w:val="none"/>
        </w:rPr>
        <w:t>（公章）:</w:t>
      </w:r>
    </w:p>
    <w:p>
      <w:pPr>
        <w:snapToGrid w:val="0"/>
        <w:spacing w:before="120" w:beforeLines="50" w:after="120" w:afterLines="50"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法定代表人或授权代表人（签字）: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法定代表人或授权代表人（签字）: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经办人</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经办人</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u w:val="single"/>
        </w:rPr>
      </w:pPr>
      <w:r>
        <w:rPr>
          <w:rFonts w:hint="eastAsia" w:ascii="宋体" w:hAnsi="宋体" w:cs="宋体"/>
          <w:color w:val="auto"/>
          <w:szCs w:val="21"/>
          <w:highlight w:val="none"/>
        </w:rPr>
        <w:t>住所</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住所</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电话</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传真</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传真</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邮编</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邮编</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银行账号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银行</w:t>
      </w:r>
      <w:r>
        <w:rPr>
          <w:rFonts w:hint="eastAsia" w:ascii="宋体" w:hAnsi="宋体" w:cs="宋体"/>
          <w:color w:val="auto"/>
          <w:szCs w:val="21"/>
          <w:highlight w:val="none"/>
          <w:lang w:val="en-US" w:eastAsia="zh-CN"/>
        </w:rPr>
        <w:t>账</w:t>
      </w:r>
      <w:r>
        <w:rPr>
          <w:rFonts w:hint="eastAsia" w:ascii="宋体" w:hAnsi="宋体" w:cs="宋体"/>
          <w:color w:val="auto"/>
          <w:szCs w:val="21"/>
          <w:highlight w:val="none"/>
        </w:rPr>
        <w:t>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pPr>
        <w:snapToGrid w:val="0"/>
        <w:spacing w:before="120" w:beforeLines="50" w:after="120" w:afterLines="50" w:line="400" w:lineRule="exact"/>
        <w:ind w:firstLine="210" w:firstLineChars="100"/>
        <w:rPr>
          <w:rFonts w:ascii="宋体" w:hAnsi="宋体" w:cs="宋体"/>
          <w:color w:val="auto"/>
          <w:szCs w:val="21"/>
          <w:highlight w:val="none"/>
        </w:rPr>
      </w:pPr>
      <w:r>
        <w:rPr>
          <w:rFonts w:hint="eastAsia" w:ascii="宋体" w:hAnsi="宋体" w:cs="宋体"/>
          <w:color w:val="auto"/>
          <w:szCs w:val="21"/>
          <w:highlight w:val="none"/>
        </w:rPr>
        <w:t>税务登记号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税务登记号</w:t>
      </w:r>
      <w:r>
        <w:rPr>
          <w:rFonts w:hint="eastAsia" w:ascii="宋体" w:hAnsi="宋体" w:cs="宋体"/>
          <w:color w:val="auto"/>
          <w:szCs w:val="21"/>
          <w:highlight w:val="none"/>
          <w:lang w:eastAsia="zh-CN"/>
        </w:rPr>
        <w:t>：</w:t>
      </w:r>
      <w:r>
        <w:rPr>
          <w:rFonts w:hint="eastAsia" w:ascii="宋体" w:hAnsi="宋体" w:cs="宋体"/>
          <w:color w:val="auto"/>
          <w:szCs w:val="21"/>
          <w:highlight w:val="none"/>
          <w:u w:val="single"/>
        </w:rPr>
        <w:t xml:space="preserve">                        </w:t>
      </w:r>
    </w:p>
    <w:p>
      <w:pPr>
        <w:snapToGrid w:val="0"/>
        <w:spacing w:before="120" w:beforeLines="50" w:after="120" w:afterLines="50" w:line="400" w:lineRule="exact"/>
        <w:ind w:firstLine="210" w:firstLineChars="100"/>
        <w:jc w:val="center"/>
        <w:outlineLvl w:val="0"/>
        <w:rPr>
          <w:rFonts w:ascii="黑体" w:hAnsi="宋体" w:eastAsia="黑体"/>
          <w:color w:val="auto"/>
          <w:sz w:val="24"/>
          <w:highlight w:val="none"/>
        </w:rPr>
      </w:pPr>
      <w:r>
        <w:rPr>
          <w:rFonts w:hAnsi="宋体"/>
          <w:color w:val="auto"/>
          <w:highlight w:val="none"/>
        </w:rPr>
        <w:br w:type="page"/>
      </w:r>
      <w:bookmarkStart w:id="89" w:name="_Toc625"/>
      <w:r>
        <w:rPr>
          <w:rFonts w:hint="eastAsia"/>
          <w:color w:val="auto"/>
          <w:sz w:val="28"/>
          <w:szCs w:val="28"/>
          <w:highlight w:val="none"/>
        </w:rPr>
        <w:t>第六章　投标文件格式</w:t>
      </w:r>
      <w:bookmarkEnd w:id="89"/>
    </w:p>
    <w:p>
      <w:pPr>
        <w:widowControl/>
        <w:numPr>
          <w:ilvl w:val="0"/>
          <w:numId w:val="17"/>
        </w:numPr>
        <w:jc w:val="center"/>
        <w:rPr>
          <w:rFonts w:ascii="宋体" w:hAnsi="宋体" w:cs="宋体"/>
          <w:color w:val="auto"/>
          <w:kern w:val="0"/>
          <w:szCs w:val="20"/>
          <w:highlight w:val="none"/>
        </w:rPr>
      </w:pPr>
      <w:r>
        <w:rPr>
          <w:rFonts w:hint="eastAsia" w:ascii="宋体" w:hAnsi="宋体" w:cs="宋体"/>
          <w:color w:val="auto"/>
          <w:kern w:val="0"/>
          <w:szCs w:val="20"/>
          <w:highlight w:val="none"/>
        </w:rPr>
        <w:t>资格文件、商务技术文件格式</w:t>
      </w:r>
    </w:p>
    <w:p>
      <w:pPr>
        <w:widowControl/>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1.资格、商务技术文件的外包装封面格式：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1"/>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r>
        <w:rPr>
          <w:rFonts w:hint="eastAsia" w:ascii="宋体" w:hAnsi="宋体" w:cs="宋体"/>
          <w:color w:val="auto"/>
          <w:kern w:val="0"/>
          <w:szCs w:val="20"/>
          <w:highlight w:val="none"/>
          <w:lang w:eastAsia="zh-CN"/>
        </w:rPr>
        <w:t>：</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color w:val="auto"/>
          <w:highlight w:val="none"/>
        </w:rPr>
        <w:t>开标时启封</w:t>
      </w:r>
    </w:p>
    <w:p>
      <w:pPr>
        <w:widowControl/>
        <w:spacing w:line="360" w:lineRule="auto"/>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2.资格、商务技术文件封面格式： </w:t>
      </w: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正本/或副本</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ind w:firstLine="3675" w:firstLineChars="1750"/>
        <w:jc w:val="left"/>
        <w:rPr>
          <w:rFonts w:ascii="宋体" w:hAnsi="宋体" w:cs="宋体"/>
          <w:color w:val="auto"/>
          <w:kern w:val="0"/>
          <w:szCs w:val="21"/>
          <w:highlight w:val="none"/>
        </w:rPr>
      </w:pPr>
      <w:r>
        <w:rPr>
          <w:rFonts w:hint="eastAsia" w:ascii="宋体" w:hAnsi="宋体" w:cs="宋体"/>
          <w:color w:val="auto"/>
          <w:kern w:val="0"/>
          <w:szCs w:val="20"/>
          <w:highlight w:val="none"/>
        </w:rPr>
        <w:t>资格、商务技术文件</w:t>
      </w:r>
    </w:p>
    <w:p>
      <w:pPr>
        <w:widowControl/>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项目名称：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项目编号： </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标项号</w:t>
      </w:r>
      <w:r>
        <w:rPr>
          <w:rFonts w:hint="eastAsia" w:ascii="宋体" w:hAnsi="宋体" w:cs="宋体"/>
          <w:color w:val="auto"/>
          <w:kern w:val="0"/>
          <w:szCs w:val="20"/>
          <w:highlight w:val="none"/>
          <w:lang w:eastAsia="zh-CN"/>
        </w:rPr>
        <w:t>：</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供应商地址：</w:t>
      </w:r>
    </w:p>
    <w:p>
      <w:pPr>
        <w:widowControl/>
        <w:spacing w:line="360" w:lineRule="auto"/>
        <w:jc w:val="left"/>
        <w:rPr>
          <w:rFonts w:ascii="宋体" w:hAnsi="宋体" w:cs="宋体"/>
          <w:color w:val="auto"/>
          <w:kern w:val="0"/>
          <w:szCs w:val="20"/>
          <w:highlight w:val="none"/>
        </w:rPr>
      </w:pPr>
    </w:p>
    <w:p>
      <w:pPr>
        <w:widowControl/>
        <w:spacing w:line="360" w:lineRule="auto"/>
        <w:ind w:firstLine="5355" w:firstLineChars="2550"/>
        <w:jc w:val="left"/>
        <w:rPr>
          <w:rFonts w:ascii="宋体" w:hAnsi="宋体" w:cs="宋体"/>
          <w:color w:val="auto"/>
          <w:kern w:val="0"/>
          <w:szCs w:val="20"/>
          <w:highlight w:val="none"/>
        </w:rPr>
      </w:pPr>
      <w:r>
        <w:rPr>
          <w:rFonts w:hint="eastAsia" w:ascii="宋体" w:hAnsi="宋体" w:cs="宋体"/>
          <w:color w:val="auto"/>
          <w:kern w:val="0"/>
          <w:szCs w:val="20"/>
          <w:highlight w:val="none"/>
        </w:rPr>
        <w:t>（供应商公章）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center"/>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3.资格文件：</w:t>
      </w:r>
    </w:p>
    <w:p>
      <w:pPr>
        <w:widowControl/>
        <w:numPr>
          <w:ilvl w:val="0"/>
          <w:numId w:val="18"/>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供应商资格声明函（格式见附件）；</w:t>
      </w:r>
    </w:p>
    <w:p>
      <w:pPr>
        <w:widowControl/>
        <w:numPr>
          <w:ilvl w:val="0"/>
          <w:numId w:val="18"/>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numPr>
          <w:ilvl w:val="0"/>
          <w:numId w:val="1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0"/>
          <w:highlight w:val="none"/>
        </w:rPr>
        <w:t>供应商特定资格条件的证明文件：详见“第一章  公开招标公告 二、申请人的资格要求：3.本项目的特定资格要求”；</w:t>
      </w:r>
    </w:p>
    <w:p>
      <w:pPr>
        <w:widowControl/>
        <w:numPr>
          <w:ilvl w:val="0"/>
          <w:numId w:val="18"/>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2"/>
          <w:highlight w:val="none"/>
        </w:rPr>
        <w:t>招标文件</w:t>
      </w:r>
      <w:r>
        <w:rPr>
          <w:rFonts w:hint="eastAsia" w:ascii="宋体" w:hAnsi="宋体" w:cs="宋体"/>
          <w:color w:val="auto"/>
          <w:kern w:val="0"/>
          <w:szCs w:val="21"/>
          <w:highlight w:val="none"/>
        </w:rPr>
        <w:t>要求的其他资格条件证明材料（如有）；</w:t>
      </w:r>
    </w:p>
    <w:p>
      <w:pPr>
        <w:widowControl/>
        <w:snapToGrid w:val="0"/>
        <w:spacing w:line="360" w:lineRule="auto"/>
        <w:jc w:val="left"/>
        <w:rPr>
          <w:rFonts w:ascii="宋体" w:hAnsi="宋体" w:cs="宋体"/>
          <w:color w:val="auto"/>
          <w:kern w:val="0"/>
          <w:szCs w:val="21"/>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4.供应商资格声明函</w:t>
      </w:r>
    </w:p>
    <w:p>
      <w:pPr>
        <w:widowControl/>
        <w:jc w:val="center"/>
        <w:rPr>
          <w:rFonts w:ascii="宋体" w:hAnsi="宋体" w:cs="宋体"/>
          <w:b/>
          <w:color w:val="auto"/>
          <w:kern w:val="0"/>
          <w:sz w:val="28"/>
          <w:szCs w:val="28"/>
          <w:highlight w:val="none"/>
        </w:rPr>
      </w:pPr>
      <w:bookmarkStart w:id="90" w:name="_Toc275865606"/>
    </w:p>
    <w:bookmarkEnd w:id="90"/>
    <w:p>
      <w:pPr>
        <w:jc w:val="center"/>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供应商资格声明函</w:t>
      </w:r>
    </w:p>
    <w:p>
      <w:pPr>
        <w:widowControl/>
        <w:jc w:val="left"/>
        <w:rPr>
          <w:rFonts w:ascii="宋体" w:hAnsi="宋体" w:cs="宋体"/>
          <w:b/>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宁波中基国际招标有限公司：</w:t>
      </w:r>
    </w:p>
    <w:p>
      <w:pPr>
        <w:widowControl/>
        <w:snapToGrid w:val="0"/>
        <w:spacing w:before="120" w:beforeLines="50"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关于贵司年</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月</w:t>
      </w:r>
      <w:r>
        <w:rPr>
          <w:rFonts w:hint="eastAsia" w:ascii="宋体" w:hAnsi="宋体" w:cs="宋体"/>
          <w:color w:val="auto"/>
          <w:kern w:val="0"/>
          <w:szCs w:val="20"/>
          <w:highlight w:val="none"/>
          <w:u w:val="single"/>
        </w:rPr>
        <w:t>　　</w:t>
      </w:r>
      <w:r>
        <w:rPr>
          <w:rFonts w:hint="eastAsia" w:ascii="宋体" w:hAnsi="宋体" w:cs="宋体"/>
          <w:color w:val="auto"/>
          <w:kern w:val="0"/>
          <w:szCs w:val="20"/>
          <w:highlight w:val="none"/>
        </w:rPr>
        <w:t>日发布</w:t>
      </w:r>
      <w:r>
        <w:rPr>
          <w:rFonts w:hint="eastAsia" w:ascii="宋体" w:hAnsi="宋体" w:cs="宋体"/>
          <w:color w:val="auto"/>
          <w:kern w:val="28"/>
          <w:szCs w:val="20"/>
          <w:highlight w:val="none"/>
          <w:u w:val="single"/>
        </w:rPr>
        <w:t>XXXXXXXXXXXXXXXXXXXXXXXXXXXX</w:t>
      </w:r>
      <w:r>
        <w:rPr>
          <w:rFonts w:hint="eastAsia" w:ascii="宋体" w:hAnsi="宋体" w:cs="宋体"/>
          <w:color w:val="auto"/>
          <w:kern w:val="0"/>
          <w:szCs w:val="20"/>
          <w:highlight w:val="none"/>
        </w:rPr>
        <w:t>项目（项目编号：　　　）的公开招标公告，本公司（企业）愿意参加投标，并声明：</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kern w:val="0"/>
          <w:szCs w:val="20"/>
          <w:highlight w:val="none"/>
        </w:rPr>
        <w:t>本公司（企业）具备</w:t>
      </w:r>
      <w:r>
        <w:rPr>
          <w:rFonts w:hint="eastAsia" w:ascii="宋体" w:hAnsi="宋体" w:cs="宋体"/>
          <w:bCs/>
          <w:color w:val="auto"/>
          <w:kern w:val="0"/>
          <w:szCs w:val="21"/>
          <w:highlight w:val="none"/>
        </w:rPr>
        <w:t>《中华人民共和国政府采购法》第二十二条资格条件：1、具有独立承担民事责任的能力；2、具有良好的商业信誉和健全的</w:t>
      </w:r>
      <w:r>
        <w:rPr>
          <w:color w:val="auto"/>
          <w:highlight w:val="none"/>
        </w:rPr>
        <w:fldChar w:fldCharType="begin"/>
      </w:r>
      <w:r>
        <w:rPr>
          <w:color w:val="auto"/>
          <w:highlight w:val="none"/>
        </w:rPr>
        <w:instrText xml:space="preserve"> HYPERLINK "http://www.so.com/s?q=%E8%B4%A2%E5%8A%A1%E4%BC%9A%E8%AE%A1%E5%88%B6%E5%BA%A6&amp;ie=utf-8&amp;src=internal_wenda_recommend_textn" \t "https://wenda.so.com/q/_blank" </w:instrText>
      </w:r>
      <w:r>
        <w:rPr>
          <w:color w:val="auto"/>
          <w:highlight w:val="none"/>
        </w:rPr>
        <w:fldChar w:fldCharType="separate"/>
      </w:r>
      <w:r>
        <w:rPr>
          <w:rStyle w:val="32"/>
          <w:rFonts w:hint="eastAsia" w:ascii="宋体" w:hAnsi="宋体" w:cs="宋体"/>
          <w:bCs/>
          <w:color w:val="auto"/>
          <w:kern w:val="0"/>
          <w:szCs w:val="21"/>
          <w:highlight w:val="none"/>
        </w:rPr>
        <w:t>财务会计制度</w:t>
      </w:r>
      <w:r>
        <w:rPr>
          <w:rStyle w:val="32"/>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；3、具有履行合同所必需的设备和专业技术能力；4、有依法缴纳税收和</w:t>
      </w:r>
      <w:r>
        <w:rPr>
          <w:color w:val="auto"/>
          <w:highlight w:val="none"/>
        </w:rPr>
        <w:fldChar w:fldCharType="begin"/>
      </w:r>
      <w:r>
        <w:rPr>
          <w:color w:val="auto"/>
          <w:highlight w:val="none"/>
        </w:rPr>
        <w:instrText xml:space="preserve"> HYPERLINK "http://www.so.com/s?q=%E7%A4%BE%E4%BC%9A%E4%BF%9D%E9%9A%9C%E8%B5%84%E9%87%91&amp;ie=utf-8&amp;src=internal_wenda_recommend_textn" \t "https://wenda.so.com/q/_blank" </w:instrText>
      </w:r>
      <w:r>
        <w:rPr>
          <w:color w:val="auto"/>
          <w:highlight w:val="none"/>
        </w:rPr>
        <w:fldChar w:fldCharType="separate"/>
      </w:r>
      <w:r>
        <w:rPr>
          <w:rStyle w:val="32"/>
          <w:rFonts w:hint="eastAsia" w:ascii="宋体" w:hAnsi="宋体" w:cs="宋体"/>
          <w:bCs/>
          <w:color w:val="auto"/>
          <w:kern w:val="0"/>
          <w:szCs w:val="21"/>
          <w:highlight w:val="none"/>
        </w:rPr>
        <w:t>社会保障资金</w:t>
      </w:r>
      <w:r>
        <w:rPr>
          <w:rStyle w:val="32"/>
          <w:rFonts w:hint="eastAsia" w:ascii="宋体" w:hAnsi="宋体" w:cs="宋体"/>
          <w:bCs/>
          <w:color w:val="auto"/>
          <w:kern w:val="0"/>
          <w:szCs w:val="21"/>
          <w:highlight w:val="none"/>
        </w:rPr>
        <w:fldChar w:fldCharType="end"/>
      </w:r>
      <w:r>
        <w:rPr>
          <w:rFonts w:hint="eastAsia" w:ascii="宋体" w:hAnsi="宋体" w:cs="宋体"/>
          <w:bCs/>
          <w:color w:val="auto"/>
          <w:kern w:val="0"/>
          <w:szCs w:val="21"/>
          <w:highlight w:val="none"/>
        </w:rPr>
        <w:t>的良好记录；5、参加政府采购活动前三年内，在经营活动中没有重大违法记录；6、法律、行政法规规定的其他条件；</w:t>
      </w:r>
      <w:r>
        <w:rPr>
          <w:rFonts w:hint="eastAsia" w:ascii="宋体" w:hAnsi="宋体" w:cs="宋体"/>
          <w:color w:val="auto"/>
          <w:kern w:val="0"/>
          <w:szCs w:val="20"/>
          <w:highlight w:val="none"/>
        </w:rPr>
        <w:t>并已清楚招标文件的要求及有关文件规定。</w:t>
      </w:r>
    </w:p>
    <w:p>
      <w:pPr>
        <w:widowControl/>
        <w:spacing w:line="360" w:lineRule="auto"/>
        <w:ind w:firstLine="630" w:firstLineChars="300"/>
        <w:jc w:val="left"/>
        <w:rPr>
          <w:rFonts w:ascii="宋体" w:hAnsi="宋体" w:cs="宋体"/>
          <w:color w:val="auto"/>
          <w:kern w:val="0"/>
          <w:szCs w:val="21"/>
          <w:highlight w:val="none"/>
        </w:rPr>
      </w:pPr>
      <w:r>
        <w:rPr>
          <w:rFonts w:hint="eastAsia" w:ascii="宋体" w:hAnsi="宋体" w:cs="宋体"/>
          <w:color w:val="auto"/>
          <w:kern w:val="0"/>
          <w:szCs w:val="20"/>
          <w:highlight w:val="none"/>
        </w:rPr>
        <w:t>本公司（企业）的法定代表人或单位负责人与所参投的本采购项目的其他供应商的法定代表人或单位负责人不为同一人且与其他供应商之间不存在直接控股、管理关系。</w:t>
      </w:r>
    </w:p>
    <w:p>
      <w:pPr>
        <w:widowControl/>
        <w:snapToGrid w:val="0"/>
        <w:spacing w:line="380" w:lineRule="exact"/>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根据《中华人民共和国政府采购法实施条例》的规定，本公司（企业）如为本采购项目提供整体设计、规范编制或者项目管理、监理、检测等服务的供应商，不得再参加该采购项目的其他采购活动。否则，由此所造成的损失、不良后果及法律责任，一律由我公司（企业）承担。</w:t>
      </w:r>
    </w:p>
    <w:p>
      <w:pPr>
        <w:widowControl/>
        <w:snapToGrid w:val="0"/>
        <w:spacing w:line="360" w:lineRule="auto"/>
        <w:ind w:firstLine="426" w:firstLineChars="202"/>
        <w:jc w:val="left"/>
        <w:rPr>
          <w:rFonts w:ascii="宋体" w:hAnsi="宋体" w:cs="宋体"/>
          <w:b/>
          <w:bCs/>
          <w:color w:val="auto"/>
          <w:kern w:val="0"/>
          <w:szCs w:val="20"/>
          <w:highlight w:val="none"/>
        </w:rPr>
      </w:pPr>
      <w:r>
        <w:rPr>
          <w:rFonts w:hint="eastAsia" w:ascii="宋体" w:hAnsi="宋体"/>
          <w:b/>
          <w:bCs/>
          <w:color w:val="auto"/>
          <w:kern w:val="0"/>
          <w:szCs w:val="20"/>
          <w:highlight w:val="none"/>
        </w:rPr>
        <w:t>本公司（企业）</w:t>
      </w:r>
      <w:r>
        <w:rPr>
          <w:rFonts w:hint="eastAsia" w:ascii="宋体" w:hAnsi="宋体"/>
          <w:b/>
          <w:bCs/>
          <w:color w:val="auto"/>
          <w:kern w:val="0"/>
          <w:szCs w:val="21"/>
          <w:highlight w:val="none"/>
        </w:rPr>
        <w:t>未被列入“信用中国”网站</w:t>
      </w:r>
      <w:r>
        <w:rPr>
          <w:rFonts w:hint="eastAsia" w:ascii="宋体" w:hAnsi="宋体"/>
          <w:b/>
          <w:bCs/>
          <w:color w:val="auto"/>
          <w:kern w:val="0"/>
          <w:szCs w:val="21"/>
          <w:highlight w:val="none"/>
          <w:lang w:eastAsia="zh-CN"/>
        </w:rPr>
        <w:t>（</w:t>
      </w:r>
      <w:r>
        <w:rPr>
          <w:rFonts w:hint="eastAsia" w:ascii="宋体" w:hAnsi="宋体"/>
          <w:b/>
          <w:bCs/>
          <w:color w:val="auto"/>
          <w:kern w:val="0"/>
          <w:szCs w:val="21"/>
          <w:highlight w:val="none"/>
        </w:rPr>
        <w:t>www.creditchina.gov.cn)“失信被执行人或重大税收违法案件当事人名单或政府采购严重违法失信行为”记录名单；不处于中国政府采购网</w:t>
      </w:r>
      <w:r>
        <w:rPr>
          <w:rFonts w:hint="eastAsia" w:ascii="宋体" w:hAnsi="宋体"/>
          <w:b/>
          <w:bCs/>
          <w:color w:val="auto"/>
          <w:kern w:val="0"/>
          <w:szCs w:val="21"/>
          <w:highlight w:val="none"/>
          <w:lang w:eastAsia="zh-CN"/>
        </w:rPr>
        <w:t>（</w:t>
      </w:r>
      <w:r>
        <w:rPr>
          <w:rFonts w:hint="eastAsia" w:ascii="宋体" w:hAnsi="宋体"/>
          <w:b/>
          <w:bCs/>
          <w:color w:val="auto"/>
          <w:kern w:val="0"/>
          <w:szCs w:val="21"/>
          <w:highlight w:val="none"/>
        </w:rPr>
        <w:t>www.ccgp.gov.cn)“政府采购严重违法失信行为信息记录”</w:t>
      </w:r>
      <w:r>
        <w:rPr>
          <w:rFonts w:hint="eastAsia" w:ascii="宋体" w:hAnsi="宋体" w:cs="宋体"/>
          <w:b/>
          <w:bCs/>
          <w:color w:val="auto"/>
          <w:kern w:val="0"/>
          <w:szCs w:val="22"/>
          <w:highlight w:val="none"/>
        </w:rPr>
        <w:t>中的禁止参加政府采购活</w:t>
      </w:r>
      <w:r>
        <w:rPr>
          <w:rFonts w:hint="eastAsia" w:ascii="宋体" w:hAnsi="宋体" w:cs="宋体"/>
          <w:b/>
          <w:bCs/>
          <w:color w:val="auto"/>
          <w:kern w:val="0"/>
          <w:szCs w:val="20"/>
          <w:highlight w:val="none"/>
        </w:rPr>
        <w:t>动期间。否则，由此所造成的损失、不良后果及法律责任，一律由我公司（企业）承担。</w:t>
      </w:r>
    </w:p>
    <w:p>
      <w:pPr>
        <w:widowControl/>
        <w:snapToGrid w:val="0"/>
        <w:spacing w:line="360" w:lineRule="auto"/>
        <w:ind w:firstLine="424" w:firstLineChars="202"/>
        <w:jc w:val="left"/>
        <w:rPr>
          <w:rFonts w:ascii="宋体" w:hAnsi="宋体" w:cs="宋体"/>
          <w:color w:val="auto"/>
          <w:kern w:val="0"/>
          <w:szCs w:val="20"/>
          <w:highlight w:val="none"/>
        </w:rPr>
      </w:pPr>
      <w:r>
        <w:rPr>
          <w:rFonts w:hint="eastAsia" w:ascii="宋体" w:hAnsi="宋体" w:cs="宋体"/>
          <w:color w:val="auto"/>
          <w:highlight w:val="none"/>
        </w:rPr>
        <w:t>我公司已清楚招标文件的要求及有关文件规定。</w:t>
      </w:r>
      <w:r>
        <w:rPr>
          <w:rFonts w:hint="eastAsia" w:ascii="宋体" w:hAnsi="宋体" w:cs="宋体"/>
          <w:color w:val="auto"/>
          <w:kern w:val="0"/>
          <w:szCs w:val="20"/>
          <w:highlight w:val="none"/>
        </w:rPr>
        <w:t>本次招标采购活动中，如有违法、违规、弄虚作假行为，所造成的损失、不良后果及法律责任，一律由我公司（企业）承担。</w:t>
      </w:r>
    </w:p>
    <w:p>
      <w:pPr>
        <w:widowControl/>
        <w:spacing w:line="360" w:lineRule="auto"/>
        <w:ind w:firstLine="420"/>
        <w:jc w:val="left"/>
        <w:rPr>
          <w:rFonts w:ascii="宋体" w:hAnsi="宋体" w:cs="宋体"/>
          <w:b/>
          <w:color w:val="auto"/>
          <w:kern w:val="0"/>
          <w:szCs w:val="20"/>
          <w:highlight w:val="none"/>
        </w:rPr>
      </w:pPr>
      <w:r>
        <w:rPr>
          <w:rFonts w:hint="eastAsia" w:ascii="宋体" w:hAnsi="宋体" w:cs="宋体"/>
          <w:b/>
          <w:color w:val="auto"/>
          <w:kern w:val="0"/>
          <w:szCs w:val="20"/>
          <w:highlight w:val="none"/>
        </w:rPr>
        <w:t>特此声明！</w:t>
      </w:r>
    </w:p>
    <w:p>
      <w:pPr>
        <w:widowControl/>
        <w:adjustRightInd w:val="0"/>
        <w:snapToGrid w:val="0"/>
        <w:spacing w:line="360" w:lineRule="auto"/>
        <w:ind w:left="425"/>
        <w:jc w:val="left"/>
        <w:rPr>
          <w:rFonts w:ascii="宋体" w:hAnsi="宋体" w:cs="宋体"/>
          <w:color w:val="auto"/>
          <w:spacing w:val="4"/>
          <w:kern w:val="0"/>
          <w:szCs w:val="20"/>
          <w:highlight w:val="none"/>
        </w:rPr>
      </w:pP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法定代表人或授权代表（签名或盖章）：     </w:t>
      </w:r>
    </w:p>
    <w:p>
      <w:pPr>
        <w:widowControl/>
        <w:spacing w:line="360" w:lineRule="auto"/>
        <w:ind w:right="420" w:firstLine="3150" w:firstLineChars="15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供应商公章：                               </w:t>
      </w:r>
    </w:p>
    <w:p>
      <w:pPr>
        <w:widowControl/>
        <w:spacing w:line="360" w:lineRule="auto"/>
        <w:ind w:right="420" w:firstLine="3045" w:firstLineChars="145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r>
        <w:rPr>
          <w:rFonts w:hint="eastAsia" w:ascii="宋体" w:hAnsi="宋体" w:cs="宋体"/>
          <w:b/>
          <w:color w:val="auto"/>
          <w:kern w:val="0"/>
          <w:szCs w:val="20"/>
          <w:highlight w:val="none"/>
        </w:rPr>
        <w:br w:type="page"/>
      </w:r>
      <w:r>
        <w:rPr>
          <w:rFonts w:hint="eastAsia" w:ascii="宋体" w:hAnsi="宋体" w:cs="宋体"/>
          <w:b/>
          <w:color w:val="auto"/>
          <w:kern w:val="0"/>
          <w:szCs w:val="20"/>
          <w:highlight w:val="none"/>
        </w:rPr>
        <w:t>5.</w:t>
      </w:r>
      <w:r>
        <w:rPr>
          <w:rFonts w:hint="eastAsia" w:ascii="宋体" w:hAnsi="宋体" w:cs="宋体"/>
          <w:color w:val="auto"/>
          <w:kern w:val="0"/>
          <w:szCs w:val="20"/>
          <w:highlight w:val="none"/>
        </w:rPr>
        <w:t>有效的企业法人营业执照（或事业法人登记证）、其他组织（个体工商户）的营业执照或者民办非企业单位登记证书复印件；</w:t>
      </w:r>
      <w:r>
        <w:rPr>
          <w:rFonts w:hint="eastAsia" w:ascii="宋体" w:hAnsi="宋体" w:cs="宋体"/>
          <w:color w:val="auto"/>
          <w:kern w:val="0"/>
          <w:szCs w:val="21"/>
          <w:highlight w:val="none"/>
        </w:rPr>
        <w:t>投标供应商如果有名称变更的，应提供由行政主管部门出具的变更证明文件。若以不具有独立承担民事责任能力的分支机构投标，须取得具有法人资格的总公司的授权书，并提供总公司营业执照副本复印件</w:t>
      </w:r>
      <w:r>
        <w:rPr>
          <w:rFonts w:hint="eastAsia" w:ascii="宋体" w:hAnsi="宋体" w:cs="宋体"/>
          <w:color w:val="auto"/>
          <w:kern w:val="0"/>
          <w:szCs w:val="20"/>
          <w:highlight w:val="none"/>
        </w:rPr>
        <w:t>；</w:t>
      </w:r>
    </w:p>
    <w:p>
      <w:pPr>
        <w:widowControl/>
        <w:spacing w:line="360" w:lineRule="auto"/>
        <w:ind w:firstLine="420" w:firstLineChars="200"/>
        <w:jc w:val="left"/>
        <w:rPr>
          <w:rFonts w:ascii="宋体" w:hAnsi="宋体" w:cs="宋体"/>
          <w:color w:val="auto"/>
          <w:kern w:val="0"/>
          <w:szCs w:val="20"/>
          <w:highlight w:val="none"/>
        </w:rPr>
      </w:pPr>
    </w:p>
    <w:p>
      <w:pPr>
        <w:widowControl/>
        <w:spacing w:line="360" w:lineRule="auto"/>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pacing w:line="480" w:lineRule="exac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0"/>
          <w:highlight w:val="none"/>
        </w:rPr>
        <w:t>6</w:t>
      </w:r>
      <w:r>
        <w:rPr>
          <w:rFonts w:hint="eastAsia" w:ascii="宋体" w:hAnsi="宋体" w:cs="宋体"/>
          <w:b/>
          <w:bCs/>
          <w:color w:val="auto"/>
          <w:kern w:val="0"/>
          <w:szCs w:val="21"/>
          <w:highlight w:val="none"/>
        </w:rPr>
        <w:t>.</w:t>
      </w:r>
      <w:r>
        <w:rPr>
          <w:rFonts w:hint="eastAsia" w:ascii="Times New Roman" w:hAnsi="Times New Roman"/>
          <w:b/>
          <w:color w:val="auto"/>
          <w:kern w:val="0"/>
          <w:szCs w:val="20"/>
          <w:highlight w:val="none"/>
        </w:rPr>
        <w:t>供应商的特定条件的证明文件：</w:t>
      </w:r>
      <w:r>
        <w:rPr>
          <w:rFonts w:hint="eastAsia" w:ascii="宋体" w:hAnsi="宋体" w:cs="宋体"/>
          <w:color w:val="auto"/>
          <w:kern w:val="0"/>
          <w:szCs w:val="20"/>
          <w:highlight w:val="none"/>
        </w:rPr>
        <w:t>详见“第一章  公开招标公告 二、申请人的资格要求：3.本项目的特定资格要求”</w:t>
      </w:r>
      <w:r>
        <w:rPr>
          <w:rFonts w:hint="eastAsia" w:ascii="宋体" w:hAnsi="宋体" w:cs="宋体"/>
          <w:color w:val="auto"/>
          <w:kern w:val="0"/>
          <w:szCs w:val="21"/>
          <w:highlight w:val="none"/>
        </w:rPr>
        <w:t>；</w:t>
      </w:r>
    </w:p>
    <w:p>
      <w:pPr>
        <w:widowControl/>
        <w:snapToGrid w:val="0"/>
        <w:spacing w:before="50" w:after="120" w:afterLines="50"/>
        <w:jc w:val="left"/>
        <w:rPr>
          <w:rFonts w:ascii="宋体" w:hAnsi="宋体" w:cs="宋体"/>
          <w:b/>
          <w:color w:val="auto"/>
          <w:kern w:val="0"/>
          <w:sz w:val="24"/>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400" w:lineRule="exact"/>
        <w:jc w:val="left"/>
        <w:rPr>
          <w:rFonts w:ascii="宋体" w:hAnsi="宋体" w:cs="宋体"/>
          <w:b/>
          <w:color w:val="auto"/>
          <w:kern w:val="0"/>
          <w:szCs w:val="20"/>
          <w:highlight w:val="none"/>
        </w:rPr>
      </w:pPr>
    </w:p>
    <w:p>
      <w:pPr>
        <w:widowControl/>
        <w:spacing w:line="500" w:lineRule="exact"/>
        <w:jc w:val="left"/>
        <w:rPr>
          <w:rFonts w:ascii="宋体" w:hAnsi="宋体" w:cs="宋体"/>
          <w:color w:val="auto"/>
          <w:kern w:val="0"/>
          <w:szCs w:val="20"/>
          <w:highlight w:val="none"/>
        </w:rPr>
      </w:pPr>
      <w:r>
        <w:rPr>
          <w:rFonts w:hint="eastAsia" w:ascii="宋体" w:hAnsi="宋体" w:cs="宋体"/>
          <w:b/>
          <w:color w:val="auto"/>
          <w:kern w:val="0"/>
          <w:szCs w:val="20"/>
          <w:highlight w:val="none"/>
        </w:rPr>
        <w:t>7.招标文件要求的其他资格条件证明材料（如有）；</w:t>
      </w:r>
    </w:p>
    <w:p>
      <w:pPr>
        <w:widowControl/>
        <w:spacing w:line="500" w:lineRule="exact"/>
        <w:jc w:val="left"/>
        <w:rPr>
          <w:rFonts w:ascii="宋体" w:hAnsi="宋体" w:cs="宋体"/>
          <w:color w:val="auto"/>
          <w:kern w:val="0"/>
          <w:szCs w:val="20"/>
          <w:highlight w:val="none"/>
        </w:rPr>
      </w:pPr>
    </w:p>
    <w:p>
      <w:pPr>
        <w:widowControl/>
        <w:spacing w:line="500" w:lineRule="exact"/>
        <w:ind w:firstLine="420" w:firstLineChars="200"/>
        <w:jc w:val="left"/>
        <w:rPr>
          <w:rFonts w:ascii="宋体" w:hAnsi="宋体" w:cs="宋体"/>
          <w:color w:val="auto"/>
          <w:kern w:val="0"/>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color w:val="auto"/>
          <w:kern w:val="0"/>
          <w:szCs w:val="21"/>
          <w:highlight w:val="none"/>
        </w:rPr>
        <w:t>8.</w:t>
      </w:r>
      <w:r>
        <w:rPr>
          <w:rFonts w:hint="eastAsia" w:ascii="宋体" w:hAnsi="宋体" w:cs="宋体"/>
          <w:b/>
          <w:bCs/>
          <w:color w:val="auto"/>
          <w:kern w:val="0"/>
          <w:szCs w:val="21"/>
          <w:highlight w:val="none"/>
        </w:rPr>
        <w:t xml:space="preserve"> 商务技术文件目录</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符合性自查表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供应商响应表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技术部分：针对本项目第二章采购需求及第四章评分标准中的条款拟定各种方案，格式自拟；</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投标函</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法定代表人身份证明或法定代表人授权委托书</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技术（服务）条款偏离表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r>
        <w:rPr>
          <w:rFonts w:hint="eastAsia" w:ascii="宋体" w:hAnsi="宋体" w:cs="宋体"/>
          <w:color w:val="auto"/>
          <w:kern w:val="0"/>
          <w:szCs w:val="21"/>
          <w:highlight w:val="none"/>
        </w:rPr>
        <w:tab/>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商务条款偏离表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供应商情况一览表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企业业绩表</w:t>
      </w:r>
      <w:r>
        <w:rPr>
          <w:rFonts w:hint="eastAsia" w:ascii="宋体" w:hAnsi="宋体" w:cs="宋体"/>
          <w:color w:val="auto"/>
          <w:kern w:val="0"/>
          <w:szCs w:val="20"/>
          <w:highlight w:val="none"/>
        </w:rPr>
        <w:t>（格式见附件）</w:t>
      </w:r>
      <w:r>
        <w:rPr>
          <w:rFonts w:hint="eastAsia" w:ascii="宋体" w:hAnsi="宋体" w:cs="宋体"/>
          <w:color w:val="auto"/>
          <w:kern w:val="0"/>
          <w:szCs w:val="21"/>
          <w:highlight w:val="none"/>
        </w:rPr>
        <w:t>；</w:t>
      </w:r>
    </w:p>
    <w:p>
      <w:pPr>
        <w:widowControl/>
        <w:numPr>
          <w:ilvl w:val="0"/>
          <w:numId w:val="19"/>
        </w:numPr>
        <w:snapToGrid w:val="0"/>
        <w:spacing w:line="360" w:lineRule="auto"/>
        <w:ind w:left="210" w:leftChars="100"/>
        <w:jc w:val="left"/>
        <w:rPr>
          <w:rFonts w:ascii="宋体" w:hAnsi="宋体" w:cs="宋体"/>
          <w:color w:val="auto"/>
          <w:kern w:val="0"/>
          <w:szCs w:val="21"/>
          <w:highlight w:val="none"/>
        </w:rPr>
      </w:pPr>
      <w:r>
        <w:rPr>
          <w:rFonts w:hint="eastAsia" w:ascii="宋体" w:hAnsi="宋体" w:cs="宋体"/>
          <w:color w:val="auto"/>
          <w:kern w:val="0"/>
          <w:szCs w:val="21"/>
          <w:highlight w:val="none"/>
        </w:rPr>
        <w:t>第四章评标办法及评分标准中需提供的其他相关资质证书及合同复印件加盖公章；</w:t>
      </w:r>
    </w:p>
    <w:p>
      <w:pPr>
        <w:widowControl/>
        <w:numPr>
          <w:ilvl w:val="0"/>
          <w:numId w:val="19"/>
        </w:numPr>
        <w:snapToGrid w:val="0"/>
        <w:spacing w:line="360" w:lineRule="auto"/>
        <w:ind w:left="210" w:leftChars="100"/>
        <w:jc w:val="left"/>
        <w:rPr>
          <w:rFonts w:ascii="宋体" w:hAnsi="宋体" w:cs="宋体"/>
          <w:color w:val="auto"/>
          <w:kern w:val="0"/>
          <w:szCs w:val="20"/>
          <w:highlight w:val="none"/>
        </w:rPr>
      </w:pPr>
      <w:r>
        <w:rPr>
          <w:rFonts w:hint="eastAsia" w:ascii="宋体" w:hAnsi="宋体" w:cs="宋体"/>
          <w:color w:val="auto"/>
          <w:kern w:val="0"/>
          <w:szCs w:val="21"/>
          <w:highlight w:val="none"/>
        </w:rPr>
        <w:t>供应商认为有需要提供的其它证明资料。</w:t>
      </w:r>
    </w:p>
    <w:p>
      <w:pPr>
        <w:widowControl/>
        <w:ind w:firstLine="105" w:firstLineChars="50"/>
        <w:jc w:val="left"/>
        <w:rPr>
          <w:rFonts w:ascii="宋体" w:hAnsi="宋体" w:cs="宋体"/>
          <w:b/>
          <w:color w:val="auto"/>
          <w:kern w:val="0"/>
          <w:szCs w:val="20"/>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9.符合性自查表</w:t>
      </w:r>
    </w:p>
    <w:p>
      <w:pPr>
        <w:widowControl/>
        <w:adjustRightInd w:val="0"/>
        <w:snapToGrid w:val="0"/>
        <w:jc w:val="center"/>
        <w:rPr>
          <w:rFonts w:ascii="宋体" w:hAnsi="宋体" w:cs="宋体"/>
          <w:b/>
          <w:color w:val="auto"/>
          <w:kern w:val="0"/>
          <w:sz w:val="24"/>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符合性自查表</w:t>
      </w:r>
    </w:p>
    <w:tbl>
      <w:tblPr>
        <w:tblStyle w:val="28"/>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0" w:type="dxa"/>
          <w:left w:w="150" w:type="dxa"/>
          <w:bottom w:w="150" w:type="dxa"/>
          <w:right w:w="150" w:type="dxa"/>
        </w:tblCellMar>
      </w:tblPr>
      <w:tblGrid>
        <w:gridCol w:w="1149"/>
        <w:gridCol w:w="3499"/>
        <w:gridCol w:w="124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Align w:val="center"/>
          </w:tcPr>
          <w:p>
            <w:pPr>
              <w:adjustRightInd/>
              <w:spacing w:line="240" w:lineRule="exact"/>
              <w:ind w:left="0" w:firstLine="0"/>
              <w:jc w:val="center"/>
              <w:textAlignment w:val="auto"/>
              <w:rPr>
                <w:rFonts w:ascii="宋体" w:hAnsi="Times New Roman" w:cs="Times New Roman"/>
                <w:color w:val="auto"/>
                <w:szCs w:val="21"/>
                <w:highlight w:val="none"/>
              </w:rPr>
            </w:pPr>
            <w:r>
              <w:rPr>
                <w:rFonts w:hint="eastAsia" w:ascii="宋体" w:hAnsi="宋体" w:cs="宋体"/>
                <w:color w:val="auto"/>
                <w:szCs w:val="21"/>
                <w:highlight w:val="none"/>
              </w:rPr>
              <w:t>评审内容</w:t>
            </w:r>
          </w:p>
        </w:tc>
        <w:tc>
          <w:tcPr>
            <w:tcW w:w="3499" w:type="dxa"/>
            <w:vAlign w:val="center"/>
          </w:tcPr>
          <w:p>
            <w:pPr>
              <w:adjustRightInd/>
              <w:spacing w:line="240" w:lineRule="exact"/>
              <w:ind w:left="0" w:firstLine="0"/>
              <w:jc w:val="center"/>
              <w:textAlignment w:val="auto"/>
              <w:rPr>
                <w:rFonts w:ascii="宋体" w:hAnsi="Times New Roman" w:cs="Times New Roman"/>
                <w:color w:val="auto"/>
                <w:szCs w:val="21"/>
                <w:highlight w:val="none"/>
              </w:rPr>
            </w:pP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tc>
        <w:tc>
          <w:tcPr>
            <w:tcW w:w="1240" w:type="dxa"/>
            <w:vAlign w:val="center"/>
          </w:tcPr>
          <w:p>
            <w:pPr>
              <w:adjustRightInd/>
              <w:spacing w:line="240" w:lineRule="exact"/>
              <w:ind w:left="0" w:firstLine="0"/>
              <w:jc w:val="center"/>
              <w:textAlignment w:val="auto"/>
              <w:rPr>
                <w:rFonts w:ascii="宋体" w:hAnsi="Times New Roman" w:cs="Times New Roman"/>
                <w:color w:val="auto"/>
                <w:szCs w:val="21"/>
                <w:highlight w:val="none"/>
              </w:rPr>
            </w:pPr>
            <w:r>
              <w:rPr>
                <w:rFonts w:hint="eastAsia" w:ascii="宋体" w:hAnsi="宋体" w:cs="宋体"/>
                <w:color w:val="auto"/>
                <w:szCs w:val="21"/>
                <w:highlight w:val="none"/>
              </w:rPr>
              <w:t>自查结论</w:t>
            </w:r>
          </w:p>
        </w:tc>
        <w:tc>
          <w:tcPr>
            <w:tcW w:w="2550" w:type="dxa"/>
            <w:vAlign w:val="center"/>
          </w:tcPr>
          <w:p>
            <w:pPr>
              <w:adjustRightInd/>
              <w:spacing w:line="240" w:lineRule="exact"/>
              <w:ind w:left="0" w:firstLine="0"/>
              <w:jc w:val="center"/>
              <w:textAlignment w:val="auto"/>
              <w:rPr>
                <w:rFonts w:ascii="宋体" w:hAnsi="Times New Roman" w:cs="Times New Roman"/>
                <w:color w:val="auto"/>
                <w:szCs w:val="21"/>
                <w:highlight w:val="none"/>
              </w:rPr>
            </w:pPr>
            <w:r>
              <w:rPr>
                <w:rFonts w:hint="eastAsia" w:ascii="宋体" w:hAnsi="宋体" w:cs="宋体"/>
                <w:color w:val="auto"/>
                <w:szCs w:val="21"/>
                <w:highlight w:val="none"/>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restart"/>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符合性审</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查（商务技术文件）</w:t>
            </w: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（一）投标函已提交并符合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（二）按照</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规定要求签署或盖章；</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90"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（三）投标文件有法定代表人签署本人姓名（或印盖本人姓名章），或签署人提供有效的法定代表人授权委托书且授权委托书填写项目齐全的；</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（四）投标文件项目齐全；</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kern w:val="0"/>
                <w:szCs w:val="21"/>
                <w:highlight w:val="none"/>
              </w:rPr>
            </w:pPr>
            <w:r>
              <w:rPr>
                <w:rFonts w:hint="eastAsia" w:ascii="宋体" w:hAnsi="宋体" w:cs="宋体"/>
                <w:color w:val="auto"/>
                <w:szCs w:val="21"/>
                <w:highlight w:val="none"/>
              </w:rPr>
              <w:t>（五）投标文件标明的响应或偏离与事实相符且无虚假投标的；</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（六）投标文件的实质性内容使用中文表述且意思表述明确，前后无矛盾且使用计量单位符合</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要求的；</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（七）带“★”的条款满足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要求、已实质性响应</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要求且投标文件无采购人不能接受的附加条件的；</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（八）投标技术方案明确，不存在一个或一个以上备选（替代）投标方案的；</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（九）不存在法律、法规和</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规定的其他无效情形；</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0" w:type="dxa"/>
            <w:left w:w="150" w:type="dxa"/>
            <w:bottom w:w="150" w:type="dxa"/>
            <w:right w:w="150" w:type="dxa"/>
          </w:tblCellMar>
        </w:tblPrEx>
        <w:trPr>
          <w:trHeight w:val="23" w:hRule="atLeast"/>
          <w:jc w:val="center"/>
        </w:trPr>
        <w:tc>
          <w:tcPr>
            <w:tcW w:w="1149" w:type="dxa"/>
            <w:vMerge w:val="continue"/>
            <w:vAlign w:val="center"/>
          </w:tcPr>
          <w:p>
            <w:pPr>
              <w:adjustRightInd/>
              <w:spacing w:line="240" w:lineRule="exact"/>
              <w:ind w:left="0" w:firstLine="0"/>
              <w:textAlignment w:val="auto"/>
              <w:rPr>
                <w:rFonts w:ascii="宋体" w:hAnsi="Times New Roman" w:cs="Times New Roman"/>
                <w:color w:val="auto"/>
                <w:szCs w:val="21"/>
                <w:highlight w:val="none"/>
              </w:rPr>
            </w:pPr>
          </w:p>
        </w:tc>
        <w:tc>
          <w:tcPr>
            <w:tcW w:w="3499" w:type="dxa"/>
            <w:vAlign w:val="center"/>
          </w:tcPr>
          <w:p>
            <w:pPr>
              <w:tabs>
                <w:tab w:val="left" w:pos="612"/>
              </w:tabs>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（十）不存在投标文件的有效期不满足</w:t>
            </w:r>
            <w:r>
              <w:rPr>
                <w:rFonts w:hint="eastAsia" w:ascii="宋体" w:hAnsi="宋体" w:cs="宋体"/>
                <w:color w:val="auto"/>
                <w:szCs w:val="21"/>
                <w:highlight w:val="none"/>
                <w:lang w:eastAsia="zh-CN"/>
              </w:rPr>
              <w:t>招标文件</w:t>
            </w:r>
            <w:r>
              <w:rPr>
                <w:rFonts w:hint="eastAsia" w:ascii="宋体" w:hAnsi="宋体" w:cs="宋体"/>
                <w:color w:val="auto"/>
                <w:szCs w:val="21"/>
                <w:highlight w:val="none"/>
              </w:rPr>
              <w:t>要求情形；</w:t>
            </w:r>
          </w:p>
        </w:tc>
        <w:tc>
          <w:tcPr>
            <w:tcW w:w="124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□通过</w:t>
            </w:r>
            <w:r>
              <w:rPr>
                <w:rFonts w:ascii="宋体" w:hAnsi="宋体" w:cs="宋体"/>
                <w:color w:val="auto"/>
                <w:szCs w:val="21"/>
                <w:highlight w:val="none"/>
              </w:rPr>
              <w:t xml:space="preserve"> </w:t>
            </w:r>
          </w:p>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□不通过</w:t>
            </w:r>
          </w:p>
        </w:tc>
        <w:tc>
          <w:tcPr>
            <w:tcW w:w="2550" w:type="dxa"/>
            <w:vAlign w:val="center"/>
          </w:tcPr>
          <w:p>
            <w:pPr>
              <w:adjustRightInd/>
              <w:spacing w:line="240" w:lineRule="exact"/>
              <w:ind w:left="0" w:firstLine="0"/>
              <w:textAlignment w:val="auto"/>
              <w:rPr>
                <w:rFonts w:ascii="宋体" w:hAnsi="Times New Roman" w:cs="Times New Roman"/>
                <w:color w:val="auto"/>
                <w:szCs w:val="21"/>
                <w:highlight w:val="none"/>
              </w:rPr>
            </w:pPr>
            <w:r>
              <w:rPr>
                <w:rFonts w:hint="eastAsia" w:ascii="宋体" w:hAnsi="宋体" w:cs="宋体"/>
                <w:color w:val="auto"/>
                <w:szCs w:val="21"/>
                <w:highlight w:val="none"/>
              </w:rPr>
              <w:t>第（</w:t>
            </w:r>
            <w:r>
              <w:rPr>
                <w:rFonts w:ascii="宋体" w:hAnsi="宋体" w:cs="宋体"/>
                <w:color w:val="auto"/>
                <w:szCs w:val="21"/>
                <w:highlight w:val="none"/>
              </w:rPr>
              <w:t xml:space="preserve"> </w:t>
            </w:r>
            <w:r>
              <w:rPr>
                <w:rFonts w:hint="eastAsia" w:ascii="宋体" w:hAnsi="宋体" w:cs="宋体"/>
                <w:color w:val="auto"/>
                <w:szCs w:val="21"/>
                <w:highlight w:val="none"/>
              </w:rPr>
              <w:t>）页</w:t>
            </w:r>
          </w:p>
        </w:tc>
      </w:tr>
    </w:tbl>
    <w:p>
      <w:pPr>
        <w:widowControl/>
        <w:adjustRightInd w:val="0"/>
        <w:snapToGrid w:val="0"/>
        <w:spacing w:line="440" w:lineRule="exact"/>
        <w:jc w:val="left"/>
        <w:rPr>
          <w:rFonts w:ascii="宋体" w:hAnsi="宋体" w:cs="宋体"/>
          <w:b/>
          <w:color w:val="auto"/>
          <w:kern w:val="0"/>
          <w:szCs w:val="21"/>
          <w:highlight w:val="none"/>
        </w:rPr>
      </w:pPr>
      <w:bookmarkStart w:id="91" w:name="_GoBack"/>
      <w:bookmarkEnd w:id="91"/>
      <w:r>
        <w:rPr>
          <w:rFonts w:hint="eastAsia" w:ascii="宋体" w:hAnsi="宋体" w:cs="宋体"/>
          <w:b/>
          <w:color w:val="auto"/>
          <w:kern w:val="0"/>
          <w:szCs w:val="21"/>
          <w:highlight w:val="none"/>
        </w:rPr>
        <w:t xml:space="preserve">备注：供应商自查表将作为供应商有效性审查的重要内容之一，供应商必须严格按照其内容及序列要求在投标文件中对应如实提供，对符合性证明文件的任何缺漏和不符合项将会直接导致投标无效！ </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Cs w:val="20"/>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10.供应商响应表：</w:t>
      </w: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供应商响应表</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招标项目编号                      标项号                 </w:t>
      </w:r>
    </w:p>
    <w:tbl>
      <w:tblPr>
        <w:tblStyle w:val="28"/>
        <w:tblW w:w="0" w:type="auto"/>
        <w:tblInd w:w="-20" w:type="dxa"/>
        <w:tblLayout w:type="fixed"/>
        <w:tblCellMar>
          <w:top w:w="0" w:type="dxa"/>
          <w:left w:w="108" w:type="dxa"/>
          <w:bottom w:w="0" w:type="dxa"/>
          <w:right w:w="108" w:type="dxa"/>
        </w:tblCellMar>
      </w:tblPr>
      <w:tblGrid>
        <w:gridCol w:w="574"/>
        <w:gridCol w:w="4942"/>
        <w:gridCol w:w="1460"/>
        <w:gridCol w:w="1458"/>
      </w:tblGrid>
      <w:tr>
        <w:tblPrEx>
          <w:tblCellMar>
            <w:top w:w="0" w:type="dxa"/>
            <w:left w:w="108" w:type="dxa"/>
            <w:bottom w:w="0" w:type="dxa"/>
            <w:right w:w="108" w:type="dxa"/>
          </w:tblCellMar>
        </w:tblPrEx>
        <w:trPr>
          <w:trHeight w:val="596"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序号</w:t>
            </w: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评审内容</w:t>
            </w: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证明文件</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自评分</w:t>
            </w:r>
          </w:p>
        </w:tc>
      </w:tr>
      <w:tr>
        <w:tblPrEx>
          <w:tblCellMar>
            <w:top w:w="0" w:type="dxa"/>
            <w:left w:w="108" w:type="dxa"/>
            <w:bottom w:w="0" w:type="dxa"/>
            <w:right w:w="108" w:type="dxa"/>
          </w:tblCellMar>
        </w:tblPrEx>
        <w:trPr>
          <w:trHeight w:val="59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3"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20"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531" w:hRule="atLeast"/>
        </w:trPr>
        <w:tc>
          <w:tcPr>
            <w:tcW w:w="57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nil"/>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7"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15"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608"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r>
        <w:tblPrEx>
          <w:tblCellMar>
            <w:top w:w="0" w:type="dxa"/>
            <w:left w:w="108" w:type="dxa"/>
            <w:bottom w:w="0" w:type="dxa"/>
            <w:right w:w="108" w:type="dxa"/>
          </w:tblCellMar>
        </w:tblPrEx>
        <w:trPr>
          <w:trHeight w:val="750" w:hRule="atLeast"/>
        </w:trPr>
        <w:tc>
          <w:tcPr>
            <w:tcW w:w="574"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494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Cs w:val="20"/>
                <w:highlight w:val="none"/>
              </w:rPr>
            </w:pPr>
          </w:p>
        </w:tc>
        <w:tc>
          <w:tcPr>
            <w:tcW w:w="146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r>
              <w:rPr>
                <w:rFonts w:hint="eastAsia" w:ascii="宋体" w:hAnsi="宋体" w:cs="宋体"/>
                <w:color w:val="auto"/>
                <w:kern w:val="0"/>
                <w:szCs w:val="20"/>
                <w:highlight w:val="none"/>
              </w:rPr>
              <w:t>见（  ）页</w:t>
            </w:r>
          </w:p>
        </w:tc>
        <w:tc>
          <w:tcPr>
            <w:tcW w:w="145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auto"/>
                <w:kern w:val="0"/>
                <w:szCs w:val="20"/>
                <w:highlight w:val="none"/>
              </w:rPr>
            </w:pPr>
          </w:p>
        </w:tc>
      </w:tr>
    </w:tbl>
    <w:p>
      <w:pPr>
        <w:widowControl/>
        <w:jc w:val="left"/>
        <w:rPr>
          <w:rFonts w:ascii="宋体" w:hAnsi="宋体" w:cs="宋体"/>
          <w:b/>
          <w:color w:val="auto"/>
          <w:kern w:val="0"/>
          <w:szCs w:val="20"/>
          <w:highlight w:val="none"/>
        </w:rPr>
      </w:pPr>
      <w:r>
        <w:rPr>
          <w:rFonts w:hint="eastAsia" w:ascii="宋体" w:hAnsi="宋体" w:cs="宋体"/>
          <w:b/>
          <w:color w:val="auto"/>
          <w:kern w:val="0"/>
          <w:szCs w:val="20"/>
          <w:highlight w:val="none"/>
        </w:rPr>
        <w:t>注：1）根据评分标准中技术内容逐条填写，并针对客观分部分进行自评。</w:t>
      </w:r>
    </w:p>
    <w:p>
      <w:pPr>
        <w:widowControl/>
        <w:numPr>
          <w:ilvl w:val="0"/>
          <w:numId w:val="20"/>
        </w:numPr>
        <w:jc w:val="left"/>
        <w:rPr>
          <w:rFonts w:ascii="宋体" w:hAnsi="宋体" w:cs="宋体"/>
          <w:b/>
          <w:color w:val="auto"/>
          <w:kern w:val="0"/>
          <w:szCs w:val="20"/>
          <w:highlight w:val="none"/>
        </w:rPr>
      </w:pPr>
      <w:r>
        <w:rPr>
          <w:rFonts w:hint="eastAsia" w:ascii="宋体" w:hAnsi="宋体" w:cs="宋体"/>
          <w:b/>
          <w:color w:val="auto"/>
          <w:kern w:val="0"/>
          <w:szCs w:val="20"/>
          <w:highlight w:val="none"/>
        </w:rPr>
        <w:t>请将此表编制在目录页前。</w:t>
      </w:r>
    </w:p>
    <w:p>
      <w:pPr>
        <w:widowControl/>
        <w:jc w:val="left"/>
        <w:rPr>
          <w:rFonts w:ascii="宋体" w:hAnsi="宋体" w:cs="宋体"/>
          <w:b/>
          <w:color w:val="auto"/>
          <w:kern w:val="0"/>
          <w:szCs w:val="20"/>
          <w:highlight w:val="none"/>
        </w:rPr>
      </w:pP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供应商名称（盖章）：</w:t>
      </w:r>
    </w:p>
    <w:p>
      <w:pPr>
        <w:widowControl/>
        <w:jc w:val="left"/>
        <w:rPr>
          <w:rFonts w:ascii="宋体" w:hAnsi="宋体" w:cs="宋体"/>
          <w:color w:val="auto"/>
          <w:kern w:val="0"/>
          <w:szCs w:val="20"/>
          <w:highlight w:val="none"/>
        </w:rPr>
      </w:pPr>
    </w:p>
    <w:p>
      <w:pPr>
        <w:widowControl/>
        <w:ind w:firstLine="6090" w:firstLineChars="2900"/>
        <w:jc w:val="left"/>
        <w:rPr>
          <w:rFonts w:ascii="宋体" w:hAnsi="宋体" w:cs="宋体"/>
          <w:color w:val="auto"/>
          <w:kern w:val="0"/>
          <w:szCs w:val="20"/>
          <w:highlight w:val="none"/>
        </w:rPr>
      </w:pPr>
      <w:r>
        <w:rPr>
          <w:rFonts w:hint="eastAsia" w:ascii="宋体" w:hAnsi="宋体" w:cs="宋体"/>
          <w:color w:val="auto"/>
          <w:kern w:val="0"/>
          <w:szCs w:val="20"/>
          <w:highlight w:val="none"/>
        </w:rPr>
        <w:t>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50" w:after="50"/>
        <w:jc w:val="left"/>
        <w:rPr>
          <w:rFonts w:ascii="宋体" w:hAnsi="宋体" w:cs="宋体"/>
          <w:b/>
          <w:bCs/>
          <w:color w:val="auto"/>
          <w:kern w:val="0"/>
          <w:szCs w:val="21"/>
          <w:highlight w:val="none"/>
        </w:rPr>
      </w:pPr>
      <w:r>
        <w:rPr>
          <w:rFonts w:hint="eastAsia" w:ascii="宋体" w:hAnsi="宋体" w:cs="宋体"/>
          <w:color w:val="auto"/>
          <w:kern w:val="0"/>
          <w:szCs w:val="20"/>
          <w:highlight w:val="none"/>
        </w:rPr>
        <w:br w:type="page"/>
      </w:r>
      <w:r>
        <w:rPr>
          <w:rFonts w:hint="eastAsia" w:ascii="宋体" w:hAnsi="宋体" w:cs="宋体"/>
          <w:b/>
          <w:bCs/>
          <w:color w:val="auto"/>
          <w:kern w:val="0"/>
          <w:szCs w:val="21"/>
          <w:highlight w:val="none"/>
        </w:rPr>
        <w:t>11.技术部分：针对本项目第二章采购需求及第四章评分标准中的条款拟定各种方案，格式自拟；</w:t>
      </w: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br w:type="page"/>
      </w:r>
      <w:r>
        <w:rPr>
          <w:rFonts w:hint="eastAsia" w:ascii="宋体" w:hAnsi="宋体" w:cs="宋体"/>
          <w:b/>
          <w:bCs/>
          <w:color w:val="auto"/>
          <w:kern w:val="0"/>
          <w:szCs w:val="21"/>
          <w:highlight w:val="none"/>
        </w:rPr>
        <w:t>12. 投标函</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投 标 函</w:t>
      </w:r>
    </w:p>
    <w:p>
      <w:pPr>
        <w:widowControl/>
        <w:snapToGrid w:val="0"/>
        <w:spacing w:before="120" w:beforeLines="50" w:after="50"/>
        <w:jc w:val="center"/>
        <w:rPr>
          <w:rFonts w:ascii="宋体" w:hAnsi="宋体" w:cs="宋体"/>
          <w:b/>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致：（招标采购单位名称）：</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rPr>
        <w:t>根据贵方为</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项目的公开招标公告/投标邀请书（项目编号：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，标项号：</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），签字代表</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（全名）经正式授权并代表供应商</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（供应商名称）提交投标文件。</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据此函，签字代表宣布同意如下：</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1.供应商已详细审查全部“招标文件”，包括修改文件（如有的话）以及全部参考资料和有关附件，已经了解我方对于招标文件、采购过程、采购结果有依法进行询问、质疑、投诉的权利及相关渠道和要求。</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2.供应商在投标之前已经与贵方进行了充分的沟通，完全理解并接受招标文件的各项规定和要求，对招标文件的合理性、合法性不再有异议。</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3.本投标有效期自开标日起_____天。</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4.如中标，本投标文件至本项目合同履行完毕止均保持有效，本供应商将按“招标文件”及政府采购法律、法规的规定履行合同责任和义务。</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5.供应商同意按照贵方要求提供与投标有关的一切数据或资料。</w:t>
      </w:r>
    </w:p>
    <w:p>
      <w:pPr>
        <w:widowControl/>
        <w:snapToGrid w:val="0"/>
        <w:spacing w:line="360" w:lineRule="auto"/>
        <w:ind w:firstLine="420" w:firstLineChars="200"/>
        <w:jc w:val="left"/>
        <w:rPr>
          <w:rFonts w:ascii="宋体" w:hAnsi="宋体" w:cs="宋体"/>
          <w:color w:val="auto"/>
          <w:kern w:val="0"/>
          <w:szCs w:val="20"/>
          <w:highlight w:val="none"/>
          <w:lang w:val="zh-CN"/>
        </w:rPr>
      </w:pPr>
      <w:r>
        <w:rPr>
          <w:rFonts w:hint="eastAsia" w:ascii="宋体" w:hAnsi="宋体" w:cs="宋体"/>
          <w:color w:val="auto"/>
          <w:kern w:val="0"/>
          <w:szCs w:val="21"/>
          <w:highlight w:val="none"/>
        </w:rPr>
        <w:t>6.</w:t>
      </w:r>
      <w:r>
        <w:rPr>
          <w:rFonts w:hint="eastAsia" w:ascii="宋体" w:hAnsi="宋体" w:cs="宋体"/>
          <w:color w:val="auto"/>
          <w:kern w:val="0"/>
          <w:szCs w:val="20"/>
          <w:highlight w:val="none"/>
          <w:lang w:val="zh-CN"/>
        </w:rPr>
        <w:t>我们郑重声明：本投标文件提供的情况和文件完全是真实的。</w:t>
      </w:r>
    </w:p>
    <w:p>
      <w:pPr>
        <w:widowControl/>
        <w:snapToGrid w:val="0"/>
        <w:spacing w:line="360" w:lineRule="auto"/>
        <w:ind w:firstLine="420" w:firstLineChars="200"/>
        <w:jc w:val="left"/>
        <w:rPr>
          <w:rFonts w:ascii="宋体" w:hAnsi="宋体" w:cs="宋体"/>
          <w:color w:val="auto"/>
          <w:kern w:val="0"/>
          <w:szCs w:val="21"/>
          <w:highlight w:val="none"/>
          <w:lang w:val="zh-CN"/>
        </w:rPr>
      </w:pPr>
      <w:r>
        <w:rPr>
          <w:rFonts w:hint="eastAsia" w:ascii="宋体" w:hAnsi="宋体" w:cs="宋体"/>
          <w:color w:val="auto"/>
          <w:kern w:val="0"/>
          <w:szCs w:val="21"/>
          <w:highlight w:val="none"/>
        </w:rPr>
        <w:t>7.</w:t>
      </w:r>
      <w:r>
        <w:rPr>
          <w:rFonts w:hint="eastAsia" w:ascii="宋体" w:hAnsi="宋体" w:cs="宋体"/>
          <w:color w:val="auto"/>
          <w:kern w:val="0"/>
          <w:szCs w:val="21"/>
          <w:highlight w:val="none"/>
          <w:lang w:val="zh-CN"/>
        </w:rPr>
        <w:t>按照</w:t>
      </w:r>
      <w:r>
        <w:rPr>
          <w:rFonts w:hint="eastAsia" w:ascii="宋体" w:hAnsi="宋体" w:cs="宋体"/>
          <w:color w:val="auto"/>
          <w:kern w:val="0"/>
          <w:szCs w:val="21"/>
          <w:highlight w:val="none"/>
        </w:rPr>
        <w:t>招标文件</w:t>
      </w:r>
      <w:r>
        <w:rPr>
          <w:rFonts w:hint="eastAsia" w:ascii="宋体" w:hAnsi="宋体" w:cs="宋体"/>
          <w:color w:val="auto"/>
          <w:kern w:val="0"/>
          <w:szCs w:val="21"/>
          <w:highlight w:val="none"/>
          <w:lang w:val="zh-CN"/>
        </w:rPr>
        <w:t>的规定，在中标后向</w:t>
      </w:r>
      <w:r>
        <w:rPr>
          <w:rFonts w:hint="eastAsia" w:ascii="宋体" w:hAnsi="宋体" w:cs="宋体"/>
          <w:color w:val="auto"/>
          <w:kern w:val="0"/>
          <w:szCs w:val="21"/>
          <w:highlight w:val="none"/>
        </w:rPr>
        <w:t>采购代理机构</w:t>
      </w:r>
      <w:r>
        <w:rPr>
          <w:rFonts w:hint="eastAsia" w:ascii="宋体" w:hAnsi="宋体" w:cs="宋体"/>
          <w:color w:val="auto"/>
          <w:kern w:val="0"/>
          <w:szCs w:val="21"/>
          <w:highlight w:val="none"/>
          <w:lang w:val="zh-CN"/>
        </w:rPr>
        <w:t>一次性支付招标代理费。</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8.与本投标有关的一切正式往来信函请寄：</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地址：邮编：__________   电话：______________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传真：______________供应商代表姓名 ___________  职务：_____________</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供应商名称(公章):___________________</w:t>
      </w: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开户银行：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银行</w:t>
      </w: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号：</w:t>
      </w:r>
      <w:r>
        <w:rPr>
          <w:rFonts w:hint="eastAsia" w:ascii="宋体" w:hAnsi="宋体" w:cs="宋体"/>
          <w:color w:val="auto"/>
          <w:kern w:val="0"/>
          <w:szCs w:val="21"/>
          <w:highlight w:val="none"/>
          <w:u w:val="single"/>
        </w:rPr>
        <w:t xml:space="preserve">         </w:t>
      </w:r>
    </w:p>
    <w:p>
      <w:pPr>
        <w:widowControl/>
        <w:snapToGrid w:val="0"/>
        <w:spacing w:before="50" w:after="120" w:afterLines="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法定代表人或授权代表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:___________          日期</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_____年___月___日</w:t>
      </w:r>
    </w:p>
    <w:p>
      <w:pPr>
        <w:widowControl/>
        <w:jc w:val="left"/>
        <w:rPr>
          <w:rFonts w:ascii="宋体" w:hAnsi="宋体" w:cs="宋体"/>
          <w:b/>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13.法</w:t>
      </w:r>
      <w:r>
        <w:rPr>
          <w:rFonts w:hint="eastAsia" w:ascii="宋体" w:hAnsi="宋体" w:cs="宋体"/>
          <w:b/>
          <w:color w:val="auto"/>
          <w:kern w:val="0"/>
          <w:szCs w:val="20"/>
          <w:highlight w:val="none"/>
        </w:rPr>
        <w:t>定代表人身份证明及授权委托书格式：</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法定代表人身份证明</w:t>
      </w:r>
    </w:p>
    <w:p>
      <w:pPr>
        <w:widowControl/>
        <w:spacing w:line="480" w:lineRule="auto"/>
        <w:jc w:val="center"/>
        <w:rPr>
          <w:rFonts w:ascii="宋体" w:hAnsi="宋体" w:cs="宋体"/>
          <w:b/>
          <w:color w:val="auto"/>
          <w:kern w:val="0"/>
          <w:sz w:val="24"/>
          <w:szCs w:val="20"/>
          <w:highlight w:val="none"/>
        </w:rPr>
      </w:pPr>
      <w:r>
        <w:rPr>
          <w:rFonts w:hint="eastAsia" w:ascii="宋体" w:hAnsi="宋体" w:cs="宋体"/>
          <w:bCs/>
          <w:color w:val="auto"/>
          <w:kern w:val="0"/>
          <w:sz w:val="24"/>
          <w:szCs w:val="20"/>
          <w:highlight w:val="none"/>
        </w:rPr>
        <w:t>（法定代表人不来投标的，此表不用）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单位性质：</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地址：</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成立时间：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年</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月</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日</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经营期限：</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姓名：性别：年龄：</w:t>
      </w:r>
      <w:r>
        <w:rPr>
          <w:rFonts w:hint="eastAsia" w:ascii="宋体" w:hAnsi="宋体" w:cs="宋体"/>
          <w:color w:val="auto"/>
          <w:kern w:val="0"/>
          <w:szCs w:val="21"/>
          <w:highlight w:val="none"/>
          <w:u w:val="single"/>
        </w:rPr>
        <w:t xml:space="preserve">    周岁  </w:t>
      </w:r>
      <w:r>
        <w:rPr>
          <w:rFonts w:hint="eastAsia" w:ascii="宋体" w:hAnsi="宋体" w:cs="宋体"/>
          <w:color w:val="auto"/>
          <w:kern w:val="0"/>
          <w:szCs w:val="21"/>
          <w:highlight w:val="none"/>
        </w:rPr>
        <w:t>职务：</w:t>
      </w:r>
      <w:r>
        <w:rPr>
          <w:rFonts w:hint="eastAsia" w:ascii="宋体" w:hAnsi="宋体" w:cs="宋体"/>
          <w:color w:val="auto"/>
          <w:kern w:val="0"/>
          <w:szCs w:val="21"/>
          <w:highlight w:val="none"/>
          <w:u w:val="single"/>
        </w:rPr>
        <w:t xml:space="preserve">   </w:t>
      </w:r>
    </w:p>
    <w:p>
      <w:pPr>
        <w:widowControl/>
        <w:spacing w:line="48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身份证号码：</w:t>
      </w:r>
    </w:p>
    <w:p>
      <w:pPr>
        <w:widowControl/>
        <w:spacing w:line="48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（供应商名称）的法定代表人。</w:t>
      </w:r>
    </w:p>
    <w:p>
      <w:pPr>
        <w:widowControl/>
        <w:spacing w:line="48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特此证明。</w:t>
      </w:r>
    </w:p>
    <w:p>
      <w:pPr>
        <w:widowControl/>
        <w:spacing w:line="360" w:lineRule="auto"/>
        <w:ind w:firstLine="420" w:firstLineChars="200"/>
        <w:jc w:val="left"/>
        <w:rPr>
          <w:rFonts w:ascii="宋体" w:hAnsi="宋体" w:cs="宋体"/>
          <w:color w:val="auto"/>
          <w:kern w:val="0"/>
          <w:szCs w:val="21"/>
          <w:highlight w:val="none"/>
        </w:rPr>
      </w:pPr>
    </w:p>
    <w:p>
      <w:pPr>
        <w:widowControl/>
        <w:spacing w:line="360" w:lineRule="auto"/>
        <w:ind w:firstLine="420" w:firstLineChars="200"/>
        <w:jc w:val="left"/>
        <w:rPr>
          <w:rFonts w:ascii="宋体" w:hAnsi="宋体" w:cs="宋体"/>
          <w:color w:val="auto"/>
          <w:kern w:val="0"/>
          <w:szCs w:val="21"/>
          <w:highlight w:val="none"/>
        </w:rPr>
      </w:pPr>
    </w:p>
    <w:p>
      <w:pPr>
        <w:widowControl/>
        <w:wordWrap w:val="0"/>
        <w:spacing w:line="360" w:lineRule="auto"/>
        <w:jc w:val="right"/>
        <w:rPr>
          <w:rFonts w:ascii="宋体" w:hAnsi="宋体" w:cs="宋体"/>
          <w:color w:val="auto"/>
          <w:kern w:val="0"/>
          <w:szCs w:val="21"/>
          <w:highlight w:val="none"/>
        </w:rPr>
      </w:pPr>
      <w:r>
        <w:rPr>
          <w:rFonts w:hint="eastAsia" w:ascii="宋体" w:hAnsi="宋体" w:cs="宋体"/>
          <w:color w:val="auto"/>
          <w:kern w:val="0"/>
          <w:szCs w:val="21"/>
          <w:highlight w:val="none"/>
        </w:rPr>
        <w:t>供应商：（盖单位公章）</w:t>
      </w:r>
    </w:p>
    <w:p>
      <w:pPr>
        <w:widowControl/>
        <w:spacing w:line="360" w:lineRule="auto"/>
        <w:ind w:firstLine="4515" w:firstLineChars="2150"/>
        <w:jc w:val="left"/>
        <w:rPr>
          <w:rFonts w:ascii="宋体" w:hAnsi="宋体" w:cs="宋体"/>
          <w:color w:val="auto"/>
          <w:kern w:val="0"/>
          <w:szCs w:val="21"/>
          <w:highlight w:val="none"/>
          <w:u w:val="single"/>
        </w:rPr>
      </w:pPr>
    </w:p>
    <w:p>
      <w:pPr>
        <w:widowControl/>
        <w:spacing w:line="360" w:lineRule="auto"/>
        <w:ind w:firstLine="3675" w:firstLineChars="1750"/>
        <w:jc w:val="right"/>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widowControl/>
        <w:spacing w:line="360" w:lineRule="auto"/>
        <w:jc w:val="left"/>
        <w:rPr>
          <w:rFonts w:ascii="宋体" w:hAnsi="宋体" w:cs="宋体"/>
          <w:color w:val="auto"/>
          <w:kern w:val="0"/>
          <w:sz w:val="24"/>
          <w:szCs w:val="20"/>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r>
        <w:rPr>
          <w:rFonts w:hint="eastAsia" w:ascii="宋体" w:hAnsi="宋体" w:cs="宋体"/>
          <w:b/>
          <w:color w:val="auto"/>
          <w:kern w:val="0"/>
          <w:szCs w:val="21"/>
          <w:highlight w:val="none"/>
        </w:rPr>
        <w:t>附法定代表人身份证复印件（正反面）：</w:t>
      </w:r>
    </w:p>
    <w:p>
      <w:pPr>
        <w:widowControl/>
        <w:jc w:val="left"/>
        <w:rPr>
          <w:rFonts w:ascii="宋体" w:hAnsi="宋体" w:cs="宋体"/>
          <w:color w:val="auto"/>
          <w:kern w:val="0"/>
          <w:szCs w:val="20"/>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left"/>
        <w:rPr>
          <w:rFonts w:ascii="宋体" w:hAnsi="宋体" w:cs="宋体"/>
          <w:b/>
          <w:color w:val="auto"/>
          <w:kern w:val="0"/>
          <w:sz w:val="32"/>
          <w:szCs w:val="32"/>
          <w:highlight w:val="none"/>
        </w:rPr>
      </w:pPr>
    </w:p>
    <w:p>
      <w:pPr>
        <w:widowControl/>
        <w:jc w:val="center"/>
        <w:rPr>
          <w:rFonts w:ascii="宋体" w:hAnsi="宋体" w:cs="宋体"/>
          <w:b/>
          <w:color w:val="auto"/>
          <w:kern w:val="0"/>
          <w:sz w:val="32"/>
          <w:szCs w:val="32"/>
          <w:highlight w:val="none"/>
        </w:rPr>
      </w:pPr>
      <w:r>
        <w:rPr>
          <w:rFonts w:hint="eastAsia" w:ascii="宋体" w:hAnsi="宋体" w:cs="宋体"/>
          <w:b/>
          <w:bCs/>
          <w:color w:val="auto"/>
          <w:kern w:val="0"/>
          <w:sz w:val="28"/>
          <w:szCs w:val="28"/>
          <w:highlight w:val="none"/>
        </w:rPr>
        <w:br w:type="page"/>
      </w:r>
      <w:r>
        <w:rPr>
          <w:rFonts w:hint="eastAsia" w:ascii="宋体" w:hAnsi="宋体" w:cs="宋体"/>
          <w:b/>
          <w:color w:val="auto"/>
          <w:kern w:val="0"/>
          <w:szCs w:val="21"/>
          <w:highlight w:val="none"/>
        </w:rPr>
        <w:t>法定代表人授权委托书</w:t>
      </w:r>
    </w:p>
    <w:p>
      <w:pPr>
        <w:widowControl/>
        <w:jc w:val="center"/>
        <w:rPr>
          <w:rFonts w:ascii="宋体" w:hAnsi="宋体" w:cs="宋体"/>
          <w:b/>
          <w:color w:val="auto"/>
          <w:kern w:val="0"/>
          <w:sz w:val="32"/>
          <w:szCs w:val="32"/>
          <w:highlight w:val="none"/>
        </w:rPr>
      </w:pPr>
      <w:r>
        <w:rPr>
          <w:rFonts w:hint="eastAsia" w:ascii="宋体" w:hAnsi="宋体" w:cs="宋体"/>
          <w:bCs/>
          <w:color w:val="auto"/>
          <w:kern w:val="0"/>
          <w:sz w:val="24"/>
          <w:szCs w:val="20"/>
          <w:highlight w:val="none"/>
        </w:rPr>
        <w:t>（法定代表人来投标的，此表不用）</w:t>
      </w:r>
    </w:p>
    <w:p>
      <w:pPr>
        <w:widowControl/>
        <w:snapToGrid w:val="0"/>
        <w:spacing w:line="360" w:lineRule="auto"/>
        <w:jc w:val="left"/>
        <w:rPr>
          <w:rFonts w:ascii="宋体" w:hAnsi="宋体" w:cs="宋体"/>
          <w:bCs/>
          <w:color w:val="auto"/>
          <w:kern w:val="0"/>
          <w:sz w:val="24"/>
          <w:szCs w:val="20"/>
          <w:highlight w:val="none"/>
        </w:rPr>
      </w:pPr>
    </w:p>
    <w:p>
      <w:pPr>
        <w:widowControl/>
        <w:snapToGrid w:val="0"/>
        <w:spacing w:line="360" w:lineRule="auto"/>
        <w:jc w:val="left"/>
        <w:rPr>
          <w:rFonts w:ascii="宋体" w:hAnsi="宋体" w:cs="宋体"/>
          <w:color w:val="auto"/>
          <w:kern w:val="0"/>
          <w:szCs w:val="21"/>
          <w:highlight w:val="none"/>
        </w:rPr>
      </w:pPr>
      <w:r>
        <w:rPr>
          <w:rFonts w:hint="eastAsia" w:ascii="宋体" w:hAnsi="宋体" w:cs="宋体"/>
          <w:bCs/>
          <w:color w:val="auto"/>
          <w:kern w:val="0"/>
          <w:szCs w:val="21"/>
          <w:highlight w:val="none"/>
        </w:rPr>
        <w:t>致：</w:t>
      </w:r>
      <w:r>
        <w:rPr>
          <w:rFonts w:hint="eastAsia" w:ascii="宋体" w:hAnsi="宋体" w:cs="宋体"/>
          <w:color w:val="auto"/>
          <w:kern w:val="0"/>
          <w:szCs w:val="21"/>
          <w:highlight w:val="none"/>
        </w:rPr>
        <w:t>（采购单位名称）：</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（姓名）系</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（供应商名称）的法定代表人，现授权委托本单位在职职工</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rPr>
        <w:t xml:space="preserve"> （姓名）以我方的名义参加</w:t>
      </w:r>
      <w:r>
        <w:rPr>
          <w:rFonts w:hint="eastAsia" w:ascii="宋体" w:hAnsi="宋体" w:cs="宋体"/>
          <w:color w:val="auto"/>
          <w:kern w:val="0"/>
          <w:szCs w:val="21"/>
          <w:highlight w:val="none"/>
          <w:u w:val="single"/>
        </w:rPr>
        <w:t xml:space="preserve">                       政府采购 </w:t>
      </w:r>
      <w:r>
        <w:rPr>
          <w:rFonts w:hint="eastAsia" w:ascii="宋体" w:hAnsi="宋体" w:cs="宋体"/>
          <w:color w:val="auto"/>
          <w:kern w:val="0"/>
          <w:szCs w:val="21"/>
          <w:highlight w:val="none"/>
        </w:rPr>
        <w:t>项目的投标活动，并代表我方全权办理针对上述项目的投标、开标、评标、签约等具体事务和签署相关文件。</w:t>
      </w:r>
    </w:p>
    <w:p>
      <w:pPr>
        <w:widowControl/>
        <w:snapToGrid w:val="0"/>
        <w:spacing w:line="360" w:lineRule="auto"/>
        <w:ind w:firstLine="420" w:firstLineChars="20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我方对</w:t>
      </w:r>
      <w:r>
        <w:rPr>
          <w:rFonts w:hint="eastAsia" w:ascii="宋体" w:hAnsi="宋体" w:cs="宋体"/>
          <w:color w:val="auto"/>
          <w:kern w:val="0"/>
          <w:szCs w:val="21"/>
          <w:highlight w:val="none"/>
          <w:lang w:eastAsia="zh-CN"/>
        </w:rPr>
        <w:t>授权代表</w:t>
      </w:r>
      <w:r>
        <w:rPr>
          <w:rFonts w:hint="eastAsia" w:ascii="宋体" w:hAnsi="宋体" w:cs="宋体"/>
          <w:color w:val="auto"/>
          <w:kern w:val="0"/>
          <w:szCs w:val="21"/>
          <w:highlight w:val="none"/>
        </w:rPr>
        <w:t>的签名事项负全部责任。</w:t>
      </w:r>
    </w:p>
    <w:p>
      <w:pPr>
        <w:widowControl/>
        <w:snapToGrid w:val="0"/>
        <w:spacing w:line="360" w:lineRule="auto"/>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在撤销授权的书面通知以前，本授权书一直有效。</w:t>
      </w:r>
      <w:r>
        <w:rPr>
          <w:rFonts w:hint="eastAsia" w:ascii="宋体" w:hAnsi="宋体" w:cs="宋体"/>
          <w:color w:val="auto"/>
          <w:kern w:val="0"/>
          <w:szCs w:val="21"/>
          <w:highlight w:val="none"/>
          <w:lang w:eastAsia="zh-CN"/>
        </w:rPr>
        <w:t>授权代表</w:t>
      </w:r>
      <w:r>
        <w:rPr>
          <w:rFonts w:hint="eastAsia" w:ascii="宋体" w:hAnsi="宋体" w:cs="宋体"/>
          <w:color w:val="auto"/>
          <w:kern w:val="0"/>
          <w:szCs w:val="21"/>
          <w:highlight w:val="none"/>
        </w:rPr>
        <w:t>在授权书有效期内签署的所有文件不因授权的撤销而失效。</w:t>
      </w:r>
    </w:p>
    <w:p>
      <w:pPr>
        <w:widowControl/>
        <w:snapToGrid w:val="0"/>
        <w:spacing w:line="360" w:lineRule="auto"/>
        <w:ind w:firstLine="480"/>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授权代表</w:t>
      </w:r>
      <w:r>
        <w:rPr>
          <w:rFonts w:hint="eastAsia" w:ascii="宋体" w:hAnsi="宋体" w:cs="宋体"/>
          <w:color w:val="auto"/>
          <w:kern w:val="0"/>
          <w:szCs w:val="21"/>
          <w:highlight w:val="none"/>
        </w:rPr>
        <w:t>无转委托权，特此委托。</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u w:val="single"/>
        </w:rPr>
      </w:pPr>
      <w:r>
        <w:rPr>
          <w:rFonts w:hint="eastAsia" w:ascii="宋体" w:hAnsi="宋体" w:cs="宋体"/>
          <w:color w:val="auto"/>
          <w:kern w:val="0"/>
          <w:szCs w:val="21"/>
          <w:highlight w:val="none"/>
          <w:lang w:eastAsia="zh-CN"/>
        </w:rPr>
        <w:t>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                 法定代表人</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line="360" w:lineRule="auto"/>
        <w:ind w:firstLine="840" w:firstLineChars="400"/>
        <w:jc w:val="left"/>
        <w:rPr>
          <w:rFonts w:ascii="宋体" w:hAnsi="宋体" w:cs="宋体"/>
          <w:color w:val="auto"/>
          <w:kern w:val="0"/>
          <w:szCs w:val="21"/>
          <w:highlight w:val="none"/>
        </w:rPr>
      </w:pPr>
      <w:r>
        <w:rPr>
          <w:rFonts w:hint="eastAsia" w:ascii="宋体" w:hAnsi="宋体" w:cs="宋体"/>
          <w:color w:val="auto"/>
          <w:kern w:val="0"/>
          <w:szCs w:val="21"/>
          <w:highlight w:val="none"/>
        </w:rPr>
        <w:t>职务：                          职务：</w:t>
      </w:r>
    </w:p>
    <w:p>
      <w:pPr>
        <w:widowControl/>
        <w:snapToGrid w:val="0"/>
        <w:spacing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lang w:eastAsia="zh-CN"/>
        </w:rPr>
        <w:t>授权代表</w:t>
      </w:r>
      <w:r>
        <w:rPr>
          <w:rFonts w:hint="eastAsia" w:ascii="宋体" w:hAnsi="宋体" w:cs="宋体"/>
          <w:color w:val="auto"/>
          <w:kern w:val="0"/>
          <w:szCs w:val="21"/>
          <w:highlight w:val="none"/>
        </w:rPr>
        <w:t>身份证号码：</w:t>
      </w: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jc w:val="left"/>
        <w:rPr>
          <w:rFonts w:ascii="宋体" w:hAnsi="宋体" w:cs="宋体"/>
          <w:color w:val="auto"/>
          <w:kern w:val="0"/>
          <w:szCs w:val="21"/>
          <w:highlight w:val="none"/>
        </w:rPr>
      </w:pPr>
    </w:p>
    <w:p>
      <w:pPr>
        <w:widowControl/>
        <w:snapToGrid w:val="0"/>
        <w:spacing w:line="360" w:lineRule="auto"/>
        <w:ind w:firstLine="4830" w:firstLineChars="23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供应商公章：</w:t>
      </w:r>
    </w:p>
    <w:p>
      <w:pPr>
        <w:widowControl/>
        <w:snapToGrid w:val="0"/>
        <w:spacing w:line="360" w:lineRule="auto"/>
        <w:ind w:firstLine="4830" w:firstLineChars="2300"/>
        <w:jc w:val="left"/>
        <w:rPr>
          <w:rFonts w:ascii="宋体" w:hAnsi="宋体" w:cs="宋体"/>
          <w:color w:val="auto"/>
          <w:kern w:val="0"/>
          <w:szCs w:val="21"/>
          <w:highlight w:val="none"/>
        </w:rPr>
      </w:pPr>
    </w:p>
    <w:p>
      <w:pPr>
        <w:widowControl/>
        <w:snapToGrid w:val="0"/>
        <w:spacing w:line="360" w:lineRule="auto"/>
        <w:jc w:val="center"/>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pacing w:line="360" w:lineRule="auto"/>
        <w:jc w:val="left"/>
        <w:rPr>
          <w:rFonts w:ascii="宋体" w:hAnsi="宋体" w:cs="宋体"/>
          <w:b/>
          <w:color w:val="auto"/>
          <w:kern w:val="0"/>
          <w:szCs w:val="21"/>
          <w:highlight w:val="none"/>
        </w:rPr>
      </w:pPr>
    </w:p>
    <w:p>
      <w:pPr>
        <w:widowControl/>
        <w:spacing w:line="360" w:lineRule="auto"/>
        <w:jc w:val="left"/>
        <w:rPr>
          <w:rFonts w:ascii="宋体" w:hAnsi="宋体" w:cs="宋体"/>
          <w:b/>
          <w:color w:val="auto"/>
          <w:kern w:val="0"/>
          <w:szCs w:val="21"/>
          <w:highlight w:val="none"/>
        </w:rPr>
      </w:pPr>
    </w:p>
    <w:p>
      <w:pPr>
        <w:widowControl/>
        <w:snapToGrid w:val="0"/>
        <w:spacing w:before="50" w:after="50"/>
        <w:jc w:val="left"/>
        <w:rPr>
          <w:rFonts w:hint="eastAsia" w:ascii="宋体" w:hAnsi="宋体" w:cs="宋体"/>
          <w:b/>
          <w:color w:val="auto"/>
          <w:kern w:val="0"/>
          <w:szCs w:val="21"/>
          <w:highlight w:val="none"/>
          <w:lang w:eastAsia="zh-CN"/>
        </w:rPr>
      </w:pPr>
      <w:r>
        <w:rPr>
          <w:rFonts w:hint="eastAsia" w:ascii="宋体" w:hAnsi="宋体" w:cs="宋体"/>
          <w:b/>
          <w:color w:val="auto"/>
          <w:kern w:val="0"/>
          <w:szCs w:val="21"/>
          <w:highlight w:val="none"/>
        </w:rPr>
        <w:t>附：</w:t>
      </w:r>
      <w:r>
        <w:rPr>
          <w:rFonts w:hint="eastAsia" w:ascii="宋体" w:hAnsi="宋体" w:cs="宋体"/>
          <w:b/>
          <w:color w:val="auto"/>
          <w:kern w:val="0"/>
          <w:szCs w:val="21"/>
          <w:highlight w:val="none"/>
          <w:lang w:val="en-US" w:eastAsia="zh-CN"/>
        </w:rPr>
        <w:t>1、</w:t>
      </w:r>
      <w:r>
        <w:rPr>
          <w:rFonts w:hint="eastAsia" w:ascii="宋体" w:hAnsi="宋体" w:cs="宋体"/>
          <w:b/>
          <w:color w:val="auto"/>
          <w:kern w:val="0"/>
          <w:szCs w:val="21"/>
          <w:highlight w:val="none"/>
        </w:rPr>
        <w:t>法定代表人身份证复印件（正反面）</w:t>
      </w:r>
      <w:r>
        <w:rPr>
          <w:rFonts w:hint="eastAsia" w:ascii="宋体" w:hAnsi="宋体" w:cs="宋体"/>
          <w:b/>
          <w:color w:val="auto"/>
          <w:kern w:val="0"/>
          <w:szCs w:val="21"/>
          <w:highlight w:val="none"/>
          <w:lang w:eastAsia="zh-CN"/>
        </w:rPr>
        <w:t>；</w:t>
      </w:r>
    </w:p>
    <w:p>
      <w:pPr>
        <w:widowControl/>
        <w:snapToGrid w:val="0"/>
        <w:spacing w:before="50" w:after="50"/>
        <w:jc w:val="left"/>
        <w:rPr>
          <w:rFonts w:ascii="宋体" w:hAnsi="宋体" w:cs="宋体"/>
          <w:b/>
          <w:color w:val="auto"/>
          <w:kern w:val="0"/>
          <w:szCs w:val="21"/>
          <w:highlight w:val="none"/>
        </w:rPr>
      </w:pPr>
      <w:r>
        <w:rPr>
          <w:rFonts w:hint="eastAsia" w:ascii="宋体" w:hAnsi="宋体" w:cs="宋体"/>
          <w:b/>
          <w:color w:val="auto"/>
          <w:kern w:val="0"/>
          <w:szCs w:val="21"/>
          <w:highlight w:val="none"/>
          <w:lang w:val="en-US" w:eastAsia="zh-CN"/>
        </w:rPr>
        <w:t>2、</w:t>
      </w:r>
      <w:r>
        <w:rPr>
          <w:rFonts w:hint="eastAsia" w:ascii="宋体" w:hAnsi="宋体" w:cs="宋体"/>
          <w:b/>
          <w:color w:val="auto"/>
          <w:kern w:val="0"/>
          <w:szCs w:val="21"/>
          <w:highlight w:val="none"/>
        </w:rPr>
        <w:t>授权代表身份证复印件（正反面）及开标日前近三个月</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lang w:val="en-US" w:eastAsia="zh-CN"/>
        </w:rPr>
        <w:t>2022年1月、2月、3月</w:t>
      </w:r>
      <w:r>
        <w:rPr>
          <w:rFonts w:hint="eastAsia" w:ascii="宋体" w:hAnsi="宋体" w:cs="宋体"/>
          <w:b/>
          <w:color w:val="auto"/>
          <w:kern w:val="0"/>
          <w:szCs w:val="21"/>
          <w:highlight w:val="none"/>
          <w:lang w:eastAsia="zh-CN"/>
        </w:rPr>
        <w:t>）</w:t>
      </w:r>
      <w:r>
        <w:rPr>
          <w:rFonts w:hint="eastAsia" w:ascii="宋体" w:hAnsi="宋体" w:cs="宋体"/>
          <w:b/>
          <w:color w:val="auto"/>
          <w:kern w:val="0"/>
          <w:szCs w:val="21"/>
          <w:highlight w:val="none"/>
        </w:rPr>
        <w:t>当地相关部门出具的社保证明。</w:t>
      </w:r>
    </w:p>
    <w:p>
      <w:pPr>
        <w:widowControl/>
        <w:snapToGrid w:val="0"/>
        <w:spacing w:before="50" w:after="50"/>
        <w:jc w:val="left"/>
        <w:rPr>
          <w:rFonts w:ascii="宋体" w:hAnsi="宋体" w:cs="宋体"/>
          <w:color w:val="auto"/>
          <w:kern w:val="0"/>
          <w:szCs w:val="21"/>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Cs w:val="21"/>
          <w:highlight w:val="none"/>
        </w:rPr>
        <w:t>14.技术（服务）条款偏离表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技术（服务）条款偏离表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招标文件的技术（服务）条款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15</w:t>
      </w:r>
      <w:r>
        <w:rPr>
          <w:rFonts w:hint="eastAsia" w:ascii="宋体" w:hAnsi="宋体" w:cs="宋体"/>
          <w:b/>
          <w:bCs/>
          <w:color w:val="auto"/>
          <w:kern w:val="0"/>
          <w:szCs w:val="21"/>
          <w:highlight w:val="none"/>
        </w:rPr>
        <w:t>. 商务条款偏离表</w:t>
      </w: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商务条款偏离表</w:t>
      </w:r>
    </w:p>
    <w:p>
      <w:pPr>
        <w:widowControl/>
        <w:snapToGrid w:val="0"/>
        <w:spacing w:before="50"/>
        <w:jc w:val="left"/>
        <w:rPr>
          <w:rFonts w:ascii="宋体" w:hAnsi="宋体" w:cs="宋体"/>
          <w:color w:val="auto"/>
          <w:kern w:val="0"/>
          <w:szCs w:val="21"/>
          <w:highlight w:val="none"/>
          <w:u w:val="single"/>
        </w:rPr>
      </w:pPr>
      <w:r>
        <w:rPr>
          <w:rFonts w:hint="eastAsia" w:ascii="宋体" w:hAnsi="宋体" w:cs="宋体"/>
          <w:color w:val="auto"/>
          <w:kern w:val="0"/>
          <w:szCs w:val="21"/>
          <w:highlight w:val="none"/>
        </w:rPr>
        <w:t>项目编号：                   项目名称：                       标项号：</w:t>
      </w:r>
    </w:p>
    <w:tbl>
      <w:tblPr>
        <w:tblStyle w:val="28"/>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647"/>
        <w:gridCol w:w="1575"/>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条款号</w:t>
            </w: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招标文件的商务条款</w:t>
            </w: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投标文件的</w:t>
            </w:r>
          </w:p>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响应情况</w:t>
            </w: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r>
              <w:rPr>
                <w:rFonts w:hint="eastAsia" w:ascii="宋体" w:hAnsi="宋体" w:cs="宋体"/>
                <w:color w:val="auto"/>
                <w:kern w:val="0"/>
                <w:szCs w:val="20"/>
                <w:highlight w:val="none"/>
              </w:rPr>
              <w:t>说明（偏离/响应）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b/>
                <w:bCs/>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026"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Cs w:val="20"/>
                <w:highlight w:val="none"/>
              </w:rPr>
            </w:pPr>
          </w:p>
        </w:tc>
        <w:tc>
          <w:tcPr>
            <w:tcW w:w="4647"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left"/>
              <w:rPr>
                <w:rFonts w:ascii="宋体" w:hAnsi="宋体" w:cs="宋体"/>
                <w:color w:val="auto"/>
                <w:kern w:val="0"/>
                <w:szCs w:val="20"/>
                <w:highlight w:val="none"/>
              </w:rPr>
            </w:pPr>
          </w:p>
        </w:tc>
        <w:tc>
          <w:tcPr>
            <w:tcW w:w="157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c>
          <w:tcPr>
            <w:tcW w:w="11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color w:val="auto"/>
                <w:kern w:val="0"/>
                <w:sz w:val="24"/>
                <w:szCs w:val="20"/>
                <w:highlight w:val="none"/>
              </w:rPr>
            </w:pPr>
          </w:p>
        </w:tc>
      </w:tr>
    </w:tbl>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0"/>
          <w:highlight w:val="none"/>
        </w:rPr>
        <w:t>供应商须按第二章《采购需求》</w:t>
      </w:r>
      <w:r>
        <w:rPr>
          <w:rFonts w:hint="eastAsia" w:ascii="宋体" w:hAnsi="宋体" w:cs="宋体"/>
          <w:color w:val="auto"/>
          <w:kern w:val="0"/>
          <w:szCs w:val="21"/>
          <w:highlight w:val="none"/>
        </w:rPr>
        <w:t>“</w:t>
      </w:r>
      <w:r>
        <w:rPr>
          <w:rFonts w:hint="eastAsia" w:ascii="宋体" w:hAnsi="宋体" w:cs="宋体"/>
          <w:color w:val="auto"/>
          <w:kern w:val="0"/>
          <w:szCs w:val="20"/>
          <w:highlight w:val="none"/>
        </w:rPr>
        <w:t>一、重要商务要求一览表”逐项填写，并根据“第五章 政府采购合同主要条款”内容自行补充。</w:t>
      </w: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0"/>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供应商名称（公章）：</w:t>
      </w: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法定代表或授权代表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snapToGrid w:val="0"/>
        <w:spacing w:before="50"/>
        <w:jc w:val="left"/>
        <w:rPr>
          <w:rFonts w:ascii="宋体" w:hAnsi="宋体" w:cs="宋体"/>
          <w:color w:val="auto"/>
          <w:kern w:val="0"/>
          <w:szCs w:val="21"/>
          <w:highlight w:val="none"/>
        </w:rPr>
      </w:pPr>
    </w:p>
    <w:p>
      <w:pPr>
        <w:widowControl/>
        <w:snapToGrid w:val="0"/>
        <w:spacing w:before="5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年    月    日</w:t>
      </w:r>
    </w:p>
    <w:p>
      <w:pPr>
        <w:widowControl/>
        <w:snapToGrid w:val="0"/>
        <w:spacing w:before="50"/>
        <w:jc w:val="left"/>
        <w:rPr>
          <w:rFonts w:ascii="宋体" w:hAnsi="宋体" w:cs="宋体"/>
          <w:color w:val="auto"/>
          <w:kern w:val="0"/>
          <w:szCs w:val="21"/>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16.供应商情况一览表</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50" w:after="120" w:afterLines="50" w:line="360" w:lineRule="auto"/>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供应商情况一览表</w:t>
      </w:r>
    </w:p>
    <w:tbl>
      <w:tblPr>
        <w:tblStyle w:val="28"/>
        <w:tblW w:w="0" w:type="auto"/>
        <w:tblInd w:w="-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986"/>
        <w:gridCol w:w="986"/>
        <w:gridCol w:w="584"/>
        <w:gridCol w:w="402"/>
        <w:gridCol w:w="986"/>
        <w:gridCol w:w="284"/>
        <w:gridCol w:w="702"/>
        <w:gridCol w:w="875"/>
        <w:gridCol w:w="111"/>
        <w:gridCol w:w="9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8318" w:type="dxa"/>
            <w:gridSpan w:val="11"/>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单位名称</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地  址</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法定代表人</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成立时间</w:t>
            </w:r>
          </w:p>
        </w:tc>
        <w:tc>
          <w:tcPr>
            <w:tcW w:w="4228" w:type="dxa"/>
            <w:gridSpan w:val="6"/>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577"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注册资本</w:t>
            </w:r>
          </w:p>
        </w:tc>
        <w:tc>
          <w:tcPr>
            <w:tcW w:w="1099"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开户银行</w:t>
            </w:r>
          </w:p>
        </w:tc>
        <w:tc>
          <w:tcPr>
            <w:tcW w:w="2556"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1672" w:type="dxa"/>
            <w:gridSpan w:val="3"/>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账</w:t>
            </w:r>
            <w:r>
              <w:rPr>
                <w:rFonts w:hint="eastAsia" w:ascii="宋体" w:hAnsi="宋体" w:cs="宋体"/>
                <w:color w:val="auto"/>
                <w:kern w:val="0"/>
                <w:szCs w:val="21"/>
                <w:highlight w:val="none"/>
              </w:rPr>
              <w:t xml:space="preserve">  号</w:t>
            </w:r>
          </w:p>
        </w:tc>
        <w:tc>
          <w:tcPr>
            <w:tcW w:w="2676" w:type="dxa"/>
            <w:gridSpan w:val="4"/>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联系电话</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企业总人数</w:t>
            </w: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管理</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技术</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c>
          <w:tcPr>
            <w:tcW w:w="986" w:type="dxa"/>
            <w:gridSpan w:val="2"/>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职工</w:t>
            </w:r>
          </w:p>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人员</w:t>
            </w:r>
          </w:p>
        </w:tc>
        <w:tc>
          <w:tcPr>
            <w:tcW w:w="988"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经营范围</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01" w:hRule="atLeast"/>
        </w:trPr>
        <w:tc>
          <w:tcPr>
            <w:tcW w:w="1414" w:type="dxa"/>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r>
              <w:rPr>
                <w:rFonts w:hint="eastAsia" w:ascii="宋体" w:hAnsi="宋体" w:cs="宋体"/>
                <w:color w:val="auto"/>
                <w:kern w:val="0"/>
                <w:szCs w:val="21"/>
                <w:highlight w:val="none"/>
              </w:rPr>
              <w:t>企业现有的资质证书</w:t>
            </w:r>
          </w:p>
        </w:tc>
        <w:tc>
          <w:tcPr>
            <w:tcW w:w="6904" w:type="dxa"/>
            <w:gridSpan w:val="10"/>
            <w:tcBorders>
              <w:top w:val="single" w:color="auto" w:sz="4" w:space="0"/>
              <w:left w:val="single" w:color="auto" w:sz="4" w:space="0"/>
              <w:bottom w:val="single" w:color="auto" w:sz="4" w:space="0"/>
              <w:right w:val="single" w:color="auto" w:sz="4" w:space="0"/>
            </w:tcBorders>
            <w:vAlign w:val="center"/>
          </w:tcPr>
          <w:p>
            <w:pPr>
              <w:widowControl/>
              <w:spacing w:line="480" w:lineRule="exact"/>
              <w:jc w:val="center"/>
              <w:rPr>
                <w:rFonts w:ascii="宋体" w:hAnsi="宋体" w:cs="宋体"/>
                <w:color w:val="auto"/>
                <w:kern w:val="0"/>
                <w:szCs w:val="21"/>
                <w:highlight w:val="none"/>
              </w:rPr>
            </w:pPr>
          </w:p>
        </w:tc>
      </w:tr>
    </w:tbl>
    <w:p>
      <w:pPr>
        <w:widowControl/>
        <w:snapToGrid w:val="0"/>
        <w:spacing w:before="50" w:after="120" w:afterLines="50"/>
        <w:jc w:val="left"/>
        <w:rPr>
          <w:rFonts w:ascii="宋体" w:hAnsi="宋体" w:cs="宋体"/>
          <w:color w:val="auto"/>
          <w:kern w:val="0"/>
          <w:szCs w:val="21"/>
          <w:highlight w:val="none"/>
        </w:rPr>
      </w:pPr>
    </w:p>
    <w:p>
      <w:pPr>
        <w:widowControl/>
        <w:snapToGrid w:val="0"/>
        <w:spacing w:before="50" w:after="120" w:afterLines="50"/>
        <w:jc w:val="left"/>
        <w:rPr>
          <w:rFonts w:ascii="宋体" w:hAnsi="宋体" w:cs="宋体"/>
          <w:color w:val="auto"/>
          <w:kern w:val="0"/>
          <w:szCs w:val="21"/>
          <w:highlight w:val="none"/>
        </w:rPr>
      </w:pPr>
    </w:p>
    <w:p>
      <w:pPr>
        <w:widowControl/>
        <w:jc w:val="left"/>
        <w:rPr>
          <w:rFonts w:ascii="宋体" w:hAnsi="宋体" w:cs="宋体"/>
          <w:color w:val="auto"/>
          <w:szCs w:val="21"/>
          <w:highlight w:val="none"/>
        </w:rPr>
        <w:sectPr>
          <w:pgSz w:w="11906" w:h="16838"/>
          <w:pgMar w:top="1304" w:right="1797" w:bottom="1247" w:left="1797" w:header="851" w:footer="851" w:gutter="0"/>
          <w:pgBorders>
            <w:top w:val="none" w:sz="0" w:space="0"/>
            <w:left w:val="none" w:sz="0" w:space="0"/>
            <w:bottom w:val="none" w:sz="0" w:space="0"/>
            <w:right w:val="none" w:sz="0" w:space="0"/>
          </w:pgBorders>
          <w:cols w:space="720" w:num="1"/>
        </w:sect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17.企业业绩表：</w:t>
      </w:r>
    </w:p>
    <w:p>
      <w:pPr>
        <w:widowControl/>
        <w:jc w:val="center"/>
        <w:rPr>
          <w:rFonts w:ascii="宋体" w:hAnsi="宋体" w:cs="宋体"/>
          <w:color w:val="auto"/>
          <w:kern w:val="0"/>
          <w:szCs w:val="21"/>
          <w:highlight w:val="none"/>
        </w:rPr>
      </w:pPr>
    </w:p>
    <w:p>
      <w:pPr>
        <w:widowControl/>
        <w:jc w:val="center"/>
        <w:rPr>
          <w:rFonts w:ascii="宋体" w:hAnsi="宋体" w:cs="宋体"/>
          <w:b/>
          <w:bCs/>
          <w:color w:val="auto"/>
          <w:kern w:val="0"/>
          <w:szCs w:val="20"/>
          <w:highlight w:val="none"/>
        </w:rPr>
      </w:pPr>
      <w:r>
        <w:rPr>
          <w:rFonts w:hint="eastAsia" w:ascii="宋体" w:hAnsi="宋体" w:cs="宋体"/>
          <w:b/>
          <w:bCs/>
          <w:color w:val="auto"/>
          <w:kern w:val="0"/>
          <w:szCs w:val="20"/>
          <w:highlight w:val="none"/>
        </w:rPr>
        <w:t>企业业绩表</w:t>
      </w:r>
    </w:p>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项目编号：                   项目名称：                       标项号：</w:t>
      </w:r>
    </w:p>
    <w:tbl>
      <w:tblPr>
        <w:tblStyle w:val="28"/>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783"/>
        <w:gridCol w:w="1192"/>
        <w:gridCol w:w="1192"/>
        <w:gridCol w:w="1638"/>
        <w:gridCol w:w="1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744"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783"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center"/>
              <w:rPr>
                <w:rFonts w:ascii="宋体" w:hAnsi="宋体" w:cs="宋体"/>
                <w:color w:val="auto"/>
                <w:kern w:val="0"/>
                <w:szCs w:val="21"/>
                <w:highlight w:val="none"/>
              </w:rPr>
            </w:pPr>
            <w:r>
              <w:rPr>
                <w:rFonts w:hint="eastAsia" w:ascii="宋体" w:hAnsi="宋体" w:cs="宋体"/>
                <w:color w:val="auto"/>
                <w:kern w:val="0"/>
                <w:szCs w:val="21"/>
                <w:highlight w:val="none"/>
              </w:rPr>
              <w:t>项目名称</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业主单位</w:t>
            </w:r>
          </w:p>
        </w:tc>
        <w:tc>
          <w:tcPr>
            <w:tcW w:w="1192"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合同金额</w:t>
            </w:r>
          </w:p>
        </w:tc>
        <w:tc>
          <w:tcPr>
            <w:tcW w:w="1638"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合同签订日期</w:t>
            </w:r>
          </w:p>
        </w:tc>
        <w:tc>
          <w:tcPr>
            <w:tcW w:w="1869" w:type="dxa"/>
            <w:tcBorders>
              <w:top w:val="single" w:color="auto" w:sz="4" w:space="0"/>
              <w:left w:val="single" w:color="auto" w:sz="4" w:space="0"/>
              <w:bottom w:val="single" w:color="auto" w:sz="4" w:space="0"/>
              <w:right w:val="single" w:color="auto" w:sz="4" w:space="0"/>
            </w:tcBorders>
            <w:vAlign w:val="center"/>
          </w:tcPr>
          <w:p>
            <w:pPr>
              <w:widowControl/>
              <w:tabs>
                <w:tab w:val="left" w:pos="3165"/>
              </w:tabs>
              <w:jc w:val="center"/>
              <w:rPr>
                <w:rFonts w:ascii="宋体" w:hAnsi="宋体" w:cs="宋体"/>
                <w:color w:val="auto"/>
                <w:kern w:val="0"/>
                <w:szCs w:val="21"/>
                <w:highlight w:val="none"/>
              </w:rPr>
            </w:pPr>
            <w:r>
              <w:rPr>
                <w:rFonts w:hint="eastAsia" w:ascii="宋体" w:hAnsi="宋体" w:cs="宋体"/>
                <w:color w:val="auto"/>
                <w:kern w:val="0"/>
                <w:szCs w:val="21"/>
                <w:highlight w:val="none"/>
              </w:rPr>
              <w:t>联系人/电话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44"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783"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192"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638"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c>
          <w:tcPr>
            <w:tcW w:w="1869" w:type="dxa"/>
            <w:tcBorders>
              <w:top w:val="single" w:color="auto" w:sz="4" w:space="0"/>
              <w:left w:val="single" w:color="auto" w:sz="4" w:space="0"/>
              <w:bottom w:val="single" w:color="auto" w:sz="4" w:space="0"/>
              <w:right w:val="single" w:color="auto" w:sz="4" w:space="0"/>
            </w:tcBorders>
          </w:tcPr>
          <w:p>
            <w:pPr>
              <w:widowControl/>
              <w:tabs>
                <w:tab w:val="left" w:pos="3165"/>
              </w:tabs>
              <w:ind w:firstLine="420"/>
              <w:jc w:val="left"/>
              <w:rPr>
                <w:rFonts w:ascii="宋体" w:hAnsi="宋体" w:cs="宋体"/>
                <w:color w:val="auto"/>
                <w:kern w:val="0"/>
                <w:szCs w:val="21"/>
                <w:highlight w:val="none"/>
              </w:rPr>
            </w:pPr>
          </w:p>
        </w:tc>
      </w:tr>
    </w:tbl>
    <w:p>
      <w:pPr>
        <w:widowControl/>
        <w:tabs>
          <w:tab w:val="left" w:pos="3165"/>
        </w:tabs>
        <w:jc w:val="left"/>
        <w:rPr>
          <w:rFonts w:ascii="宋体" w:hAnsi="宋体" w:cs="宋体"/>
          <w:color w:val="auto"/>
          <w:kern w:val="0"/>
          <w:szCs w:val="21"/>
          <w:highlight w:val="none"/>
        </w:rPr>
      </w:pPr>
      <w:r>
        <w:rPr>
          <w:rFonts w:hint="eastAsia" w:ascii="宋体" w:hAnsi="宋体" w:cs="宋体"/>
          <w:color w:val="auto"/>
          <w:kern w:val="0"/>
          <w:szCs w:val="21"/>
          <w:highlight w:val="none"/>
        </w:rPr>
        <w:t>注：</w:t>
      </w:r>
    </w:p>
    <w:p>
      <w:pPr>
        <w:widowControl/>
        <w:autoSpaceDE w:val="0"/>
        <w:autoSpaceDN w:val="0"/>
        <w:spacing w:line="386" w:lineRule="exact"/>
        <w:jc w:val="left"/>
        <w:rPr>
          <w:rFonts w:ascii="宋体" w:hAnsi="宋体" w:cs="宋体"/>
          <w:bCs/>
          <w:color w:val="auto"/>
          <w:kern w:val="0"/>
          <w:szCs w:val="21"/>
          <w:highlight w:val="none"/>
        </w:rPr>
      </w:pPr>
      <w:r>
        <w:rPr>
          <w:rFonts w:hint="eastAsia" w:ascii="宋体" w:hAnsi="宋体" w:cs="宋体"/>
          <w:color w:val="auto"/>
          <w:kern w:val="0"/>
          <w:szCs w:val="21"/>
          <w:highlight w:val="none"/>
        </w:rPr>
        <w:t>1．供应商所提供合同必须是真实有效的。在合同签订前，如采购人经核实后发现与实际情况不符，取消其中标资格，并按有关规定处理。</w:t>
      </w:r>
    </w:p>
    <w:p>
      <w:pPr>
        <w:widowControl/>
        <w:autoSpaceDE w:val="0"/>
        <w:autoSpaceDN w:val="0"/>
        <w:spacing w:line="386" w:lineRule="exact"/>
        <w:jc w:val="left"/>
        <w:rPr>
          <w:rFonts w:ascii="宋体" w:hAnsi="宋体" w:cs="宋体"/>
          <w:color w:val="auto"/>
          <w:kern w:val="0"/>
          <w:szCs w:val="21"/>
          <w:highlight w:val="none"/>
        </w:rPr>
      </w:pPr>
      <w:r>
        <w:rPr>
          <w:rFonts w:hint="eastAsia" w:ascii="宋体" w:hAnsi="宋体" w:cs="宋体"/>
          <w:color w:val="auto"/>
          <w:kern w:val="0"/>
          <w:szCs w:val="21"/>
          <w:highlight w:val="none"/>
        </w:rPr>
        <w:t>2．此表在不改变表式的情况下，可自行制作。</w:t>
      </w:r>
    </w:p>
    <w:p>
      <w:pPr>
        <w:widowControl/>
        <w:autoSpaceDE w:val="0"/>
        <w:autoSpaceDN w:val="0"/>
        <w:spacing w:line="426" w:lineRule="exact"/>
        <w:ind w:left="5280"/>
        <w:jc w:val="left"/>
        <w:rPr>
          <w:rFonts w:ascii="宋体" w:hAnsi="宋体" w:cs="宋体"/>
          <w:color w:val="auto"/>
          <w:kern w:val="0"/>
          <w:szCs w:val="21"/>
          <w:highlight w:val="none"/>
        </w:rPr>
      </w:pPr>
    </w:p>
    <w:p>
      <w:pPr>
        <w:widowControl/>
        <w:autoSpaceDE w:val="0"/>
        <w:autoSpaceDN w:val="0"/>
        <w:spacing w:line="426" w:lineRule="exact"/>
        <w:ind w:left="5280"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w:t>
      </w:r>
    </w:p>
    <w:p>
      <w:pPr>
        <w:widowControl/>
        <w:autoSpaceDE w:val="0"/>
        <w:autoSpaceDN w:val="0"/>
        <w:spacing w:line="426" w:lineRule="exact"/>
        <w:ind w:left="5280"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供应商代表</w:t>
      </w:r>
      <w:r>
        <w:rPr>
          <w:rFonts w:hint="eastAsia" w:ascii="宋体" w:hAnsi="宋体" w:cs="宋体"/>
          <w:color w:val="auto"/>
          <w:kern w:val="0"/>
          <w:szCs w:val="20"/>
          <w:highlight w:val="none"/>
        </w:rPr>
        <w:t>（签名或印章）</w:t>
      </w:r>
      <w:r>
        <w:rPr>
          <w:rFonts w:hint="eastAsia" w:ascii="宋体" w:hAnsi="宋体" w:cs="宋体"/>
          <w:color w:val="auto"/>
          <w:kern w:val="0"/>
          <w:szCs w:val="21"/>
          <w:highlight w:val="none"/>
        </w:rPr>
        <w:t>：</w:t>
      </w:r>
    </w:p>
    <w:p>
      <w:pPr>
        <w:widowControl/>
        <w:tabs>
          <w:tab w:val="left" w:pos="3165"/>
        </w:tabs>
        <w:jc w:val="center"/>
        <w:rPr>
          <w:rFonts w:ascii="宋体" w:hAnsi="宋体" w:cs="宋体"/>
          <w:color w:val="auto"/>
          <w:kern w:val="0"/>
          <w:szCs w:val="21"/>
          <w:highlight w:val="none"/>
        </w:rPr>
      </w:pPr>
    </w:p>
    <w:p>
      <w:pPr>
        <w:widowControl/>
        <w:tabs>
          <w:tab w:val="left" w:pos="3165"/>
        </w:tabs>
        <w:ind w:right="1080"/>
        <w:jc w:val="right"/>
        <w:rPr>
          <w:rFonts w:ascii="宋体" w:hAnsi="宋体" w:cs="宋体"/>
          <w:color w:val="auto"/>
          <w:kern w:val="0"/>
          <w:szCs w:val="21"/>
          <w:highlight w:val="none"/>
        </w:rPr>
      </w:pPr>
      <w:r>
        <w:rPr>
          <w:rFonts w:hint="eastAsia" w:ascii="宋体" w:hAnsi="宋体" w:cs="宋体"/>
          <w:color w:val="auto"/>
          <w:kern w:val="0"/>
          <w:szCs w:val="21"/>
          <w:highlight w:val="none"/>
        </w:rPr>
        <w:t>年  月  日</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18.第四章评标办法及评分标准中需提供的其他相关资质证书及合同复印件加盖公章；</w:t>
      </w: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19.供应商认为有需要提供的其它有关证明资料。</w:t>
      </w:r>
    </w:p>
    <w:p>
      <w:pPr>
        <w:widowControl/>
        <w:snapToGrid w:val="0"/>
        <w:spacing w:before="50" w:after="120" w:afterLines="50"/>
        <w:jc w:val="center"/>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二、报价文件格式</w:t>
      </w:r>
    </w:p>
    <w:p>
      <w:pPr>
        <w:widowControl/>
        <w:snapToGrid w:val="0"/>
        <w:spacing w:before="120" w:beforeLines="50" w:after="50"/>
        <w:jc w:val="left"/>
        <w:rPr>
          <w:rFonts w:ascii="宋体" w:hAnsi="宋体" w:cs="宋体"/>
          <w:b/>
          <w:bCs/>
          <w:color w:val="auto"/>
          <w:kern w:val="0"/>
          <w:szCs w:val="21"/>
          <w:highlight w:val="none"/>
        </w:rPr>
      </w:pPr>
      <w:r>
        <w:rPr>
          <w:rFonts w:hint="eastAsia" w:ascii="宋体" w:hAnsi="宋体" w:cs="宋体"/>
          <w:b/>
          <w:color w:val="auto"/>
          <w:kern w:val="0"/>
          <w:szCs w:val="21"/>
          <w:highlight w:val="none"/>
        </w:rPr>
        <w:t>1.</w:t>
      </w:r>
      <w:r>
        <w:rPr>
          <w:rFonts w:hint="eastAsia" w:ascii="宋体" w:hAnsi="宋体" w:cs="宋体"/>
          <w:b/>
          <w:bCs/>
          <w:color w:val="auto"/>
          <w:kern w:val="0"/>
          <w:szCs w:val="21"/>
          <w:highlight w:val="none"/>
        </w:rPr>
        <w:t>报价文件的外包装封面格式（不可缺）：</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ind w:firstLine="932" w:firstLineChars="444"/>
        <w:jc w:val="left"/>
        <w:rPr>
          <w:rFonts w:ascii="宋体" w:hAnsi="宋体" w:cs="宋体"/>
          <w:color w:val="auto"/>
          <w:kern w:val="0"/>
          <w:szCs w:val="20"/>
          <w:highlight w:val="none"/>
        </w:rPr>
      </w:pPr>
      <w:r>
        <w:rPr>
          <w:rFonts w:hint="eastAsia" w:ascii="宋体" w:hAnsi="宋体" w:cs="宋体"/>
          <w:bCs/>
          <w:color w:val="auto"/>
          <w:kern w:val="0"/>
          <w:szCs w:val="21"/>
          <w:highlight w:val="none"/>
        </w:rPr>
        <w:t>项目名称：</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932" w:firstLineChars="444"/>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932" w:firstLineChars="444"/>
        <w:jc w:val="left"/>
        <w:rPr>
          <w:rFonts w:ascii="宋体" w:hAnsi="宋体" w:cs="宋体"/>
          <w:bCs/>
          <w:color w:val="auto"/>
          <w:kern w:val="0"/>
          <w:szCs w:val="21"/>
          <w:highlight w:val="none"/>
        </w:rPr>
      </w:pP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供应商名称：</w:t>
      </w:r>
    </w:p>
    <w:p>
      <w:pPr>
        <w:snapToGrid w:val="0"/>
        <w:spacing w:before="50" w:after="50"/>
        <w:ind w:firstLine="932" w:firstLineChars="444"/>
        <w:rPr>
          <w:rFonts w:ascii="宋体" w:hAnsi="宋体" w:cs="宋体"/>
          <w:bCs/>
          <w:color w:val="auto"/>
          <w:szCs w:val="21"/>
          <w:highlight w:val="none"/>
        </w:rPr>
      </w:pPr>
      <w:r>
        <w:rPr>
          <w:rFonts w:hint="eastAsia" w:ascii="宋体" w:hAnsi="宋体" w:cs="宋体"/>
          <w:bCs/>
          <w:color w:val="auto"/>
          <w:szCs w:val="21"/>
          <w:highlight w:val="none"/>
        </w:rPr>
        <w:t>供应商地址：</w:t>
      </w:r>
    </w:p>
    <w:p>
      <w:pPr>
        <w:snapToGrid w:val="0"/>
        <w:spacing w:before="50" w:after="50"/>
        <w:ind w:firstLine="932" w:firstLineChars="444"/>
        <w:jc w:val="center"/>
        <w:rPr>
          <w:rFonts w:ascii="宋体" w:hAnsi="宋体" w:cs="宋体"/>
          <w:bCs/>
          <w:color w:val="auto"/>
          <w:szCs w:val="21"/>
          <w:highlight w:val="none"/>
        </w:rPr>
      </w:pPr>
      <w:r>
        <w:rPr>
          <w:rFonts w:hint="eastAsia" w:ascii="宋体" w:hAnsi="宋体" w:cs="宋体"/>
          <w:bCs/>
          <w:color w:val="auto"/>
          <w:szCs w:val="21"/>
          <w:highlight w:val="none"/>
        </w:rPr>
        <w:t>开标时启封</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jc w:val="left"/>
        <w:rPr>
          <w:rFonts w:ascii="宋体" w:hAnsi="宋体" w:cs="宋体"/>
          <w:color w:val="auto"/>
          <w:kern w:val="0"/>
          <w:szCs w:val="20"/>
          <w:highlight w:val="none"/>
        </w:rPr>
      </w:pPr>
    </w:p>
    <w:p>
      <w:pPr>
        <w:widowControl/>
        <w:jc w:val="left"/>
        <w:rPr>
          <w:rFonts w:ascii="宋体" w:hAnsi="宋体" w:cs="宋体"/>
          <w:color w:val="auto"/>
          <w:kern w:val="0"/>
          <w:szCs w:val="20"/>
          <w:highlight w:val="none"/>
        </w:rPr>
      </w:pPr>
    </w:p>
    <w:p>
      <w:pPr>
        <w:widowControl/>
        <w:snapToGrid w:val="0"/>
        <w:spacing w:before="120" w:beforeLines="50" w:after="50"/>
        <w:jc w:val="left"/>
        <w:rPr>
          <w:rFonts w:ascii="宋体" w:hAnsi="宋体" w:cs="宋体"/>
          <w:color w:val="auto"/>
          <w:kern w:val="0"/>
          <w:szCs w:val="21"/>
          <w:highlight w:val="none"/>
        </w:rPr>
      </w:pPr>
      <w:r>
        <w:rPr>
          <w:rFonts w:hint="eastAsia" w:ascii="宋体" w:hAnsi="宋体" w:cs="宋体"/>
          <w:b/>
          <w:bCs/>
          <w:color w:val="auto"/>
          <w:kern w:val="0"/>
          <w:szCs w:val="21"/>
          <w:highlight w:val="none"/>
        </w:rPr>
        <w:t>2.报价文件封面格式：</w:t>
      </w:r>
    </w:p>
    <w:p>
      <w:pPr>
        <w:widowControl/>
        <w:snapToGrid w:val="0"/>
        <w:spacing w:before="120" w:beforeLines="50" w:after="50"/>
        <w:jc w:val="right"/>
        <w:rPr>
          <w:rFonts w:ascii="宋体" w:hAnsi="宋体" w:cs="宋体"/>
          <w:b/>
          <w:bCs/>
          <w:color w:val="auto"/>
          <w:kern w:val="0"/>
          <w:szCs w:val="21"/>
          <w:highlight w:val="none"/>
        </w:rPr>
      </w:pPr>
      <w:r>
        <w:rPr>
          <w:rFonts w:hint="eastAsia" w:ascii="宋体" w:hAnsi="宋体" w:cs="宋体"/>
          <w:b/>
          <w:bCs/>
          <w:color w:val="auto"/>
          <w:kern w:val="0"/>
          <w:szCs w:val="21"/>
          <w:highlight w:val="none"/>
        </w:rPr>
        <w:t>正本/或副本</w:t>
      </w:r>
    </w:p>
    <w:p>
      <w:pPr>
        <w:widowControl/>
        <w:snapToGrid w:val="0"/>
        <w:spacing w:before="120" w:beforeLines="50" w:after="50"/>
        <w:jc w:val="left"/>
        <w:rPr>
          <w:rFonts w:ascii="宋体" w:hAnsi="宋体" w:cs="宋体"/>
          <w:color w:val="auto"/>
          <w:kern w:val="0"/>
          <w:szCs w:val="21"/>
          <w:highlight w:val="none"/>
        </w:rPr>
      </w:pPr>
    </w:p>
    <w:p>
      <w:pPr>
        <w:widowControl/>
        <w:snapToGrid w:val="0"/>
        <w:spacing w:before="120" w:beforeLines="50" w:after="50"/>
        <w:jc w:val="center"/>
        <w:rPr>
          <w:rFonts w:ascii="宋体" w:hAnsi="宋体" w:cs="宋体"/>
          <w:bCs/>
          <w:color w:val="auto"/>
          <w:kern w:val="0"/>
          <w:szCs w:val="21"/>
          <w:highlight w:val="none"/>
        </w:rPr>
      </w:pPr>
      <w:r>
        <w:rPr>
          <w:rFonts w:hint="eastAsia" w:ascii="宋体" w:hAnsi="宋体" w:cs="宋体"/>
          <w:bCs/>
          <w:color w:val="auto"/>
          <w:kern w:val="0"/>
          <w:szCs w:val="21"/>
          <w:highlight w:val="none"/>
        </w:rPr>
        <w:t>报价文件</w:t>
      </w:r>
    </w:p>
    <w:p>
      <w:pPr>
        <w:widowControl/>
        <w:snapToGrid w:val="0"/>
        <w:spacing w:before="120" w:beforeLines="50" w:after="50"/>
        <w:jc w:val="left"/>
        <w:rPr>
          <w:rFonts w:ascii="宋体" w:hAnsi="宋体" w:cs="宋体"/>
          <w:bCs/>
          <w:color w:val="auto"/>
          <w:kern w:val="0"/>
          <w:szCs w:val="21"/>
          <w:highlight w:val="none"/>
        </w:rPr>
      </w:pPr>
    </w:p>
    <w:p>
      <w:pPr>
        <w:widowControl/>
        <w:snapToGrid w:val="0"/>
        <w:spacing w:before="120" w:beforeLines="50" w:after="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     项目名称：</w:t>
      </w: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 xml:space="preserve">项目编号： </w:t>
      </w:r>
    </w:p>
    <w:p>
      <w:pPr>
        <w:widowControl/>
        <w:snapToGrid w:val="0"/>
        <w:spacing w:before="120" w:beforeLines="50" w:after="50"/>
        <w:ind w:firstLine="525" w:firstLineChars="250"/>
        <w:jc w:val="left"/>
        <w:rPr>
          <w:rFonts w:ascii="宋体" w:hAnsi="宋体" w:cs="宋体"/>
          <w:bCs/>
          <w:color w:val="auto"/>
          <w:kern w:val="0"/>
          <w:szCs w:val="21"/>
          <w:highlight w:val="none"/>
        </w:rPr>
      </w:pPr>
      <w:r>
        <w:rPr>
          <w:rFonts w:hint="eastAsia" w:ascii="宋体" w:hAnsi="宋体" w:cs="宋体"/>
          <w:bCs/>
          <w:color w:val="auto"/>
          <w:kern w:val="0"/>
          <w:szCs w:val="21"/>
          <w:highlight w:val="none"/>
        </w:rPr>
        <w:t>标项号：</w:t>
      </w:r>
    </w:p>
    <w:p>
      <w:pPr>
        <w:widowControl/>
        <w:snapToGrid w:val="0"/>
        <w:spacing w:before="120" w:beforeLines="50" w:after="50"/>
        <w:ind w:firstLine="525" w:firstLineChars="250"/>
        <w:jc w:val="left"/>
        <w:rPr>
          <w:rFonts w:ascii="宋体" w:hAnsi="宋体" w:cs="宋体"/>
          <w:bCs/>
          <w:color w:val="auto"/>
          <w:kern w:val="0"/>
          <w:szCs w:val="21"/>
          <w:highlight w:val="none"/>
        </w:rPr>
      </w:pPr>
    </w:p>
    <w:p>
      <w:pPr>
        <w:widowControl/>
        <w:snapToGrid w:val="0"/>
        <w:spacing w:before="120" w:beforeLines="50" w:after="50"/>
        <w:ind w:firstLine="504" w:firstLineChars="240"/>
        <w:jc w:val="left"/>
        <w:rPr>
          <w:rFonts w:ascii="宋体" w:hAnsi="宋体" w:cs="宋体"/>
          <w:bCs/>
          <w:color w:val="auto"/>
          <w:kern w:val="0"/>
          <w:szCs w:val="21"/>
          <w:highlight w:val="none"/>
        </w:rPr>
      </w:pPr>
      <w:r>
        <w:rPr>
          <w:rFonts w:hint="eastAsia" w:ascii="宋体" w:hAnsi="宋体" w:cs="宋体"/>
          <w:bCs/>
          <w:color w:val="auto"/>
          <w:kern w:val="0"/>
          <w:szCs w:val="21"/>
          <w:highlight w:val="none"/>
        </w:rPr>
        <w:t>供应商名称：</w:t>
      </w:r>
    </w:p>
    <w:p>
      <w:pPr>
        <w:snapToGrid w:val="0"/>
        <w:spacing w:before="50" w:after="50"/>
        <w:ind w:firstLine="504" w:firstLineChars="240"/>
        <w:rPr>
          <w:rFonts w:ascii="宋体" w:hAnsi="宋体" w:cs="宋体"/>
          <w:bCs/>
          <w:color w:val="auto"/>
          <w:szCs w:val="21"/>
          <w:highlight w:val="none"/>
        </w:rPr>
      </w:pPr>
      <w:r>
        <w:rPr>
          <w:rFonts w:hint="eastAsia" w:ascii="宋体" w:hAnsi="宋体" w:cs="宋体"/>
          <w:bCs/>
          <w:color w:val="auto"/>
          <w:szCs w:val="21"/>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（供应商公章）</w:t>
      </w:r>
    </w:p>
    <w:p>
      <w:pPr>
        <w:widowControl/>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                                                      年  月  日</w:t>
      </w:r>
    </w:p>
    <w:p>
      <w:pPr>
        <w:widowControl/>
        <w:snapToGrid w:val="0"/>
        <w:spacing w:before="295" w:after="295"/>
        <w:jc w:val="center"/>
        <w:rPr>
          <w:rFonts w:ascii="宋体" w:hAnsi="宋体" w:cs="宋体"/>
          <w:color w:val="auto"/>
          <w:szCs w:val="21"/>
          <w:highlight w:val="none"/>
        </w:rPr>
      </w:pPr>
    </w:p>
    <w:p>
      <w:pPr>
        <w:widowControl/>
        <w:snapToGrid w:val="0"/>
        <w:spacing w:before="50" w:after="50"/>
        <w:jc w:val="left"/>
        <w:rPr>
          <w:rFonts w:ascii="宋体" w:hAnsi="宋体" w:cs="宋体"/>
          <w:color w:val="auto"/>
          <w:kern w:val="0"/>
          <w:szCs w:val="21"/>
          <w:highlight w:val="none"/>
        </w:rPr>
      </w:pPr>
      <w:r>
        <w:rPr>
          <w:rFonts w:hint="eastAsia" w:ascii="宋体" w:hAnsi="宋体" w:cs="宋体"/>
          <w:color w:val="auto"/>
          <w:kern w:val="0"/>
          <w:szCs w:val="21"/>
          <w:highlight w:val="none"/>
        </w:rPr>
        <w:br w:type="page"/>
      </w:r>
      <w:r>
        <w:rPr>
          <w:rFonts w:hint="eastAsia" w:ascii="宋体" w:hAnsi="宋体" w:cs="宋体"/>
          <w:color w:val="auto"/>
          <w:kern w:val="0"/>
          <w:szCs w:val="21"/>
          <w:highlight w:val="none"/>
        </w:rPr>
        <w:t>3.</w:t>
      </w:r>
      <w:r>
        <w:rPr>
          <w:rFonts w:hint="eastAsia" w:ascii="宋体" w:hAnsi="宋体" w:cs="宋体"/>
          <w:b/>
          <w:bCs/>
          <w:color w:val="auto"/>
          <w:kern w:val="0"/>
          <w:szCs w:val="21"/>
          <w:highlight w:val="none"/>
        </w:rPr>
        <w:t xml:space="preserve"> 报价文件目录</w:t>
      </w:r>
    </w:p>
    <w:p>
      <w:pPr>
        <w:widowControl/>
        <w:spacing w:line="360" w:lineRule="auto"/>
        <w:jc w:val="left"/>
        <w:rPr>
          <w:rFonts w:ascii="宋体" w:hAnsi="宋体" w:cs="宋体"/>
          <w:color w:val="auto"/>
          <w:kern w:val="0"/>
          <w:szCs w:val="21"/>
          <w:highlight w:val="none"/>
        </w:rPr>
      </w:pPr>
    </w:p>
    <w:p>
      <w:pPr>
        <w:widowControl/>
        <w:numPr>
          <w:ilvl w:val="0"/>
          <w:numId w:val="21"/>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开标一览表（格式见附件）；</w:t>
      </w:r>
    </w:p>
    <w:p>
      <w:pPr>
        <w:widowControl/>
        <w:numPr>
          <w:ilvl w:val="0"/>
          <w:numId w:val="21"/>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投标报价明细表（格式见附件）；</w:t>
      </w:r>
    </w:p>
    <w:p>
      <w:pPr>
        <w:widowControl/>
        <w:numPr>
          <w:ilvl w:val="0"/>
          <w:numId w:val="21"/>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中小企业声明函（如有）（格式见附件）；</w:t>
      </w:r>
    </w:p>
    <w:p>
      <w:pPr>
        <w:widowControl/>
        <w:numPr>
          <w:ilvl w:val="0"/>
          <w:numId w:val="21"/>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残疾人福利性单位声明函（如有）（格式见附件）；</w:t>
      </w:r>
    </w:p>
    <w:p>
      <w:pPr>
        <w:widowControl/>
        <w:numPr>
          <w:ilvl w:val="0"/>
          <w:numId w:val="21"/>
        </w:numPr>
        <w:spacing w:line="360" w:lineRule="auto"/>
        <w:jc w:val="left"/>
        <w:rPr>
          <w:rFonts w:ascii="宋体" w:hAnsi="宋体" w:cs="宋体"/>
          <w:color w:val="auto"/>
          <w:kern w:val="0"/>
          <w:szCs w:val="20"/>
          <w:highlight w:val="none"/>
        </w:rPr>
      </w:pPr>
      <w:r>
        <w:rPr>
          <w:rFonts w:hint="eastAsia" w:ascii="宋体" w:hAnsi="宋体" w:cs="宋体"/>
          <w:color w:val="auto"/>
          <w:kern w:val="0"/>
          <w:szCs w:val="20"/>
          <w:highlight w:val="none"/>
        </w:rPr>
        <w:t>供应商针对报价需要说明的其他文件和说明（格式见附件）；</w:t>
      </w:r>
    </w:p>
    <w:p>
      <w:pPr>
        <w:widowControl/>
        <w:jc w:val="left"/>
        <w:rPr>
          <w:rFonts w:ascii="宋体" w:hAnsi="宋体" w:cs="宋体"/>
          <w:b/>
          <w:bCs/>
          <w:color w:val="auto"/>
          <w:szCs w:val="21"/>
          <w:highlight w:val="none"/>
        </w:rPr>
        <w:sectPr>
          <w:pgSz w:w="11906" w:h="16838"/>
          <w:pgMar w:top="1304" w:right="1797" w:bottom="1247" w:left="1797" w:header="720" w:footer="720" w:gutter="0"/>
          <w:pgBorders>
            <w:top w:val="none" w:sz="0" w:space="0"/>
            <w:left w:val="none" w:sz="0" w:space="0"/>
            <w:bottom w:val="none" w:sz="0" w:space="0"/>
            <w:right w:val="none" w:sz="0" w:space="0"/>
          </w:pgBorders>
          <w:cols w:space="720" w:num="1"/>
        </w:sectPr>
      </w:pPr>
    </w:p>
    <w:p>
      <w:pPr>
        <w:widowControl/>
        <w:snapToGrid w:val="0"/>
        <w:spacing w:before="120" w:beforeLines="50" w:after="50"/>
        <w:jc w:val="left"/>
        <w:rPr>
          <w:rFonts w:ascii="宋体" w:hAnsi="宋体" w:cs="宋体"/>
          <w:color w:val="auto"/>
          <w:kern w:val="0"/>
          <w:szCs w:val="21"/>
          <w:highlight w:val="none"/>
          <w:u w:val="single"/>
        </w:rPr>
      </w:pPr>
      <w:r>
        <w:rPr>
          <w:rFonts w:hint="eastAsia" w:ascii="宋体" w:hAnsi="宋体" w:cs="宋体"/>
          <w:b/>
          <w:bCs/>
          <w:color w:val="auto"/>
          <w:kern w:val="0"/>
          <w:szCs w:val="21"/>
          <w:highlight w:val="none"/>
        </w:rPr>
        <w:t>4. 开标一览表</w:t>
      </w:r>
    </w:p>
    <w:p>
      <w:pPr>
        <w:widowControl/>
        <w:snapToGrid w:val="0"/>
        <w:spacing w:before="120" w:beforeLines="50" w:after="50"/>
        <w:jc w:val="center"/>
        <w:rPr>
          <w:rFonts w:ascii="宋体" w:hAnsi="宋体" w:cs="宋体"/>
          <w:b/>
          <w:color w:val="auto"/>
          <w:kern w:val="0"/>
          <w:szCs w:val="21"/>
          <w:highlight w:val="none"/>
        </w:rPr>
      </w:pPr>
      <w:r>
        <w:rPr>
          <w:rFonts w:hint="eastAsia" w:ascii="宋体" w:hAnsi="宋体" w:cs="宋体"/>
          <w:b/>
          <w:color w:val="auto"/>
          <w:kern w:val="0"/>
          <w:szCs w:val="21"/>
          <w:highlight w:val="none"/>
        </w:rPr>
        <w:t>开标一览表</w:t>
      </w:r>
    </w:p>
    <w:p>
      <w:pPr>
        <w:widowControl/>
        <w:snapToGrid w:val="0"/>
        <w:spacing w:before="50" w:after="50"/>
        <w:jc w:val="center"/>
        <w:rPr>
          <w:rFonts w:ascii="宋体" w:hAnsi="宋体" w:cs="宋体"/>
          <w:b/>
          <w:color w:val="auto"/>
          <w:kern w:val="0"/>
          <w:szCs w:val="21"/>
          <w:highlight w:val="none"/>
        </w:rPr>
      </w:pPr>
    </w:p>
    <w:p>
      <w:pPr>
        <w:widowControl/>
        <w:snapToGrid w:val="0"/>
        <w:spacing w:before="50" w:after="50"/>
        <w:ind w:firstLine="210" w:firstLineChars="100"/>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  项目编号：                   项目名称：                   标项号：</w:t>
      </w:r>
    </w:p>
    <w:p>
      <w:pPr>
        <w:ind w:firstLine="420"/>
        <w:jc w:val="right"/>
        <w:rPr>
          <w:rFonts w:ascii="宋体" w:hAnsi="宋体" w:cs="宋体"/>
          <w:color w:val="auto"/>
          <w:highlight w:val="none"/>
        </w:rPr>
      </w:pPr>
      <w:r>
        <w:rPr>
          <w:rFonts w:hint="eastAsia" w:ascii="宋体" w:hAnsi="宋体" w:cs="宋体"/>
          <w:color w:val="auto"/>
          <w:highlight w:val="none"/>
        </w:rPr>
        <w:t>单位：元</w:t>
      </w:r>
    </w:p>
    <w:tbl>
      <w:tblPr>
        <w:tblStyle w:val="28"/>
        <w:tblW w:w="89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4223"/>
        <w:gridCol w:w="774"/>
        <w:gridCol w:w="32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ascii="宋体" w:hAnsi="宋体"/>
                <w:b/>
                <w:color w:val="auto"/>
                <w:szCs w:val="21"/>
                <w:highlight w:val="none"/>
              </w:rPr>
            </w:pPr>
            <w:r>
              <w:rPr>
                <w:rFonts w:hint="eastAsia" w:ascii="宋体" w:hAnsi="宋体"/>
                <w:b/>
                <w:color w:val="auto"/>
                <w:szCs w:val="21"/>
                <w:highlight w:val="none"/>
              </w:rPr>
              <w:t>标项</w:t>
            </w: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采购内容</w:t>
            </w: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b/>
                <w:color w:val="auto"/>
                <w:szCs w:val="21"/>
                <w:highlight w:val="none"/>
              </w:rPr>
            </w:pPr>
            <w:r>
              <w:rPr>
                <w:rFonts w:hint="eastAsia" w:ascii="宋体" w:hAnsi="宋体" w:cs="宋体"/>
                <w:b/>
                <w:color w:val="auto"/>
                <w:szCs w:val="21"/>
                <w:highlight w:val="none"/>
              </w:rPr>
              <w:t>数量</w:t>
            </w: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eastAsia="宋体"/>
                <w:b/>
                <w:color w:val="auto"/>
                <w:szCs w:val="21"/>
                <w:highlight w:val="none"/>
                <w:lang w:val="en-US" w:eastAsia="zh-CN"/>
              </w:rPr>
            </w:pPr>
            <w:r>
              <w:rPr>
                <w:rFonts w:hint="eastAsia" w:ascii="宋体" w:hAnsi="宋体"/>
                <w:b/>
                <w:color w:val="auto"/>
                <w:szCs w:val="21"/>
                <w:highlight w:val="none"/>
              </w:rPr>
              <w:t>交货期</w:t>
            </w:r>
            <w:r>
              <w:rPr>
                <w:rFonts w:hint="eastAsia" w:ascii="宋体" w:hAnsi="宋体"/>
                <w:b/>
                <w:color w:val="auto"/>
                <w:szCs w:val="21"/>
                <w:highlight w:val="none"/>
                <w:lang w:val="en-US" w:eastAsia="zh-CN"/>
              </w:rPr>
              <w:t>/服务期限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4" w:hRule="atLeast"/>
          <w:jc w:val="center"/>
        </w:trPr>
        <w:tc>
          <w:tcPr>
            <w:tcW w:w="715" w:type="dxa"/>
            <w:tcBorders>
              <w:top w:val="single" w:color="auto" w:sz="4" w:space="0"/>
              <w:left w:val="single" w:color="auto" w:sz="4" w:space="0"/>
              <w:bottom w:val="nil"/>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42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77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00" w:lineRule="exact"/>
              <w:jc w:val="center"/>
              <w:rPr>
                <w:rFonts w:ascii="宋体" w:hAnsi="宋体" w:cs="宋体"/>
                <w:bCs/>
                <w:color w:val="auto"/>
                <w:szCs w:val="21"/>
                <w:highlight w:val="none"/>
              </w:rPr>
            </w:pPr>
          </w:p>
        </w:tc>
        <w:tc>
          <w:tcPr>
            <w:tcW w:w="3225" w:type="dxa"/>
            <w:tcBorders>
              <w:top w:val="single" w:color="auto" w:sz="4" w:space="0"/>
              <w:left w:val="single" w:color="auto" w:sz="4" w:space="0"/>
              <w:bottom w:val="single" w:color="auto" w:sz="4" w:space="0"/>
              <w:right w:val="single" w:color="auto" w:sz="4" w:space="0"/>
            </w:tcBorders>
            <w:vAlign w:val="center"/>
          </w:tcPr>
          <w:p>
            <w:pPr>
              <w:snapToGrid w:val="0"/>
              <w:spacing w:line="480" w:lineRule="auto"/>
              <w:jc w:val="center"/>
              <w:rPr>
                <w:rFonts w:ascii="宋体" w:hAnsi="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22"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u w:val="single"/>
              </w:rPr>
            </w:pPr>
            <w:r>
              <w:rPr>
                <w:rFonts w:hint="eastAsia" w:ascii="宋体" w:hAnsi="宋体"/>
                <w:color w:val="auto"/>
                <w:szCs w:val="21"/>
                <w:highlight w:val="none"/>
              </w:rPr>
              <w:t>投标总价：</w:t>
            </w:r>
            <w:r>
              <w:rPr>
                <w:rFonts w:hint="eastAsia" w:ascii="宋体" w:hAnsi="宋体"/>
                <w:color w:val="auto"/>
                <w:szCs w:val="21"/>
                <w:highlight w:val="none"/>
                <w:u w:val="single"/>
              </w:rPr>
              <w:t xml:space="preserve">大写：                            小写：￥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79" w:hRule="atLeast"/>
          <w:jc w:val="center"/>
        </w:trPr>
        <w:tc>
          <w:tcPr>
            <w:tcW w:w="8933" w:type="dxa"/>
            <w:gridSpan w:val="4"/>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ascii="宋体" w:hAnsi="宋体"/>
                <w:color w:val="auto"/>
                <w:szCs w:val="21"/>
                <w:highlight w:val="none"/>
              </w:rPr>
            </w:pPr>
            <w:r>
              <w:rPr>
                <w:rFonts w:hint="eastAsia" w:ascii="宋体" w:hAnsi="宋体"/>
                <w:color w:val="auto"/>
                <w:szCs w:val="21"/>
                <w:highlight w:val="none"/>
              </w:rPr>
              <w:t>投标声明：</w:t>
            </w:r>
          </w:p>
        </w:tc>
      </w:tr>
    </w:tbl>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注</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rPr>
        <w:t xml:space="preserve"> 1、报价一经涂改，应在涂改处加盖单位公章或者由法定代表人或授权委托人签字或盖章，否则其投标作无效标处理。</w:t>
      </w:r>
    </w:p>
    <w:p>
      <w:pPr>
        <w:widowControl/>
        <w:snapToGrid w:val="0"/>
        <w:spacing w:before="50" w:after="50" w:line="360" w:lineRule="auto"/>
        <w:jc w:val="left"/>
        <w:rPr>
          <w:rFonts w:ascii="宋体" w:hAnsi="宋体" w:cs="宋体"/>
          <w:color w:val="auto"/>
          <w:kern w:val="0"/>
          <w:szCs w:val="21"/>
          <w:highlight w:val="none"/>
        </w:rPr>
      </w:pPr>
      <w:r>
        <w:rPr>
          <w:rFonts w:hint="eastAsia" w:ascii="宋体" w:hAnsi="宋体" w:cs="宋体"/>
          <w:color w:val="auto"/>
          <w:kern w:val="0"/>
          <w:szCs w:val="21"/>
          <w:highlight w:val="none"/>
        </w:rPr>
        <w:t>2、以上报价应与“投标报价明细表”中的“投标总价”相一致。</w:t>
      </w:r>
    </w:p>
    <w:p>
      <w:pPr>
        <w:widowControl/>
        <w:snapToGrid w:val="0"/>
        <w:spacing w:before="50" w:after="50" w:line="360" w:lineRule="auto"/>
        <w:jc w:val="left"/>
        <w:rPr>
          <w:rFonts w:ascii="宋体" w:hAnsi="宋体" w:cs="宋体"/>
          <w:color w:val="auto"/>
          <w:kern w:val="0"/>
          <w:szCs w:val="21"/>
          <w:highlight w:val="none"/>
        </w:rPr>
      </w:pP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法定代表人或授权代表（签名或盖章）：                    </w:t>
      </w:r>
    </w:p>
    <w:p>
      <w:pPr>
        <w:widowControl/>
        <w:snapToGrid w:val="0"/>
        <w:spacing w:before="50" w:after="50" w:line="360" w:lineRule="auto"/>
        <w:ind w:right="-817" w:rightChars="-389"/>
        <w:jc w:val="left"/>
        <w:rPr>
          <w:rFonts w:ascii="宋体" w:hAnsi="宋体" w:cs="宋体"/>
          <w:color w:val="auto"/>
          <w:kern w:val="0"/>
          <w:szCs w:val="21"/>
          <w:highlight w:val="none"/>
        </w:rPr>
      </w:pPr>
      <w:r>
        <w:rPr>
          <w:rFonts w:hint="eastAsia" w:ascii="宋体" w:hAnsi="宋体" w:cs="宋体"/>
          <w:color w:val="auto"/>
          <w:kern w:val="0"/>
          <w:szCs w:val="21"/>
          <w:highlight w:val="none"/>
        </w:rPr>
        <w:t>供应商名称（盖章）：                                     日期：    年   月   日</w:t>
      </w:r>
    </w:p>
    <w:p>
      <w:pPr>
        <w:widowControl/>
        <w:jc w:val="left"/>
        <w:rPr>
          <w:rFonts w:ascii="宋体" w:hAnsi="宋体" w:cs="宋体"/>
          <w:color w:val="auto"/>
          <w:szCs w:val="21"/>
          <w:highlight w:val="none"/>
        </w:rPr>
        <w:sectPr>
          <w:pgSz w:w="11906" w:h="16838"/>
          <w:pgMar w:top="1304" w:right="1797" w:bottom="1247" w:left="1797" w:header="720" w:footer="720" w:gutter="0"/>
          <w:pgBorders>
            <w:top w:val="none" w:sz="0" w:space="0"/>
            <w:left w:val="none" w:sz="0" w:space="0"/>
            <w:bottom w:val="none" w:sz="0" w:space="0"/>
            <w:right w:val="none" w:sz="0" w:space="0"/>
          </w:pgBorders>
          <w:cols w:space="720" w:num="1"/>
        </w:sectPr>
      </w:pPr>
    </w:p>
    <w:p>
      <w:pPr>
        <w:snapToGrid w:val="0"/>
        <w:rPr>
          <w:rFonts w:ascii="宋体" w:hAnsi="宋体" w:cs="宋体"/>
          <w:b/>
          <w:bCs/>
          <w:color w:val="auto"/>
          <w:szCs w:val="21"/>
          <w:highlight w:val="none"/>
        </w:rPr>
      </w:pPr>
      <w:r>
        <w:rPr>
          <w:rFonts w:hint="eastAsia" w:ascii="宋体" w:hAnsi="宋体" w:cs="宋体"/>
          <w:b/>
          <w:bCs/>
          <w:color w:val="auto"/>
          <w:szCs w:val="21"/>
          <w:highlight w:val="none"/>
        </w:rPr>
        <w:t>5.投标报价明细表格式</w:t>
      </w:r>
    </w:p>
    <w:p>
      <w:pPr>
        <w:jc w:val="center"/>
        <w:rPr>
          <w:rFonts w:ascii="宋体" w:hAnsi="宋体" w:cs="宋体"/>
          <w:b/>
          <w:color w:val="auto"/>
          <w:sz w:val="32"/>
          <w:szCs w:val="32"/>
          <w:highlight w:val="none"/>
        </w:rPr>
      </w:pPr>
      <w:r>
        <w:rPr>
          <w:rFonts w:hint="eastAsia" w:ascii="宋体" w:hAnsi="宋体" w:cs="宋体"/>
          <w:b/>
          <w:color w:val="auto"/>
          <w:sz w:val="32"/>
          <w:szCs w:val="32"/>
          <w:highlight w:val="none"/>
        </w:rPr>
        <w:t>投标报价明细表</w:t>
      </w:r>
    </w:p>
    <w:p>
      <w:pPr>
        <w:rPr>
          <w:rFonts w:ascii="宋体" w:hAnsi="宋体" w:cs="宋体"/>
          <w:color w:val="auto"/>
          <w:spacing w:val="-4"/>
          <w:szCs w:val="21"/>
          <w:highlight w:val="none"/>
        </w:rPr>
      </w:pPr>
      <w:r>
        <w:rPr>
          <w:rFonts w:hint="eastAsia" w:ascii="宋体" w:hAnsi="宋体" w:cs="宋体"/>
          <w:color w:val="auto"/>
          <w:spacing w:val="-4"/>
          <w:szCs w:val="21"/>
          <w:highlight w:val="none"/>
        </w:rPr>
        <w:t>采购项目：</w:t>
      </w:r>
    </w:p>
    <w:p>
      <w:pPr>
        <w:rPr>
          <w:rFonts w:ascii="宋体" w:hAnsi="宋体" w:cs="宋体"/>
          <w:color w:val="auto"/>
          <w:spacing w:val="-4"/>
          <w:szCs w:val="21"/>
          <w:highlight w:val="none"/>
        </w:rPr>
      </w:pPr>
      <w:r>
        <w:rPr>
          <w:rFonts w:hint="eastAsia" w:ascii="宋体" w:hAnsi="宋体" w:cs="宋体"/>
          <w:color w:val="auto"/>
          <w:spacing w:val="-4"/>
          <w:szCs w:val="21"/>
          <w:highlight w:val="none"/>
        </w:rPr>
        <w:t>项目编号：</w:t>
      </w:r>
    </w:p>
    <w:tbl>
      <w:tblPr>
        <w:tblStyle w:val="28"/>
        <w:tblW w:w="8497" w:type="dxa"/>
        <w:jc w:val="center"/>
        <w:tblLayout w:type="fixed"/>
        <w:tblCellMar>
          <w:top w:w="0" w:type="dxa"/>
          <w:left w:w="108" w:type="dxa"/>
          <w:bottom w:w="0" w:type="dxa"/>
          <w:right w:w="108" w:type="dxa"/>
        </w:tblCellMar>
      </w:tblPr>
      <w:tblGrid>
        <w:gridCol w:w="668"/>
        <w:gridCol w:w="2729"/>
        <w:gridCol w:w="1470"/>
        <w:gridCol w:w="1286"/>
        <w:gridCol w:w="1172"/>
        <w:gridCol w:w="1172"/>
      </w:tblGrid>
      <w:tr>
        <w:tblPrEx>
          <w:tblCellMar>
            <w:top w:w="0" w:type="dxa"/>
            <w:left w:w="108" w:type="dxa"/>
            <w:bottom w:w="0" w:type="dxa"/>
            <w:right w:w="108" w:type="dxa"/>
          </w:tblCellMar>
        </w:tblPrEx>
        <w:trPr>
          <w:trHeight w:val="960"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序号</w:t>
            </w: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项目内容</w:t>
            </w: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单位及数量</w:t>
            </w: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default" w:ascii="宋体" w:hAnsi="宋体" w:eastAsia="宋体" w:cs="宋体"/>
                <w:color w:val="auto"/>
                <w:spacing w:val="20"/>
                <w:szCs w:val="21"/>
                <w:highlight w:val="none"/>
                <w:lang w:val="en-US" w:eastAsia="zh-CN"/>
              </w:rPr>
            </w:pPr>
            <w:r>
              <w:rPr>
                <w:rFonts w:hint="eastAsia" w:ascii="宋体" w:hAnsi="宋体" w:cs="宋体"/>
                <w:color w:val="auto"/>
                <w:spacing w:val="20"/>
                <w:szCs w:val="21"/>
                <w:highlight w:val="none"/>
                <w:lang w:val="en-US" w:eastAsia="zh-CN"/>
              </w:rPr>
              <w:t>规格型号</w:t>
            </w: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cs="宋体"/>
                <w:color w:val="auto"/>
                <w:szCs w:val="21"/>
                <w:highlight w:val="none"/>
              </w:rPr>
            </w:pPr>
            <w:r>
              <w:rPr>
                <w:rFonts w:hint="eastAsia" w:ascii="宋体" w:hAnsi="宋体" w:cs="宋体"/>
                <w:color w:val="auto"/>
                <w:szCs w:val="21"/>
                <w:highlight w:val="none"/>
              </w:rPr>
              <w:t>单价</w:t>
            </w: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zCs w:val="21"/>
                <w:highlight w:val="none"/>
              </w:rPr>
              <w:t>金额（元）</w:t>
            </w: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hint="eastAsia" w:ascii="宋体" w:hAnsi="宋体" w:eastAsia="宋体" w:cs="宋体"/>
                <w:color w:val="auto"/>
                <w:spacing w:val="20"/>
                <w:szCs w:val="21"/>
                <w:highlight w:val="none"/>
                <w:lang w:val="en-US" w:eastAsia="zh-CN"/>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36" w:hRule="atLeast"/>
          <w:jc w:val="center"/>
        </w:trPr>
        <w:tc>
          <w:tcPr>
            <w:tcW w:w="668"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2729"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470"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286"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r>
        <w:tblPrEx>
          <w:tblCellMar>
            <w:top w:w="0" w:type="dxa"/>
            <w:left w:w="108" w:type="dxa"/>
            <w:bottom w:w="0" w:type="dxa"/>
            <w:right w:w="108" w:type="dxa"/>
          </w:tblCellMar>
        </w:tblPrEx>
        <w:trPr>
          <w:trHeight w:val="546" w:hRule="atLeast"/>
          <w:jc w:val="center"/>
        </w:trPr>
        <w:tc>
          <w:tcPr>
            <w:tcW w:w="7325" w:type="dxa"/>
            <w:gridSpan w:val="5"/>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r>
              <w:rPr>
                <w:rFonts w:hint="eastAsia" w:ascii="宋体" w:hAnsi="宋体" w:cs="宋体"/>
                <w:color w:val="auto"/>
                <w:spacing w:val="20"/>
                <w:szCs w:val="21"/>
                <w:highlight w:val="none"/>
              </w:rPr>
              <w:t>投标总价（元）</w:t>
            </w:r>
          </w:p>
        </w:tc>
        <w:tc>
          <w:tcPr>
            <w:tcW w:w="1172" w:type="dxa"/>
            <w:tcBorders>
              <w:top w:val="single" w:color="auto" w:sz="4" w:space="0"/>
              <w:left w:val="nil"/>
              <w:bottom w:val="single" w:color="auto" w:sz="4" w:space="0"/>
              <w:right w:val="single" w:color="auto" w:sz="4" w:space="0"/>
            </w:tcBorders>
            <w:vAlign w:val="center"/>
          </w:tcPr>
          <w:p>
            <w:pPr>
              <w:snapToGrid w:val="0"/>
              <w:spacing w:before="50" w:after="50" w:line="360" w:lineRule="auto"/>
              <w:jc w:val="center"/>
              <w:rPr>
                <w:rFonts w:ascii="宋体" w:hAnsi="宋体" w:cs="宋体"/>
                <w:color w:val="auto"/>
                <w:spacing w:val="20"/>
                <w:szCs w:val="21"/>
                <w:highlight w:val="none"/>
              </w:rPr>
            </w:pPr>
          </w:p>
        </w:tc>
      </w:tr>
    </w:tbl>
    <w:p>
      <w:pPr>
        <w:rPr>
          <w:rFonts w:ascii="宋体" w:hAnsi="宋体" w:cs="宋体"/>
          <w:bCs/>
          <w:color w:val="auto"/>
          <w:szCs w:val="21"/>
          <w:highlight w:val="none"/>
        </w:rPr>
      </w:pPr>
    </w:p>
    <w:p>
      <w:pPr>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p>
    <w:p>
      <w:pPr>
        <w:spacing w:line="360" w:lineRule="auto"/>
        <w:ind w:firstLine="4095" w:firstLineChars="1950"/>
        <w:rPr>
          <w:rFonts w:ascii="宋体" w:hAnsi="宋体" w:cs="宋体"/>
          <w:color w:val="auto"/>
          <w:highlight w:val="none"/>
        </w:rPr>
      </w:pPr>
      <w:r>
        <w:rPr>
          <w:rFonts w:hint="eastAsia" w:ascii="宋体" w:hAnsi="宋体" w:cs="宋体"/>
          <w:color w:val="auto"/>
          <w:highlight w:val="none"/>
        </w:rPr>
        <w:t xml:space="preserve">法定代表人或授权代表（签名或印章）：        </w:t>
      </w:r>
    </w:p>
    <w:p>
      <w:pPr>
        <w:spacing w:line="360" w:lineRule="auto"/>
        <w:ind w:firstLine="5460" w:firstLineChars="2600"/>
        <w:rPr>
          <w:rFonts w:ascii="宋体" w:hAnsi="宋体" w:cs="宋体"/>
          <w:color w:val="auto"/>
          <w:highlight w:val="none"/>
        </w:rPr>
      </w:pPr>
      <w:r>
        <w:rPr>
          <w:rFonts w:hint="eastAsia" w:ascii="宋体" w:hAnsi="宋体" w:cs="宋体"/>
          <w:color w:val="auto"/>
          <w:highlight w:val="none"/>
        </w:rPr>
        <w:t xml:space="preserve">供应商盖章：         </w:t>
      </w:r>
    </w:p>
    <w:p>
      <w:pPr>
        <w:spacing w:after="120"/>
        <w:ind w:firstLine="5460" w:firstLineChars="2600"/>
        <w:rPr>
          <w:rFonts w:ascii="宋体" w:hAnsi="宋体" w:cs="宋体"/>
          <w:color w:val="auto"/>
          <w:highlight w:val="none"/>
        </w:rPr>
      </w:pPr>
      <w:r>
        <w:rPr>
          <w:rFonts w:hint="eastAsia" w:ascii="宋体" w:hAnsi="宋体" w:cs="宋体"/>
          <w:color w:val="auto"/>
          <w:highlight w:val="none"/>
        </w:rPr>
        <w:t xml:space="preserve">日  </w:t>
      </w:r>
      <w:r>
        <w:rPr>
          <w:rFonts w:hint="eastAsia" w:ascii="宋体" w:hAnsi="宋体" w:cs="宋体"/>
          <w:color w:val="auto"/>
          <w:highlight w:val="none"/>
          <w:lang w:val="en-US" w:eastAsia="zh-CN"/>
        </w:rPr>
        <w:t xml:space="preserve">    </w:t>
      </w:r>
      <w:r>
        <w:rPr>
          <w:rFonts w:hint="eastAsia" w:ascii="宋体" w:hAnsi="宋体" w:cs="宋体"/>
          <w:color w:val="auto"/>
          <w:highlight w:val="none"/>
        </w:rPr>
        <w:t>期：</w:t>
      </w:r>
    </w:p>
    <w:p>
      <w:pPr>
        <w:spacing w:after="120"/>
        <w:rPr>
          <w:rFonts w:ascii="宋体" w:hAnsi="宋体" w:cs="宋体"/>
          <w:color w:val="auto"/>
          <w:szCs w:val="21"/>
          <w:highlight w:val="none"/>
        </w:rPr>
      </w:pPr>
      <w:r>
        <w:rPr>
          <w:rFonts w:hint="eastAsia" w:ascii="宋体" w:hAnsi="宋体" w:cs="宋体"/>
          <w:color w:val="auto"/>
          <w:highlight w:val="none"/>
        </w:rPr>
        <w:br w:type="page"/>
      </w:r>
      <w:r>
        <w:rPr>
          <w:rFonts w:hint="eastAsia" w:ascii="宋体" w:hAnsi="宋体" w:cs="宋体"/>
          <w:b/>
          <w:bCs/>
          <w:color w:val="auto"/>
          <w:highlight w:val="none"/>
        </w:rPr>
        <w:t>6.</w:t>
      </w:r>
      <w:r>
        <w:rPr>
          <w:rFonts w:hint="eastAsia" w:ascii="宋体" w:hAnsi="宋体" w:cs="宋体"/>
          <w:b/>
          <w:bCs/>
          <w:color w:val="auto"/>
          <w:szCs w:val="21"/>
          <w:highlight w:val="none"/>
        </w:rPr>
        <w:t>中小企业声明函</w:t>
      </w:r>
    </w:p>
    <w:p>
      <w:pPr>
        <w:spacing w:after="120" w:line="520" w:lineRule="exact"/>
        <w:ind w:left="420" w:leftChars="200"/>
        <w:jc w:val="center"/>
        <w:rPr>
          <w:rFonts w:ascii="宋体" w:hAnsi="宋体" w:cs="宋体"/>
          <w:b/>
          <w:color w:val="auto"/>
          <w:sz w:val="28"/>
          <w:szCs w:val="28"/>
          <w:highlight w:val="none"/>
        </w:rPr>
      </w:pPr>
      <w:r>
        <w:rPr>
          <w:rFonts w:hint="eastAsia" w:ascii="宋体" w:hAnsi="宋体" w:cs="宋体"/>
          <w:b/>
          <w:color w:val="auto"/>
          <w:sz w:val="28"/>
          <w:szCs w:val="28"/>
          <w:highlight w:val="none"/>
        </w:rPr>
        <w:t>中小企业声明函（</w:t>
      </w:r>
      <w:r>
        <w:rPr>
          <w:rFonts w:hint="eastAsia" w:ascii="宋体" w:hAnsi="宋体" w:cs="宋体"/>
          <w:b/>
          <w:color w:val="auto"/>
          <w:sz w:val="28"/>
          <w:szCs w:val="28"/>
          <w:highlight w:val="none"/>
          <w:lang w:val="en-US" w:eastAsia="zh-CN"/>
        </w:rPr>
        <w:t>标项一、标项二</w:t>
      </w:r>
      <w:r>
        <w:rPr>
          <w:rFonts w:hint="eastAsia" w:ascii="宋体" w:hAnsi="宋体" w:cs="宋体"/>
          <w:b/>
          <w:color w:val="auto"/>
          <w:sz w:val="28"/>
          <w:szCs w:val="28"/>
          <w:highlight w:val="none"/>
        </w:rPr>
        <w:t>）</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本公司（联合体）郑重声明，根据《政府采购促进中小企业发展管理办法》（财库﹝2020﹞46 号）的规定，本公司（联合体）参加</w:t>
      </w:r>
      <w:r>
        <w:rPr>
          <w:rFonts w:hint="eastAsia" w:ascii="宋体" w:hAnsi="宋体" w:cs="宋体"/>
          <w:color w:val="auto"/>
          <w:kern w:val="0"/>
          <w:szCs w:val="20"/>
          <w:highlight w:val="none"/>
          <w:u w:val="single"/>
        </w:rPr>
        <w:t>（  单位名称  ）</w:t>
      </w:r>
      <w:r>
        <w:rPr>
          <w:rFonts w:hint="eastAsia" w:ascii="宋体" w:hAnsi="宋体" w:cs="宋体"/>
          <w:color w:val="auto"/>
          <w:kern w:val="0"/>
          <w:szCs w:val="20"/>
          <w:highlight w:val="none"/>
        </w:rPr>
        <w:t>的</w:t>
      </w:r>
      <w:r>
        <w:rPr>
          <w:rFonts w:hint="eastAsia" w:ascii="宋体" w:hAnsi="宋体" w:cs="宋体"/>
          <w:color w:val="auto"/>
          <w:kern w:val="0"/>
          <w:szCs w:val="20"/>
          <w:highlight w:val="none"/>
          <w:u w:val="single"/>
        </w:rPr>
        <w:t>（  项目名称  ）</w:t>
      </w:r>
      <w:r>
        <w:rPr>
          <w:rFonts w:hint="eastAsia" w:ascii="宋体" w:hAnsi="宋体" w:cs="宋体"/>
          <w:color w:val="auto"/>
          <w:kern w:val="0"/>
          <w:szCs w:val="20"/>
          <w:highlight w:val="none"/>
        </w:rPr>
        <w:t xml:space="preserve">采购活动，提供的货物全部由符合政策要求的中小企业制造。相关企业 （含联合体中的中小企业、签订分包意向协议的中小企业）的具体情况如下： </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1.</w:t>
      </w:r>
      <w:r>
        <w:rPr>
          <w:rFonts w:hint="eastAsia" w:ascii="宋体" w:hAnsi="宋体" w:cs="宋体"/>
          <w:color w:val="auto"/>
          <w:kern w:val="0"/>
          <w:szCs w:val="20"/>
          <w:highlight w:val="none"/>
          <w:u w:val="single"/>
        </w:rPr>
        <w:t xml:space="preserve"> （  标的名称  ） </w:t>
      </w:r>
      <w:r>
        <w:rPr>
          <w:rFonts w:hint="eastAsia" w:ascii="宋体" w:hAnsi="宋体" w:cs="宋体"/>
          <w:color w:val="auto"/>
          <w:kern w:val="0"/>
          <w:szCs w:val="20"/>
          <w:highlight w:val="none"/>
        </w:rPr>
        <w:t>，属于</w:t>
      </w:r>
      <w:r>
        <w:rPr>
          <w:rFonts w:hint="eastAsia" w:ascii="宋体" w:hAnsi="宋体" w:cs="宋体"/>
          <w:color w:val="auto"/>
          <w:kern w:val="0"/>
          <w:szCs w:val="20"/>
          <w:highlight w:val="none"/>
          <w:u w:val="single"/>
        </w:rPr>
        <w:t>（  软件和信息技术服务业  ）</w:t>
      </w:r>
      <w:r>
        <w:rPr>
          <w:rFonts w:hint="eastAsia" w:ascii="宋体" w:hAnsi="宋体" w:cs="宋体"/>
          <w:color w:val="auto"/>
          <w:kern w:val="0"/>
          <w:szCs w:val="20"/>
          <w:highlight w:val="none"/>
        </w:rPr>
        <w:t>行业；制造商为</w:t>
      </w:r>
      <w:r>
        <w:rPr>
          <w:rFonts w:hint="eastAsia" w:ascii="宋体" w:hAnsi="宋体" w:cs="宋体"/>
          <w:color w:val="auto"/>
          <w:kern w:val="0"/>
          <w:szCs w:val="20"/>
          <w:highlight w:val="none"/>
          <w:u w:val="single"/>
        </w:rPr>
        <w:t>（  企业名称  ）</w:t>
      </w:r>
      <w:r>
        <w:rPr>
          <w:rFonts w:hint="eastAsia" w:ascii="宋体" w:hAnsi="宋体" w:cs="宋体"/>
          <w:color w:val="auto"/>
          <w:kern w:val="0"/>
          <w:szCs w:val="20"/>
          <w:highlight w:val="none"/>
        </w:rPr>
        <w:t>，从业人员</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人，营业收入为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万元，资产总额为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w:t>
      </w:r>
      <w:r>
        <w:rPr>
          <w:rFonts w:hint="eastAsia" w:ascii="宋体" w:hAnsi="宋体" w:cs="宋体"/>
          <w:color w:val="auto"/>
          <w:kern w:val="0"/>
          <w:szCs w:val="20"/>
          <w:highlight w:val="none"/>
          <w:vertAlign w:val="superscript"/>
        </w:rPr>
        <w:t>1</w:t>
      </w:r>
      <w:r>
        <w:rPr>
          <w:rFonts w:hint="eastAsia" w:ascii="宋体" w:hAnsi="宋体" w:cs="宋体"/>
          <w:color w:val="auto"/>
          <w:kern w:val="0"/>
          <w:szCs w:val="20"/>
          <w:highlight w:val="none"/>
        </w:rPr>
        <w:t>，属于</w:t>
      </w:r>
      <w:r>
        <w:rPr>
          <w:rFonts w:hint="eastAsia" w:ascii="宋体" w:hAnsi="宋体" w:cs="宋体"/>
          <w:color w:val="auto"/>
          <w:kern w:val="0"/>
          <w:szCs w:val="20"/>
          <w:highlight w:val="none"/>
          <w:u w:val="single"/>
        </w:rPr>
        <w:t>（  中型企业、小型企业、微型企业  ）</w:t>
      </w:r>
      <w:r>
        <w:rPr>
          <w:rFonts w:hint="eastAsia" w:ascii="宋体" w:hAnsi="宋体" w:cs="宋体"/>
          <w:color w:val="auto"/>
          <w:kern w:val="0"/>
          <w:szCs w:val="20"/>
          <w:highlight w:val="none"/>
        </w:rPr>
        <w:t xml:space="preserve">； </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2.</w:t>
      </w:r>
      <w:r>
        <w:rPr>
          <w:rFonts w:hint="eastAsia" w:ascii="宋体" w:hAnsi="宋体" w:cs="宋体"/>
          <w:color w:val="auto"/>
          <w:kern w:val="0"/>
          <w:szCs w:val="20"/>
          <w:highlight w:val="none"/>
          <w:u w:val="single"/>
        </w:rPr>
        <w:t xml:space="preserve"> （  标的名称  ） </w:t>
      </w:r>
      <w:r>
        <w:rPr>
          <w:rFonts w:hint="eastAsia" w:ascii="宋体" w:hAnsi="宋体" w:cs="宋体"/>
          <w:color w:val="auto"/>
          <w:kern w:val="0"/>
          <w:szCs w:val="20"/>
          <w:highlight w:val="none"/>
        </w:rPr>
        <w:t>，属于</w:t>
      </w:r>
      <w:r>
        <w:rPr>
          <w:rFonts w:hint="eastAsia" w:ascii="宋体" w:hAnsi="宋体" w:cs="宋体"/>
          <w:color w:val="auto"/>
          <w:kern w:val="0"/>
          <w:szCs w:val="20"/>
          <w:highlight w:val="none"/>
          <w:u w:val="single"/>
        </w:rPr>
        <w:t xml:space="preserve">（  软件和信息技术服务业  </w:t>
      </w:r>
      <w:r>
        <w:rPr>
          <w:rFonts w:hint="eastAsia" w:ascii="宋体" w:hAnsi="宋体" w:cs="宋体"/>
          <w:color w:val="auto"/>
          <w:kern w:val="0"/>
          <w:szCs w:val="20"/>
          <w:highlight w:val="none"/>
        </w:rPr>
        <w:t>）行业；制造商为</w:t>
      </w:r>
      <w:r>
        <w:rPr>
          <w:rFonts w:hint="eastAsia" w:ascii="宋体" w:hAnsi="宋体" w:cs="宋体"/>
          <w:color w:val="auto"/>
          <w:kern w:val="0"/>
          <w:szCs w:val="20"/>
          <w:highlight w:val="none"/>
          <w:u w:val="single"/>
        </w:rPr>
        <w:t>（  企业名称  ）</w:t>
      </w:r>
      <w:r>
        <w:rPr>
          <w:rFonts w:hint="eastAsia" w:ascii="宋体" w:hAnsi="宋体" w:cs="宋体"/>
          <w:color w:val="auto"/>
          <w:kern w:val="0"/>
          <w:szCs w:val="20"/>
          <w:highlight w:val="none"/>
        </w:rPr>
        <w:t>，从业人员</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人，营业收入为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万元，资产总额为</w:t>
      </w:r>
      <w:r>
        <w:rPr>
          <w:rFonts w:hint="eastAsia" w:ascii="宋体" w:hAnsi="宋体" w:cs="宋体"/>
          <w:color w:val="auto"/>
          <w:kern w:val="0"/>
          <w:szCs w:val="20"/>
          <w:highlight w:val="none"/>
          <w:u w:val="single"/>
        </w:rPr>
        <w:t xml:space="preserve">       </w:t>
      </w:r>
      <w:r>
        <w:rPr>
          <w:rFonts w:hint="eastAsia" w:ascii="宋体" w:hAnsi="宋体" w:cs="宋体"/>
          <w:color w:val="auto"/>
          <w:kern w:val="0"/>
          <w:szCs w:val="20"/>
          <w:highlight w:val="none"/>
        </w:rPr>
        <w:t>万元，属于</w:t>
      </w:r>
      <w:r>
        <w:rPr>
          <w:rFonts w:hint="eastAsia" w:ascii="宋体" w:hAnsi="宋体" w:cs="宋体"/>
          <w:color w:val="auto"/>
          <w:kern w:val="0"/>
          <w:szCs w:val="20"/>
          <w:highlight w:val="none"/>
          <w:u w:val="single"/>
        </w:rPr>
        <w:t>（  中型企业、小型企业、微型企业  ）</w:t>
      </w:r>
      <w:r>
        <w:rPr>
          <w:rFonts w:hint="eastAsia" w:ascii="宋体" w:hAnsi="宋体" w:cs="宋体"/>
          <w:color w:val="auto"/>
          <w:kern w:val="0"/>
          <w:szCs w:val="20"/>
          <w:highlight w:val="none"/>
        </w:rPr>
        <w:t xml:space="preserve">； </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以上企业，不属于大企业的分支机构，不存在控股股东为大企业的情形，也不存在与大企业的负责人为同一人的情形。</w:t>
      </w:r>
    </w:p>
    <w:p>
      <w:pPr>
        <w:widowControl/>
        <w:spacing w:before="240" w:line="360" w:lineRule="auto"/>
        <w:ind w:firstLine="420" w:firstLineChars="200"/>
        <w:jc w:val="left"/>
        <w:rPr>
          <w:rFonts w:ascii="宋体" w:hAnsi="宋体" w:cs="宋体"/>
          <w:color w:val="auto"/>
          <w:kern w:val="0"/>
          <w:szCs w:val="20"/>
          <w:highlight w:val="none"/>
        </w:rPr>
      </w:pPr>
      <w:r>
        <w:rPr>
          <w:rFonts w:hint="eastAsia" w:ascii="宋体" w:hAnsi="宋体" w:cs="宋体"/>
          <w:color w:val="auto"/>
          <w:kern w:val="0"/>
          <w:szCs w:val="20"/>
          <w:highlight w:val="none"/>
        </w:rPr>
        <w:t xml:space="preserve">本企业对上述声明内容的真实性负责。如有虚假，将依法承担相应责任。 </w:t>
      </w:r>
    </w:p>
    <w:p>
      <w:pPr>
        <w:widowControl/>
        <w:spacing w:line="360" w:lineRule="auto"/>
        <w:jc w:val="left"/>
        <w:rPr>
          <w:rFonts w:ascii="Times New Roman" w:hAnsi="宋体" w:cs="宋体"/>
          <w:color w:val="auto"/>
          <w:kern w:val="0"/>
          <w:szCs w:val="20"/>
          <w:highlight w:val="none"/>
          <w:lang w:bidi="ar"/>
        </w:rPr>
      </w:pPr>
      <w:r>
        <w:rPr>
          <w:rFonts w:hint="eastAsia" w:ascii="Times New Roman" w:hAnsi="宋体" w:cs="宋体"/>
          <w:color w:val="auto"/>
          <w:kern w:val="0"/>
          <w:szCs w:val="20"/>
          <w:highlight w:val="none"/>
          <w:lang w:bidi="ar"/>
        </w:rPr>
        <w:t>　　</w:t>
      </w:r>
    </w:p>
    <w:p>
      <w:pPr>
        <w:widowControl/>
        <w:spacing w:line="360" w:lineRule="auto"/>
        <w:jc w:val="left"/>
        <w:rPr>
          <w:rFonts w:ascii="Times New Roman" w:hAnsi="宋体" w:cs="宋体"/>
          <w:color w:val="auto"/>
          <w:kern w:val="0"/>
          <w:szCs w:val="20"/>
          <w:highlight w:val="none"/>
          <w:lang w:bidi="ar"/>
        </w:rPr>
      </w:pPr>
      <w:r>
        <w:rPr>
          <w:rFonts w:hint="eastAsia" w:ascii="Times New Roman" w:hAnsi="宋体" w:cs="宋体"/>
          <w:color w:val="auto"/>
          <w:kern w:val="0"/>
          <w:szCs w:val="20"/>
          <w:highlight w:val="none"/>
          <w:lang w:bidi="ar"/>
        </w:rPr>
        <w:t xml:space="preserve">供应商名称（盖章）：                          </w:t>
      </w:r>
    </w:p>
    <w:p>
      <w:pPr>
        <w:widowControl/>
        <w:spacing w:line="360" w:lineRule="auto"/>
        <w:jc w:val="left"/>
        <w:rPr>
          <w:rFonts w:ascii="Times New Roman" w:hAnsi="宋体" w:cs="宋体"/>
          <w:color w:val="auto"/>
          <w:kern w:val="0"/>
          <w:szCs w:val="20"/>
          <w:highlight w:val="none"/>
          <w:lang w:bidi="ar"/>
        </w:rPr>
      </w:pPr>
      <w:r>
        <w:rPr>
          <w:rFonts w:hint="eastAsia" w:ascii="Times New Roman" w:hAnsi="宋体" w:cs="宋体"/>
          <w:color w:val="auto"/>
          <w:kern w:val="0"/>
          <w:szCs w:val="20"/>
          <w:highlight w:val="none"/>
          <w:lang w:bidi="ar"/>
        </w:rPr>
        <w:t>　　日  期：</w:t>
      </w:r>
    </w:p>
    <w:p>
      <w:pPr>
        <w:widowControl/>
        <w:spacing w:before="240" w:line="360" w:lineRule="auto"/>
        <w:ind w:firstLine="420" w:firstLineChars="200"/>
        <w:jc w:val="left"/>
        <w:rPr>
          <w:rFonts w:ascii="宋体" w:hAnsi="宋体" w:cs="宋体"/>
          <w:color w:val="auto"/>
          <w:kern w:val="0"/>
          <w:szCs w:val="22"/>
          <w:highlight w:val="none"/>
        </w:rPr>
      </w:pPr>
      <w:r>
        <w:rPr>
          <w:rFonts w:hint="eastAsia" w:ascii="宋体" w:hAnsi="宋体" w:cs="宋体"/>
          <w:color w:val="auto"/>
          <w:kern w:val="0"/>
          <w:szCs w:val="22"/>
          <w:highlight w:val="none"/>
        </w:rPr>
        <w:t>注：1.从业人员、营业收入、资产总额填报上一年度数据，无上一年度数据的新成立企业可不填报。</w:t>
      </w:r>
    </w:p>
    <w:p>
      <w:pPr>
        <w:widowControl/>
        <w:spacing w:before="240" w:line="360" w:lineRule="auto"/>
        <w:ind w:firstLine="420" w:firstLineChars="200"/>
        <w:jc w:val="left"/>
        <w:rPr>
          <w:rFonts w:hint="eastAsia" w:ascii="宋体" w:hAnsi="宋体" w:cs="宋体"/>
          <w:color w:val="auto"/>
          <w:kern w:val="0"/>
          <w:szCs w:val="22"/>
          <w:highlight w:val="non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宋体" w:hAnsi="宋体" w:cs="宋体"/>
          <w:color w:val="auto"/>
          <w:kern w:val="0"/>
          <w:szCs w:val="22"/>
          <w:highlight w:val="none"/>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widowControl w:val="0"/>
        <w:spacing w:after="120" w:afterLines="0" w:line="520" w:lineRule="exact"/>
        <w:ind w:left="420" w:leftChars="200"/>
        <w:jc w:val="center"/>
        <w:rPr>
          <w:rFonts w:hint="eastAsia" w:ascii="宋体" w:hAnsi="宋体" w:eastAsia="宋体" w:cs="宋体"/>
          <w:b/>
          <w:color w:val="auto"/>
          <w:kern w:val="2"/>
          <w:sz w:val="28"/>
          <w:szCs w:val="24"/>
          <w:highlight w:val="none"/>
          <w:lang w:val="en-US" w:eastAsia="zh-CN" w:bidi="ar-SA"/>
        </w:rPr>
      </w:pPr>
      <w:r>
        <w:rPr>
          <w:rFonts w:hint="eastAsia" w:ascii="宋体" w:hAnsi="宋体" w:eastAsia="宋体" w:cs="宋体"/>
          <w:b/>
          <w:color w:val="auto"/>
          <w:kern w:val="2"/>
          <w:sz w:val="28"/>
          <w:szCs w:val="28"/>
          <w:highlight w:val="none"/>
          <w:lang w:val="en-US" w:eastAsia="zh-CN" w:bidi="ar-SA"/>
        </w:rPr>
        <w:t>中小企业声明函（标项三）</w:t>
      </w:r>
    </w:p>
    <w:p>
      <w:pPr>
        <w:widowControl/>
        <w:spacing w:line="588" w:lineRule="exact"/>
        <w:jc w:val="left"/>
        <w:rPr>
          <w:rFonts w:hint="eastAsia" w:ascii="宋体" w:hAnsi="宋体" w:eastAsia="宋体" w:cs="宋体"/>
          <w:b/>
          <w:color w:val="auto"/>
          <w:spacing w:val="6"/>
          <w:kern w:val="0"/>
          <w:sz w:val="30"/>
          <w:szCs w:val="30"/>
          <w:highlight w:val="none"/>
        </w:rPr>
      </w:pPr>
    </w:p>
    <w:p>
      <w:pPr>
        <w:widowControl/>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cs="宋体"/>
          <w:color w:val="auto"/>
          <w:kern w:val="0"/>
          <w:szCs w:val="20"/>
          <w:highlight w:val="none"/>
        </w:rPr>
        <w:t>本公司（联合体）郑重声明，根据《政府采购促进中小企业发展管理办法》（财库﹝2020﹞46 号）的规定，本公司（联合体）参加（单位名称）的（项目名称）采购活动，</w:t>
      </w:r>
      <w:r>
        <w:rPr>
          <w:rFonts w:hint="eastAsia" w:ascii="宋体" w:hAnsi="宋体" w:cs="宋体"/>
          <w:color w:val="auto"/>
          <w:kern w:val="0"/>
          <w:szCs w:val="20"/>
          <w:highlight w:val="none"/>
          <w:lang w:val="en-US" w:eastAsia="zh-CN"/>
        </w:rPr>
        <w:t>服务</w:t>
      </w:r>
      <w:r>
        <w:rPr>
          <w:rFonts w:hint="eastAsia" w:ascii="宋体" w:hAnsi="宋体" w:cs="宋体"/>
          <w:color w:val="auto"/>
          <w:kern w:val="0"/>
          <w:szCs w:val="20"/>
          <w:highlight w:val="none"/>
        </w:rPr>
        <w:t>全部由符合政策要求的中小企业</w:t>
      </w:r>
      <w:r>
        <w:rPr>
          <w:rFonts w:hint="eastAsia" w:ascii="宋体" w:hAnsi="宋体" w:cs="宋体"/>
          <w:color w:val="auto"/>
          <w:kern w:val="0"/>
          <w:szCs w:val="20"/>
          <w:highlight w:val="none"/>
          <w:lang w:val="en-US" w:eastAsia="zh-CN"/>
        </w:rPr>
        <w:t>承接</w:t>
      </w:r>
      <w:r>
        <w:rPr>
          <w:rFonts w:hint="eastAsia" w:ascii="宋体" w:hAnsi="宋体" w:cs="宋体"/>
          <w:color w:val="auto"/>
          <w:kern w:val="0"/>
          <w:szCs w:val="20"/>
          <w:highlight w:val="none"/>
        </w:rPr>
        <w:t>。相关企业（含联合体中的中小企业、签订分包意向协议的中小企业）的具体情况如下：</w:t>
      </w:r>
    </w:p>
    <w:p>
      <w:pPr>
        <w:widowControl/>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i/>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i/>
          <w:color w:val="auto"/>
          <w:kern w:val="0"/>
          <w:sz w:val="21"/>
          <w:szCs w:val="21"/>
          <w:highlight w:val="none"/>
          <w:u w:val="single"/>
        </w:rPr>
        <w:t>（软件和信息技术服务业）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承接企业</w:t>
      </w:r>
      <w:r>
        <w:rPr>
          <w:rFonts w:hint="eastAsia" w:ascii="宋体" w:hAnsi="宋体" w:eastAsia="宋体" w:cs="宋体"/>
          <w:color w:val="auto"/>
          <w:kern w:val="0"/>
          <w:sz w:val="21"/>
          <w:szCs w:val="21"/>
          <w:highlight w:val="none"/>
        </w:rPr>
        <w:t>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widowControl/>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2.</w:t>
      </w:r>
      <w:r>
        <w:rPr>
          <w:rFonts w:hint="eastAsia" w:ascii="宋体" w:hAnsi="宋体" w:eastAsia="宋体" w:cs="宋体"/>
          <w:i/>
          <w:color w:val="auto"/>
          <w:kern w:val="0"/>
          <w:sz w:val="21"/>
          <w:szCs w:val="21"/>
          <w:highlight w:val="none"/>
          <w:u w:val="single"/>
        </w:rPr>
        <w:t xml:space="preserve"> （标的名称） </w:t>
      </w:r>
      <w:r>
        <w:rPr>
          <w:rFonts w:hint="eastAsia" w:ascii="宋体" w:hAnsi="宋体" w:eastAsia="宋体" w:cs="宋体"/>
          <w:color w:val="auto"/>
          <w:kern w:val="0"/>
          <w:sz w:val="21"/>
          <w:szCs w:val="21"/>
          <w:highlight w:val="none"/>
        </w:rPr>
        <w:t>，属于</w:t>
      </w:r>
      <w:r>
        <w:rPr>
          <w:rFonts w:hint="eastAsia" w:ascii="宋体" w:hAnsi="宋体" w:eastAsia="宋体" w:cs="宋体"/>
          <w:i/>
          <w:color w:val="auto"/>
          <w:kern w:val="0"/>
          <w:sz w:val="21"/>
          <w:szCs w:val="21"/>
          <w:highlight w:val="none"/>
          <w:u w:val="single"/>
        </w:rPr>
        <w:t>（软件和信息技术服务业）</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lang w:val="en-US" w:eastAsia="zh-CN"/>
        </w:rPr>
        <w:t>承接企业</w:t>
      </w:r>
      <w:r>
        <w:rPr>
          <w:rFonts w:hint="eastAsia" w:ascii="宋体" w:hAnsi="宋体" w:eastAsia="宋体" w:cs="宋体"/>
          <w:color w:val="auto"/>
          <w:kern w:val="0"/>
          <w:sz w:val="21"/>
          <w:szCs w:val="21"/>
          <w:highlight w:val="none"/>
        </w:rPr>
        <w:t>为</w:t>
      </w:r>
      <w:r>
        <w:rPr>
          <w:rFonts w:hint="eastAsia" w:ascii="宋体" w:hAnsi="宋体" w:eastAsia="宋体" w:cs="宋体"/>
          <w:i/>
          <w:color w:val="auto"/>
          <w:kern w:val="0"/>
          <w:sz w:val="21"/>
          <w:szCs w:val="21"/>
          <w:highlight w:val="none"/>
          <w:u w:val="single"/>
        </w:rPr>
        <w:t>（企业名称）</w:t>
      </w:r>
      <w:r>
        <w:rPr>
          <w:rFonts w:hint="eastAsia" w:ascii="宋体" w:hAnsi="宋体" w:eastAsia="宋体" w:cs="宋体"/>
          <w:color w:val="auto"/>
          <w:kern w:val="0"/>
          <w:sz w:val="21"/>
          <w:szCs w:val="21"/>
          <w:highlight w:val="none"/>
        </w:rPr>
        <w:t>，从业人员</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人，营业收入为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万元，资产总额为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万元，属于</w:t>
      </w:r>
      <w:r>
        <w:rPr>
          <w:rFonts w:hint="eastAsia" w:ascii="宋体" w:hAnsi="宋体" w:eastAsia="宋体" w:cs="宋体"/>
          <w:i/>
          <w:color w:val="auto"/>
          <w:kern w:val="0"/>
          <w:sz w:val="21"/>
          <w:szCs w:val="21"/>
          <w:highlight w:val="none"/>
          <w:u w:val="single"/>
        </w:rPr>
        <w:t>（中型企业、小型企业、微型企业）</w:t>
      </w:r>
      <w:r>
        <w:rPr>
          <w:rFonts w:hint="eastAsia" w:ascii="宋体" w:hAnsi="宋体" w:eastAsia="宋体" w:cs="宋体"/>
          <w:color w:val="auto"/>
          <w:kern w:val="0"/>
          <w:sz w:val="21"/>
          <w:szCs w:val="21"/>
          <w:highlight w:val="none"/>
        </w:rPr>
        <w:t>；</w:t>
      </w:r>
    </w:p>
    <w:p>
      <w:pPr>
        <w:widowControl/>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w:t>
      </w:r>
    </w:p>
    <w:p>
      <w:pPr>
        <w:widowControl/>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以上企业，不属于大企业的分支机构，不存在控股股东为大企业的情形，也不存在与大企业的负责人为同一人的情形。</w:t>
      </w:r>
    </w:p>
    <w:p>
      <w:pPr>
        <w:widowControl/>
        <w:spacing w:line="500" w:lineRule="exact"/>
        <w:ind w:firstLine="420" w:firstLineChars="20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本企业对上述声明内容的真实性负责。如有虚假，将依法承担相应责任。</w:t>
      </w:r>
    </w:p>
    <w:p>
      <w:pPr>
        <w:widowControl/>
        <w:spacing w:line="5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企业名称（盖章）：</w:t>
      </w:r>
    </w:p>
    <w:p>
      <w:pPr>
        <w:widowControl/>
        <w:spacing w:line="50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日期：</w:t>
      </w:r>
    </w:p>
    <w:p>
      <w:pPr>
        <w:widowControl/>
        <w:spacing w:before="240" w:line="360" w:lineRule="auto"/>
        <w:ind w:firstLine="420" w:firstLineChars="200"/>
        <w:jc w:val="left"/>
        <w:rPr>
          <w:rFonts w:ascii="宋体" w:hAnsi="宋体" w:eastAsia="宋体" w:cs="宋体"/>
          <w:color w:val="auto"/>
          <w:kern w:val="0"/>
          <w:szCs w:val="22"/>
          <w:highlight w:val="none"/>
        </w:rPr>
      </w:pPr>
      <w:r>
        <w:rPr>
          <w:rFonts w:hint="eastAsia" w:ascii="宋体" w:hAnsi="宋体" w:eastAsia="宋体" w:cs="宋体"/>
          <w:color w:val="auto"/>
          <w:kern w:val="0"/>
          <w:szCs w:val="22"/>
          <w:highlight w:val="none"/>
        </w:rPr>
        <w:t>注：1.从业人员、营业收入、资产总额填报上一年度数据，无上一年度数据的新成立企业可不填报。</w:t>
      </w:r>
    </w:p>
    <w:p>
      <w:pPr>
        <w:numPr>
          <w:ilvl w:val="-1"/>
          <w:numId w:val="0"/>
        </w:numPr>
        <w:spacing w:after="120" w:line="520" w:lineRule="exact"/>
        <w:ind w:firstLine="0" w:firstLineChars="0"/>
        <w:rPr>
          <w:rFonts w:ascii="宋体" w:hAnsi="宋体" w:cs="宋体"/>
          <w:color w:val="auto"/>
          <w:kern w:val="0"/>
          <w:szCs w:val="21"/>
          <w:highlight w:val="none"/>
        </w:rPr>
      </w:pPr>
      <w:r>
        <w:rPr>
          <w:rFonts w:hint="eastAsia" w:ascii="宋体" w:hAnsi="宋体" w:eastAsia="宋体" w:cs="宋体"/>
          <w:color w:val="auto"/>
          <w:kern w:val="0"/>
          <w:szCs w:val="22"/>
          <w:highlight w:val="none"/>
        </w:rPr>
        <w:t>2.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spacing w:after="120" w:line="520" w:lineRule="exact"/>
        <w:rPr>
          <w:rFonts w:ascii="宋体" w:hAnsi="宋体" w:cs="宋体"/>
          <w:b/>
          <w:bCs/>
          <w:color w:val="auto"/>
          <w:kern w:val="0"/>
          <w:szCs w:val="20"/>
          <w:highlight w:val="none"/>
        </w:rPr>
      </w:pPr>
      <w:r>
        <w:rPr>
          <w:rFonts w:hint="eastAsia" w:ascii="宋体" w:hAnsi="宋体" w:cs="宋体"/>
          <w:color w:val="auto"/>
          <w:kern w:val="0"/>
          <w:szCs w:val="21"/>
          <w:highlight w:val="none"/>
        </w:rPr>
        <w:br w:type="page"/>
      </w:r>
      <w:r>
        <w:rPr>
          <w:rFonts w:hint="eastAsia" w:ascii="宋体" w:hAnsi="宋体" w:cs="宋体"/>
          <w:b/>
          <w:bCs/>
          <w:color w:val="auto"/>
          <w:kern w:val="0"/>
          <w:szCs w:val="21"/>
          <w:highlight w:val="none"/>
        </w:rPr>
        <w:t>7.残疾人福利性单位声明函</w:t>
      </w:r>
    </w:p>
    <w:p>
      <w:pPr>
        <w:widowControl/>
        <w:spacing w:line="588" w:lineRule="exact"/>
        <w:jc w:val="center"/>
        <w:rPr>
          <w:rFonts w:ascii="宋体" w:hAnsi="宋体" w:cs="宋体"/>
          <w:b/>
          <w:color w:val="auto"/>
          <w:spacing w:val="6"/>
          <w:kern w:val="0"/>
          <w:szCs w:val="21"/>
          <w:highlight w:val="none"/>
        </w:rPr>
      </w:pPr>
      <w:r>
        <w:rPr>
          <w:rFonts w:hint="eastAsia" w:ascii="宋体" w:hAnsi="宋体" w:cs="宋体"/>
          <w:b/>
          <w:color w:val="auto"/>
          <w:spacing w:val="6"/>
          <w:kern w:val="0"/>
          <w:szCs w:val="21"/>
          <w:highlight w:val="none"/>
        </w:rPr>
        <w:t>残疾人福利性单位声明函</w:t>
      </w:r>
    </w:p>
    <w:p>
      <w:pPr>
        <w:widowControl/>
        <w:spacing w:line="588" w:lineRule="exact"/>
        <w:jc w:val="left"/>
        <w:rPr>
          <w:rFonts w:ascii="宋体" w:hAnsi="宋体" w:cs="宋体"/>
          <w:b/>
          <w:color w:val="auto"/>
          <w:spacing w:val="6"/>
          <w:kern w:val="0"/>
          <w:szCs w:val="21"/>
          <w:highlight w:val="none"/>
        </w:rPr>
      </w:pP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本单位郑重声明，根据《财政部 民政部 中国残疾人联合会关于促进残疾人就业政府采购政策的通知》（财库</w:t>
      </w:r>
      <w:r>
        <w:rPr>
          <w:rFonts w:hint="eastAsia" w:ascii="宋体" w:hAnsi="宋体" w:cs="宋体"/>
          <w:color w:val="auto"/>
          <w:kern w:val="0"/>
          <w:szCs w:val="21"/>
          <w:highlight w:val="none"/>
        </w:rPr>
        <w:t>〔2017〕 141</w:t>
      </w:r>
      <w:r>
        <w:rPr>
          <w:rFonts w:hint="eastAsia" w:ascii="宋体" w:hAnsi="宋体" w:cs="宋体"/>
          <w:color w:val="auto"/>
          <w:spacing w:val="6"/>
          <w:kern w:val="0"/>
          <w:szCs w:val="21"/>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widowControl/>
        <w:spacing w:line="588" w:lineRule="exact"/>
        <w:ind w:firstLine="444" w:firstLineChars="200"/>
        <w:jc w:val="left"/>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本单位对上述声明的真实性负责。如有虚假，将依法承担相应责任。</w:t>
      </w:r>
    </w:p>
    <w:p>
      <w:pPr>
        <w:widowControl/>
        <w:spacing w:line="588" w:lineRule="exact"/>
        <w:ind w:firstLine="444" w:firstLineChars="200"/>
        <w:jc w:val="left"/>
        <w:rPr>
          <w:rFonts w:ascii="宋体" w:hAnsi="宋体" w:cs="宋体"/>
          <w:color w:val="auto"/>
          <w:spacing w:val="6"/>
          <w:kern w:val="0"/>
          <w:szCs w:val="21"/>
          <w:highlight w:val="none"/>
        </w:rPr>
      </w:pPr>
    </w:p>
    <w:p>
      <w:pPr>
        <w:widowControl/>
        <w:spacing w:line="588" w:lineRule="exact"/>
        <w:ind w:firstLine="444" w:firstLineChars="200"/>
        <w:jc w:val="left"/>
        <w:rPr>
          <w:rFonts w:ascii="宋体" w:hAnsi="宋体" w:cs="宋体"/>
          <w:color w:val="auto"/>
          <w:spacing w:val="6"/>
          <w:kern w:val="0"/>
          <w:szCs w:val="21"/>
          <w:highlight w:val="none"/>
        </w:rPr>
      </w:pP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单位名称（盖章）：</w:t>
      </w:r>
    </w:p>
    <w:p>
      <w:pPr>
        <w:widowControl/>
        <w:tabs>
          <w:tab w:val="left" w:pos="4860"/>
        </w:tabs>
        <w:spacing w:line="588" w:lineRule="exact"/>
        <w:ind w:right="1560" w:firstLine="444" w:firstLineChars="200"/>
        <w:jc w:val="center"/>
        <w:rPr>
          <w:rFonts w:ascii="宋体" w:hAnsi="宋体" w:cs="宋体"/>
          <w:color w:val="auto"/>
          <w:spacing w:val="6"/>
          <w:kern w:val="0"/>
          <w:szCs w:val="21"/>
          <w:highlight w:val="none"/>
        </w:rPr>
      </w:pPr>
      <w:r>
        <w:rPr>
          <w:rFonts w:hint="eastAsia" w:ascii="宋体" w:hAnsi="宋体" w:cs="宋体"/>
          <w:color w:val="auto"/>
          <w:spacing w:val="6"/>
          <w:kern w:val="0"/>
          <w:szCs w:val="21"/>
          <w:highlight w:val="none"/>
        </w:rPr>
        <w:t xml:space="preserve">       日  期：</w:t>
      </w: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p>
    <w:p>
      <w:pPr>
        <w:widowControl/>
        <w:spacing w:line="360" w:lineRule="auto"/>
        <w:jc w:val="left"/>
        <w:rPr>
          <w:rFonts w:ascii="宋体" w:hAnsi="宋体" w:cs="宋体"/>
          <w:b/>
          <w:bCs/>
          <w:color w:val="auto"/>
          <w:kern w:val="0"/>
          <w:szCs w:val="21"/>
          <w:highlight w:val="none"/>
        </w:rPr>
      </w:pPr>
      <w:r>
        <w:rPr>
          <w:rFonts w:hint="eastAsia" w:ascii="宋体" w:hAnsi="宋体" w:cs="宋体"/>
          <w:b/>
          <w:bCs/>
          <w:color w:val="auto"/>
          <w:kern w:val="0"/>
          <w:szCs w:val="21"/>
          <w:highlight w:val="none"/>
        </w:rPr>
        <w:t>8.供应商针对报价需要说明的其他文件和说明（格式自拟）。</w:t>
      </w:r>
    </w:p>
    <w:p>
      <w:pPr>
        <w:spacing w:after="120" w:line="520" w:lineRule="exact"/>
        <w:ind w:left="420" w:leftChars="200"/>
        <w:rPr>
          <w:rFonts w:ascii="宋体" w:hAnsi="宋体" w:cs="宋体"/>
          <w:color w:val="auto"/>
          <w:szCs w:val="21"/>
          <w:highlight w:val="none"/>
        </w:rPr>
      </w:pPr>
    </w:p>
    <w:p>
      <w:pPr>
        <w:widowControl/>
        <w:spacing w:line="480" w:lineRule="exact"/>
        <w:jc w:val="left"/>
        <w:rPr>
          <w:rFonts w:ascii="宋体" w:hAnsi="宋体" w:cs="宋体"/>
          <w:b/>
          <w:color w:val="auto"/>
          <w:kern w:val="0"/>
          <w:szCs w:val="21"/>
          <w:highlight w:val="none"/>
        </w:rPr>
      </w:pPr>
    </w:p>
    <w:p>
      <w:pPr>
        <w:widowControl/>
        <w:snapToGrid w:val="0"/>
        <w:spacing w:line="360" w:lineRule="auto"/>
        <w:jc w:val="center"/>
        <w:rPr>
          <w:rFonts w:ascii="宋体" w:hAnsi="宋体" w:cs="宋体"/>
          <w:b/>
          <w:bCs/>
          <w:color w:val="auto"/>
          <w:kern w:val="0"/>
          <w:sz w:val="28"/>
          <w:szCs w:val="28"/>
          <w:highlight w:val="none"/>
        </w:rPr>
      </w:pPr>
      <w:r>
        <w:rPr>
          <w:rFonts w:hint="eastAsia" w:ascii="宋体" w:hAnsi="宋体" w:cs="宋体"/>
          <w:b/>
          <w:color w:val="auto"/>
          <w:kern w:val="0"/>
          <w:szCs w:val="21"/>
          <w:highlight w:val="none"/>
        </w:rPr>
        <w:br w:type="page"/>
      </w:r>
      <w:r>
        <w:rPr>
          <w:rFonts w:hint="eastAsia" w:ascii="宋体" w:hAnsi="宋体" w:cs="宋体"/>
          <w:b/>
          <w:bCs/>
          <w:color w:val="auto"/>
          <w:kern w:val="0"/>
          <w:sz w:val="28"/>
          <w:szCs w:val="28"/>
          <w:highlight w:val="none"/>
        </w:rPr>
        <w:t>三、电子备份投标文件</w:t>
      </w:r>
    </w:p>
    <w:p>
      <w:pPr>
        <w:widowControl/>
        <w:snapToGrid w:val="0"/>
        <w:spacing w:line="360" w:lineRule="auto"/>
        <w:jc w:val="left"/>
        <w:rPr>
          <w:rFonts w:ascii="宋体" w:hAnsi="宋体" w:cs="宋体"/>
          <w:b/>
          <w:color w:val="auto"/>
          <w:kern w:val="0"/>
          <w:sz w:val="28"/>
          <w:szCs w:val="28"/>
          <w:highlight w:val="none"/>
        </w:rPr>
      </w:pPr>
      <w:r>
        <w:rPr>
          <w:rFonts w:hint="eastAsia" w:ascii="宋体" w:hAnsi="宋体" w:cs="宋体"/>
          <w:color w:val="auto"/>
          <w:kern w:val="0"/>
          <w:szCs w:val="20"/>
          <w:highlight w:val="none"/>
        </w:rPr>
        <w:t>（一）</w:t>
      </w:r>
      <w:r>
        <w:rPr>
          <w:rFonts w:hint="eastAsia" w:ascii="宋体" w:hAnsi="宋体" w:cs="宋体"/>
          <w:color w:val="auto"/>
          <w:kern w:val="0"/>
          <w:szCs w:val="21"/>
          <w:highlight w:val="none"/>
        </w:rPr>
        <w:t>电子备份投标文件</w:t>
      </w:r>
      <w:r>
        <w:rPr>
          <w:rFonts w:hint="eastAsia" w:ascii="宋体" w:hAnsi="宋体" w:cs="宋体"/>
          <w:color w:val="auto"/>
          <w:kern w:val="0"/>
          <w:szCs w:val="20"/>
          <w:highlight w:val="none"/>
        </w:rPr>
        <w:t>的外包装封面格式：</w:t>
      </w:r>
    </w:p>
    <w:p>
      <w:pPr>
        <w:widowControl/>
        <w:snapToGrid w:val="0"/>
        <w:spacing w:line="360" w:lineRule="auto"/>
        <w:ind w:firstLine="275" w:firstLineChars="98"/>
        <w:jc w:val="left"/>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外包装格式：</w:t>
      </w:r>
    </w:p>
    <w:p>
      <w:pPr>
        <w:widowControl/>
        <w:spacing w:line="360" w:lineRule="auto"/>
        <w:jc w:val="center"/>
        <w:rPr>
          <w:rFonts w:ascii="宋体" w:hAnsi="宋体" w:cs="宋体"/>
          <w:color w:val="auto"/>
          <w:kern w:val="0"/>
          <w:sz w:val="40"/>
          <w:szCs w:val="40"/>
          <w:highlight w:val="none"/>
        </w:rPr>
      </w:pPr>
      <w:r>
        <w:rPr>
          <w:rFonts w:hint="eastAsia" w:ascii="宋体" w:hAnsi="宋体" w:cs="宋体"/>
          <w:color w:val="auto"/>
          <w:kern w:val="0"/>
          <w:sz w:val="40"/>
          <w:szCs w:val="40"/>
          <w:highlight w:val="none"/>
        </w:rPr>
        <w:t>电子备份投标文件</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 xml:space="preserve">项目名称： </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项目编号：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标项号：</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供应商名称（加盖公章）：</w:t>
      </w:r>
    </w:p>
    <w:p>
      <w:pPr>
        <w:widowControl/>
        <w:spacing w:line="360" w:lineRule="auto"/>
        <w:ind w:firstLine="1080" w:firstLineChars="450"/>
        <w:jc w:val="left"/>
        <w:rPr>
          <w:rFonts w:ascii="宋体" w:hAnsi="宋体" w:cs="宋体"/>
          <w:bCs/>
          <w:color w:val="auto"/>
          <w:kern w:val="0"/>
          <w:sz w:val="24"/>
          <w:szCs w:val="20"/>
          <w:highlight w:val="none"/>
        </w:rPr>
      </w:pPr>
      <w:r>
        <w:rPr>
          <w:rFonts w:hint="eastAsia" w:ascii="宋体" w:hAnsi="宋体" w:cs="宋体"/>
          <w:bCs/>
          <w:color w:val="auto"/>
          <w:kern w:val="0"/>
          <w:sz w:val="24"/>
          <w:szCs w:val="20"/>
          <w:highlight w:val="none"/>
        </w:rPr>
        <w:t>供应商地址：</w:t>
      </w:r>
    </w:p>
    <w:p>
      <w:pPr>
        <w:widowControl/>
        <w:spacing w:line="360" w:lineRule="auto"/>
        <w:jc w:val="left"/>
        <w:rPr>
          <w:rFonts w:ascii="宋体" w:hAnsi="宋体" w:cs="宋体"/>
          <w:color w:val="auto"/>
          <w:kern w:val="0"/>
          <w:szCs w:val="20"/>
          <w:highlight w:val="none"/>
        </w:rPr>
      </w:pPr>
      <w:r>
        <w:rPr>
          <w:rFonts w:hint="eastAsia" w:ascii="宋体" w:hAnsi="宋体" w:cs="宋体"/>
          <w:bCs/>
          <w:color w:val="auto"/>
          <w:kern w:val="0"/>
          <w:sz w:val="24"/>
          <w:szCs w:val="20"/>
          <w:highlight w:val="none"/>
        </w:rPr>
        <w:t xml:space="preserve">                        年  月  日</w:t>
      </w:r>
    </w:p>
    <w:p>
      <w:pPr>
        <w:snapToGrid w:val="0"/>
        <w:spacing w:line="500" w:lineRule="exact"/>
        <w:ind w:left="357" w:hanging="357"/>
        <w:rPr>
          <w:rFonts w:ascii="宋体" w:hAnsi="宋体" w:cs="宋体"/>
          <w:b/>
          <w:bCs/>
          <w:color w:val="auto"/>
          <w:highlight w:val="none"/>
        </w:rPr>
      </w:pPr>
      <w:r>
        <w:rPr>
          <w:rFonts w:hint="eastAsia" w:ascii="宋体" w:hAnsi="宋体" w:cs="宋体"/>
          <w:color w:val="auto"/>
          <w:highlight w:val="none"/>
        </w:rPr>
        <w:br w:type="page"/>
      </w:r>
      <w:r>
        <w:rPr>
          <w:rFonts w:hint="eastAsia" w:ascii="宋体" w:hAnsi="宋体" w:cs="宋体"/>
          <w:b/>
          <w:bCs/>
          <w:color w:val="auto"/>
          <w:highlight w:val="none"/>
        </w:rPr>
        <w:t>附件：</w:t>
      </w:r>
      <w:r>
        <w:rPr>
          <w:rFonts w:hint="eastAsia" w:ascii="宋体" w:hAnsi="宋体" w:cs="宋体"/>
          <w:b/>
          <w:bCs/>
          <w:color w:val="auto"/>
          <w:szCs w:val="21"/>
          <w:highlight w:val="none"/>
        </w:rPr>
        <w:t>请各位供应商认真填写下表，于投标截止时间后按采购代理公司规定要求单独递交。</w:t>
      </w:r>
    </w:p>
    <w:p>
      <w:pPr>
        <w:snapToGrid w:val="0"/>
        <w:spacing w:line="500" w:lineRule="exact"/>
        <w:jc w:val="center"/>
        <w:rPr>
          <w:rFonts w:ascii="宋体" w:hAnsi="宋体" w:cs="宋体"/>
          <w:color w:val="auto"/>
          <w:sz w:val="32"/>
          <w:szCs w:val="32"/>
          <w:highlight w:val="none"/>
        </w:rPr>
      </w:pPr>
      <w:r>
        <w:rPr>
          <w:rFonts w:hint="eastAsia" w:ascii="宋体" w:hAnsi="宋体" w:cs="宋体"/>
          <w:color w:val="auto"/>
          <w:sz w:val="32"/>
          <w:szCs w:val="32"/>
          <w:highlight w:val="none"/>
        </w:rPr>
        <w:t>政府采购活动现场确认声明书</w:t>
      </w:r>
    </w:p>
    <w:p>
      <w:pPr>
        <w:snapToGrid w:val="0"/>
        <w:spacing w:line="440" w:lineRule="exact"/>
        <w:rPr>
          <w:rFonts w:ascii="宋体" w:hAnsi="宋体" w:cs="宋体"/>
          <w:bCs/>
          <w:color w:val="auto"/>
          <w:sz w:val="24"/>
          <w:highlight w:val="none"/>
        </w:rPr>
      </w:pPr>
      <w:r>
        <w:rPr>
          <w:rFonts w:hint="eastAsia" w:ascii="宋体" w:hAnsi="宋体" w:cs="宋体"/>
          <w:color w:val="auto"/>
          <w:kern w:val="0"/>
          <w:sz w:val="24"/>
          <w:highlight w:val="none"/>
        </w:rPr>
        <w:t xml:space="preserve"> 宁波中基国际招标有限公司：</w:t>
      </w:r>
    </w:p>
    <w:p>
      <w:pPr>
        <w:snapToGrid w:val="0"/>
        <w:spacing w:line="440" w:lineRule="exact"/>
        <w:ind w:firstLine="504" w:firstLineChars="200"/>
        <w:rPr>
          <w:rFonts w:ascii="宋体" w:hAnsi="宋体" w:cs="宋体"/>
          <w:color w:val="auto"/>
          <w:spacing w:val="6"/>
          <w:sz w:val="24"/>
          <w:highlight w:val="none"/>
        </w:rPr>
      </w:pPr>
      <w:r>
        <w:rPr>
          <w:rFonts w:hint="eastAsia" w:ascii="宋体" w:hAnsi="宋体" w:cs="宋体"/>
          <w:color w:val="auto"/>
          <w:spacing w:val="6"/>
          <w:sz w:val="24"/>
          <w:highlight w:val="none"/>
        </w:rPr>
        <w:t>本人</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（授权代表姓名），经由</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（单位）</w:t>
      </w:r>
      <w:r>
        <w:rPr>
          <w:rFonts w:hint="eastAsia" w:ascii="宋体" w:hAnsi="宋体" w:cs="宋体"/>
          <w:color w:val="auto"/>
          <w:spacing w:val="6"/>
          <w:sz w:val="24"/>
          <w:highlight w:val="none"/>
          <w:u w:val="single"/>
        </w:rPr>
        <w:t xml:space="preserve">      </w:t>
      </w:r>
      <w:r>
        <w:rPr>
          <w:rFonts w:hint="eastAsia" w:ascii="宋体" w:hAnsi="宋体" w:cs="宋体"/>
          <w:color w:val="auto"/>
          <w:spacing w:val="6"/>
          <w:sz w:val="24"/>
          <w:highlight w:val="none"/>
        </w:rPr>
        <w:t>（法定代表人姓名）合法授权参加</w:t>
      </w:r>
      <w:r>
        <w:rPr>
          <w:rFonts w:hint="eastAsia" w:ascii="宋体" w:hAnsi="宋体" w:cs="宋体"/>
          <w:color w:val="auto"/>
          <w:spacing w:val="6"/>
          <w:sz w:val="24"/>
          <w:highlight w:val="none"/>
          <w:u w:val="single"/>
        </w:rPr>
        <w:t xml:space="preserve">项目名称：              </w:t>
      </w:r>
      <w:r>
        <w:rPr>
          <w:rFonts w:hint="eastAsia" w:ascii="宋体" w:hAnsi="宋体" w:cs="宋体"/>
          <w:color w:val="auto"/>
          <w:spacing w:val="6"/>
          <w:sz w:val="24"/>
          <w:highlight w:val="none"/>
        </w:rPr>
        <w:t>（编号</w:t>
      </w:r>
      <w:r>
        <w:rPr>
          <w:rFonts w:hint="eastAsia" w:ascii="宋体" w:hAnsi="宋体" w:cs="宋体"/>
          <w:color w:val="auto"/>
          <w:spacing w:val="6"/>
          <w:sz w:val="24"/>
          <w:highlight w:val="none"/>
          <w:u w:val="single"/>
        </w:rPr>
        <w:t>：      ）</w:t>
      </w:r>
      <w:r>
        <w:rPr>
          <w:rFonts w:hint="eastAsia" w:ascii="宋体" w:hAnsi="宋体" w:cs="宋体"/>
          <w:color w:val="auto"/>
          <w:spacing w:val="6"/>
          <w:sz w:val="24"/>
          <w:highlight w:val="none"/>
        </w:rPr>
        <w:t>政府采购活动，经与本单位</w:t>
      </w:r>
      <w:r>
        <w:rPr>
          <w:rFonts w:hint="eastAsia" w:ascii="宋体" w:hAnsi="宋体" w:cs="宋体"/>
          <w:color w:val="auto"/>
          <w:spacing w:val="6"/>
          <w:sz w:val="24"/>
          <w:highlight w:val="none"/>
          <w:lang w:eastAsia="zh-CN"/>
        </w:rPr>
        <w:t>法人代表</w:t>
      </w:r>
      <w:r>
        <w:rPr>
          <w:rFonts w:hint="eastAsia" w:ascii="宋体" w:hAnsi="宋体" w:cs="宋体"/>
          <w:color w:val="auto"/>
          <w:spacing w:val="6"/>
          <w:sz w:val="24"/>
          <w:highlight w:val="none"/>
        </w:rPr>
        <w:t xml:space="preserve">（负责人）联系确认，现就有关公平竞争事项郑重声明如下： </w:t>
      </w:r>
    </w:p>
    <w:p>
      <w:pPr>
        <w:widowControl/>
        <w:numPr>
          <w:ilvl w:val="0"/>
          <w:numId w:val="22"/>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kern w:val="0"/>
          <w:sz w:val="24"/>
          <w:highlight w:val="none"/>
        </w:rPr>
        <w:t>本单位与采购人之间 □不存在利害关系 □存在下列利害关系：</w:t>
      </w:r>
    </w:p>
    <w:p>
      <w:pPr>
        <w:widowControl/>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A.投资关系    B.行政隶属关系    C.业务指导关系</w:t>
      </w:r>
    </w:p>
    <w:p>
      <w:pPr>
        <w:widowControl/>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D.其他可能</w:t>
      </w:r>
      <w:r>
        <w:rPr>
          <w:rFonts w:hint="eastAsia" w:ascii="宋体" w:hAnsi="宋体" w:cs="宋体"/>
          <w:color w:val="auto"/>
          <w:sz w:val="24"/>
          <w:highlight w:val="none"/>
        </w:rPr>
        <w:t>影响采购公正的</w:t>
      </w:r>
      <w:r>
        <w:rPr>
          <w:rFonts w:hint="eastAsia" w:ascii="宋体" w:hAnsi="宋体" w:cs="宋体"/>
          <w:color w:val="auto"/>
          <w:kern w:val="0"/>
          <w:sz w:val="24"/>
          <w:highlight w:val="none"/>
        </w:rPr>
        <w:t>利害关系（如有，请如实说明） 。</w:t>
      </w:r>
    </w:p>
    <w:p>
      <w:pPr>
        <w:widowControl/>
        <w:numPr>
          <w:ilvl w:val="0"/>
          <w:numId w:val="22"/>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kern w:val="0"/>
          <w:sz w:val="24"/>
          <w:highlight w:val="none"/>
        </w:rPr>
        <w:t xml:space="preserve">现已清楚知道参加本项目采购活动的其他所有供应商名称，本单位 □与其他所有供应商之间均不存在利害关系 </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与 （供应商名称）之间存在下列利害关系：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A.法定代表人或负责人或实际控制人是同一人</w:t>
      </w:r>
    </w:p>
    <w:p>
      <w:pPr>
        <w:snapToGrid w:val="0"/>
        <w:spacing w:line="440" w:lineRule="exact"/>
        <w:rPr>
          <w:rFonts w:ascii="宋体" w:hAnsi="宋体" w:cs="宋体"/>
          <w:color w:val="auto"/>
          <w:spacing w:val="6"/>
          <w:sz w:val="24"/>
          <w:highlight w:val="none"/>
        </w:rPr>
      </w:pPr>
      <w:r>
        <w:rPr>
          <w:rFonts w:hint="eastAsia" w:ascii="宋体" w:hAnsi="宋体" w:cs="宋体"/>
          <w:color w:val="auto"/>
          <w:kern w:val="0"/>
          <w:sz w:val="24"/>
          <w:highlight w:val="none"/>
        </w:rPr>
        <w:t xml:space="preserve">  B.法定代表人或负责人或实际控制人是夫妻关系</w:t>
      </w:r>
    </w:p>
    <w:p>
      <w:pPr>
        <w:snapToGrid w:val="0"/>
        <w:spacing w:line="440" w:lineRule="exact"/>
        <w:rPr>
          <w:rFonts w:ascii="宋体" w:hAnsi="宋体" w:cs="宋体"/>
          <w:color w:val="auto"/>
          <w:spacing w:val="6"/>
          <w:sz w:val="24"/>
          <w:highlight w:val="none"/>
        </w:rPr>
      </w:pPr>
      <w:r>
        <w:rPr>
          <w:rFonts w:hint="eastAsia" w:ascii="宋体" w:hAnsi="宋体" w:cs="宋体"/>
          <w:color w:val="auto"/>
          <w:kern w:val="0"/>
          <w:sz w:val="24"/>
          <w:highlight w:val="none"/>
        </w:rPr>
        <w:t xml:space="preserve">  C.法定代表人或负责人或实际控制人是直系血亲关系</w:t>
      </w:r>
    </w:p>
    <w:p>
      <w:pPr>
        <w:snapToGrid w:val="0"/>
        <w:spacing w:line="440" w:lineRule="exact"/>
        <w:rPr>
          <w:rFonts w:ascii="宋体" w:hAnsi="宋体" w:cs="宋体"/>
          <w:color w:val="auto"/>
          <w:spacing w:val="6"/>
          <w:sz w:val="24"/>
          <w:highlight w:val="none"/>
        </w:rPr>
      </w:pPr>
      <w:r>
        <w:rPr>
          <w:rFonts w:hint="eastAsia" w:ascii="宋体" w:hAnsi="宋体" w:cs="宋体"/>
          <w:color w:val="auto"/>
          <w:kern w:val="0"/>
          <w:sz w:val="24"/>
          <w:highlight w:val="none"/>
        </w:rPr>
        <w:t xml:space="preserve">  D.法定代表人或负责人或实际控制人存在三代以内旁系血亲关系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E.法定代表人或负责人或实际控制人存在近姻亲关系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F.法定代表人或负责人或实际控制人存在股份控制或实际控制关系</w:t>
      </w:r>
    </w:p>
    <w:p>
      <w:pPr>
        <w:snapToGrid w:val="0"/>
        <w:spacing w:line="440" w:lineRule="exact"/>
        <w:rPr>
          <w:rFonts w:ascii="宋体" w:hAnsi="宋体" w:cs="宋体"/>
          <w:color w:val="auto"/>
          <w:kern w:val="0"/>
          <w:sz w:val="24"/>
          <w:highlight w:val="none"/>
        </w:rPr>
      </w:pPr>
      <w:r>
        <w:rPr>
          <w:rFonts w:hint="eastAsia" w:ascii="宋体" w:hAnsi="宋体" w:cs="宋体"/>
          <w:color w:val="auto"/>
          <w:kern w:val="0"/>
          <w:sz w:val="24"/>
          <w:highlight w:val="none"/>
        </w:rPr>
        <w:t xml:space="preserve">  G.存在共同直接或间接投资设立子公司、联营企业和合营企业情况</w:t>
      </w:r>
    </w:p>
    <w:p>
      <w:pPr>
        <w:snapToGrid w:val="0"/>
        <w:spacing w:line="440" w:lineRule="exact"/>
        <w:rPr>
          <w:rFonts w:ascii="宋体" w:hAnsi="宋体" w:cs="宋体"/>
          <w:color w:val="auto"/>
          <w:sz w:val="24"/>
          <w:highlight w:val="none"/>
        </w:rPr>
      </w:pPr>
      <w:r>
        <w:rPr>
          <w:rFonts w:hint="eastAsia" w:ascii="宋体" w:hAnsi="宋体" w:cs="宋体"/>
          <w:color w:val="auto"/>
          <w:kern w:val="0"/>
          <w:sz w:val="24"/>
          <w:highlight w:val="none"/>
        </w:rPr>
        <w:t xml:space="preserve">  H.存在分级代理或代销关系、同一生产制造商关系、</w:t>
      </w:r>
      <w:r>
        <w:rPr>
          <w:rFonts w:hint="eastAsia" w:ascii="宋体" w:hAnsi="宋体" w:cs="宋体"/>
          <w:color w:val="auto"/>
          <w:sz w:val="24"/>
          <w:highlight w:val="none"/>
        </w:rPr>
        <w:t>管理关系、重要业务（占主营业务收入50%以上）或重要财务往来关系（如融资）等其他实质性控制关系</w:t>
      </w:r>
    </w:p>
    <w:p>
      <w:pPr>
        <w:snapToGrid w:val="0"/>
        <w:spacing w:line="440" w:lineRule="exact"/>
        <w:rPr>
          <w:rFonts w:ascii="宋体" w:hAnsi="宋体" w:cs="宋体"/>
          <w:color w:val="auto"/>
          <w:spacing w:val="6"/>
          <w:sz w:val="24"/>
          <w:highlight w:val="none"/>
        </w:rPr>
      </w:pPr>
      <w:r>
        <w:rPr>
          <w:rFonts w:hint="eastAsia" w:ascii="宋体" w:hAnsi="宋体" w:cs="宋体"/>
          <w:color w:val="auto"/>
          <w:sz w:val="24"/>
          <w:highlight w:val="none"/>
        </w:rPr>
        <w:t xml:space="preserve">  I</w:t>
      </w:r>
      <w:r>
        <w:rPr>
          <w:rFonts w:hint="eastAsia" w:ascii="宋体" w:hAnsi="宋体" w:cs="宋体"/>
          <w:color w:val="auto"/>
          <w:kern w:val="0"/>
          <w:sz w:val="24"/>
          <w:highlight w:val="none"/>
        </w:rPr>
        <w:t>.</w:t>
      </w:r>
      <w:r>
        <w:rPr>
          <w:rFonts w:hint="eastAsia" w:ascii="宋体" w:hAnsi="宋体" w:cs="宋体"/>
          <w:color w:val="auto"/>
          <w:sz w:val="24"/>
          <w:highlight w:val="none"/>
        </w:rPr>
        <w:t>其他利害关系情况</w:t>
      </w:r>
      <w:r>
        <w:rPr>
          <w:rFonts w:hint="eastAsia" w:ascii="宋体" w:hAnsi="宋体" w:cs="宋体"/>
          <w:color w:val="auto"/>
          <w:kern w:val="0"/>
          <w:sz w:val="24"/>
          <w:highlight w:val="none"/>
        </w:rPr>
        <w:t>。</w:t>
      </w:r>
    </w:p>
    <w:p>
      <w:pPr>
        <w:widowControl/>
        <w:numPr>
          <w:ilvl w:val="0"/>
          <w:numId w:val="23"/>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sz w:val="24"/>
          <w:highlight w:val="none"/>
        </w:rPr>
        <w:t>现已清楚知道并</w:t>
      </w:r>
      <w:r>
        <w:rPr>
          <w:rFonts w:hint="eastAsia" w:ascii="宋体" w:hAnsi="宋体" w:cs="宋体"/>
          <w:color w:val="auto"/>
          <w:kern w:val="0"/>
          <w:sz w:val="24"/>
          <w:highlight w:val="none"/>
        </w:rPr>
        <w:t>严格遵守政府采购法律法规和现场纪律。</w:t>
      </w:r>
    </w:p>
    <w:p>
      <w:pPr>
        <w:widowControl/>
        <w:numPr>
          <w:ilvl w:val="0"/>
          <w:numId w:val="23"/>
        </w:numPr>
        <w:snapToGrid w:val="0"/>
        <w:spacing w:line="440" w:lineRule="exact"/>
        <w:ind w:firstLine="453" w:firstLineChars="189"/>
        <w:rPr>
          <w:rFonts w:ascii="宋体" w:hAnsi="宋体" w:cs="宋体"/>
          <w:color w:val="auto"/>
          <w:kern w:val="0"/>
          <w:sz w:val="24"/>
          <w:highlight w:val="none"/>
        </w:rPr>
      </w:pPr>
      <w:r>
        <w:rPr>
          <w:rFonts w:hint="eastAsia" w:ascii="宋体" w:hAnsi="宋体" w:cs="宋体"/>
          <w:color w:val="auto"/>
          <w:kern w:val="0"/>
          <w:sz w:val="24"/>
          <w:highlight w:val="none"/>
        </w:rPr>
        <w:t>我发现供应商之间存在或可能存在上述第二条第项利害关系。</w:t>
      </w:r>
    </w:p>
    <w:p>
      <w:pPr>
        <w:widowControl/>
        <w:snapToGrid w:val="0"/>
        <w:spacing w:line="440" w:lineRule="exact"/>
        <w:ind w:left="397" w:leftChars="189"/>
        <w:rPr>
          <w:rFonts w:ascii="宋体" w:hAnsi="宋体" w:cs="宋体"/>
          <w:color w:val="auto"/>
          <w:sz w:val="24"/>
          <w:highlight w:val="none"/>
        </w:rPr>
      </w:pPr>
    </w:p>
    <w:p>
      <w:pPr>
        <w:pStyle w:val="5"/>
        <w:rPr>
          <w:color w:val="auto"/>
          <w:highlight w:val="none"/>
        </w:rPr>
      </w:pPr>
    </w:p>
    <w:p>
      <w:pPr>
        <w:snapToGrid w:val="0"/>
        <w:spacing w:line="44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（供应商代表签名）：</w:t>
      </w:r>
    </w:p>
    <w:p>
      <w:pPr>
        <w:snapToGrid w:val="0"/>
        <w:spacing w:line="440" w:lineRule="exact"/>
        <w:ind w:firstLine="480" w:firstLineChars="200"/>
        <w:rPr>
          <w:rFonts w:ascii="宋体" w:hAnsi="宋体"/>
          <w:b/>
          <w:bCs/>
          <w:color w:val="auto"/>
          <w:sz w:val="32"/>
          <w:szCs w:val="20"/>
          <w:highlight w:val="none"/>
        </w:rPr>
      </w:pPr>
      <w:r>
        <w:rPr>
          <w:rFonts w:hint="eastAsia" w:ascii="宋体" w:hAnsi="宋体" w:cs="宋体"/>
          <w:color w:val="auto"/>
          <w:sz w:val="24"/>
          <w:highlight w:val="none"/>
        </w:rPr>
        <w:t xml:space="preserve">                                      202</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年  月  日</w:t>
      </w:r>
    </w:p>
    <w:p>
      <w:pPr>
        <w:rPr>
          <w:color w:val="auto"/>
          <w:highlight w:val="none"/>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auto"/>
    <w:pitch w:val="default"/>
    <w:sig w:usb0="00000000" w:usb1="00000000" w:usb2="0000003F" w:usb3="00000000" w:csb0="603F01FF" w:csb1="FFFF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9"/>
                            <w:rPr>
                              <w:rFonts w:eastAsia="宋体"/>
                            </w:rPr>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9"/>
                      <w:rPr>
                        <w:rFonts w:eastAsia="宋体"/>
                      </w:rPr>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A3E200"/>
    <w:multiLevelType w:val="singleLevel"/>
    <w:tmpl w:val="88A3E200"/>
    <w:lvl w:ilvl="0" w:tentative="0">
      <w:start w:val="1"/>
      <w:numFmt w:val="decimal"/>
      <w:pStyle w:val="8"/>
      <w:lvlText w:val="%1."/>
      <w:lvlJc w:val="left"/>
      <w:pPr>
        <w:tabs>
          <w:tab w:val="left" w:pos="360"/>
        </w:tabs>
        <w:ind w:left="360" w:hanging="360"/>
      </w:pPr>
    </w:lvl>
  </w:abstractNum>
  <w:abstractNum w:abstractNumId="1">
    <w:nsid w:val="AB63F1E5"/>
    <w:multiLevelType w:val="singleLevel"/>
    <w:tmpl w:val="AB63F1E5"/>
    <w:lvl w:ilvl="0" w:tentative="0">
      <w:start w:val="4"/>
      <w:numFmt w:val="chineseCounting"/>
      <w:suff w:val="nothing"/>
      <w:lvlText w:val="%1、"/>
      <w:lvlJc w:val="left"/>
      <w:pPr>
        <w:ind w:left="0" w:firstLine="0"/>
      </w:pPr>
    </w:lvl>
  </w:abstractNum>
  <w:abstractNum w:abstractNumId="2">
    <w:nsid w:val="B70E0F3F"/>
    <w:multiLevelType w:val="multilevel"/>
    <w:tmpl w:val="B70E0F3F"/>
    <w:lvl w:ilvl="0" w:tentative="0">
      <w:start w:val="1"/>
      <w:numFmt w:val="chineseCountingThousand"/>
      <w:pStyle w:val="139"/>
      <w:lvlText w:val="第%1章"/>
      <w:lvlJc w:val="left"/>
      <w:pPr>
        <w:ind w:left="420" w:hanging="420"/>
      </w:pPr>
      <w:rPr>
        <w:rFonts w:hint="eastAsia" w:ascii="宋体" w:hAnsi="宋体" w:eastAsia="宋体"/>
        <w:b/>
        <w:i w:val="0"/>
        <w:sz w:val="44"/>
      </w:rPr>
    </w:lvl>
    <w:lvl w:ilvl="1" w:tentative="0">
      <w:start w:val="2"/>
      <w:numFmt w:val="decimal"/>
      <w:pStyle w:val="141"/>
      <w:isLgl/>
      <w:suff w:val="space"/>
      <w:lvlText w:val="%1.%2."/>
      <w:lvlJc w:val="left"/>
      <w:pPr>
        <w:tabs>
          <w:tab w:val="left" w:pos="0"/>
        </w:tabs>
        <w:ind w:left="0" w:firstLine="0"/>
      </w:pPr>
      <w:rPr>
        <w:rFonts w:hint="eastAsia" w:ascii="宋体" w:hAnsi="宋体" w:eastAsia="宋体"/>
      </w:rPr>
    </w:lvl>
    <w:lvl w:ilvl="2" w:tentative="0">
      <w:start w:val="1"/>
      <w:numFmt w:val="decimal"/>
      <w:pStyle w:val="144"/>
      <w:isLgl/>
      <w:suff w:val="space"/>
      <w:lvlText w:val="%1.%2.%3."/>
      <w:lvlJc w:val="left"/>
      <w:pPr>
        <w:ind w:left="0" w:firstLine="0"/>
      </w:pPr>
      <w:rPr>
        <w:rFonts w:hint="eastAsia" w:ascii="宋体" w:hAnsi="宋体" w:eastAsia="宋体"/>
        <w:b/>
        <w:i w:val="0"/>
        <w:sz w:val="28"/>
      </w:rPr>
    </w:lvl>
    <w:lvl w:ilvl="3" w:tentative="0">
      <w:start w:val="1"/>
      <w:numFmt w:val="decimal"/>
      <w:pStyle w:val="145"/>
      <w:isLgl/>
      <w:suff w:val="space"/>
      <w:lvlText w:val="%1.%2.%3.%4."/>
      <w:lvlJc w:val="left"/>
      <w:pPr>
        <w:ind w:left="0" w:firstLine="0"/>
      </w:pPr>
      <w:rPr>
        <w:rFonts w:hint="eastAsia" w:ascii="宋体" w:hAnsi="宋体" w:eastAsia="宋体"/>
        <w:b/>
        <w:i w:val="0"/>
        <w:sz w:val="28"/>
        <w:szCs w:val="28"/>
      </w:rPr>
    </w:lvl>
    <w:lvl w:ilvl="4" w:tentative="0">
      <w:start w:val="1"/>
      <w:numFmt w:val="decimal"/>
      <w:pStyle w:val="146"/>
      <w:isLgl/>
      <w:suff w:val="space"/>
      <w:lvlText w:val="%1.%2.%3.%4.%5."/>
      <w:lvlJc w:val="left"/>
      <w:pPr>
        <w:ind w:left="0" w:firstLine="0"/>
      </w:pPr>
      <w:rPr>
        <w:rFonts w:hint="eastAsia" w:ascii="宋体" w:hAnsi="宋体" w:eastAsia="宋体"/>
        <w:b/>
        <w:i w:val="0"/>
        <w:sz w:val="24"/>
      </w:rPr>
    </w:lvl>
    <w:lvl w:ilvl="5" w:tentative="0">
      <w:start w:val="1"/>
      <w:numFmt w:val="decimal"/>
      <w:isLgl/>
      <w:suff w:val="space"/>
      <w:lvlText w:val="%1.%2.%3.%4.%5.%6."/>
      <w:lvlJc w:val="left"/>
      <w:pPr>
        <w:ind w:left="0" w:firstLine="0"/>
      </w:pPr>
      <w:rPr>
        <w:rFonts w:hint="eastAsia" w:ascii="Times New Roman" w:hAnsi="Times New Roman" w:eastAsia="宋体"/>
        <w:b/>
        <w:i w:val="0"/>
        <w:sz w:val="24"/>
      </w:rPr>
    </w:lvl>
    <w:lvl w:ilvl="6" w:tentative="0">
      <w:start w:val="1"/>
      <w:numFmt w:val="decimal"/>
      <w:isLgl/>
      <w:suff w:val="space"/>
      <w:lvlText w:val="%1.%2.%3.%4.%5.%6.%7."/>
      <w:lvlJc w:val="left"/>
      <w:pPr>
        <w:ind w:left="0" w:firstLine="0"/>
      </w:pPr>
      <w:rPr>
        <w:rFonts w:hint="eastAsia" w:ascii="Times New Roman" w:hAnsi="Times New Roman" w:eastAsia="宋体"/>
        <w:b/>
        <w:i w:val="0"/>
        <w:sz w:val="24"/>
      </w:rPr>
    </w:lvl>
    <w:lvl w:ilvl="7" w:tentative="0">
      <w:start w:val="1"/>
      <w:numFmt w:val="decimal"/>
      <w:isLgl/>
      <w:suff w:val="space"/>
      <w:lvlText w:val="%1.%2.%3.%4.%5.%6.%7.%8."/>
      <w:lvlJc w:val="left"/>
      <w:pPr>
        <w:ind w:left="0" w:firstLine="0"/>
      </w:pPr>
      <w:rPr>
        <w:rFonts w:hint="eastAsia" w:ascii="Times New Roman" w:hAnsi="Times New Roman" w:eastAsia="宋体"/>
        <w:b/>
        <w:i w:val="0"/>
        <w:sz w:val="24"/>
      </w:rPr>
    </w:lvl>
    <w:lvl w:ilvl="8" w:tentative="0">
      <w:start w:val="1"/>
      <w:numFmt w:val="decimal"/>
      <w:isLgl/>
      <w:suff w:val="space"/>
      <w:lvlText w:val="%1.%2.%3.%4.%5.%6.%7.%8.%9."/>
      <w:lvlJc w:val="left"/>
      <w:pPr>
        <w:ind w:left="0" w:firstLine="0"/>
      </w:pPr>
      <w:rPr>
        <w:rFonts w:hint="eastAsia" w:ascii="Times New Roman" w:hAnsi="Times New Roman" w:eastAsia="宋体"/>
        <w:b/>
        <w:i w:val="0"/>
        <w:sz w:val="24"/>
      </w:rPr>
    </w:lvl>
  </w:abstractNum>
  <w:abstractNum w:abstractNumId="3">
    <w:nsid w:val="CC1703E5"/>
    <w:multiLevelType w:val="singleLevel"/>
    <w:tmpl w:val="CC1703E5"/>
    <w:lvl w:ilvl="0" w:tentative="0">
      <w:start w:val="1"/>
      <w:numFmt w:val="decimal"/>
      <w:suff w:val="nothing"/>
      <w:lvlText w:val="（%1）"/>
      <w:lvlJc w:val="left"/>
      <w:pPr>
        <w:ind w:left="0" w:firstLine="0"/>
      </w:pPr>
    </w:lvl>
  </w:abstractNum>
  <w:abstractNum w:abstractNumId="4">
    <w:nsid w:val="0000000B"/>
    <w:multiLevelType w:val="singleLevel"/>
    <w:tmpl w:val="0000000B"/>
    <w:lvl w:ilvl="0" w:tentative="0">
      <w:start w:val="1"/>
      <w:numFmt w:val="upperLetter"/>
      <w:suff w:val="nothing"/>
      <w:lvlText w:val="%1、"/>
      <w:lvlJc w:val="left"/>
      <w:pPr>
        <w:ind w:left="0" w:firstLine="0"/>
      </w:pPr>
    </w:lvl>
  </w:abstractNum>
  <w:abstractNum w:abstractNumId="5">
    <w:nsid w:val="00000014"/>
    <w:multiLevelType w:val="singleLevel"/>
    <w:tmpl w:val="00000014"/>
    <w:lvl w:ilvl="0" w:tentative="0">
      <w:start w:val="5"/>
      <w:numFmt w:val="chineseCounting"/>
      <w:suff w:val="nothing"/>
      <w:lvlText w:val="%1、"/>
      <w:lvlJc w:val="left"/>
      <w:pPr>
        <w:ind w:left="0" w:firstLine="0"/>
      </w:pPr>
    </w:lvl>
  </w:abstractNum>
  <w:abstractNum w:abstractNumId="6">
    <w:nsid w:val="0000001C"/>
    <w:multiLevelType w:val="singleLevel"/>
    <w:tmpl w:val="0000001C"/>
    <w:lvl w:ilvl="0" w:tentative="0">
      <w:start w:val="1"/>
      <w:numFmt w:val="chineseCounting"/>
      <w:suff w:val="nothing"/>
      <w:lvlText w:val="%1、"/>
      <w:lvlJc w:val="left"/>
      <w:pPr>
        <w:ind w:left="0" w:firstLine="0"/>
      </w:pPr>
    </w:lvl>
  </w:abstractNum>
  <w:abstractNum w:abstractNumId="7">
    <w:nsid w:val="00000020"/>
    <w:multiLevelType w:val="singleLevel"/>
    <w:tmpl w:val="00000020"/>
    <w:lvl w:ilvl="0" w:tentative="0">
      <w:start w:val="1"/>
      <w:numFmt w:val="chineseCounting"/>
      <w:suff w:val="nothing"/>
      <w:lvlText w:val="（%1）"/>
      <w:lvlJc w:val="left"/>
      <w:pPr>
        <w:ind w:left="0" w:firstLine="0"/>
      </w:pPr>
    </w:lvl>
  </w:abstractNum>
  <w:abstractNum w:abstractNumId="8">
    <w:nsid w:val="0E4D5105"/>
    <w:multiLevelType w:val="multilevel"/>
    <w:tmpl w:val="0E4D5105"/>
    <w:lvl w:ilvl="0" w:tentative="0">
      <w:start w:val="1"/>
      <w:numFmt w:val="bullet"/>
      <w:lvlText w:val=""/>
      <w:lvlJc w:val="left"/>
      <w:pPr>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9">
    <w:nsid w:val="15AE74FA"/>
    <w:multiLevelType w:val="singleLevel"/>
    <w:tmpl w:val="15AE74FA"/>
    <w:lvl w:ilvl="0" w:tentative="0">
      <w:start w:val="1"/>
      <w:numFmt w:val="decimal"/>
      <w:suff w:val="nothing"/>
      <w:lvlText w:val="（%1）"/>
      <w:lvlJc w:val="left"/>
      <w:pPr>
        <w:ind w:left="0" w:firstLine="0"/>
      </w:pPr>
    </w:lvl>
  </w:abstractNum>
  <w:abstractNum w:abstractNumId="10">
    <w:nsid w:val="18E11E98"/>
    <w:multiLevelType w:val="singleLevel"/>
    <w:tmpl w:val="18E11E98"/>
    <w:lvl w:ilvl="0" w:tentative="0">
      <w:start w:val="2"/>
      <w:numFmt w:val="decimal"/>
      <w:suff w:val="nothing"/>
      <w:lvlText w:val="%1）"/>
      <w:lvlJc w:val="left"/>
      <w:pPr>
        <w:ind w:left="0" w:firstLine="0"/>
      </w:pPr>
    </w:lvl>
  </w:abstractNum>
  <w:abstractNum w:abstractNumId="11">
    <w:nsid w:val="29D120CC"/>
    <w:multiLevelType w:val="singleLevel"/>
    <w:tmpl w:val="29D120CC"/>
    <w:lvl w:ilvl="0" w:tentative="0">
      <w:start w:val="1"/>
      <w:numFmt w:val="decimal"/>
      <w:suff w:val="nothing"/>
      <w:lvlText w:val="（%1）"/>
      <w:lvlJc w:val="left"/>
      <w:pPr>
        <w:ind w:left="0" w:firstLine="0"/>
      </w:pPr>
    </w:lvl>
  </w:abstractNum>
  <w:abstractNum w:abstractNumId="12">
    <w:nsid w:val="3292B99A"/>
    <w:multiLevelType w:val="singleLevel"/>
    <w:tmpl w:val="3292B99A"/>
    <w:lvl w:ilvl="0" w:tentative="0">
      <w:start w:val="1"/>
      <w:numFmt w:val="decimal"/>
      <w:suff w:val="nothing"/>
      <w:lvlText w:val="（%1）"/>
      <w:lvlJc w:val="left"/>
      <w:pPr>
        <w:ind w:left="0" w:firstLine="0"/>
      </w:pPr>
    </w:lvl>
  </w:abstractNum>
  <w:abstractNum w:abstractNumId="13">
    <w:nsid w:val="47012363"/>
    <w:multiLevelType w:val="multilevel"/>
    <w:tmpl w:val="47012363"/>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D68606C"/>
    <w:multiLevelType w:val="multilevel"/>
    <w:tmpl w:val="4D68606C"/>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53F7068D"/>
    <w:multiLevelType w:val="singleLevel"/>
    <w:tmpl w:val="53F7068D"/>
    <w:lvl w:ilvl="0" w:tentative="0">
      <w:start w:val="1"/>
      <w:numFmt w:val="decimal"/>
      <w:suff w:val="nothing"/>
      <w:lvlText w:val="（%1）"/>
      <w:lvlJc w:val="left"/>
      <w:pPr>
        <w:ind w:left="0" w:firstLine="0"/>
      </w:pPr>
    </w:lvl>
  </w:abstractNum>
  <w:abstractNum w:abstractNumId="16">
    <w:nsid w:val="54F403B5"/>
    <w:multiLevelType w:val="singleLevel"/>
    <w:tmpl w:val="54F403B5"/>
    <w:lvl w:ilvl="0" w:tentative="0">
      <w:start w:val="1"/>
      <w:numFmt w:val="chineseCounting"/>
      <w:suff w:val="nothing"/>
      <w:lvlText w:val="%1、"/>
      <w:lvlJc w:val="left"/>
      <w:pPr>
        <w:ind w:left="0" w:firstLine="0"/>
      </w:pPr>
    </w:lvl>
  </w:abstractNum>
  <w:abstractNum w:abstractNumId="17">
    <w:nsid w:val="557FD3DA"/>
    <w:multiLevelType w:val="singleLevel"/>
    <w:tmpl w:val="557FD3DA"/>
    <w:lvl w:ilvl="0" w:tentative="0">
      <w:start w:val="3"/>
      <w:numFmt w:val="chineseCounting"/>
      <w:suff w:val="nothing"/>
      <w:lvlText w:val="%1、"/>
      <w:lvlJc w:val="left"/>
      <w:pPr>
        <w:ind w:left="0" w:firstLine="0"/>
      </w:pPr>
    </w:lvl>
  </w:abstractNum>
  <w:abstractNum w:abstractNumId="18">
    <w:nsid w:val="589A2FD8"/>
    <w:multiLevelType w:val="singleLevel"/>
    <w:tmpl w:val="589A2FD8"/>
    <w:lvl w:ilvl="0" w:tentative="0">
      <w:start w:val="1"/>
      <w:numFmt w:val="decimal"/>
      <w:suff w:val="nothing"/>
      <w:lvlText w:val="（%1）"/>
      <w:lvlJc w:val="left"/>
      <w:pPr>
        <w:ind w:left="0" w:firstLine="0"/>
      </w:pPr>
    </w:lvl>
  </w:abstractNum>
  <w:abstractNum w:abstractNumId="19">
    <w:nsid w:val="5950E9B0"/>
    <w:multiLevelType w:val="singleLevel"/>
    <w:tmpl w:val="5950E9B0"/>
    <w:lvl w:ilvl="0" w:tentative="0">
      <w:start w:val="2"/>
      <w:numFmt w:val="decimal"/>
      <w:suff w:val="nothing"/>
      <w:lvlText w:val="%1、"/>
      <w:lvlJc w:val="left"/>
      <w:pPr>
        <w:ind w:left="0" w:firstLine="0"/>
      </w:pPr>
    </w:lvl>
  </w:abstractNum>
  <w:abstractNum w:abstractNumId="20">
    <w:nsid w:val="59F1C7B7"/>
    <w:multiLevelType w:val="singleLevel"/>
    <w:tmpl w:val="59F1C7B7"/>
    <w:lvl w:ilvl="0" w:tentative="0">
      <w:start w:val="4"/>
      <w:numFmt w:val="chineseCounting"/>
      <w:suff w:val="nothing"/>
      <w:lvlText w:val="（%1）"/>
      <w:lvlJc w:val="left"/>
      <w:pPr>
        <w:ind w:left="0" w:firstLine="0"/>
      </w:pPr>
    </w:lvl>
  </w:abstractNum>
  <w:abstractNum w:abstractNumId="21">
    <w:nsid w:val="59F56D91"/>
    <w:multiLevelType w:val="singleLevel"/>
    <w:tmpl w:val="59F56D91"/>
    <w:lvl w:ilvl="0" w:tentative="0">
      <w:start w:val="1"/>
      <w:numFmt w:val="decimal"/>
      <w:suff w:val="nothing"/>
      <w:lvlText w:val="（%1）"/>
      <w:lvlJc w:val="left"/>
      <w:pPr>
        <w:ind w:left="0" w:firstLine="0"/>
      </w:pPr>
    </w:lvl>
  </w:abstractNum>
  <w:abstractNum w:abstractNumId="22">
    <w:nsid w:val="5A5F4D07"/>
    <w:multiLevelType w:val="singleLevel"/>
    <w:tmpl w:val="5A5F4D07"/>
    <w:lvl w:ilvl="0" w:tentative="0">
      <w:start w:val="1"/>
      <w:numFmt w:val="decimal"/>
      <w:suff w:val="nothing"/>
      <w:lvlText w:val="%1、"/>
      <w:lvlJc w:val="left"/>
      <w:pPr>
        <w:ind w:left="0" w:firstLine="403"/>
      </w:pPr>
    </w:lvl>
  </w:abstractNum>
  <w:num w:numId="1">
    <w:abstractNumId w:val="0"/>
  </w:num>
  <w:num w:numId="2">
    <w:abstractNumId w:val="2"/>
  </w:num>
  <w:num w:numId="3">
    <w:abstractNumId w:val="13"/>
  </w:num>
  <w:num w:numId="4">
    <w:abstractNumId w:val="8"/>
  </w:num>
  <w:num w:numId="5">
    <w:abstractNumId w:val="14"/>
  </w:num>
  <w:num w:numId="6">
    <w:abstractNumId w:val="18"/>
    <w:lvlOverride w:ilvl="0">
      <w:startOverride w:val="1"/>
    </w:lvlOverride>
  </w:num>
  <w:num w:numId="7">
    <w:abstractNumId w:val="21"/>
    <w:lvlOverride w:ilvl="0">
      <w:startOverride w:val="1"/>
    </w:lvlOverride>
  </w:num>
  <w:num w:numId="8">
    <w:abstractNumId w:val="15"/>
    <w:lvlOverride w:ilvl="0">
      <w:startOverride w:val="1"/>
    </w:lvlOverride>
  </w:num>
  <w:num w:numId="9">
    <w:abstractNumId w:val="3"/>
    <w:lvlOverride w:ilvl="0">
      <w:startOverride w:val="1"/>
    </w:lvlOverride>
  </w:num>
  <w:num w:numId="10">
    <w:abstractNumId w:val="11"/>
    <w:lvlOverride w:ilvl="0">
      <w:startOverride w:val="1"/>
    </w:lvlOverride>
  </w:num>
  <w:num w:numId="11">
    <w:abstractNumId w:val="19"/>
    <w:lvlOverride w:ilvl="0">
      <w:startOverride w:val="2"/>
    </w:lvlOverride>
  </w:num>
  <w:num w:numId="12">
    <w:abstractNumId w:val="5"/>
    <w:lvlOverride w:ilvl="0">
      <w:startOverride w:val="5"/>
    </w:lvlOverride>
  </w:num>
  <w:num w:numId="13">
    <w:abstractNumId w:val="7"/>
    <w:lvlOverride w:ilvl="0">
      <w:startOverride w:val="1"/>
    </w:lvlOverride>
  </w:num>
  <w:num w:numId="14">
    <w:abstractNumId w:val="4"/>
    <w:lvlOverride w:ilvl="0">
      <w:startOverride w:val="1"/>
    </w:lvlOverride>
  </w:num>
  <w:num w:numId="15">
    <w:abstractNumId w:val="20"/>
    <w:lvlOverride w:ilvl="0">
      <w:startOverride w:val="4"/>
    </w:lvlOverride>
  </w:num>
  <w:num w:numId="16">
    <w:abstractNumId w:val="1"/>
    <w:lvlOverride w:ilvl="0">
      <w:startOverride w:val="4"/>
    </w:lvlOverride>
  </w:num>
  <w:num w:numId="17">
    <w:abstractNumId w:val="6"/>
    <w:lvlOverride w:ilvl="0">
      <w:startOverride w:val="1"/>
    </w:lvlOverride>
  </w:num>
  <w:num w:numId="18">
    <w:abstractNumId w:val="9"/>
    <w:lvlOverride w:ilvl="0">
      <w:startOverride w:val="1"/>
    </w:lvlOverride>
  </w:num>
  <w:num w:numId="19">
    <w:abstractNumId w:val="12"/>
    <w:lvlOverride w:ilvl="0">
      <w:startOverride w:val="1"/>
    </w:lvlOverride>
  </w:num>
  <w:num w:numId="20">
    <w:abstractNumId w:val="10"/>
    <w:lvlOverride w:ilvl="0">
      <w:startOverride w:val="2"/>
    </w:lvlOverride>
  </w:num>
  <w:num w:numId="21">
    <w:abstractNumId w:val="22"/>
    <w:lvlOverride w:ilvl="0">
      <w:startOverride w:val="1"/>
    </w:lvlOverride>
  </w:num>
  <w:num w:numId="22">
    <w:abstractNumId w:val="16"/>
    <w:lvlOverride w:ilvl="0">
      <w:startOverride w:val="1"/>
    </w:lvlOverride>
  </w:num>
  <w:num w:numId="23">
    <w:abstractNumId w:val="17"/>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zMWZiOWRlMTk0MzBjYTg0NWY0YjkzOWFjNDAyNmQifQ=="/>
  </w:docVars>
  <w:rsids>
    <w:rsidRoot w:val="001D7C6F"/>
    <w:rsid w:val="000B2340"/>
    <w:rsid w:val="000F0481"/>
    <w:rsid w:val="00117D87"/>
    <w:rsid w:val="001D7C6F"/>
    <w:rsid w:val="001F4691"/>
    <w:rsid w:val="00246E99"/>
    <w:rsid w:val="0032524B"/>
    <w:rsid w:val="00371453"/>
    <w:rsid w:val="00390C73"/>
    <w:rsid w:val="003B6321"/>
    <w:rsid w:val="003C6E34"/>
    <w:rsid w:val="00421E22"/>
    <w:rsid w:val="00436EBB"/>
    <w:rsid w:val="00451F89"/>
    <w:rsid w:val="004B54F9"/>
    <w:rsid w:val="004B778C"/>
    <w:rsid w:val="004F3C9C"/>
    <w:rsid w:val="005D1506"/>
    <w:rsid w:val="00681D81"/>
    <w:rsid w:val="006F2417"/>
    <w:rsid w:val="007A26C5"/>
    <w:rsid w:val="00877ACD"/>
    <w:rsid w:val="009421EB"/>
    <w:rsid w:val="00A418FF"/>
    <w:rsid w:val="00C52600"/>
    <w:rsid w:val="00C92462"/>
    <w:rsid w:val="00D57D04"/>
    <w:rsid w:val="00D67C34"/>
    <w:rsid w:val="00DB3C49"/>
    <w:rsid w:val="00E66C1F"/>
    <w:rsid w:val="00FE099C"/>
    <w:rsid w:val="017D197D"/>
    <w:rsid w:val="01B9772D"/>
    <w:rsid w:val="02A93A9B"/>
    <w:rsid w:val="02F73948"/>
    <w:rsid w:val="03336A7C"/>
    <w:rsid w:val="042E5E4C"/>
    <w:rsid w:val="0493304A"/>
    <w:rsid w:val="04F770EE"/>
    <w:rsid w:val="06536018"/>
    <w:rsid w:val="069C37DE"/>
    <w:rsid w:val="083E76E9"/>
    <w:rsid w:val="08E17EF7"/>
    <w:rsid w:val="0938579B"/>
    <w:rsid w:val="099565E2"/>
    <w:rsid w:val="09FB2C2D"/>
    <w:rsid w:val="0C347712"/>
    <w:rsid w:val="0D6C5C03"/>
    <w:rsid w:val="0DD427CC"/>
    <w:rsid w:val="0E071D54"/>
    <w:rsid w:val="0E1327A4"/>
    <w:rsid w:val="0F0917E8"/>
    <w:rsid w:val="0FE940D1"/>
    <w:rsid w:val="10D82607"/>
    <w:rsid w:val="12C52439"/>
    <w:rsid w:val="12E76D68"/>
    <w:rsid w:val="13AB6D30"/>
    <w:rsid w:val="14197B2B"/>
    <w:rsid w:val="146D3697"/>
    <w:rsid w:val="1525082F"/>
    <w:rsid w:val="15922C54"/>
    <w:rsid w:val="17315226"/>
    <w:rsid w:val="179C4C55"/>
    <w:rsid w:val="18893FB0"/>
    <w:rsid w:val="1B0B16EB"/>
    <w:rsid w:val="1B107014"/>
    <w:rsid w:val="1BAF2456"/>
    <w:rsid w:val="1D41486A"/>
    <w:rsid w:val="1DC15D79"/>
    <w:rsid w:val="1DDC4ABE"/>
    <w:rsid w:val="1F2A5F23"/>
    <w:rsid w:val="2016181B"/>
    <w:rsid w:val="20270A5D"/>
    <w:rsid w:val="20B46591"/>
    <w:rsid w:val="211D331D"/>
    <w:rsid w:val="21A025E1"/>
    <w:rsid w:val="221C5058"/>
    <w:rsid w:val="22FF1DEA"/>
    <w:rsid w:val="23374F42"/>
    <w:rsid w:val="23B45C5F"/>
    <w:rsid w:val="247C5180"/>
    <w:rsid w:val="24BB164C"/>
    <w:rsid w:val="24EB6223"/>
    <w:rsid w:val="26E6202E"/>
    <w:rsid w:val="279F0452"/>
    <w:rsid w:val="28CF0C69"/>
    <w:rsid w:val="2A4F7D3C"/>
    <w:rsid w:val="2B8B1F58"/>
    <w:rsid w:val="2BC32E28"/>
    <w:rsid w:val="2C081C83"/>
    <w:rsid w:val="2C802EC4"/>
    <w:rsid w:val="2D1A763A"/>
    <w:rsid w:val="2E486798"/>
    <w:rsid w:val="2F5710B6"/>
    <w:rsid w:val="2F6E020E"/>
    <w:rsid w:val="2F986D32"/>
    <w:rsid w:val="30615779"/>
    <w:rsid w:val="309D21B2"/>
    <w:rsid w:val="30DB3A8F"/>
    <w:rsid w:val="31544D92"/>
    <w:rsid w:val="320C112F"/>
    <w:rsid w:val="32662F17"/>
    <w:rsid w:val="327D27F5"/>
    <w:rsid w:val="32AA1873"/>
    <w:rsid w:val="347A5B61"/>
    <w:rsid w:val="34F02FCE"/>
    <w:rsid w:val="351C4EC8"/>
    <w:rsid w:val="354C391D"/>
    <w:rsid w:val="35690BF5"/>
    <w:rsid w:val="35854C06"/>
    <w:rsid w:val="367668E3"/>
    <w:rsid w:val="39F02FC1"/>
    <w:rsid w:val="3B7B2E67"/>
    <w:rsid w:val="3D3624CD"/>
    <w:rsid w:val="3D4D7C64"/>
    <w:rsid w:val="3D9C1CBB"/>
    <w:rsid w:val="3EEB08D0"/>
    <w:rsid w:val="3F560F68"/>
    <w:rsid w:val="3F8E4921"/>
    <w:rsid w:val="401A12A3"/>
    <w:rsid w:val="410C339D"/>
    <w:rsid w:val="4158387E"/>
    <w:rsid w:val="41B5712C"/>
    <w:rsid w:val="42427591"/>
    <w:rsid w:val="43271A20"/>
    <w:rsid w:val="43613BDD"/>
    <w:rsid w:val="43BD68B2"/>
    <w:rsid w:val="44EE507F"/>
    <w:rsid w:val="45A36301"/>
    <w:rsid w:val="462F58F1"/>
    <w:rsid w:val="467C3810"/>
    <w:rsid w:val="487263FB"/>
    <w:rsid w:val="48A00146"/>
    <w:rsid w:val="491B090B"/>
    <w:rsid w:val="49ED6561"/>
    <w:rsid w:val="4A400CFA"/>
    <w:rsid w:val="4AB31FFC"/>
    <w:rsid w:val="4B1977BE"/>
    <w:rsid w:val="4B836E1A"/>
    <w:rsid w:val="4C2B49A8"/>
    <w:rsid w:val="4C815854"/>
    <w:rsid w:val="4D4277D5"/>
    <w:rsid w:val="4D657905"/>
    <w:rsid w:val="51F1189B"/>
    <w:rsid w:val="523207A5"/>
    <w:rsid w:val="538F292A"/>
    <w:rsid w:val="53BA1876"/>
    <w:rsid w:val="545C04A3"/>
    <w:rsid w:val="5526467B"/>
    <w:rsid w:val="559878AE"/>
    <w:rsid w:val="55F75153"/>
    <w:rsid w:val="56B2617A"/>
    <w:rsid w:val="56E55F5C"/>
    <w:rsid w:val="56FB1DC2"/>
    <w:rsid w:val="57960C01"/>
    <w:rsid w:val="58CF3193"/>
    <w:rsid w:val="58F13581"/>
    <w:rsid w:val="599A1F9D"/>
    <w:rsid w:val="59BF044C"/>
    <w:rsid w:val="5A613885"/>
    <w:rsid w:val="5B0A64F6"/>
    <w:rsid w:val="5BB6328E"/>
    <w:rsid w:val="5C1E5F6E"/>
    <w:rsid w:val="5CA34A9D"/>
    <w:rsid w:val="5EBA12F4"/>
    <w:rsid w:val="5FB341C8"/>
    <w:rsid w:val="5FF80AC3"/>
    <w:rsid w:val="60AE7BDD"/>
    <w:rsid w:val="60D64BD1"/>
    <w:rsid w:val="61B31546"/>
    <w:rsid w:val="61B354A9"/>
    <w:rsid w:val="61FA45CB"/>
    <w:rsid w:val="643F3D24"/>
    <w:rsid w:val="648C3569"/>
    <w:rsid w:val="656A3AE2"/>
    <w:rsid w:val="65B8132A"/>
    <w:rsid w:val="66F71A34"/>
    <w:rsid w:val="682C160E"/>
    <w:rsid w:val="68BC4D2A"/>
    <w:rsid w:val="68CD225D"/>
    <w:rsid w:val="6A754687"/>
    <w:rsid w:val="6A88551E"/>
    <w:rsid w:val="6B3A040E"/>
    <w:rsid w:val="6B995961"/>
    <w:rsid w:val="6D394B2F"/>
    <w:rsid w:val="6D3C48B5"/>
    <w:rsid w:val="6ECE526E"/>
    <w:rsid w:val="6F444467"/>
    <w:rsid w:val="6F800668"/>
    <w:rsid w:val="6F8D14F7"/>
    <w:rsid w:val="6F961012"/>
    <w:rsid w:val="71C26D46"/>
    <w:rsid w:val="72374AD0"/>
    <w:rsid w:val="72F350FF"/>
    <w:rsid w:val="7378598F"/>
    <w:rsid w:val="73C23D3A"/>
    <w:rsid w:val="74D62749"/>
    <w:rsid w:val="74F33919"/>
    <w:rsid w:val="75180CE0"/>
    <w:rsid w:val="753E01BB"/>
    <w:rsid w:val="759A7261"/>
    <w:rsid w:val="765515D6"/>
    <w:rsid w:val="76A029A3"/>
    <w:rsid w:val="78AB7273"/>
    <w:rsid w:val="78C43780"/>
    <w:rsid w:val="78D95B51"/>
    <w:rsid w:val="79613520"/>
    <w:rsid w:val="79A33E26"/>
    <w:rsid w:val="7A96609A"/>
    <w:rsid w:val="7ADA7F0D"/>
    <w:rsid w:val="7BE20758"/>
    <w:rsid w:val="7C8331FC"/>
    <w:rsid w:val="7D0F17D2"/>
    <w:rsid w:val="7D375DA9"/>
    <w:rsid w:val="7D390D3D"/>
    <w:rsid w:val="7DD13F87"/>
    <w:rsid w:val="7E432F75"/>
    <w:rsid w:val="7F2264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0" w:name="List"/>
    <w:lsdException w:uiPriority="99" w:name="List Bullet"/>
    <w:lsdException w:qFormat="1" w:uiPriority="0" w:name="List Number"/>
    <w:lsdException w:qFormat="1" w:uiPriority="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qFormat="1" w:uiPriority="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name="Date"/>
    <w:lsdException w:qFormat="1" w:uiPriority="0" w:name="Body Text First Indent"/>
    <w:lsdException w:qFormat="1" w:uiPriority="0" w:name="Body Text First Indent 2"/>
    <w:lsdException w:uiPriority="99" w:name="Note Heading"/>
    <w:lsdException w:qFormat="1" w:uiPriority="0" w:name="Body Text 2"/>
    <w:lsdException w:qFormat="1" w:uiPriority="0" w:name="Body Text 3"/>
    <w:lsdException w:qFormat="1" w:uiPriority="0" w:name="Body Text Indent 2"/>
    <w:lsdException w:qFormat="1" w:uiPriority="0"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link w:val="35"/>
    <w:qFormat/>
    <w:uiPriority w:val="0"/>
    <w:pPr>
      <w:keepNext/>
      <w:keepLines/>
      <w:spacing w:before="340" w:after="330" w:line="576" w:lineRule="auto"/>
      <w:outlineLvl w:val="0"/>
    </w:pPr>
    <w:rPr>
      <w:b/>
      <w:bCs/>
      <w:kern w:val="44"/>
      <w:sz w:val="44"/>
      <w:szCs w:val="44"/>
    </w:rPr>
  </w:style>
  <w:style w:type="paragraph" w:styleId="5">
    <w:name w:val="heading 2"/>
    <w:basedOn w:val="1"/>
    <w:next w:val="1"/>
    <w:link w:val="37"/>
    <w:semiHidden/>
    <w:unhideWhenUsed/>
    <w:qFormat/>
    <w:uiPriority w:val="0"/>
    <w:pPr>
      <w:keepNext/>
      <w:keepLines/>
      <w:spacing w:before="260" w:after="260" w:line="412" w:lineRule="auto"/>
      <w:outlineLvl w:val="1"/>
    </w:pPr>
    <w:rPr>
      <w:rFonts w:ascii="Arial" w:hAnsi="Arial" w:eastAsia="黑体"/>
      <w:b/>
      <w:bCs/>
      <w:sz w:val="32"/>
      <w:szCs w:val="32"/>
    </w:rPr>
  </w:style>
  <w:style w:type="paragraph" w:styleId="6">
    <w:name w:val="heading 3"/>
    <w:basedOn w:val="1"/>
    <w:next w:val="1"/>
    <w:link w:val="38"/>
    <w:semiHidden/>
    <w:unhideWhenUsed/>
    <w:qFormat/>
    <w:uiPriority w:val="0"/>
    <w:pPr>
      <w:keepNext/>
      <w:keepLines/>
      <w:spacing w:before="260" w:after="260" w:line="415" w:lineRule="auto"/>
      <w:outlineLvl w:val="2"/>
    </w:pPr>
    <w:rPr>
      <w:b/>
      <w:bCs/>
      <w:sz w:val="32"/>
      <w:szCs w:val="32"/>
    </w:rPr>
  </w:style>
  <w:style w:type="paragraph" w:styleId="7">
    <w:name w:val="heading 4"/>
    <w:basedOn w:val="1"/>
    <w:next w:val="1"/>
    <w:link w:val="36"/>
    <w:semiHidden/>
    <w:unhideWhenUsed/>
    <w:qFormat/>
    <w:uiPriority w:val="0"/>
    <w:pPr>
      <w:keepNext/>
      <w:keepLines/>
      <w:spacing w:before="280" w:after="290" w:line="372" w:lineRule="auto"/>
      <w:outlineLvl w:val="3"/>
    </w:pPr>
    <w:rPr>
      <w:rFonts w:ascii="Arial" w:hAnsi="Arial" w:eastAsia="黑体"/>
      <w:b/>
      <w:bCs/>
      <w:sz w:val="28"/>
      <w:szCs w:val="28"/>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7"/>
    <w:semiHidden/>
    <w:unhideWhenUsed/>
    <w:qFormat/>
    <w:uiPriority w:val="0"/>
    <w:pPr>
      <w:ind w:firstLine="420" w:firstLineChars="200"/>
    </w:pPr>
    <w:rPr>
      <w:rFonts w:ascii="Times New Roman" w:hAnsi="Times New Roman"/>
      <w:lang w:val="zh-CN"/>
    </w:rPr>
  </w:style>
  <w:style w:type="paragraph" w:styleId="3">
    <w:name w:val="Body Text Indent"/>
    <w:basedOn w:val="1"/>
    <w:next w:val="1"/>
    <w:link w:val="45"/>
    <w:semiHidden/>
    <w:unhideWhenUsed/>
    <w:qFormat/>
    <w:uiPriority w:val="0"/>
    <w:pPr>
      <w:spacing w:line="200" w:lineRule="exact"/>
      <w:ind w:firstLine="301"/>
    </w:pPr>
    <w:rPr>
      <w:rFonts w:ascii="宋体" w:hAnsi="Courier New"/>
      <w:spacing w:val="-4"/>
      <w:sz w:val="18"/>
      <w:szCs w:val="20"/>
    </w:rPr>
  </w:style>
  <w:style w:type="paragraph" w:styleId="8">
    <w:name w:val="List Number"/>
    <w:basedOn w:val="1"/>
    <w:semiHidden/>
    <w:unhideWhenUsed/>
    <w:qFormat/>
    <w:uiPriority w:val="0"/>
    <w:pPr>
      <w:numPr>
        <w:ilvl w:val="0"/>
        <w:numId w:val="1"/>
      </w:numPr>
    </w:pPr>
  </w:style>
  <w:style w:type="paragraph" w:styleId="9">
    <w:name w:val="Normal Indent"/>
    <w:basedOn w:val="1"/>
    <w:next w:val="1"/>
    <w:semiHidden/>
    <w:unhideWhenUsed/>
    <w:qFormat/>
    <w:uiPriority w:val="0"/>
    <w:pPr>
      <w:ind w:firstLine="420"/>
    </w:pPr>
    <w:rPr>
      <w:szCs w:val="20"/>
    </w:rPr>
  </w:style>
  <w:style w:type="paragraph" w:styleId="10">
    <w:name w:val="Document Map"/>
    <w:basedOn w:val="1"/>
    <w:link w:val="52"/>
    <w:semiHidden/>
    <w:unhideWhenUsed/>
    <w:qFormat/>
    <w:uiPriority w:val="99"/>
    <w:rPr>
      <w:rFonts w:ascii="宋体"/>
      <w:sz w:val="18"/>
      <w:szCs w:val="18"/>
    </w:rPr>
  </w:style>
  <w:style w:type="paragraph" w:styleId="11">
    <w:name w:val="annotation text"/>
    <w:basedOn w:val="1"/>
    <w:link w:val="40"/>
    <w:semiHidden/>
    <w:unhideWhenUsed/>
    <w:qFormat/>
    <w:uiPriority w:val="99"/>
    <w:pPr>
      <w:jc w:val="left"/>
    </w:pPr>
  </w:style>
  <w:style w:type="paragraph" w:styleId="12">
    <w:name w:val="Body Text 3"/>
    <w:basedOn w:val="1"/>
    <w:link w:val="49"/>
    <w:semiHidden/>
    <w:unhideWhenUsed/>
    <w:qFormat/>
    <w:uiPriority w:val="0"/>
    <w:pPr>
      <w:snapToGrid w:val="0"/>
      <w:spacing w:before="50" w:after="50"/>
    </w:pPr>
    <w:rPr>
      <w:rFonts w:hAnsi="宋体" w:eastAsia="仿宋_GB2312"/>
      <w:b/>
      <w:bCs/>
      <w:sz w:val="24"/>
      <w:szCs w:val="20"/>
    </w:rPr>
  </w:style>
  <w:style w:type="paragraph" w:styleId="13">
    <w:name w:val="Body Text"/>
    <w:basedOn w:val="1"/>
    <w:next w:val="14"/>
    <w:link w:val="44"/>
    <w:semiHidden/>
    <w:unhideWhenUsed/>
    <w:qFormat/>
    <w:uiPriority w:val="0"/>
    <w:pPr>
      <w:spacing w:after="120"/>
    </w:pPr>
    <w:rPr>
      <w:sz w:val="28"/>
    </w:rPr>
  </w:style>
  <w:style w:type="paragraph" w:styleId="14">
    <w:name w:val="Body Text First Indent"/>
    <w:basedOn w:val="13"/>
    <w:next w:val="1"/>
    <w:link w:val="43"/>
    <w:semiHidden/>
    <w:unhideWhenUsed/>
    <w:qFormat/>
    <w:uiPriority w:val="0"/>
    <w:pPr>
      <w:autoSpaceDE w:val="0"/>
      <w:autoSpaceDN w:val="0"/>
      <w:adjustRightInd w:val="0"/>
      <w:spacing w:after="0"/>
      <w:jc w:val="left"/>
    </w:pPr>
    <w:rPr>
      <w:kern w:val="0"/>
      <w:szCs w:val="20"/>
    </w:rPr>
  </w:style>
  <w:style w:type="paragraph" w:styleId="15">
    <w:name w:val="Plain Text"/>
    <w:basedOn w:val="1"/>
    <w:link w:val="34"/>
    <w:semiHidden/>
    <w:unhideWhenUsed/>
    <w:qFormat/>
    <w:uiPriority w:val="0"/>
    <w:rPr>
      <w:rFonts w:hAnsi="Courier New" w:cs="Courier New" w:asciiTheme="minorEastAsia" w:eastAsiaTheme="minorEastAsia"/>
    </w:rPr>
  </w:style>
  <w:style w:type="paragraph" w:styleId="16">
    <w:name w:val="Date"/>
    <w:basedOn w:val="1"/>
    <w:next w:val="1"/>
    <w:link w:val="46"/>
    <w:semiHidden/>
    <w:unhideWhenUsed/>
    <w:qFormat/>
    <w:uiPriority w:val="0"/>
    <w:pPr>
      <w:ind w:left="2500" w:leftChars="2500"/>
    </w:pPr>
    <w:rPr>
      <w:rFonts w:eastAsia="楷体_GB2312"/>
      <w:sz w:val="32"/>
      <w:szCs w:val="20"/>
    </w:rPr>
  </w:style>
  <w:style w:type="paragraph" w:styleId="17">
    <w:name w:val="Body Text Indent 2"/>
    <w:basedOn w:val="1"/>
    <w:link w:val="50"/>
    <w:semiHidden/>
    <w:unhideWhenUsed/>
    <w:qFormat/>
    <w:uiPriority w:val="0"/>
    <w:pPr>
      <w:snapToGrid w:val="0"/>
      <w:ind w:firstLine="542" w:firstLineChars="225"/>
    </w:pPr>
    <w:rPr>
      <w:rFonts w:ascii="仿宋_GB2312" w:hAnsi="宋体" w:cs="Arial"/>
      <w:b/>
      <w:bCs/>
      <w:color w:val="000000"/>
      <w:sz w:val="24"/>
    </w:rPr>
  </w:style>
  <w:style w:type="paragraph" w:styleId="18">
    <w:name w:val="Balloon Text"/>
    <w:basedOn w:val="1"/>
    <w:link w:val="54"/>
    <w:semiHidden/>
    <w:unhideWhenUsed/>
    <w:qFormat/>
    <w:uiPriority w:val="0"/>
    <w:rPr>
      <w:sz w:val="18"/>
      <w:szCs w:val="18"/>
    </w:rPr>
  </w:style>
  <w:style w:type="paragraph" w:styleId="19">
    <w:name w:val="footer"/>
    <w:basedOn w:val="1"/>
    <w:link w:val="42"/>
    <w:unhideWhenUsed/>
    <w:qFormat/>
    <w:uiPriority w:val="99"/>
    <w:pPr>
      <w:tabs>
        <w:tab w:val="center" w:pos="4153"/>
        <w:tab w:val="right" w:pos="8306"/>
      </w:tabs>
      <w:snapToGrid w:val="0"/>
      <w:jc w:val="left"/>
    </w:pPr>
    <w:rPr>
      <w:rFonts w:eastAsia="黑体"/>
      <w:sz w:val="18"/>
      <w:szCs w:val="18"/>
    </w:rPr>
  </w:style>
  <w:style w:type="paragraph" w:styleId="20">
    <w:name w:val="envelope return"/>
    <w:basedOn w:val="1"/>
    <w:qFormat/>
    <w:uiPriority w:val="0"/>
    <w:pPr>
      <w:snapToGrid w:val="0"/>
      <w:spacing w:beforeLines="40" w:afterLines="40" w:line="300" w:lineRule="auto"/>
      <w:ind w:firstLine="420"/>
    </w:pPr>
    <w:rPr>
      <w:rFonts w:ascii="Arial" w:hAnsi="Arial" w:cs="Arial"/>
    </w:rPr>
  </w:style>
  <w:style w:type="paragraph" w:styleId="21">
    <w:name w:val="header"/>
    <w:basedOn w:val="1"/>
    <w:link w:val="41"/>
    <w:unhideWhenUsed/>
    <w:qFormat/>
    <w:uiPriority w:val="99"/>
    <w:pPr>
      <w:pBdr>
        <w:bottom w:val="single" w:color="auto" w:sz="6" w:space="1"/>
      </w:pBdr>
      <w:tabs>
        <w:tab w:val="center" w:pos="4153"/>
        <w:tab w:val="right" w:pos="8306"/>
      </w:tabs>
      <w:snapToGrid w:val="0"/>
      <w:jc w:val="center"/>
    </w:pPr>
    <w:rPr>
      <w:rFonts w:eastAsia="仿宋_GB2312"/>
      <w:sz w:val="18"/>
      <w:szCs w:val="20"/>
    </w:rPr>
  </w:style>
  <w:style w:type="paragraph" w:styleId="22">
    <w:name w:val="toc 1"/>
    <w:basedOn w:val="1"/>
    <w:next w:val="1"/>
    <w:semiHidden/>
    <w:unhideWhenUsed/>
    <w:qFormat/>
    <w:uiPriority w:val="39"/>
  </w:style>
  <w:style w:type="paragraph" w:styleId="23">
    <w:name w:val="Body Text Indent 3"/>
    <w:basedOn w:val="1"/>
    <w:link w:val="51"/>
    <w:semiHidden/>
    <w:unhideWhenUsed/>
    <w:qFormat/>
    <w:uiPriority w:val="0"/>
    <w:pPr>
      <w:snapToGrid w:val="0"/>
      <w:ind w:firstLine="480" w:firstLineChars="200"/>
      <w:jc w:val="left"/>
    </w:pPr>
    <w:rPr>
      <w:rFonts w:ascii="仿宋_GB2312" w:hAnsi="宋体" w:eastAsia="仿宋_GB2312"/>
      <w:color w:val="000000"/>
      <w:sz w:val="24"/>
    </w:rPr>
  </w:style>
  <w:style w:type="paragraph" w:styleId="24">
    <w:name w:val="toc 2"/>
    <w:basedOn w:val="1"/>
    <w:next w:val="1"/>
    <w:semiHidden/>
    <w:unhideWhenUsed/>
    <w:qFormat/>
    <w:uiPriority w:val="39"/>
    <w:pPr>
      <w:ind w:left="420" w:leftChars="200"/>
    </w:pPr>
  </w:style>
  <w:style w:type="paragraph" w:styleId="25">
    <w:name w:val="Body Text 2"/>
    <w:basedOn w:val="1"/>
    <w:link w:val="48"/>
    <w:semiHidden/>
    <w:unhideWhenUsed/>
    <w:qFormat/>
    <w:uiPriority w:val="0"/>
    <w:pPr>
      <w:widowControl/>
      <w:snapToGrid w:val="0"/>
      <w:spacing w:before="50" w:afterLines="50" w:line="400" w:lineRule="exact"/>
      <w:jc w:val="left"/>
    </w:pPr>
    <w:rPr>
      <w:rFonts w:ascii="宋体" w:hAnsi="宋体"/>
      <w:color w:val="000000"/>
      <w:sz w:val="24"/>
    </w:rPr>
  </w:style>
  <w:style w:type="paragraph" w:styleId="26">
    <w:name w:val="Normal (Web)"/>
    <w:basedOn w:val="1"/>
    <w:qFormat/>
    <w:uiPriority w:val="99"/>
    <w:pPr>
      <w:spacing w:before="100" w:beforeLines="0" w:beforeAutospacing="1" w:after="100" w:afterLines="0" w:afterAutospacing="1"/>
    </w:pPr>
    <w:rPr>
      <w:rFonts w:ascii="宋体" w:hAnsi="宋体" w:cs="宋体"/>
      <w:sz w:val="24"/>
      <w:szCs w:val="24"/>
    </w:rPr>
  </w:style>
  <w:style w:type="paragraph" w:styleId="27">
    <w:name w:val="annotation subject"/>
    <w:basedOn w:val="11"/>
    <w:next w:val="11"/>
    <w:link w:val="53"/>
    <w:semiHidden/>
    <w:unhideWhenUsed/>
    <w:qFormat/>
    <w:uiPriority w:val="99"/>
    <w:rPr>
      <w:b/>
      <w:bCs/>
    </w:rPr>
  </w:style>
  <w:style w:type="table" w:styleId="29">
    <w:name w:val="Table Grid"/>
    <w:basedOn w:val="2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qFormat/>
    <w:uiPriority w:val="22"/>
    <w:rPr>
      <w:b/>
      <w:sz w:val="24"/>
      <w:szCs w:val="24"/>
    </w:rPr>
  </w:style>
  <w:style w:type="character" w:styleId="32">
    <w:name w:val="Hyperlink"/>
    <w:semiHidden/>
    <w:unhideWhenUsed/>
    <w:qFormat/>
    <w:uiPriority w:val="99"/>
    <w:rPr>
      <w:color w:val="0000FF"/>
      <w:u w:val="none"/>
    </w:rPr>
  </w:style>
  <w:style w:type="paragraph" w:customStyle="1" w:styleId="33">
    <w:name w:val="样式3"/>
    <w:basedOn w:val="15"/>
    <w:qFormat/>
    <w:uiPriority w:val="0"/>
    <w:pPr>
      <w:spacing w:line="0" w:lineRule="atLeast"/>
      <w:outlineLvl w:val="0"/>
    </w:pPr>
    <w:rPr>
      <w:sz w:val="28"/>
    </w:rPr>
  </w:style>
  <w:style w:type="character" w:customStyle="1" w:styleId="34">
    <w:name w:val="纯文本 字符"/>
    <w:basedOn w:val="30"/>
    <w:link w:val="15"/>
    <w:semiHidden/>
    <w:qFormat/>
    <w:uiPriority w:val="0"/>
    <w:rPr>
      <w:rFonts w:hAnsi="Courier New" w:cs="Courier New" w:asciiTheme="minorEastAsia"/>
      <w:szCs w:val="24"/>
    </w:rPr>
  </w:style>
  <w:style w:type="character" w:customStyle="1" w:styleId="35">
    <w:name w:val="标题 1 字符"/>
    <w:basedOn w:val="30"/>
    <w:link w:val="4"/>
    <w:qFormat/>
    <w:uiPriority w:val="0"/>
    <w:rPr>
      <w:rFonts w:ascii="Calibri" w:hAnsi="Calibri" w:eastAsia="宋体" w:cs="Times New Roman"/>
      <w:b/>
      <w:bCs/>
      <w:kern w:val="44"/>
      <w:sz w:val="44"/>
      <w:szCs w:val="44"/>
    </w:rPr>
  </w:style>
  <w:style w:type="character" w:customStyle="1" w:styleId="36">
    <w:name w:val="标题 4 字符"/>
    <w:basedOn w:val="30"/>
    <w:link w:val="7"/>
    <w:semiHidden/>
    <w:qFormat/>
    <w:uiPriority w:val="0"/>
    <w:rPr>
      <w:rFonts w:ascii="Arial" w:hAnsi="Arial" w:eastAsia="黑体" w:cs="Times New Roman"/>
      <w:b/>
      <w:bCs/>
      <w:sz w:val="28"/>
      <w:szCs w:val="28"/>
    </w:rPr>
  </w:style>
  <w:style w:type="character" w:customStyle="1" w:styleId="37">
    <w:name w:val="标题 2 字符"/>
    <w:basedOn w:val="30"/>
    <w:link w:val="5"/>
    <w:semiHidden/>
    <w:qFormat/>
    <w:uiPriority w:val="0"/>
    <w:rPr>
      <w:rFonts w:ascii="Arial" w:hAnsi="Arial" w:eastAsia="黑体" w:cs="Times New Roman"/>
      <w:b/>
      <w:bCs/>
      <w:sz w:val="32"/>
      <w:szCs w:val="32"/>
    </w:rPr>
  </w:style>
  <w:style w:type="character" w:customStyle="1" w:styleId="38">
    <w:name w:val="标题 3 字符"/>
    <w:basedOn w:val="30"/>
    <w:link w:val="6"/>
    <w:semiHidden/>
    <w:qFormat/>
    <w:uiPriority w:val="0"/>
    <w:rPr>
      <w:rFonts w:ascii="Calibri" w:hAnsi="Calibri" w:eastAsia="宋体" w:cs="Times New Roman"/>
      <w:b/>
      <w:bCs/>
      <w:sz w:val="32"/>
      <w:szCs w:val="32"/>
    </w:rPr>
  </w:style>
  <w:style w:type="paragraph" w:customStyle="1" w:styleId="39">
    <w:name w:val="msonormal"/>
    <w:basedOn w:val="1"/>
    <w:qFormat/>
    <w:uiPriority w:val="0"/>
    <w:pPr>
      <w:widowControl/>
      <w:spacing w:before="100" w:beforeAutospacing="1" w:after="100" w:afterAutospacing="1"/>
      <w:jc w:val="left"/>
    </w:pPr>
    <w:rPr>
      <w:kern w:val="0"/>
      <w:sz w:val="24"/>
    </w:rPr>
  </w:style>
  <w:style w:type="character" w:customStyle="1" w:styleId="40">
    <w:name w:val="批注文字 字符"/>
    <w:basedOn w:val="30"/>
    <w:link w:val="11"/>
    <w:semiHidden/>
    <w:qFormat/>
    <w:uiPriority w:val="99"/>
    <w:rPr>
      <w:rFonts w:ascii="Calibri" w:hAnsi="Calibri" w:eastAsia="宋体" w:cs="Times New Roman"/>
      <w:szCs w:val="24"/>
    </w:rPr>
  </w:style>
  <w:style w:type="character" w:customStyle="1" w:styleId="41">
    <w:name w:val="页眉 字符"/>
    <w:basedOn w:val="30"/>
    <w:link w:val="21"/>
    <w:qFormat/>
    <w:uiPriority w:val="99"/>
    <w:rPr>
      <w:rFonts w:ascii="Calibri" w:hAnsi="Calibri" w:eastAsia="仿宋_GB2312" w:cs="Times New Roman"/>
      <w:sz w:val="18"/>
      <w:szCs w:val="20"/>
    </w:rPr>
  </w:style>
  <w:style w:type="character" w:customStyle="1" w:styleId="42">
    <w:name w:val="页脚 字符"/>
    <w:basedOn w:val="30"/>
    <w:link w:val="19"/>
    <w:qFormat/>
    <w:uiPriority w:val="99"/>
    <w:rPr>
      <w:rFonts w:ascii="Calibri" w:hAnsi="Calibri" w:eastAsia="黑体" w:cs="Times New Roman"/>
      <w:sz w:val="18"/>
      <w:szCs w:val="18"/>
    </w:rPr>
  </w:style>
  <w:style w:type="character" w:customStyle="1" w:styleId="43">
    <w:name w:val="正文文本首行缩进 字符"/>
    <w:basedOn w:val="44"/>
    <w:link w:val="14"/>
    <w:semiHidden/>
    <w:qFormat/>
    <w:uiPriority w:val="0"/>
    <w:rPr>
      <w:rFonts w:ascii="Calibri" w:hAnsi="Calibri" w:eastAsia="宋体" w:cs="Times New Roman"/>
      <w:kern w:val="0"/>
      <w:sz w:val="28"/>
      <w:szCs w:val="20"/>
    </w:rPr>
  </w:style>
  <w:style w:type="character" w:customStyle="1" w:styleId="44">
    <w:name w:val="正文文本 字符"/>
    <w:basedOn w:val="30"/>
    <w:link w:val="13"/>
    <w:semiHidden/>
    <w:qFormat/>
    <w:uiPriority w:val="0"/>
    <w:rPr>
      <w:rFonts w:ascii="Calibri" w:hAnsi="Calibri" w:eastAsia="宋体" w:cs="Times New Roman"/>
      <w:sz w:val="28"/>
      <w:szCs w:val="24"/>
    </w:rPr>
  </w:style>
  <w:style w:type="character" w:customStyle="1" w:styleId="45">
    <w:name w:val="正文文本缩进 字符"/>
    <w:basedOn w:val="30"/>
    <w:link w:val="3"/>
    <w:semiHidden/>
    <w:qFormat/>
    <w:uiPriority w:val="0"/>
    <w:rPr>
      <w:rFonts w:ascii="宋体" w:hAnsi="Courier New" w:eastAsia="宋体" w:cs="Times New Roman"/>
      <w:spacing w:val="-4"/>
      <w:sz w:val="18"/>
      <w:szCs w:val="20"/>
    </w:rPr>
  </w:style>
  <w:style w:type="character" w:customStyle="1" w:styleId="46">
    <w:name w:val="日期 字符"/>
    <w:basedOn w:val="30"/>
    <w:link w:val="16"/>
    <w:semiHidden/>
    <w:qFormat/>
    <w:uiPriority w:val="0"/>
    <w:rPr>
      <w:rFonts w:ascii="Calibri" w:hAnsi="Calibri" w:eastAsia="楷体_GB2312" w:cs="Times New Roman"/>
      <w:sz w:val="32"/>
      <w:szCs w:val="20"/>
    </w:rPr>
  </w:style>
  <w:style w:type="character" w:customStyle="1" w:styleId="47">
    <w:name w:val="正文文本首行缩进 2 字符"/>
    <w:basedOn w:val="45"/>
    <w:link w:val="2"/>
    <w:semiHidden/>
    <w:qFormat/>
    <w:uiPriority w:val="0"/>
    <w:rPr>
      <w:rFonts w:ascii="Times New Roman" w:hAnsi="Times New Roman" w:eastAsia="宋体" w:cs="Times New Roman"/>
      <w:spacing w:val="-4"/>
      <w:sz w:val="18"/>
      <w:szCs w:val="20"/>
      <w:lang w:val="zh-CN"/>
    </w:rPr>
  </w:style>
  <w:style w:type="character" w:customStyle="1" w:styleId="48">
    <w:name w:val="正文文本 2 字符"/>
    <w:basedOn w:val="30"/>
    <w:link w:val="25"/>
    <w:semiHidden/>
    <w:qFormat/>
    <w:uiPriority w:val="0"/>
    <w:rPr>
      <w:rFonts w:ascii="宋体" w:hAnsi="宋体" w:eastAsia="宋体" w:cs="Times New Roman"/>
      <w:color w:val="000000"/>
      <w:sz w:val="24"/>
      <w:szCs w:val="24"/>
    </w:rPr>
  </w:style>
  <w:style w:type="character" w:customStyle="1" w:styleId="49">
    <w:name w:val="正文文本 3 字符"/>
    <w:basedOn w:val="30"/>
    <w:link w:val="12"/>
    <w:semiHidden/>
    <w:qFormat/>
    <w:uiPriority w:val="0"/>
    <w:rPr>
      <w:rFonts w:ascii="Calibri" w:hAnsi="宋体" w:eastAsia="仿宋_GB2312" w:cs="Times New Roman"/>
      <w:b/>
      <w:bCs/>
      <w:sz w:val="24"/>
      <w:szCs w:val="20"/>
    </w:rPr>
  </w:style>
  <w:style w:type="character" w:customStyle="1" w:styleId="50">
    <w:name w:val="正文文本缩进 2 字符"/>
    <w:basedOn w:val="30"/>
    <w:link w:val="17"/>
    <w:semiHidden/>
    <w:qFormat/>
    <w:uiPriority w:val="0"/>
    <w:rPr>
      <w:rFonts w:ascii="仿宋_GB2312" w:hAnsi="宋体" w:eastAsia="宋体" w:cs="Arial"/>
      <w:b/>
      <w:bCs/>
      <w:color w:val="000000"/>
      <w:sz w:val="24"/>
      <w:szCs w:val="24"/>
    </w:rPr>
  </w:style>
  <w:style w:type="character" w:customStyle="1" w:styleId="51">
    <w:name w:val="正文文本缩进 3 字符"/>
    <w:basedOn w:val="30"/>
    <w:link w:val="23"/>
    <w:semiHidden/>
    <w:qFormat/>
    <w:uiPriority w:val="0"/>
    <w:rPr>
      <w:rFonts w:ascii="仿宋_GB2312" w:hAnsi="宋体" w:eastAsia="仿宋_GB2312" w:cs="Times New Roman"/>
      <w:color w:val="000000"/>
      <w:sz w:val="24"/>
      <w:szCs w:val="24"/>
    </w:rPr>
  </w:style>
  <w:style w:type="character" w:customStyle="1" w:styleId="52">
    <w:name w:val="文档结构图 字符"/>
    <w:basedOn w:val="30"/>
    <w:link w:val="10"/>
    <w:semiHidden/>
    <w:qFormat/>
    <w:uiPriority w:val="99"/>
    <w:rPr>
      <w:rFonts w:ascii="宋体" w:hAnsi="Calibri" w:eastAsia="宋体" w:cs="Times New Roman"/>
      <w:sz w:val="18"/>
      <w:szCs w:val="18"/>
    </w:rPr>
  </w:style>
  <w:style w:type="character" w:customStyle="1" w:styleId="53">
    <w:name w:val="批注主题 字符"/>
    <w:basedOn w:val="40"/>
    <w:link w:val="27"/>
    <w:semiHidden/>
    <w:qFormat/>
    <w:uiPriority w:val="99"/>
    <w:rPr>
      <w:rFonts w:ascii="Calibri" w:hAnsi="Calibri" w:eastAsia="宋体" w:cs="Times New Roman"/>
      <w:b/>
      <w:bCs/>
      <w:szCs w:val="24"/>
    </w:rPr>
  </w:style>
  <w:style w:type="character" w:customStyle="1" w:styleId="54">
    <w:name w:val="批注框文本 字符"/>
    <w:basedOn w:val="30"/>
    <w:link w:val="18"/>
    <w:semiHidden/>
    <w:qFormat/>
    <w:uiPriority w:val="0"/>
    <w:rPr>
      <w:rFonts w:ascii="Calibri" w:hAnsi="Calibri" w:eastAsia="宋体" w:cs="Times New Roman"/>
      <w:sz w:val="18"/>
      <w:szCs w:val="18"/>
    </w:rPr>
  </w:style>
  <w:style w:type="character" w:customStyle="1" w:styleId="55">
    <w:name w:val="无间隔 字符"/>
    <w:link w:val="56"/>
    <w:qFormat/>
    <w:locked/>
    <w:uiPriority w:val="1"/>
    <w:rPr>
      <w:sz w:val="22"/>
    </w:rPr>
  </w:style>
  <w:style w:type="paragraph" w:styleId="56">
    <w:name w:val="No Spacing"/>
    <w:link w:val="55"/>
    <w:qFormat/>
    <w:uiPriority w:val="1"/>
    <w:rPr>
      <w:rFonts w:asciiTheme="minorHAnsi" w:hAnsiTheme="minorHAnsi" w:eastAsiaTheme="minorEastAsia" w:cstheme="minorBidi"/>
      <w:kern w:val="2"/>
      <w:sz w:val="22"/>
      <w:szCs w:val="22"/>
      <w:lang w:val="en-US" w:eastAsia="zh-CN" w:bidi="ar-SA"/>
    </w:rPr>
  </w:style>
  <w:style w:type="paragraph" w:customStyle="1" w:styleId="57">
    <w:name w:val="默认段落字体 Para Char Char Char Char Char Char Char Char Char1 Char Char Char Char"/>
    <w:basedOn w:val="1"/>
    <w:qFormat/>
    <w:uiPriority w:val="0"/>
    <w:rPr>
      <w:rFonts w:ascii="Tahoma" w:hAnsi="Tahoma"/>
      <w:sz w:val="24"/>
      <w:szCs w:val="20"/>
    </w:rPr>
  </w:style>
  <w:style w:type="paragraph" w:customStyle="1" w:styleId="58">
    <w:name w:val="正文1"/>
    <w:basedOn w:val="1"/>
    <w:next w:val="1"/>
    <w:qFormat/>
    <w:uiPriority w:val="0"/>
    <w:pPr>
      <w:tabs>
        <w:tab w:val="left" w:pos="360"/>
      </w:tabs>
      <w:spacing w:line="360" w:lineRule="auto"/>
      <w:ind w:left="357" w:hanging="357"/>
    </w:pPr>
    <w:rPr>
      <w:rFonts w:ascii="宋体" w:hAnsi="宋体"/>
      <w:color w:val="FF0000"/>
    </w:rPr>
  </w:style>
  <w:style w:type="paragraph" w:customStyle="1" w:styleId="59">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0">
    <w:name w:val="cm3"/>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61">
    <w:name w:val="列出段落1"/>
    <w:basedOn w:val="1"/>
    <w:qFormat/>
    <w:uiPriority w:val="34"/>
    <w:pPr>
      <w:ind w:firstLine="420" w:firstLineChars="200"/>
    </w:pPr>
  </w:style>
  <w:style w:type="paragraph" w:customStyle="1" w:styleId="62">
    <w:name w:val="正文段"/>
    <w:basedOn w:val="1"/>
    <w:qFormat/>
    <w:uiPriority w:val="0"/>
    <w:pPr>
      <w:widowControl/>
      <w:snapToGrid w:val="0"/>
      <w:spacing w:afterLines="50"/>
      <w:ind w:firstLine="200" w:firstLineChars="200"/>
    </w:pPr>
    <w:rPr>
      <w:kern w:val="0"/>
      <w:sz w:val="24"/>
      <w:szCs w:val="20"/>
    </w:rPr>
  </w:style>
  <w:style w:type="paragraph" w:customStyle="1" w:styleId="63">
    <w:name w:val="正文2"/>
    <w:basedOn w:val="1"/>
    <w:qFormat/>
    <w:uiPriority w:val="0"/>
    <w:pPr>
      <w:adjustRightInd w:val="0"/>
      <w:spacing w:line="318" w:lineRule="atLeast"/>
      <w:ind w:left="369" w:firstLine="369"/>
    </w:pPr>
    <w:rPr>
      <w:rFonts w:ascii="宋体" w:hAnsi="Times New Roman"/>
      <w:szCs w:val="20"/>
    </w:rPr>
  </w:style>
  <w:style w:type="character" w:customStyle="1" w:styleId="64">
    <w:name w:val="xl29 Char Char"/>
    <w:link w:val="65"/>
    <w:qFormat/>
    <w:locked/>
    <w:uiPriority w:val="0"/>
    <w:rPr>
      <w:rFonts w:ascii="Arial Unicode MS" w:hAnsi="Arial Unicode MS" w:eastAsia="Arial Unicode MS"/>
      <w:sz w:val="24"/>
      <w:szCs w:val="24"/>
    </w:rPr>
  </w:style>
  <w:style w:type="paragraph" w:customStyle="1" w:styleId="65">
    <w:name w:val="xl29"/>
    <w:basedOn w:val="1"/>
    <w:link w:val="64"/>
    <w:qFormat/>
    <w:uiPriority w:val="0"/>
    <w:pPr>
      <w:widowControl/>
      <w:spacing w:before="100" w:beforeAutospacing="1" w:after="100" w:afterAutospacing="1"/>
      <w:jc w:val="center"/>
    </w:pPr>
    <w:rPr>
      <w:rFonts w:ascii="Arial Unicode MS" w:hAnsi="Arial Unicode MS" w:eastAsia="Arial Unicode MS" w:cstheme="minorBidi"/>
      <w:sz w:val="24"/>
    </w:rPr>
  </w:style>
  <w:style w:type="paragraph" w:customStyle="1" w:styleId="66">
    <w:name w:val="列出段落2"/>
    <w:basedOn w:val="1"/>
    <w:qFormat/>
    <w:uiPriority w:val="99"/>
    <w:pPr>
      <w:ind w:firstLine="420" w:firstLineChars="200"/>
    </w:pPr>
  </w:style>
  <w:style w:type="paragraph" w:customStyle="1" w:styleId="67">
    <w:name w:val="_Style 6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8">
    <w:name w:val="列出段落4"/>
    <w:basedOn w:val="1"/>
    <w:qFormat/>
    <w:uiPriority w:val="34"/>
    <w:pPr>
      <w:ind w:firstLine="420" w:firstLineChars="200"/>
    </w:pPr>
    <w:rPr>
      <w:szCs w:val="22"/>
    </w:rPr>
  </w:style>
  <w:style w:type="paragraph" w:customStyle="1" w:styleId="69">
    <w:name w:val="纯文本1"/>
    <w:basedOn w:val="58"/>
    <w:qFormat/>
    <w:uiPriority w:val="0"/>
    <w:pPr>
      <w:adjustRightInd w:val="0"/>
    </w:pPr>
    <w:rPr>
      <w:rFonts w:hAnsi="Courier New" w:eastAsia="楷体_GB2312"/>
      <w:sz w:val="26"/>
      <w:szCs w:val="20"/>
    </w:rPr>
  </w:style>
  <w:style w:type="paragraph" w:customStyle="1" w:styleId="70">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71">
    <w:name w:val="列出段落11"/>
    <w:basedOn w:val="1"/>
    <w:qFormat/>
    <w:uiPriority w:val="34"/>
    <w:pPr>
      <w:ind w:firstLine="420" w:firstLineChars="200"/>
    </w:pPr>
  </w:style>
  <w:style w:type="paragraph" w:customStyle="1" w:styleId="72">
    <w:name w:val="Image"/>
    <w:basedOn w:val="61"/>
    <w:qFormat/>
    <w:uiPriority w:val="0"/>
    <w:pPr>
      <w:ind w:firstLine="0" w:firstLineChars="0"/>
      <w:jc w:val="center"/>
    </w:pPr>
  </w:style>
  <w:style w:type="paragraph" w:customStyle="1" w:styleId="73">
    <w:name w:val="Text"/>
    <w:basedOn w:val="1"/>
    <w:qFormat/>
    <w:uiPriority w:val="0"/>
    <w:pPr>
      <w:spacing w:line="360" w:lineRule="auto"/>
      <w:ind w:firstLine="200" w:firstLineChars="200"/>
    </w:pPr>
    <w:rPr>
      <w:sz w:val="24"/>
    </w:rPr>
  </w:style>
  <w:style w:type="paragraph" w:customStyle="1" w:styleId="74">
    <w:name w:val="默认段落字体 Para Char Char Char Char Char Char Char"/>
    <w:basedOn w:val="21"/>
    <w:next w:val="67"/>
    <w:qFormat/>
    <w:uiPriority w:val="0"/>
    <w:pPr>
      <w:pBdr>
        <w:bottom w:val="none" w:color="auto" w:sz="0" w:space="0"/>
      </w:pBdr>
      <w:shd w:val="clear" w:color="auto" w:fill="000080"/>
      <w:tabs>
        <w:tab w:val="clear" w:pos="4153"/>
        <w:tab w:val="clear" w:pos="8306"/>
      </w:tabs>
      <w:adjustRightInd w:val="0"/>
      <w:snapToGrid/>
      <w:spacing w:line="436" w:lineRule="exact"/>
      <w:ind w:left="357"/>
      <w:jc w:val="left"/>
      <w:outlineLvl w:val="3"/>
    </w:pPr>
    <w:rPr>
      <w:rFonts w:eastAsia="宋体"/>
      <w:sz w:val="21"/>
    </w:rPr>
  </w:style>
  <w:style w:type="paragraph" w:customStyle="1" w:styleId="75">
    <w:name w:val="Table"/>
    <w:basedOn w:val="72"/>
    <w:qFormat/>
    <w:uiPriority w:val="0"/>
    <w:rPr>
      <w:rFonts w:ascii="Times New Roman" w:hAnsi="Times New Roman" w:eastAsia="仿宋"/>
    </w:rPr>
  </w:style>
  <w:style w:type="paragraph" w:customStyle="1" w:styleId="76">
    <w:name w:val="BodyTextIndent"/>
    <w:basedOn w:val="1"/>
    <w:qFormat/>
    <w:uiPriority w:val="0"/>
    <w:pPr>
      <w:spacing w:line="200" w:lineRule="exact"/>
      <w:ind w:firstLine="301"/>
    </w:pPr>
    <w:rPr>
      <w:rFonts w:ascii="宋体" w:hAnsi="Courier New"/>
      <w:spacing w:val="-4"/>
      <w:sz w:val="18"/>
      <w:szCs w:val="20"/>
    </w:rPr>
  </w:style>
  <w:style w:type="paragraph" w:customStyle="1" w:styleId="77">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78">
    <w:name w:val="纯文本2"/>
    <w:basedOn w:val="1"/>
    <w:qFormat/>
    <w:uiPriority w:val="0"/>
    <w:rPr>
      <w:rFonts w:ascii="宋体" w:hAnsi="Courier New"/>
      <w:szCs w:val="20"/>
    </w:rPr>
  </w:style>
  <w:style w:type="paragraph" w:customStyle="1" w:styleId="79">
    <w:name w:val="表格用"/>
    <w:basedOn w:val="1"/>
    <w:qFormat/>
    <w:uiPriority w:val="0"/>
    <w:rPr>
      <w:kern w:val="0"/>
    </w:rPr>
  </w:style>
  <w:style w:type="paragraph" w:customStyle="1" w:styleId="80">
    <w:name w:val="p0"/>
    <w:basedOn w:val="1"/>
    <w:qFormat/>
    <w:uiPriority w:val="0"/>
    <w:pPr>
      <w:widowControl/>
    </w:pPr>
    <w:rPr>
      <w:kern w:val="0"/>
      <w:szCs w:val="21"/>
    </w:rPr>
  </w:style>
  <w:style w:type="paragraph" w:customStyle="1" w:styleId="81">
    <w:name w:val="样式1"/>
    <w:basedOn w:val="7"/>
    <w:qFormat/>
    <w:uiPriority w:val="0"/>
  </w:style>
  <w:style w:type="paragraph" w:customStyle="1" w:styleId="82">
    <w:name w:val="Char1"/>
    <w:basedOn w:val="1"/>
    <w:qFormat/>
    <w:uiPriority w:val="0"/>
    <w:rPr>
      <w:rFonts w:ascii="Tahoma" w:hAnsi="Tahoma"/>
      <w:sz w:val="24"/>
      <w:szCs w:val="20"/>
    </w:rPr>
  </w:style>
  <w:style w:type="paragraph" w:customStyle="1" w:styleId="83">
    <w:name w:val="BodyText1I2"/>
    <w:basedOn w:val="76"/>
    <w:qFormat/>
    <w:uiPriority w:val="0"/>
    <w:pPr>
      <w:ind w:firstLine="420" w:firstLineChars="200"/>
    </w:pPr>
    <w:rPr>
      <w:rFonts w:ascii="Times New Roman" w:hAnsi="Times New Roman"/>
      <w:lang w:val="zh-CN"/>
    </w:rPr>
  </w:style>
  <w:style w:type="character" w:customStyle="1" w:styleId="84">
    <w:name w:val="del1"/>
    <w:qFormat/>
    <w:uiPriority w:val="0"/>
    <w:rPr>
      <w:vanish/>
      <w:color w:val="666666"/>
      <w:sz w:val="18"/>
      <w:szCs w:val="18"/>
      <w:u w:val="single"/>
    </w:rPr>
  </w:style>
  <w:style w:type="character" w:customStyle="1" w:styleId="85">
    <w:name w:val="now1"/>
    <w:basedOn w:val="30"/>
    <w:qFormat/>
    <w:uiPriority w:val="0"/>
  </w:style>
  <w:style w:type="character" w:customStyle="1" w:styleId="86">
    <w:name w:val="now3"/>
    <w:basedOn w:val="30"/>
    <w:qFormat/>
    <w:uiPriority w:val="0"/>
  </w:style>
  <w:style w:type="character" w:customStyle="1" w:styleId="87">
    <w:name w:val="inq"/>
    <w:qFormat/>
    <w:uiPriority w:val="0"/>
    <w:rPr>
      <w:color w:val="333333"/>
    </w:rPr>
  </w:style>
  <w:style w:type="character" w:customStyle="1" w:styleId="88">
    <w:name w:val="now2"/>
    <w:basedOn w:val="30"/>
    <w:qFormat/>
    <w:uiPriority w:val="0"/>
  </w:style>
  <w:style w:type="character" w:customStyle="1" w:styleId="89">
    <w:name w:val="样式 标题 1合同标题卷标题H1h1Level 1 Topic HeadingH11H12H111H13H1... Char"/>
    <w:qFormat/>
    <w:uiPriority w:val="0"/>
    <w:rPr>
      <w:rFonts w:hint="eastAsia" w:ascii="宋体" w:hAnsi="宋体" w:eastAsia="宋体"/>
      <w:b/>
      <w:bCs/>
      <w:kern w:val="44"/>
      <w:sz w:val="24"/>
      <w:szCs w:val="44"/>
      <w:lang w:val="en-US" w:eastAsia="zh-CN" w:bidi="ar-SA"/>
    </w:rPr>
  </w:style>
  <w:style w:type="character" w:customStyle="1" w:styleId="90">
    <w:name w:val="pl"/>
    <w:basedOn w:val="30"/>
    <w:qFormat/>
    <w:uiPriority w:val="0"/>
  </w:style>
  <w:style w:type="character" w:customStyle="1" w:styleId="91">
    <w:name w:val="tab"/>
    <w:qFormat/>
    <w:uiPriority w:val="0"/>
    <w:rPr>
      <w:color w:val="A4BCD6"/>
    </w:rPr>
  </w:style>
  <w:style w:type="character" w:customStyle="1" w:styleId="92">
    <w:name w:val="pl7"/>
    <w:basedOn w:val="30"/>
    <w:qFormat/>
    <w:uiPriority w:val="0"/>
  </w:style>
  <w:style w:type="character" w:customStyle="1" w:styleId="93">
    <w:name w:val="info"/>
    <w:qFormat/>
    <w:uiPriority w:val="0"/>
    <w:rPr>
      <w:color w:val="666666"/>
    </w:rPr>
  </w:style>
  <w:style w:type="character" w:customStyle="1" w:styleId="94">
    <w:name w:val="icon-doc"/>
    <w:basedOn w:val="30"/>
    <w:qFormat/>
    <w:uiPriority w:val="0"/>
  </w:style>
  <w:style w:type="character" w:customStyle="1" w:styleId="95">
    <w:name w:val="apple-converted-space"/>
    <w:basedOn w:val="30"/>
    <w:qFormat/>
    <w:uiPriority w:val="0"/>
  </w:style>
  <w:style w:type="character" w:customStyle="1" w:styleId="96">
    <w:name w:val="icon-game"/>
    <w:basedOn w:val="30"/>
    <w:qFormat/>
    <w:uiPriority w:val="0"/>
  </w:style>
  <w:style w:type="character" w:customStyle="1" w:styleId="97">
    <w:name w:val="不明显参考1"/>
    <w:qFormat/>
    <w:uiPriority w:val="31"/>
    <w:rPr>
      <w:smallCaps/>
      <w:color w:val="595959"/>
    </w:rPr>
  </w:style>
  <w:style w:type="character" w:customStyle="1" w:styleId="98">
    <w:name w:val="up"/>
    <w:basedOn w:val="30"/>
    <w:qFormat/>
    <w:uiPriority w:val="0"/>
  </w:style>
  <w:style w:type="character" w:customStyle="1" w:styleId="99">
    <w:name w:val="arr"/>
    <w:basedOn w:val="30"/>
    <w:qFormat/>
    <w:uiPriority w:val="0"/>
  </w:style>
  <w:style w:type="character" w:customStyle="1" w:styleId="100">
    <w:name w:val="del2"/>
    <w:qFormat/>
    <w:uiPriority w:val="0"/>
    <w:rPr>
      <w:vanish/>
    </w:rPr>
  </w:style>
  <w:style w:type="character" w:customStyle="1" w:styleId="101">
    <w:name w:val="Char Char"/>
    <w:qFormat/>
    <w:uiPriority w:val="0"/>
    <w:rPr>
      <w:rFonts w:hint="eastAsia" w:ascii="宋体" w:hAnsi="Courier New" w:eastAsia="宋体"/>
      <w:kern w:val="2"/>
      <w:sz w:val="24"/>
      <w:szCs w:val="24"/>
      <w:lang w:val="en-US" w:eastAsia="zh-CN" w:bidi="ar-SA"/>
    </w:rPr>
  </w:style>
  <w:style w:type="character" w:customStyle="1" w:styleId="102">
    <w:name w:val="inq1"/>
    <w:basedOn w:val="30"/>
    <w:qFormat/>
    <w:uiPriority w:val="0"/>
  </w:style>
  <w:style w:type="character" w:customStyle="1" w:styleId="103">
    <w:name w:val="icon-down"/>
    <w:basedOn w:val="30"/>
    <w:qFormat/>
    <w:uiPriority w:val="0"/>
  </w:style>
  <w:style w:type="character" w:customStyle="1" w:styleId="104">
    <w:name w:val="Char Char1"/>
    <w:qFormat/>
    <w:uiPriority w:val="0"/>
    <w:rPr>
      <w:rFonts w:hint="eastAsia" w:ascii="黑体" w:hAnsi="黑体" w:eastAsia="黑体"/>
      <w:snapToGrid/>
      <w:sz w:val="18"/>
      <w:szCs w:val="18"/>
      <w:lang w:val="en-US" w:eastAsia="zh-CN" w:bidi="ar-SA"/>
    </w:rPr>
  </w:style>
  <w:style w:type="character" w:customStyle="1" w:styleId="105">
    <w:name w:val="submit"/>
    <w:basedOn w:val="30"/>
    <w:qFormat/>
    <w:uiPriority w:val="0"/>
  </w:style>
  <w:style w:type="character" w:customStyle="1" w:styleId="106">
    <w:name w:val="apple-style-span"/>
    <w:basedOn w:val="30"/>
    <w:qFormat/>
    <w:uiPriority w:val="0"/>
  </w:style>
  <w:style w:type="character" w:customStyle="1" w:styleId="107">
    <w:name w:val="Char Char12"/>
    <w:qFormat/>
    <w:uiPriority w:val="0"/>
    <w:rPr>
      <w:rFonts w:hint="eastAsia" w:ascii="宋体" w:hAnsi="Courier New" w:eastAsia="宋体"/>
      <w:spacing w:val="-4"/>
      <w:kern w:val="2"/>
      <w:sz w:val="18"/>
    </w:rPr>
  </w:style>
  <w:style w:type="character" w:customStyle="1" w:styleId="108">
    <w:name w:val="up2"/>
    <w:basedOn w:val="30"/>
    <w:qFormat/>
    <w:uiPriority w:val="0"/>
  </w:style>
  <w:style w:type="character" w:customStyle="1" w:styleId="109">
    <w:name w:val="reason"/>
    <w:qFormat/>
    <w:uiPriority w:val="0"/>
    <w:rPr>
      <w:color w:val="999999"/>
    </w:rPr>
  </w:style>
  <w:style w:type="character" w:customStyle="1" w:styleId="110">
    <w:name w:val="del"/>
    <w:basedOn w:val="30"/>
    <w:qFormat/>
    <w:uiPriority w:val="0"/>
  </w:style>
  <w:style w:type="character" w:customStyle="1" w:styleId="111">
    <w:name w:val="pl8"/>
    <w:basedOn w:val="30"/>
    <w:qFormat/>
    <w:uiPriority w:val="0"/>
  </w:style>
  <w:style w:type="character" w:customStyle="1" w:styleId="112">
    <w:name w:val="now4"/>
    <w:basedOn w:val="30"/>
    <w:qFormat/>
    <w:uiPriority w:val="0"/>
  </w:style>
  <w:style w:type="character" w:customStyle="1" w:styleId="113">
    <w:name w:val="icon-play"/>
    <w:basedOn w:val="30"/>
    <w:qFormat/>
    <w:uiPriority w:val="0"/>
  </w:style>
  <w:style w:type="character" w:customStyle="1" w:styleId="114">
    <w:name w:val="icon-read"/>
    <w:basedOn w:val="30"/>
    <w:qFormat/>
    <w:uiPriority w:val="0"/>
  </w:style>
  <w:style w:type="character" w:customStyle="1" w:styleId="115">
    <w:name w:val="pl1"/>
    <w:basedOn w:val="30"/>
    <w:qFormat/>
    <w:uiPriority w:val="0"/>
  </w:style>
  <w:style w:type="paragraph" w:customStyle="1" w:styleId="116">
    <w:name w:val="纯文本3"/>
    <w:basedOn w:val="1"/>
    <w:qFormat/>
    <w:uiPriority w:val="0"/>
    <w:pPr>
      <w:widowControl/>
      <w:jc w:val="left"/>
    </w:pPr>
    <w:rPr>
      <w:rFonts w:hint="eastAsia" w:ascii="宋体" w:hAnsi="Courier New"/>
      <w:szCs w:val="20"/>
    </w:rPr>
  </w:style>
  <w:style w:type="paragraph" w:customStyle="1" w:styleId="117">
    <w:name w:val="Table Paragraph"/>
    <w:basedOn w:val="1"/>
    <w:qFormat/>
    <w:uiPriority w:val="1"/>
    <w:pPr>
      <w:spacing w:before="94"/>
      <w:jc w:val="center"/>
    </w:pPr>
    <w:rPr>
      <w:rFonts w:ascii="宋体" w:hAnsi="宋体" w:cs="宋体"/>
      <w:lang w:val="zh-CN" w:bidi="zh-CN"/>
    </w:rPr>
  </w:style>
  <w:style w:type="table" w:customStyle="1" w:styleId="118">
    <w:name w:val="Table Normal"/>
    <w:semiHidden/>
    <w:unhideWhenUsed/>
    <w:qFormat/>
    <w:uiPriority w:val="2"/>
    <w:tblPr>
      <w:tblCellMar>
        <w:top w:w="0" w:type="dxa"/>
        <w:left w:w="0" w:type="dxa"/>
        <w:bottom w:w="0" w:type="dxa"/>
        <w:right w:w="0" w:type="dxa"/>
      </w:tblCellMar>
    </w:tblPr>
  </w:style>
  <w:style w:type="paragraph" w:styleId="119">
    <w:name w:val="List Paragraph"/>
    <w:basedOn w:val="1"/>
    <w:qFormat/>
    <w:uiPriority w:val="99"/>
    <w:pPr>
      <w:ind w:firstLine="420" w:firstLineChars="200"/>
    </w:pPr>
  </w:style>
  <w:style w:type="character" w:customStyle="1" w:styleId="120">
    <w:name w:val="font41"/>
    <w:basedOn w:val="30"/>
    <w:qFormat/>
    <w:uiPriority w:val="0"/>
    <w:rPr>
      <w:rFonts w:hint="eastAsia" w:ascii="宋体" w:hAnsi="宋体" w:eastAsia="宋体" w:cs="宋体"/>
      <w:b/>
      <w:bCs/>
      <w:color w:val="000000"/>
      <w:sz w:val="24"/>
      <w:szCs w:val="24"/>
      <w:u w:val="none"/>
    </w:rPr>
  </w:style>
  <w:style w:type="character" w:customStyle="1" w:styleId="121">
    <w:name w:val="font61"/>
    <w:basedOn w:val="30"/>
    <w:qFormat/>
    <w:uiPriority w:val="0"/>
    <w:rPr>
      <w:rFonts w:hint="eastAsia" w:ascii="宋体" w:hAnsi="宋体" w:eastAsia="宋体" w:cs="宋体"/>
      <w:b/>
      <w:bCs/>
      <w:color w:val="000000"/>
      <w:sz w:val="24"/>
      <w:szCs w:val="24"/>
      <w:u w:val="none"/>
    </w:rPr>
  </w:style>
  <w:style w:type="character" w:customStyle="1" w:styleId="122">
    <w:name w:val="font71"/>
    <w:basedOn w:val="30"/>
    <w:qFormat/>
    <w:uiPriority w:val="0"/>
    <w:rPr>
      <w:rFonts w:hint="eastAsia" w:ascii="宋体" w:hAnsi="宋体" w:eastAsia="宋体" w:cs="宋体"/>
      <w:b/>
      <w:bCs/>
      <w:color w:val="000000"/>
      <w:sz w:val="22"/>
      <w:szCs w:val="22"/>
      <w:u w:val="none"/>
    </w:rPr>
  </w:style>
  <w:style w:type="character" w:customStyle="1" w:styleId="123">
    <w:name w:val="font121"/>
    <w:basedOn w:val="30"/>
    <w:qFormat/>
    <w:uiPriority w:val="0"/>
    <w:rPr>
      <w:rFonts w:hint="default" w:ascii="Times New Roman" w:hAnsi="Times New Roman" w:cs="Times New Roman"/>
      <w:b/>
      <w:bCs/>
      <w:color w:val="000000"/>
      <w:sz w:val="22"/>
      <w:szCs w:val="22"/>
      <w:u w:val="none"/>
    </w:rPr>
  </w:style>
  <w:style w:type="character" w:customStyle="1" w:styleId="124">
    <w:name w:val="font31"/>
    <w:basedOn w:val="30"/>
    <w:qFormat/>
    <w:uiPriority w:val="0"/>
    <w:rPr>
      <w:rFonts w:hint="eastAsia" w:ascii="宋体" w:hAnsi="宋体" w:eastAsia="宋体" w:cs="宋体"/>
      <w:color w:val="000000"/>
      <w:sz w:val="22"/>
      <w:szCs w:val="22"/>
      <w:u w:val="none"/>
    </w:rPr>
  </w:style>
  <w:style w:type="character" w:customStyle="1" w:styleId="125">
    <w:name w:val="font21"/>
    <w:basedOn w:val="30"/>
    <w:qFormat/>
    <w:uiPriority w:val="0"/>
    <w:rPr>
      <w:rFonts w:hint="eastAsia" w:ascii="宋体" w:hAnsi="宋体" w:eastAsia="宋体" w:cs="宋体"/>
      <w:color w:val="000000"/>
      <w:sz w:val="22"/>
      <w:szCs w:val="22"/>
      <w:u w:val="none"/>
    </w:rPr>
  </w:style>
  <w:style w:type="character" w:customStyle="1" w:styleId="126">
    <w:name w:val="font112"/>
    <w:basedOn w:val="30"/>
    <w:qFormat/>
    <w:uiPriority w:val="0"/>
    <w:rPr>
      <w:rFonts w:hint="default" w:ascii="Times New Roman" w:hAnsi="Times New Roman" w:cs="Times New Roman"/>
      <w:b/>
      <w:bCs/>
      <w:color w:val="000000"/>
      <w:sz w:val="22"/>
      <w:szCs w:val="22"/>
      <w:u w:val="none"/>
    </w:rPr>
  </w:style>
  <w:style w:type="character" w:customStyle="1" w:styleId="127">
    <w:name w:val="font81"/>
    <w:basedOn w:val="30"/>
    <w:qFormat/>
    <w:uiPriority w:val="0"/>
    <w:rPr>
      <w:rFonts w:hint="default" w:ascii="Times New Roman" w:hAnsi="Times New Roman" w:cs="Times New Roman"/>
      <w:b/>
      <w:bCs/>
      <w:color w:val="000000"/>
      <w:sz w:val="24"/>
      <w:szCs w:val="24"/>
      <w:u w:val="none"/>
    </w:rPr>
  </w:style>
  <w:style w:type="character" w:customStyle="1" w:styleId="128">
    <w:name w:val="font91"/>
    <w:basedOn w:val="30"/>
    <w:qFormat/>
    <w:uiPriority w:val="0"/>
    <w:rPr>
      <w:rFonts w:hint="eastAsia" w:ascii="宋体" w:hAnsi="宋体" w:eastAsia="宋体" w:cs="宋体"/>
      <w:color w:val="000000"/>
      <w:sz w:val="24"/>
      <w:szCs w:val="24"/>
      <w:u w:val="none"/>
    </w:rPr>
  </w:style>
  <w:style w:type="character" w:customStyle="1" w:styleId="129">
    <w:name w:val="font131"/>
    <w:basedOn w:val="30"/>
    <w:qFormat/>
    <w:uiPriority w:val="0"/>
    <w:rPr>
      <w:rFonts w:hint="eastAsia" w:ascii="宋体" w:hAnsi="宋体" w:eastAsia="宋体" w:cs="宋体"/>
      <w:b/>
      <w:bCs/>
      <w:color w:val="000000"/>
      <w:sz w:val="22"/>
      <w:szCs w:val="22"/>
      <w:u w:val="none"/>
    </w:rPr>
  </w:style>
  <w:style w:type="character" w:customStyle="1" w:styleId="130">
    <w:name w:val="font141"/>
    <w:basedOn w:val="30"/>
    <w:qFormat/>
    <w:uiPriority w:val="0"/>
    <w:rPr>
      <w:rFonts w:hint="eastAsia" w:ascii="宋体" w:hAnsi="宋体" w:eastAsia="宋体" w:cs="宋体"/>
      <w:color w:val="000000"/>
      <w:sz w:val="22"/>
      <w:szCs w:val="22"/>
      <w:u w:val="none"/>
    </w:rPr>
  </w:style>
  <w:style w:type="character" w:customStyle="1" w:styleId="131">
    <w:name w:val="font111"/>
    <w:basedOn w:val="30"/>
    <w:qFormat/>
    <w:uiPriority w:val="0"/>
    <w:rPr>
      <w:rFonts w:hint="default" w:ascii="Times New Roman" w:hAnsi="Times New Roman" w:cs="Times New Roman"/>
      <w:b/>
      <w:bCs/>
      <w:color w:val="000000"/>
      <w:sz w:val="22"/>
      <w:szCs w:val="22"/>
      <w:u w:val="none"/>
    </w:rPr>
  </w:style>
  <w:style w:type="character" w:customStyle="1" w:styleId="132">
    <w:name w:val="font151"/>
    <w:basedOn w:val="30"/>
    <w:qFormat/>
    <w:uiPriority w:val="0"/>
    <w:rPr>
      <w:rFonts w:hint="default" w:ascii="Times New Roman" w:hAnsi="Times New Roman" w:cs="Times New Roman"/>
      <w:color w:val="000000"/>
      <w:sz w:val="21"/>
      <w:szCs w:val="21"/>
      <w:u w:val="none"/>
    </w:rPr>
  </w:style>
  <w:style w:type="character" w:customStyle="1" w:styleId="133">
    <w:name w:val="font51"/>
    <w:basedOn w:val="30"/>
    <w:qFormat/>
    <w:uiPriority w:val="0"/>
    <w:rPr>
      <w:rFonts w:hint="eastAsia" w:ascii="宋体" w:hAnsi="宋体" w:eastAsia="宋体" w:cs="宋体"/>
      <w:b/>
      <w:bCs/>
      <w:color w:val="000000"/>
      <w:sz w:val="22"/>
      <w:szCs w:val="22"/>
      <w:u w:val="none"/>
    </w:rPr>
  </w:style>
  <w:style w:type="character" w:customStyle="1" w:styleId="134">
    <w:name w:val="font101"/>
    <w:basedOn w:val="30"/>
    <w:qFormat/>
    <w:uiPriority w:val="0"/>
    <w:rPr>
      <w:rFonts w:hint="default" w:ascii="Times New Roman" w:hAnsi="Times New Roman" w:cs="Times New Roman"/>
      <w:color w:val="000000"/>
      <w:sz w:val="21"/>
      <w:szCs w:val="21"/>
      <w:u w:val="none"/>
    </w:rPr>
  </w:style>
  <w:style w:type="table" w:customStyle="1" w:styleId="135">
    <w:name w:val="网格型1"/>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6">
    <w:name w:val="Table Text"/>
    <w:qFormat/>
    <w:uiPriority w:val="0"/>
    <w:pPr>
      <w:snapToGrid w:val="0"/>
      <w:spacing w:before="80" w:after="80"/>
    </w:pPr>
    <w:rPr>
      <w:rFonts w:ascii="Arial" w:hAnsi="Arial" w:eastAsia="宋体" w:cs="Arial"/>
      <w:kern w:val="0"/>
      <w:sz w:val="18"/>
      <w:szCs w:val="18"/>
      <w:lang w:val="en-US" w:eastAsia="zh-CN" w:bidi="ar-SA"/>
    </w:rPr>
  </w:style>
  <w:style w:type="paragraph" w:customStyle="1" w:styleId="137">
    <w:name w:val="a2"/>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38">
    <w:name w:val="表"/>
    <w:basedOn w:val="1"/>
    <w:qFormat/>
    <w:uiPriority w:val="0"/>
    <w:rPr>
      <w:rFonts w:ascii="Calibri" w:hAnsi="Calibri" w:cs="宋体"/>
    </w:rPr>
  </w:style>
  <w:style w:type="paragraph" w:customStyle="1" w:styleId="139">
    <w:name w:val="_标题1"/>
    <w:basedOn w:val="140"/>
    <w:next w:val="140"/>
    <w:qFormat/>
    <w:uiPriority w:val="99"/>
    <w:pPr>
      <w:keepNext/>
      <w:pageBreakBefore/>
      <w:widowControl w:val="0"/>
      <w:numPr>
        <w:ilvl w:val="0"/>
        <w:numId w:val="2"/>
      </w:numPr>
      <w:spacing w:before="50" w:beforeLines="50" w:after="50" w:afterLines="50"/>
      <w:ind w:hanging="420" w:firstLineChars="0"/>
      <w:outlineLvl w:val="0"/>
    </w:pPr>
    <w:rPr>
      <w:rFonts w:ascii="微软雅黑" w:hAnsi="微软雅黑"/>
      <w:b/>
      <w:sz w:val="44"/>
    </w:rPr>
  </w:style>
  <w:style w:type="paragraph" w:customStyle="1" w:styleId="140">
    <w:name w:val="__正文"/>
    <w:qFormat/>
    <w:uiPriority w:val="0"/>
    <w:pPr>
      <w:adjustRightInd w:val="0"/>
      <w:snapToGrid w:val="0"/>
      <w:spacing w:line="360" w:lineRule="auto"/>
      <w:ind w:firstLine="200" w:firstLineChars="200"/>
    </w:pPr>
    <w:rPr>
      <w:rFonts w:eastAsia="微软雅黑" w:asciiTheme="minorHAnsi" w:hAnsiTheme="minorHAnsi" w:cstheme="minorBidi"/>
      <w:kern w:val="2"/>
      <w:sz w:val="21"/>
      <w:szCs w:val="21"/>
      <w:lang w:val="en-US" w:eastAsia="zh-CN" w:bidi="ar-SA"/>
    </w:rPr>
  </w:style>
  <w:style w:type="paragraph" w:customStyle="1" w:styleId="141">
    <w:name w:val="_标题2"/>
    <w:basedOn w:val="140"/>
    <w:next w:val="140"/>
    <w:qFormat/>
    <w:uiPriority w:val="99"/>
    <w:pPr>
      <w:keepNext/>
      <w:widowControl w:val="0"/>
      <w:numPr>
        <w:ilvl w:val="1"/>
        <w:numId w:val="2"/>
      </w:numPr>
      <w:spacing w:before="50" w:beforeLines="50" w:after="50" w:afterLines="50"/>
      <w:ind w:firstLineChars="0"/>
      <w:outlineLvl w:val="1"/>
    </w:pPr>
    <w:rPr>
      <w:rFonts w:ascii="微软雅黑" w:hAnsi="微软雅黑"/>
      <w:b/>
      <w:sz w:val="32"/>
    </w:rPr>
  </w:style>
  <w:style w:type="paragraph" w:customStyle="1" w:styleId="142">
    <w:name w:val="!标题2"/>
    <w:basedOn w:val="141"/>
    <w:next w:val="143"/>
    <w:qFormat/>
    <w:uiPriority w:val="0"/>
    <w:pPr>
      <w:adjustRightInd/>
      <w:snapToGrid/>
      <w:spacing w:before="163" w:after="163"/>
    </w:pPr>
    <w:rPr>
      <w:rFonts w:asciiTheme="majorEastAsia" w:hAnsiTheme="majorEastAsia" w:eastAsiaTheme="majorEastAsia"/>
      <w:szCs w:val="32"/>
    </w:rPr>
  </w:style>
  <w:style w:type="paragraph" w:customStyle="1" w:styleId="143">
    <w:name w:val="!正文"/>
    <w:basedOn w:val="1"/>
    <w:qFormat/>
    <w:uiPriority w:val="0"/>
    <w:pPr>
      <w:widowControl/>
      <w:ind w:firstLine="200" w:firstLineChars="200"/>
      <w:jc w:val="left"/>
    </w:pPr>
    <w:rPr>
      <w:rFonts w:ascii="Calibri" w:hAnsi="Calibri"/>
      <w:szCs w:val="21"/>
    </w:rPr>
  </w:style>
  <w:style w:type="paragraph" w:customStyle="1" w:styleId="144">
    <w:name w:val="_标题3"/>
    <w:basedOn w:val="140"/>
    <w:next w:val="140"/>
    <w:qFormat/>
    <w:uiPriority w:val="99"/>
    <w:pPr>
      <w:keepNext/>
      <w:widowControl w:val="0"/>
      <w:numPr>
        <w:ilvl w:val="2"/>
        <w:numId w:val="2"/>
      </w:numPr>
      <w:spacing w:before="50" w:beforeLines="50" w:after="50" w:afterLines="50"/>
      <w:ind w:firstLineChars="0"/>
      <w:outlineLvl w:val="2"/>
    </w:pPr>
    <w:rPr>
      <w:rFonts w:ascii="微软雅黑" w:hAnsi="微软雅黑"/>
      <w:b/>
      <w:sz w:val="30"/>
    </w:rPr>
  </w:style>
  <w:style w:type="paragraph" w:customStyle="1" w:styleId="145">
    <w:name w:val="_标题4"/>
    <w:basedOn w:val="140"/>
    <w:next w:val="140"/>
    <w:qFormat/>
    <w:uiPriority w:val="99"/>
    <w:pPr>
      <w:keepNext/>
      <w:widowControl w:val="0"/>
      <w:numPr>
        <w:ilvl w:val="3"/>
        <w:numId w:val="2"/>
      </w:numPr>
      <w:spacing w:before="50" w:beforeLines="50"/>
      <w:ind w:firstLineChars="0"/>
      <w:outlineLvl w:val="3"/>
    </w:pPr>
    <w:rPr>
      <w:rFonts w:ascii="微软雅黑" w:hAnsi="微软雅黑"/>
      <w:b/>
      <w:sz w:val="28"/>
    </w:rPr>
  </w:style>
  <w:style w:type="paragraph" w:customStyle="1" w:styleId="146">
    <w:name w:val="_标题5"/>
    <w:basedOn w:val="140"/>
    <w:next w:val="140"/>
    <w:qFormat/>
    <w:uiPriority w:val="99"/>
    <w:pPr>
      <w:keepNext/>
      <w:numPr>
        <w:ilvl w:val="4"/>
        <w:numId w:val="2"/>
      </w:numPr>
      <w:spacing w:before="50" w:beforeLines="50"/>
      <w:ind w:firstLineChars="0"/>
      <w:outlineLvl w:val="4"/>
    </w:pPr>
    <w:rPr>
      <w:rFonts w:ascii="微软雅黑" w:hAnsi="微软雅黑"/>
      <w:b/>
      <w:sz w:val="24"/>
    </w:rPr>
  </w:style>
  <w:style w:type="paragraph" w:customStyle="1" w:styleId="147">
    <w:name w:val="正常"/>
    <w:qFormat/>
    <w:uiPriority w:val="99"/>
    <w:pPr>
      <w:widowControl w:val="0"/>
      <w:jc w:val="both"/>
    </w:pPr>
    <w:rPr>
      <w:rFonts w:ascii="Calibri" w:hAnsi="Calibri" w:eastAsia="宋体" w:cs="Calibri"/>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118</Pages>
  <Words>77158</Words>
  <Characters>81464</Characters>
  <Lines>395</Lines>
  <Paragraphs>111</Paragraphs>
  <TotalTime>0</TotalTime>
  <ScaleCrop>false</ScaleCrop>
  <LinksUpToDate>false</LinksUpToDate>
  <CharactersWithSpaces>84110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2020-12-01T01:00:00Z</dcterms:created>
  <dc:creator>xhl7386@outlook.com</dc:creator>
  <cp:lastModifiedBy>孔晖</cp:lastModifiedBy>
  <cp:lastPrinted>2022-04-27T12:09:00Z</cp:lastPrinted>
  <dcterms:modified xsi:type="dcterms:W3CDTF">2022-04-28T12:19:39Z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08E9DBC54A6D466DBDCF3CDC8A07E8CC</vt:lpwstr>
  </property>
</Properties>
</file>