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outlineLvl w:val="9"/>
        <w:rPr>
          <w:rFonts w:ascii="宋体" w:hAnsi="宋体" w:cs="宋体"/>
          <w:b/>
          <w:sz w:val="24"/>
        </w:rPr>
      </w:pPr>
    </w:p>
    <w:p>
      <w:pPr>
        <w:kinsoku/>
        <w:wordWrap/>
        <w:overflowPunct/>
        <w:topLinePunct w:val="0"/>
        <w:bidi w:val="0"/>
        <w:adjustRightInd/>
        <w:spacing w:line="360" w:lineRule="auto"/>
        <w:jc w:val="center"/>
        <w:outlineLvl w:val="9"/>
        <w:rPr>
          <w:rFonts w:ascii="宋体" w:hAnsi="宋体" w:cs="宋体"/>
          <w:b/>
          <w:sz w:val="48"/>
          <w:szCs w:val="48"/>
        </w:rPr>
      </w:pPr>
    </w:p>
    <w:p>
      <w:pPr>
        <w:kinsoku/>
        <w:wordWrap/>
        <w:overflowPunct/>
        <w:topLinePunct w:val="0"/>
        <w:bidi w:val="0"/>
        <w:outlineLvl w:val="9"/>
      </w:pPr>
    </w:p>
    <w:p>
      <w:pPr>
        <w:kinsoku/>
        <w:wordWrap/>
        <w:overflowPunct/>
        <w:topLinePunct w:val="0"/>
        <w:bidi w:val="0"/>
        <w:adjustRightInd/>
        <w:spacing w:line="360" w:lineRule="auto"/>
        <w:jc w:val="center"/>
        <w:outlineLvl w:val="9"/>
        <w:rPr>
          <w:rFonts w:hint="eastAsia" w:ascii="宋体" w:hAnsi="宋体" w:cs="宋体"/>
          <w:sz w:val="48"/>
          <w:szCs w:val="48"/>
        </w:rPr>
      </w:pPr>
      <w:r>
        <w:rPr>
          <w:rFonts w:hint="eastAsia" w:ascii="宋体" w:hAnsi="宋体" w:cs="宋体"/>
          <w:sz w:val="48"/>
          <w:szCs w:val="48"/>
        </w:rPr>
        <w:t xml:space="preserve">招标文件 </w:t>
      </w:r>
    </w:p>
    <w:p>
      <w:pPr>
        <w:kinsoku/>
        <w:wordWrap/>
        <w:overflowPunct/>
        <w:topLinePunct w:val="0"/>
        <w:bidi w:val="0"/>
        <w:adjustRightInd/>
        <w:spacing w:line="360" w:lineRule="auto"/>
        <w:jc w:val="center"/>
        <w:outlineLvl w:val="9"/>
        <w:rPr>
          <w:rFonts w:ascii="宋体" w:hAnsi="宋体" w:cs="宋体"/>
          <w:b/>
          <w:sz w:val="44"/>
          <w:szCs w:val="44"/>
        </w:rPr>
      </w:pPr>
      <w:r>
        <w:rPr>
          <w:rFonts w:hint="eastAsia" w:ascii="宋体" w:hAnsi="宋体" w:cs="宋体"/>
          <w:b/>
          <w:sz w:val="44"/>
          <w:szCs w:val="44"/>
        </w:rPr>
        <w:t xml:space="preserve"> （电子招投标）</w:t>
      </w:r>
    </w:p>
    <w:p>
      <w:pPr>
        <w:kinsoku/>
        <w:wordWrap/>
        <w:overflowPunct/>
        <w:topLinePunct w:val="0"/>
        <w:bidi w:val="0"/>
        <w:snapToGrid w:val="0"/>
        <w:spacing w:line="360" w:lineRule="auto"/>
        <w:jc w:val="left"/>
        <w:outlineLvl w:val="9"/>
        <w:rPr>
          <w:rFonts w:hint="eastAsia" w:ascii="宋体" w:hAnsi="宋体" w:cs="宋体"/>
          <w:color w:val="auto"/>
          <w:sz w:val="30"/>
          <w:szCs w:val="30"/>
        </w:rPr>
      </w:pPr>
    </w:p>
    <w:p>
      <w:pPr>
        <w:kinsoku/>
        <w:wordWrap/>
        <w:overflowPunct/>
        <w:topLinePunct w:val="0"/>
        <w:bidi w:val="0"/>
        <w:snapToGrid w:val="0"/>
        <w:spacing w:line="360" w:lineRule="auto"/>
        <w:jc w:val="left"/>
        <w:outlineLvl w:val="9"/>
        <w:rPr>
          <w:rFonts w:hint="eastAsia" w:ascii="宋体" w:hAnsi="宋体" w:cs="宋体"/>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cs="宋体"/>
          <w:color w:val="auto"/>
          <w:sz w:val="30"/>
          <w:szCs w:val="30"/>
        </w:rPr>
      </w:pPr>
      <w:r>
        <w:rPr>
          <w:rFonts w:hint="eastAsia" w:ascii="宋体" w:hAnsi="宋体" w:cs="宋体"/>
          <w:color w:val="auto"/>
          <w:sz w:val="30"/>
          <w:szCs w:val="30"/>
        </w:rPr>
        <w:t>项目编号</w:t>
      </w:r>
      <w:r>
        <w:rPr>
          <w:rFonts w:hint="eastAsia" w:ascii="宋体" w:hAnsi="宋体" w:cs="宋体"/>
          <w:color w:val="auto"/>
          <w:sz w:val="30"/>
          <w:szCs w:val="30"/>
          <w:lang w:eastAsia="zh-CN"/>
        </w:rPr>
        <w:t xml:space="preserve">：CBNB-20236194G（重） </w:t>
      </w:r>
      <w:r>
        <w:rPr>
          <w:rFonts w:hint="eastAsia" w:ascii="宋体" w:hAnsi="宋体" w:cs="宋体"/>
          <w:color w:val="auto"/>
          <w:sz w:val="30"/>
          <w:szCs w:val="30"/>
        </w:rPr>
        <w:t xml:space="preserve">  </w:t>
      </w:r>
    </w:p>
    <w:p>
      <w:pPr>
        <w:kinsoku/>
        <w:wordWrap/>
        <w:overflowPunct/>
        <w:topLinePunct w:val="0"/>
        <w:bidi w:val="0"/>
        <w:snapToGrid w:val="0"/>
        <w:spacing w:line="360" w:lineRule="auto"/>
        <w:jc w:val="left"/>
        <w:outlineLvl w:val="9"/>
        <w:rPr>
          <w:rFonts w:ascii="宋体" w:hAnsi="宋体" w:cs="宋体"/>
          <w:color w:val="auto"/>
          <w:sz w:val="30"/>
          <w:szCs w:val="30"/>
        </w:rPr>
      </w:pPr>
      <w:r>
        <w:rPr>
          <w:rFonts w:hint="eastAsia" w:ascii="宋体" w:hAnsi="宋体" w:cs="宋体"/>
          <w:color w:val="auto"/>
          <w:sz w:val="30"/>
          <w:szCs w:val="30"/>
        </w:rPr>
        <w:t>项目名称：</w:t>
      </w:r>
      <w:r>
        <w:rPr>
          <w:rFonts w:hint="eastAsia" w:ascii="宋体" w:hAnsi="宋体" w:cs="宋体"/>
          <w:color w:val="auto"/>
          <w:sz w:val="30"/>
          <w:szCs w:val="30"/>
          <w:lang w:eastAsia="zh-CN"/>
        </w:rPr>
        <w:t>宁波市医疗中心李惠利医院人力资源服务外包项目</w:t>
      </w:r>
    </w:p>
    <w:p>
      <w:pPr>
        <w:kinsoku/>
        <w:wordWrap/>
        <w:overflowPunct/>
        <w:topLinePunct w:val="0"/>
        <w:bidi w:val="0"/>
        <w:adjustRightInd/>
        <w:spacing w:line="360" w:lineRule="auto"/>
        <w:outlineLvl w:val="9"/>
        <w:rPr>
          <w:rFonts w:ascii="宋体" w:hAnsi="宋体" w:cs="宋体"/>
          <w:sz w:val="28"/>
          <w:szCs w:val="20"/>
        </w:rPr>
      </w:pPr>
    </w:p>
    <w:p>
      <w:pPr>
        <w:kinsoku/>
        <w:wordWrap/>
        <w:overflowPunct/>
        <w:topLinePunct w:val="0"/>
        <w:bidi w:val="0"/>
        <w:spacing w:line="360" w:lineRule="auto"/>
        <w:jc w:val="center"/>
        <w:outlineLvl w:val="9"/>
        <w:rPr>
          <w:rFonts w:ascii="宋体" w:hAnsi="宋体" w:cs="宋体"/>
          <w:b/>
          <w:sz w:val="44"/>
          <w:szCs w:val="44"/>
        </w:rPr>
      </w:pPr>
      <w:r>
        <w:rPr>
          <w:rFonts w:hint="eastAsia" w:ascii="宋体" w:hAnsi="宋体" w:cs="宋体"/>
          <w:b/>
          <w:sz w:val="44"/>
          <w:szCs w:val="44"/>
        </w:rPr>
        <w:t xml:space="preserve"> </w:t>
      </w:r>
    </w:p>
    <w:p>
      <w:pPr>
        <w:kinsoku/>
        <w:wordWrap/>
        <w:overflowPunct/>
        <w:topLinePunct w:val="0"/>
        <w:bidi w:val="0"/>
        <w:spacing w:line="360" w:lineRule="auto"/>
        <w:jc w:val="center"/>
        <w:outlineLvl w:val="9"/>
        <w:rPr>
          <w:rFonts w:ascii="宋体" w:hAnsi="宋体" w:cs="宋体"/>
          <w:b/>
          <w:sz w:val="44"/>
          <w:szCs w:val="44"/>
        </w:rPr>
      </w:pPr>
    </w:p>
    <w:p>
      <w:pPr>
        <w:kinsoku/>
        <w:wordWrap/>
        <w:overflowPunct/>
        <w:topLinePunct w:val="0"/>
        <w:bidi w:val="0"/>
        <w:spacing w:line="360" w:lineRule="auto"/>
        <w:jc w:val="center"/>
        <w:outlineLvl w:val="9"/>
        <w:rPr>
          <w:rFonts w:ascii="宋体" w:hAnsi="宋体" w:cs="宋体"/>
          <w:sz w:val="24"/>
        </w:rPr>
      </w:pPr>
    </w:p>
    <w:p>
      <w:pPr>
        <w:kinsoku/>
        <w:wordWrap/>
        <w:overflowPunct/>
        <w:topLinePunct w:val="0"/>
        <w:bidi w:val="0"/>
        <w:spacing w:line="360" w:lineRule="auto"/>
        <w:outlineLvl w:val="9"/>
        <w:rPr>
          <w:rFonts w:ascii="宋体" w:hAnsi="宋体" w:cs="宋体"/>
          <w:sz w:val="32"/>
          <w:szCs w:val="32"/>
        </w:rPr>
      </w:pPr>
    </w:p>
    <w:p>
      <w:pPr>
        <w:kinsoku/>
        <w:wordWrap/>
        <w:overflowPunct/>
        <w:topLinePunct w:val="0"/>
        <w:bidi w:val="0"/>
        <w:spacing w:line="360" w:lineRule="auto"/>
        <w:jc w:val="center"/>
        <w:outlineLvl w:val="9"/>
        <w:rPr>
          <w:rFonts w:hint="eastAsia" w:ascii="宋体" w:hAnsi="宋体" w:cs="宋体"/>
          <w:bCs/>
          <w:sz w:val="32"/>
          <w:szCs w:val="32"/>
        </w:rPr>
      </w:pPr>
      <w:r>
        <w:rPr>
          <w:rFonts w:hint="eastAsia" w:ascii="宋体" w:hAnsi="宋体" w:cs="宋体"/>
          <w:bCs/>
          <w:sz w:val="32"/>
          <w:szCs w:val="32"/>
        </w:rPr>
        <w:t>采购人：</w:t>
      </w:r>
      <w:r>
        <w:rPr>
          <w:rFonts w:hint="eastAsia" w:ascii="宋体" w:hAnsi="宋体" w:cs="宋体"/>
          <w:bCs/>
          <w:sz w:val="32"/>
          <w:szCs w:val="32"/>
          <w:lang w:eastAsia="zh-CN"/>
        </w:rPr>
        <w:t>宁波市医疗中心李惠利医院</w:t>
      </w:r>
    </w:p>
    <w:p>
      <w:pPr>
        <w:kinsoku/>
        <w:wordWrap/>
        <w:overflowPunct/>
        <w:topLinePunct w:val="0"/>
        <w:bidi w:val="0"/>
        <w:spacing w:line="360" w:lineRule="auto"/>
        <w:jc w:val="center"/>
        <w:outlineLvl w:val="9"/>
        <w:rPr>
          <w:rFonts w:ascii="宋体" w:hAnsi="宋体" w:cs="宋体"/>
          <w:bCs/>
          <w:sz w:val="32"/>
          <w:szCs w:val="32"/>
        </w:rPr>
      </w:pPr>
      <w:r>
        <w:rPr>
          <w:rFonts w:hint="eastAsia" w:ascii="宋体" w:hAnsi="宋体" w:cs="宋体"/>
          <w:bCs/>
          <w:sz w:val="32"/>
          <w:szCs w:val="32"/>
        </w:rPr>
        <w:t>采购代理机构：</w:t>
      </w:r>
      <w:r>
        <w:rPr>
          <w:rFonts w:hint="eastAsia" w:ascii="宋体" w:hAnsi="宋体" w:cs="宋体"/>
          <w:bCs/>
          <w:sz w:val="32"/>
          <w:szCs w:val="32"/>
          <w:lang w:eastAsia="zh-CN"/>
        </w:rPr>
        <w:t>宁波中基国际招标有限公司</w:t>
      </w:r>
    </w:p>
    <w:p>
      <w:pPr>
        <w:kinsoku/>
        <w:wordWrap/>
        <w:overflowPunct/>
        <w:topLinePunct w:val="0"/>
        <w:bidi w:val="0"/>
        <w:snapToGrid w:val="0"/>
        <w:spacing w:line="360" w:lineRule="auto"/>
        <w:jc w:val="center"/>
        <w:outlineLvl w:val="9"/>
        <w:rPr>
          <w:rFonts w:hint="eastAsia" w:ascii="宋体" w:hAnsi="宋体" w:cs="宋体"/>
          <w:bCs/>
          <w:color w:val="FF0000"/>
          <w:sz w:val="32"/>
          <w:szCs w:val="32"/>
        </w:rPr>
      </w:pPr>
    </w:p>
    <w:p>
      <w:pPr>
        <w:kinsoku/>
        <w:wordWrap/>
        <w:overflowPunct/>
        <w:topLinePunct w:val="0"/>
        <w:bidi w:val="0"/>
        <w:snapToGrid w:val="0"/>
        <w:spacing w:line="360" w:lineRule="auto"/>
        <w:jc w:val="center"/>
        <w:outlineLvl w:val="9"/>
        <w:rPr>
          <w:rFonts w:ascii="宋体" w:hAnsi="宋体" w:cs="宋体"/>
          <w:bCs/>
          <w:color w:val="auto"/>
          <w:sz w:val="32"/>
          <w:szCs w:val="32"/>
        </w:rPr>
      </w:pPr>
      <w:r>
        <w:rPr>
          <w:rFonts w:hint="eastAsia" w:ascii="宋体" w:hAnsi="宋体" w:cs="宋体"/>
          <w:bCs/>
          <w:color w:val="auto"/>
          <w:sz w:val="32"/>
          <w:szCs w:val="32"/>
        </w:rPr>
        <w:t>二〇二三年</w:t>
      </w:r>
      <w:r>
        <w:rPr>
          <w:rFonts w:hint="eastAsia" w:ascii="宋体" w:hAnsi="宋体" w:cs="宋体"/>
          <w:bCs/>
          <w:color w:val="auto"/>
          <w:sz w:val="32"/>
          <w:szCs w:val="32"/>
          <w:lang w:val="en-US" w:eastAsia="zh-CN"/>
        </w:rPr>
        <w:t>七</w:t>
      </w:r>
      <w:r>
        <w:rPr>
          <w:rFonts w:hint="eastAsia" w:ascii="宋体" w:hAnsi="宋体" w:cs="宋体"/>
          <w:bCs/>
          <w:color w:val="auto"/>
          <w:sz w:val="32"/>
          <w:szCs w:val="32"/>
        </w:rPr>
        <w:t>月</w:t>
      </w:r>
    </w:p>
    <w:p>
      <w:pPr>
        <w:rPr>
          <w:rFonts w:hint="eastAsia" w:ascii="宋体" w:hAnsi="宋体" w:cs="宋体"/>
          <w:sz w:val="24"/>
        </w:rPr>
      </w:pPr>
      <w:r>
        <w:rPr>
          <w:rFonts w:hint="eastAsia" w:ascii="宋体" w:hAnsi="宋体" w:cs="宋体"/>
          <w:sz w:val="24"/>
        </w:rPr>
        <w:br w:type="page"/>
      </w:r>
    </w:p>
    <w:p>
      <w:pPr>
        <w:kinsoku/>
        <w:wordWrap/>
        <w:overflowPunct/>
        <w:topLinePunct w:val="0"/>
        <w:bidi w:val="0"/>
        <w:spacing w:line="360" w:lineRule="auto"/>
        <w:jc w:val="center"/>
        <w:outlineLvl w:val="9"/>
        <w:rPr>
          <w:rFonts w:ascii="宋体" w:hAnsi="宋体" w:cs="宋体"/>
          <w:sz w:val="24"/>
        </w:rPr>
      </w:pPr>
      <w:r>
        <w:rPr>
          <w:rFonts w:hint="eastAsia" w:ascii="宋体" w:hAnsi="宋体" w:cs="宋体"/>
          <w:sz w:val="24"/>
        </w:rPr>
        <w:br w:type="page"/>
      </w:r>
      <w:bookmarkStart w:id="0" w:name="_Hlt67893495"/>
      <w:bookmarkEnd w:id="0"/>
    </w:p>
    <w:p>
      <w:pPr>
        <w:kinsoku/>
        <w:wordWrap/>
        <w:overflowPunct/>
        <w:topLinePunct w:val="0"/>
        <w:bidi w:val="0"/>
        <w:spacing w:line="360" w:lineRule="auto"/>
        <w:jc w:val="center"/>
        <w:outlineLvl w:val="9"/>
        <w:rPr>
          <w:rFonts w:ascii="宋体" w:hAnsi="宋体" w:cs="宋体"/>
          <w:sz w:val="24"/>
        </w:rPr>
      </w:pPr>
    </w:p>
    <w:p>
      <w:pPr>
        <w:kinsoku/>
        <w:wordWrap/>
        <w:overflowPunct/>
        <w:topLinePunct w:val="0"/>
        <w:bidi w:val="0"/>
        <w:spacing w:line="360" w:lineRule="auto"/>
        <w:jc w:val="center"/>
        <w:outlineLvl w:val="9"/>
        <w:rPr>
          <w:rFonts w:hint="eastAsia" w:ascii="宋体" w:hAnsi="宋体" w:cs="宋体"/>
          <w:b/>
          <w:sz w:val="48"/>
          <w:szCs w:val="48"/>
        </w:rPr>
      </w:pPr>
    </w:p>
    <w:p>
      <w:pPr>
        <w:kinsoku/>
        <w:wordWrap/>
        <w:overflowPunct/>
        <w:topLinePunct w:val="0"/>
        <w:bidi w:val="0"/>
        <w:spacing w:line="360" w:lineRule="auto"/>
        <w:jc w:val="center"/>
        <w:outlineLvl w:val="9"/>
        <w:rPr>
          <w:rFonts w:ascii="宋体" w:hAnsi="宋体" w:cs="宋体"/>
          <w:b/>
          <w:sz w:val="48"/>
          <w:szCs w:val="48"/>
        </w:rPr>
      </w:pPr>
      <w:r>
        <w:rPr>
          <w:rFonts w:hint="eastAsia" w:ascii="宋体" w:hAnsi="宋体" w:cs="宋体"/>
          <w:b/>
          <w:sz w:val="48"/>
          <w:szCs w:val="48"/>
        </w:rPr>
        <w:t>目  录</w:t>
      </w:r>
    </w:p>
    <w:sdt>
      <w:sdtPr>
        <w:rPr>
          <w:rFonts w:ascii="宋体" w:hAnsi="宋体" w:eastAsia="宋体" w:cs="Times New Roman"/>
          <w:kern w:val="2"/>
          <w:sz w:val="21"/>
          <w:szCs w:val="24"/>
          <w:lang w:val="en-US" w:eastAsia="zh-CN" w:bidi="ar-SA"/>
        </w:rPr>
        <w:id w:val="147454320"/>
        <w15:color w:val="DBDBDB"/>
        <w:docPartObj>
          <w:docPartGallery w:val="Table of Contents"/>
          <w:docPartUnique/>
        </w:docPartObj>
      </w:sdtPr>
      <w:sdtEndPr>
        <w:rPr>
          <w:rFonts w:ascii="宋体" w:hAnsi="宋体" w:eastAsia="宋体" w:cs="宋体"/>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"1-1" \h \u </w:instrText>
          </w:r>
          <w:r>
            <w:rPr>
              <w:rFonts w:hint="eastAsia" w:ascii="宋体" w:hAnsi="宋体" w:eastAsia="宋体" w:cs="宋体"/>
              <w:sz w:val="32"/>
              <w:szCs w:val="32"/>
            </w:rP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_Toc9238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第一部分 </w:t>
          </w:r>
          <w:r>
            <w:rPr>
              <w:rFonts w:hint="eastAsia" w:ascii="宋体" w:hAnsi="宋体" w:cs="宋体"/>
              <w:sz w:val="32"/>
              <w:szCs w:val="32"/>
              <w:lang w:val="en-US" w:eastAsia="zh-CN"/>
            </w:rPr>
            <w:t xml:space="preserve"> </w:t>
          </w:r>
          <w:r>
            <w:rPr>
              <w:rFonts w:hint="eastAsia" w:ascii="宋体" w:hAnsi="宋体" w:eastAsia="宋体" w:cs="宋体"/>
              <w:sz w:val="32"/>
              <w:szCs w:val="32"/>
            </w:rPr>
            <w:t>招标公告</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_Toc9238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_Toc29691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第二部分 </w:t>
          </w:r>
          <w:r>
            <w:rPr>
              <w:rFonts w:hint="eastAsia" w:ascii="宋体" w:hAnsi="宋体" w:cs="宋体"/>
              <w:sz w:val="32"/>
              <w:szCs w:val="32"/>
              <w:lang w:val="en-US" w:eastAsia="zh-CN"/>
            </w:rPr>
            <w:t xml:space="preserve"> </w:t>
          </w:r>
          <w:r>
            <w:rPr>
              <w:rFonts w:hint="eastAsia" w:ascii="宋体" w:hAnsi="宋体" w:cs="宋体"/>
              <w:sz w:val="32"/>
              <w:szCs w:val="32"/>
              <w:lang w:eastAsia="zh-CN"/>
            </w:rPr>
            <w:t>供应商</w:t>
          </w:r>
          <w:r>
            <w:rPr>
              <w:rFonts w:hint="eastAsia" w:ascii="宋体" w:hAnsi="宋体" w:eastAsia="宋体" w:cs="宋体"/>
              <w:sz w:val="32"/>
              <w:szCs w:val="32"/>
            </w:rPr>
            <w:t>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_Toc29691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_Toc26044 </w:instrText>
          </w:r>
          <w:r>
            <w:rPr>
              <w:rFonts w:hint="eastAsia" w:ascii="宋体" w:hAnsi="宋体" w:eastAsia="宋体" w:cs="宋体"/>
              <w:sz w:val="32"/>
              <w:szCs w:val="32"/>
            </w:rPr>
            <w:fldChar w:fldCharType="separate"/>
          </w:r>
          <w:r>
            <w:rPr>
              <w:rFonts w:hint="eastAsia" w:ascii="宋体" w:hAnsi="宋体" w:eastAsia="宋体" w:cs="宋体"/>
              <w:sz w:val="32"/>
              <w:szCs w:val="32"/>
            </w:rPr>
            <w:t>第三部分  采购需求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_Toc26044 \h </w:instrText>
          </w:r>
          <w:r>
            <w:rPr>
              <w:rFonts w:hint="eastAsia" w:ascii="宋体" w:hAnsi="宋体" w:eastAsia="宋体" w:cs="宋体"/>
              <w:sz w:val="32"/>
              <w:szCs w:val="32"/>
            </w:rPr>
            <w:fldChar w:fldCharType="separate"/>
          </w:r>
          <w:r>
            <w:rPr>
              <w:rFonts w:hint="eastAsia" w:ascii="宋体" w:hAnsi="宋体" w:eastAsia="宋体" w:cs="宋体"/>
              <w:sz w:val="32"/>
              <w:szCs w:val="32"/>
            </w:rPr>
            <w:t>23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_Toc18651 </w:instrText>
          </w:r>
          <w:r>
            <w:rPr>
              <w:rFonts w:hint="eastAsia" w:ascii="宋体" w:hAnsi="宋体" w:eastAsia="宋体" w:cs="宋体"/>
              <w:sz w:val="32"/>
              <w:szCs w:val="32"/>
            </w:rPr>
            <w:fldChar w:fldCharType="separate"/>
          </w:r>
          <w:r>
            <w:rPr>
              <w:rFonts w:hint="eastAsia" w:ascii="宋体" w:hAnsi="宋体" w:eastAsia="宋体" w:cs="宋体"/>
              <w:sz w:val="32"/>
              <w:szCs w:val="32"/>
            </w:rPr>
            <w:t>第四部分  评标办法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_Toc18651 \h </w:instrText>
          </w:r>
          <w:r>
            <w:rPr>
              <w:rFonts w:hint="eastAsia" w:ascii="宋体" w:hAnsi="宋体" w:eastAsia="宋体" w:cs="宋体"/>
              <w:sz w:val="32"/>
              <w:szCs w:val="32"/>
            </w:rPr>
            <w:fldChar w:fldCharType="separate"/>
          </w:r>
          <w:r>
            <w:rPr>
              <w:rFonts w:hint="eastAsia" w:ascii="宋体" w:hAnsi="宋体" w:eastAsia="宋体" w:cs="宋体"/>
              <w:sz w:val="32"/>
              <w:szCs w:val="32"/>
            </w:rPr>
            <w:t>28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_Toc8264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第五部分 </w:t>
          </w:r>
          <w:r>
            <w:rPr>
              <w:rFonts w:hint="eastAsia" w:ascii="宋体" w:hAnsi="宋体" w:cs="宋体"/>
              <w:sz w:val="32"/>
              <w:szCs w:val="32"/>
              <w:lang w:val="en-US" w:eastAsia="zh-CN"/>
            </w:rPr>
            <w:t xml:space="preserve"> </w:t>
          </w:r>
          <w:r>
            <w:rPr>
              <w:rFonts w:hint="eastAsia" w:ascii="宋体" w:hAnsi="宋体" w:eastAsia="宋体" w:cs="宋体"/>
              <w:sz w:val="32"/>
              <w:szCs w:val="32"/>
            </w:rPr>
            <w:t>拟签订的合同文本</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_Toc8264 \h </w:instrText>
          </w:r>
          <w:r>
            <w:rPr>
              <w:rFonts w:hint="eastAsia" w:ascii="宋体" w:hAnsi="宋体" w:eastAsia="宋体" w:cs="宋体"/>
              <w:sz w:val="32"/>
              <w:szCs w:val="32"/>
            </w:rPr>
            <w:fldChar w:fldCharType="separate"/>
          </w:r>
          <w:r>
            <w:rPr>
              <w:rFonts w:hint="eastAsia" w:ascii="宋体" w:hAnsi="宋体" w:eastAsia="宋体" w:cs="宋体"/>
              <w:sz w:val="32"/>
              <w:szCs w:val="32"/>
            </w:rPr>
            <w:t>36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_Toc22993 </w:instrText>
          </w:r>
          <w:r>
            <w:rPr>
              <w:rFonts w:hint="eastAsia" w:ascii="宋体" w:hAnsi="宋体" w:eastAsia="宋体" w:cs="宋体"/>
              <w:sz w:val="32"/>
              <w:szCs w:val="32"/>
            </w:rPr>
            <w:fldChar w:fldCharType="separate"/>
          </w:r>
          <w:r>
            <w:rPr>
              <w:rFonts w:hint="eastAsia" w:ascii="宋体" w:hAnsi="宋体" w:eastAsia="宋体" w:cs="宋体"/>
              <w:sz w:val="32"/>
              <w:szCs w:val="32"/>
            </w:rPr>
            <w:t>第六部分</w:t>
          </w:r>
          <w:r>
            <w:rPr>
              <w:rFonts w:hint="eastAsia" w:ascii="宋体" w:hAnsi="宋体" w:cs="宋体"/>
              <w:sz w:val="32"/>
              <w:szCs w:val="32"/>
              <w:lang w:val="en-US" w:eastAsia="zh-CN"/>
            </w:rPr>
            <w:t xml:space="preserve"> </w:t>
          </w:r>
          <w:r>
            <w:rPr>
              <w:rFonts w:hint="eastAsia" w:ascii="宋体" w:hAnsi="宋体" w:eastAsia="宋体" w:cs="宋体"/>
              <w:sz w:val="32"/>
              <w:szCs w:val="32"/>
            </w:rPr>
            <w:t xml:space="preserve"> 应提交的有关格式范例</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_Toc22993 \h </w:instrText>
          </w:r>
          <w:r>
            <w:rPr>
              <w:rFonts w:hint="eastAsia" w:ascii="宋体" w:hAnsi="宋体" w:eastAsia="宋体" w:cs="宋体"/>
              <w:sz w:val="32"/>
              <w:szCs w:val="32"/>
            </w:rPr>
            <w:fldChar w:fldCharType="separate"/>
          </w:r>
          <w:r>
            <w:rPr>
              <w:rFonts w:hint="eastAsia" w:ascii="宋体" w:hAnsi="宋体" w:eastAsia="宋体" w:cs="宋体"/>
              <w:sz w:val="32"/>
              <w:szCs w:val="32"/>
            </w:rPr>
            <w:t>48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9"/>
            <w:rPr>
              <w:rFonts w:ascii="宋体" w:hAnsi="宋体" w:cs="宋体"/>
              <w:sz w:val="32"/>
              <w:szCs w:val="32"/>
            </w:rPr>
          </w:pPr>
          <w:r>
            <w:rPr>
              <w:rFonts w:hint="eastAsia" w:ascii="宋体" w:hAnsi="宋体" w:eastAsia="宋体" w:cs="宋体"/>
              <w:sz w:val="32"/>
              <w:szCs w:val="32"/>
            </w:rPr>
            <w:fldChar w:fldCharType="end"/>
          </w:r>
        </w:p>
      </w:sdtContent>
    </w:sdt>
    <w:p>
      <w:pPr>
        <w:kinsoku/>
        <w:wordWrap/>
        <w:overflowPunct/>
        <w:topLinePunct w:val="0"/>
        <w:bidi w:val="0"/>
        <w:spacing w:line="360" w:lineRule="auto"/>
        <w:outlineLvl w:val="9"/>
        <w:rPr>
          <w:rFonts w:ascii="宋体" w:hAnsi="宋体" w:cs="宋体"/>
          <w:sz w:val="32"/>
          <w:szCs w:val="32"/>
        </w:rPr>
      </w:pPr>
    </w:p>
    <w:p>
      <w:pPr>
        <w:kinsoku/>
        <w:wordWrap/>
        <w:overflowPunct/>
        <w:topLinePunct w:val="0"/>
        <w:bidi w:val="0"/>
        <w:spacing w:line="360" w:lineRule="auto"/>
        <w:outlineLvl w:val="9"/>
        <w:rPr>
          <w:rFonts w:ascii="宋体" w:hAnsi="宋体" w:cs="宋体"/>
          <w:sz w:val="32"/>
          <w:szCs w:val="32"/>
        </w:rPr>
      </w:pPr>
    </w:p>
    <w:p>
      <w:pPr>
        <w:kinsoku/>
        <w:wordWrap/>
        <w:overflowPunct/>
        <w:topLinePunct w:val="0"/>
        <w:bidi w:val="0"/>
        <w:spacing w:line="360" w:lineRule="auto"/>
        <w:ind w:firstLine="549" w:firstLineChars="229"/>
        <w:outlineLvl w:val="9"/>
        <w:rPr>
          <w:rFonts w:ascii="宋体" w:hAnsi="宋体" w:cs="宋体"/>
          <w:sz w:val="24"/>
        </w:rPr>
      </w:pPr>
      <w:bookmarkStart w:id="1" w:name="_Hlt91233176"/>
      <w:bookmarkEnd w:id="1"/>
      <w:bookmarkStart w:id="2" w:name="_Toc91899869"/>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outlineLvl w:val="9"/>
        <w:rPr>
          <w:rFonts w:ascii="宋体" w:hAnsi="宋体" w:cs="宋体"/>
          <w:sz w:val="24"/>
        </w:rPr>
      </w:pPr>
    </w:p>
    <w:bookmarkEnd w:id="2"/>
    <w:p>
      <w:pPr>
        <w:rPr>
          <w:rFonts w:hint="eastAsia" w:ascii="宋体" w:hAnsi="宋体" w:cs="宋体"/>
          <w:b/>
          <w:sz w:val="36"/>
          <w:szCs w:val="20"/>
        </w:rPr>
      </w:pPr>
      <w:bookmarkStart w:id="3" w:name="_Hlt74729822"/>
      <w:bookmarkEnd w:id="3"/>
      <w:bookmarkStart w:id="4" w:name="_Hlt74728647"/>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宋体" w:hAnsi="宋体" w:cs="宋体"/>
          <w:b/>
          <w:sz w:val="36"/>
          <w:szCs w:val="20"/>
        </w:rPr>
        <w:br w:type="page"/>
      </w:r>
    </w:p>
    <w:p>
      <w:pPr>
        <w:rPr>
          <w:rFonts w:hint="eastAsia"/>
        </w:rPr>
      </w:pPr>
      <w:r>
        <w:rPr>
          <w:rFonts w:hint="eastAsia"/>
        </w:rPr>
        <w:br w:type="page"/>
      </w:r>
    </w:p>
    <w:p>
      <w:pPr>
        <w:rPr>
          <w:rFonts w:hint="eastAsia"/>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kinsoku/>
        <w:wordWrap/>
        <w:overflowPunct/>
        <w:topLinePunct w:val="0"/>
        <w:bidi w:val="0"/>
        <w:adjustRightInd/>
        <w:spacing w:line="360" w:lineRule="auto"/>
        <w:jc w:val="center"/>
        <w:outlineLvl w:val="0"/>
        <w:rPr>
          <w:rFonts w:ascii="宋体" w:hAnsi="宋体" w:cs="宋体"/>
          <w:b/>
          <w:sz w:val="36"/>
          <w:szCs w:val="20"/>
        </w:rPr>
      </w:pPr>
      <w:bookmarkStart w:id="10" w:name="_Toc9238"/>
      <w:r>
        <w:rPr>
          <w:rFonts w:hint="eastAsia" w:ascii="宋体" w:hAnsi="宋体" w:cs="宋体"/>
          <w:b/>
          <w:sz w:val="36"/>
          <w:szCs w:val="20"/>
        </w:rPr>
        <w:t>第一部分 招标公告</w:t>
      </w:r>
      <w:bookmarkEnd w:id="10"/>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u w:val="single"/>
        </w:rPr>
        <w:t>（</w:t>
      </w:r>
      <w:r>
        <w:rPr>
          <w:rFonts w:hint="eastAsia" w:cs="仿宋_GB2312" w:asciiTheme="minorEastAsia" w:hAnsiTheme="minorEastAsia" w:eastAsiaTheme="minorEastAsia"/>
          <w:color w:val="auto"/>
          <w:sz w:val="24"/>
          <w:u w:val="single"/>
          <w:lang w:eastAsia="zh-CN"/>
        </w:rPr>
        <w:t>宁波市医疗中心李惠利医院人力资源服务外包项目</w:t>
      </w:r>
      <w:r>
        <w:rPr>
          <w:rFonts w:hint="eastAsia" w:cs="仿宋_GB2312" w:asciiTheme="minorEastAsia" w:hAnsiTheme="minorEastAsia" w:eastAsiaTheme="minorEastAsia"/>
          <w:color w:val="auto"/>
          <w:sz w:val="24"/>
          <w:u w:val="single"/>
        </w:rPr>
        <w:t>）</w:t>
      </w:r>
      <w:r>
        <w:rPr>
          <w:rFonts w:hint="eastAsia" w:asciiTheme="minorEastAsia" w:hAnsiTheme="minorEastAsia" w:eastAsiaTheme="minorEastAsia"/>
          <w:color w:val="auto"/>
          <w:sz w:val="24"/>
        </w:rPr>
        <w:t>招标项目的潜在</w:t>
      </w:r>
      <w:r>
        <w:rPr>
          <w:rFonts w:hint="eastAsia" w:asciiTheme="minorEastAsia" w:hAnsiTheme="minorEastAsia" w:eastAsiaTheme="minorEastAsia"/>
          <w:color w:val="auto"/>
          <w:sz w:val="24"/>
          <w:lang w:eastAsia="zh-CN"/>
        </w:rPr>
        <w:t>供应商</w:t>
      </w:r>
      <w:r>
        <w:rPr>
          <w:rFonts w:hint="eastAsia" w:asciiTheme="minorEastAsia" w:hAnsiTheme="minorEastAsia" w:eastAsiaTheme="minorEastAsia"/>
          <w:color w:val="auto"/>
          <w:sz w:val="24"/>
        </w:rPr>
        <w:t>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cs="Times New Roman" w:asciiTheme="minorEastAsia" w:hAnsiTheme="minorEastAsia" w:eastAsiaTheme="minorEastAsia"/>
          <w:snapToGrid/>
          <w:color w:val="auto"/>
          <w:kern w:val="2"/>
          <w:sz w:val="24"/>
          <w:szCs w:val="24"/>
        </w:rPr>
        <w:t>https://www.zcygov.cn/）获取（下载）招标文件，并于</w:t>
      </w:r>
      <w:r>
        <w:rPr>
          <w:rStyle w:val="76"/>
          <w:rFonts w:hint="eastAsia" w:cs="Times New Roman" w:asciiTheme="minorEastAsia" w:hAnsiTheme="minorEastAsia" w:eastAsiaTheme="minorEastAsia"/>
          <w:snapToGrid/>
          <w:color w:val="auto"/>
          <w:kern w:val="2"/>
          <w:sz w:val="24"/>
          <w:szCs w:val="24"/>
        </w:rPr>
        <w:t>202</w:t>
      </w:r>
      <w:r>
        <w:rPr>
          <w:rStyle w:val="76"/>
          <w:rFonts w:hint="eastAsia" w:cs="Times New Roman" w:asciiTheme="minorEastAsia" w:hAnsiTheme="minorEastAsia" w:eastAsiaTheme="minorEastAsia"/>
          <w:snapToGrid/>
          <w:color w:val="auto"/>
          <w:kern w:val="2"/>
          <w:sz w:val="24"/>
          <w:szCs w:val="24"/>
          <w:lang w:val="en-US" w:eastAsia="zh-CN"/>
        </w:rPr>
        <w:t>3</w:t>
      </w:r>
      <w:r>
        <w:rPr>
          <w:rStyle w:val="76"/>
          <w:rFonts w:cs="Times New Roman" w:asciiTheme="minorEastAsia" w:hAnsiTheme="minorEastAsia" w:eastAsiaTheme="minorEastAsia"/>
          <w:snapToGrid/>
          <w:color w:val="auto"/>
          <w:kern w:val="2"/>
          <w:sz w:val="24"/>
          <w:szCs w:val="24"/>
        </w:rPr>
        <w:t>年</w:t>
      </w:r>
      <w:r>
        <w:rPr>
          <w:rStyle w:val="76"/>
          <w:rFonts w:hint="eastAsia" w:cs="Times New Roman" w:asciiTheme="minorEastAsia" w:hAnsiTheme="minorEastAsia" w:eastAsiaTheme="minorEastAsia"/>
          <w:snapToGrid/>
          <w:color w:val="auto"/>
          <w:kern w:val="2"/>
          <w:sz w:val="24"/>
          <w:szCs w:val="24"/>
          <w:lang w:val="en-US" w:eastAsia="zh-CN"/>
        </w:rPr>
        <w:t>08</w:t>
      </w:r>
      <w:r>
        <w:rPr>
          <w:rStyle w:val="76"/>
          <w:rFonts w:hint="eastAsia" w:cs="Times New Roman" w:asciiTheme="minorEastAsia" w:hAnsiTheme="minorEastAsia" w:eastAsiaTheme="minorEastAsia"/>
          <w:snapToGrid/>
          <w:color w:val="auto"/>
          <w:kern w:val="2"/>
          <w:sz w:val="24"/>
          <w:szCs w:val="24"/>
        </w:rPr>
        <w:t>月</w:t>
      </w:r>
      <w:r>
        <w:rPr>
          <w:rStyle w:val="76"/>
          <w:rFonts w:hint="eastAsia" w:cs="Times New Roman" w:asciiTheme="minorEastAsia" w:hAnsiTheme="minorEastAsia" w:eastAsiaTheme="minorEastAsia"/>
          <w:snapToGrid/>
          <w:color w:val="auto"/>
          <w:kern w:val="2"/>
          <w:sz w:val="24"/>
          <w:szCs w:val="24"/>
          <w:lang w:val="en-US" w:eastAsia="zh-CN"/>
        </w:rPr>
        <w:t>16</w:t>
      </w:r>
      <w:r>
        <w:rPr>
          <w:rStyle w:val="76"/>
          <w:rFonts w:hint="eastAsia" w:cs="Times New Roman" w:asciiTheme="minorEastAsia" w:hAnsiTheme="minorEastAsia" w:eastAsiaTheme="minorEastAsia"/>
          <w:snapToGrid/>
          <w:color w:val="auto"/>
          <w:kern w:val="2"/>
          <w:sz w:val="24"/>
          <w:szCs w:val="24"/>
        </w:rPr>
        <w:t>日</w:t>
      </w:r>
      <w:r>
        <w:rPr>
          <w:rStyle w:val="76"/>
          <w:rFonts w:hint="eastAsia" w:cs="Times New Roman" w:asciiTheme="minorEastAsia" w:hAnsiTheme="minorEastAsia" w:eastAsiaTheme="minorEastAsia"/>
          <w:snapToGrid/>
          <w:color w:val="auto"/>
          <w:kern w:val="2"/>
          <w:sz w:val="24"/>
          <w:szCs w:val="24"/>
          <w:lang w:val="en-US" w:eastAsia="zh-CN"/>
        </w:rPr>
        <w:t>14</w:t>
      </w:r>
      <w:r>
        <w:rPr>
          <w:rStyle w:val="76"/>
          <w:rFonts w:hint="eastAsia" w:cs="Times New Roman" w:asciiTheme="minorEastAsia" w:hAnsiTheme="minorEastAsia" w:eastAsiaTheme="minorEastAsia"/>
          <w:snapToGrid/>
          <w:color w:val="auto"/>
          <w:kern w:val="2"/>
          <w:sz w:val="24"/>
          <w:szCs w:val="24"/>
        </w:rPr>
        <w:t>点</w:t>
      </w:r>
      <w:r>
        <w:rPr>
          <w:rStyle w:val="76"/>
          <w:rFonts w:hint="eastAsia" w:cs="Times New Roman" w:asciiTheme="minorEastAsia" w:hAnsiTheme="minorEastAsia" w:eastAsiaTheme="minorEastAsia"/>
          <w:snapToGrid/>
          <w:color w:val="auto"/>
          <w:kern w:val="2"/>
          <w:sz w:val="24"/>
          <w:szCs w:val="24"/>
          <w:lang w:val="en-US" w:eastAsia="zh-CN"/>
        </w:rPr>
        <w:t>00</w:t>
      </w:r>
      <w:r>
        <w:rPr>
          <w:rStyle w:val="76"/>
          <w:rFonts w:hint="eastAsia" w:cs="Times New Roman" w:asciiTheme="minorEastAsia" w:hAnsiTheme="minorEastAsia" w:eastAsiaTheme="minorEastAsia"/>
          <w:snapToGrid/>
          <w:color w:val="auto"/>
          <w:kern w:val="2"/>
          <w:sz w:val="24"/>
          <w:szCs w:val="24"/>
        </w:rPr>
        <w:t>分</w:t>
      </w:r>
      <w:r>
        <w:rPr>
          <w:rStyle w:val="76"/>
          <w:rFonts w:hint="eastAsia" w:cs="Times New Roman" w:asciiTheme="minorEastAsia" w:hAnsiTheme="minorEastAsia" w:eastAsiaTheme="minorEastAsia"/>
          <w:bCs/>
          <w:snapToGrid/>
          <w:color w:val="auto"/>
          <w:kern w:val="2"/>
          <w:sz w:val="24"/>
          <w:szCs w:val="24"/>
        </w:rPr>
        <w:t>00秒</w:t>
      </w:r>
      <w:r>
        <w:rPr>
          <w:rStyle w:val="76"/>
          <w:rFonts w:hint="eastAsia" w:cs="Times New Roman" w:asciiTheme="minorEastAsia" w:hAnsiTheme="minorEastAsia" w:eastAsiaTheme="minorEastAsia"/>
          <w:bCs/>
          <w:snapToGrid/>
          <w:color w:val="auto"/>
          <w:kern w:val="2"/>
          <w:sz w:val="24"/>
          <w:szCs w:val="24"/>
        </w:rPr>
        <w:fldChar w:fldCharType="end"/>
      </w:r>
      <w:r>
        <w:rPr>
          <w:rFonts w:hint="eastAsia" w:asciiTheme="minorEastAsia" w:hAnsiTheme="minorEastAsia" w:eastAsiaTheme="minorEastAsia"/>
          <w:bCs/>
          <w:color w:val="auto"/>
          <w:sz w:val="24"/>
        </w:rPr>
        <w:t>（北京时间）前</w:t>
      </w:r>
      <w:r>
        <w:rPr>
          <w:rFonts w:hint="eastAsia" w:asciiTheme="minorEastAsia" w:hAnsiTheme="minorEastAsia" w:eastAsiaTheme="minorEastAsia"/>
          <w:color w:val="auto"/>
          <w:sz w:val="24"/>
        </w:rPr>
        <w:t>递交（上传）投标文件。</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 xml:space="preserve">一、项目基本情况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val="0"/>
          <w:bCs/>
          <w:sz w:val="24"/>
          <w:lang w:eastAsia="zh-CN"/>
        </w:rPr>
        <w:t>CBNB-20236194G（重）</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val="0"/>
          <w:bCs/>
          <w:sz w:val="24"/>
          <w:lang w:eastAsia="zh-CN"/>
        </w:rPr>
        <w:t>宁波市医疗中心李惠利医院人力资源服务外包项目</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0000FF"/>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val="0"/>
          <w:bCs/>
          <w:sz w:val="24"/>
          <w:lang w:val="en-US" w:eastAsia="zh-CN"/>
        </w:rPr>
        <w:t>48000000</w:t>
      </w:r>
      <w:r>
        <w:rPr>
          <w:rFonts w:hint="eastAsia" w:ascii="宋体" w:hAnsi="宋体" w:cs="宋体"/>
          <w:b w:val="0"/>
          <w:bCs/>
          <w:color w:val="auto"/>
          <w:sz w:val="24"/>
          <w:lang w:val="en-US" w:eastAsia="zh-CN"/>
        </w:rPr>
        <w:t>.00</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color w:val="0000FF"/>
          <w:sz w:val="24"/>
        </w:rPr>
      </w:pPr>
      <w:r>
        <w:rPr>
          <w:rFonts w:hint="eastAsia" w:ascii="宋体" w:hAnsi="宋体" w:cs="宋体"/>
          <w:b/>
          <w:sz w:val="24"/>
        </w:rPr>
        <w:t>最高限价（元）：</w:t>
      </w:r>
      <w:r>
        <w:rPr>
          <w:rFonts w:hint="eastAsia" w:ascii="宋体" w:hAnsi="宋体" w:cs="宋体"/>
          <w:color w:val="auto"/>
          <w:sz w:val="24"/>
          <w:lang w:val="en-US" w:eastAsia="zh-CN"/>
        </w:rPr>
        <w:t>48000000.00</w:t>
      </w:r>
    </w:p>
    <w:p>
      <w:pPr>
        <w:pStyle w:val="7"/>
        <w:keepNext w:val="0"/>
        <w:keepLines w:val="0"/>
        <w:pageBreakBefore w:val="0"/>
        <w:kinsoku/>
        <w:wordWrap/>
        <w:overflowPunct/>
        <w:topLinePunct w:val="0"/>
        <w:autoSpaceDE/>
        <w:autoSpaceDN/>
        <w:bidi w:val="0"/>
        <w:spacing w:line="336" w:lineRule="auto"/>
        <w:ind w:firstLine="480"/>
        <w:textAlignment w:val="auto"/>
        <w:outlineLvl w:val="9"/>
        <w:rPr>
          <w:rFonts w:hint="eastAsia" w:hAnsi="宋体" w:cs="宋体"/>
          <w:b/>
          <w:color w:val="auto"/>
          <w:sz w:val="24"/>
        </w:rPr>
      </w:pPr>
      <w:r>
        <w:rPr>
          <w:rFonts w:hint="eastAsia" w:hAnsi="宋体" w:cs="宋体"/>
          <w:b/>
          <w:color w:val="auto"/>
          <w:sz w:val="24"/>
        </w:rPr>
        <w:t>采购需求：</w:t>
      </w:r>
    </w:p>
    <w:p>
      <w:pPr>
        <w:shd w:val="clear"/>
        <w:spacing w:line="360" w:lineRule="auto"/>
        <w:ind w:leftChars="100"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标项名称</w:t>
      </w:r>
      <w:r>
        <w:rPr>
          <w:rFonts w:hint="eastAsia" w:ascii="宋体" w:hAnsi="宋体" w:eastAsia="宋体" w:cs="宋体"/>
          <w:snapToGrid w:val="0"/>
          <w:color w:val="auto"/>
          <w:kern w:val="28"/>
          <w:sz w:val="24"/>
          <w:szCs w:val="20"/>
          <w:highlight w:val="none"/>
          <w:lang w:eastAsia="zh-CN"/>
        </w:rPr>
        <w:t>：人力资源服务外包</w:t>
      </w:r>
    </w:p>
    <w:p>
      <w:pPr>
        <w:shd w:val="clear"/>
        <w:spacing w:line="360" w:lineRule="auto"/>
        <w:ind w:leftChars="100" w:firstLine="480"/>
        <w:rPr>
          <w:rFonts w:hint="default" w:ascii="宋体" w:hAnsi="宋体" w:eastAsia="宋体" w:cs="宋体"/>
          <w:snapToGrid w:val="0"/>
          <w:color w:val="auto"/>
          <w:kern w:val="28"/>
          <w:sz w:val="24"/>
          <w:szCs w:val="20"/>
          <w:highlight w:val="none"/>
          <w:lang w:val="en-US"/>
        </w:rPr>
      </w:pPr>
      <w:r>
        <w:rPr>
          <w:rFonts w:hint="eastAsia" w:ascii="宋体" w:hAnsi="宋体" w:eastAsia="宋体" w:cs="宋体"/>
          <w:snapToGrid w:val="0"/>
          <w:color w:val="auto"/>
          <w:kern w:val="28"/>
          <w:sz w:val="24"/>
          <w:szCs w:val="20"/>
          <w:highlight w:val="none"/>
        </w:rPr>
        <w:t>数量</w:t>
      </w:r>
      <w:r>
        <w:rPr>
          <w:rFonts w:hint="eastAsia" w:ascii="宋体" w:hAnsi="宋体" w:eastAsia="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lang w:val="en-US" w:eastAsia="zh-CN"/>
        </w:rPr>
        <w:t>1项</w:t>
      </w:r>
    </w:p>
    <w:p>
      <w:pPr>
        <w:shd w:val="clear"/>
        <w:spacing w:line="360" w:lineRule="auto"/>
        <w:ind w:leftChars="100" w:firstLine="480"/>
        <w:rPr>
          <w:rFonts w:hint="default" w:ascii="宋体" w:hAnsi="宋体" w:eastAsia="宋体" w:cs="宋体"/>
          <w:snapToGrid w:val="0"/>
          <w:color w:val="auto"/>
          <w:kern w:val="28"/>
          <w:sz w:val="24"/>
          <w:szCs w:val="20"/>
          <w:highlight w:val="none"/>
          <w:lang w:val="en-US" w:eastAsia="zh-CN"/>
        </w:rPr>
      </w:pPr>
      <w:r>
        <w:rPr>
          <w:rFonts w:hint="eastAsia" w:ascii="宋体" w:hAnsi="宋体" w:eastAsia="宋体" w:cs="宋体"/>
          <w:snapToGrid w:val="0"/>
          <w:color w:val="auto"/>
          <w:kern w:val="28"/>
          <w:sz w:val="24"/>
          <w:szCs w:val="20"/>
          <w:highlight w:val="none"/>
        </w:rPr>
        <w:t>预算金额（元）</w:t>
      </w:r>
      <w:r>
        <w:rPr>
          <w:rFonts w:hint="eastAsia" w:ascii="宋体" w:hAnsi="宋体" w:eastAsia="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lang w:val="en-US" w:eastAsia="zh-CN"/>
        </w:rPr>
        <w:t>48000000.00</w:t>
      </w:r>
    </w:p>
    <w:p>
      <w:pPr>
        <w:shd w:val="clear"/>
        <w:spacing w:line="360" w:lineRule="auto"/>
        <w:ind w:leftChars="100"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简要规格描述或项目基本概况介绍、用途：</w:t>
      </w:r>
      <w:r>
        <w:rPr>
          <w:rFonts w:hint="eastAsia" w:ascii="宋体" w:hAnsi="宋体" w:eastAsia="宋体" w:cs="宋体"/>
          <w:snapToGrid w:val="0"/>
          <w:color w:val="auto"/>
          <w:kern w:val="28"/>
          <w:sz w:val="24"/>
          <w:szCs w:val="20"/>
          <w:highlight w:val="none"/>
          <w:lang w:val="en-US" w:eastAsia="zh-CN"/>
        </w:rPr>
        <w:t>对收费处、体检中心（前台登记、收费员、文员）、超声科、心电图（文员）、内镜中心（技术工人）等岗位进行人力资源外包</w:t>
      </w:r>
      <w:r>
        <w:rPr>
          <w:rFonts w:hint="eastAsia" w:ascii="宋体" w:hAnsi="宋体" w:eastAsia="宋体" w:cs="宋体"/>
          <w:snapToGrid w:val="0"/>
          <w:color w:val="auto"/>
          <w:kern w:val="28"/>
          <w:sz w:val="24"/>
          <w:szCs w:val="20"/>
          <w:highlight w:val="none"/>
        </w:rPr>
        <w:t>。详见</w:t>
      </w:r>
      <w:r>
        <w:rPr>
          <w:rFonts w:hint="eastAsia" w:ascii="宋体" w:hAnsi="宋体" w:eastAsia="宋体" w:cs="宋体"/>
          <w:snapToGrid w:val="0"/>
          <w:color w:val="auto"/>
          <w:kern w:val="28"/>
          <w:sz w:val="24"/>
          <w:szCs w:val="20"/>
          <w:highlight w:val="none"/>
          <w:lang w:val="en-US" w:eastAsia="zh-CN"/>
        </w:rPr>
        <w:t>招标</w:t>
      </w:r>
      <w:r>
        <w:rPr>
          <w:rFonts w:hint="eastAsia" w:ascii="宋体" w:hAnsi="宋体" w:eastAsia="宋体" w:cs="宋体"/>
          <w:snapToGrid w:val="0"/>
          <w:color w:val="auto"/>
          <w:kern w:val="28"/>
          <w:sz w:val="24"/>
          <w:szCs w:val="20"/>
          <w:highlight w:val="none"/>
        </w:rPr>
        <w:t>文件。</w:t>
      </w:r>
    </w:p>
    <w:p>
      <w:pPr>
        <w:shd w:val="clear"/>
        <w:spacing w:line="360" w:lineRule="auto"/>
        <w:ind w:leftChars="100" w:firstLine="480"/>
        <w:rPr>
          <w:rFonts w:hint="eastAsia" w:ascii="宋体" w:hAnsi="宋体" w:eastAsia="宋体" w:cs="宋体"/>
          <w:snapToGrid w:val="0"/>
          <w:color w:val="auto"/>
          <w:kern w:val="28"/>
          <w:sz w:val="24"/>
          <w:szCs w:val="20"/>
          <w:highlight w:val="none"/>
          <w:lang w:eastAsia="zh-CN"/>
        </w:rPr>
      </w:pPr>
      <w:r>
        <w:rPr>
          <w:rFonts w:hint="eastAsia" w:ascii="宋体" w:hAnsi="宋体" w:eastAsia="宋体" w:cs="宋体"/>
          <w:snapToGrid w:val="0"/>
          <w:color w:val="auto"/>
          <w:kern w:val="28"/>
          <w:sz w:val="24"/>
          <w:szCs w:val="20"/>
          <w:highlight w:val="none"/>
        </w:rPr>
        <w:t>备注：</w:t>
      </w:r>
      <w:r>
        <w:rPr>
          <w:rFonts w:hint="eastAsia" w:ascii="宋体" w:hAnsi="宋体" w:eastAsia="宋体" w:cs="宋体"/>
          <w:snapToGrid w:val="0"/>
          <w:color w:val="auto"/>
          <w:kern w:val="28"/>
          <w:sz w:val="24"/>
          <w:szCs w:val="20"/>
          <w:highlight w:val="none"/>
          <w:lang w:val="en-US" w:eastAsia="zh-CN"/>
        </w:rPr>
        <w:t>年度最高限价：24000000.00元。</w:t>
      </w:r>
    </w:p>
    <w:p>
      <w:pPr>
        <w:pStyle w:val="130"/>
        <w:keepNext w:val="0"/>
        <w:keepLines w:val="0"/>
        <w:pageBreakBefore w:val="0"/>
        <w:kinsoku/>
        <w:wordWrap/>
        <w:overflowPunct/>
        <w:topLinePunct w:val="0"/>
        <w:autoSpaceDE/>
        <w:autoSpaceDN/>
        <w:bidi w:val="0"/>
        <w:spacing w:before="0" w:line="336" w:lineRule="auto"/>
        <w:ind w:firstLine="482"/>
        <w:textAlignment w:val="auto"/>
        <w:outlineLvl w:val="9"/>
        <w:rPr>
          <w:rFonts w:ascii="宋体" w:hAnsi="宋体" w:cs="宋体"/>
          <w:color w:val="0000FF"/>
        </w:rPr>
      </w:pPr>
      <w:r>
        <w:rPr>
          <w:rFonts w:hint="eastAsia" w:ascii="宋体" w:hAnsi="宋体" w:cs="宋体"/>
          <w:b/>
        </w:rPr>
        <w:t>合同履约期限：</w:t>
      </w:r>
      <w:r>
        <w:rPr>
          <w:rFonts w:hint="eastAsia" w:ascii="宋体" w:hAnsi="宋体" w:cs="宋体"/>
          <w:szCs w:val="21"/>
          <w:lang w:val="en-US" w:eastAsia="zh-CN"/>
        </w:rPr>
        <w:t>本项目服务期二年，合同一年一签。根据中标人在合同履约期内按照履约、考核等情况决定是否续签</w:t>
      </w:r>
      <w:r>
        <w:rPr>
          <w:rFonts w:hint="eastAsia" w:ascii="宋体" w:hAnsi="宋体" w:eastAsia="宋体" w:cs="宋体"/>
          <w:b w:val="0"/>
          <w:bCs/>
          <w:snapToGrid w:val="0"/>
          <w:color w:val="auto"/>
          <w:kern w:val="28"/>
          <w:sz w:val="24"/>
          <w:szCs w:val="20"/>
          <w:lang w:val="en-US" w:eastAsia="zh-CN" w:bidi="ar-SA"/>
        </w:rPr>
        <w:t>。</w:t>
      </w:r>
    </w:p>
    <w:p>
      <w:pPr>
        <w:pStyle w:val="7"/>
        <w:keepNext w:val="0"/>
        <w:keepLines w:val="0"/>
        <w:pageBreakBefore w:val="0"/>
        <w:kinsoku/>
        <w:wordWrap/>
        <w:overflowPunct/>
        <w:topLinePunct w:val="0"/>
        <w:autoSpaceDE/>
        <w:autoSpaceDN/>
        <w:bidi w:val="0"/>
        <w:spacing w:line="336" w:lineRule="auto"/>
        <w:ind w:firstLine="480"/>
        <w:textAlignment w:val="auto"/>
        <w:outlineLvl w:val="9"/>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ascii="MS Gothic" w:hAnsi="MS Gothic" w:eastAsia="宋体" w:cs="宋体"/>
              <w:snapToGrid w:val="0"/>
              <w:color w:val="auto"/>
              <w:kern w:val="0"/>
              <w:sz w:val="24"/>
              <w:szCs w:val="20"/>
              <w:lang w:val="en-US" w:eastAsia="zh-CN" w:bidi="ar-SA"/>
            </w:rPr>
            <w:t>☐</w:t>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否</w:t>
      </w:r>
      <w:r>
        <w:rPr>
          <w:rFonts w:hint="eastAsia" w:hAnsi="宋体" w:cs="宋体"/>
          <w:color w:val="auto"/>
          <w:kern w:val="0"/>
          <w:sz w:val="24"/>
        </w:rPr>
        <w:t>。</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kern w:val="28"/>
          <w:sz w:val="24"/>
          <w:szCs w:val="20"/>
        </w:rPr>
      </w:pP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w:t>
      </w:r>
      <w:r>
        <w:rPr>
          <w:rFonts w:hint="eastAsia" w:ascii="宋体" w:hAnsi="宋体" w:eastAsia="宋体" w:cs="宋体"/>
          <w:snapToGrid w:val="0"/>
          <w:kern w:val="28"/>
          <w:sz w:val="24"/>
          <w:szCs w:val="20"/>
        </w:rPr>
        <w:t>形式</w:t>
      </w:r>
      <w:r>
        <w:rPr>
          <w:rFonts w:hint="eastAsia" w:ascii="宋体" w:hAnsi="宋体" w:cs="宋体"/>
          <w:snapToGrid w:val="0"/>
          <w:kern w:val="28"/>
          <w:sz w:val="24"/>
          <w:szCs w:val="20"/>
        </w:rPr>
        <w:t>投标的，提供联合协议</w:t>
      </w:r>
      <w:r>
        <w:rPr>
          <w:rFonts w:hint="eastAsia" w:ascii="宋体" w:hAnsi="宋体" w:cs="宋体"/>
          <w:snapToGrid w:val="0"/>
          <w:kern w:val="28"/>
          <w:sz w:val="24"/>
          <w:szCs w:val="20"/>
          <w:lang w:eastAsia="zh-CN"/>
        </w:rPr>
        <w:t>（</w:t>
      </w:r>
      <w:r>
        <w:rPr>
          <w:rFonts w:hint="eastAsia" w:ascii="宋体" w:hAnsi="宋体" w:cs="宋体"/>
          <w:snapToGrid w:val="0"/>
          <w:kern w:val="28"/>
          <w:sz w:val="24"/>
          <w:szCs w:val="20"/>
          <w:lang w:val="en-US" w:eastAsia="zh-CN"/>
        </w:rPr>
        <w:t>本项目不适用）</w:t>
      </w:r>
      <w:r>
        <w:rPr>
          <w:rFonts w:hint="eastAsia" w:ascii="宋体" w:hAnsi="宋体" w:cs="宋体"/>
          <w:snapToGrid w:val="0"/>
          <w:kern w:val="28"/>
          <w:sz w:val="24"/>
          <w:szCs w:val="20"/>
        </w:rPr>
        <w:t>；</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w:t>
      </w:r>
      <w:r>
        <w:rPr>
          <w:rFonts w:hint="eastAsia" w:ascii="宋体" w:hAnsi="宋体" w:cs="宋体"/>
          <w:snapToGrid w:val="0"/>
          <w:kern w:val="28"/>
          <w:sz w:val="24"/>
          <w:szCs w:val="20"/>
          <w:lang w:val="en-US" w:eastAsia="zh-CN"/>
        </w:rPr>
        <w:t xml:space="preserve"> </w:t>
      </w:r>
      <w:r>
        <w:rPr>
          <w:rFonts w:hint="eastAsia" w:ascii="宋体" w:hAnsi="宋体" w:cs="宋体"/>
          <w:snapToGrid w:val="0"/>
          <w:kern w:val="28"/>
          <w:sz w:val="24"/>
          <w:szCs w:val="20"/>
        </w:rPr>
        <w:t>落实政府采购政策需满足的资格要求：</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sz w:val="24"/>
        </w:rPr>
        <w:t>无；</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u w:val="single"/>
        </w:rPr>
      </w:pPr>
      <w:sdt>
        <w:sdtPr>
          <w:rPr>
            <w:rFonts w:hint="eastAsia" w:ascii="宋体" w:hAnsi="宋体" w:cs="宋体"/>
            <w:color w:val="auto"/>
            <w:kern w:val="0"/>
            <w:sz w:val="24"/>
          </w:rPr>
          <w:id w:val="-924730588"/>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lang w:val="en-US" w:eastAsia="zh-CN"/>
        </w:rPr>
        <w:t>服务</w:t>
      </w:r>
      <w:r>
        <w:rPr>
          <w:rFonts w:hint="eastAsia" w:ascii="宋体" w:hAnsi="宋体" w:cs="宋体"/>
          <w:color w:val="auto"/>
          <w:sz w:val="24"/>
        </w:rPr>
        <w:t>全部由符合政策要求的中小企业</w:t>
      </w:r>
      <w:r>
        <w:rPr>
          <w:rFonts w:hint="eastAsia" w:ascii="宋体" w:hAnsi="宋体" w:cs="宋体"/>
          <w:color w:val="auto"/>
          <w:sz w:val="24"/>
          <w:lang w:val="en-US" w:eastAsia="zh-CN"/>
        </w:rPr>
        <w:t>承接</w:t>
      </w:r>
      <w:r>
        <w:rPr>
          <w:rFonts w:hint="eastAsia" w:ascii="宋体" w:hAnsi="宋体" w:cs="宋体"/>
          <w:color w:val="auto"/>
          <w:sz w:val="24"/>
        </w:rPr>
        <w:t>，提供中小企业声明函；</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rPr>
      </w:pPr>
      <w:sdt>
        <w:sdtPr>
          <w:rPr>
            <w:rFonts w:hint="eastAsia" w:ascii="宋体" w:hAnsi="宋体" w:cs="宋体"/>
            <w:color w:val="auto"/>
            <w:kern w:val="0"/>
            <w:sz w:val="24"/>
          </w:rPr>
          <w:id w:val="-115260493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lang w:val="en-US" w:eastAsia="zh-CN"/>
        </w:rPr>
        <w:t>服务</w:t>
      </w:r>
      <w:r>
        <w:rPr>
          <w:rFonts w:hint="eastAsia" w:ascii="宋体" w:hAnsi="宋体" w:cs="宋体"/>
          <w:color w:val="auto"/>
          <w:sz w:val="24"/>
        </w:rPr>
        <w:t>全部由符合政策要求的小微企业</w:t>
      </w:r>
      <w:r>
        <w:rPr>
          <w:rFonts w:hint="eastAsia" w:ascii="宋体" w:hAnsi="宋体" w:cs="宋体"/>
          <w:color w:val="auto"/>
          <w:sz w:val="24"/>
          <w:lang w:val="en-US" w:eastAsia="zh-CN"/>
        </w:rPr>
        <w:t>承接</w:t>
      </w:r>
      <w:r>
        <w:rPr>
          <w:rFonts w:hint="eastAsia" w:ascii="宋体" w:hAnsi="宋体" w:cs="宋体"/>
          <w:color w:val="auto"/>
          <w:sz w:val="24"/>
        </w:rPr>
        <w:t>，提供中小企业声明函；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bookmarkStart w:id="12" w:name="_Hlk101132524"/>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bookmarkEnd w:id="12"/>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keepNext w:val="0"/>
        <w:keepLines w:val="0"/>
        <w:pageBreakBefore w:val="0"/>
        <w:widowControl/>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rPr>
      </w:pPr>
      <w:r>
        <w:rPr>
          <w:rFonts w:ascii="宋体" w:hAnsi="宋体" w:cs="宋体"/>
          <w:sz w:val="24"/>
        </w:rPr>
        <w:t>4</w:t>
      </w:r>
      <w:r>
        <w:rPr>
          <w:rFonts w:hint="eastAsia" w:ascii="宋体" w:hAnsi="宋体" w:cs="宋体"/>
          <w:sz w:val="24"/>
        </w:rPr>
        <w:t>.本项目的特定资格要求：</w:t>
      </w:r>
      <w:r>
        <w:rPr>
          <w:rFonts w:hint="eastAsia" w:ascii="宋体" w:hAnsi="宋体" w:cs="宋体"/>
          <w:sz w:val="24"/>
          <w:lang w:val="en-US" w:eastAsia="zh-CN"/>
        </w:rPr>
        <w:t>无</w:t>
      </w:r>
      <w:r>
        <w:rPr>
          <w:rFonts w:hint="eastAsia" w:ascii="宋体" w:hAnsi="宋体" w:eastAsia="宋体" w:cs="Times New Roman"/>
          <w:color w:val="auto"/>
          <w:kern w:val="0"/>
          <w:sz w:val="24"/>
          <w:szCs w:val="24"/>
          <w:highlight w:val="none"/>
          <w:lang w:eastAsia="zh-CN"/>
        </w:rPr>
        <w:t>；</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 xml:space="preserve">三、获取招标文件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时间：</w:t>
      </w:r>
      <w:r>
        <w:rPr>
          <w:rFonts w:hint="eastAsia" w:cs="宋体" w:asciiTheme="minorEastAsia" w:hAnsiTheme="minorEastAsia" w:eastAsiaTheme="minorEastAsia"/>
          <w:b w:val="0"/>
          <w:bCs/>
          <w:color w:val="auto"/>
          <w:sz w:val="24"/>
        </w:rPr>
        <w:t>2023年</w:t>
      </w:r>
      <w:r>
        <w:rPr>
          <w:rFonts w:hint="eastAsia" w:cs="宋体" w:asciiTheme="minorEastAsia" w:hAnsiTheme="minorEastAsia" w:eastAsiaTheme="minorEastAsia"/>
          <w:b w:val="0"/>
          <w:bCs/>
          <w:color w:val="auto"/>
          <w:sz w:val="24"/>
          <w:lang w:val="en-US" w:eastAsia="zh-CN"/>
        </w:rPr>
        <w:t>07</w:t>
      </w:r>
      <w:r>
        <w:rPr>
          <w:rFonts w:hint="eastAsia" w:cs="宋体" w:asciiTheme="minorEastAsia" w:hAnsiTheme="minorEastAsia" w:eastAsiaTheme="minorEastAsia"/>
          <w:b w:val="0"/>
          <w:bCs/>
          <w:color w:val="auto"/>
          <w:sz w:val="24"/>
        </w:rPr>
        <w:t>月</w:t>
      </w:r>
      <w:r>
        <w:rPr>
          <w:rFonts w:hint="eastAsia" w:cs="宋体" w:asciiTheme="minorEastAsia" w:hAnsiTheme="minorEastAsia" w:eastAsiaTheme="minorEastAsia"/>
          <w:b w:val="0"/>
          <w:bCs/>
          <w:color w:val="auto"/>
          <w:sz w:val="24"/>
          <w:lang w:val="en-US" w:eastAsia="zh-CN"/>
        </w:rPr>
        <w:t>25</w:t>
      </w:r>
      <w:r>
        <w:rPr>
          <w:rFonts w:hint="eastAsia" w:cs="宋体" w:asciiTheme="minorEastAsia" w:hAnsiTheme="minorEastAsia" w:eastAsiaTheme="minorEastAsia"/>
          <w:b w:val="0"/>
          <w:bCs/>
          <w:color w:val="auto"/>
          <w:sz w:val="24"/>
        </w:rPr>
        <w:t>日至2023年</w:t>
      </w:r>
      <w:r>
        <w:rPr>
          <w:rFonts w:hint="eastAsia" w:cs="宋体" w:asciiTheme="minorEastAsia" w:hAnsiTheme="minorEastAsia" w:eastAsiaTheme="minorEastAsia"/>
          <w:b w:val="0"/>
          <w:bCs/>
          <w:color w:val="auto"/>
          <w:sz w:val="24"/>
          <w:lang w:val="en-US" w:eastAsia="zh-CN"/>
        </w:rPr>
        <w:t>08</w:t>
      </w:r>
      <w:r>
        <w:rPr>
          <w:rFonts w:hint="eastAsia" w:cs="宋体" w:asciiTheme="minorEastAsia" w:hAnsiTheme="minorEastAsia" w:eastAsiaTheme="minorEastAsia"/>
          <w:b w:val="0"/>
          <w:bCs/>
          <w:color w:val="auto"/>
          <w:sz w:val="24"/>
        </w:rPr>
        <w:t>月</w:t>
      </w:r>
      <w:r>
        <w:rPr>
          <w:rFonts w:hint="eastAsia" w:cs="宋体" w:asciiTheme="minorEastAsia" w:hAnsiTheme="minorEastAsia" w:eastAsiaTheme="minorEastAsia"/>
          <w:b w:val="0"/>
          <w:bCs/>
          <w:color w:val="auto"/>
          <w:sz w:val="24"/>
          <w:lang w:val="en-US" w:eastAsia="zh-CN"/>
        </w:rPr>
        <w:t>02</w:t>
      </w:r>
      <w:r>
        <w:rPr>
          <w:rFonts w:hint="eastAsia" w:cs="宋体" w:asciiTheme="minorEastAsia" w:hAnsiTheme="minorEastAsia" w:eastAsiaTheme="minorEastAsia"/>
          <w:b w:val="0"/>
          <w:bCs/>
          <w:color w:val="auto"/>
          <w:sz w:val="24"/>
        </w:rPr>
        <w:t>日</w:t>
      </w:r>
      <w:r>
        <w:rPr>
          <w:rFonts w:hint="eastAsia" w:cs="宋体" w:asciiTheme="minorEastAsia" w:hAnsiTheme="minorEastAsia" w:eastAsiaTheme="minorEastAsia"/>
          <w:color w:val="auto"/>
          <w:sz w:val="24"/>
        </w:rPr>
        <w:t>，</w:t>
      </w:r>
      <w:r>
        <w:rPr>
          <w:rFonts w:hint="eastAsia" w:ascii="宋体" w:hAnsi="宋体" w:cs="宋体"/>
          <w:color w:val="auto"/>
          <w:sz w:val="24"/>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供应商登录政采云平台https://www.zcygov.cn/在线申请获取</w:t>
      </w:r>
      <w:r>
        <w:rPr>
          <w:rFonts w:hint="eastAsia" w:ascii="宋体" w:hAnsi="宋体" w:cs="宋体"/>
          <w:color w:val="auto"/>
          <w:sz w:val="24"/>
          <w:lang w:eastAsia="zh-CN"/>
        </w:rPr>
        <w:t>招标文件</w:t>
      </w:r>
      <w:r>
        <w:rPr>
          <w:rFonts w:hint="eastAsia" w:ascii="宋体" w:hAnsi="宋体" w:cs="宋体"/>
          <w:color w:val="auto"/>
          <w:sz w:val="24"/>
        </w:rPr>
        <w:t>（进入“项目采购”应用，在获取</w:t>
      </w:r>
      <w:r>
        <w:rPr>
          <w:rFonts w:hint="eastAsia" w:ascii="宋体" w:hAnsi="宋体" w:cs="宋体"/>
          <w:color w:val="auto"/>
          <w:sz w:val="24"/>
          <w:lang w:eastAsia="zh-CN"/>
        </w:rPr>
        <w:t>招标文件</w:t>
      </w:r>
      <w:r>
        <w:rPr>
          <w:rFonts w:hint="eastAsia" w:ascii="宋体" w:hAnsi="宋体" w:cs="宋体"/>
          <w:color w:val="auto"/>
          <w:sz w:val="24"/>
        </w:rPr>
        <w:t>菜单中选择项目，申请获取</w:t>
      </w:r>
      <w:r>
        <w:rPr>
          <w:rFonts w:hint="eastAsia" w:ascii="宋体" w:hAnsi="宋体" w:cs="宋体"/>
          <w:color w:val="auto"/>
          <w:sz w:val="24"/>
          <w:lang w:eastAsia="zh-CN"/>
        </w:rPr>
        <w:t>招标文件</w:t>
      </w:r>
      <w:r>
        <w:rPr>
          <w:rFonts w:hint="eastAsia" w:ascii="宋体" w:hAnsi="宋体" w:cs="宋体"/>
          <w:color w:val="auto"/>
          <w:sz w:val="24"/>
        </w:rPr>
        <w:t xml:space="preserve">）。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rPr>
      </w:pPr>
      <w:r>
        <w:rPr>
          <w:rFonts w:hint="eastAsia" w:ascii="宋体" w:hAnsi="宋体" w:cs="宋体"/>
          <w:b/>
          <w:color w:val="auto"/>
          <w:sz w:val="24"/>
        </w:rPr>
        <w:t>四、提交投标文件截止时间、开标时间和地点</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08</w:t>
      </w:r>
      <w:r>
        <w:rPr>
          <w:rFonts w:hint="eastAsia" w:ascii="宋体" w:hAnsi="宋体" w:cs="宋体"/>
          <w:color w:val="auto"/>
          <w:sz w:val="24"/>
          <w:u w:val="single"/>
        </w:rPr>
        <w:t>月</w:t>
      </w:r>
      <w:r>
        <w:rPr>
          <w:rFonts w:hint="eastAsia" w:ascii="宋体" w:hAnsi="宋体" w:cs="宋体"/>
          <w:color w:val="auto"/>
          <w:sz w:val="24"/>
          <w:u w:val="single"/>
          <w:lang w:val="en-US" w:eastAsia="zh-CN"/>
        </w:rPr>
        <w:t>16</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color w:val="auto"/>
          <w:sz w:val="24"/>
        </w:rPr>
        <w:t>（北京时间）</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
          <w:color w:val="auto"/>
          <w:sz w:val="24"/>
        </w:rPr>
      </w:pPr>
      <w:r>
        <w:rPr>
          <w:rFonts w:hint="eastAsia" w:ascii="宋体" w:hAnsi="宋体" w:cs="宋体"/>
          <w:b/>
          <w:color w:val="auto"/>
          <w:sz w:val="24"/>
        </w:rPr>
        <w:t>投标地点（网址）：</w:t>
      </w:r>
      <w:r>
        <w:rPr>
          <w:rFonts w:hint="eastAsia" w:asciiTheme="minorEastAsia" w:hAnsiTheme="minorEastAsia" w:eastAsiaTheme="minorEastAsia"/>
          <w:color w:val="auto"/>
          <w:sz w:val="24"/>
        </w:rPr>
        <w:t>政府采购云平台（http://www.zcygov.cn/）。</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08</w:t>
      </w:r>
      <w:r>
        <w:rPr>
          <w:rFonts w:hint="eastAsia" w:ascii="宋体" w:hAnsi="宋体" w:cs="宋体"/>
          <w:color w:val="auto"/>
          <w:sz w:val="24"/>
          <w:u w:val="single"/>
        </w:rPr>
        <w:t>月</w:t>
      </w:r>
      <w:r>
        <w:rPr>
          <w:rFonts w:hint="eastAsia" w:ascii="宋体" w:hAnsi="宋体" w:cs="宋体"/>
          <w:color w:val="auto"/>
          <w:sz w:val="24"/>
          <w:u w:val="single"/>
          <w:lang w:val="en-US" w:eastAsia="zh-CN"/>
        </w:rPr>
        <w:t>16</w:t>
      </w:r>
      <w:r>
        <w:rPr>
          <w:rFonts w:hint="eastAsia" w:ascii="宋体" w:hAnsi="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开标地点（网址）：</w:t>
      </w:r>
      <w:r>
        <w:rPr>
          <w:rFonts w:hint="eastAsia" w:asciiTheme="minorEastAsia" w:hAnsiTheme="minorEastAsia" w:eastAsiaTheme="minorEastAsia"/>
          <w:color w:val="auto"/>
          <w:sz w:val="24"/>
        </w:rPr>
        <w:t>政府采购云平台（http://www.zcygov.cn/）。</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rPr>
      </w:pPr>
      <w:r>
        <w:rPr>
          <w:rFonts w:hint="eastAsia" w:ascii="宋体" w:hAnsi="宋体" w:cs="宋体"/>
          <w:b/>
          <w:sz w:val="24"/>
        </w:rPr>
        <w:t xml:space="preserve">五、公告期限 </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自本公告发布之日起5个工作日。</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六、其他补充事宜</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rPr>
      </w:pPr>
      <w:r>
        <w:rPr>
          <w:rFonts w:hint="eastAsia" w:ascii="宋体" w:hAnsi="宋体" w:cs="宋体"/>
          <w:sz w:val="24"/>
        </w:rPr>
        <w:t>4.其他事项：</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rPr>
      </w:pPr>
      <w:r>
        <w:rPr>
          <w:rFonts w:hint="eastAsia" w:ascii="宋体" w:hAnsi="宋体" w:cs="宋体"/>
          <w:sz w:val="24"/>
        </w:rPr>
        <w:t>（1）需要落实的政府采购政策：包括节约资源、保护环境、支持创新、促进中小企业发展等。详见招标文件的第二部分总则。</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rPr>
      </w:pPr>
      <w:r>
        <w:rPr>
          <w:rFonts w:hint="eastAsia" w:ascii="宋体" w:hAnsi="宋体" w:cs="宋体"/>
          <w:sz w:val="24"/>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w:t>
      </w:r>
      <w:r>
        <w:rPr>
          <w:rFonts w:hint="eastAsia" w:ascii="宋体" w:hAnsi="宋体" w:cs="宋体"/>
          <w:sz w:val="24"/>
          <w:lang w:eastAsia="zh-CN"/>
        </w:rPr>
        <w:t>招标文件</w:t>
      </w:r>
      <w:r>
        <w:rPr>
          <w:rFonts w:hint="eastAsia" w:ascii="宋体" w:hAnsi="宋体" w:cs="宋体"/>
          <w:sz w:val="24"/>
        </w:rPr>
        <w:t>菜单中选择项目，获取招标文件；④投标文件的制作</w:t>
      </w:r>
      <w:r>
        <w:rPr>
          <w:rFonts w:hint="eastAsia" w:cs="仿宋_GB2312" w:asciiTheme="minorEastAsia" w:hAnsiTheme="minorEastAsia" w:eastAsiaTheme="minorEastAsia"/>
          <w:sz w:val="24"/>
        </w:rPr>
        <w:t>（文件后缀为：jmbs）</w:t>
      </w:r>
      <w:r>
        <w:rPr>
          <w:rFonts w:hint="eastAsia" w:ascii="宋体" w:hAnsi="宋体" w:cs="宋体"/>
          <w:sz w:val="24"/>
        </w:rPr>
        <w:t>：在“政采云电子交易客户端”中完成“填写基本信息”、“导入投标文件”、“标书关联”、“标书检查”、“电子签名”、“生成电子标书”等操作；⑤采购人、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供应商在投标截止时间前将加密的投标文件上传至政府采购云平台，还可以在投标截止时间前直接提交或者以邮政快递方式递交备份投标文件1份。备份投标文件</w:t>
      </w:r>
      <w:r>
        <w:rPr>
          <w:rFonts w:hint="eastAsia" w:ascii="宋体" w:hAnsi="宋体" w:cs="宋体"/>
          <w:sz w:val="24"/>
          <w:lang w:eastAsia="zh-CN"/>
        </w:rPr>
        <w:t>（文件后缀为：bfbs）</w:t>
      </w:r>
      <w:r>
        <w:rPr>
          <w:rFonts w:hint="eastAsia" w:ascii="宋体" w:hAnsi="宋体" w:cs="宋体"/>
          <w:sz w:val="24"/>
        </w:rPr>
        <w:t>的制作、存储、密封详见招标文件第二部分第15点—“备份投标文件”；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未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rPr>
      </w:pPr>
      <w:r>
        <w:rPr>
          <w:rFonts w:hint="eastAsia" w:ascii="宋体" w:hAnsi="宋体" w:cs="宋体"/>
          <w:sz w:val="24"/>
        </w:rPr>
        <w:t>（3）招标文件公告期限与招标公告的公告期限一致。</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《第一部分  招标公告》中二、申请人的资格要求：第一条中的“重大税收违法案件当事人名单”即为“重大税收违法失信主体”。</w:t>
      </w:r>
      <w:r>
        <w:rPr>
          <w:rFonts w:hint="eastAsia" w:cs="宋体" w:asciiTheme="minorEastAsia" w:hAnsiTheme="minorEastAsia" w:eastAsiaTheme="minorEastAsia"/>
          <w:sz w:val="24"/>
          <w:lang w:val="en-US" w:eastAsia="zh-CN"/>
        </w:rPr>
        <w:br w:type="textWrapping"/>
      </w:r>
      <w:r>
        <w:rPr>
          <w:rFonts w:hint="eastAsia" w:cs="宋体" w:asciiTheme="minorEastAsia" w:hAnsiTheme="minorEastAsia" w:eastAsiaTheme="minorEastAsia"/>
          <w:sz w:val="24"/>
          <w:lang w:val="en-US" w:eastAsia="zh-CN"/>
        </w:rPr>
        <w:t xml:space="preserve">    （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七、对本次采购提出询问、质疑、投诉，请按以下方式联系</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1.采购人信息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名    称：</w:t>
      </w:r>
      <w:r>
        <w:rPr>
          <w:rFonts w:hint="eastAsia" w:ascii="宋体" w:hAnsi="宋体" w:cs="宋体"/>
          <w:sz w:val="24"/>
          <w:lang w:val="en-US" w:eastAsia="zh-CN"/>
        </w:rPr>
        <w:t>宁波市医疗中心李惠利医院</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地    址：宁波市高新区江南路1111号</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传    真：/</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项目联系人（询问）：时老师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项目联系方式（询问）：0574-55835619</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eastAsia="宋体" w:cs="宋体"/>
          <w:sz w:val="24"/>
          <w:lang w:val="en-US" w:eastAsia="zh-CN"/>
        </w:rPr>
      </w:pPr>
      <w:r>
        <w:rPr>
          <w:rFonts w:hint="eastAsia" w:ascii="宋体" w:hAnsi="宋体" w:eastAsia="宋体" w:cs="宋体"/>
          <w:sz w:val="24"/>
          <w:lang w:val="en-US" w:eastAsia="zh-CN"/>
        </w:rPr>
        <w:t>质疑联系人：李老师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质疑联系方式：0574-55835620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2.采购代理机构信息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名    称：宁波中基国际招标有限公司</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地    址：宁波市鄞州区天童南路666号中基大厦19楼</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传    真：0574-87425373</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项目联系人（询问）：周旭坤</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sz w:val="24"/>
          <w:lang w:val="en-US" w:eastAsia="zh-CN"/>
        </w:rPr>
      </w:pPr>
      <w:r>
        <w:rPr>
          <w:rFonts w:hint="eastAsia" w:ascii="宋体" w:hAnsi="宋体" w:cs="宋体"/>
          <w:sz w:val="24"/>
          <w:lang w:val="en-US" w:eastAsia="zh-CN"/>
        </w:rPr>
        <w:t>项目联系方式（询问）：0574-87425380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质疑联系人：王莹巧</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质疑联系方式：0574-87425583</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3.同级政府采购监督管理部门：</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 xml:space="preserve">名    称：宁波市政府采购管理办公室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 xml:space="preserve">地    址：宁波市海曙区中山西路19号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 xml:space="preserve">传    真：/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联系人：李老师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 xml:space="preserve">投诉电话：0574-89388042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rPr>
      </w:pP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lang w:eastAsia="zh-CN"/>
        </w:rPr>
        <w:t>“</w:t>
      </w:r>
      <w:r>
        <w:rPr>
          <w:rFonts w:hint="eastAsia" w:ascii="宋体" w:hAnsi="宋体" w:cs="宋体"/>
          <w:sz w:val="24"/>
          <w:highlight w:val="none"/>
        </w:rPr>
        <w:t>95763</w:t>
      </w:r>
      <w:r>
        <w:rPr>
          <w:rFonts w:hint="eastAsia" w:ascii="宋体" w:hAnsi="宋体" w:cs="宋体"/>
          <w:sz w:val="24"/>
          <w:lang w:eastAsia="zh-CN"/>
        </w:rPr>
        <w:t>”</w:t>
      </w:r>
      <w:r>
        <w:rPr>
          <w:rFonts w:hint="eastAsia" w:ascii="宋体" w:hAnsi="宋体" w:cs="宋体"/>
          <w:sz w:val="24"/>
        </w:rPr>
        <w:t>获取热线服务帮助。</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CA问题联系电话（人工）：汇信CA 400-888-4636；天谷CA 400-087-8198。</w:t>
      </w:r>
    </w:p>
    <w:p>
      <w:pPr>
        <w:pStyle w:val="33"/>
        <w:kinsoku/>
        <w:wordWrap/>
        <w:overflowPunct/>
        <w:topLinePunct w:val="0"/>
        <w:bidi w:val="0"/>
        <w:spacing w:line="360" w:lineRule="auto"/>
        <w:outlineLvl w:val="9"/>
        <w:rPr>
          <w:rFonts w:hAnsi="宋体" w:cs="宋体"/>
          <w:b/>
          <w:sz w:val="36"/>
          <w:szCs w:val="20"/>
        </w:rPr>
      </w:pPr>
    </w:p>
    <w:p>
      <w:pPr>
        <w:tabs>
          <w:tab w:val="left" w:pos="432"/>
        </w:tabs>
        <w:kinsoku/>
        <w:wordWrap/>
        <w:overflowPunct/>
        <w:topLinePunct w:val="0"/>
        <w:bidi w:val="0"/>
        <w:outlineLvl w:val="9"/>
        <w:rPr>
          <w:rFonts w:ascii="宋体"/>
          <w:snapToGrid w:val="0"/>
        </w:rPr>
      </w:pPr>
      <w:r>
        <w:br w:type="page"/>
      </w:r>
    </w:p>
    <w:p>
      <w:pPr>
        <w:kinsoku/>
        <w:wordWrap/>
        <w:overflowPunct/>
        <w:topLinePunct w:val="0"/>
        <w:bidi w:val="0"/>
        <w:adjustRightInd/>
        <w:spacing w:line="360" w:lineRule="auto"/>
        <w:jc w:val="center"/>
        <w:outlineLvl w:val="0"/>
        <w:rPr>
          <w:rFonts w:ascii="宋体" w:hAnsi="宋体" w:cs="宋体"/>
          <w:b/>
          <w:sz w:val="36"/>
          <w:szCs w:val="20"/>
        </w:rPr>
      </w:pPr>
      <w:bookmarkStart w:id="13" w:name="_Toc29691"/>
      <w:r>
        <w:rPr>
          <w:rFonts w:hint="eastAsia" w:ascii="宋体" w:hAnsi="宋体" w:cs="宋体"/>
          <w:b/>
          <w:sz w:val="36"/>
          <w:szCs w:val="20"/>
        </w:rPr>
        <w:t>第二部分</w:t>
      </w:r>
      <w:bookmarkEnd w:id="7"/>
      <w:r>
        <w:rPr>
          <w:rFonts w:hint="eastAsia" w:ascii="宋体" w:hAnsi="宋体" w:cs="宋体"/>
          <w:b/>
          <w:sz w:val="36"/>
          <w:szCs w:val="20"/>
        </w:rPr>
        <w:t xml:space="preserve"> </w:t>
      </w:r>
      <w:r>
        <w:rPr>
          <w:rFonts w:hint="eastAsia" w:ascii="宋体" w:hAnsi="宋体" w:cs="宋体"/>
          <w:b/>
          <w:sz w:val="36"/>
          <w:szCs w:val="20"/>
          <w:lang w:eastAsia="zh-CN"/>
        </w:rPr>
        <w:t>供应商</w:t>
      </w:r>
      <w:r>
        <w:rPr>
          <w:rFonts w:hint="eastAsia" w:ascii="宋体" w:hAnsi="宋体" w:cs="宋体"/>
          <w:b/>
          <w:sz w:val="36"/>
          <w:szCs w:val="20"/>
        </w:rPr>
        <w:t>须知</w:t>
      </w:r>
      <w:bookmarkEnd w:id="8"/>
      <w:bookmarkEnd w:id="13"/>
    </w:p>
    <w:p>
      <w:pPr>
        <w:kinsoku/>
        <w:wordWrap/>
        <w:overflowPunct/>
        <w:topLinePunct w:val="0"/>
        <w:bidi w:val="0"/>
        <w:adjustRightInd/>
        <w:spacing w:line="360" w:lineRule="auto"/>
        <w:ind w:firstLine="3845" w:firstLineChars="1197"/>
        <w:outlineLvl w:val="9"/>
        <w:rPr>
          <w:rFonts w:ascii="宋体" w:hAnsi="宋体" w:cs="宋体"/>
          <w:b/>
          <w:sz w:val="32"/>
          <w:szCs w:val="20"/>
        </w:rPr>
      </w:pPr>
      <w:r>
        <w:rPr>
          <w:rFonts w:hint="eastAsia" w:ascii="宋体" w:hAnsi="宋体" w:cs="宋体"/>
          <w:b/>
          <w:sz w:val="32"/>
          <w:szCs w:val="20"/>
        </w:rPr>
        <w:t>前附表</w:t>
      </w:r>
    </w:p>
    <w:tbl>
      <w:tblPr>
        <w:tblStyle w:val="62"/>
        <w:tblW w:w="90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2799"/>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序号</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事项</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项目属性</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rPr>
            </w:pPr>
            <w:r>
              <w:rPr>
                <w:rFonts w:hint="eastAsia" w:ascii="宋体" w:hAnsi="宋体" w:cs="宋体"/>
                <w:color w:val="auto"/>
                <w:sz w:val="24"/>
                <w:lang w:val="en-US" w:eastAsia="zh-CN"/>
              </w:rPr>
              <w:t>服务类</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2</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采购标的及其对应的中小企业划分标准所属行业</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eastAsia="宋体" w:cs="宋体"/>
                <w:color w:val="auto"/>
                <w:lang w:val="en-US"/>
              </w:rPr>
            </w:pPr>
            <w:r>
              <w:rPr>
                <w:rFonts w:hint="eastAsia" w:ascii="宋体" w:hAnsi="宋体" w:cs="宋体"/>
                <w:color w:val="auto"/>
                <w:kern w:val="0"/>
                <w:sz w:val="24"/>
              </w:rPr>
              <w:t>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人力资源服务外包</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其他未列明行业</w:t>
            </w:r>
            <w:r>
              <w:rPr>
                <w:rFonts w:hint="eastAsia" w:ascii="宋体" w:hAnsi="宋体" w:cs="宋体"/>
                <w:color w:val="auto"/>
                <w:kern w:val="0"/>
                <w:sz w:val="24"/>
                <w:u w:val="single"/>
              </w:rPr>
              <w:t xml:space="preserve"> </w:t>
            </w: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3</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是否允许采购进口产品</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本项目不允许采购进口产品。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4</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分包</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default"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工作分包。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5</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开标前答疑会或现场考察</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6</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样品提供</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w:t>
            </w:r>
            <w:r>
              <w:rPr>
                <w:rFonts w:hint="eastAsia" w:ascii="宋体" w:hAnsi="宋体" w:cs="宋体"/>
                <w:sz w:val="24"/>
                <w:lang w:eastAsia="zh-CN"/>
              </w:rPr>
              <w:t>供应商</w:t>
            </w:r>
            <w:r>
              <w:rPr>
                <w:rFonts w:hint="eastAsia" w:ascii="宋体" w:hAnsi="宋体" w:cs="宋体"/>
                <w:sz w:val="24"/>
              </w:rPr>
              <w:t>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b/>
                <w:sz w:val="24"/>
              </w:rPr>
            </w:pPr>
            <w:r>
              <w:rPr>
                <w:rFonts w:hint="eastAsia" w:ascii="宋体" w:hAnsi="宋体" w:cs="宋体"/>
                <w:sz w:val="24"/>
              </w:rPr>
              <w:t>（7）制作、运输、安装和保管样品所发生的一切费用由</w:t>
            </w:r>
            <w:r>
              <w:rPr>
                <w:rFonts w:hint="eastAsia" w:ascii="宋体" w:hAnsi="宋体" w:cs="宋体"/>
                <w:sz w:val="24"/>
                <w:lang w:eastAsia="zh-CN"/>
              </w:rPr>
              <w:t>供应商</w:t>
            </w:r>
            <w:r>
              <w:rPr>
                <w:rFonts w:hint="eastAsia" w:ascii="宋体" w:hAnsi="宋体" w:cs="宋体"/>
                <w:sz w:val="24"/>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7</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Cs/>
                <w:sz w:val="24"/>
              </w:rPr>
            </w:pPr>
            <w:r>
              <w:rPr>
                <w:rFonts w:hint="eastAsia" w:ascii="宋体" w:hAnsi="宋体" w:cs="宋体"/>
                <w:b/>
                <w:sz w:val="24"/>
              </w:rPr>
              <w:t>方案讲解演示</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（1）在评标时安排每个</w:t>
            </w:r>
            <w:r>
              <w:rPr>
                <w:rFonts w:hint="eastAsia" w:ascii="宋体" w:hAnsi="宋体" w:cs="宋体"/>
                <w:kern w:val="0"/>
                <w:sz w:val="24"/>
                <w:lang w:eastAsia="zh-CN"/>
              </w:rPr>
              <w:t>供应商</w:t>
            </w:r>
            <w:r>
              <w:rPr>
                <w:rFonts w:hint="eastAsia" w:ascii="宋体" w:hAnsi="宋体" w:cs="宋体"/>
                <w:kern w:val="0"/>
                <w:sz w:val="24"/>
              </w:rPr>
              <w:t>进行方案讲解演示。每个</w:t>
            </w:r>
            <w:r>
              <w:rPr>
                <w:rFonts w:hint="eastAsia" w:ascii="宋体" w:hAnsi="宋体" w:cs="宋体"/>
                <w:kern w:val="0"/>
                <w:sz w:val="24"/>
                <w:lang w:eastAsia="zh-CN"/>
              </w:rPr>
              <w:t>供应商</w:t>
            </w:r>
            <w:r>
              <w:rPr>
                <w:rFonts w:hint="eastAsia" w:ascii="宋体" w:hAnsi="宋体" w:cs="宋体"/>
                <w:kern w:val="0"/>
                <w:sz w:val="24"/>
              </w:rPr>
              <w:t>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（2）方案讲解演示可选择以下其中一种方式：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方式一：政采云平台在线讲解演示。政采云平台在线讲解需</w:t>
            </w:r>
            <w:r>
              <w:rPr>
                <w:rFonts w:hint="eastAsia" w:ascii="宋体" w:hAnsi="宋体" w:cs="宋体"/>
                <w:kern w:val="0"/>
                <w:sz w:val="24"/>
                <w:lang w:eastAsia="zh-CN"/>
              </w:rPr>
              <w:t>供应商</w:t>
            </w:r>
            <w:r>
              <w:rPr>
                <w:rFonts w:hint="eastAsia" w:ascii="宋体" w:hAnsi="宋体" w:cs="宋体"/>
                <w:kern w:val="0"/>
                <w:sz w:val="24"/>
              </w:rPr>
              <w:t>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方式二：</w:t>
            </w:r>
            <w:r>
              <w:rPr>
                <w:rFonts w:hint="eastAsia" w:ascii="宋体" w:hAnsi="宋体" w:cs="宋体"/>
                <w:kern w:val="0"/>
                <w:sz w:val="24"/>
                <w:lang w:val="en-US" w:eastAsia="zh-CN"/>
              </w:rPr>
              <w:t>评标</w:t>
            </w:r>
            <w:r>
              <w:rPr>
                <w:rFonts w:hint="eastAsia" w:ascii="宋体" w:hAnsi="宋体" w:cs="宋体"/>
                <w:kern w:val="0"/>
                <w:sz w:val="24"/>
              </w:rPr>
              <w:t>现场讲解演示。现场讲解地点为</w:t>
            </w:r>
            <w:r>
              <w:rPr>
                <w:rFonts w:hint="eastAsia" w:ascii="宋体" w:hAnsi="宋体" w:cs="宋体"/>
                <w:sz w:val="24"/>
                <w:u w:val="single"/>
              </w:rPr>
              <w:t xml:space="preserve"> </w:t>
            </w:r>
            <w:r>
              <w:rPr>
                <w:rFonts w:hint="eastAsia" w:ascii="宋体" w:hAnsi="宋体" w:cs="宋体"/>
                <w:color w:val="FF0000"/>
                <w:sz w:val="24"/>
                <w:u w:val="single"/>
              </w:rPr>
              <w:t xml:space="preserve">     </w:t>
            </w:r>
            <w:r>
              <w:rPr>
                <w:rFonts w:hint="eastAsia" w:ascii="宋体" w:hAnsi="宋体" w:cs="宋体"/>
                <w:sz w:val="24"/>
                <w:u w:val="single"/>
              </w:rPr>
              <w:t xml:space="preserve"> </w:t>
            </w:r>
            <w:r>
              <w:rPr>
                <w:rFonts w:hint="eastAsia" w:ascii="宋体" w:hAnsi="宋体" w:cs="宋体"/>
                <w:kern w:val="0"/>
                <w:sz w:val="24"/>
              </w:rPr>
              <w:t>，讲解演示所用电脑等设备由</w:t>
            </w:r>
            <w:r>
              <w:rPr>
                <w:rFonts w:hint="eastAsia" w:ascii="宋体" w:hAnsi="宋体" w:cs="宋体"/>
                <w:kern w:val="0"/>
                <w:sz w:val="24"/>
                <w:lang w:eastAsia="zh-CN"/>
              </w:rPr>
              <w:t>供应商</w:t>
            </w:r>
            <w:r>
              <w:rPr>
                <w:rFonts w:hint="eastAsia" w:ascii="宋体" w:hAnsi="宋体" w:cs="宋体"/>
                <w:kern w:val="0"/>
                <w:sz w:val="24"/>
              </w:rPr>
              <w:t>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b/>
                <w:kern w:val="0"/>
                <w:sz w:val="24"/>
                <w:lang w:val="zh-CN"/>
              </w:rPr>
            </w:pPr>
            <w:r>
              <w:rPr>
                <w:rFonts w:hint="eastAsia" w:ascii="宋体" w:hAnsi="宋体" w:cs="宋体"/>
                <w:kern w:val="0"/>
                <w:sz w:val="24"/>
              </w:rPr>
              <w:t>注：因</w:t>
            </w:r>
            <w:r>
              <w:rPr>
                <w:rFonts w:hint="eastAsia" w:ascii="宋体" w:hAnsi="宋体" w:cs="宋体"/>
                <w:kern w:val="0"/>
                <w:sz w:val="24"/>
                <w:lang w:eastAsia="zh-CN"/>
              </w:rPr>
              <w:t>供应商</w:t>
            </w:r>
            <w:r>
              <w:rPr>
                <w:rFonts w:hint="eastAsia" w:ascii="宋体" w:hAnsi="宋体" w:cs="宋体"/>
                <w:kern w:val="0"/>
                <w:sz w:val="24"/>
              </w:rPr>
              <w:t>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8</w:t>
            </w:r>
          </w:p>
        </w:tc>
        <w:tc>
          <w:tcPr>
            <w:tcW w:w="279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lang w:eastAsia="zh-CN"/>
              </w:rPr>
              <w:t>供应商</w:t>
            </w:r>
            <w:r>
              <w:rPr>
                <w:rFonts w:hint="eastAsia" w:ascii="宋体" w:hAnsi="宋体" w:cs="宋体"/>
                <w:b/>
                <w:sz w:val="24"/>
              </w:rPr>
              <w:t>应当提供的资格、资信证明文件</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（1）资格证明文件：见招标文件第二部分11.1。</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0"/>
                <w:szCs w:val="21"/>
              </w:rPr>
            </w:pPr>
            <w:r>
              <w:rPr>
                <w:rFonts w:hint="eastAsia" w:ascii="宋体" w:hAnsi="宋体" w:cs="宋体"/>
                <w:kern w:val="0"/>
                <w:sz w:val="24"/>
                <w:lang w:val="zh-CN"/>
              </w:rPr>
              <w:t>供应商未提供有效的资格证明文件的，视为供应商不具备招标文件中规定的资格要求，投标无效。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p>
        </w:tc>
        <w:tc>
          <w:tcPr>
            <w:tcW w:w="279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9</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节能产品、环境标志产品</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10</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报价要求</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w:t>
            </w:r>
            <w:r>
              <w:rPr>
                <w:rFonts w:hint="eastAsia" w:ascii="宋体" w:hAnsi="宋体" w:cs="宋体"/>
                <w:b/>
                <w:bCs/>
                <w:sz w:val="24"/>
                <w:lang w:eastAsia="zh-CN"/>
              </w:rPr>
              <w:t>供应商</w:t>
            </w:r>
            <w:r>
              <w:rPr>
                <w:rFonts w:hint="eastAsia" w:ascii="宋体" w:hAnsi="宋体" w:cs="宋体"/>
                <w:b/>
                <w:bCs/>
                <w:sz w:val="24"/>
              </w:rPr>
              <w:t>在政府采购云平台填写的投标报价与投标文件报价文件中开标一览表（报价表）不一致的，以报价文件中开标一览表（报价表）为准。</w:t>
            </w:r>
            <w:r>
              <w:rPr>
                <w:rFonts w:hint="eastAsia" w:ascii="宋体" w:hAnsi="宋体" w:cs="宋体"/>
                <w:kern w:val="0"/>
                <w:sz w:val="24"/>
                <w:lang w:val="zh-CN"/>
              </w:rPr>
              <w:t>招标文件未列明，而供应商认为必需的费用也需列入报价。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lang w:val="zh-CN"/>
              </w:rPr>
            </w:pPr>
            <w:r>
              <w:rPr>
                <w:rFonts w:hint="eastAsia" w:ascii="宋体" w:hAnsi="宋体" w:cs="宋体"/>
                <w:b/>
                <w:kern w:val="0"/>
                <w:sz w:val="24"/>
                <w:lang w:val="en-US" w:eastAsia="zh-CN"/>
              </w:rPr>
              <w:t>本项目</w:t>
            </w:r>
            <w:r>
              <w:rPr>
                <w:rFonts w:hint="eastAsia" w:ascii="宋体" w:hAnsi="宋体" w:cs="宋体"/>
                <w:b/>
                <w:kern w:val="0"/>
                <w:sz w:val="24"/>
                <w:lang w:val="zh-CN"/>
              </w:rPr>
              <w:t>采用</w:t>
            </w:r>
            <w:r>
              <w:rPr>
                <w:rFonts w:hint="eastAsia" w:ascii="宋体" w:hAnsi="宋体" w:cs="宋体"/>
                <w:b/>
                <w:kern w:val="0"/>
                <w:sz w:val="24"/>
                <w:lang w:val="en-US" w:eastAsia="zh-CN"/>
              </w:rPr>
              <w:t>人民币</w:t>
            </w:r>
            <w:r>
              <w:rPr>
                <w:rFonts w:hint="eastAsia" w:ascii="宋体" w:hAnsi="宋体" w:cs="宋体"/>
                <w:b/>
                <w:kern w:val="0"/>
                <w:sz w:val="24"/>
                <w:lang w:val="zh-CN"/>
              </w:rPr>
              <w:t>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highlight w:val="none"/>
                <w:lang w:val="zh-CN"/>
              </w:rPr>
            </w:pPr>
            <w:r>
              <w:rPr>
                <w:rFonts w:hint="eastAsia" w:ascii="宋体" w:hAnsi="宋体" w:cs="宋体"/>
                <w:b/>
                <w:kern w:val="0"/>
                <w:sz w:val="24"/>
                <w:highlight w:val="none"/>
                <w:lang w:val="zh-CN"/>
              </w:rPr>
              <w:t>供应商须报出每年投标价，投标报价为供应商正确地完全履行采购内容及要求的价格体现，应包括但不限于完成服务所需的人员工资、福利、加班费（含节假日加班）、服装费、体检费、人员保险费、培训费、相关办公设备及用品等一切与本项目有关的所有费用，即完成本项目服务涉及的全部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lang w:val="zh-CN"/>
              </w:rPr>
            </w:pPr>
            <w:r>
              <w:rPr>
                <w:rFonts w:hint="eastAsia" w:ascii="宋体" w:hAnsi="宋体" w:cs="宋体"/>
                <w:b/>
                <w:kern w:val="0"/>
                <w:sz w:val="24"/>
                <w:lang w:val="zh-CN"/>
              </w:rPr>
              <w:t>不论投标结果如何，供应商均应自行承担所有与投标有关的全部费用。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kern w:val="0"/>
                <w:sz w:val="24"/>
                <w:lang w:val="zh-CN"/>
              </w:rPr>
            </w:pPr>
            <w:r>
              <w:rPr>
                <w:rFonts w:hint="eastAsia" w:ascii="宋体" w:hAnsi="宋体" w:cs="宋体"/>
                <w:b/>
                <w:kern w:val="0"/>
                <w:sz w:val="24"/>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eastAsia" w:ascii="宋体" w:hAnsi="宋体" w:eastAsia="宋体" w:cs="宋体"/>
                <w:b/>
                <w:sz w:val="24"/>
                <w:lang w:eastAsia="zh-CN"/>
              </w:rPr>
            </w:pPr>
            <w:r>
              <w:rPr>
                <w:rFonts w:hint="eastAsia" w:ascii="宋体" w:hAnsi="宋体" w:cs="宋体"/>
                <w:b/>
                <w:kern w:val="0"/>
                <w:sz w:val="24"/>
              </w:rPr>
              <w:t>报价明显低于其他通过符合性审查</w:t>
            </w:r>
            <w:r>
              <w:rPr>
                <w:rFonts w:hint="eastAsia" w:ascii="宋体" w:hAnsi="宋体" w:cs="宋体"/>
                <w:b/>
                <w:kern w:val="0"/>
                <w:sz w:val="24"/>
                <w:lang w:eastAsia="zh-CN"/>
              </w:rPr>
              <w:t>供应商</w:t>
            </w:r>
            <w:r>
              <w:rPr>
                <w:rFonts w:hint="eastAsia" w:ascii="宋体" w:hAnsi="宋体" w:cs="宋体"/>
                <w:b/>
                <w:kern w:val="0"/>
                <w:sz w:val="24"/>
              </w:rPr>
              <w:t>的报价，有可能影响产品质量或者不能诚信履约的，未能按要求提供书面说明或者提交相关证明材料证明其报价合理性的</w:t>
            </w:r>
            <w:r>
              <w:rPr>
                <w:rFonts w:hint="eastAsia" w:ascii="宋体" w:hAnsi="宋体" w:cs="宋体"/>
                <w:b/>
                <w:sz w:val="24"/>
                <w:szCs w:val="21"/>
                <w:lang w:eastAsia="zh-CN"/>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default" w:ascii="宋体" w:hAnsi="宋体" w:cs="宋体"/>
                <w:sz w:val="24"/>
              </w:rPr>
            </w:pPr>
            <w:r>
              <w:rPr>
                <w:rFonts w:hint="eastAsia" w:ascii="宋体" w:hAnsi="宋体" w:cs="宋体"/>
                <w:b/>
                <w:kern w:val="0"/>
                <w:sz w:val="24"/>
                <w:lang w:eastAsia="zh-CN"/>
              </w:rPr>
              <w:t>供应商</w:t>
            </w:r>
            <w:r>
              <w:rPr>
                <w:rFonts w:hint="eastAsia" w:ascii="宋体" w:hAnsi="宋体" w:cs="宋体"/>
                <w:b/>
                <w:kern w:val="0"/>
                <w:sz w:val="24"/>
              </w:rPr>
              <w:t>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11</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中小企业信用融资</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480" w:firstLineChars="200"/>
              <w:textAlignment w:val="auto"/>
              <w:outlineLvl w:val="9"/>
              <w:rPr>
                <w:rFonts w:hint="default" w:ascii="宋体" w:hAnsi="宋体" w:cs="宋体"/>
                <w:sz w:val="24"/>
              </w:rPr>
            </w:pPr>
            <w:r>
              <w:rPr>
                <w:rFonts w:hint="eastAsia" w:ascii="宋体" w:hAnsi="宋体" w:cs="宋体"/>
                <w:snapToGrid w:val="0"/>
                <w:kern w:val="28"/>
                <w:sz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12</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 xml:space="preserve">备份投标文件送达地点和签收人员 </w:t>
            </w:r>
          </w:p>
        </w:tc>
        <w:tc>
          <w:tcPr>
            <w:tcW w:w="5640" w:type="dxa"/>
            <w:vAlign w:val="center"/>
          </w:tcPr>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供应商可以准备U盘存储的电子备份投标文件1份，按政府采购云平台要求制作的电子备份投标文件，以用于异常情况处理。</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如提供备份投标文件的，应于投标文件提交（上传）截止时间前，将以U盘存储的电子备份投标文件密封，递交至</w:t>
            </w:r>
            <w:r>
              <w:rPr>
                <w:rFonts w:hint="eastAsia" w:cs="宋体" w:asciiTheme="minorEastAsia" w:hAnsiTheme="minorEastAsia" w:eastAsiaTheme="minorEastAsia"/>
                <w:kern w:val="28"/>
                <w:sz w:val="24"/>
                <w:szCs w:val="24"/>
                <w:u w:val="single"/>
                <w:lang w:val="en-US" w:eastAsia="zh-CN"/>
              </w:rPr>
              <w:t>中基招标会议中心开标室（宁波市鄞州区天童南路666号中基大厦1楼）</w:t>
            </w:r>
            <w:r>
              <w:rPr>
                <w:rFonts w:hint="eastAsia" w:cs="宋体" w:asciiTheme="minorEastAsia" w:hAnsiTheme="minorEastAsia" w:eastAsiaTheme="minorEastAsia"/>
                <w:kern w:val="28"/>
                <w:sz w:val="24"/>
                <w:szCs w:val="24"/>
                <w:lang w:val="en-US" w:eastAsia="zh-CN"/>
              </w:rPr>
              <w:t>，逾期送达或未密封将予以拒收。</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b/>
                <w:bCs/>
                <w:kern w:val="28"/>
                <w:sz w:val="24"/>
                <w:szCs w:val="24"/>
                <w:lang w:val="en-US" w:eastAsia="zh-CN"/>
              </w:rPr>
            </w:pPr>
            <w:r>
              <w:rPr>
                <w:rFonts w:hint="eastAsia" w:cs="宋体" w:asciiTheme="minorEastAsia" w:hAnsiTheme="minorEastAsia" w:eastAsiaTheme="minorEastAsia"/>
                <w:b/>
                <w:bCs/>
                <w:kern w:val="28"/>
                <w:sz w:val="24"/>
                <w:szCs w:val="24"/>
                <w:lang w:val="en-US" w:eastAsia="zh-CN"/>
              </w:rPr>
              <w:t>供应商可采用邮寄（含快递）方式递交备份投标文件。</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各供应商在规定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拟在2023年08月15</w:t>
            </w:r>
            <w:bookmarkStart w:id="531" w:name="_GoBack"/>
            <w:bookmarkEnd w:id="531"/>
            <w:r>
              <w:rPr>
                <w:rFonts w:hint="eastAsia" w:cs="宋体" w:asciiTheme="minorEastAsia" w:hAnsiTheme="minorEastAsia" w:eastAsiaTheme="minorEastAsia"/>
                <w:kern w:val="28"/>
                <w:sz w:val="24"/>
                <w:szCs w:val="24"/>
                <w:lang w:val="en-US" w:eastAsia="zh-CN"/>
              </w:rPr>
              <w:t>日（含）16:00前到件的邮寄地址为：宁波市鄞州区天童南路666号中基大厦19楼业务六部；</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收件人：朱工   联系方式：0574-87425380</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请各供应商确保密封包装在邮寄过程密封包装完好，因邮寄过程的密封破损造成不符合开标要求的，本采购代理及采购人概不负责。</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hAnsi="宋体" w:cs="宋体"/>
                <w:kern w:val="28"/>
                <w:sz w:val="24"/>
              </w:rPr>
            </w:pPr>
            <w:r>
              <w:rPr>
                <w:rFonts w:hint="eastAsia" w:cs="宋体" w:asciiTheme="minorEastAsia" w:hAnsiTheme="minorEastAsia" w:eastAsiaTheme="minorEastAsia"/>
                <w:b/>
                <w:sz w:val="24"/>
                <w:szCs w:val="24"/>
              </w:rPr>
              <w:t>采购人、</w:t>
            </w:r>
            <w:r>
              <w:rPr>
                <w:rFonts w:hint="eastAsia" w:cs="宋体" w:asciiTheme="minorEastAsia" w:hAnsiTheme="minorEastAsia" w:eastAsiaTheme="minorEastAsia"/>
                <w:b/>
                <w:sz w:val="24"/>
                <w:szCs w:val="24"/>
                <w:lang w:eastAsia="zh-CN"/>
              </w:rPr>
              <w:t>采购代理机构</w:t>
            </w:r>
            <w:r>
              <w:rPr>
                <w:rFonts w:hint="eastAsia" w:cs="宋体" w:asciiTheme="minorEastAsia" w:hAnsiTheme="minorEastAsia" w:eastAsiaTheme="minorEastAsia"/>
                <w:b/>
                <w:sz w:val="24"/>
                <w:szCs w:val="24"/>
              </w:rPr>
              <w:t>不强制或变相强制供应商提交备份</w:t>
            </w:r>
            <w:r>
              <w:rPr>
                <w:rFonts w:hint="eastAsia" w:cs="宋体" w:asciiTheme="minorEastAsia" w:hAnsiTheme="minorEastAsia" w:eastAsiaTheme="minorEastAsia"/>
                <w:b/>
                <w:sz w:val="24"/>
                <w:szCs w:val="24"/>
                <w:lang w:eastAsia="zh-CN"/>
              </w:rPr>
              <w:t>投标文件</w:t>
            </w:r>
            <w:r>
              <w:rPr>
                <w:rFonts w:hint="eastAsia" w:cs="宋体"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13</w:t>
            </w:r>
          </w:p>
        </w:tc>
        <w:tc>
          <w:tcPr>
            <w:tcW w:w="279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cs="仿宋_GB2312" w:asciiTheme="minorEastAsia" w:hAnsiTheme="minorEastAsia" w:eastAsiaTheme="minorEastAsia"/>
                <w:b/>
                <w:sz w:val="24"/>
              </w:rPr>
              <w:t>特别说明</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continue"/>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sz w:val="24"/>
              </w:rPr>
            </w:pPr>
          </w:p>
        </w:tc>
        <w:tc>
          <w:tcPr>
            <w:tcW w:w="279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cs="Arial" w:eastAsiaTheme="minorEastAsia"/>
                    <w:kern w:val="0"/>
                    <w:sz w:val="24"/>
                    <w:szCs w:val="24"/>
                    <w:lang w:val="en-US" w:eastAsia="zh-CN" w:bidi="ar-SA"/>
                  </w:rPr>
                  <w:t>☐</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lang w:val="en-US" w:eastAsia="zh-CN"/>
              </w:rPr>
              <w:t>14</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b/>
                <w:kern w:val="2"/>
                <w:sz w:val="24"/>
                <w:szCs w:val="24"/>
                <w:lang w:val="en-US" w:eastAsia="zh-CN" w:bidi="ar-SA"/>
              </w:rPr>
            </w:pPr>
            <w:r>
              <w:rPr>
                <w:rFonts w:hint="eastAsia" w:cs="宋体" w:asciiTheme="minorEastAsia" w:hAnsiTheme="minorEastAsia" w:eastAsiaTheme="minorEastAsia"/>
                <w:b/>
                <w:sz w:val="24"/>
                <w:lang w:val="en-US" w:eastAsia="zh-CN"/>
              </w:rPr>
              <w:t>其他说明</w:t>
            </w:r>
          </w:p>
        </w:tc>
        <w:tc>
          <w:tcPr>
            <w:tcW w:w="5640" w:type="dxa"/>
            <w:vAlign w:val="center"/>
          </w:tcPr>
          <w:p>
            <w:pPr>
              <w:pStyle w:val="21"/>
              <w:keepNext w:val="0"/>
              <w:keepLines w:val="0"/>
              <w:suppressLineNumbers w:val="0"/>
              <w:adjustRightInd/>
              <w:spacing w:before="0" w:beforeLines="0" w:beforeAutospacing="0" w:after="0" w:afterLines="0" w:afterAutospacing="0" w:line="300" w:lineRule="auto"/>
              <w:ind w:left="0" w:right="0"/>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招标代理服务费的收取标准：代理机构按下表中</w:t>
            </w:r>
            <w:r>
              <w:rPr>
                <w:rFonts w:hint="eastAsia" w:cs="Arial" w:asciiTheme="minorEastAsia" w:hAnsiTheme="minorEastAsia" w:eastAsiaTheme="minorEastAsia"/>
                <w:kern w:val="0"/>
                <w:sz w:val="24"/>
                <w:lang w:val="en-US" w:eastAsia="zh-CN"/>
              </w:rPr>
              <w:t>服务</w:t>
            </w:r>
            <w:r>
              <w:rPr>
                <w:rFonts w:hint="eastAsia" w:cs="Arial" w:asciiTheme="minorEastAsia" w:hAnsiTheme="minorEastAsia" w:eastAsiaTheme="minorEastAsia"/>
                <w:kern w:val="0"/>
                <w:sz w:val="24"/>
              </w:rPr>
              <w:t>招标的标准（按差额定率累进法计算），根据</w:t>
            </w:r>
            <w:r>
              <w:rPr>
                <w:rFonts w:hint="eastAsia" w:cs="Arial" w:asciiTheme="minorEastAsia" w:hAnsiTheme="minorEastAsia" w:eastAsiaTheme="minorEastAsia"/>
                <w:kern w:val="0"/>
                <w:sz w:val="24"/>
                <w:lang w:val="en-US" w:eastAsia="zh-CN"/>
              </w:rPr>
              <w:t>中</w:t>
            </w:r>
            <w:r>
              <w:rPr>
                <w:rFonts w:hint="eastAsia" w:cs="Arial" w:asciiTheme="minorEastAsia" w:hAnsiTheme="minorEastAsia" w:eastAsiaTheme="minorEastAsia"/>
                <w:kern w:val="0"/>
                <w:sz w:val="24"/>
              </w:rPr>
              <w:t>标</w:t>
            </w:r>
            <w:r>
              <w:rPr>
                <w:rFonts w:hint="eastAsia" w:cs="Arial" w:asciiTheme="minorEastAsia" w:hAnsiTheme="minorEastAsia" w:eastAsiaTheme="minorEastAsia"/>
                <w:kern w:val="0"/>
                <w:sz w:val="24"/>
                <w:lang w:val="en-US" w:eastAsia="zh-CN"/>
              </w:rPr>
              <w:t>总</w:t>
            </w:r>
            <w:r>
              <w:rPr>
                <w:rFonts w:hint="eastAsia" w:cs="Arial" w:asciiTheme="minorEastAsia" w:hAnsiTheme="minorEastAsia" w:eastAsiaTheme="minorEastAsia"/>
                <w:kern w:val="0"/>
                <w:sz w:val="24"/>
              </w:rPr>
              <w:t>金额，向中标人收取招标代理服务费。</w:t>
            </w:r>
          </w:p>
          <w:tbl>
            <w:tblPr>
              <w:tblStyle w:val="62"/>
              <w:tblW w:w="5478" w:type="dxa"/>
              <w:jc w:val="center"/>
              <w:tblLayout w:type="fixed"/>
              <w:tblCellMar>
                <w:top w:w="15" w:type="dxa"/>
                <w:left w:w="15" w:type="dxa"/>
                <w:bottom w:w="15" w:type="dxa"/>
                <w:right w:w="15" w:type="dxa"/>
              </w:tblCellMar>
            </w:tblPr>
            <w:tblGrid>
              <w:gridCol w:w="1572"/>
              <w:gridCol w:w="1359"/>
              <w:gridCol w:w="1288"/>
              <w:gridCol w:w="1259"/>
            </w:tblGrid>
            <w:tr>
              <w:tblPrEx>
                <w:tblCellMar>
                  <w:top w:w="15" w:type="dxa"/>
                  <w:left w:w="15" w:type="dxa"/>
                  <w:bottom w:w="15" w:type="dxa"/>
                  <w:right w:w="15" w:type="dxa"/>
                </w:tblCellMar>
              </w:tblPrEx>
              <w:trPr>
                <w:trHeight w:val="774" w:hRule="atLeast"/>
                <w:jc w:val="center"/>
              </w:trPr>
              <w:tc>
                <w:tcPr>
                  <w:tcW w:w="1572" w:type="dxa"/>
                  <w:tcBorders>
                    <w:top w:val="single" w:color="auto" w:sz="4" w:space="0"/>
                    <w:left w:val="single" w:color="auto" w:sz="6" w:space="0"/>
                    <w:bottom w:val="single" w:color="auto" w:sz="4" w:space="0"/>
                    <w:right w:val="single" w:color="auto" w:sz="4" w:space="0"/>
                    <w:tl2br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right"/>
                    <w:rPr>
                      <w:rFonts w:hint="eastAsia" w:ascii="宋体" w:hAnsi="宋体" w:eastAsia="宋体" w:cs="宋体"/>
                    </w:rPr>
                  </w:pPr>
                  <w:r>
                    <w:rPr>
                      <w:rFonts w:hint="eastAsia" w:ascii="宋体" w:hAnsi="宋体" w:eastAsia="宋体" w:cs="宋体"/>
                    </w:rPr>
                    <w:t>服费类型</w:t>
                  </w:r>
                </w:p>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金额（万元）</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货物招标</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服务招标</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工程招标</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100以下</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1.0%</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100-500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1.1%</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0.8%</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0.7%</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500-1000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0.8%</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0.45%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0.55%</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1000-5000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0.25%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0.35%</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5000-10000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0.25%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0.1%</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0.2%</w:t>
                  </w:r>
                </w:p>
              </w:tc>
            </w:tr>
            <w:tr>
              <w:tblPrEx>
                <w:tblCellMar>
                  <w:top w:w="15" w:type="dxa"/>
                  <w:left w:w="15" w:type="dxa"/>
                  <w:bottom w:w="15" w:type="dxa"/>
                  <w:right w:w="15" w:type="dxa"/>
                </w:tblCellMar>
              </w:tblPrEx>
              <w:trPr>
                <w:trHeight w:val="473"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1亿～5亿</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0.05%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0.05%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0.05%</w:t>
                  </w:r>
                </w:p>
              </w:tc>
            </w:tr>
          </w:tbl>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关于本次采购的服务费汇入以下账户：</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开户银行： 宁波银行科技支行</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账    号： 31010122000005488</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户    名： 宁波中基国际招标有限公司</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eastAsiaTheme="minorEastAsia"/>
                <w:kern w:val="0"/>
                <w:sz w:val="24"/>
                <w:lang w:val="en-US" w:eastAsia="zh-CN"/>
              </w:rPr>
              <w:t>注：中标人</w:t>
            </w:r>
            <w:r>
              <w:rPr>
                <w:rFonts w:hint="eastAsia" w:cs="Arial" w:asciiTheme="minorEastAsia" w:hAnsiTheme="minorEastAsia" w:eastAsiaTheme="minorEastAsia"/>
                <w:kern w:val="0"/>
                <w:sz w:val="24"/>
              </w:rPr>
              <w:t>接到本公司通知后5个工作日内向本采购代理机构领取</w:t>
            </w:r>
            <w:r>
              <w:rPr>
                <w:rFonts w:hint="eastAsia" w:cs="Arial" w:asciiTheme="minorEastAsia" w:hAnsiTheme="minorEastAsia" w:eastAsiaTheme="minorEastAsia"/>
                <w:kern w:val="0"/>
                <w:sz w:val="24"/>
                <w:lang w:val="en-US" w:eastAsia="zh-CN"/>
              </w:rPr>
              <w:t>中标</w:t>
            </w:r>
            <w:r>
              <w:rPr>
                <w:rFonts w:hint="eastAsia" w:cs="Arial" w:asciiTheme="minorEastAsia" w:hAnsiTheme="minorEastAsia" w:eastAsiaTheme="minorEastAsia"/>
                <w:kern w:val="0"/>
                <w:sz w:val="24"/>
              </w:rPr>
              <w:t>通知书（根据</w:t>
            </w:r>
            <w:r>
              <w:rPr>
                <w:rFonts w:hint="eastAsia" w:cs="Arial" w:asciiTheme="minorEastAsia" w:hAnsiTheme="minorEastAsia" w:eastAsiaTheme="minorEastAsia"/>
                <w:kern w:val="0"/>
                <w:sz w:val="24"/>
                <w:lang w:val="en-US" w:eastAsia="zh-CN"/>
              </w:rPr>
              <w:t>中标人</w:t>
            </w:r>
            <w:r>
              <w:rPr>
                <w:rFonts w:hint="eastAsia" w:cs="Arial" w:asciiTheme="minorEastAsia" w:hAnsiTheme="minorEastAsia" w:eastAsiaTheme="minorEastAsia"/>
                <w:kern w:val="0"/>
                <w:sz w:val="24"/>
              </w:rPr>
              <w:t>需求可采用邮寄或到采购代理机构现场领取）。</w:t>
            </w:r>
          </w:p>
        </w:tc>
      </w:tr>
      <w:bookmarkEnd w:id="9"/>
    </w:tbl>
    <w:p>
      <w:pPr>
        <w:kinsoku/>
        <w:wordWrap/>
        <w:overflowPunct/>
        <w:topLinePunct w:val="0"/>
        <w:bidi w:val="0"/>
        <w:outlineLvl w:val="9"/>
        <w:rPr>
          <w:rFonts w:hint="eastAsia" w:ascii="宋体" w:hAnsi="宋体" w:cs="宋体"/>
          <w:b/>
          <w:sz w:val="32"/>
          <w:szCs w:val="20"/>
        </w:rPr>
      </w:pPr>
      <w:bookmarkStart w:id="14" w:name="_Toc164416483"/>
      <w:bookmarkStart w:id="15" w:name="第三部分"/>
      <w:r>
        <w:rPr>
          <w:rFonts w:hint="eastAsia" w:ascii="宋体" w:hAnsi="宋体" w:cs="宋体"/>
          <w:b/>
          <w:sz w:val="32"/>
          <w:szCs w:val="20"/>
        </w:rPr>
        <w:br w:type="page"/>
      </w:r>
    </w:p>
    <w:p>
      <w:pPr>
        <w:pageBreakBefore w:val="0"/>
        <w:shd w:val="clear"/>
        <w:kinsoku/>
        <w:wordWrap/>
        <w:overflowPunct/>
        <w:topLinePunct w:val="0"/>
        <w:bidi w:val="0"/>
        <w:adjustRightInd/>
        <w:spacing w:beforeAutospacing="0" w:line="348" w:lineRule="auto"/>
        <w:ind w:firstLine="3845" w:firstLineChars="1197"/>
        <w:textAlignment w:val="auto"/>
        <w:outlineLvl w:val="9"/>
        <w:rPr>
          <w:rFonts w:ascii="宋体" w:hAnsi="宋体" w:cs="宋体"/>
          <w:b/>
          <w:sz w:val="32"/>
          <w:szCs w:val="20"/>
        </w:rPr>
      </w:pPr>
      <w:r>
        <w:rPr>
          <w:rFonts w:hint="eastAsia" w:ascii="宋体" w:hAnsi="宋体" w:cs="宋体"/>
          <w:b/>
          <w:sz w:val="32"/>
          <w:szCs w:val="20"/>
        </w:rPr>
        <w:t>一、总则</w:t>
      </w:r>
    </w:p>
    <w:p>
      <w:pPr>
        <w:keepNext w:val="0"/>
        <w:keepLines w:val="0"/>
        <w:pageBreakBefore w:val="0"/>
        <w:shd w:val="clear"/>
        <w:kinsoku/>
        <w:wordWrap/>
        <w:overflowPunct/>
        <w:topLinePunct w:val="0"/>
        <w:bidi w:val="0"/>
        <w:snapToGrid w:val="0"/>
        <w:spacing w:beforeAutospacing="0" w:line="348" w:lineRule="auto"/>
        <w:ind w:firstLine="361" w:firstLineChars="150"/>
        <w:jc w:val="left"/>
        <w:textAlignment w:val="auto"/>
        <w:outlineLvl w:val="9"/>
        <w:rPr>
          <w:rFonts w:ascii="宋体" w:hAnsi="宋体" w:cs="宋体"/>
          <w:b/>
          <w:sz w:val="24"/>
        </w:rPr>
      </w:pPr>
      <w:r>
        <w:rPr>
          <w:rFonts w:hint="eastAsia" w:ascii="宋体" w:hAnsi="宋体" w:cs="宋体"/>
          <w:b/>
          <w:sz w:val="24"/>
        </w:rPr>
        <w:t>1. 适用范围</w:t>
      </w:r>
    </w:p>
    <w:p>
      <w:pPr>
        <w:keepNext w:val="0"/>
        <w:keepLines w:val="0"/>
        <w:pageBreakBefore w:val="0"/>
        <w:shd w:val="clear"/>
        <w:kinsoku/>
        <w:wordWrap/>
        <w:overflowPunct/>
        <w:topLinePunct w:val="0"/>
        <w:bidi w:val="0"/>
        <w:snapToGrid w:val="0"/>
        <w:spacing w:beforeAutospacing="0" w:line="348" w:lineRule="auto"/>
        <w:ind w:firstLine="480" w:firstLineChars="200"/>
        <w:jc w:val="left"/>
        <w:textAlignment w:val="auto"/>
        <w:outlineLvl w:val="9"/>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keepNext w:val="0"/>
        <w:keepLines w:val="0"/>
        <w:pageBreakBefore w:val="0"/>
        <w:shd w:val="clear"/>
        <w:kinsoku/>
        <w:wordWrap/>
        <w:overflowPunct/>
        <w:topLinePunct w:val="0"/>
        <w:bidi w:val="0"/>
        <w:adjustRightInd/>
        <w:spacing w:beforeAutospacing="0" w:line="348" w:lineRule="auto"/>
        <w:textAlignment w:val="auto"/>
        <w:outlineLvl w:val="9"/>
        <w:rPr>
          <w:rFonts w:ascii="宋体" w:hAnsi="宋体" w:cs="宋体"/>
          <w:b/>
          <w:sz w:val="24"/>
        </w:rPr>
      </w:pPr>
      <w:r>
        <w:rPr>
          <w:rFonts w:hint="eastAsia" w:ascii="宋体" w:hAnsi="宋体" w:cs="宋体"/>
          <w:b/>
          <w:sz w:val="24"/>
        </w:rPr>
        <w:t xml:space="preserve">   2.定义</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2.1 “采购人”系指招标公告中载明的本项目的采购人。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2.3 “</w:t>
      </w:r>
      <w:r>
        <w:rPr>
          <w:rFonts w:hint="eastAsia" w:ascii="宋体" w:hAnsi="宋体" w:cs="宋体"/>
          <w:sz w:val="24"/>
          <w:lang w:eastAsia="zh-CN"/>
        </w:rPr>
        <w:t>供应商</w:t>
      </w:r>
      <w:r>
        <w:rPr>
          <w:rFonts w:hint="eastAsia" w:ascii="宋体" w:hAnsi="宋体" w:cs="宋体"/>
          <w:sz w:val="24"/>
        </w:rPr>
        <w:t>”系指是指响应招标、参加投标竞争的法人、其他组织或者自然人。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2.7 “</w:t>
      </w:r>
      <w:r>
        <w:rPr>
          <w:rFonts w:hint="eastAsia" w:ascii="宋体" w:hAnsi="宋体" w:cs="宋体"/>
          <w:sz w:val="24"/>
          <w:lang w:eastAsia="zh-CN"/>
        </w:rPr>
        <w:t>★</w:t>
      </w:r>
      <w:r>
        <w:rPr>
          <w:rFonts w:hint="eastAsia" w:ascii="宋体" w:hAnsi="宋体" w:cs="宋体"/>
          <w:sz w:val="24"/>
        </w:rPr>
        <w:t>”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keepNext w:val="0"/>
        <w:keepLines w:val="0"/>
        <w:pageBreakBefore w:val="0"/>
        <w:shd w:val="clear"/>
        <w:kinsoku/>
        <w:wordWrap/>
        <w:overflowPunct/>
        <w:topLinePunct w:val="0"/>
        <w:bidi w:val="0"/>
        <w:spacing w:beforeAutospacing="0" w:line="348" w:lineRule="auto"/>
        <w:ind w:firstLine="241" w:firstLineChars="100"/>
        <w:textAlignment w:val="auto"/>
        <w:outlineLvl w:val="9"/>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3.2 支持绿色发展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sz w:val="24"/>
          <w:lang w:eastAsia="zh-CN"/>
        </w:rPr>
        <w:t>供应商</w:t>
      </w:r>
      <w:r>
        <w:rPr>
          <w:rFonts w:hint="eastAsia" w:ascii="宋体" w:hAnsi="宋体" w:cs="宋体"/>
          <w:sz w:val="24"/>
        </w:rPr>
        <w:t>须按招标文件要求提供相关产品认证证书。</w:t>
      </w:r>
      <w:r>
        <w:rPr>
          <w:rFonts w:hint="eastAsia" w:ascii="宋体" w:hAnsi="宋体" w:cs="宋体"/>
          <w:b/>
          <w:sz w:val="24"/>
          <w:lang w:eastAsia="zh-CN"/>
        </w:rPr>
        <w:t>★</w:t>
      </w:r>
      <w:r>
        <w:rPr>
          <w:rFonts w:hint="eastAsia" w:ascii="宋体" w:hAnsi="宋体" w:cs="宋体"/>
          <w:b/>
          <w:sz w:val="24"/>
        </w:rPr>
        <w:t>采购人拟采购的产品属于政府强制采购的节能产品品目清单范围的，</w:t>
      </w:r>
      <w:r>
        <w:rPr>
          <w:rFonts w:hint="eastAsia" w:ascii="宋体" w:hAnsi="宋体" w:cs="宋体"/>
          <w:b/>
          <w:sz w:val="24"/>
          <w:lang w:eastAsia="zh-CN"/>
        </w:rPr>
        <w:t>供应商</w:t>
      </w:r>
      <w:r>
        <w:rPr>
          <w:rFonts w:hint="eastAsia" w:ascii="宋体" w:hAnsi="宋体" w:cs="宋体"/>
          <w:b/>
          <w:sz w:val="24"/>
        </w:rPr>
        <w:t>相应的投标产品未获得国家确定的认证机构出具的、处于有效期之内的节能产品认证证书的，投标无效。</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3.2.2纳入政府采购管理的修缮、装修类项目采购建材的，鼓励采购单位将绿色建材性能、指标等作为实质性条件纳入</w:t>
      </w:r>
      <w:r>
        <w:rPr>
          <w:rFonts w:hint="eastAsia" w:ascii="宋体" w:hAnsi="宋体" w:cs="宋体"/>
          <w:sz w:val="24"/>
          <w:lang w:eastAsia="zh-CN"/>
        </w:rPr>
        <w:t>招标文件</w:t>
      </w:r>
      <w:r>
        <w:rPr>
          <w:rFonts w:hint="eastAsia" w:ascii="宋体" w:hAnsi="宋体" w:cs="宋体"/>
          <w:sz w:val="24"/>
        </w:rPr>
        <w:t>和合同，具体性能指标要求参考相关绿色建材政府采购需求标准。</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6"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3.2.4鼓励供应商在参加政府采购过程中开展绿色设计、选择绿色材料、打造绿色制造工艺、开展绿色运输、做好废弃产品回收处理，实现产品全周期的绿色环保。鼓励采购单位对其提高预付款比例、免收履约保证金。</w:t>
      </w:r>
      <w:bookmarkEnd w:id="16"/>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3.3支持中小企业发展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符合中小企业划分标准的个体工商户，在政府采购活动中视同中小企业。</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w:t>
      </w:r>
      <w:r>
        <w:rPr>
          <w:rFonts w:hint="eastAsia" w:ascii="宋体" w:hAnsi="宋体" w:cs="宋体"/>
          <w:kern w:val="0"/>
          <w:sz w:val="24"/>
          <w:lang w:eastAsia="zh-CN"/>
        </w:rPr>
        <w:t>供应商</w:t>
      </w:r>
      <w:r>
        <w:rPr>
          <w:rFonts w:hint="eastAsia" w:ascii="宋体" w:hAnsi="宋体" w:cs="宋体"/>
          <w:kern w:val="0"/>
          <w:sz w:val="24"/>
        </w:rPr>
        <w:t>提供的货物符合下列情形的，享受中小企业扶持政策：在货物采购项目中，货物由中小企业制造，即货物由中小企业生产且使用该中小企业商号或者注册商标；在货物采购项目中，</w:t>
      </w:r>
      <w:r>
        <w:rPr>
          <w:rFonts w:hint="eastAsia" w:ascii="宋体" w:hAnsi="宋体" w:cs="宋体"/>
          <w:kern w:val="0"/>
          <w:sz w:val="24"/>
          <w:lang w:eastAsia="zh-CN"/>
        </w:rPr>
        <w:t>供应商</w:t>
      </w:r>
      <w:r>
        <w:rPr>
          <w:rFonts w:hint="eastAsia" w:ascii="宋体" w:hAnsi="宋体" w:cs="宋体"/>
          <w:kern w:val="0"/>
          <w:sz w:val="24"/>
        </w:rPr>
        <w:t>提供的货物既有中小企业制造货物，也有大型企业制造货物的，不享受中小企业扶持政策。</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7" w:name="_Hlk101132181"/>
      <w:r>
        <w:rPr>
          <w:rFonts w:hint="eastAsia" w:ascii="宋体" w:hAnsi="宋体" w:cs="宋体"/>
          <w:sz w:val="24"/>
        </w:rPr>
        <w:t>联合协议或者分包意向协议约定小微企业的合同份额占到合同总金额30%以上的</w:t>
      </w:r>
      <w:bookmarkEnd w:id="17"/>
      <w:r>
        <w:rPr>
          <w:rFonts w:hint="eastAsia" w:ascii="宋体" w:hAnsi="宋体" w:cs="宋体"/>
          <w:sz w:val="24"/>
        </w:rPr>
        <w:t>，对联合体或者大中型企业的报价给予4%的扣除，用扣除后的价格参加评审。组成联合体或者接受分包的小微企业与联合体内其他企业、分包企业之间存在直接控股、管理关系的，不享受价格扣除优惠政策。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3.3.6可享受中小企业扶持政策的</w:t>
      </w:r>
      <w:r>
        <w:rPr>
          <w:rFonts w:hint="eastAsia" w:ascii="宋体" w:hAnsi="宋体" w:cs="宋体"/>
          <w:sz w:val="24"/>
          <w:lang w:eastAsia="zh-CN"/>
        </w:rPr>
        <w:t>供应商</w:t>
      </w:r>
      <w:r>
        <w:rPr>
          <w:rFonts w:hint="eastAsia" w:ascii="宋体" w:hAnsi="宋体" w:cs="宋体"/>
          <w:sz w:val="24"/>
        </w:rPr>
        <w:t>应按照招标文件格式要求提供《中小企业声明函》，</w:t>
      </w:r>
      <w:r>
        <w:rPr>
          <w:rFonts w:hint="eastAsia" w:ascii="宋体" w:hAnsi="宋体" w:cs="宋体"/>
          <w:sz w:val="24"/>
          <w:lang w:eastAsia="zh-CN"/>
        </w:rPr>
        <w:t>供应商</w:t>
      </w:r>
      <w:r>
        <w:rPr>
          <w:rFonts w:hint="eastAsia" w:ascii="宋体" w:hAnsi="宋体" w:cs="宋体"/>
          <w:sz w:val="24"/>
        </w:rPr>
        <w:t>提供的《中小企业声明函》与实际情况不符的，不享受中小企业扶持政策。声明内容不实的，属于提供虚假材料谋取中标、成交的，依法承担法律责任。</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3.4.1 采购人优先采购被认定为首台套产品和“制造精品”的自主创新产品。</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3.5平等对待内外资企业和符合条件的破产重整企业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eastAsia="宋体" w:cs="宋体"/>
          <w:b/>
          <w:sz w:val="24"/>
        </w:rPr>
        <w:t>4. 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lang w:val="zh-CN"/>
        </w:rPr>
      </w:pPr>
      <w:r>
        <w:rPr>
          <w:rFonts w:hint="eastAsia"/>
          <w:lang w:val="zh-CN"/>
        </w:rPr>
        <w:t>4.1在线询问、质疑、投诉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kern w:val="0"/>
          <w:sz w:val="24"/>
          <w:lang w:val="zh-CN"/>
        </w:rPr>
      </w:pPr>
      <w:r>
        <w:rPr>
          <w:rFonts w:hint="eastAsia" w:ascii="宋体" w:hAnsi="宋体" w:cs="宋体"/>
          <w:kern w:val="0"/>
          <w:sz w:val="24"/>
          <w:lang w:val="zh-CN"/>
        </w:rPr>
        <w:t>4.2供应商询问</w:t>
      </w:r>
    </w:p>
    <w:p>
      <w:pPr>
        <w:keepNext w:val="0"/>
        <w:keepLines w:val="0"/>
        <w:pageBreakBefore w:val="0"/>
        <w:shd w:val="clear"/>
        <w:kinsoku/>
        <w:wordWrap/>
        <w:overflowPunct/>
        <w:topLinePunct w:val="0"/>
        <w:autoSpaceDE w:val="0"/>
        <w:autoSpaceDN w:val="0"/>
        <w:bidi w:val="0"/>
        <w:spacing w:beforeAutospacing="0" w:line="348" w:lineRule="auto"/>
        <w:ind w:firstLine="480" w:firstLineChars="200"/>
        <w:jc w:val="left"/>
        <w:textAlignment w:val="auto"/>
        <w:outlineLvl w:val="9"/>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kern w:val="0"/>
          <w:sz w:val="24"/>
          <w:lang w:val="zh-CN"/>
        </w:rPr>
      </w:pPr>
      <w:r>
        <w:rPr>
          <w:rFonts w:hint="eastAsia" w:ascii="宋体" w:hAnsi="宋体" w:cs="宋体"/>
          <w:kern w:val="0"/>
          <w:sz w:val="24"/>
          <w:lang w:val="zh-CN"/>
        </w:rPr>
        <w:t>4.3供应商质疑</w:t>
      </w:r>
    </w:p>
    <w:p>
      <w:pPr>
        <w:pStyle w:val="3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7"/>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keepNext w:val="0"/>
        <w:keepLines w:val="0"/>
        <w:pageBreakBefore w:val="0"/>
        <w:shd w:val="clear"/>
        <w:kinsoku/>
        <w:wordWrap/>
        <w:overflowPunct/>
        <w:topLinePunct w:val="0"/>
        <w:bidi w:val="0"/>
        <w:spacing w:beforeAutospacing="0" w:line="348" w:lineRule="auto"/>
        <w:ind w:left="479" w:leftChars="228"/>
        <w:textAlignment w:val="auto"/>
        <w:outlineLvl w:val="9"/>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4.3.3.2质疑项目的名称、编号；</w:t>
      </w:r>
    </w:p>
    <w:p>
      <w:pPr>
        <w:pStyle w:val="3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4.3.3.4事实依据；</w:t>
      </w:r>
    </w:p>
    <w:p>
      <w:pPr>
        <w:pStyle w:val="3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4.3.3.5必要的法律依据；</w:t>
      </w:r>
    </w:p>
    <w:p>
      <w:pPr>
        <w:pStyle w:val="33"/>
        <w:keepNext w:val="0"/>
        <w:keepLines w:val="0"/>
        <w:pageBreakBefore w:val="0"/>
        <w:shd w:val="clear"/>
        <w:kinsoku/>
        <w:wordWrap/>
        <w:overflowPunct/>
        <w:topLinePunct w:val="0"/>
        <w:bidi w:val="0"/>
        <w:spacing w:beforeAutospacing="0" w:line="348" w:lineRule="auto"/>
        <w:ind w:firstLine="960" w:firstLineChars="400"/>
        <w:textAlignment w:val="auto"/>
        <w:outlineLvl w:val="9"/>
        <w:rPr>
          <w:rFonts w:hAnsi="宋体" w:cs="宋体"/>
          <w:kern w:val="0"/>
          <w:sz w:val="24"/>
          <w:lang w:val="zh-CN"/>
        </w:rPr>
      </w:pPr>
      <w:r>
        <w:rPr>
          <w:rFonts w:hint="eastAsia" w:hAnsi="宋体" w:cs="宋体"/>
          <w:kern w:val="0"/>
          <w:sz w:val="24"/>
          <w:lang w:val="zh-CN"/>
        </w:rPr>
        <w:t>4.3.3.6提出质疑的日期。</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质疑函范本及制作说明详见附件2。</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4.3.4对同一采购程序环节的质疑，供应商须在法定质疑期内一次性提出。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rPr>
        <w:t>根据《</w:t>
      </w:r>
      <w:r>
        <w:rPr>
          <w:rFonts w:hint="eastAsia" w:asciiTheme="minorEastAsia" w:hAnsiTheme="minorEastAsia" w:eastAsiaTheme="minorEastAsia"/>
          <w:color w:val="auto"/>
          <w:sz w:val="24"/>
          <w:lang w:val="en-US" w:eastAsia="zh-CN"/>
        </w:rPr>
        <w:t>浙江省财政厅</w:t>
      </w:r>
      <w:r>
        <w:rPr>
          <w:rFonts w:hint="eastAsia" w:asciiTheme="minorEastAsia" w:hAnsiTheme="minorEastAsia" w:eastAsiaTheme="minorEastAsia"/>
          <w:color w:val="auto"/>
          <w:sz w:val="24"/>
        </w:rPr>
        <w:t>关于进一步加强政府采购公</w:t>
      </w:r>
      <w:r>
        <w:rPr>
          <w:rFonts w:hint="eastAsia" w:asciiTheme="minorEastAsia" w:hAnsiTheme="minorEastAsia" w:eastAsiaTheme="minorEastAsia"/>
          <w:color w:val="auto"/>
          <w:sz w:val="24"/>
          <w:lang w:val="en-US" w:eastAsia="zh-CN"/>
        </w:rPr>
        <w:t>平竞争打造最</w:t>
      </w:r>
      <w:r>
        <w:rPr>
          <w:rFonts w:hint="eastAsia" w:asciiTheme="minorEastAsia" w:hAnsiTheme="minorEastAsia" w:eastAsiaTheme="minorEastAsia"/>
          <w:color w:val="auto"/>
          <w:sz w:val="24"/>
        </w:rPr>
        <w:t>优营商环境的通知》（</w:t>
      </w:r>
      <w:r>
        <w:rPr>
          <w:rFonts w:hint="eastAsia" w:asciiTheme="minorEastAsia" w:hAnsiTheme="minorEastAsia" w:eastAsiaTheme="minorEastAsia"/>
          <w:color w:val="auto"/>
          <w:sz w:val="24"/>
          <w:lang w:val="en-US" w:eastAsia="zh-CN"/>
        </w:rPr>
        <w:t>浙</w:t>
      </w:r>
      <w:r>
        <w:rPr>
          <w:rFonts w:hint="eastAsia" w:asciiTheme="minorEastAsia" w:hAnsiTheme="minorEastAsia" w:eastAsiaTheme="minorEastAsia"/>
          <w:color w:val="auto"/>
          <w:sz w:val="24"/>
        </w:rPr>
        <w:t>财采监〔</w:t>
      </w:r>
      <w:r>
        <w:rPr>
          <w:rFonts w:asciiTheme="minorEastAsia" w:hAnsiTheme="minorEastAsia" w:eastAsiaTheme="minorEastAsia"/>
          <w:color w:val="auto"/>
          <w:sz w:val="24"/>
        </w:rPr>
        <w:t>2021〕</w:t>
      </w:r>
      <w:r>
        <w:rPr>
          <w:rFonts w:hint="eastAsia" w:asciiTheme="minorEastAsia" w:hAnsiTheme="minorEastAsia" w:eastAsiaTheme="minorEastAsia"/>
          <w:color w:val="auto"/>
          <w:sz w:val="24"/>
          <w:lang w:val="en-US" w:eastAsia="zh-CN"/>
        </w:rPr>
        <w:t>22</w:t>
      </w:r>
      <w:r>
        <w:rPr>
          <w:rFonts w:asciiTheme="minorEastAsia" w:hAnsiTheme="minorEastAsia" w:eastAsiaTheme="minorEastAsia"/>
          <w:color w:val="auto"/>
          <w:sz w:val="24"/>
        </w:rPr>
        <w:t>号）</w:t>
      </w:r>
      <w:r>
        <w:rPr>
          <w:rFonts w:hint="eastAsia"/>
          <w:color w:val="auto"/>
        </w:rPr>
        <w:t>,采购人或者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lang w:val="zh-CN"/>
        </w:rPr>
        <w:t>4.3</w:t>
      </w:r>
      <w:r>
        <w:rPr>
          <w:rFonts w:hint="eastAsia"/>
        </w:rPr>
        <w:t>.6询问或者质疑事项可能影响采购结果的，采购人应当暂停签订合同，已经签订合同的，应当中止履行合同。</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lang w:val="zh-CN"/>
        </w:rPr>
      </w:pPr>
      <w:r>
        <w:rPr>
          <w:rFonts w:hint="eastAsia"/>
          <w:lang w:val="zh-CN"/>
        </w:rPr>
        <w:t>4.4供应商投诉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4.4.3供应商投诉应当有明确的请求和必要的证明材料。</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4.4.4以联合体形式参加政府采购活动的，其投诉应当由组成联合体的所有供应商共同提出。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pPr>
      <w:r>
        <w:rPr>
          <w:rFonts w:hint="eastAsia"/>
        </w:rPr>
        <w:t>4.4.5投诉材料</w:t>
      </w:r>
      <w:r>
        <w:rPr>
          <w:rFonts w:hint="eastAsia" w:ascii="宋体" w:hAnsi="Courier New"/>
          <w:sz w:val="24"/>
          <w:szCs w:val="24"/>
          <w:highlight w:val="none"/>
        </w:rPr>
        <w:t>寄送</w:t>
      </w:r>
      <w:r>
        <w:rPr>
          <w:rFonts w:hint="eastAsia"/>
          <w:sz w:val="24"/>
          <w:szCs w:val="24"/>
          <w:highlight w:val="none"/>
          <w:lang w:val="en-US" w:eastAsia="zh-CN"/>
        </w:rPr>
        <w:t>相关信息详见《第一部分  招标公告》。</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投诉书范本及制作说明详见附件3。</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sz w:val="32"/>
          <w:szCs w:val="20"/>
        </w:rPr>
      </w:pPr>
      <w:r>
        <w:rPr>
          <w:rFonts w:hint="eastAsia" w:ascii="宋体" w:hAnsi="宋体" w:cs="宋体"/>
          <w:b/>
          <w:sz w:val="32"/>
          <w:szCs w:val="20"/>
        </w:rPr>
        <w:t>二、招标文件的构成、澄清、修改</w:t>
      </w:r>
    </w:p>
    <w:p>
      <w:pPr>
        <w:pStyle w:val="33"/>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5．招标文件的构成</w:t>
      </w:r>
    </w:p>
    <w:p>
      <w:pPr>
        <w:pStyle w:val="33"/>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rPr>
      </w:pPr>
      <w:r>
        <w:rPr>
          <w:rFonts w:hint="eastAsia" w:hAnsi="宋体" w:cs="宋体"/>
          <w:sz w:val="24"/>
          <w:szCs w:val="24"/>
        </w:rPr>
        <w:t>5.1 招标文件包括下列文件及附件：</w:t>
      </w:r>
    </w:p>
    <w:p>
      <w:pPr>
        <w:pStyle w:val="3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5.1.1招标公告；</w:t>
      </w:r>
    </w:p>
    <w:p>
      <w:pPr>
        <w:pStyle w:val="3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5.1.2</w:t>
      </w:r>
      <w:r>
        <w:rPr>
          <w:rFonts w:hint="eastAsia" w:hAnsi="宋体" w:cs="宋体"/>
          <w:sz w:val="24"/>
          <w:szCs w:val="24"/>
          <w:lang w:eastAsia="zh-CN"/>
        </w:rPr>
        <w:t>供应商</w:t>
      </w:r>
      <w:r>
        <w:rPr>
          <w:rFonts w:hint="eastAsia" w:hAnsi="宋体" w:cs="宋体"/>
          <w:sz w:val="24"/>
          <w:szCs w:val="24"/>
        </w:rPr>
        <w:t>须知；</w:t>
      </w:r>
    </w:p>
    <w:p>
      <w:pPr>
        <w:pStyle w:val="3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5.1.3采购需求；</w:t>
      </w:r>
    </w:p>
    <w:p>
      <w:pPr>
        <w:pStyle w:val="3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5.1.4评标办法；</w:t>
      </w:r>
    </w:p>
    <w:p>
      <w:pPr>
        <w:pStyle w:val="3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5.1.5拟签订的合同文本；</w:t>
      </w:r>
    </w:p>
    <w:p>
      <w:pPr>
        <w:pStyle w:val="3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6.招标文件的澄清、修改</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6.1已获取招标文件的潜在</w:t>
      </w:r>
      <w:r>
        <w:rPr>
          <w:rFonts w:hint="eastAsia" w:ascii="宋体" w:hAnsi="宋体" w:cs="宋体"/>
          <w:lang w:eastAsia="zh-CN"/>
        </w:rPr>
        <w:t>供应商</w:t>
      </w:r>
      <w:r>
        <w:rPr>
          <w:rFonts w:hint="eastAsia" w:ascii="宋体" w:hAnsi="宋体" w:cs="宋体"/>
        </w:rPr>
        <w:t>，若有问题需要澄清，应于投标截止时间前，以书面形式向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6.2</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w:t>
      </w:r>
      <w:r>
        <w:rPr>
          <w:rFonts w:hint="eastAsia" w:ascii="宋体" w:hAnsi="宋体" w:cs="宋体"/>
          <w:lang w:eastAsia="zh-CN"/>
        </w:rPr>
        <w:t>供应商</w:t>
      </w:r>
      <w:r>
        <w:rPr>
          <w:rFonts w:hint="eastAsia" w:ascii="宋体" w:hAnsi="宋体" w:cs="宋体"/>
        </w:rPr>
        <w:t>。依法应当公告的，将按规定公告，同时视情况延长投标截止时间和开标时间。该澄清或者修改的内容为招标文件的组成部分。</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sz w:val="30"/>
          <w:szCs w:val="20"/>
        </w:rPr>
      </w:pPr>
      <w:r>
        <w:rPr>
          <w:rFonts w:hint="eastAsia" w:ascii="宋体" w:hAnsi="宋体" w:cs="宋体"/>
          <w:b/>
          <w:sz w:val="30"/>
          <w:szCs w:val="20"/>
        </w:rPr>
        <w:t>三、投标</w:t>
      </w:r>
    </w:p>
    <w:p>
      <w:pPr>
        <w:pStyle w:val="33"/>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7.招标文件的获取</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8.开标前答疑会或现场考察</w:t>
      </w:r>
    </w:p>
    <w:p>
      <w:pPr>
        <w:pStyle w:val="33"/>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rPr>
      </w:pPr>
      <w:r>
        <w:rPr>
          <w:rFonts w:hint="eastAsia" w:hAnsi="宋体" w:cs="宋体"/>
          <w:sz w:val="24"/>
          <w:szCs w:val="24"/>
        </w:rPr>
        <w:t>采购人组织潜在</w:t>
      </w:r>
      <w:r>
        <w:rPr>
          <w:rFonts w:hint="eastAsia" w:hAnsi="宋体" w:cs="宋体"/>
          <w:sz w:val="24"/>
          <w:szCs w:val="24"/>
          <w:lang w:eastAsia="zh-CN"/>
        </w:rPr>
        <w:t>供应商</w:t>
      </w:r>
      <w:r>
        <w:rPr>
          <w:rFonts w:hint="eastAsia" w:hAnsi="宋体" w:cs="宋体"/>
          <w:sz w:val="24"/>
          <w:szCs w:val="24"/>
        </w:rPr>
        <w:t>现场考察或者召开开标前答疑会的，潜在</w:t>
      </w:r>
      <w:r>
        <w:rPr>
          <w:rFonts w:hint="eastAsia" w:hAnsi="宋体" w:cs="宋体"/>
          <w:sz w:val="24"/>
          <w:szCs w:val="24"/>
          <w:lang w:eastAsia="zh-CN"/>
        </w:rPr>
        <w:t>供应商</w:t>
      </w:r>
      <w:r>
        <w:rPr>
          <w:rFonts w:hint="eastAsia" w:hAnsi="宋体" w:cs="宋体"/>
          <w:sz w:val="24"/>
          <w:szCs w:val="24"/>
        </w:rPr>
        <w:t>按第二部分</w:t>
      </w:r>
      <w:r>
        <w:rPr>
          <w:rFonts w:hint="eastAsia" w:hAnsi="宋体" w:cs="宋体"/>
          <w:sz w:val="24"/>
          <w:szCs w:val="24"/>
          <w:lang w:eastAsia="zh-CN"/>
        </w:rPr>
        <w:t>供应商</w:t>
      </w:r>
      <w:r>
        <w:rPr>
          <w:rFonts w:hint="eastAsia" w:hAnsi="宋体" w:cs="宋体"/>
          <w:sz w:val="24"/>
          <w:szCs w:val="24"/>
        </w:rPr>
        <w:t>须知前附表的规定参加现场考察或者开标前答疑会。</w:t>
      </w:r>
    </w:p>
    <w:p>
      <w:pPr>
        <w:pStyle w:val="33"/>
        <w:pageBreakBefore w:val="0"/>
        <w:shd w:val="clear"/>
        <w:kinsoku/>
        <w:wordWrap/>
        <w:overflowPunct/>
        <w:topLinePunct w:val="0"/>
        <w:bidi w:val="0"/>
        <w:spacing w:beforeAutospacing="0" w:line="348" w:lineRule="auto"/>
        <w:textAlignment w:val="auto"/>
        <w:outlineLvl w:val="9"/>
        <w:rPr>
          <w:rFonts w:hAnsi="宋体" w:cs="宋体"/>
          <w:b/>
          <w:szCs w:val="24"/>
        </w:rPr>
      </w:pPr>
      <w:r>
        <w:rPr>
          <w:rFonts w:hint="eastAsia" w:hAnsi="宋体" w:cs="宋体"/>
          <w:b/>
          <w:kern w:val="28"/>
          <w:sz w:val="24"/>
          <w:szCs w:val="24"/>
        </w:rPr>
        <w:t>9.投标保证金</w:t>
      </w:r>
    </w:p>
    <w:p>
      <w:pPr>
        <w:pStyle w:val="7"/>
        <w:pageBreakBefore w:val="0"/>
        <w:shd w:val="clear"/>
        <w:kinsoku/>
        <w:wordWrap/>
        <w:overflowPunct/>
        <w:topLinePunct w:val="0"/>
        <w:bidi w:val="0"/>
        <w:spacing w:beforeAutospacing="0" w:line="348" w:lineRule="auto"/>
        <w:ind w:firstLine="470" w:firstLineChars="196"/>
        <w:textAlignment w:val="auto"/>
        <w:outlineLvl w:val="9"/>
        <w:rPr>
          <w:rFonts w:hAnsi="宋体" w:cs="宋体"/>
          <w:color w:val="auto"/>
          <w:sz w:val="24"/>
        </w:rPr>
      </w:pPr>
      <w:r>
        <w:rPr>
          <w:rFonts w:hint="eastAsia" w:hAnsi="宋体" w:cs="宋体"/>
          <w:color w:val="auto"/>
          <w:sz w:val="24"/>
        </w:rPr>
        <w:t>本项目不需缴纳投标保证金。</w:t>
      </w:r>
    </w:p>
    <w:p>
      <w:pPr>
        <w:pStyle w:val="33"/>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10. 投标文件的语言</w:t>
      </w:r>
    </w:p>
    <w:p>
      <w:pPr>
        <w:pageBreakBefore w:val="0"/>
        <w:shd w:val="clear"/>
        <w:kinsoku/>
        <w:wordWrap/>
        <w:overflowPunct/>
        <w:topLinePunct w:val="0"/>
        <w:autoSpaceDE w:val="0"/>
        <w:autoSpaceDN w:val="0"/>
        <w:bidi w:val="0"/>
        <w:spacing w:beforeAutospacing="0" w:line="348" w:lineRule="auto"/>
        <w:ind w:firstLine="480" w:firstLineChars="200"/>
        <w:textAlignment w:val="auto"/>
        <w:outlineLvl w:val="9"/>
        <w:rPr>
          <w:rFonts w:ascii="宋体" w:hAnsi="宋体" w:cs="宋体"/>
          <w:sz w:val="24"/>
          <w:lang w:val="zh-CN"/>
        </w:rPr>
      </w:pPr>
      <w:r>
        <w:rPr>
          <w:rFonts w:hint="eastAsia" w:ascii="宋体" w:hAnsi="宋体" w:cs="宋体"/>
          <w:sz w:val="24"/>
        </w:rPr>
        <w:t>投标文件及</w:t>
      </w:r>
      <w:r>
        <w:rPr>
          <w:rFonts w:hint="eastAsia" w:ascii="宋体" w:hAnsi="宋体" w:cs="宋体"/>
          <w:sz w:val="24"/>
          <w:lang w:eastAsia="zh-CN"/>
        </w:rPr>
        <w:t>供应商</w:t>
      </w:r>
      <w:r>
        <w:rPr>
          <w:rFonts w:hint="eastAsia" w:ascii="宋体" w:hAnsi="宋体" w:cs="宋体"/>
          <w:sz w:val="24"/>
        </w:rPr>
        <w:t>与采购有关的来往通知、函件和文件均应使用中文。</w:t>
      </w:r>
    </w:p>
    <w:p>
      <w:pPr>
        <w:pStyle w:val="33"/>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11. 投标文件的组成</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rPr>
      </w:pPr>
      <w:r>
        <w:rPr>
          <w:rFonts w:hint="eastAsia" w:ascii="宋体" w:hAnsi="宋体" w:cs="宋体"/>
          <w:b/>
          <w:bCs/>
          <w:sz w:val="24"/>
        </w:rPr>
        <w:t>11.1资格文件：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11.1.1符合参加政府采购活动应当具备的一般条件的承诺函；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bookmarkStart w:id="18" w:name="_Hlk101259339"/>
      <w:r>
        <w:rPr>
          <w:rFonts w:hint="eastAsia" w:ascii="宋体" w:hAnsi="宋体" w:cs="宋体"/>
          <w:snapToGrid w:val="0"/>
          <w:color w:val="auto"/>
          <w:kern w:val="28"/>
          <w:sz w:val="24"/>
          <w:szCs w:val="20"/>
        </w:rPr>
        <w:t>联合协议</w:t>
      </w:r>
      <w:bookmarkEnd w:id="18"/>
      <w:r>
        <w:rPr>
          <w:rFonts w:hint="eastAsia" w:ascii="宋体" w:hAnsi="宋体" w:cs="宋体"/>
          <w:snapToGrid w:val="0"/>
          <w:color w:val="auto"/>
          <w:kern w:val="28"/>
          <w:sz w:val="24"/>
          <w:szCs w:val="20"/>
        </w:rPr>
        <w:t>（如果有)；</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11.2.1投标函；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11.2.2授权委托书或法定代表人（单位负责人、自然人本人）身份证明；</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商务技术偏离表；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u w:val="single"/>
          <w:lang w:val="zh-CN"/>
        </w:rPr>
      </w:pPr>
      <w:r>
        <w:rPr>
          <w:rFonts w:hint="eastAsia" w:ascii="宋体" w:hAnsi="宋体" w:cs="宋体"/>
          <w:b/>
          <w:bCs/>
          <w:kern w:val="0"/>
          <w:sz w:val="24"/>
          <w:lang w:val="zh-CN"/>
        </w:rPr>
        <w:t>11.</w:t>
      </w:r>
      <w:r>
        <w:rPr>
          <w:rFonts w:hint="eastAsia" w:ascii="宋体" w:hAnsi="宋体" w:cs="宋体"/>
          <w:b/>
          <w:bCs/>
          <w:kern w:val="0"/>
          <w:sz w:val="24"/>
        </w:rPr>
        <w:t>3</w:t>
      </w:r>
      <w:r>
        <w:rPr>
          <w:rFonts w:hint="eastAsia" w:ascii="宋体" w:hAnsi="宋体" w:cs="宋体"/>
          <w:b/>
          <w:bCs/>
          <w:sz w:val="24"/>
        </w:rPr>
        <w:t>报价文件：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11.3.1开标一览表（报价表）；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11.3.2中小企业声明函。</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sz w:val="24"/>
        </w:rPr>
      </w:pPr>
      <w:r>
        <w:rPr>
          <w:rFonts w:hint="eastAsia" w:ascii="宋体" w:hAnsi="宋体" w:cs="宋体"/>
          <w:b/>
          <w:sz w:val="24"/>
        </w:rPr>
        <w:t>投标文件含有采购人不能接受的附加条件的，投标无效；</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sz w:val="24"/>
          <w:szCs w:val="21"/>
        </w:rPr>
      </w:pPr>
      <w:r>
        <w:rPr>
          <w:rFonts w:hint="eastAsia" w:ascii="宋体" w:hAnsi="宋体" w:cs="宋体"/>
          <w:b/>
          <w:sz w:val="24"/>
          <w:lang w:eastAsia="zh-CN"/>
        </w:rPr>
        <w:t>供应商</w:t>
      </w:r>
      <w:r>
        <w:rPr>
          <w:rFonts w:hint="eastAsia" w:ascii="宋体" w:hAnsi="宋体" w:cs="宋体"/>
          <w:b/>
          <w:sz w:val="24"/>
        </w:rPr>
        <w:t>提供虚假材料投标的，投标无效。</w:t>
      </w:r>
    </w:p>
    <w:p>
      <w:pPr>
        <w:pStyle w:val="130"/>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rPr>
      </w:pPr>
      <w:r>
        <w:rPr>
          <w:rFonts w:hint="eastAsia" w:ascii="宋体" w:hAnsi="宋体" w:cs="宋体"/>
          <w:kern w:val="0"/>
          <w:sz w:val="24"/>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kern w:val="0"/>
          <w:sz w:val="24"/>
          <w:lang w:val="zh-CN"/>
        </w:rPr>
      </w:pPr>
      <w:r>
        <w:rPr>
          <w:rFonts w:hint="eastAsia" w:ascii="宋体" w:hAnsi="宋体" w:cs="宋体"/>
          <w:kern w:val="0"/>
          <w:sz w:val="24"/>
          <w:lang w:val="zh-CN"/>
        </w:rPr>
        <w:t>12.2供应商进行电子投标应安装客户端软件—“政采云电子交易客户端”，并按照招标文件和电子交易平台的要求编制并加密投标文件。供应商未按规定加密的投标文件，电子交易平台将拒收并提示。</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pageBreakBefore w:val="0"/>
        <w:shd w:val="clear"/>
        <w:kinsoku/>
        <w:wordWrap/>
        <w:overflowPunct/>
        <w:topLinePunct w:val="0"/>
        <w:bidi w:val="0"/>
        <w:snapToGrid w:val="0"/>
        <w:spacing w:beforeAutospacing="0" w:line="348" w:lineRule="auto"/>
        <w:textAlignment w:val="auto"/>
        <w:outlineLvl w:val="9"/>
        <w:rPr>
          <w:rFonts w:ascii="宋体" w:hAnsi="宋体" w:cs="宋体"/>
          <w:b/>
          <w:sz w:val="24"/>
        </w:rPr>
      </w:pPr>
      <w:r>
        <w:rPr>
          <w:rFonts w:hint="eastAsia" w:ascii="宋体" w:hAnsi="宋体" w:cs="宋体"/>
          <w:b/>
          <w:sz w:val="24"/>
        </w:rPr>
        <w:t>13.投标文件的签署、盖章</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lang w:eastAsia="zh-CN"/>
        </w:rPr>
        <w:t>★供应商</w:t>
      </w:r>
      <w:r>
        <w:rPr>
          <w:rFonts w:hint="eastAsia" w:ascii="宋体" w:hAnsi="宋体" w:cs="宋体"/>
          <w:b/>
        </w:rPr>
        <w:t>的投标文件未按照招标文件要求签署、盖章的，其投标无效</w:t>
      </w:r>
      <w:r>
        <w:rPr>
          <w:rFonts w:hint="eastAsia" w:ascii="宋体" w:hAnsi="宋体" w:cs="宋体"/>
          <w:szCs w:val="24"/>
        </w:rPr>
        <w:t>。</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13.2为确保网上操作合法、有效和安全，</w:t>
      </w:r>
      <w:r>
        <w:rPr>
          <w:rFonts w:hint="eastAsia" w:ascii="宋体" w:hAnsi="宋体" w:cs="宋体"/>
          <w:lang w:eastAsia="zh-CN"/>
        </w:rPr>
        <w:t>供应商</w:t>
      </w:r>
      <w:r>
        <w:rPr>
          <w:rFonts w:hint="eastAsia" w:ascii="宋体" w:hAnsi="宋体" w:cs="宋体"/>
        </w:rPr>
        <w:t>应当在投标截止时间前完成在“政府采购云平台”的身份认证，确保在电子投标过程中能够对相关数据电文进行加密和使用电子签名。</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szCs w:val="24"/>
        </w:rPr>
      </w:pPr>
      <w:r>
        <w:rPr>
          <w:rFonts w:hint="eastAsia" w:ascii="宋体" w:hAnsi="宋体" w:cs="宋体"/>
        </w:rPr>
        <w:t>13.3招标文件对投标文件签署、盖章的要求适用于电子签名。</w:t>
      </w:r>
    </w:p>
    <w:p>
      <w:pPr>
        <w:pStyle w:val="130"/>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14. 投标文件的提交、补充、修改、撤回</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rPr>
      </w:pPr>
      <w:r>
        <w:rPr>
          <w:rFonts w:hint="eastAsia" w:ascii="宋体" w:hAnsi="宋体" w:cs="宋体"/>
          <w:szCs w:val="24"/>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w:t>
      </w:r>
      <w:r>
        <w:rPr>
          <w:rFonts w:hint="eastAsia" w:ascii="宋体" w:hAnsi="宋体" w:cs="宋体"/>
          <w:szCs w:val="24"/>
          <w:lang w:eastAsia="zh-CN"/>
        </w:rPr>
        <w:t>供应商</w:t>
      </w:r>
      <w:r>
        <w:rPr>
          <w:rFonts w:hint="eastAsia" w:ascii="宋体" w:hAnsi="宋体" w:cs="宋体"/>
          <w:szCs w:val="24"/>
        </w:rPr>
        <w:t>以前在投标截止期方面的全部权利、责任和义务，将适用于延长至新的投标截止期。</w:t>
      </w:r>
    </w:p>
    <w:p>
      <w:pPr>
        <w:pStyle w:val="33"/>
        <w:pageBreakBefore w:val="0"/>
        <w:shd w:val="clear"/>
        <w:kinsoku/>
        <w:wordWrap/>
        <w:overflowPunct/>
        <w:topLinePunct w:val="0"/>
        <w:bidi w:val="0"/>
        <w:spacing w:beforeAutospacing="0" w:line="348" w:lineRule="auto"/>
        <w:textAlignment w:val="auto"/>
        <w:outlineLvl w:val="9"/>
        <w:rPr>
          <w:rFonts w:hint="eastAsia" w:hAnsi="宋体" w:eastAsia="宋体" w:cs="宋体"/>
          <w:b/>
          <w:sz w:val="24"/>
          <w:szCs w:val="24"/>
          <w:lang w:eastAsia="zh-CN"/>
        </w:rPr>
      </w:pPr>
      <w:r>
        <w:rPr>
          <w:rFonts w:hint="eastAsia" w:hAnsi="宋体" w:cs="宋体"/>
          <w:b/>
          <w:sz w:val="24"/>
          <w:szCs w:val="24"/>
        </w:rPr>
        <w:t>15.备份投标文件</w:t>
      </w:r>
      <w:r>
        <w:rPr>
          <w:rFonts w:hint="eastAsia" w:hAnsi="宋体" w:cs="宋体"/>
          <w:b/>
          <w:sz w:val="24"/>
          <w:szCs w:val="24"/>
          <w:lang w:eastAsia="zh-CN"/>
        </w:rPr>
        <w:t>（文件后缀为：bfbs）</w:t>
      </w:r>
    </w:p>
    <w:p>
      <w:pPr>
        <w:pStyle w:val="33"/>
        <w:pageBreakBefore w:val="0"/>
        <w:shd w:val="clear"/>
        <w:kinsoku/>
        <w:wordWrap/>
        <w:overflowPunct/>
        <w:topLinePunct w:val="0"/>
        <w:bidi w:val="0"/>
        <w:spacing w:beforeAutospacing="0" w:line="348" w:lineRule="auto"/>
        <w:ind w:firstLine="360" w:firstLineChars="150"/>
        <w:textAlignment w:val="auto"/>
        <w:outlineLvl w:val="9"/>
        <w:rPr>
          <w:rFonts w:hAnsi="宋体" w:cs="宋体"/>
          <w:b/>
          <w:sz w:val="24"/>
          <w:szCs w:val="24"/>
        </w:rPr>
      </w:pPr>
      <w:r>
        <w:rPr>
          <w:rFonts w:hint="eastAsia" w:hAnsi="宋体" w:cs="宋体"/>
          <w:sz w:val="24"/>
          <w:szCs w:val="24"/>
        </w:rPr>
        <w:t>15.1</w:t>
      </w:r>
      <w:r>
        <w:rPr>
          <w:rFonts w:hint="eastAsia" w:hAnsi="宋体" w:cs="宋体"/>
          <w:sz w:val="24"/>
          <w:szCs w:val="24"/>
          <w:lang w:eastAsia="zh-CN"/>
        </w:rPr>
        <w:t>供应商</w:t>
      </w:r>
      <w:r>
        <w:rPr>
          <w:rFonts w:hint="eastAsia" w:hAnsi="宋体" w:cs="宋体"/>
          <w:sz w:val="24"/>
          <w:szCs w:val="24"/>
        </w:rPr>
        <w:t>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w:t>
      </w:r>
      <w:r>
        <w:rPr>
          <w:rFonts w:hint="eastAsia" w:hAnsi="宋体" w:cs="宋体"/>
          <w:b/>
          <w:sz w:val="24"/>
          <w:szCs w:val="24"/>
          <w:lang w:eastAsia="zh-CN"/>
        </w:rPr>
        <w:t>供应商</w:t>
      </w:r>
      <w:r>
        <w:rPr>
          <w:rFonts w:hint="eastAsia" w:hAnsi="宋体" w:cs="宋体"/>
          <w:b/>
          <w:sz w:val="24"/>
          <w:szCs w:val="24"/>
        </w:rPr>
        <w:t>提交备份投标文件。</w:t>
      </w:r>
    </w:p>
    <w:p>
      <w:pPr>
        <w:pStyle w:val="33"/>
        <w:pageBreakBefore w:val="0"/>
        <w:shd w:val="clear"/>
        <w:kinsoku/>
        <w:wordWrap/>
        <w:overflowPunct/>
        <w:topLinePunct w:val="0"/>
        <w:bidi w:val="0"/>
        <w:spacing w:beforeAutospacing="0" w:line="348" w:lineRule="auto"/>
        <w:ind w:firstLine="480" w:firstLineChars="200"/>
        <w:textAlignment w:val="auto"/>
        <w:outlineLvl w:val="9"/>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lang w:val="en-US" w:eastAsia="zh-CN"/>
        </w:rPr>
        <w:t>U盘</w:t>
      </w:r>
      <w:r>
        <w:rPr>
          <w:rFonts w:hint="eastAsia" w:hAnsi="宋体" w:cs="宋体"/>
          <w:sz w:val="24"/>
          <w:szCs w:val="24"/>
        </w:rPr>
        <w:t>中。备份投标文件应当密封包装并在包装上加盖公章并注明投标项目名称，</w:t>
      </w:r>
      <w:r>
        <w:rPr>
          <w:rFonts w:hint="eastAsia" w:hAnsi="宋体" w:cs="宋体"/>
          <w:sz w:val="24"/>
          <w:szCs w:val="24"/>
          <w:lang w:eastAsia="zh-CN"/>
        </w:rPr>
        <w:t>供应商</w:t>
      </w:r>
      <w:r>
        <w:rPr>
          <w:rFonts w:hint="eastAsia" w:hAnsi="宋体" w:cs="宋体"/>
          <w:sz w:val="24"/>
          <w:szCs w:val="24"/>
        </w:rPr>
        <w:t>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rPr>
      </w:pPr>
      <w:r>
        <w:rPr>
          <w:rFonts w:hint="eastAsia" w:hAnsi="宋体" w:cs="宋体"/>
          <w:sz w:val="24"/>
          <w:szCs w:val="24"/>
        </w:rPr>
        <w:t>15.3直接提交备份投标文件的，</w:t>
      </w:r>
      <w:r>
        <w:rPr>
          <w:rFonts w:hint="eastAsia" w:hAnsi="宋体" w:cs="宋体"/>
          <w:sz w:val="24"/>
          <w:szCs w:val="24"/>
          <w:lang w:eastAsia="zh-CN"/>
        </w:rPr>
        <w:t>供应商</w:t>
      </w:r>
      <w:r>
        <w:rPr>
          <w:rFonts w:hint="eastAsia" w:hAnsi="宋体" w:cs="宋体"/>
          <w:sz w:val="24"/>
          <w:szCs w:val="24"/>
        </w:rPr>
        <w:t>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rPr>
      </w:pPr>
      <w:r>
        <w:rPr>
          <w:rFonts w:hint="eastAsia" w:hAnsi="宋体" w:cs="宋体"/>
          <w:sz w:val="24"/>
          <w:szCs w:val="24"/>
        </w:rPr>
        <w:t>15.4以邮政快递方式递交备份投标文件的，</w:t>
      </w:r>
      <w:r>
        <w:rPr>
          <w:rFonts w:hint="eastAsia" w:hAnsi="宋体" w:cs="宋体"/>
          <w:sz w:val="24"/>
          <w:szCs w:val="24"/>
          <w:lang w:eastAsia="zh-CN"/>
        </w:rPr>
        <w:t>供应商</w:t>
      </w:r>
      <w:r>
        <w:rPr>
          <w:rFonts w:hint="eastAsia" w:hAnsi="宋体" w:cs="宋体"/>
          <w:sz w:val="24"/>
          <w:szCs w:val="24"/>
        </w:rPr>
        <w:t>应先将备份投标文件按要求密封和标记，再进行邮政快递包装后邮寄。备份投标文件须在投标截止时间之前送达</w:t>
      </w:r>
      <w:r>
        <w:rPr>
          <w:rFonts w:hint="eastAsia" w:hAnsi="宋体" w:cs="宋体"/>
          <w:snapToGrid/>
          <w:sz w:val="24"/>
          <w:szCs w:val="24"/>
        </w:rPr>
        <w:t>招标文件第二部分</w:t>
      </w:r>
      <w:r>
        <w:rPr>
          <w:rFonts w:hint="eastAsia" w:hAnsi="宋体" w:cs="宋体"/>
          <w:snapToGrid/>
          <w:sz w:val="24"/>
          <w:szCs w:val="24"/>
          <w:lang w:eastAsia="zh-CN"/>
        </w:rPr>
        <w:t>供应商</w:t>
      </w:r>
      <w:r>
        <w:rPr>
          <w:rFonts w:hint="eastAsia" w:hAnsi="宋体" w:cs="宋体"/>
          <w:snapToGrid/>
          <w:sz w:val="24"/>
          <w:szCs w:val="24"/>
        </w:rPr>
        <w:t>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w:t>
      </w:r>
      <w:r>
        <w:rPr>
          <w:rFonts w:hint="eastAsia" w:hAnsi="宋体" w:cs="宋体"/>
          <w:sz w:val="24"/>
          <w:szCs w:val="24"/>
          <w:lang w:eastAsia="zh-CN"/>
        </w:rPr>
        <w:t>供应商</w:t>
      </w:r>
      <w:r>
        <w:rPr>
          <w:rFonts w:hint="eastAsia" w:hAnsi="宋体" w:cs="宋体"/>
          <w:sz w:val="24"/>
          <w:szCs w:val="24"/>
        </w:rPr>
        <w:t>自行负责。</w:t>
      </w:r>
    </w:p>
    <w:p>
      <w:pPr>
        <w:pStyle w:val="33"/>
        <w:pageBreakBefore w:val="0"/>
        <w:shd w:val="clear"/>
        <w:kinsoku/>
        <w:wordWrap/>
        <w:overflowPunct/>
        <w:topLinePunct w:val="0"/>
        <w:bidi w:val="0"/>
        <w:spacing w:beforeAutospacing="0" w:line="348" w:lineRule="auto"/>
        <w:ind w:firstLine="479" w:firstLineChars="199"/>
        <w:textAlignment w:val="auto"/>
        <w:outlineLvl w:val="9"/>
        <w:rPr>
          <w:rFonts w:hAnsi="宋体" w:cs="宋体"/>
          <w:b/>
          <w:sz w:val="24"/>
          <w:szCs w:val="24"/>
        </w:rPr>
      </w:pPr>
      <w:r>
        <w:rPr>
          <w:rFonts w:hint="eastAsia" w:hAnsi="宋体" w:cs="宋体"/>
          <w:b/>
          <w:sz w:val="24"/>
          <w:szCs w:val="24"/>
        </w:rPr>
        <w:t>15.5</w:t>
      </w:r>
      <w:r>
        <w:rPr>
          <w:rFonts w:hint="eastAsia" w:hAnsi="宋体" w:cs="宋体"/>
          <w:b/>
          <w:sz w:val="24"/>
          <w:szCs w:val="24"/>
          <w:lang w:eastAsia="zh-CN"/>
        </w:rPr>
        <w:t>供应商</w:t>
      </w:r>
      <w:r>
        <w:rPr>
          <w:rFonts w:hint="eastAsia" w:hAnsi="宋体" w:cs="宋体"/>
          <w:b/>
          <w:sz w:val="24"/>
          <w:szCs w:val="24"/>
        </w:rPr>
        <w:t>仅提交备份投标文件，未在电子交易平台传输递交投标文件的，投标无效。</w:t>
      </w:r>
    </w:p>
    <w:p>
      <w:pPr>
        <w:pStyle w:val="130"/>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16.投标文件的无效处理</w:t>
      </w:r>
    </w:p>
    <w:p>
      <w:pPr>
        <w:pStyle w:val="25"/>
        <w:pageBreakBefore w:val="0"/>
        <w:shd w:val="clear"/>
        <w:kinsoku/>
        <w:wordWrap/>
        <w:overflowPunct/>
        <w:topLinePunct w:val="0"/>
        <w:bidi w:val="0"/>
        <w:spacing w:beforeAutospacing="0" w:line="348" w:lineRule="auto"/>
        <w:ind w:firstLine="360" w:firstLineChars="150"/>
        <w:textAlignment w:val="auto"/>
        <w:outlineLvl w:val="9"/>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0"/>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17.投标有效期</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sz w:val="24"/>
          <w:szCs w:val="20"/>
          <w:lang w:eastAsia="zh-CN"/>
        </w:rPr>
        <w:t>★</w:t>
      </w:r>
      <w:r>
        <w:rPr>
          <w:rFonts w:hint="eastAsia" w:ascii="宋体" w:hAnsi="宋体" w:cs="宋体"/>
          <w:b/>
          <w:sz w:val="24"/>
          <w:szCs w:val="20"/>
          <w:lang w:eastAsia="zh-CN"/>
        </w:rPr>
        <w:t>供应商</w:t>
      </w:r>
      <w:r>
        <w:rPr>
          <w:rFonts w:hint="eastAsia" w:ascii="宋体" w:hAnsi="宋体" w:cs="宋体"/>
          <w:b/>
          <w:sz w:val="24"/>
          <w:szCs w:val="20"/>
        </w:rPr>
        <w:t>的投标文件中承</w:t>
      </w:r>
      <w:r>
        <w:rPr>
          <w:rFonts w:hint="eastAsia" w:ascii="宋体" w:hAnsi="宋体" w:cs="宋体"/>
          <w:b/>
          <w:sz w:val="24"/>
          <w:szCs w:val="21"/>
        </w:rPr>
        <w:t>诺的投标有效期少于招标文件中载明的投标有效期的，投标无效。</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rPr>
        <w:t>17.2投标文件合格投递后，自投标截止日期起，在投标有效期内有效。</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w:t>
      </w:r>
      <w:r>
        <w:rPr>
          <w:rFonts w:hint="eastAsia" w:ascii="宋体" w:hAnsi="宋体" w:cs="宋体"/>
          <w:lang w:eastAsia="zh-CN"/>
        </w:rPr>
        <w:t>供应商</w:t>
      </w:r>
      <w:r>
        <w:rPr>
          <w:rFonts w:hint="eastAsia" w:ascii="宋体" w:hAnsi="宋体" w:cs="宋体"/>
        </w:rPr>
        <w:t>延长投标有效期。</w:t>
      </w:r>
      <w:r>
        <w:rPr>
          <w:rFonts w:hint="eastAsia" w:ascii="宋体" w:hAnsi="宋体" w:cs="宋体"/>
          <w:lang w:eastAsia="zh-CN"/>
        </w:rPr>
        <w:t>供应商</w:t>
      </w:r>
      <w:r>
        <w:rPr>
          <w:rFonts w:hint="eastAsia" w:ascii="宋体" w:hAnsi="宋体" w:cs="宋体"/>
        </w:rPr>
        <w:t>同意延长的，不得要求或被允许修改其投标文件，</w:t>
      </w:r>
      <w:r>
        <w:rPr>
          <w:rFonts w:hint="eastAsia" w:ascii="宋体" w:hAnsi="宋体" w:cs="宋体"/>
          <w:lang w:eastAsia="zh-CN"/>
        </w:rPr>
        <w:t>供应商</w:t>
      </w:r>
      <w:r>
        <w:rPr>
          <w:rFonts w:hint="eastAsia" w:ascii="宋体" w:hAnsi="宋体" w:cs="宋体"/>
        </w:rPr>
        <w:t>拒绝延长的，其投标无效。</w:t>
      </w:r>
    </w:p>
    <w:p>
      <w:pPr>
        <w:pStyle w:val="130"/>
        <w:pageBreakBefore w:val="0"/>
        <w:shd w:val="clear"/>
        <w:kinsoku/>
        <w:wordWrap/>
        <w:overflowPunct/>
        <w:topLinePunct w:val="0"/>
        <w:bidi w:val="0"/>
        <w:spacing w:before="0" w:beforeAutospacing="0" w:line="348" w:lineRule="auto"/>
        <w:ind w:firstLine="1928" w:firstLineChars="600"/>
        <w:textAlignment w:val="auto"/>
        <w:outlineLvl w:val="9"/>
        <w:rPr>
          <w:rFonts w:ascii="宋体" w:hAnsi="宋体" w:cs="宋体"/>
          <w:b/>
          <w:sz w:val="32"/>
        </w:rPr>
      </w:pPr>
      <w:r>
        <w:rPr>
          <w:rFonts w:hint="eastAsia" w:ascii="宋体" w:hAnsi="宋体" w:cs="宋体"/>
          <w:b/>
          <w:sz w:val="32"/>
        </w:rPr>
        <w:t>四、开标、资格审查与信用信息查询</w:t>
      </w:r>
    </w:p>
    <w:p>
      <w:pPr>
        <w:pStyle w:val="554"/>
        <w:pageBreakBefore w:val="0"/>
        <w:shd w:val="clear"/>
        <w:kinsoku/>
        <w:wordWrap/>
        <w:overflowPunct/>
        <w:topLinePunct w:val="0"/>
        <w:bidi w:val="0"/>
        <w:spacing w:before="0" w:beforeAutospacing="0" w:line="348" w:lineRule="auto"/>
        <w:ind w:left="0" w:firstLine="241" w:firstLineChars="100"/>
        <w:contextualSpacing/>
        <w:textAlignment w:val="auto"/>
        <w:outlineLvl w:val="9"/>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w:t>
      </w:r>
      <w:r>
        <w:rPr>
          <w:rFonts w:hint="eastAsia" w:ascii="宋体" w:hAnsi="宋体" w:cs="宋体"/>
          <w:sz w:val="24"/>
          <w:lang w:eastAsia="zh-CN"/>
        </w:rPr>
        <w:t>供应商</w:t>
      </w:r>
      <w:r>
        <w:rPr>
          <w:rFonts w:hint="eastAsia" w:ascii="宋体" w:hAnsi="宋体" w:cs="宋体"/>
          <w:sz w:val="24"/>
        </w:rPr>
        <w:t>均应当准时在线参加。</w:t>
      </w:r>
      <w:r>
        <w:rPr>
          <w:rFonts w:hint="eastAsia" w:ascii="宋体" w:hAnsi="宋体" w:cs="宋体"/>
          <w:sz w:val="24"/>
          <w:lang w:eastAsia="zh-CN"/>
        </w:rPr>
        <w:t>供应商</w:t>
      </w:r>
      <w:r>
        <w:rPr>
          <w:rFonts w:hint="eastAsia" w:ascii="宋体" w:hAnsi="宋体" w:cs="宋体"/>
          <w:sz w:val="24"/>
        </w:rPr>
        <w:t>不足3家的，不得开标。</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w:t>
      </w:r>
      <w:r>
        <w:rPr>
          <w:rFonts w:hint="eastAsia" w:ascii="宋体" w:hAnsi="宋体" w:cs="宋体"/>
          <w:sz w:val="24"/>
          <w:lang w:eastAsia="zh-CN"/>
        </w:rPr>
        <w:t>供应商</w:t>
      </w:r>
      <w:r>
        <w:rPr>
          <w:rFonts w:hint="eastAsia" w:ascii="宋体" w:hAnsi="宋体" w:cs="宋体"/>
          <w:sz w:val="24"/>
        </w:rPr>
        <w:t>按照平台提示和招标文件的规定在半小时内完成在线解密。</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default" w:ascii="宋体" w:hAnsi="宋体" w:eastAsia="宋体" w:cs="宋体"/>
          <w:sz w:val="24"/>
          <w:lang w:val="en-US" w:eastAsia="zh-CN"/>
        </w:rPr>
      </w:pPr>
      <w:r>
        <w:rPr>
          <w:rFonts w:hint="eastAsia" w:ascii="宋体" w:hAnsi="宋体" w:eastAsia="宋体" w:cs="宋体"/>
          <w:sz w:val="24"/>
          <w:lang w:val="en-US" w:eastAsia="zh-CN"/>
        </w:rPr>
        <w:t>18.2.1具体</w:t>
      </w:r>
      <w:r>
        <w:rPr>
          <w:rFonts w:hint="eastAsia" w:ascii="宋体" w:hAnsi="宋体" w:eastAsia="宋体" w:cs="宋体"/>
          <w:sz w:val="24"/>
          <w:lang w:eastAsia="zh-CN"/>
        </w:rPr>
        <w:t>开标程序：</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（1）投标截止时间后，供应商登录政府采购云平台，用“项目采购-开标评标”功能对电子投标文件进行在线解密，在线解密电子投标文件时间为开标时间后30分钟内。</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（2）在政府采购云平台开启已解密供应商的“资格文件、商务技术文件、报价文件”，并做开标记录；</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（3）在政府采购云平台公布评审结果。</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cs="宋体"/>
          <w:sz w:val="24"/>
        </w:rPr>
      </w:pPr>
      <w:r>
        <w:rPr>
          <w:rFonts w:hint="eastAsia" w:ascii="宋体" w:hAnsi="宋体" w:eastAsia="宋体" w:cs="宋体"/>
          <w:sz w:val="24"/>
          <w:lang w:val="en-US" w:eastAsia="zh-CN"/>
        </w:rPr>
        <w:t>（4）开标会议结束。</w:t>
      </w:r>
      <w:r>
        <w:rPr>
          <w:rFonts w:hint="eastAsia" w:ascii="宋体" w:hAnsi="宋体" w:cs="宋体"/>
          <w:sz w:val="24"/>
        </w:rPr>
        <w:t>　</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b/>
          <w:sz w:val="24"/>
        </w:rPr>
      </w:pPr>
      <w:r>
        <w:rPr>
          <w:rFonts w:hint="eastAsia" w:ascii="宋体" w:hAnsi="宋体" w:cs="宋体"/>
          <w:sz w:val="24"/>
        </w:rPr>
        <w:t>18.3</w:t>
      </w:r>
      <w:r>
        <w:rPr>
          <w:rFonts w:hint="eastAsia" w:ascii="宋体" w:hAnsi="宋体" w:cs="宋体"/>
          <w:b/>
          <w:sz w:val="24"/>
        </w:rPr>
        <w:t>投标文件未按时解密，</w:t>
      </w:r>
      <w:r>
        <w:rPr>
          <w:rFonts w:hint="eastAsia" w:ascii="宋体" w:hAnsi="宋体" w:cs="宋体"/>
          <w:b/>
          <w:sz w:val="24"/>
          <w:lang w:eastAsia="zh-CN"/>
        </w:rPr>
        <w:t>供应商</w:t>
      </w:r>
      <w:r>
        <w:rPr>
          <w:rFonts w:hint="eastAsia" w:ascii="宋体" w:hAnsi="宋体" w:cs="宋体"/>
          <w:b/>
          <w:sz w:val="24"/>
        </w:rPr>
        <w:t>提供了备份投标文件的，以备份投标文件作为依据，否则视为投标文件撤回。投标文件已按时解密的，备份投标文件自动失效。</w:t>
      </w:r>
    </w:p>
    <w:p>
      <w:pPr>
        <w:pageBreakBefore w:val="0"/>
        <w:widowControl/>
        <w:shd w:val="clear"/>
        <w:kinsoku/>
        <w:wordWrap/>
        <w:overflowPunct/>
        <w:topLinePunct w:val="0"/>
        <w:bidi w:val="0"/>
        <w:spacing w:beforeAutospacing="0" w:line="348" w:lineRule="auto"/>
        <w:jc w:val="left"/>
        <w:textAlignment w:val="auto"/>
        <w:outlineLvl w:val="9"/>
        <w:rPr>
          <w:rFonts w:ascii="宋体" w:hAnsi="宋体" w:cs="宋体"/>
          <w:b/>
          <w:sz w:val="24"/>
          <w:szCs w:val="20"/>
        </w:rPr>
      </w:pPr>
      <w:r>
        <w:rPr>
          <w:rFonts w:hint="eastAsia" w:ascii="宋体" w:hAnsi="宋体" w:cs="宋体"/>
          <w:b/>
          <w:sz w:val="24"/>
          <w:szCs w:val="20"/>
        </w:rPr>
        <w:t>　19、资格审查</w:t>
      </w:r>
    </w:p>
    <w:p>
      <w:pPr>
        <w:pageBreakBefore w:val="0"/>
        <w:shd w:val="clear"/>
        <w:kinsoku/>
        <w:wordWrap/>
        <w:overflowPunct/>
        <w:topLinePunct w:val="0"/>
        <w:bidi w:val="0"/>
        <w:snapToGrid w:val="0"/>
        <w:spacing w:beforeAutospacing="0" w:line="348" w:lineRule="auto"/>
        <w:ind w:firstLine="480" w:firstLineChars="200"/>
        <w:textAlignment w:val="auto"/>
        <w:outlineLvl w:val="9"/>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w:t>
      </w:r>
      <w:r>
        <w:rPr>
          <w:rFonts w:hint="eastAsia" w:ascii="宋体" w:hAnsi="宋体" w:cs="宋体"/>
          <w:sz w:val="24"/>
          <w:lang w:eastAsia="zh-CN"/>
        </w:rPr>
        <w:t>供应商</w:t>
      </w:r>
      <w:r>
        <w:rPr>
          <w:rFonts w:hint="eastAsia" w:ascii="宋体" w:hAnsi="宋体" w:cs="宋体"/>
          <w:sz w:val="24"/>
        </w:rPr>
        <w:t>的资格进行审查。</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lang w:eastAsia="zh-CN"/>
        </w:rPr>
        <w:t>供应商</w:t>
      </w:r>
      <w:r>
        <w:rPr>
          <w:rFonts w:hint="eastAsia" w:ascii="宋体" w:hAnsi="宋体" w:cs="宋体"/>
          <w:kern w:val="0"/>
          <w:szCs w:val="24"/>
        </w:rPr>
        <w:t>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lang w:eastAsia="zh-CN"/>
        </w:rPr>
        <w:t>供应商</w:t>
      </w:r>
      <w:r>
        <w:rPr>
          <w:rFonts w:hint="eastAsia" w:ascii="宋体" w:hAnsi="宋体" w:cs="宋体"/>
        </w:rPr>
        <w:t>不具备招标文件中规定的资格要求，其投标无效。</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w:t>
      </w:r>
      <w:r>
        <w:rPr>
          <w:rFonts w:hint="eastAsia" w:ascii="宋体" w:hAnsi="宋体" w:cs="宋体"/>
          <w:lang w:eastAsia="zh-CN"/>
        </w:rPr>
        <w:t>供应商</w:t>
      </w:r>
      <w:r>
        <w:rPr>
          <w:rFonts w:hint="eastAsia" w:ascii="宋体" w:hAnsi="宋体" w:cs="宋体"/>
        </w:rPr>
        <w:t>，采购人或</w:t>
      </w:r>
      <w:r>
        <w:rPr>
          <w:rFonts w:hint="eastAsia" w:ascii="宋体" w:hAnsi="宋体" w:cs="宋体"/>
          <w:lang w:eastAsia="zh-CN"/>
        </w:rPr>
        <w:t>采购代理机构</w:t>
      </w:r>
      <w:r>
        <w:rPr>
          <w:rFonts w:hint="eastAsia" w:ascii="宋体" w:hAnsi="宋体" w:cs="宋体"/>
        </w:rPr>
        <w:t>告知其未通过的原因。</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w:t>
      </w:r>
      <w:r>
        <w:rPr>
          <w:rFonts w:hint="eastAsia" w:ascii="宋体" w:hAnsi="宋体" w:cs="宋体"/>
          <w:lang w:eastAsia="zh-CN"/>
        </w:rPr>
        <w:t>供应商</w:t>
      </w:r>
      <w:r>
        <w:rPr>
          <w:rFonts w:hint="eastAsia" w:ascii="宋体" w:hAnsi="宋体" w:cs="宋体"/>
        </w:rPr>
        <w:t>不足3家的，不再评标。</w:t>
      </w:r>
    </w:p>
    <w:p>
      <w:pPr>
        <w:pStyle w:val="130"/>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20、信用信息查询</w:t>
      </w:r>
    </w:p>
    <w:p>
      <w:pPr>
        <w:pStyle w:val="130"/>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w:t>
      </w:r>
      <w:r>
        <w:rPr>
          <w:rFonts w:hint="eastAsia" w:ascii="宋体" w:hAnsi="宋体" w:cs="宋体"/>
          <w:kern w:val="0"/>
          <w:szCs w:val="24"/>
          <w:lang w:eastAsia="zh-CN"/>
        </w:rPr>
        <w:t>供应商</w:t>
      </w:r>
      <w:r>
        <w:rPr>
          <w:rFonts w:hint="eastAsia" w:ascii="宋体" w:hAnsi="宋体" w:cs="宋体"/>
          <w:kern w:val="0"/>
          <w:szCs w:val="24"/>
        </w:rPr>
        <w:t>接受资格审查时的信用记录。</w:t>
      </w:r>
    </w:p>
    <w:p>
      <w:pPr>
        <w:pStyle w:val="130"/>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rPr>
      </w:pPr>
      <w:r>
        <w:rPr>
          <w:rFonts w:hint="eastAsia" w:ascii="宋体" w:hAnsi="宋体" w:cs="宋体"/>
          <w:kern w:val="0"/>
          <w:szCs w:val="24"/>
        </w:rPr>
        <w:t>20.2信用信息查询记录和证据留存的具体方式：现场查询的</w:t>
      </w:r>
      <w:r>
        <w:rPr>
          <w:rFonts w:hint="eastAsia" w:ascii="宋体" w:hAnsi="宋体" w:cs="宋体"/>
          <w:kern w:val="0"/>
          <w:szCs w:val="24"/>
          <w:lang w:eastAsia="zh-CN"/>
        </w:rPr>
        <w:t>供应商</w:t>
      </w:r>
      <w:r>
        <w:rPr>
          <w:rFonts w:hint="eastAsia" w:ascii="宋体" w:hAnsi="宋体" w:cs="宋体"/>
          <w:kern w:val="0"/>
          <w:szCs w:val="24"/>
        </w:rPr>
        <w:t>的信用记录、查询结果经确认后将与</w:t>
      </w:r>
      <w:r>
        <w:rPr>
          <w:rFonts w:hint="eastAsia" w:ascii="宋体" w:hAnsi="宋体" w:cs="宋体"/>
          <w:kern w:val="0"/>
          <w:szCs w:val="24"/>
          <w:lang w:eastAsia="zh-CN"/>
        </w:rPr>
        <w:t>招标文件</w:t>
      </w:r>
      <w:r>
        <w:rPr>
          <w:rFonts w:hint="eastAsia" w:ascii="宋体" w:hAnsi="宋体" w:cs="宋体"/>
          <w:kern w:val="0"/>
          <w:szCs w:val="24"/>
        </w:rPr>
        <w:t>一起存档。</w:t>
      </w:r>
    </w:p>
    <w:p>
      <w:pPr>
        <w:pStyle w:val="130"/>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w:t>
      </w:r>
      <w:r>
        <w:rPr>
          <w:rFonts w:hint="eastAsia" w:ascii="宋体" w:hAnsi="宋体" w:cs="宋体"/>
          <w:snapToGrid w:val="0"/>
          <w:kern w:val="28"/>
          <w:sz w:val="24"/>
          <w:szCs w:val="20"/>
        </w:rPr>
        <w:t>（重大税收违法失信主体）</w:t>
      </w:r>
      <w:r>
        <w:rPr>
          <w:rFonts w:hint="eastAsia" w:ascii="宋体" w:hAnsi="宋体" w:cs="宋体"/>
          <w:kern w:val="0"/>
          <w:szCs w:val="24"/>
        </w:rPr>
        <w:t>、政府采购严重违法失信行为记录名单的</w:t>
      </w:r>
      <w:r>
        <w:rPr>
          <w:rFonts w:hint="eastAsia" w:ascii="宋体" w:hAnsi="宋体" w:cs="宋体"/>
          <w:kern w:val="0"/>
          <w:szCs w:val="24"/>
          <w:lang w:eastAsia="zh-CN"/>
        </w:rPr>
        <w:t>供应商</w:t>
      </w:r>
      <w:r>
        <w:rPr>
          <w:rFonts w:hint="eastAsia" w:ascii="宋体" w:hAnsi="宋体" w:cs="宋体"/>
          <w:kern w:val="0"/>
          <w:szCs w:val="24"/>
        </w:rPr>
        <w:t>将被拒绝参与政府采购活动。</w:t>
      </w:r>
    </w:p>
    <w:p>
      <w:pPr>
        <w:pStyle w:val="130"/>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sz w:val="36"/>
          <w:szCs w:val="36"/>
        </w:rPr>
      </w:pPr>
      <w:r>
        <w:rPr>
          <w:rFonts w:hint="eastAsia" w:ascii="宋体" w:hAnsi="宋体" w:cs="宋体"/>
          <w:b/>
          <w:sz w:val="36"/>
          <w:szCs w:val="36"/>
        </w:rPr>
        <w:t>五、评标</w:t>
      </w:r>
    </w:p>
    <w:p>
      <w:pPr>
        <w:pageBreakBefore w:val="0"/>
        <w:shd w:val="clear"/>
        <w:kinsoku/>
        <w:wordWrap/>
        <w:overflowPunct/>
        <w:topLinePunct w:val="0"/>
        <w:bidi w:val="0"/>
        <w:spacing w:beforeAutospacing="0" w:line="348" w:lineRule="auto"/>
        <w:textAlignment w:val="auto"/>
        <w:outlineLvl w:val="9"/>
        <w:rPr>
          <w:rFonts w:ascii="宋体" w:hAnsi="宋体" w:cs="宋体"/>
          <w:b/>
          <w:sz w:val="24"/>
        </w:rPr>
      </w:pPr>
      <w:bookmarkStart w:id="19"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w:t>
      </w:r>
      <w:r>
        <w:rPr>
          <w:rFonts w:hint="eastAsia" w:ascii="宋体" w:hAnsi="宋体" w:cs="宋体"/>
          <w:sz w:val="24"/>
          <w:lang w:eastAsia="zh-CN"/>
        </w:rPr>
        <w:t>供应商</w:t>
      </w:r>
      <w:r>
        <w:rPr>
          <w:rFonts w:hint="eastAsia" w:ascii="宋体" w:hAnsi="宋体" w:cs="宋体"/>
          <w:sz w:val="24"/>
        </w:rPr>
        <w:t>对招标文件的响应情况。对实质上响应招标文件的</w:t>
      </w:r>
      <w:r>
        <w:rPr>
          <w:rFonts w:hint="eastAsia" w:ascii="宋体" w:hAnsi="宋体" w:cs="宋体"/>
          <w:sz w:val="24"/>
          <w:lang w:eastAsia="zh-CN"/>
        </w:rPr>
        <w:t>供应商</w:t>
      </w:r>
      <w:r>
        <w:rPr>
          <w:rFonts w:hint="eastAsia" w:ascii="宋体" w:hAnsi="宋体" w:cs="宋体"/>
          <w:sz w:val="24"/>
        </w:rPr>
        <w:t>，按照评审因素的量化指标排出推荐中标的</w:t>
      </w:r>
      <w:r>
        <w:rPr>
          <w:rFonts w:hint="eastAsia" w:ascii="宋体" w:hAnsi="宋体" w:cs="宋体"/>
          <w:sz w:val="24"/>
          <w:lang w:eastAsia="zh-CN"/>
        </w:rPr>
        <w:t>供应商</w:t>
      </w:r>
      <w:r>
        <w:rPr>
          <w:rFonts w:hint="eastAsia" w:ascii="宋体" w:hAnsi="宋体" w:cs="宋体"/>
          <w:sz w:val="24"/>
        </w:rPr>
        <w:t>的先后顺序，并按顺序提出授标建议。</w:t>
      </w:r>
      <w:r>
        <w:rPr>
          <w:rFonts w:hint="eastAsia" w:ascii="宋体" w:hAnsi="宋体" w:cs="宋体"/>
          <w:b/>
          <w:sz w:val="24"/>
        </w:rPr>
        <w:t>详见招标文件第四部分评标办法。</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sz w:val="36"/>
          <w:szCs w:val="36"/>
        </w:rPr>
      </w:pPr>
      <w:r>
        <w:rPr>
          <w:rFonts w:hint="eastAsia" w:ascii="宋体" w:hAnsi="宋体" w:cs="宋体"/>
          <w:b/>
          <w:sz w:val="36"/>
          <w:szCs w:val="36"/>
        </w:rPr>
        <w:t>六、定 标</w:t>
      </w:r>
    </w:p>
    <w:p>
      <w:pPr>
        <w:pStyle w:val="25"/>
        <w:pageBreakBefore w:val="0"/>
        <w:shd w:val="clear"/>
        <w:kinsoku/>
        <w:wordWrap/>
        <w:overflowPunct/>
        <w:topLinePunct w:val="0"/>
        <w:bidi w:val="0"/>
        <w:spacing w:beforeAutospacing="0" w:line="348" w:lineRule="auto"/>
        <w:ind w:left="479" w:hanging="479" w:hangingChars="199"/>
        <w:textAlignment w:val="auto"/>
        <w:outlineLvl w:val="9"/>
        <w:rPr>
          <w:rFonts w:cs="宋体"/>
          <w:b/>
        </w:rPr>
      </w:pPr>
      <w:r>
        <w:rPr>
          <w:rFonts w:hint="eastAsia" w:cs="宋体"/>
          <w:b/>
        </w:rPr>
        <w:t>22. 确定中标供应商</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hint="eastAsia" w:ascii="宋体" w:hAnsi="宋体" w:eastAsia="宋体" w:cs="宋体"/>
          <w:b/>
          <w:szCs w:val="24"/>
          <w:lang w:val="en-US" w:eastAsia="zh-CN"/>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23. 中标通知与中标结果公告</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rPr>
      </w:pPr>
      <w:r>
        <w:rPr>
          <w:rFonts w:hint="eastAsia" w:ascii="宋体" w:hAnsi="宋体" w:cs="宋体"/>
          <w:sz w:val="24"/>
        </w:rPr>
        <w:t>23.3公告期限为1个工作日。</w:t>
      </w:r>
    </w:p>
    <w:p>
      <w:pPr>
        <w:pageBreakBefore w:val="0"/>
        <w:shd w:val="clear"/>
        <w:kinsoku/>
        <w:wordWrap/>
        <w:overflowPunct/>
        <w:topLinePunct w:val="0"/>
        <w:bidi w:val="0"/>
        <w:snapToGrid w:val="0"/>
        <w:spacing w:beforeAutospacing="0" w:line="348" w:lineRule="auto"/>
        <w:ind w:left="120" w:leftChars="57" w:firstLine="482" w:firstLineChars="150"/>
        <w:jc w:val="center"/>
        <w:textAlignment w:val="auto"/>
        <w:outlineLvl w:val="9"/>
        <w:rPr>
          <w:rFonts w:ascii="宋体" w:hAnsi="宋体" w:cs="宋体"/>
          <w:b/>
          <w:sz w:val="32"/>
        </w:rPr>
      </w:pPr>
      <w:r>
        <w:rPr>
          <w:rFonts w:hint="eastAsia" w:ascii="宋体" w:hAnsi="宋体" w:cs="宋体"/>
          <w:b/>
          <w:sz w:val="32"/>
        </w:rPr>
        <w:t>七、合同授予</w:t>
      </w:r>
    </w:p>
    <w:p>
      <w:pPr>
        <w:pStyle w:val="25"/>
        <w:pageBreakBefore w:val="0"/>
        <w:shd w:val="clear"/>
        <w:kinsoku/>
        <w:wordWrap/>
        <w:overflowPunct/>
        <w:topLinePunct w:val="0"/>
        <w:bidi w:val="0"/>
        <w:spacing w:beforeAutospacing="0" w:line="348" w:lineRule="auto"/>
        <w:ind w:left="479" w:hanging="479" w:hangingChars="199"/>
        <w:textAlignment w:val="auto"/>
        <w:outlineLvl w:val="9"/>
        <w:rPr>
          <w:rFonts w:cs="宋体"/>
          <w:b/>
        </w:rPr>
      </w:pPr>
      <w:r>
        <w:rPr>
          <w:rFonts w:hint="eastAsia" w:cs="宋体"/>
          <w:b/>
        </w:rPr>
        <w:t xml:space="preserve">24. </w:t>
      </w:r>
      <w:r>
        <w:rPr>
          <w:rFonts w:hint="eastAsia" w:cs="宋体"/>
        </w:rPr>
        <w:t>合同主要条款详见第五部分拟签订的合同文本。</w:t>
      </w:r>
    </w:p>
    <w:p>
      <w:pPr>
        <w:pStyle w:val="25"/>
        <w:pageBreakBefore w:val="0"/>
        <w:shd w:val="clear"/>
        <w:kinsoku/>
        <w:wordWrap/>
        <w:overflowPunct/>
        <w:topLinePunct w:val="0"/>
        <w:bidi w:val="0"/>
        <w:spacing w:beforeAutospacing="0" w:line="348" w:lineRule="auto"/>
        <w:ind w:left="479" w:hanging="479" w:hangingChars="199"/>
        <w:textAlignment w:val="auto"/>
        <w:outlineLvl w:val="9"/>
        <w:rPr>
          <w:rFonts w:cs="宋体"/>
          <w:b/>
        </w:rPr>
      </w:pPr>
      <w:r>
        <w:rPr>
          <w:rFonts w:hint="eastAsia" w:cs="宋体"/>
          <w:b/>
        </w:rPr>
        <w:t>25. 合同的签订</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ascii="宋体" w:hAnsi="宋体" w:cs="宋体"/>
          <w:kern w:val="0"/>
          <w:sz w:val="24"/>
          <w:lang w:eastAsia="zh-CN"/>
        </w:rPr>
        <w:t>招标文件</w:t>
      </w:r>
      <w:r>
        <w:rPr>
          <w:rFonts w:hint="eastAsia" w:ascii="宋体" w:hAnsi="宋体" w:cs="宋体"/>
          <w:kern w:val="0"/>
          <w:sz w:val="24"/>
        </w:rPr>
        <w:t>确定的事项签订政府采购合同。</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pageBreakBefore w:val="0"/>
        <w:shd w:val="clear"/>
        <w:kinsoku/>
        <w:wordWrap/>
        <w:overflowPunct/>
        <w:topLinePunct w:val="0"/>
        <w:bidi w:val="0"/>
        <w:spacing w:beforeAutospacing="0" w:line="348" w:lineRule="auto"/>
        <w:ind w:left="479" w:hanging="479" w:hangingChars="199"/>
        <w:textAlignment w:val="auto"/>
        <w:outlineLvl w:val="9"/>
        <w:rPr>
          <w:rFonts w:cs="宋体"/>
          <w:b/>
        </w:rPr>
      </w:pPr>
      <w:r>
        <w:rPr>
          <w:rFonts w:hint="eastAsia" w:cs="宋体"/>
          <w:b/>
        </w:rPr>
        <w:t>26. 履约保证金</w:t>
      </w:r>
    </w:p>
    <w:p>
      <w:pPr>
        <w:pageBreakBefore w:val="0"/>
        <w:shd w:val="clear"/>
        <w:tabs>
          <w:tab w:val="left" w:pos="0"/>
        </w:tabs>
        <w:kinsoku/>
        <w:wordWrap/>
        <w:overflowPunct/>
        <w:topLinePunct w:val="0"/>
        <w:bidi w:val="0"/>
        <w:spacing w:beforeAutospacing="0" w:line="348" w:lineRule="auto"/>
        <w:ind w:firstLine="482"/>
        <w:textAlignment w:val="auto"/>
        <w:outlineLvl w:val="9"/>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ageBreakBefore w:val="0"/>
        <w:shd w:val="clear"/>
        <w:tabs>
          <w:tab w:val="left" w:pos="432"/>
        </w:tabs>
        <w:kinsoku/>
        <w:wordWrap/>
        <w:overflowPunct/>
        <w:topLinePunct w:val="0"/>
        <w:bidi w:val="0"/>
        <w:spacing w:beforeAutospacing="0" w:line="348" w:lineRule="auto"/>
        <w:ind w:left="0" w:firstLine="480" w:firstLineChars="200"/>
        <w:textAlignment w:val="auto"/>
        <w:outlineLvl w:val="9"/>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ageBreakBefore w:val="0"/>
        <w:shd w:val="clear"/>
        <w:tabs>
          <w:tab w:val="left" w:pos="432"/>
        </w:tabs>
        <w:kinsoku/>
        <w:wordWrap/>
        <w:overflowPunct/>
        <w:topLinePunct w:val="0"/>
        <w:bidi w:val="0"/>
        <w:spacing w:beforeAutospacing="0" w:line="348" w:lineRule="auto"/>
        <w:textAlignment w:val="auto"/>
        <w:outlineLvl w:val="9"/>
        <w:rPr>
          <w:highlight w:val="none"/>
        </w:rPr>
      </w:pPr>
      <w:r>
        <w:rPr>
          <w:rFonts w:ascii="宋体" w:hAnsi="宋体" w:eastAsia="宋体" w:cs="Times New Roman"/>
          <w:b/>
          <w:bCs/>
          <w:kern w:val="2"/>
          <w:sz w:val="24"/>
          <w:szCs w:val="32"/>
          <w:highlight w:val="none"/>
          <w:lang w:val="en-US"/>
        </w:rPr>
        <w:t>27.预付款</w:t>
      </w:r>
    </w:p>
    <w:p>
      <w:pPr>
        <w:pageBreakBefore w:val="0"/>
        <w:shd w:val="clear"/>
        <w:kinsoku/>
        <w:wordWrap/>
        <w:overflowPunct/>
        <w:topLinePunct w:val="0"/>
        <w:bidi w:val="0"/>
        <w:adjustRightInd/>
        <w:spacing w:beforeAutospacing="0" w:line="348" w:lineRule="auto"/>
        <w:ind w:firstLine="480" w:firstLineChars="200"/>
        <w:textAlignment w:val="auto"/>
        <w:outlineLvl w:val="9"/>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hint="eastAsia" w:ascii="宋体" w:hAnsi="宋体" w:cs="宋体"/>
          <w:b/>
          <w:sz w:val="32"/>
        </w:rPr>
      </w:pP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ascii="宋体" w:hAnsi="宋体" w:cs="宋体"/>
          <w:b/>
          <w:sz w:val="24"/>
        </w:rPr>
      </w:pPr>
      <w:r>
        <w:rPr>
          <w:rFonts w:hint="eastAsia" w:ascii="宋体" w:hAnsi="宋体" w:cs="宋体"/>
          <w:b/>
          <w:sz w:val="32"/>
        </w:rPr>
        <w:t>八、电子交易活动的中止</w:t>
      </w:r>
    </w:p>
    <w:p>
      <w:pPr>
        <w:pStyle w:val="130"/>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 xml:space="preserve">28.1电子交易平台发生故障而无法登录访问的； </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28.2电子交易平台应用或数据库出现错误，不能进行正常操作的；</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28.3电子交易平台发现严重安全漏洞，有潜在泄密危险的；</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 xml:space="preserve">28.4病毒发作导致不能进行正常操作的； </w:t>
      </w:r>
    </w:p>
    <w:p>
      <w:pPr>
        <w:pStyle w:val="130"/>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28.5其他无法保证电子交易的公平、公正和安全的情况。</w:t>
      </w:r>
    </w:p>
    <w:p>
      <w:pPr>
        <w:pStyle w:val="130"/>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29.出现以上情形，不影响采购公平、公正性的，采购组织机构可以待上述情形消除后继续组织电子交易活动；影响或可能影响采购公平、公正性的，应当重新采购。</w:t>
      </w:r>
    </w:p>
    <w:p>
      <w:pPr>
        <w:keepNext w:val="0"/>
        <w:keepLines w:val="0"/>
        <w:pageBreakBefore w:val="0"/>
        <w:widowControl w:val="0"/>
        <w:shd w:val="clear"/>
        <w:kinsoku/>
        <w:wordWrap/>
        <w:overflowPunct/>
        <w:topLinePunct w:val="0"/>
        <w:autoSpaceDE/>
        <w:autoSpaceDN/>
        <w:bidi w:val="0"/>
        <w:adjustRightInd w:val="0"/>
        <w:snapToGrid w:val="0"/>
        <w:spacing w:beforeAutospacing="0" w:line="348" w:lineRule="auto"/>
        <w:ind w:left="120" w:leftChars="57" w:firstLine="0" w:firstLineChars="0"/>
        <w:jc w:val="center"/>
        <w:textAlignment w:val="auto"/>
        <w:outlineLvl w:val="9"/>
        <w:rPr>
          <w:rFonts w:ascii="宋体" w:hAnsi="宋体" w:cs="宋体"/>
          <w:b/>
          <w:sz w:val="32"/>
        </w:rPr>
      </w:pPr>
      <w:r>
        <w:rPr>
          <w:rFonts w:hint="eastAsia" w:ascii="宋体" w:hAnsi="宋体" w:cs="宋体"/>
          <w:b/>
          <w:sz w:val="32"/>
        </w:rPr>
        <w:t>九、验收</w:t>
      </w:r>
    </w:p>
    <w:p>
      <w:pPr>
        <w:pStyle w:val="25"/>
        <w:pageBreakBefore w:val="0"/>
        <w:shd w:val="clear"/>
        <w:kinsoku/>
        <w:wordWrap/>
        <w:overflowPunct/>
        <w:topLinePunct w:val="0"/>
        <w:bidi w:val="0"/>
        <w:spacing w:beforeAutospacing="0" w:line="348" w:lineRule="auto"/>
        <w:ind w:firstLine="0" w:firstLineChars="0"/>
        <w:textAlignment w:val="auto"/>
        <w:outlineLvl w:val="9"/>
        <w:rPr>
          <w:rFonts w:cs="宋体"/>
          <w:b/>
        </w:rPr>
      </w:pPr>
      <w:r>
        <w:rPr>
          <w:rFonts w:hint="eastAsia" w:cs="宋体"/>
          <w:b/>
        </w:rPr>
        <w:t>30.验收</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rPr>
      </w:pPr>
      <w:r>
        <w:rPr>
          <w:rFonts w:hint="eastAsia" w:ascii="宋体" w:hAnsi="宋体" w:cs="宋体"/>
          <w:kern w:val="0"/>
          <w:sz w:val="24"/>
        </w:rPr>
        <w:t>30.2采购人可以邀请参加本项目的其他</w:t>
      </w:r>
      <w:r>
        <w:rPr>
          <w:rFonts w:hint="eastAsia" w:ascii="宋体" w:hAnsi="宋体" w:cs="宋体"/>
          <w:kern w:val="0"/>
          <w:sz w:val="24"/>
          <w:lang w:eastAsia="zh-CN"/>
        </w:rPr>
        <w:t>供应商</w:t>
      </w:r>
      <w:r>
        <w:rPr>
          <w:rFonts w:hint="eastAsia" w:ascii="宋体" w:hAnsi="宋体" w:cs="宋体"/>
          <w:kern w:val="0"/>
          <w:sz w:val="24"/>
        </w:rPr>
        <w:t>或者第三方机构参与验收。参与验收的</w:t>
      </w:r>
      <w:r>
        <w:rPr>
          <w:rFonts w:hint="eastAsia" w:ascii="宋体" w:hAnsi="宋体" w:cs="宋体"/>
          <w:kern w:val="0"/>
          <w:sz w:val="24"/>
          <w:lang w:eastAsia="zh-CN"/>
        </w:rPr>
        <w:t>供应商</w:t>
      </w:r>
      <w:r>
        <w:rPr>
          <w:rFonts w:hint="eastAsia" w:ascii="宋体" w:hAnsi="宋体" w:cs="宋体"/>
          <w:kern w:val="0"/>
          <w:sz w:val="24"/>
        </w:rPr>
        <w:t>或者第三方机构的意见作为验收书的参考资料一并存档。</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kinsoku/>
        <w:wordWrap/>
        <w:overflowPunct/>
        <w:topLinePunct w:val="0"/>
        <w:bidi w:val="0"/>
        <w:outlineLvl w:val="9"/>
        <w:rPr>
          <w:rFonts w:ascii="宋体" w:hAnsi="宋体" w:cs="宋体"/>
          <w:kern w:val="0"/>
          <w:sz w:val="24"/>
        </w:rPr>
      </w:pPr>
      <w:bookmarkStart w:id="20" w:name="_Hlt74714665"/>
      <w:bookmarkEnd w:id="20"/>
      <w:bookmarkStart w:id="21" w:name="_Hlt68072998"/>
      <w:bookmarkEnd w:id="21"/>
      <w:bookmarkStart w:id="22" w:name="_Hlt68073093"/>
      <w:bookmarkEnd w:id="22"/>
      <w:bookmarkStart w:id="23" w:name="_Hlt74729768"/>
      <w:bookmarkEnd w:id="23"/>
      <w:bookmarkStart w:id="24" w:name="_Hlt68072990"/>
      <w:bookmarkEnd w:id="24"/>
      <w:bookmarkStart w:id="25" w:name="_Hlt74707468"/>
      <w:bookmarkEnd w:id="25"/>
      <w:bookmarkStart w:id="26" w:name="_Hlt75236011"/>
      <w:bookmarkEnd w:id="26"/>
      <w:bookmarkStart w:id="27" w:name="_Hlt68057669"/>
      <w:bookmarkEnd w:id="27"/>
      <w:bookmarkStart w:id="28" w:name="_Hlt68403820"/>
      <w:bookmarkEnd w:id="28"/>
      <w:bookmarkStart w:id="29" w:name="_Hlt75236101"/>
      <w:bookmarkEnd w:id="29"/>
      <w:bookmarkStart w:id="30" w:name="_Hlt74730295"/>
      <w:bookmarkEnd w:id="30"/>
      <w:bookmarkStart w:id="31" w:name="_Hlt75236290"/>
      <w:bookmarkEnd w:id="31"/>
    </w:p>
    <w:p>
      <w:pPr>
        <w:kinsoku/>
        <w:wordWrap/>
        <w:overflowPunct/>
        <w:topLinePunct w:val="0"/>
        <w:bidi w:val="0"/>
        <w:outlineLvl w:val="9"/>
        <w:sectPr>
          <w:footerReference r:id="rId7" w:type="first"/>
          <w:footerReference r:id="rId6" w:type="default"/>
          <w:pgSz w:w="11906" w:h="16838"/>
          <w:pgMar w:top="680" w:right="1418" w:bottom="468" w:left="1418" w:header="851" w:footer="992" w:gutter="0"/>
          <w:pgNumType w:fmt="decimal" w:start="1"/>
          <w:cols w:space="720" w:num="1"/>
          <w:titlePg/>
          <w:docGrid w:linePitch="312" w:charSpace="0"/>
        </w:sectPr>
      </w:pPr>
    </w:p>
    <w:bookmarkEnd w:id="14"/>
    <w:bookmarkEnd w:id="15"/>
    <w:p>
      <w:pPr>
        <w:kinsoku/>
        <w:wordWrap/>
        <w:overflowPunct/>
        <w:topLinePunct w:val="0"/>
        <w:bidi w:val="0"/>
        <w:spacing w:line="360" w:lineRule="auto"/>
        <w:jc w:val="center"/>
        <w:outlineLvl w:val="0"/>
        <w:rPr>
          <w:rFonts w:ascii="宋体" w:hAnsi="宋体" w:cs="宋体"/>
          <w:b/>
          <w:sz w:val="36"/>
          <w:szCs w:val="36"/>
        </w:rPr>
      </w:pPr>
      <w:bookmarkStart w:id="32" w:name="_Toc26044"/>
      <w:bookmarkStart w:id="33" w:name="第四部分"/>
      <w:r>
        <w:rPr>
          <w:rFonts w:hint="eastAsia" w:ascii="宋体" w:hAnsi="宋体" w:cs="宋体"/>
          <w:b/>
          <w:sz w:val="36"/>
          <w:szCs w:val="36"/>
        </w:rPr>
        <w:t>第三部分   采购需求</w:t>
      </w:r>
      <w:bookmarkEnd w:id="32"/>
    </w:p>
    <w:p>
      <w:pPr>
        <w:widowControl/>
        <w:kinsoku/>
        <w:wordWrap/>
        <w:overflowPunct/>
        <w:topLinePunct w:val="0"/>
        <w:bidi w:val="0"/>
        <w:adjustRightInd/>
        <w:spacing w:line="320" w:lineRule="exact"/>
        <w:jc w:val="center"/>
        <w:outlineLvl w:val="9"/>
        <w:rPr>
          <w:rFonts w:hint="eastAsia" w:ascii="宋体" w:hAnsi="宋体" w:eastAsia="宋体" w:cs="宋体"/>
          <w:b/>
          <w:bCs/>
          <w:color w:val="auto"/>
          <w:kern w:val="0"/>
          <w:sz w:val="24"/>
          <w:szCs w:val="24"/>
          <w:highlight w:val="none"/>
        </w:rPr>
      </w:pPr>
      <w:bookmarkStart w:id="34" w:name="_Toc24013"/>
      <w:r>
        <w:rPr>
          <w:rFonts w:hint="eastAsia" w:ascii="宋体" w:hAnsi="宋体" w:eastAsia="宋体" w:cs="宋体"/>
          <w:b/>
          <w:bCs/>
          <w:color w:val="auto"/>
          <w:kern w:val="0"/>
          <w:sz w:val="24"/>
          <w:szCs w:val="24"/>
          <w:highlight w:val="none"/>
        </w:rPr>
        <w:t>前附表</w:t>
      </w:r>
      <w:bookmarkEnd w:id="34"/>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810"/>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rPr>
            </w:pPr>
            <w:bookmarkStart w:id="35" w:name="_Toc329697494"/>
            <w:bookmarkStart w:id="36" w:name="_Toc317685548"/>
            <w:r>
              <w:rPr>
                <w:rFonts w:hint="eastAsia" w:ascii="宋体" w:hAnsi="宋体" w:eastAsia="宋体" w:cs="宋体"/>
                <w:b/>
                <w:kern w:val="0"/>
                <w:sz w:val="24"/>
                <w:szCs w:val="24"/>
              </w:rPr>
              <w:t>序号</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rPr>
            </w:pPr>
            <w:r>
              <w:rPr>
                <w:rFonts w:hint="eastAsia" w:ascii="宋体" w:hAnsi="宋体" w:eastAsia="宋体" w:cs="宋体"/>
                <w:b/>
                <w:kern w:val="0"/>
                <w:sz w:val="24"/>
                <w:szCs w:val="24"/>
              </w:rPr>
              <w:t>项目</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rPr>
            </w:pPr>
            <w:r>
              <w:rPr>
                <w:rFonts w:hint="eastAsia" w:ascii="宋体" w:hAnsi="宋体" w:eastAsia="宋体" w:cs="宋体"/>
                <w:b/>
                <w:kern w:val="0"/>
                <w:sz w:val="24"/>
                <w:szCs w:val="24"/>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采购内容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详见</w:t>
            </w:r>
            <w:r>
              <w:rPr>
                <w:rFonts w:hint="eastAsia" w:ascii="宋体" w:hAnsi="宋体" w:eastAsia="宋体" w:cs="宋体"/>
                <w:color w:val="auto"/>
                <w:kern w:val="0"/>
                <w:sz w:val="24"/>
                <w:szCs w:val="24"/>
                <w:lang w:val="en-US" w:eastAsia="zh-CN"/>
              </w:rPr>
              <w:t>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单位及数量</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详见第一部分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交付或者实施的时间和地点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合同履行期限：详见第一部分 招标公告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实施地点：详见</w:t>
            </w:r>
            <w:r>
              <w:rPr>
                <w:rFonts w:hint="eastAsia" w:ascii="宋体" w:hAnsi="宋体" w:eastAsia="宋体" w:cs="宋体"/>
                <w:color w:val="auto"/>
                <w:kern w:val="0"/>
                <w:sz w:val="24"/>
                <w:szCs w:val="24"/>
                <w:lang w:val="en-US" w:eastAsia="zh-CN"/>
              </w:rPr>
              <w:t>本部分</w:t>
            </w:r>
            <w:r>
              <w:rPr>
                <w:rFonts w:hint="eastAsia" w:ascii="宋体" w:hAnsi="宋体" w:eastAsia="宋体" w:cs="宋体"/>
                <w:color w:val="auto"/>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需实现的功能或者目标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执行的国家相关标准、行业标准、地方标准或者其它标准、规范</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国家相关标准、行业标准、地方标准或者其他标准规范。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技术规格要求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详见本部分内容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物理特性要求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质量、安全要求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（1）质量要求：详见本部分内容</w:t>
            </w:r>
            <w:r>
              <w:rPr>
                <w:rFonts w:hint="eastAsia" w:ascii="宋体" w:hAnsi="宋体" w:eastAsia="宋体" w:cs="宋体"/>
                <w:color w:val="auto"/>
                <w:kern w:val="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（2）安全要求：合格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服务标准、期限、效率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按照中标人提供的投标文件及中标人和采购人签订的政府采购合同为标准进行验收。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验收标准</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现场踏勘</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演示时间及地点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样品要求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无</w:t>
            </w:r>
          </w:p>
        </w:tc>
      </w:tr>
    </w:tbl>
    <w:p>
      <w:pPr>
        <w:widowControl/>
        <w:kinsoku/>
        <w:wordWrap/>
        <w:overflowPunct/>
        <w:topLinePunct w:val="0"/>
        <w:bidi w:val="0"/>
        <w:adjustRightInd/>
        <w:spacing w:line="360" w:lineRule="auto"/>
        <w:jc w:val="left"/>
        <w:outlineLvl w:val="9"/>
        <w:rPr>
          <w:rFonts w:hint="eastAsia" w:ascii="宋体" w:hAnsi="宋体" w:eastAsia="宋体" w:cs="宋体"/>
          <w:color w:val="auto"/>
          <w:kern w:val="0"/>
          <w:sz w:val="24"/>
          <w:szCs w:val="24"/>
          <w:highlight w:val="none"/>
        </w:rPr>
      </w:pPr>
    </w:p>
    <w:p>
      <w:pPr>
        <w:widowControl/>
        <w:kinsoku/>
        <w:wordWrap/>
        <w:overflowPunct/>
        <w:topLinePunct w:val="0"/>
        <w:bidi w:val="0"/>
        <w:adjustRightInd/>
        <w:spacing w:line="360" w:lineRule="auto"/>
        <w:jc w:val="center"/>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br w:type="page"/>
      </w:r>
    </w:p>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一、重要商务要求一览表</w:t>
      </w:r>
    </w:p>
    <w:bookmarkEnd w:id="35"/>
    <w:bookmarkEnd w:id="36"/>
    <w:tbl>
      <w:tblPr>
        <w:tblStyle w:val="62"/>
        <w:tblW w:w="8355" w:type="dxa"/>
        <w:tblInd w:w="46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46"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合同履行期限及地点</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）合同履行期限：详见第一部分 《招标公告》。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）实施地点：采购人指定地点。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46"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付款方式</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（1）合同签订后7个工作日内支付</w:t>
            </w:r>
            <w:r>
              <w:rPr>
                <w:rFonts w:hint="eastAsia" w:ascii="宋体" w:hAnsi="宋体" w:eastAsia="宋体" w:cs="宋体"/>
                <w:kern w:val="0"/>
                <w:sz w:val="24"/>
                <w:szCs w:val="24"/>
                <w:lang w:val="en-US" w:eastAsia="zh-CN"/>
              </w:rPr>
              <w:t>年度</w:t>
            </w:r>
            <w:r>
              <w:rPr>
                <w:rFonts w:hint="eastAsia" w:ascii="宋体" w:hAnsi="宋体" w:eastAsia="宋体" w:cs="宋体"/>
                <w:kern w:val="0"/>
                <w:sz w:val="24"/>
                <w:szCs w:val="24"/>
                <w:lang w:eastAsia="zh-CN"/>
              </w:rPr>
              <w:t>合同总价20%的预付款</w:t>
            </w:r>
            <w:r>
              <w:rPr>
                <w:rFonts w:hint="eastAsia" w:ascii="宋体" w:hAnsi="宋体" w:eastAsia="宋体" w:cs="宋体"/>
                <w:kern w:val="0"/>
                <w:sz w:val="24"/>
                <w:szCs w:val="24"/>
                <w:lang w:val="zh-TW" w:eastAsia="zh-CN"/>
              </w:rPr>
              <w:t>（合同签订时中标人主动要求不需要预付款的采购人可以不支付）</w:t>
            </w:r>
            <w:r>
              <w:rPr>
                <w:rFonts w:hint="eastAsia" w:ascii="宋体" w:hAnsi="宋体" w:eastAsia="宋体" w:cs="宋体"/>
                <w:kern w:val="0"/>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（2）按月支付，由乙方根据前一个月的考核结果在下月凭税务发票支付前一个月的派遣人员成本费及管理费，乙方每月初提供税务所统一发票。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履约保证金</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（1）履约保证金金额及形式：年度合同金额的1%；中标人以银行汇票、转账、电汇、保函等形式缴纳至采购人指定账户。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（2）履约保证金在中标人完成合同履约后无息退还（但如中标人未能履行合同规定的任何义务，采购人有权从履约保证金中优先扣除应由中标人承担的违约金、赔偿金以及其他款项）。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合同终止</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中标人在合同有效期内，不得无理由终止合同，确有特殊情况的，须提前两个月向采购人提出书面申请，经采购人同意后，方可终止合同，同时酌情扣除履约保证金。因中标人不能保证工作质量，采购人可有权终止合同，中标人承担全部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对采购内容进行变更的处理</w:t>
            </w:r>
          </w:p>
        </w:tc>
        <w:tc>
          <w:tcPr>
            <w:tcW w:w="6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国家上调最低工资标准和养老保险标准的，按实际上调额及税收另行追加服务费。</w:t>
            </w:r>
          </w:p>
        </w:tc>
      </w:tr>
    </w:tbl>
    <w:p>
      <w:pPr>
        <w:keepNext w:val="0"/>
        <w:keepLines w:val="0"/>
        <w:pageBreakBefore w:val="0"/>
        <w:widowControl/>
        <w:tabs>
          <w:tab w:val="left" w:pos="851"/>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kern w:val="0"/>
          <w:sz w:val="24"/>
          <w:szCs w:val="24"/>
          <w:highlight w:val="none"/>
        </w:rPr>
      </w:pPr>
    </w:p>
    <w:p>
      <w:pPr>
        <w:kinsoku/>
        <w:wordWrap/>
        <w:overflowPunct/>
        <w:topLinePunct w:val="0"/>
        <w:bidi w:val="0"/>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br w:type="page"/>
      </w:r>
    </w:p>
    <w:p>
      <w:pPr>
        <w:widowControl/>
        <w:kinsoku/>
        <w:wordWrap/>
        <w:overflowPunct/>
        <w:topLinePunct w:val="0"/>
        <w:bidi w:val="0"/>
        <w:adjustRightInd/>
        <w:spacing w:line="360" w:lineRule="auto"/>
        <w:jc w:val="left"/>
        <w:outlineLvl w:val="9"/>
        <w:rPr>
          <w:rFonts w:hint="default"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二、项目要求：</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（一）人员要求：</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采购人需要收费处、体检中心（前台登记、收费员、文员）、超声科、心电图（文员）、内镜中心（技术工人）、供应室（技术工人、消毒工人）、放射科（窗口登记员）、门诊部（预检人员）、保卫科（消防监控）、总务科（工人）等岗位共计约148人，采用劳务外包用工模式。</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2）供应商向采购人外包的人员均由采购人确定。</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3）在合同期内采购人可随时确定人员（增加或减少）由供应商派遣。</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left="479" w:leftChars="228" w:firstLine="0" w:firstLineChars="0"/>
        <w:textAlignment w:val="auto"/>
        <w:rPr>
          <w:rFonts w:hint="default" w:ascii="宋体" w:hAnsi="宋体" w:eastAsia="宋体" w:cs="宋体"/>
          <w:b w:val="0"/>
          <w:bCs/>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w:t>
      </w:r>
      <w:r>
        <w:rPr>
          <w:rFonts w:hint="eastAsia" w:ascii="宋体" w:hAnsi="宋体" w:cs="宋体"/>
          <w:b/>
          <w:bCs w:val="0"/>
          <w:color w:val="auto"/>
          <w:kern w:val="0"/>
          <w:sz w:val="24"/>
          <w:szCs w:val="24"/>
          <w:highlight w:val="none"/>
          <w:lang w:val="en-US" w:eastAsia="zh-CN"/>
        </w:rPr>
        <w:t>4</w:t>
      </w:r>
      <w:r>
        <w:rPr>
          <w:rFonts w:hint="eastAsia" w:ascii="宋体" w:hAnsi="宋体" w:eastAsia="宋体" w:cs="宋体"/>
          <w:b/>
          <w:bCs w:val="0"/>
          <w:color w:val="auto"/>
          <w:kern w:val="0"/>
          <w:sz w:val="24"/>
          <w:szCs w:val="24"/>
          <w:highlight w:val="none"/>
          <w:lang w:val="en-US" w:eastAsia="zh-CN"/>
        </w:rPr>
        <w:t>）</w:t>
      </w:r>
      <w:r>
        <w:rPr>
          <w:rFonts w:hint="eastAsia" w:ascii="宋体" w:hAnsi="宋体" w:cs="宋体"/>
          <w:b/>
          <w:bCs w:val="0"/>
          <w:color w:val="auto"/>
          <w:kern w:val="0"/>
          <w:sz w:val="24"/>
          <w:szCs w:val="24"/>
          <w:highlight w:val="none"/>
          <w:lang w:val="en-US" w:eastAsia="zh-CN"/>
        </w:rPr>
        <w:t>外包人员薪资及福利待遇不得低于现有岗位人员的薪资及福利。</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（二）管理方面要求：</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1）供应商与外包员工签订《劳动合同》，建立劳动关系。</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2）由供应商负责被外包员工的薪酬发放、社保和残保金的办理缴纳（要求在当地办理），不能缴社保的代买商业意外保险及个税代扣代缴，劳动关系维护。</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3）供应商负责外包人员的招聘、体检（费用由应聘者自理）、入离职管理、生育、工伤的申报申领、劳动仲裁、诉讼等事宜。</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4）由供应商负责被外包员工的档案管理。</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5）采购人负责考核被外包员工的工资福利，中标人负责代收代付派遣员工工资、社保（或商业意外险）、残保金，劳务外包服务费用由中标人开具税务发票给采购人后再进行支付。</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（三）服务质量要求：</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1）采购人确定派遣员工的数量、名单后，中标人应确保10个工作日内办理完毕劳动合同签订手续、派遣手续，及时向采购人派遣，增加或人员流失须及时补充。</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2）中标人应确保及时、准确、妥善的处理被派遣员工的工资、社保（或商业意外险）、残保金及个税代扣代缴工作，避免发生劳动仲裁、诉讼事件。</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3）中标人应确保及时、准确、妥善处理被派遣员工的档案管理。</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4）中标人应确保和谐、稳妥处理被派遣员工的劳动纠纷、劳动仲裁、劳动诉讼，避免妨碍采购人的正常工作或给采购人带来不利的社会影响。</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5）中标人应指定专门有经验的人事专员及财务人员妥善处理派遣到采购人的派遣员工的各种人事事务。</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6）采购人需要增加派遣员工时，供应商必须在10天内按要求完成派遣任务。</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四）</w:t>
      </w:r>
      <w:r>
        <w:rPr>
          <w:rFonts w:hint="eastAsia" w:ascii="宋体" w:hAnsi="宋体" w:eastAsia="宋体" w:cs="宋体"/>
          <w:b/>
          <w:bCs/>
          <w:sz w:val="24"/>
          <w:szCs w:val="24"/>
          <w:highlight w:val="none"/>
        </w:rPr>
        <w:t>人员配置要求（约148人）</w:t>
      </w:r>
    </w:p>
    <w:tbl>
      <w:tblPr>
        <w:tblStyle w:val="62"/>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岗位</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收费处</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体检中心（前台登记、收费员、文员）</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超声科、心电图（文员）</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内镜中心（技术工人）</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供应室（技术工人、消毒工人）</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放射科（窗口登记员）</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门诊部（预检人员）</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保卫科（消防）</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95"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总务科（工人）</w:t>
            </w:r>
          </w:p>
        </w:tc>
        <w:tc>
          <w:tcPr>
            <w:tcW w:w="2268" w:type="dxa"/>
            <w:noWrap w:val="0"/>
            <w:vAlign w:val="center"/>
          </w:tcPr>
          <w:p>
            <w:pPr>
              <w:keepNext w:val="0"/>
              <w:keepLines w:val="0"/>
              <w:suppressLineNumbers w:val="0"/>
              <w:adjustRightInd/>
              <w:spacing w:before="0" w:beforeAutospacing="0" w:after="0" w:afterAutospacing="0" w:line="560" w:lineRule="exact"/>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r>
    </w:tbl>
    <w:p>
      <w:pPr>
        <w:adjustRightInd/>
        <w:spacing w:line="560" w:lineRule="exact"/>
        <w:ind w:firstLine="482" w:firstLineChars="200"/>
        <w:jc w:val="left"/>
        <w:rPr>
          <w:rFonts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其他要求：</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1）中标人须无条件配合医院接受上级领导、部门的监督、检查，做好各项工作并提供必须的资料。</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中标人须认真履行职责，严格按服务协议中的质量保证体系做好服务工作。确保在岗在位，各尽其职，保证符合各项服务的质量标准。如不能保证符合各项服务的质量标准及中标人各项服务承诺，招标人有权要求其整改。</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3）为保证医院的正常医疗活动的开展，中标人须提供详细的交接方案。</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4）中标人提供的服务人员需符合医院标准录用，医院提供服务岗位具体要求，中标人负责提供相关岗位服务人员。中标人应有岗前培训机构，服务人员100%经过岗前培训，并经医院考核合格后方可上岗。</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5）中标人须严格按照国家规定给员工缴纳各种社会保险（包括养老、医疗、工伤、生育险、失业保险等）。对部分岗位的超龄人员，中标人须为其缴纳商业意外险，保险额度不少于20万。</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6）如采购人要求更换服务人员时，中标人须在15天内按岗位职责要求安排新人到岗，人员须经过相关科室负责人认可。</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7）对于服务人员的工作质量考核，奖勤罚懒，具体考核细则由医院制定，每月由科室考核打分，对发现问题，科室有权要求服务单位进行整改、罚款甚至终止该名服务人员服务合同。</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8）医院有权随时建议辞退违法乱纪或严重影响医院声誉的中标人员，情节特别严重的，由医院移交相关职能部门处理。</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9）因中标人原因导致合同终止，中标人须在接到招标方合同终止通知书15天内办理好移交手续，招标方不承担中标人的一切损失。</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★10）中标人不得转包和分包，若发现转包和分包，采购人有权立即终止合同。</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11）中标人须遵守中华人民共和国劳动法、劳动合同法等法律法规和浙江省、宁波市的有关规定</w:t>
      </w:r>
      <w:r>
        <w:rPr>
          <w:rFonts w:hint="eastAsia" w:ascii="宋体" w:hAnsi="宋体" w:cs="宋体"/>
          <w:b w:val="0"/>
          <w:bCs/>
          <w:color w:val="auto"/>
          <w:kern w:val="0"/>
          <w:sz w:val="24"/>
          <w:szCs w:val="24"/>
          <w:highlight w:val="none"/>
          <w:lang w:val="en-US" w:eastAsia="zh-CN"/>
        </w:rPr>
        <w:t>。</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12）所有服务人员在服务期间的安全事故全部由中标人负责。</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13）如遇政策性变故，或政府行为需终止合同，中标人需无条件服从。</w:t>
      </w:r>
    </w:p>
    <w:p>
      <w:pPr>
        <w:keepNext w:val="0"/>
        <w:keepLines w:val="0"/>
        <w:pageBreakBefore w:val="0"/>
        <w:widowControl/>
        <w:shd w:val="clear"/>
        <w:tabs>
          <w:tab w:val="left" w:pos="851"/>
        </w:tabs>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textWrapping"/>
      </w:r>
      <w:r>
        <w:rPr>
          <w:rFonts w:hint="eastAsia" w:ascii="宋体" w:hAnsi="宋体" w:eastAsia="宋体" w:cs="宋体"/>
          <w:b/>
          <w:bCs/>
          <w:color w:val="auto"/>
          <w:sz w:val="24"/>
          <w:szCs w:val="24"/>
          <w:highlight w:val="none"/>
          <w:lang w:val="en-US" w:eastAsia="zh-CN"/>
        </w:rPr>
        <w:br w:type="textWrapping"/>
      </w:r>
      <w:r>
        <w:rPr>
          <w:rFonts w:hint="eastAsia" w:ascii="宋体" w:hAnsi="宋体" w:eastAsia="宋体" w:cs="宋体"/>
          <w:b/>
          <w:bCs/>
          <w:color w:val="auto"/>
          <w:sz w:val="24"/>
          <w:szCs w:val="24"/>
          <w:highlight w:val="none"/>
          <w:lang w:val="en-US" w:eastAsia="zh-CN"/>
        </w:rPr>
        <w:br w:type="textWrapping"/>
      </w:r>
      <w:r>
        <w:rPr>
          <w:rFonts w:hint="eastAsia" w:ascii="宋体" w:hAnsi="宋体" w:eastAsia="宋体" w:cs="宋体"/>
          <w:b/>
          <w:bCs/>
          <w:color w:val="auto"/>
          <w:sz w:val="24"/>
          <w:szCs w:val="24"/>
          <w:highlight w:val="none"/>
          <w:lang w:val="en-US" w:eastAsia="zh-CN"/>
        </w:rPr>
        <w:br w:type="textWrapping"/>
      </w:r>
      <w:r>
        <w:rPr>
          <w:rFonts w:hint="eastAsia" w:ascii="宋体" w:hAnsi="宋体" w:eastAsia="宋体" w:cs="宋体"/>
          <w:b/>
          <w:bCs/>
          <w:color w:val="auto"/>
          <w:sz w:val="24"/>
          <w:szCs w:val="24"/>
          <w:highlight w:val="none"/>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bookmarkStart w:id="37" w:name="_Toc1865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cs="宋体"/>
          <w:b/>
          <w:sz w:val="36"/>
          <w:szCs w:val="36"/>
        </w:rPr>
      </w:pPr>
      <w:r>
        <w:rPr>
          <w:rFonts w:hint="eastAsia" w:ascii="宋体" w:hAnsi="宋体" w:cs="宋体"/>
          <w:b/>
          <w:sz w:val="36"/>
          <w:szCs w:val="36"/>
        </w:rPr>
        <w:t xml:space="preserve">第四部分   </w:t>
      </w:r>
      <w:bookmarkStart w:id="38" w:name="_Toc184313301"/>
      <w:bookmarkEnd w:id="38"/>
      <w:bookmarkStart w:id="39" w:name="_Toc184312095"/>
      <w:bookmarkEnd w:id="39"/>
      <w:bookmarkStart w:id="40" w:name="_Toc184308038"/>
      <w:bookmarkEnd w:id="40"/>
      <w:bookmarkStart w:id="41" w:name="_Toc184313289"/>
      <w:bookmarkEnd w:id="41"/>
      <w:bookmarkStart w:id="42" w:name="_Toc184313238"/>
      <w:bookmarkEnd w:id="42"/>
      <w:bookmarkStart w:id="43" w:name="_Toc184310286"/>
      <w:bookmarkEnd w:id="43"/>
      <w:bookmarkStart w:id="44" w:name="_Toc184313261"/>
      <w:bookmarkEnd w:id="44"/>
      <w:bookmarkStart w:id="45" w:name="_Toc184308070"/>
      <w:bookmarkEnd w:id="45"/>
      <w:bookmarkStart w:id="46" w:name="_Toc184308094"/>
      <w:bookmarkEnd w:id="46"/>
      <w:bookmarkStart w:id="47" w:name="_Toc184313262"/>
      <w:bookmarkEnd w:id="47"/>
      <w:bookmarkStart w:id="48" w:name="_Toc184312070"/>
      <w:bookmarkEnd w:id="48"/>
      <w:bookmarkStart w:id="49" w:name="_Toc184314420"/>
      <w:bookmarkEnd w:id="49"/>
      <w:bookmarkStart w:id="50" w:name="_Toc184310316"/>
      <w:bookmarkEnd w:id="50"/>
      <w:bookmarkStart w:id="51" w:name="_Toc184314423"/>
      <w:bookmarkEnd w:id="51"/>
      <w:bookmarkStart w:id="52" w:name="_Toc184312108"/>
      <w:bookmarkEnd w:id="52"/>
      <w:bookmarkStart w:id="53" w:name="_Toc184310289"/>
      <w:bookmarkEnd w:id="53"/>
      <w:bookmarkStart w:id="54" w:name="_Toc184314456"/>
      <w:bookmarkEnd w:id="54"/>
      <w:bookmarkStart w:id="55" w:name="_Toc184314466"/>
      <w:bookmarkEnd w:id="55"/>
      <w:bookmarkStart w:id="56" w:name="_Toc184310292"/>
      <w:bookmarkEnd w:id="56"/>
      <w:bookmarkStart w:id="57" w:name="_Toc184312129"/>
      <w:bookmarkEnd w:id="57"/>
      <w:bookmarkStart w:id="58" w:name="_Toc184310321"/>
      <w:bookmarkEnd w:id="58"/>
      <w:bookmarkStart w:id="59" w:name="_Toc184310277"/>
      <w:bookmarkEnd w:id="59"/>
      <w:bookmarkStart w:id="60" w:name="_Toc184314428"/>
      <w:bookmarkEnd w:id="60"/>
      <w:bookmarkStart w:id="61" w:name="_Toc184310297"/>
      <w:bookmarkEnd w:id="61"/>
      <w:bookmarkStart w:id="62" w:name="_Toc184314445"/>
      <w:bookmarkEnd w:id="62"/>
      <w:bookmarkStart w:id="63" w:name="_Toc184308089"/>
      <w:bookmarkEnd w:id="63"/>
      <w:bookmarkStart w:id="64" w:name="_Toc184313268"/>
      <w:bookmarkEnd w:id="64"/>
      <w:bookmarkStart w:id="65" w:name="_Toc184308074"/>
      <w:bookmarkEnd w:id="65"/>
      <w:bookmarkStart w:id="66" w:name="_Toc184313259"/>
      <w:bookmarkEnd w:id="66"/>
      <w:bookmarkStart w:id="67" w:name="_Toc184310290"/>
      <w:bookmarkEnd w:id="67"/>
      <w:bookmarkStart w:id="68" w:name="_Toc184313291"/>
      <w:bookmarkEnd w:id="68"/>
      <w:bookmarkStart w:id="69" w:name="_Toc184312069"/>
      <w:bookmarkEnd w:id="69"/>
      <w:bookmarkStart w:id="70" w:name="_Toc184312111"/>
      <w:bookmarkEnd w:id="70"/>
      <w:bookmarkStart w:id="71" w:name="_Toc184308043"/>
      <w:bookmarkEnd w:id="71"/>
      <w:bookmarkStart w:id="72" w:name="_Toc184312086"/>
      <w:bookmarkEnd w:id="72"/>
      <w:bookmarkStart w:id="73" w:name="_Toc184313306"/>
      <w:bookmarkEnd w:id="73"/>
      <w:bookmarkStart w:id="74" w:name="_Toc184314437"/>
      <w:bookmarkEnd w:id="74"/>
      <w:bookmarkStart w:id="75" w:name="_Toc184308096"/>
      <w:bookmarkEnd w:id="75"/>
      <w:bookmarkStart w:id="76" w:name="_Toc184310296"/>
      <w:bookmarkEnd w:id="76"/>
      <w:bookmarkStart w:id="77" w:name="_Toc184308049"/>
      <w:bookmarkEnd w:id="77"/>
      <w:bookmarkStart w:id="78" w:name="_Toc184308076"/>
      <w:bookmarkEnd w:id="78"/>
      <w:bookmarkStart w:id="79" w:name="_Toc184313252"/>
      <w:bookmarkEnd w:id="79"/>
      <w:bookmarkStart w:id="80" w:name="_Toc184312084"/>
      <w:bookmarkEnd w:id="80"/>
      <w:bookmarkStart w:id="81" w:name="_Toc184314472"/>
      <w:bookmarkEnd w:id="81"/>
      <w:bookmarkStart w:id="82" w:name="_Toc184312089"/>
      <w:bookmarkEnd w:id="82"/>
      <w:bookmarkStart w:id="83" w:name="_Toc184308050"/>
      <w:bookmarkEnd w:id="83"/>
      <w:bookmarkStart w:id="84" w:name="_Toc184308101"/>
      <w:bookmarkEnd w:id="84"/>
      <w:bookmarkStart w:id="85" w:name="_Toc184314440"/>
      <w:bookmarkEnd w:id="85"/>
      <w:bookmarkStart w:id="86" w:name="_Toc184308051"/>
      <w:bookmarkEnd w:id="86"/>
      <w:bookmarkStart w:id="87" w:name="_Toc184313244"/>
      <w:bookmarkEnd w:id="87"/>
      <w:bookmarkStart w:id="88" w:name="_Toc184310278"/>
      <w:bookmarkEnd w:id="88"/>
      <w:bookmarkStart w:id="89" w:name="_Toc184314478"/>
      <w:bookmarkEnd w:id="89"/>
      <w:bookmarkStart w:id="90" w:name="_Toc184310339"/>
      <w:bookmarkEnd w:id="90"/>
      <w:bookmarkStart w:id="91" w:name="_Toc184314475"/>
      <w:bookmarkEnd w:id="91"/>
      <w:bookmarkStart w:id="92" w:name="_Toc184314411"/>
      <w:bookmarkEnd w:id="92"/>
      <w:bookmarkStart w:id="93" w:name="_Toc184314461"/>
      <w:bookmarkEnd w:id="93"/>
      <w:bookmarkStart w:id="94" w:name="_Toc184313282"/>
      <w:bookmarkEnd w:id="94"/>
      <w:bookmarkStart w:id="95" w:name="_Toc184314433"/>
      <w:bookmarkEnd w:id="95"/>
      <w:bookmarkStart w:id="96" w:name="_Toc184310310"/>
      <w:bookmarkEnd w:id="96"/>
      <w:bookmarkStart w:id="97" w:name="_Toc184313267"/>
      <w:bookmarkEnd w:id="97"/>
      <w:bookmarkStart w:id="98" w:name="_Toc184310312"/>
      <w:bookmarkEnd w:id="98"/>
      <w:bookmarkStart w:id="99" w:name="_Toc184314471"/>
      <w:bookmarkEnd w:id="99"/>
      <w:bookmarkStart w:id="100" w:name="_Toc184313274"/>
      <w:bookmarkEnd w:id="100"/>
      <w:bookmarkStart w:id="101" w:name="_Toc184312113"/>
      <w:bookmarkEnd w:id="101"/>
      <w:bookmarkStart w:id="102" w:name="_Toc184310282"/>
      <w:bookmarkEnd w:id="102"/>
      <w:bookmarkStart w:id="103" w:name="_Toc184312123"/>
      <w:bookmarkEnd w:id="103"/>
      <w:bookmarkStart w:id="104" w:name="_Toc184314410"/>
      <w:bookmarkEnd w:id="104"/>
      <w:bookmarkStart w:id="105" w:name="_Toc184314436"/>
      <w:bookmarkEnd w:id="105"/>
      <w:bookmarkStart w:id="106" w:name="_Toc184313295"/>
      <w:bookmarkEnd w:id="106"/>
      <w:bookmarkStart w:id="107" w:name="_Toc184314432"/>
      <w:bookmarkEnd w:id="107"/>
      <w:bookmarkStart w:id="108" w:name="_Toc184310330"/>
      <w:bookmarkEnd w:id="108"/>
      <w:bookmarkStart w:id="109" w:name="_Toc184310291"/>
      <w:bookmarkEnd w:id="109"/>
      <w:bookmarkStart w:id="110" w:name="_Toc184314441"/>
      <w:bookmarkEnd w:id="110"/>
      <w:bookmarkStart w:id="111" w:name="_Toc184310344"/>
      <w:bookmarkEnd w:id="111"/>
      <w:bookmarkStart w:id="112" w:name="_Toc184310341"/>
      <w:bookmarkEnd w:id="112"/>
      <w:bookmarkStart w:id="113" w:name="_Toc184310318"/>
      <w:bookmarkEnd w:id="113"/>
      <w:bookmarkStart w:id="114" w:name="_Toc184308071"/>
      <w:bookmarkEnd w:id="114"/>
      <w:bookmarkStart w:id="115" w:name="_Toc184313283"/>
      <w:bookmarkEnd w:id="115"/>
      <w:bookmarkStart w:id="116" w:name="_Toc184308055"/>
      <w:bookmarkEnd w:id="116"/>
      <w:bookmarkStart w:id="117" w:name="_Toc184312085"/>
      <w:bookmarkEnd w:id="117"/>
      <w:bookmarkStart w:id="118" w:name="_Toc184313243"/>
      <w:bookmarkEnd w:id="118"/>
      <w:bookmarkStart w:id="119" w:name="_Toc184312094"/>
      <w:bookmarkEnd w:id="119"/>
      <w:bookmarkStart w:id="120" w:name="_Toc184310331"/>
      <w:bookmarkEnd w:id="120"/>
      <w:bookmarkStart w:id="121" w:name="_Toc184313303"/>
      <w:bookmarkEnd w:id="121"/>
      <w:bookmarkStart w:id="122" w:name="_Toc184312127"/>
      <w:bookmarkEnd w:id="122"/>
      <w:bookmarkStart w:id="123" w:name="_Toc184310288"/>
      <w:bookmarkEnd w:id="123"/>
      <w:bookmarkStart w:id="124" w:name="_Toc184312087"/>
      <w:bookmarkEnd w:id="124"/>
      <w:bookmarkStart w:id="125" w:name="_Toc184308104"/>
      <w:bookmarkEnd w:id="125"/>
      <w:bookmarkStart w:id="126" w:name="_Toc184313277"/>
      <w:bookmarkEnd w:id="126"/>
      <w:bookmarkStart w:id="127" w:name="_Toc184310326"/>
      <w:bookmarkEnd w:id="127"/>
      <w:bookmarkStart w:id="128" w:name="_Toc184312078"/>
      <w:bookmarkEnd w:id="128"/>
      <w:bookmarkStart w:id="129" w:name="_Toc184313292"/>
      <w:bookmarkEnd w:id="129"/>
      <w:bookmarkStart w:id="130" w:name="_Toc184314479"/>
      <w:bookmarkEnd w:id="130"/>
      <w:bookmarkStart w:id="131" w:name="_Toc184308086"/>
      <w:bookmarkEnd w:id="131"/>
      <w:bookmarkStart w:id="132" w:name="_Toc184312128"/>
      <w:bookmarkEnd w:id="132"/>
      <w:bookmarkStart w:id="133" w:name="_Toc184308090"/>
      <w:bookmarkEnd w:id="133"/>
      <w:bookmarkStart w:id="134" w:name="_Toc184308103"/>
      <w:bookmarkEnd w:id="134"/>
      <w:bookmarkStart w:id="135" w:name="_Toc184308084"/>
      <w:bookmarkEnd w:id="135"/>
      <w:bookmarkStart w:id="136" w:name="_Toc184310274"/>
      <w:bookmarkEnd w:id="136"/>
      <w:bookmarkStart w:id="137" w:name="_Toc184314424"/>
      <w:bookmarkEnd w:id="137"/>
      <w:bookmarkStart w:id="138" w:name="_Toc184312112"/>
      <w:bookmarkEnd w:id="138"/>
      <w:bookmarkStart w:id="139" w:name="_Toc184312139"/>
      <w:bookmarkEnd w:id="139"/>
      <w:bookmarkStart w:id="140" w:name="_Toc184308061"/>
      <w:bookmarkEnd w:id="140"/>
      <w:bookmarkStart w:id="141" w:name="_Toc184313275"/>
      <w:bookmarkEnd w:id="141"/>
      <w:bookmarkStart w:id="142" w:name="_Toc184313284"/>
      <w:bookmarkEnd w:id="142"/>
      <w:bookmarkStart w:id="143" w:name="_Toc184310302"/>
      <w:bookmarkEnd w:id="143"/>
      <w:bookmarkStart w:id="144" w:name="_Toc184313304"/>
      <w:bookmarkEnd w:id="144"/>
      <w:bookmarkStart w:id="145" w:name="_Toc184310306"/>
      <w:bookmarkEnd w:id="145"/>
      <w:bookmarkStart w:id="146" w:name="_Toc184314453"/>
      <w:bookmarkEnd w:id="146"/>
      <w:bookmarkStart w:id="147" w:name="_Toc184313280"/>
      <w:bookmarkEnd w:id="147"/>
      <w:bookmarkStart w:id="148" w:name="_Toc184310324"/>
      <w:bookmarkEnd w:id="148"/>
      <w:bookmarkStart w:id="149" w:name="_Toc184310285"/>
      <w:bookmarkEnd w:id="149"/>
      <w:bookmarkStart w:id="150" w:name="_Toc184312135"/>
      <w:bookmarkEnd w:id="150"/>
      <w:bookmarkStart w:id="151" w:name="_Toc184314467"/>
      <w:bookmarkEnd w:id="151"/>
      <w:bookmarkStart w:id="152" w:name="_Toc184313272"/>
      <w:bookmarkEnd w:id="152"/>
      <w:bookmarkStart w:id="153" w:name="_Toc184308108"/>
      <w:bookmarkEnd w:id="153"/>
      <w:bookmarkStart w:id="154" w:name="_Toc184314414"/>
      <w:bookmarkEnd w:id="154"/>
      <w:bookmarkStart w:id="155" w:name="_Toc184310287"/>
      <w:bookmarkEnd w:id="155"/>
      <w:bookmarkStart w:id="156" w:name="_Toc184314416"/>
      <w:bookmarkEnd w:id="156"/>
      <w:bookmarkStart w:id="157" w:name="_Toc184308079"/>
      <w:bookmarkEnd w:id="157"/>
      <w:bookmarkStart w:id="158" w:name="_Toc184310332"/>
      <w:bookmarkEnd w:id="158"/>
      <w:bookmarkStart w:id="159" w:name="_Toc184308054"/>
      <w:bookmarkEnd w:id="159"/>
      <w:bookmarkStart w:id="160" w:name="_Toc184308093"/>
      <w:bookmarkEnd w:id="160"/>
      <w:bookmarkStart w:id="161" w:name="_Toc184313246"/>
      <w:bookmarkEnd w:id="161"/>
      <w:bookmarkStart w:id="162" w:name="_Toc184308062"/>
      <w:bookmarkEnd w:id="162"/>
      <w:bookmarkStart w:id="163" w:name="_Toc184312098"/>
      <w:bookmarkEnd w:id="163"/>
      <w:bookmarkStart w:id="164" w:name="_Toc184314469"/>
      <w:bookmarkEnd w:id="164"/>
      <w:bookmarkStart w:id="165" w:name="_Toc184314477"/>
      <w:bookmarkEnd w:id="165"/>
      <w:bookmarkStart w:id="166" w:name="_Toc184308046"/>
      <w:bookmarkEnd w:id="166"/>
      <w:bookmarkStart w:id="167" w:name="_Toc184312077"/>
      <w:bookmarkEnd w:id="167"/>
      <w:bookmarkStart w:id="168" w:name="_Toc184314482"/>
      <w:bookmarkEnd w:id="168"/>
      <w:bookmarkStart w:id="169" w:name="_Toc184314425"/>
      <w:bookmarkEnd w:id="169"/>
      <w:bookmarkStart w:id="170" w:name="_Toc184314462"/>
      <w:bookmarkEnd w:id="170"/>
      <w:bookmarkStart w:id="171" w:name="_Toc184314447"/>
      <w:bookmarkEnd w:id="171"/>
      <w:bookmarkStart w:id="172" w:name="_Toc184312126"/>
      <w:bookmarkEnd w:id="172"/>
      <w:bookmarkStart w:id="173" w:name="_Toc184314459"/>
      <w:bookmarkEnd w:id="173"/>
      <w:bookmarkStart w:id="174" w:name="_Toc184308100"/>
      <w:bookmarkEnd w:id="174"/>
      <w:bookmarkStart w:id="175" w:name="_Toc184314474"/>
      <w:bookmarkEnd w:id="175"/>
      <w:bookmarkStart w:id="176" w:name="_Toc184310327"/>
      <w:bookmarkEnd w:id="176"/>
      <w:bookmarkStart w:id="177" w:name="_Toc184313302"/>
      <w:bookmarkEnd w:id="177"/>
      <w:bookmarkStart w:id="178" w:name="_Toc184312067"/>
      <w:bookmarkEnd w:id="178"/>
      <w:bookmarkStart w:id="179" w:name="_Toc184313273"/>
      <w:bookmarkEnd w:id="179"/>
      <w:bookmarkStart w:id="180" w:name="_Toc184313287"/>
      <w:bookmarkEnd w:id="180"/>
      <w:bookmarkStart w:id="181" w:name="_Toc184310283"/>
      <w:bookmarkEnd w:id="181"/>
      <w:bookmarkStart w:id="182" w:name="_Toc184314458"/>
      <w:bookmarkEnd w:id="182"/>
      <w:bookmarkStart w:id="183" w:name="_Toc184314418"/>
      <w:bookmarkEnd w:id="183"/>
      <w:bookmarkStart w:id="184" w:name="_Toc184308095"/>
      <w:bookmarkEnd w:id="184"/>
      <w:bookmarkStart w:id="185" w:name="_Toc184314457"/>
      <w:bookmarkEnd w:id="185"/>
      <w:bookmarkStart w:id="186" w:name="_Toc184313286"/>
      <w:bookmarkEnd w:id="186"/>
      <w:bookmarkStart w:id="187" w:name="_Toc184313281"/>
      <w:bookmarkEnd w:id="187"/>
      <w:bookmarkStart w:id="188" w:name="_Toc184312068"/>
      <w:bookmarkEnd w:id="188"/>
      <w:bookmarkStart w:id="189" w:name="_Toc184308083"/>
      <w:bookmarkEnd w:id="189"/>
      <w:bookmarkStart w:id="190" w:name="_Toc184313255"/>
      <w:bookmarkEnd w:id="190"/>
      <w:bookmarkStart w:id="191" w:name="_Toc184308044"/>
      <w:bookmarkEnd w:id="191"/>
      <w:bookmarkStart w:id="192" w:name="_Toc184314438"/>
      <w:bookmarkEnd w:id="192"/>
      <w:bookmarkStart w:id="193" w:name="_Toc184308040"/>
      <w:bookmarkEnd w:id="193"/>
      <w:bookmarkStart w:id="194" w:name="_Toc184310305"/>
      <w:bookmarkEnd w:id="194"/>
      <w:bookmarkStart w:id="195" w:name="_Toc184308057"/>
      <w:bookmarkEnd w:id="195"/>
      <w:bookmarkStart w:id="196" w:name="_Toc184313298"/>
      <w:bookmarkEnd w:id="196"/>
      <w:bookmarkStart w:id="197" w:name="_Toc184310279"/>
      <w:bookmarkEnd w:id="197"/>
      <w:bookmarkStart w:id="198" w:name="_Toc184314450"/>
      <w:bookmarkEnd w:id="198"/>
      <w:bookmarkStart w:id="199" w:name="_Toc184310281"/>
      <w:bookmarkEnd w:id="199"/>
      <w:bookmarkStart w:id="200" w:name="_Toc184314473"/>
      <w:bookmarkEnd w:id="200"/>
      <w:bookmarkStart w:id="201" w:name="_Toc184312075"/>
      <w:bookmarkEnd w:id="201"/>
      <w:bookmarkStart w:id="202" w:name="_Toc184310272"/>
      <w:bookmarkEnd w:id="202"/>
      <w:bookmarkStart w:id="203" w:name="_Toc184312114"/>
      <w:bookmarkEnd w:id="203"/>
      <w:bookmarkStart w:id="204" w:name="_Toc184308067"/>
      <w:bookmarkEnd w:id="204"/>
      <w:bookmarkStart w:id="205" w:name="_Toc184313239"/>
      <w:bookmarkEnd w:id="205"/>
      <w:bookmarkStart w:id="206" w:name="_Toc184312125"/>
      <w:bookmarkEnd w:id="206"/>
      <w:bookmarkStart w:id="207" w:name="_Toc184310284"/>
      <w:bookmarkEnd w:id="207"/>
      <w:bookmarkStart w:id="208" w:name="_Toc184310317"/>
      <w:bookmarkEnd w:id="208"/>
      <w:bookmarkStart w:id="209" w:name="_Toc184310276"/>
      <w:bookmarkEnd w:id="209"/>
      <w:bookmarkStart w:id="210" w:name="_Toc184310280"/>
      <w:bookmarkEnd w:id="210"/>
      <w:bookmarkStart w:id="211" w:name="_Toc184308042"/>
      <w:bookmarkEnd w:id="211"/>
      <w:bookmarkStart w:id="212" w:name="_Toc184314422"/>
      <w:bookmarkEnd w:id="212"/>
      <w:bookmarkStart w:id="213" w:name="_Toc184312130"/>
      <w:bookmarkEnd w:id="213"/>
      <w:bookmarkStart w:id="214" w:name="_Toc184310334"/>
      <w:bookmarkEnd w:id="214"/>
      <w:bookmarkStart w:id="215" w:name="_Toc184312138"/>
      <w:bookmarkEnd w:id="215"/>
      <w:bookmarkStart w:id="216" w:name="_Toc184308069"/>
      <w:bookmarkEnd w:id="216"/>
      <w:bookmarkStart w:id="217" w:name="_Toc184308081"/>
      <w:bookmarkEnd w:id="217"/>
      <w:bookmarkStart w:id="218" w:name="_Toc184310301"/>
      <w:bookmarkEnd w:id="218"/>
      <w:bookmarkStart w:id="219" w:name="_Toc184314470"/>
      <w:bookmarkEnd w:id="219"/>
      <w:bookmarkStart w:id="220" w:name="_Toc184312091"/>
      <w:bookmarkEnd w:id="220"/>
      <w:bookmarkStart w:id="221" w:name="_Toc184312072"/>
      <w:bookmarkEnd w:id="221"/>
      <w:bookmarkStart w:id="222" w:name="_Toc184310314"/>
      <w:bookmarkEnd w:id="222"/>
      <w:bookmarkStart w:id="223" w:name="_Toc184314481"/>
      <w:bookmarkEnd w:id="223"/>
      <w:bookmarkStart w:id="224" w:name="_Toc184313279"/>
      <w:bookmarkEnd w:id="224"/>
      <w:bookmarkStart w:id="225" w:name="_Toc184313308"/>
      <w:bookmarkEnd w:id="225"/>
      <w:bookmarkStart w:id="226" w:name="_Toc184310311"/>
      <w:bookmarkEnd w:id="226"/>
      <w:bookmarkStart w:id="227" w:name="_Toc184310333"/>
      <w:bookmarkEnd w:id="227"/>
      <w:bookmarkStart w:id="228" w:name="_Toc184310325"/>
      <w:bookmarkEnd w:id="228"/>
      <w:bookmarkStart w:id="229" w:name="_Toc184314454"/>
      <w:bookmarkEnd w:id="229"/>
      <w:bookmarkStart w:id="230" w:name="_Toc184314468"/>
      <w:bookmarkEnd w:id="230"/>
      <w:bookmarkStart w:id="231" w:name="_Toc184313248"/>
      <w:bookmarkEnd w:id="231"/>
      <w:bookmarkStart w:id="232" w:name="_Toc184313240"/>
      <w:bookmarkEnd w:id="232"/>
      <w:bookmarkStart w:id="233" w:name="_Toc184313242"/>
      <w:bookmarkEnd w:id="233"/>
      <w:bookmarkStart w:id="234" w:name="_Toc184310308"/>
      <w:bookmarkEnd w:id="234"/>
      <w:bookmarkStart w:id="235" w:name="_Toc184310275"/>
      <w:bookmarkEnd w:id="235"/>
      <w:bookmarkStart w:id="236" w:name="_Toc184308052"/>
      <w:bookmarkEnd w:id="236"/>
      <w:bookmarkStart w:id="237" w:name="_Toc184312120"/>
      <w:bookmarkEnd w:id="237"/>
      <w:bookmarkStart w:id="238" w:name="_Toc184313245"/>
      <w:bookmarkEnd w:id="238"/>
      <w:bookmarkStart w:id="239" w:name="_Toc184312093"/>
      <w:bookmarkEnd w:id="239"/>
      <w:bookmarkStart w:id="240" w:name="_Toc184313305"/>
      <w:bookmarkEnd w:id="240"/>
      <w:bookmarkStart w:id="241" w:name="_Toc184314465"/>
      <w:bookmarkEnd w:id="241"/>
      <w:bookmarkStart w:id="242" w:name="_Toc184314464"/>
      <w:bookmarkEnd w:id="242"/>
      <w:bookmarkStart w:id="243" w:name="_Toc184313296"/>
      <w:bookmarkEnd w:id="243"/>
      <w:bookmarkStart w:id="244" w:name="_Toc184312105"/>
      <w:bookmarkEnd w:id="244"/>
      <w:bookmarkStart w:id="245" w:name="_Toc184310298"/>
      <w:bookmarkEnd w:id="245"/>
      <w:bookmarkStart w:id="246" w:name="_Toc184308099"/>
      <w:bookmarkEnd w:id="246"/>
      <w:bookmarkStart w:id="247" w:name="_Toc184310313"/>
      <w:bookmarkEnd w:id="247"/>
      <w:bookmarkStart w:id="248" w:name="_Toc184310295"/>
      <w:bookmarkEnd w:id="248"/>
      <w:bookmarkStart w:id="249" w:name="_Toc184313241"/>
      <w:bookmarkEnd w:id="249"/>
      <w:bookmarkStart w:id="250" w:name="_Toc184314446"/>
      <w:bookmarkEnd w:id="250"/>
      <w:bookmarkStart w:id="251" w:name="_Toc184313269"/>
      <w:bookmarkEnd w:id="251"/>
      <w:bookmarkStart w:id="252" w:name="_Toc184308085"/>
      <w:bookmarkEnd w:id="252"/>
      <w:bookmarkStart w:id="253" w:name="_Toc184313310"/>
      <w:bookmarkEnd w:id="253"/>
      <w:bookmarkStart w:id="254" w:name="_Toc184308078"/>
      <w:bookmarkEnd w:id="254"/>
      <w:bookmarkStart w:id="255" w:name="_Toc184312134"/>
      <w:bookmarkEnd w:id="255"/>
      <w:bookmarkStart w:id="256" w:name="_Toc184312082"/>
      <w:bookmarkEnd w:id="256"/>
      <w:bookmarkStart w:id="257" w:name="_Toc184312124"/>
      <w:bookmarkEnd w:id="257"/>
      <w:bookmarkStart w:id="258" w:name="_Toc184314434"/>
      <w:bookmarkEnd w:id="258"/>
      <w:bookmarkStart w:id="259" w:name="_Toc184312132"/>
      <w:bookmarkEnd w:id="259"/>
      <w:bookmarkStart w:id="260" w:name="_Toc184312131"/>
      <w:bookmarkEnd w:id="260"/>
      <w:bookmarkStart w:id="261" w:name="_Toc184310300"/>
      <w:bookmarkEnd w:id="261"/>
      <w:bookmarkStart w:id="262" w:name="_Toc184308077"/>
      <w:bookmarkEnd w:id="262"/>
      <w:bookmarkStart w:id="263" w:name="_Toc184312116"/>
      <w:bookmarkEnd w:id="263"/>
      <w:bookmarkStart w:id="264" w:name="_Toc184312090"/>
      <w:bookmarkEnd w:id="264"/>
      <w:bookmarkStart w:id="265" w:name="_Toc184312083"/>
      <w:bookmarkEnd w:id="265"/>
      <w:bookmarkStart w:id="266" w:name="_Toc184308088"/>
      <w:bookmarkEnd w:id="266"/>
      <w:bookmarkStart w:id="267" w:name="_Toc184314463"/>
      <w:bookmarkEnd w:id="267"/>
      <w:bookmarkStart w:id="268" w:name="_Toc184312097"/>
      <w:bookmarkEnd w:id="268"/>
      <w:bookmarkStart w:id="269" w:name="_Toc184312110"/>
      <w:bookmarkEnd w:id="269"/>
      <w:bookmarkStart w:id="270" w:name="_Toc184313249"/>
      <w:bookmarkEnd w:id="270"/>
      <w:bookmarkStart w:id="271" w:name="_Toc184314476"/>
      <w:bookmarkEnd w:id="271"/>
      <w:bookmarkStart w:id="272" w:name="_Toc184314460"/>
      <w:bookmarkEnd w:id="272"/>
      <w:bookmarkStart w:id="273" w:name="_Toc184308102"/>
      <w:bookmarkEnd w:id="273"/>
      <w:bookmarkStart w:id="274" w:name="_Toc184314435"/>
      <w:bookmarkEnd w:id="274"/>
      <w:bookmarkStart w:id="275" w:name="_Toc184312136"/>
      <w:bookmarkEnd w:id="275"/>
      <w:bookmarkStart w:id="276" w:name="_Toc184314426"/>
      <w:bookmarkEnd w:id="276"/>
      <w:bookmarkStart w:id="277" w:name="_Toc184310337"/>
      <w:bookmarkEnd w:id="277"/>
      <w:bookmarkStart w:id="278" w:name="_Toc184313307"/>
      <w:bookmarkEnd w:id="278"/>
      <w:bookmarkStart w:id="279" w:name="_Toc184313258"/>
      <w:bookmarkEnd w:id="279"/>
      <w:bookmarkStart w:id="280" w:name="_Toc184308105"/>
      <w:bookmarkEnd w:id="280"/>
      <w:bookmarkStart w:id="281" w:name="_Toc184312071"/>
      <w:bookmarkEnd w:id="281"/>
      <w:bookmarkStart w:id="282" w:name="_Toc184314421"/>
      <w:bookmarkEnd w:id="282"/>
      <w:bookmarkStart w:id="283" w:name="_Toc184314412"/>
      <w:bookmarkEnd w:id="283"/>
      <w:bookmarkStart w:id="284" w:name="_Toc184312118"/>
      <w:bookmarkEnd w:id="284"/>
      <w:bookmarkStart w:id="285" w:name="_Toc184314455"/>
      <w:bookmarkEnd w:id="285"/>
      <w:bookmarkStart w:id="286" w:name="_Toc184308091"/>
      <w:bookmarkEnd w:id="286"/>
      <w:bookmarkStart w:id="287" w:name="_Toc184310320"/>
      <w:bookmarkEnd w:id="287"/>
      <w:bookmarkStart w:id="288" w:name="_Toc184312137"/>
      <w:bookmarkEnd w:id="288"/>
      <w:bookmarkStart w:id="289" w:name="_Toc184313266"/>
      <w:bookmarkEnd w:id="289"/>
      <w:bookmarkStart w:id="290" w:name="_Toc184312100"/>
      <w:bookmarkEnd w:id="290"/>
      <w:bookmarkStart w:id="291" w:name="_Toc184313271"/>
      <w:bookmarkEnd w:id="291"/>
      <w:bookmarkStart w:id="292" w:name="_Toc184313285"/>
      <w:bookmarkEnd w:id="292"/>
      <w:bookmarkStart w:id="293" w:name="_Toc184314443"/>
      <w:bookmarkEnd w:id="293"/>
      <w:bookmarkStart w:id="294" w:name="_Toc184314480"/>
      <w:bookmarkEnd w:id="294"/>
      <w:bookmarkStart w:id="295" w:name="_Toc184313288"/>
      <w:bookmarkEnd w:id="295"/>
      <w:bookmarkStart w:id="296" w:name="_Toc184313260"/>
      <w:bookmarkEnd w:id="296"/>
      <w:bookmarkStart w:id="297" w:name="_Toc184313309"/>
      <w:bookmarkEnd w:id="297"/>
      <w:bookmarkStart w:id="298" w:name="_Toc184313270"/>
      <w:bookmarkEnd w:id="298"/>
      <w:bookmarkStart w:id="299" w:name="_Toc184310340"/>
      <w:bookmarkEnd w:id="299"/>
      <w:bookmarkStart w:id="300" w:name="_Toc184308047"/>
      <w:bookmarkEnd w:id="300"/>
      <w:bookmarkStart w:id="301" w:name="_Toc184308092"/>
      <w:bookmarkEnd w:id="301"/>
      <w:bookmarkStart w:id="302" w:name="_Toc184312079"/>
      <w:bookmarkEnd w:id="302"/>
      <w:bookmarkStart w:id="303" w:name="_Toc184314429"/>
      <w:bookmarkEnd w:id="303"/>
      <w:bookmarkStart w:id="304" w:name="_Toc184308056"/>
      <w:bookmarkEnd w:id="304"/>
      <w:bookmarkStart w:id="305" w:name="_Toc184314439"/>
      <w:bookmarkEnd w:id="305"/>
      <w:bookmarkStart w:id="306" w:name="_Toc184308080"/>
      <w:bookmarkEnd w:id="306"/>
      <w:bookmarkStart w:id="307" w:name="_Toc184308107"/>
      <w:bookmarkEnd w:id="307"/>
      <w:bookmarkStart w:id="308" w:name="_Toc184310273"/>
      <w:bookmarkEnd w:id="308"/>
      <w:bookmarkStart w:id="309" w:name="_Toc184310309"/>
      <w:bookmarkEnd w:id="309"/>
      <w:bookmarkStart w:id="310" w:name="_Toc184310343"/>
      <w:bookmarkEnd w:id="310"/>
      <w:bookmarkStart w:id="311" w:name="_Toc184312107"/>
      <w:bookmarkEnd w:id="311"/>
      <w:bookmarkStart w:id="312" w:name="_Toc184312121"/>
      <w:bookmarkEnd w:id="312"/>
      <w:bookmarkStart w:id="313" w:name="_Toc184314448"/>
      <w:bookmarkEnd w:id="313"/>
      <w:bookmarkStart w:id="314" w:name="_Toc184310328"/>
      <w:bookmarkEnd w:id="314"/>
      <w:bookmarkStart w:id="315" w:name="_Toc184310293"/>
      <w:bookmarkEnd w:id="315"/>
      <w:bookmarkStart w:id="316" w:name="_Toc184310342"/>
      <w:bookmarkEnd w:id="316"/>
      <w:bookmarkStart w:id="317" w:name="_Toc184314415"/>
      <w:bookmarkEnd w:id="317"/>
      <w:bookmarkStart w:id="318" w:name="_Toc184312103"/>
      <w:bookmarkEnd w:id="318"/>
      <w:bookmarkStart w:id="319" w:name="_Toc184308098"/>
      <w:bookmarkEnd w:id="319"/>
      <w:bookmarkStart w:id="320" w:name="_Toc184308059"/>
      <w:bookmarkEnd w:id="320"/>
      <w:bookmarkStart w:id="321" w:name="_Toc184308065"/>
      <w:bookmarkEnd w:id="321"/>
      <w:bookmarkStart w:id="322" w:name="_Toc184312117"/>
      <w:bookmarkEnd w:id="322"/>
      <w:bookmarkStart w:id="323" w:name="_Toc184310303"/>
      <w:bookmarkEnd w:id="323"/>
      <w:bookmarkStart w:id="324" w:name="_Toc184310315"/>
      <w:bookmarkEnd w:id="324"/>
      <w:bookmarkStart w:id="325" w:name="_Toc184308058"/>
      <w:bookmarkEnd w:id="325"/>
      <w:bookmarkStart w:id="326" w:name="_Toc184308075"/>
      <w:bookmarkEnd w:id="326"/>
      <w:bookmarkStart w:id="327" w:name="_Toc184314430"/>
      <w:bookmarkEnd w:id="327"/>
      <w:bookmarkStart w:id="328" w:name="_Toc184308072"/>
      <w:bookmarkEnd w:id="328"/>
      <w:bookmarkStart w:id="329" w:name="_Toc184312102"/>
      <w:bookmarkEnd w:id="329"/>
      <w:bookmarkStart w:id="330" w:name="_Toc184312104"/>
      <w:bookmarkEnd w:id="330"/>
      <w:bookmarkStart w:id="331" w:name="_Toc184312115"/>
      <w:bookmarkEnd w:id="331"/>
      <w:bookmarkStart w:id="332" w:name="_Toc184313253"/>
      <w:bookmarkEnd w:id="332"/>
      <w:bookmarkStart w:id="333" w:name="_Toc184313290"/>
      <w:bookmarkEnd w:id="333"/>
      <w:bookmarkStart w:id="334" w:name="_Toc184312074"/>
      <w:bookmarkEnd w:id="334"/>
      <w:bookmarkStart w:id="335" w:name="_Toc184310299"/>
      <w:bookmarkEnd w:id="335"/>
      <w:bookmarkStart w:id="336" w:name="_Toc184313278"/>
      <w:bookmarkEnd w:id="336"/>
      <w:bookmarkStart w:id="337" w:name="_Toc184308048"/>
      <w:bookmarkEnd w:id="337"/>
      <w:bookmarkStart w:id="338" w:name="_Toc184314449"/>
      <w:bookmarkEnd w:id="338"/>
      <w:bookmarkStart w:id="339" w:name="_Toc184312122"/>
      <w:bookmarkEnd w:id="339"/>
      <w:bookmarkStart w:id="340" w:name="_Toc184313250"/>
      <w:bookmarkEnd w:id="340"/>
      <w:bookmarkStart w:id="341" w:name="_Toc184313300"/>
      <w:bookmarkEnd w:id="341"/>
      <w:bookmarkStart w:id="342" w:name="_Toc184312099"/>
      <w:bookmarkEnd w:id="342"/>
      <w:bookmarkStart w:id="343" w:name="_Toc184308036"/>
      <w:bookmarkEnd w:id="343"/>
      <w:bookmarkStart w:id="344" w:name="_Toc184308064"/>
      <w:bookmarkEnd w:id="344"/>
      <w:bookmarkStart w:id="345" w:name="_Toc184314419"/>
      <w:bookmarkEnd w:id="345"/>
      <w:bookmarkStart w:id="346" w:name="_Toc184310323"/>
      <w:bookmarkEnd w:id="346"/>
      <w:bookmarkStart w:id="347" w:name="_Toc184314444"/>
      <w:bookmarkEnd w:id="347"/>
      <w:bookmarkStart w:id="348" w:name="_Toc184312119"/>
      <w:bookmarkEnd w:id="348"/>
      <w:bookmarkStart w:id="349" w:name="_Toc184312073"/>
      <w:bookmarkEnd w:id="349"/>
      <w:bookmarkStart w:id="350" w:name="_Toc184313251"/>
      <w:bookmarkEnd w:id="350"/>
      <w:bookmarkStart w:id="351" w:name="_Toc184314417"/>
      <w:bookmarkEnd w:id="351"/>
      <w:bookmarkStart w:id="352" w:name="_Toc184313264"/>
      <w:bookmarkEnd w:id="352"/>
      <w:bookmarkStart w:id="353" w:name="_Toc184313294"/>
      <w:bookmarkEnd w:id="353"/>
      <w:bookmarkStart w:id="354" w:name="_Toc184308039"/>
      <w:bookmarkEnd w:id="354"/>
      <w:bookmarkStart w:id="355" w:name="_Toc184308073"/>
      <w:bookmarkEnd w:id="355"/>
      <w:bookmarkStart w:id="356" w:name="_Toc184312096"/>
      <w:bookmarkEnd w:id="356"/>
      <w:bookmarkStart w:id="357" w:name="_Toc184308082"/>
      <w:bookmarkEnd w:id="357"/>
      <w:bookmarkStart w:id="358" w:name="_Toc184308097"/>
      <w:bookmarkEnd w:id="358"/>
      <w:bookmarkStart w:id="359" w:name="_Toc184308060"/>
      <w:bookmarkEnd w:id="359"/>
      <w:bookmarkStart w:id="360" w:name="_Toc184314413"/>
      <w:bookmarkEnd w:id="360"/>
      <w:bookmarkStart w:id="361" w:name="_Toc184313247"/>
      <w:bookmarkEnd w:id="361"/>
      <w:bookmarkStart w:id="362" w:name="_Toc184310307"/>
      <w:bookmarkEnd w:id="362"/>
      <w:bookmarkStart w:id="363" w:name="_Toc184308045"/>
      <w:bookmarkEnd w:id="363"/>
      <w:bookmarkStart w:id="364" w:name="_Toc184308053"/>
      <w:bookmarkEnd w:id="364"/>
      <w:bookmarkStart w:id="365" w:name="_Toc184312080"/>
      <w:bookmarkEnd w:id="365"/>
      <w:bookmarkStart w:id="366" w:name="_Toc184312081"/>
      <w:bookmarkEnd w:id="366"/>
      <w:bookmarkStart w:id="367" w:name="_Toc184310322"/>
      <w:bookmarkEnd w:id="367"/>
      <w:bookmarkStart w:id="368" w:name="_Toc184313265"/>
      <w:bookmarkEnd w:id="368"/>
      <w:bookmarkStart w:id="369" w:name="_Toc184314431"/>
      <w:bookmarkEnd w:id="369"/>
      <w:bookmarkStart w:id="370" w:name="_Toc184314452"/>
      <w:bookmarkEnd w:id="370"/>
      <w:bookmarkStart w:id="371" w:name="_Toc184310329"/>
      <w:bookmarkEnd w:id="371"/>
      <w:bookmarkStart w:id="372" w:name="_Toc184313276"/>
      <w:bookmarkEnd w:id="372"/>
      <w:bookmarkStart w:id="373" w:name="_Toc184308068"/>
      <w:bookmarkEnd w:id="373"/>
      <w:bookmarkStart w:id="374" w:name="_Toc184313297"/>
      <w:bookmarkEnd w:id="374"/>
      <w:bookmarkStart w:id="375" w:name="_Toc184310319"/>
      <w:bookmarkEnd w:id="375"/>
      <w:bookmarkStart w:id="376" w:name="_Toc184312088"/>
      <w:bookmarkEnd w:id="376"/>
      <w:bookmarkStart w:id="377" w:name="_Toc184314442"/>
      <w:bookmarkEnd w:id="377"/>
      <w:bookmarkStart w:id="378" w:name="_Toc184314427"/>
      <w:bookmarkEnd w:id="378"/>
      <w:bookmarkStart w:id="379" w:name="_Toc184308106"/>
      <w:bookmarkEnd w:id="379"/>
      <w:bookmarkStart w:id="380" w:name="_Toc184310336"/>
      <w:bookmarkEnd w:id="380"/>
      <w:bookmarkStart w:id="381" w:name="_Toc184314451"/>
      <w:bookmarkEnd w:id="381"/>
      <w:bookmarkStart w:id="382" w:name="_Toc184312106"/>
      <w:bookmarkEnd w:id="382"/>
      <w:bookmarkStart w:id="383" w:name="_Toc184313257"/>
      <w:bookmarkEnd w:id="383"/>
      <w:bookmarkStart w:id="384" w:name="_Toc184308087"/>
      <w:bookmarkEnd w:id="384"/>
      <w:bookmarkStart w:id="385" w:name="_Toc184310294"/>
      <w:bookmarkEnd w:id="385"/>
      <w:bookmarkStart w:id="386" w:name="_Toc184308037"/>
      <w:bookmarkEnd w:id="386"/>
      <w:bookmarkStart w:id="387" w:name="_Toc184313254"/>
      <w:bookmarkEnd w:id="387"/>
      <w:bookmarkStart w:id="388" w:name="_Toc184310335"/>
      <w:bookmarkEnd w:id="388"/>
      <w:bookmarkStart w:id="389" w:name="_Toc184312101"/>
      <w:bookmarkEnd w:id="389"/>
      <w:bookmarkStart w:id="390" w:name="_Toc184310304"/>
      <w:bookmarkEnd w:id="390"/>
      <w:bookmarkStart w:id="391" w:name="_Toc184312133"/>
      <w:bookmarkEnd w:id="391"/>
      <w:bookmarkStart w:id="392" w:name="_Toc184310338"/>
      <w:bookmarkEnd w:id="392"/>
      <w:bookmarkStart w:id="393" w:name="_Toc184313299"/>
      <w:bookmarkEnd w:id="393"/>
      <w:bookmarkStart w:id="394" w:name="_Toc184312109"/>
      <w:bookmarkEnd w:id="394"/>
      <w:bookmarkStart w:id="395" w:name="_Toc184312076"/>
      <w:bookmarkEnd w:id="395"/>
      <w:bookmarkStart w:id="396" w:name="_Toc184313256"/>
      <w:bookmarkEnd w:id="396"/>
      <w:bookmarkStart w:id="397" w:name="_Toc184313263"/>
      <w:bookmarkEnd w:id="397"/>
      <w:bookmarkStart w:id="398" w:name="_Toc184308066"/>
      <w:bookmarkEnd w:id="398"/>
      <w:bookmarkStart w:id="399" w:name="_Toc184312092"/>
      <w:bookmarkEnd w:id="399"/>
      <w:bookmarkStart w:id="400" w:name="_Toc184308063"/>
      <w:bookmarkEnd w:id="400"/>
      <w:bookmarkStart w:id="401" w:name="_Toc184308041"/>
      <w:bookmarkEnd w:id="401"/>
      <w:bookmarkStart w:id="402" w:name="_Toc184313293"/>
      <w:bookmarkEnd w:id="402"/>
      <w:r>
        <w:rPr>
          <w:rFonts w:hint="eastAsia" w:ascii="宋体" w:hAnsi="宋体" w:cs="宋体"/>
          <w:b/>
          <w:sz w:val="36"/>
          <w:szCs w:val="36"/>
        </w:rPr>
        <w:t>评标办法</w:t>
      </w:r>
      <w:bookmarkEnd w:id="37"/>
    </w:p>
    <w:p>
      <w:pPr>
        <w:kinsoku/>
        <w:wordWrap/>
        <w:overflowPunct/>
        <w:topLinePunct w:val="0"/>
        <w:bidi w:val="0"/>
        <w:snapToGrid w:val="0"/>
        <w:spacing w:line="360" w:lineRule="auto"/>
        <w:jc w:val="center"/>
        <w:outlineLvl w:val="9"/>
        <w:rPr>
          <w:rFonts w:ascii="宋体" w:hAnsi="宋体" w:cs="宋体"/>
          <w:b/>
          <w:sz w:val="32"/>
          <w:szCs w:val="20"/>
        </w:rPr>
      </w:pPr>
      <w:r>
        <w:rPr>
          <w:rFonts w:hint="eastAsia" w:ascii="宋体" w:hAnsi="宋体" w:cs="宋体"/>
          <w:b/>
          <w:sz w:val="32"/>
          <w:szCs w:val="20"/>
        </w:rPr>
        <w:t>评标办法前附表</w:t>
      </w:r>
    </w:p>
    <w:p>
      <w:pPr>
        <w:widowControl/>
        <w:kinsoku/>
        <w:wordWrap/>
        <w:overflowPunct/>
        <w:topLinePunct w:val="0"/>
        <w:bidi w:val="0"/>
        <w:adjustRightInd/>
        <w:spacing w:line="360" w:lineRule="exact"/>
        <w:jc w:val="center"/>
        <w:outlineLvl w:val="9"/>
        <w:rPr>
          <w:rFonts w:hint="eastAsia" w:ascii="宋体" w:hAnsi="宋体" w:eastAsia="宋体" w:cs="宋体"/>
          <w:b/>
          <w:bCs/>
          <w:color w:val="auto"/>
          <w:kern w:val="0"/>
          <w:sz w:val="32"/>
          <w:szCs w:val="40"/>
          <w:highlight w:val="none"/>
          <w:lang w:eastAsia="zh-CN"/>
        </w:rPr>
      </w:pPr>
      <w:r>
        <w:rPr>
          <w:rFonts w:hint="eastAsia" w:ascii="宋体" w:hAnsi="宋体" w:eastAsia="宋体" w:cs="宋体"/>
          <w:b/>
          <w:bCs/>
          <w:color w:val="auto"/>
          <w:kern w:val="0"/>
          <w:sz w:val="32"/>
          <w:szCs w:val="40"/>
          <w:highlight w:val="none"/>
        </w:rPr>
        <w:t>评分标准表</w:t>
      </w:r>
    </w:p>
    <w:tbl>
      <w:tblPr>
        <w:tblStyle w:val="62"/>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288"/>
        <w:gridCol w:w="557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2"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评分项目</w:t>
            </w:r>
          </w:p>
        </w:tc>
        <w:tc>
          <w:tcPr>
            <w:tcW w:w="6863" w:type="dxa"/>
            <w:gridSpan w:val="2"/>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评标要点及说明</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rPr>
              <w:t>分值</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62"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6863" w:type="dxa"/>
            <w:gridSpan w:val="2"/>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评标基准价指的是满足招标文件要求且最低的参与评审的价格。</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参与评审的价格=投标报价。</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参与评审的价格为评标基准价的其价格得分得满分10分。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其他供应商价格得分按照下列公式计算：</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Calibri" w:hAnsi="Calibri" w:eastAsia="宋体" w:cs="Times New Roman"/>
                <w:color w:val="auto"/>
                <w:sz w:val="24"/>
                <w:szCs w:val="24"/>
                <w:highlight w:val="none"/>
              </w:rPr>
            </w:pPr>
            <w:r>
              <w:rPr>
                <w:rFonts w:hint="eastAsia" w:ascii="宋体" w:hAnsi="宋体" w:cs="宋体"/>
                <w:color w:val="auto"/>
                <w:sz w:val="24"/>
                <w:szCs w:val="24"/>
                <w:highlight w:val="none"/>
                <w:lang w:val="en-US" w:eastAsia="zh-CN"/>
              </w:rPr>
              <w:t>价格得分=（评标基准价/参与评审的价格）×10%×100。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Calibri" w:hAnsi="Calibri" w:eastAsia="宋体" w:cs="Times New Roman"/>
                <w:color w:val="auto"/>
                <w:sz w:val="24"/>
                <w:szCs w:val="24"/>
                <w:highlight w:val="none"/>
                <w:lang w:val="en-US" w:eastAsia="zh-CN"/>
              </w:rPr>
            </w:pPr>
            <w:r>
              <w:rPr>
                <w:rFonts w:hint="eastAsia" w:ascii="宋体" w:hAnsi="宋体" w:cs="宋体"/>
                <w:color w:val="auto"/>
                <w:kern w:val="0"/>
                <w:sz w:val="24"/>
                <w:szCs w:val="24"/>
                <w:highlight w:val="none"/>
                <w:lang w:val="en-US" w:eastAsia="zh-CN" w:bidi="ar-SA"/>
              </w:rPr>
              <w:t>10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eastAsia" w:ascii="Calibri" w:hAnsi="Calibri" w:eastAsia="宋体" w:cs="Times New Roman"/>
                <w:color w:val="auto"/>
                <w:sz w:val="24"/>
                <w:szCs w:val="24"/>
                <w:highlight w:val="none"/>
                <w:lang w:val="zh-CN"/>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restart"/>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商务</w:t>
            </w:r>
          </w:p>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技术分</w:t>
            </w:r>
          </w:p>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default" w:ascii="Calibri" w:hAnsi="Calibri" w:eastAsia="宋体" w:cs="Times New Roman"/>
                <w:color w:val="auto"/>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cs="宋体"/>
                <w:color w:val="auto"/>
                <w:kern w:val="2"/>
                <w:sz w:val="24"/>
                <w:szCs w:val="24"/>
                <w:highlight w:val="none"/>
                <w:lang w:val="en-US" w:eastAsia="zh-CN" w:bidi="ar"/>
              </w:rPr>
              <w:t>90</w:t>
            </w:r>
            <w:r>
              <w:rPr>
                <w:rFonts w:hint="eastAsia" w:ascii="宋体" w:hAnsi="宋体" w:eastAsia="宋体" w:cs="宋体"/>
                <w:color w:val="auto"/>
                <w:kern w:val="2"/>
                <w:sz w:val="24"/>
                <w:szCs w:val="24"/>
                <w:highlight w:val="none"/>
                <w:lang w:val="en-US" w:eastAsia="zh-CN" w:bidi="ar"/>
              </w:rPr>
              <w:t>分）</w:t>
            </w: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center"/>
              <w:textAlignment w:val="auto"/>
              <w:rPr>
                <w:rFonts w:hint="eastAsia" w:ascii="宋体" w:hAnsi="宋体" w:eastAsia="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rPr>
              <w:t>1、服务需求响应（22分）</w:t>
            </w:r>
          </w:p>
        </w:tc>
        <w:tc>
          <w:tcPr>
            <w:tcW w:w="557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供应商</w:t>
            </w:r>
            <w:r>
              <w:rPr>
                <w:rFonts w:hint="default" w:ascii="宋体" w:hAnsi="宋体" w:cs="宋体"/>
                <w:color w:val="auto"/>
                <w:sz w:val="24"/>
                <w:szCs w:val="24"/>
                <w:highlight w:val="none"/>
                <w:lang w:val="en-US" w:eastAsia="zh-CN"/>
              </w:rPr>
              <w:t>完全响应</w:t>
            </w:r>
            <w:r>
              <w:rPr>
                <w:rFonts w:hint="eastAsia" w:ascii="宋体" w:hAnsi="宋体" w:cs="宋体"/>
                <w:color w:val="auto"/>
                <w:sz w:val="24"/>
                <w:szCs w:val="24"/>
                <w:highlight w:val="none"/>
                <w:lang w:val="en-US" w:eastAsia="zh-CN"/>
              </w:rPr>
              <w:t xml:space="preserve"> </w:t>
            </w:r>
            <w:r>
              <w:rPr>
                <w:rFonts w:hint="default" w:ascii="宋体" w:hAnsi="宋体" w:cs="宋体"/>
                <w:color w:val="auto"/>
                <w:sz w:val="24"/>
                <w:szCs w:val="24"/>
                <w:highlight w:val="none"/>
                <w:lang w:val="en-US" w:eastAsia="zh-CN"/>
              </w:rPr>
              <w:t>招标文件</w:t>
            </w:r>
            <w:r>
              <w:rPr>
                <w:rFonts w:hint="eastAsia" w:ascii="宋体" w:hAnsi="宋体" w:cs="宋体"/>
                <w:color w:val="auto"/>
                <w:sz w:val="24"/>
                <w:szCs w:val="24"/>
                <w:highlight w:val="none"/>
                <w:lang w:val="en-US" w:eastAsia="zh-CN"/>
              </w:rPr>
              <w:t xml:space="preserve"> “第三部分  采购需求二、项目要求</w:t>
            </w:r>
            <w:r>
              <w:rPr>
                <w:rFonts w:hint="default" w:ascii="宋体" w:hAnsi="宋体" w:cs="宋体"/>
                <w:color w:val="auto"/>
                <w:sz w:val="24"/>
                <w:szCs w:val="24"/>
                <w:highlight w:val="none"/>
                <w:lang w:val="en-US" w:eastAsia="zh-CN"/>
              </w:rPr>
              <w:t>”中所有条款的得</w:t>
            </w:r>
            <w:r>
              <w:rPr>
                <w:rFonts w:hint="eastAsia" w:ascii="宋体" w:hAnsi="宋体" w:cs="宋体"/>
                <w:color w:val="auto"/>
                <w:sz w:val="24"/>
                <w:szCs w:val="24"/>
                <w:highlight w:val="none"/>
                <w:lang w:val="en-US" w:eastAsia="zh-CN"/>
              </w:rPr>
              <w:t>22</w:t>
            </w:r>
            <w:r>
              <w:rPr>
                <w:rFonts w:hint="default" w:ascii="宋体" w:hAnsi="宋体" w:cs="宋体"/>
                <w:color w:val="auto"/>
                <w:sz w:val="24"/>
                <w:szCs w:val="24"/>
                <w:highlight w:val="none"/>
                <w:lang w:val="en-US" w:eastAsia="zh-CN"/>
              </w:rPr>
              <w:t>分，每负偏离1条未标“★”的条款扣</w:t>
            </w:r>
            <w:r>
              <w:rPr>
                <w:rFonts w:hint="eastAsia" w:ascii="宋体" w:hAnsi="宋体" w:cs="宋体"/>
                <w:color w:val="auto"/>
                <w:sz w:val="24"/>
                <w:szCs w:val="24"/>
                <w:highlight w:val="none"/>
                <w:lang w:val="en-US" w:eastAsia="zh-CN"/>
              </w:rPr>
              <w:t>2</w:t>
            </w:r>
            <w:r>
              <w:rPr>
                <w:rFonts w:hint="default" w:ascii="宋体" w:hAnsi="宋体" w:cs="宋体"/>
                <w:color w:val="auto"/>
                <w:sz w:val="24"/>
                <w:szCs w:val="24"/>
                <w:highlight w:val="none"/>
                <w:lang w:val="en-US" w:eastAsia="zh-CN"/>
              </w:rPr>
              <w:t>分，当扣减至0分或以下时作无效标处理。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rightChars="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cs="宋体"/>
                <w:b/>
                <w:bCs/>
                <w:color w:val="auto"/>
                <w:sz w:val="24"/>
                <w:szCs w:val="24"/>
                <w:highlight w:val="none"/>
                <w:lang w:val="en-US" w:eastAsia="zh-CN"/>
              </w:rPr>
              <w:t>注：标“★”的条款不允许负偏离，否则作无效标处理。</w:t>
            </w:r>
          </w:p>
        </w:tc>
        <w:tc>
          <w:tcPr>
            <w:tcW w:w="705" w:type="dxa"/>
            <w:noWrap w:val="0"/>
            <w:vAlign w:val="center"/>
          </w:tcPr>
          <w:p>
            <w:pPr>
              <w:keepNext w:val="0"/>
              <w:keepLines w:val="0"/>
              <w:pageBreakBefore w:val="0"/>
              <w:widowControl/>
              <w:suppressLineNumbers w:val="0"/>
              <w:shd w:val="clear"/>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22</w:t>
            </w:r>
          </w:p>
        </w:tc>
        <w:tc>
          <w:tcPr>
            <w:tcW w:w="705" w:type="dxa"/>
            <w:noWrap w:val="0"/>
            <w:vAlign w:val="center"/>
          </w:tcPr>
          <w:p>
            <w:pPr>
              <w:keepNext w:val="0"/>
              <w:keepLines w:val="0"/>
              <w:pageBreakBefore w:val="0"/>
              <w:widowControl/>
              <w:suppressLineNumbers w:val="0"/>
              <w:shd w:val="clear" w:color="auto"/>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snapToGrid w:val="0"/>
                <w:color w:val="auto"/>
                <w:spacing w:val="-4"/>
                <w:kern w:val="2"/>
                <w:sz w:val="24"/>
                <w:szCs w:val="24"/>
                <w:highlight w:val="none"/>
                <w:lang w:val="en-US" w:eastAsia="zh-CN" w:bidi="ar-SA"/>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宋体" w:hAnsi="宋体" w:eastAsia="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rPr>
              <w:t>2、医院管理（7分）</w:t>
            </w:r>
          </w:p>
        </w:tc>
        <w:tc>
          <w:tcPr>
            <w:tcW w:w="557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供应商根据招标文件“第三部分  采购需求 二、项目要求”中“（二）管理方面要求”提供的医院管理方案，由评标委员会进行评议：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①方案内容完全结合医院实际情况，方便实行和监督，管理目标明确清晰，且能满足采购人对供应商管理有针对性措施的得7分；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②方案内容完全结合医院实际情况，基本符合医院的管理规范要求，管理目标明确清晰，但存在一定缺陷有待改进的得5分；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③方案内容基本符合医院实际需求，对医院管理要求理解不透彻，未针对性提出管理措施的得3分；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④方案内容不完整，内容分析不充分，与本项目实际需求有差距的得1分；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⑤未提供相关内容的不得分。</w:t>
            </w:r>
          </w:p>
        </w:tc>
        <w:tc>
          <w:tcPr>
            <w:tcW w:w="705" w:type="dxa"/>
            <w:noWrap w:val="0"/>
            <w:vAlign w:val="center"/>
          </w:tcPr>
          <w:p>
            <w:pPr>
              <w:keepNext w:val="0"/>
              <w:keepLines w:val="0"/>
              <w:pageBreakBefore w:val="0"/>
              <w:widowControl/>
              <w:suppressLineNumbers w:val="0"/>
              <w:shd w:val="clear"/>
              <w:kinsoku/>
              <w:wordWrap/>
              <w:overflowPunct/>
              <w:topLinePunct w:val="0"/>
              <w:bidi w:val="0"/>
              <w:adjustRightInd/>
              <w:snapToGrid/>
              <w:spacing w:before="0" w:beforeAutospacing="0" w:after="0" w:afterAutospacing="0" w:line="240" w:lineRule="auto"/>
              <w:ind w:left="0" w:right="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p>
        </w:tc>
        <w:tc>
          <w:tcPr>
            <w:tcW w:w="705" w:type="dxa"/>
            <w:noWrap w:val="0"/>
            <w:vAlign w:val="center"/>
          </w:tcPr>
          <w:p>
            <w:pPr>
              <w:keepNext w:val="0"/>
              <w:keepLines w:val="0"/>
              <w:pageBreakBefore w:val="0"/>
              <w:widowControl/>
              <w:suppressLineNumbers w:val="0"/>
              <w:shd w:val="clear" w:color="auto"/>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snapToGrid w:val="0"/>
                <w:color w:val="auto"/>
                <w:spacing w:val="-4"/>
                <w:kern w:val="2"/>
                <w:sz w:val="24"/>
                <w:szCs w:val="24"/>
                <w:highlight w:val="none"/>
                <w:lang w:val="en-US" w:eastAsia="zh-CN" w:bidi="ar-SA"/>
              </w:rPr>
            </w:pPr>
            <w:r>
              <w:rPr>
                <w:rFonts w:hint="eastAsia" w:ascii="宋体" w:hAnsi="宋体" w:eastAsia="宋体" w:cs="宋体"/>
                <w:snapToGrid w:val="0"/>
                <w:color w:val="auto"/>
                <w:spacing w:val="-4"/>
                <w:kern w:val="2"/>
                <w:sz w:val="24"/>
                <w:szCs w:val="24"/>
                <w:highlight w:val="none"/>
                <w:lang w:val="en-US" w:eastAsia="zh-CN"/>
              </w:rPr>
              <w:t>主观</w:t>
            </w:r>
            <w:r>
              <w:rPr>
                <w:rFonts w:hint="eastAsia" w:ascii="宋体" w:hAnsi="宋体" w:cs="宋体"/>
                <w:color w:val="auto"/>
                <w:sz w:val="24"/>
                <w:szCs w:val="24"/>
                <w:highlight w:val="none"/>
                <w:lang w:val="en-US" w:eastAsia="zh-CN"/>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center"/>
              <w:textAlignment w:val="auto"/>
              <w:rPr>
                <w:rFonts w:hint="default" w:ascii="宋体" w:hAnsi="宋体" w:eastAsia="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rPr>
              <w:t>3、医院服务质量（7分）</w:t>
            </w:r>
          </w:p>
        </w:tc>
        <w:tc>
          <w:tcPr>
            <w:tcW w:w="557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供应商根据招标文件“第三部分  采购需求 二、项目要求”中“（三）服务质量要求”提供的服务方案，由评标委员会进行评议：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①方案内容完全结合医院实际情况，能有效配合医疗</w:t>
            </w:r>
            <w:r>
              <w:rPr>
                <w:rFonts w:hint="eastAsia" w:ascii="宋体" w:hAnsi="宋体" w:eastAsia="宋体" w:cs="宋体"/>
                <w:color w:val="auto"/>
                <w:kern w:val="2"/>
                <w:sz w:val="24"/>
                <w:szCs w:val="24"/>
                <w:highlight w:val="none"/>
                <w:lang w:val="en-US" w:eastAsia="zh-CN" w:bidi="ar-SA"/>
              </w:rPr>
              <w:t>提高服务质量</w:t>
            </w:r>
            <w:r>
              <w:rPr>
                <w:rFonts w:hint="default" w:ascii="宋体" w:hAnsi="宋体" w:eastAsia="宋体" w:cs="宋体"/>
                <w:color w:val="auto"/>
                <w:kern w:val="2"/>
                <w:sz w:val="24"/>
                <w:szCs w:val="24"/>
                <w:highlight w:val="none"/>
                <w:lang w:val="en-US" w:eastAsia="zh-CN" w:bidi="ar-SA"/>
              </w:rPr>
              <w:t>，具有专业技能，服务目标明确清晰，能满足医院服务要求的得</w:t>
            </w:r>
            <w:r>
              <w:rPr>
                <w:rFonts w:hint="eastAsia" w:ascii="宋体" w:hAnsi="宋体" w:eastAsia="宋体" w:cs="宋体"/>
                <w:color w:val="auto"/>
                <w:kern w:val="2"/>
                <w:sz w:val="24"/>
                <w:szCs w:val="24"/>
                <w:highlight w:val="none"/>
                <w:lang w:val="en-US" w:eastAsia="zh-CN" w:bidi="ar-SA"/>
              </w:rPr>
              <w:t>7</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②方案内容完全结合医院实际情况，基本满足医院</w:t>
            </w:r>
            <w:r>
              <w:rPr>
                <w:rFonts w:hint="eastAsia" w:ascii="宋体" w:hAnsi="宋体" w:eastAsia="宋体" w:cs="宋体"/>
                <w:color w:val="auto"/>
                <w:kern w:val="2"/>
                <w:sz w:val="24"/>
                <w:szCs w:val="24"/>
                <w:highlight w:val="none"/>
                <w:lang w:val="en-US" w:eastAsia="zh-CN" w:bidi="ar-SA"/>
              </w:rPr>
              <w:t>基本服务</w:t>
            </w:r>
            <w:r>
              <w:rPr>
                <w:rFonts w:hint="default" w:ascii="宋体" w:hAnsi="宋体" w:eastAsia="宋体" w:cs="宋体"/>
                <w:color w:val="auto"/>
                <w:kern w:val="2"/>
                <w:sz w:val="24"/>
                <w:szCs w:val="24"/>
                <w:highlight w:val="none"/>
                <w:lang w:val="en-US" w:eastAsia="zh-CN" w:bidi="ar-SA"/>
              </w:rPr>
              <w:t>要求，运作流程设计符合采购人需求，能提供比较有针对性的服务措施的得</w:t>
            </w:r>
            <w:r>
              <w:rPr>
                <w:rFonts w:hint="eastAsia" w:ascii="宋体" w:hAnsi="宋体" w:eastAsia="宋体" w:cs="宋体"/>
                <w:color w:val="auto"/>
                <w:kern w:val="2"/>
                <w:sz w:val="24"/>
                <w:szCs w:val="24"/>
                <w:highlight w:val="none"/>
                <w:lang w:val="en-US" w:eastAsia="zh-CN" w:bidi="ar-SA"/>
              </w:rPr>
              <w:t>5</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③方案内容基本符合医院实际需求，但是实行上略有欠缺的得</w:t>
            </w:r>
            <w:r>
              <w:rPr>
                <w:rFonts w:hint="eastAsia" w:ascii="宋体" w:hAnsi="宋体" w:eastAsia="宋体" w:cs="宋体"/>
                <w:color w:val="auto"/>
                <w:kern w:val="2"/>
                <w:sz w:val="24"/>
                <w:szCs w:val="24"/>
                <w:highlight w:val="none"/>
                <w:lang w:val="en-US" w:eastAsia="zh-CN" w:bidi="ar-SA"/>
              </w:rPr>
              <w:t>3</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④方案内容不完整，内容分析不充分，与本项目实际需求有差距的得</w:t>
            </w:r>
            <w:r>
              <w:rPr>
                <w:rFonts w:hint="eastAsia" w:ascii="宋体" w:hAnsi="宋体" w:eastAsia="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⑤未提供相关内容的不得分。</w:t>
            </w:r>
          </w:p>
        </w:tc>
        <w:tc>
          <w:tcPr>
            <w:tcW w:w="705" w:type="dxa"/>
            <w:noWrap w:val="0"/>
            <w:vAlign w:val="center"/>
          </w:tcPr>
          <w:p>
            <w:pPr>
              <w:keepNext w:val="0"/>
              <w:keepLines w:val="0"/>
              <w:pageBreakBefore w:val="0"/>
              <w:widowControl/>
              <w:suppressLineNumbers w:val="0"/>
              <w:shd w:val="clear"/>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rPr>
              <w:t>7</w:t>
            </w:r>
          </w:p>
        </w:tc>
        <w:tc>
          <w:tcPr>
            <w:tcW w:w="705" w:type="dxa"/>
            <w:noWrap w:val="0"/>
            <w:vAlign w:val="center"/>
          </w:tcPr>
          <w:p>
            <w:pPr>
              <w:keepNext w:val="0"/>
              <w:keepLines w:val="0"/>
              <w:pageBreakBefore w:val="0"/>
              <w:widowControl/>
              <w:suppressLineNumbers w:val="0"/>
              <w:shd w:val="clear" w:color="auto"/>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snapToGrid w:val="0"/>
                <w:color w:val="auto"/>
                <w:spacing w:val="-4"/>
                <w:kern w:val="2"/>
                <w:sz w:val="24"/>
                <w:szCs w:val="24"/>
                <w:highlight w:val="none"/>
                <w:lang w:val="en-US" w:eastAsia="zh-CN" w:bidi="ar-SA"/>
              </w:rPr>
            </w:pPr>
            <w:r>
              <w:rPr>
                <w:rFonts w:hint="eastAsia" w:ascii="宋体" w:hAnsi="宋体" w:eastAsia="宋体" w:cs="宋体"/>
                <w:snapToGrid w:val="0"/>
                <w:color w:val="auto"/>
                <w:spacing w:val="-4"/>
                <w:kern w:val="2"/>
                <w:sz w:val="24"/>
                <w:szCs w:val="24"/>
                <w:highlight w:val="none"/>
                <w:lang w:val="en-US" w:eastAsia="zh-CN"/>
              </w:rPr>
              <w:t>主观</w:t>
            </w:r>
            <w:r>
              <w:rPr>
                <w:rFonts w:hint="eastAsia" w:ascii="宋体" w:hAnsi="宋体" w:cs="宋体"/>
                <w:color w:val="auto"/>
                <w:sz w:val="24"/>
                <w:szCs w:val="24"/>
                <w:highlight w:val="none"/>
                <w:lang w:val="en-US" w:eastAsia="zh-CN"/>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4、医院其他要求（7分）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供应商根据招标文件“第三部分  采购需求 二、项目要求”中“（五）其他要求”提供的</w:t>
            </w:r>
            <w:r>
              <w:rPr>
                <w:rFonts w:hint="eastAsia" w:ascii="宋体" w:hAnsi="宋体" w:eastAsia="宋体" w:cs="宋体"/>
                <w:color w:val="auto"/>
                <w:kern w:val="2"/>
                <w:sz w:val="24"/>
                <w:szCs w:val="24"/>
                <w:highlight w:val="none"/>
                <w:lang w:val="en-US" w:eastAsia="zh-CN" w:bidi="ar-SA"/>
              </w:rPr>
              <w:t>服务</w:t>
            </w:r>
            <w:r>
              <w:rPr>
                <w:rFonts w:hint="default" w:ascii="宋体" w:hAnsi="宋体" w:eastAsia="宋体" w:cs="宋体"/>
                <w:color w:val="auto"/>
                <w:kern w:val="2"/>
                <w:sz w:val="24"/>
                <w:szCs w:val="24"/>
                <w:highlight w:val="none"/>
                <w:lang w:val="en-US" w:eastAsia="zh-CN" w:bidi="ar-SA"/>
              </w:rPr>
              <w:t>方案，由评标委员会进行评议：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①方案内容完全结合医院实际情况，</w:t>
            </w:r>
            <w:r>
              <w:rPr>
                <w:rFonts w:hint="eastAsia" w:ascii="宋体" w:hAnsi="宋体" w:eastAsia="宋体" w:cs="宋体"/>
                <w:color w:val="auto"/>
                <w:kern w:val="2"/>
                <w:sz w:val="24"/>
                <w:szCs w:val="24"/>
                <w:highlight w:val="none"/>
                <w:lang w:val="en-US" w:eastAsia="zh-CN" w:bidi="ar-SA"/>
              </w:rPr>
              <w:t>无条件配合医院工作</w:t>
            </w:r>
            <w:r>
              <w:rPr>
                <w:rFonts w:hint="default" w:ascii="宋体" w:hAnsi="宋体" w:eastAsia="宋体" w:cs="宋体"/>
                <w:color w:val="auto"/>
                <w:kern w:val="2"/>
                <w:sz w:val="24"/>
                <w:szCs w:val="24"/>
                <w:highlight w:val="none"/>
                <w:lang w:val="en-US" w:eastAsia="zh-CN" w:bidi="ar-SA"/>
              </w:rPr>
              <w:t>，确保</w:t>
            </w:r>
            <w:r>
              <w:rPr>
                <w:rFonts w:hint="eastAsia" w:ascii="宋体" w:hAnsi="宋体" w:eastAsia="宋体" w:cs="宋体"/>
                <w:color w:val="auto"/>
                <w:kern w:val="2"/>
                <w:sz w:val="24"/>
                <w:szCs w:val="24"/>
                <w:highlight w:val="none"/>
                <w:lang w:val="en-US" w:eastAsia="zh-CN" w:bidi="ar-SA"/>
              </w:rPr>
              <w:t>人员在岗在职质量</w:t>
            </w:r>
            <w:r>
              <w:rPr>
                <w:rFonts w:hint="default"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遵循相关法律法规，</w:t>
            </w:r>
            <w:r>
              <w:rPr>
                <w:rFonts w:hint="default" w:ascii="宋体" w:hAnsi="宋体" w:eastAsia="宋体" w:cs="宋体"/>
                <w:color w:val="auto"/>
                <w:kern w:val="2"/>
                <w:sz w:val="24"/>
                <w:szCs w:val="24"/>
                <w:highlight w:val="none"/>
                <w:lang w:val="en-US" w:eastAsia="zh-CN" w:bidi="ar-SA"/>
              </w:rPr>
              <w:t>运作流程设计</w:t>
            </w:r>
            <w:r>
              <w:rPr>
                <w:rFonts w:hint="eastAsia" w:ascii="宋体" w:hAnsi="宋体" w:eastAsia="宋体" w:cs="宋体"/>
                <w:color w:val="auto"/>
                <w:kern w:val="2"/>
                <w:sz w:val="24"/>
                <w:szCs w:val="24"/>
                <w:highlight w:val="none"/>
                <w:lang w:val="en-US" w:eastAsia="zh-CN" w:bidi="ar-SA"/>
              </w:rPr>
              <w:t>合理</w:t>
            </w:r>
            <w:r>
              <w:rPr>
                <w:rFonts w:hint="default" w:ascii="宋体" w:hAnsi="宋体" w:eastAsia="宋体" w:cs="宋体"/>
                <w:color w:val="auto"/>
                <w:kern w:val="2"/>
                <w:sz w:val="24"/>
                <w:szCs w:val="24"/>
                <w:highlight w:val="none"/>
                <w:lang w:val="en-US" w:eastAsia="zh-CN" w:bidi="ar-SA"/>
              </w:rPr>
              <w:t>，能满足医院</w:t>
            </w:r>
            <w:r>
              <w:rPr>
                <w:rFonts w:hint="eastAsia" w:ascii="宋体" w:hAnsi="宋体" w:eastAsia="宋体" w:cs="宋体"/>
                <w:color w:val="auto"/>
                <w:kern w:val="2"/>
                <w:sz w:val="24"/>
                <w:szCs w:val="24"/>
                <w:highlight w:val="none"/>
                <w:lang w:val="en-US" w:eastAsia="zh-CN" w:bidi="ar-SA"/>
              </w:rPr>
              <w:t>运作</w:t>
            </w:r>
            <w:r>
              <w:rPr>
                <w:rFonts w:hint="default" w:ascii="宋体" w:hAnsi="宋体" w:eastAsia="宋体" w:cs="宋体"/>
                <w:color w:val="auto"/>
                <w:kern w:val="2"/>
                <w:sz w:val="24"/>
                <w:szCs w:val="24"/>
                <w:highlight w:val="none"/>
                <w:lang w:val="en-US" w:eastAsia="zh-CN" w:bidi="ar-SA"/>
              </w:rPr>
              <w:t>要求的得</w:t>
            </w:r>
            <w:r>
              <w:rPr>
                <w:rFonts w:hint="eastAsia" w:ascii="宋体" w:hAnsi="宋体" w:eastAsia="宋体" w:cs="宋体"/>
                <w:color w:val="auto"/>
                <w:kern w:val="2"/>
                <w:sz w:val="24"/>
                <w:szCs w:val="24"/>
                <w:highlight w:val="none"/>
                <w:lang w:val="en-US" w:eastAsia="zh-CN" w:bidi="ar-SA"/>
              </w:rPr>
              <w:t>7</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②方案内容完全结合医院实际情况，配合医院工作，运作流程设计符合采购人需求，能提供比较有针对性的服务措施的得</w:t>
            </w:r>
            <w:r>
              <w:rPr>
                <w:rFonts w:hint="eastAsia" w:ascii="宋体" w:hAnsi="宋体" w:eastAsia="宋体" w:cs="宋体"/>
                <w:color w:val="auto"/>
                <w:kern w:val="2"/>
                <w:sz w:val="24"/>
                <w:szCs w:val="24"/>
                <w:highlight w:val="none"/>
                <w:lang w:val="en-US" w:eastAsia="zh-CN" w:bidi="ar-SA"/>
              </w:rPr>
              <w:t>5</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③方案内容基本符合医院实际需求，</w:t>
            </w:r>
            <w:r>
              <w:rPr>
                <w:rFonts w:hint="eastAsia" w:ascii="宋体" w:hAnsi="宋体" w:eastAsia="宋体" w:cs="宋体"/>
                <w:color w:val="auto"/>
                <w:kern w:val="2"/>
                <w:sz w:val="24"/>
                <w:szCs w:val="24"/>
                <w:highlight w:val="none"/>
                <w:lang w:val="en-US" w:eastAsia="zh-CN" w:bidi="ar-SA"/>
              </w:rPr>
              <w:t>但有可能影响医院声誉</w:t>
            </w:r>
            <w:r>
              <w:rPr>
                <w:rFonts w:hint="default" w:ascii="宋体" w:hAnsi="宋体" w:eastAsia="宋体" w:cs="宋体"/>
                <w:color w:val="auto"/>
                <w:kern w:val="2"/>
                <w:sz w:val="24"/>
                <w:szCs w:val="24"/>
                <w:highlight w:val="none"/>
                <w:lang w:val="en-US" w:eastAsia="zh-CN" w:bidi="ar-SA"/>
              </w:rPr>
              <w:t>，运作流程设计</w:t>
            </w:r>
            <w:r>
              <w:rPr>
                <w:rFonts w:hint="eastAsia" w:ascii="宋体" w:hAnsi="宋体" w:eastAsia="宋体" w:cs="宋体"/>
                <w:color w:val="auto"/>
                <w:kern w:val="2"/>
                <w:sz w:val="24"/>
                <w:szCs w:val="24"/>
                <w:highlight w:val="none"/>
                <w:lang w:val="en-US" w:eastAsia="zh-CN" w:bidi="ar-SA"/>
              </w:rPr>
              <w:t>较为合理</w:t>
            </w:r>
            <w:r>
              <w:rPr>
                <w:rFonts w:hint="default" w:ascii="宋体" w:hAnsi="宋体" w:eastAsia="宋体" w:cs="宋体"/>
                <w:color w:val="auto"/>
                <w:kern w:val="2"/>
                <w:sz w:val="24"/>
                <w:szCs w:val="24"/>
                <w:highlight w:val="none"/>
                <w:lang w:val="en-US" w:eastAsia="zh-CN" w:bidi="ar-SA"/>
              </w:rPr>
              <w:t>，针对性不强的得</w:t>
            </w:r>
            <w:r>
              <w:rPr>
                <w:rFonts w:hint="eastAsia" w:ascii="宋体" w:hAnsi="宋体" w:eastAsia="宋体" w:cs="宋体"/>
                <w:color w:val="auto"/>
                <w:kern w:val="2"/>
                <w:sz w:val="24"/>
                <w:szCs w:val="24"/>
                <w:highlight w:val="none"/>
                <w:lang w:val="en-US" w:eastAsia="zh-CN" w:bidi="ar-SA"/>
              </w:rPr>
              <w:t>3</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④方案内容不完整，内容分析不充分，与本项目实际需求有差距的得</w:t>
            </w:r>
            <w:r>
              <w:rPr>
                <w:rFonts w:hint="eastAsia" w:ascii="宋体" w:hAnsi="宋体" w:eastAsia="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eastAsia" w:ascii="宋体" w:hAnsi="宋体" w:cs="宋体"/>
                <w:color w:val="auto"/>
                <w:sz w:val="24"/>
                <w:szCs w:val="24"/>
                <w:highlight w:val="none"/>
                <w:lang w:val="en-US" w:eastAsia="zh-CN"/>
              </w:rPr>
            </w:pPr>
            <w:r>
              <w:rPr>
                <w:rFonts w:hint="eastAsia" w:ascii="宋体" w:hAnsi="宋体" w:eastAsia="宋体" w:cs="宋体"/>
                <w:snapToGrid w:val="0"/>
                <w:color w:val="auto"/>
                <w:spacing w:val="-4"/>
                <w:kern w:val="2"/>
                <w:sz w:val="24"/>
                <w:szCs w:val="24"/>
                <w:highlight w:val="none"/>
                <w:lang w:val="en-US" w:eastAsia="zh-CN"/>
              </w:rPr>
              <w:t>主观</w:t>
            </w:r>
            <w:r>
              <w:rPr>
                <w:rFonts w:hint="eastAsia" w:ascii="宋体" w:hAnsi="宋体" w:cs="宋体"/>
                <w:color w:val="auto"/>
                <w:sz w:val="24"/>
                <w:szCs w:val="24"/>
                <w:highlight w:val="none"/>
                <w:lang w:val="en-US" w:eastAsia="zh-CN"/>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vMerge w:val="restart"/>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center"/>
              <w:textAlignment w:val="auto"/>
              <w:rPr>
                <w:rFonts w:hint="eastAsia" w:ascii="宋体" w:hAnsi="宋体" w:eastAsia="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rPr>
              <w:t>5、拟派项目组人员（10分）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根据“第三部分  采购需求”中人员配备要求，提供拟投入人员配置方案，由评标委员会进行评议：①人员配置合理、人员经验丰富且人员整体素质良好，合同期间能顺利完成任务的得5分；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②人员配置基本可保证合同期间能完成任务的得3分；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③人员配置存在缺陷有待改进，实行上略有欠缺的得2分；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④人员设置不合理，无法确保合同期间完成任务的得1分；</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color w:val="auto"/>
                <w:kern w:val="2"/>
                <w:sz w:val="24"/>
                <w:szCs w:val="24"/>
                <w:highlight w:val="none"/>
                <w:lang w:val="en-US" w:eastAsia="zh-CN" w:bidi="ar-SA"/>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snapToGrid w:val="0"/>
                <w:color w:val="auto"/>
                <w:spacing w:val="-4"/>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cs="宋体"/>
                <w:bCs/>
                <w:color w:val="auto"/>
                <w:kern w:val="0"/>
                <w:sz w:val="24"/>
                <w:szCs w:val="24"/>
                <w:highlight w:val="none"/>
                <w:lang w:val="en-US" w:eastAsia="zh-CN"/>
              </w:rPr>
            </w:pP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根据“第三部分  采购需求”中人员配备要求，提供排班计划及方案，由评标委员会进行评议：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①方案详细、编排合理、条理清晰、结构完整符合医院运营要求的得5分；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②计划编排及方案符合医院运营要求，但存在一定缺项的得3分；</w:t>
            </w:r>
            <w:r>
              <w:rPr>
                <w:rFonts w:hint="eastAsia" w:ascii="宋体" w:hAnsi="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③计划编排及方案存在明显缺项，实行上略有困难的得2分；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righ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④计划编排及方案不合理，无法确保人员轮换顺利的得1分；</w:t>
            </w:r>
            <w:r>
              <w:rPr>
                <w:rFonts w:hint="eastAsia" w:ascii="宋体" w:hAnsi="宋体" w:cs="宋体"/>
                <w:color w:val="auto"/>
                <w:sz w:val="24"/>
                <w:szCs w:val="24"/>
                <w:highlight w:val="none"/>
                <w:lang w:val="en-US" w:eastAsia="zh-CN"/>
              </w:rPr>
              <w:br w:type="textWrapping"/>
            </w:r>
            <w:r>
              <w:rPr>
                <w:rFonts w:hint="eastAsia" w:ascii="宋体" w:hAnsi="宋体" w:cs="宋体"/>
                <w:color w:val="auto"/>
                <w:sz w:val="24"/>
                <w:szCs w:val="24"/>
                <w:highlight w:val="none"/>
                <w:lang w:val="en-US" w:eastAsia="zh-CN"/>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snapToGrid w:val="0"/>
                <w:color w:val="auto"/>
                <w:spacing w:val="-4"/>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6、人员管理（5分）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针对“第三部分  采购需求”要求提供供应商针对本项目的员工稳定性保障措施和方案，由评标委员会进行评议：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①奖惩制度规范、福利待遇明确、能有效保障员工权益、绩效考核制度健全，可以有效实施的得4分；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②奖惩制度、绩效考核制度完整、有利管理，福利待遇基本能保证员工权益的得3分；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③未能明确阐述各项福利待遇，奖惩制度、考核制度存在缺陷，有待改进的得2分；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④未提供服务奖惩制度规范、福利待遇，实行上略有欠缺的得1分；</w:t>
            </w:r>
            <w:r>
              <w:rPr>
                <w:rFonts w:hint="default" w:ascii="宋体" w:hAnsi="宋体" w:cs="宋体"/>
                <w:color w:val="auto"/>
                <w:sz w:val="24"/>
                <w:szCs w:val="24"/>
                <w:highlight w:val="none"/>
                <w:lang w:val="en-US" w:eastAsia="zh-CN"/>
              </w:rPr>
              <w:br w:type="textWrapping"/>
            </w:r>
            <w:r>
              <w:rPr>
                <w:rFonts w:hint="default" w:ascii="宋体" w:hAnsi="宋体" w:cs="宋体"/>
                <w:color w:val="auto"/>
                <w:sz w:val="24"/>
                <w:szCs w:val="24"/>
                <w:highlight w:val="none"/>
                <w:lang w:val="en-US" w:eastAsia="zh-CN"/>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center"/>
              <w:textAlignment w:val="auto"/>
              <w:rPr>
                <w:rFonts w:hint="eastAsia" w:ascii="宋体" w:hAnsi="宋体" w:eastAsia="宋体" w:cs="宋体"/>
                <w:snapToGrid w:val="0"/>
                <w:color w:val="auto"/>
                <w:spacing w:val="-4"/>
                <w:kern w:val="2"/>
                <w:sz w:val="24"/>
                <w:szCs w:val="24"/>
                <w:highlight w:val="none"/>
                <w:lang w:val="en-US" w:eastAsia="zh-CN"/>
              </w:rPr>
            </w:pPr>
            <w:r>
              <w:rPr>
                <w:rFonts w:hint="eastAsia" w:ascii="宋体" w:hAnsi="宋体" w:eastAsia="宋体" w:cs="宋体"/>
                <w:snapToGrid w:val="0"/>
                <w:color w:val="auto"/>
                <w:spacing w:val="-4"/>
                <w:kern w:val="2"/>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7、人员培训（5分）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针对供应商提供的关于本项目提供的人员培训方案，由评标委员会进行评议：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①人员培训方案与医院实际相结合，</w:t>
            </w:r>
            <w:r>
              <w:rPr>
                <w:rFonts w:hint="eastAsia" w:ascii="宋体" w:hAnsi="宋体" w:eastAsia="宋体" w:cs="宋体"/>
                <w:color w:val="auto"/>
                <w:sz w:val="24"/>
                <w:szCs w:val="24"/>
                <w:highlight w:val="none"/>
                <w:lang w:val="en-US" w:eastAsia="zh-CN"/>
              </w:rPr>
              <w:t>培训内容详细、规范，培训师资充足且培训时间安排合理的得5分；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eastAsia="zh-CN"/>
              </w:rPr>
              <w:t>②人员培训方案与医院实际相结合，培训内容符合采购需求，但</w:t>
            </w:r>
            <w:r>
              <w:rPr>
                <w:rFonts w:hint="eastAsia" w:ascii="宋体" w:hAnsi="宋体" w:eastAsia="宋体" w:cs="宋体"/>
                <w:color w:val="auto"/>
                <w:sz w:val="24"/>
                <w:szCs w:val="24"/>
                <w:highlight w:val="none"/>
                <w:lang w:val="en-US" w:eastAsia="zh-CN"/>
              </w:rPr>
              <w:t>培训内容不够详细、规范的得3分；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lang w:val="zh-CN" w:eastAsia="zh-CN"/>
              </w:rPr>
              <w:t>人员培训方案</w:t>
            </w:r>
            <w:r>
              <w:rPr>
                <w:rFonts w:hint="eastAsia" w:ascii="宋体" w:hAnsi="宋体" w:eastAsia="宋体" w:cs="宋体"/>
                <w:color w:val="auto"/>
                <w:sz w:val="24"/>
                <w:szCs w:val="24"/>
                <w:highlight w:val="none"/>
                <w:lang w:val="en-US" w:eastAsia="zh-CN"/>
              </w:rPr>
              <w:t>不够符合采购需求</w:t>
            </w:r>
            <w:r>
              <w:rPr>
                <w:rFonts w:hint="eastAsia" w:ascii="宋体" w:hAnsi="宋体" w:eastAsia="宋体" w:cs="宋体"/>
                <w:color w:val="auto"/>
                <w:sz w:val="24"/>
                <w:szCs w:val="24"/>
                <w:highlight w:val="none"/>
                <w:lang w:val="zh-CN" w:eastAsia="zh-CN"/>
              </w:rPr>
              <w:t>，培训内容缺少针对性内容的得2分；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zh-CN" w:eastAsia="zh-CN"/>
              </w:rPr>
            </w:pPr>
            <w:r>
              <w:rPr>
                <w:rFonts w:hint="eastAsia" w:ascii="宋体" w:hAnsi="宋体" w:cs="宋体"/>
                <w:color w:val="auto"/>
                <w:sz w:val="24"/>
                <w:szCs w:val="24"/>
                <w:highlight w:val="none"/>
                <w:lang w:val="en-US" w:eastAsia="zh-CN"/>
              </w:rPr>
              <w:t>④</w:t>
            </w:r>
            <w:r>
              <w:rPr>
                <w:rFonts w:hint="eastAsia" w:ascii="宋体" w:hAnsi="宋体" w:cs="宋体"/>
                <w:color w:val="auto"/>
                <w:sz w:val="24"/>
                <w:szCs w:val="24"/>
                <w:highlight w:val="none"/>
                <w:lang w:val="zh-CN" w:eastAsia="zh-CN"/>
              </w:rPr>
              <w:t>人员培训方案</w:t>
            </w:r>
            <w:r>
              <w:rPr>
                <w:rFonts w:hint="eastAsia" w:ascii="宋体" w:hAnsi="宋体" w:cs="宋体"/>
                <w:color w:val="auto"/>
                <w:sz w:val="24"/>
                <w:szCs w:val="24"/>
                <w:highlight w:val="none"/>
                <w:lang w:val="en-US" w:eastAsia="zh-CN"/>
              </w:rPr>
              <w:t>没有结合医院实际</w:t>
            </w:r>
            <w:r>
              <w:rPr>
                <w:rFonts w:hint="eastAsia" w:ascii="宋体" w:hAnsi="宋体" w:cs="宋体"/>
                <w:color w:val="auto"/>
                <w:sz w:val="24"/>
                <w:szCs w:val="24"/>
                <w:highlight w:val="none"/>
                <w:lang w:val="zh-CN" w:eastAsia="zh-CN"/>
              </w:rPr>
              <w:t>，</w:t>
            </w:r>
            <w:r>
              <w:rPr>
                <w:rFonts w:hint="eastAsia" w:ascii="宋体" w:hAnsi="宋体" w:cs="宋体"/>
                <w:color w:val="auto"/>
                <w:sz w:val="24"/>
                <w:szCs w:val="24"/>
                <w:highlight w:val="none"/>
                <w:lang w:val="en-US" w:eastAsia="zh-CN"/>
              </w:rPr>
              <w:t>培训内容敷衍，没有相应培训老师且培训时间不合理</w:t>
            </w:r>
            <w:r>
              <w:rPr>
                <w:rFonts w:hint="eastAsia" w:ascii="宋体" w:hAnsi="宋体" w:cs="宋体"/>
                <w:color w:val="auto"/>
                <w:sz w:val="24"/>
                <w:szCs w:val="24"/>
                <w:highlight w:val="none"/>
                <w:lang w:val="zh-CN" w:eastAsia="zh-CN"/>
              </w:rPr>
              <w:t>的得</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val="zh-CN" w:eastAsia="zh-CN"/>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zh-CN" w:eastAsia="zh-CN"/>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8、项目人员衔接方案（5分）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根据供应商提供详细的项目人员衔接方案，由评标委员会进行评议：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①项目人员衔接方案切合实际，能确保医院正常运营</w:t>
            </w:r>
            <w:r>
              <w:rPr>
                <w:rFonts w:hint="eastAsia" w:ascii="宋体" w:hAnsi="宋体" w:eastAsia="宋体" w:cs="宋体"/>
                <w:color w:val="auto"/>
                <w:sz w:val="24"/>
                <w:szCs w:val="24"/>
                <w:highlight w:val="none"/>
                <w:lang w:val="en-US" w:eastAsia="zh-CN"/>
              </w:rPr>
              <w:t>，不会打乱医院现有人员工作进度</w:t>
            </w:r>
            <w:r>
              <w:rPr>
                <w:rFonts w:hint="default" w:ascii="宋体" w:hAnsi="宋体" w:eastAsia="宋体" w:cs="宋体"/>
                <w:color w:val="auto"/>
                <w:sz w:val="24"/>
                <w:szCs w:val="24"/>
                <w:highlight w:val="none"/>
                <w:lang w:val="en-US" w:eastAsia="zh-CN"/>
              </w:rPr>
              <w:t>的得</w:t>
            </w:r>
            <w:r>
              <w:rPr>
                <w:rFonts w:hint="eastAsia" w:ascii="宋体" w:hAnsi="宋体" w:eastAsia="宋体" w:cs="宋体"/>
                <w:color w:val="auto"/>
                <w:sz w:val="24"/>
                <w:szCs w:val="24"/>
                <w:highlight w:val="none"/>
                <w:lang w:val="en-US" w:eastAsia="zh-CN"/>
              </w:rPr>
              <w:t>5</w:t>
            </w:r>
            <w:r>
              <w:rPr>
                <w:rFonts w:hint="default" w:ascii="宋体" w:hAnsi="宋体" w:eastAsia="宋体" w:cs="宋体"/>
                <w:color w:val="auto"/>
                <w:sz w:val="24"/>
                <w:szCs w:val="24"/>
                <w:highlight w:val="none"/>
                <w:lang w:val="en-US" w:eastAsia="zh-CN"/>
              </w:rPr>
              <w:t>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②项目人员衔接方案存在一定风险，有可能会影响医院正常运营</w:t>
            </w:r>
            <w:r>
              <w:rPr>
                <w:rFonts w:hint="eastAsia" w:ascii="宋体" w:hAnsi="宋体" w:eastAsia="宋体" w:cs="宋体"/>
                <w:color w:val="auto"/>
                <w:sz w:val="24"/>
                <w:szCs w:val="24"/>
                <w:highlight w:val="none"/>
                <w:lang w:val="en-US" w:eastAsia="zh-CN"/>
              </w:rPr>
              <w:t>，但不会打乱医院原有人员工作</w:t>
            </w:r>
            <w:r>
              <w:rPr>
                <w:rFonts w:hint="default" w:ascii="宋体" w:hAnsi="宋体" w:eastAsia="宋体" w:cs="宋体"/>
                <w:color w:val="auto"/>
                <w:sz w:val="24"/>
                <w:szCs w:val="24"/>
                <w:highlight w:val="none"/>
                <w:lang w:val="en-US" w:eastAsia="zh-CN"/>
              </w:rPr>
              <w:t>的得</w:t>
            </w:r>
            <w:r>
              <w:rPr>
                <w:rFonts w:hint="eastAsia" w:ascii="宋体" w:hAnsi="宋体" w:eastAsia="宋体" w:cs="宋体"/>
                <w:color w:val="auto"/>
                <w:sz w:val="24"/>
                <w:szCs w:val="24"/>
                <w:highlight w:val="none"/>
                <w:lang w:val="en-US" w:eastAsia="zh-CN"/>
              </w:rPr>
              <w:t>3</w:t>
            </w:r>
            <w:r>
              <w:rPr>
                <w:rFonts w:hint="default"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②项目人员衔接方案存在一定风险，有可能会影响医院正常运营，且会打乱医院原有人员工作的得2分；</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④项目人员衔接方案存在巨大风险，会严重扰乱医院秩序得1分；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9、服务承诺（5分）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针对“第三部分  采购需求”要求提供各项服务承诺（含：月考勤率、人员工资、五险一金、服务人员保障措施），由评标委员会进行评议：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①各项服务承诺能与医院实际相结合，能提供实质性承诺及保障措施，能有效保证医院正常运营得5分；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②各项服务承诺能与医院实际相结合，承诺及保障基本符合采购人需求，满足医院运营需求的得3分；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③服务承诺与保障措施与医院实际需求有偏差，存在影响医院正常运营风险因素的得2分；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④服务承诺与保障措施与医院实际需求存在巨大偏差，会严重影响医院正常运营的得1分。</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10、质量保障（5分）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根据供应商提供的服务质量保障措施，由评标委员会进行评议：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①服务质量稳定，有较强的服务意识，能确保提供高质量，服务方便实行和监督，能与医院实际相结果，完全满足采购人需求的5分；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②服务保障机制不够完善，但能确保在合同期内完成任务的得3分；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③能确保完成任务，但服务质量保证措施内容含糊，实行上略有欠缺的得2分；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④未提供充分有效的保证措施或提供的措施无法保证采购人实际要求的得1分。</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11、应急预案（5分）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根据供应商提供的处理各类检查（突击检查、创优评优、等级医院检查）及各类突发事件的应急预案及相应的措施，由评标委员会进行评议：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①方案具体合理有针对性，能有应对突发应急事件，能协助医院及时处理突发疫情的得5分；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②方案具体合理，能应对大部分突发应急事件的得3分；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③方案合理，能应小部分突发应急事件的得2分。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④应对措施不完整的得1分；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⑤未提供相关内容的不得分。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auto"/>
              <w:rPr>
                <w:rFonts w:hint="default"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12、增值服务（3分）</w:t>
            </w:r>
          </w:p>
        </w:tc>
        <w:tc>
          <w:tcPr>
            <w:tcW w:w="5575" w:type="dxa"/>
            <w:noWrap w:val="0"/>
            <w:vAlign w:val="top"/>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根据供应商提供的增值服务方案，由评标委员会进行评议：</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①增值服务力度强劲，涉及服务范围广，能提升用户体验，能提供有价值的建议或实质性的优惠，符合采购人实际需求的得3分；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②增值服务具有延伸性，但无明显价值的得1分。</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③未提供相关内容的不得分。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leftChars="0" w:right="0" w:rightChars="0"/>
              <w:jc w:val="center"/>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120" w:afterAutospacing="0" w:line="240" w:lineRule="auto"/>
              <w:ind w:left="0" w:right="0"/>
              <w:jc w:val="both"/>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13、企业实力（3分）</w:t>
            </w:r>
          </w:p>
        </w:tc>
        <w:tc>
          <w:tcPr>
            <w:tcW w:w="557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供应商具有有效的质量管理认证体系证书的得1分；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供应商具有有效的环境管理认证体系证书的得1分；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供应商具有有效的职业健康安全管理体系认证证书的得1分。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注：（投标文件中提供有效期内的认证证书复印件，复印件上盖供应商公章。证书能在国家认监委网站（http://www.cnca.gov.cn/）查询结果有效。）</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rightChars="0" w:firstLine="0" w:firstLine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3</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auto"/>
              <w:ind w:left="0" w:leftChars="0" w:right="0" w:firstLine="0" w:firstLine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62" w:type="dxa"/>
            <w:vMerge w:val="continue"/>
            <w:noWrap w:val="0"/>
            <w:vAlign w:val="top"/>
          </w:tcPr>
          <w:p>
            <w:pPr>
              <w:keepNext w:val="0"/>
              <w:keepLines w:val="0"/>
              <w:pageBreakBefore w:val="0"/>
              <w:suppressLineNumbers w:val="0"/>
              <w:kinsoku/>
              <w:wordWrap/>
              <w:overflowPunct/>
              <w:topLinePunct w:val="0"/>
              <w:bidi w:val="0"/>
              <w:adjustRightInd/>
              <w:snapToGrid/>
              <w:spacing w:before="0" w:beforeAutospacing="0" w:after="0" w:afterAutospacing="0" w:line="240" w:lineRule="auto"/>
              <w:ind w:left="0" w:right="0"/>
              <w:jc w:val="left"/>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leftChars="0" w:right="0" w:rightChars="0"/>
              <w:jc w:val="center"/>
              <w:textAlignment w:val="auto"/>
              <w:rPr>
                <w:rFonts w:hint="eastAsia" w:ascii="宋体" w:hAnsi="宋体" w:eastAsia="宋体" w:cs="宋体"/>
                <w:bCs/>
                <w:color w:val="auto"/>
                <w:kern w:val="0"/>
                <w:sz w:val="24"/>
                <w:szCs w:val="24"/>
                <w:highlight w:val="none"/>
                <w:lang w:val="en-US" w:eastAsia="zh-CN" w:bidi="ar-SA"/>
              </w:rPr>
            </w:pPr>
            <w:r>
              <w:rPr>
                <w:rFonts w:hint="eastAsia" w:ascii="宋体" w:hAnsi="宋体" w:cs="宋体"/>
                <w:bCs/>
                <w:color w:val="auto"/>
                <w:kern w:val="0"/>
                <w:sz w:val="24"/>
                <w:szCs w:val="24"/>
                <w:highlight w:val="none"/>
                <w:lang w:val="en-US" w:eastAsia="zh-CN"/>
              </w:rPr>
              <w:t>14、业绩</w:t>
            </w:r>
            <w:r>
              <w:rPr>
                <w:rFonts w:hint="eastAsia" w:ascii="宋体" w:hAnsi="宋体" w:cs="宋体"/>
                <w:bCs/>
                <w:color w:val="auto"/>
                <w:kern w:val="0"/>
                <w:sz w:val="24"/>
                <w:szCs w:val="24"/>
                <w:highlight w:val="none"/>
                <w:lang w:val="en-US" w:eastAsia="zh-CN"/>
              </w:rPr>
              <w:br w:type="textWrapping"/>
            </w:r>
            <w:r>
              <w:rPr>
                <w:rFonts w:hint="eastAsia" w:ascii="宋体" w:hAnsi="宋体" w:cs="宋体"/>
                <w:bCs/>
                <w:color w:val="auto"/>
                <w:kern w:val="0"/>
                <w:sz w:val="24"/>
                <w:szCs w:val="24"/>
                <w:highlight w:val="none"/>
                <w:lang w:val="en-US" w:eastAsia="zh-CN"/>
              </w:rPr>
              <w:t>（1分）</w:t>
            </w:r>
          </w:p>
        </w:tc>
        <w:tc>
          <w:tcPr>
            <w:tcW w:w="5575"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2020年1月1日以来（以合同签订时间为准），供应商承接过类似人力资源服务外包项目的，每一例业绩得0.5分，最多得1分。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right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b/>
                <w:bCs/>
                <w:color w:val="auto"/>
                <w:sz w:val="24"/>
                <w:szCs w:val="24"/>
                <w:highlight w:val="none"/>
                <w:lang w:val="en-US" w:eastAsia="zh-CN"/>
              </w:rPr>
              <w:t>注：投标文件中提供合同复印件并加盖公章，未提供的或未按要求盖章的视为无效业绩。</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Calibri" w:hAnsi="Calibri" w:eastAsia="宋体" w:cs="Times New Roman"/>
                <w:color w:val="auto"/>
                <w:sz w:val="24"/>
                <w:szCs w:val="24"/>
                <w:highlight w:val="none"/>
                <w:lang w:val="zh-CN"/>
              </w:rPr>
              <w:t>客观评审</w:t>
            </w:r>
          </w:p>
        </w:tc>
      </w:tr>
    </w:tbl>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备注：1、供应商编制投标文件（商务技术文件部分）时，建议按此目录（序号和内容）提供评标标准相应的商务技术资料。2、小数点后保留一位数。3、各评标委员会成员自行按以上参考分值评分。4、重大事件由评标委员会集体讨论，应当按照少数服从多数的原则作出结论。</w:t>
      </w:r>
    </w:p>
    <w:p>
      <w:pPr>
        <w:widowControl/>
        <w:kinsoku/>
        <w:wordWrap/>
        <w:overflowPunct/>
        <w:topLinePunct w:val="0"/>
        <w:bidi w:val="0"/>
        <w:adjustRightInd/>
        <w:spacing w:line="320" w:lineRule="exact"/>
        <w:jc w:val="left"/>
        <w:outlineLvl w:val="9"/>
        <w:rPr>
          <w:rFonts w:hint="eastAsia" w:ascii="宋体" w:hAnsi="宋体" w:eastAsia="宋体" w:cs="宋体"/>
          <w:b w:val="0"/>
          <w:bCs/>
          <w:sz w:val="24"/>
        </w:rPr>
      </w:pPr>
      <w:r>
        <w:rPr>
          <w:rFonts w:hint="eastAsia" w:ascii="宋体" w:hAnsi="宋体" w:eastAsia="宋体" w:cs="宋体"/>
          <w:b/>
          <w:bCs/>
          <w:color w:val="auto"/>
          <w:sz w:val="32"/>
          <w:szCs w:val="40"/>
          <w:highlight w:val="none"/>
          <w:lang w:val="en-US" w:eastAsia="zh-CN" w:bidi="ar-SA"/>
        </w:rPr>
        <w:br w:type="page"/>
      </w:r>
    </w:p>
    <w:p>
      <w:pPr>
        <w:kinsoku/>
        <w:wordWrap/>
        <w:overflowPunct/>
        <w:topLinePunct w:val="0"/>
        <w:bidi w:val="0"/>
        <w:snapToGrid w:val="0"/>
        <w:spacing w:line="360" w:lineRule="auto"/>
        <w:outlineLvl w:val="9"/>
        <w:rPr>
          <w:rFonts w:ascii="宋体" w:hAnsi="宋体" w:cs="宋体"/>
          <w:b/>
          <w:sz w:val="28"/>
          <w:szCs w:val="28"/>
        </w:rPr>
      </w:pPr>
      <w:r>
        <w:rPr>
          <w:rFonts w:hint="eastAsia" w:ascii="宋体" w:hAnsi="宋体" w:cs="宋体"/>
          <w:b/>
          <w:sz w:val="32"/>
        </w:rPr>
        <w:t>一、评标方法</w:t>
      </w:r>
    </w:p>
    <w:p>
      <w:pPr>
        <w:kinsoku/>
        <w:wordWrap/>
        <w:overflowPunct/>
        <w:topLinePunct w:val="0"/>
        <w:bidi w:val="0"/>
        <w:adjustRightInd/>
        <w:spacing w:line="360" w:lineRule="auto"/>
        <w:ind w:firstLine="472" w:firstLineChars="196"/>
        <w:outlineLvl w:val="9"/>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w:t>
      </w:r>
      <w:r>
        <w:rPr>
          <w:rFonts w:hint="eastAsia" w:ascii="宋体" w:hAnsi="宋体" w:cs="宋体"/>
          <w:kern w:val="0"/>
          <w:sz w:val="24"/>
          <w:lang w:eastAsia="zh-CN"/>
        </w:rPr>
        <w:t>供应商</w:t>
      </w:r>
      <w:r>
        <w:rPr>
          <w:rFonts w:hint="eastAsia" w:ascii="宋体" w:hAnsi="宋体" w:cs="宋体"/>
          <w:kern w:val="0"/>
          <w:sz w:val="24"/>
        </w:rPr>
        <w:t>为中标候选人的评标方法。</w:t>
      </w:r>
    </w:p>
    <w:p>
      <w:pPr>
        <w:kinsoku/>
        <w:wordWrap/>
        <w:overflowPunct/>
        <w:topLinePunct w:val="0"/>
        <w:bidi w:val="0"/>
        <w:adjustRightInd/>
        <w:spacing w:line="360" w:lineRule="auto"/>
        <w:outlineLvl w:val="9"/>
        <w:rPr>
          <w:rFonts w:ascii="宋体" w:hAnsi="宋体" w:cs="宋体"/>
          <w:kern w:val="0"/>
          <w:sz w:val="24"/>
        </w:rPr>
      </w:pPr>
      <w:r>
        <w:rPr>
          <w:rFonts w:hint="eastAsia" w:ascii="宋体" w:hAnsi="宋体" w:cs="宋体"/>
          <w:b/>
          <w:sz w:val="32"/>
        </w:rPr>
        <w:t>二、评标标准</w:t>
      </w:r>
    </w:p>
    <w:p>
      <w:pPr>
        <w:kinsoku/>
        <w:wordWrap/>
        <w:overflowPunct/>
        <w:topLinePunct w:val="0"/>
        <w:bidi w:val="0"/>
        <w:spacing w:line="360" w:lineRule="auto"/>
        <w:ind w:firstLine="472" w:firstLineChars="196"/>
        <w:outlineLvl w:val="9"/>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kinsoku/>
        <w:wordWrap/>
        <w:overflowPunct/>
        <w:topLinePunct w:val="0"/>
        <w:bidi w:val="0"/>
        <w:spacing w:line="360" w:lineRule="auto"/>
        <w:outlineLvl w:val="9"/>
        <w:rPr>
          <w:rFonts w:ascii="宋体" w:hAnsi="宋体" w:cs="宋体"/>
          <w:b/>
          <w:sz w:val="36"/>
          <w:szCs w:val="36"/>
        </w:rPr>
      </w:pPr>
      <w:r>
        <w:rPr>
          <w:rFonts w:hint="eastAsia" w:ascii="宋体" w:hAnsi="宋体" w:cs="宋体"/>
          <w:b/>
          <w:sz w:val="36"/>
          <w:szCs w:val="36"/>
        </w:rPr>
        <w:t>三、评标程序</w:t>
      </w:r>
    </w:p>
    <w:p>
      <w:pPr>
        <w:kinsoku/>
        <w:wordWrap/>
        <w:overflowPunct/>
        <w:topLinePunct w:val="0"/>
        <w:bidi w:val="0"/>
        <w:spacing w:line="360" w:lineRule="auto"/>
        <w:ind w:firstLine="472" w:firstLineChars="196"/>
        <w:outlineLvl w:val="9"/>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w:t>
      </w:r>
      <w:r>
        <w:rPr>
          <w:rFonts w:hint="eastAsia" w:ascii="宋体" w:hAnsi="宋体" w:cs="宋体"/>
          <w:kern w:val="0"/>
          <w:sz w:val="24"/>
          <w:lang w:eastAsia="zh-CN"/>
        </w:rPr>
        <w:t>供应商</w:t>
      </w:r>
      <w:r>
        <w:rPr>
          <w:rFonts w:hint="eastAsia" w:ascii="宋体" w:hAnsi="宋体" w:cs="宋体"/>
          <w:kern w:val="0"/>
          <w:sz w:val="24"/>
        </w:rPr>
        <w:t>的投标文件进行符合性审查，以确定其是否满足招标文件的实质性要求。不满足招标文件的实质性要求的，投标无效。</w:t>
      </w:r>
    </w:p>
    <w:p>
      <w:pPr>
        <w:kinsoku/>
        <w:wordWrap/>
        <w:overflowPunct/>
        <w:topLinePunct w:val="0"/>
        <w:bidi w:val="0"/>
        <w:spacing w:line="360" w:lineRule="auto"/>
        <w:ind w:firstLine="472" w:firstLineChars="196"/>
        <w:outlineLvl w:val="9"/>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kinsoku/>
        <w:wordWrap/>
        <w:overflowPunct/>
        <w:topLinePunct w:val="0"/>
        <w:bidi w:val="0"/>
        <w:spacing w:line="360" w:lineRule="auto"/>
        <w:ind w:firstLine="472" w:firstLineChars="196"/>
        <w:outlineLvl w:val="9"/>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w:t>
      </w:r>
      <w:r>
        <w:rPr>
          <w:rFonts w:hint="eastAsia" w:ascii="宋体" w:hAnsi="宋体" w:cs="宋体"/>
          <w:kern w:val="0"/>
          <w:sz w:val="24"/>
          <w:lang w:eastAsia="zh-CN"/>
        </w:rPr>
        <w:t>供应商</w:t>
      </w:r>
      <w:r>
        <w:rPr>
          <w:rFonts w:hint="eastAsia" w:ascii="宋体" w:hAnsi="宋体" w:cs="宋体"/>
          <w:kern w:val="0"/>
          <w:sz w:val="24"/>
        </w:rPr>
        <w:t>的商务和技术文件进行评价，并汇总商务技术得分情况。</w:t>
      </w:r>
    </w:p>
    <w:p>
      <w:pPr>
        <w:kinsoku/>
        <w:wordWrap/>
        <w:overflowPunct/>
        <w:topLinePunct w:val="0"/>
        <w:bidi w:val="0"/>
        <w:spacing w:line="360" w:lineRule="auto"/>
        <w:ind w:firstLine="472" w:firstLineChars="196"/>
        <w:outlineLvl w:val="9"/>
        <w:rPr>
          <w:rFonts w:ascii="宋体" w:hAnsi="宋体" w:cs="宋体"/>
          <w:b/>
          <w:kern w:val="0"/>
          <w:sz w:val="24"/>
        </w:rPr>
      </w:pPr>
      <w:r>
        <w:rPr>
          <w:rFonts w:hint="eastAsia" w:ascii="宋体" w:hAnsi="宋体" w:cs="宋体"/>
          <w:b/>
          <w:kern w:val="0"/>
          <w:sz w:val="24"/>
        </w:rPr>
        <w:t>3.4报价评审。</w:t>
      </w:r>
    </w:p>
    <w:p>
      <w:pPr>
        <w:pStyle w:val="130"/>
        <w:kinsoku/>
        <w:wordWrap/>
        <w:overflowPunct/>
        <w:topLinePunct w:val="0"/>
        <w:bidi w:val="0"/>
        <w:spacing w:before="0"/>
        <w:ind w:firstLine="508" w:firstLineChars="212"/>
        <w:outlineLvl w:val="9"/>
        <w:rPr>
          <w:rFonts w:ascii="宋体" w:hAnsi="宋体" w:cs="宋体"/>
          <w:kern w:val="0"/>
        </w:rPr>
      </w:pPr>
      <w:r>
        <w:rPr>
          <w:rFonts w:hint="eastAsia" w:ascii="宋体" w:hAnsi="宋体" w:cs="宋体"/>
          <w:kern w:val="0"/>
        </w:rPr>
        <w:t>3.4.1投标文件报价出现前后不一致的，按照下列规定修正：</w:t>
      </w:r>
    </w:p>
    <w:p>
      <w:pPr>
        <w:pStyle w:val="130"/>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w:t>
      </w:r>
      <w:r>
        <w:rPr>
          <w:rFonts w:hint="eastAsia" w:ascii="宋体" w:hAnsi="宋体" w:cs="宋体"/>
          <w:kern w:val="0"/>
          <w:szCs w:val="24"/>
          <w:lang w:eastAsia="zh-CN"/>
        </w:rPr>
        <w:t>供应商</w:t>
      </w:r>
      <w:r>
        <w:rPr>
          <w:rFonts w:hint="eastAsia" w:ascii="宋体" w:hAnsi="宋体" w:cs="宋体"/>
          <w:kern w:val="0"/>
          <w:szCs w:val="24"/>
        </w:rPr>
        <w:t>确认后产生约束力。</w:t>
      </w:r>
    </w:p>
    <w:p>
      <w:pPr>
        <w:kinsoku/>
        <w:wordWrap/>
        <w:overflowPunct/>
        <w:topLinePunct w:val="0"/>
        <w:bidi w:val="0"/>
        <w:snapToGrid w:val="0"/>
        <w:spacing w:line="360" w:lineRule="auto"/>
        <w:ind w:firstLine="480" w:firstLineChars="200"/>
        <w:jc w:val="left"/>
        <w:outlineLvl w:val="9"/>
        <w:rPr>
          <w:rFonts w:ascii="宋体" w:hAnsi="宋体" w:cs="宋体"/>
          <w:kern w:val="0"/>
          <w:sz w:val="24"/>
        </w:rPr>
      </w:pPr>
      <w:r>
        <w:rPr>
          <w:rFonts w:hint="eastAsia" w:ascii="宋体" w:hAnsi="宋体" w:cs="宋体"/>
          <w:kern w:val="0"/>
          <w:sz w:val="24"/>
        </w:rPr>
        <w:t>3.4.2投标文件出现不是唯一的、有选择性投标报价的，投标无效。</w:t>
      </w:r>
    </w:p>
    <w:p>
      <w:pPr>
        <w:kinsoku/>
        <w:wordWrap/>
        <w:overflowPunct/>
        <w:topLinePunct w:val="0"/>
        <w:bidi w:val="0"/>
        <w:snapToGrid w:val="0"/>
        <w:spacing w:line="360" w:lineRule="auto"/>
        <w:ind w:firstLine="480" w:firstLineChars="200"/>
        <w:jc w:val="left"/>
        <w:outlineLvl w:val="9"/>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3.4.4评标委员会认为</w:t>
      </w:r>
      <w:r>
        <w:rPr>
          <w:rFonts w:hint="eastAsia" w:ascii="宋体" w:hAnsi="宋体" w:cs="宋体"/>
          <w:kern w:val="0"/>
          <w:szCs w:val="24"/>
          <w:lang w:eastAsia="zh-CN"/>
        </w:rPr>
        <w:t>供应商</w:t>
      </w:r>
      <w:r>
        <w:rPr>
          <w:rFonts w:hint="eastAsia" w:ascii="宋体" w:hAnsi="宋体" w:cs="宋体"/>
          <w:kern w:val="0"/>
          <w:szCs w:val="24"/>
        </w:rPr>
        <w:t>的报价明显低于其他通过符合性审查</w:t>
      </w:r>
      <w:r>
        <w:rPr>
          <w:rFonts w:hint="eastAsia" w:ascii="宋体" w:hAnsi="宋体" w:cs="宋体"/>
          <w:kern w:val="0"/>
          <w:szCs w:val="24"/>
          <w:lang w:eastAsia="zh-CN"/>
        </w:rPr>
        <w:t>供应商</w:t>
      </w:r>
      <w:r>
        <w:rPr>
          <w:rFonts w:hint="eastAsia" w:ascii="宋体" w:hAnsi="宋体" w:cs="宋体"/>
          <w:kern w:val="0"/>
          <w:szCs w:val="24"/>
        </w:rPr>
        <w:t>的报价，有可能影响产品质量或者不能诚信履约的，应当要求其在合理的时间内提供书面说明，必要时提交相关证明材料;</w:t>
      </w:r>
      <w:r>
        <w:rPr>
          <w:rFonts w:hint="eastAsia" w:ascii="宋体" w:hAnsi="宋体" w:cs="宋体"/>
          <w:kern w:val="0"/>
          <w:szCs w:val="24"/>
          <w:lang w:eastAsia="zh-CN"/>
        </w:rPr>
        <w:t>供应商</w:t>
      </w:r>
      <w:r>
        <w:rPr>
          <w:rFonts w:hint="eastAsia" w:ascii="宋体" w:hAnsi="宋体" w:cs="宋体"/>
          <w:kern w:val="0"/>
          <w:szCs w:val="24"/>
        </w:rPr>
        <w:t>不能证明其报价合理性的，评标委员会应当将其作为无效投标处理。</w:t>
      </w:r>
    </w:p>
    <w:p>
      <w:pPr>
        <w:pStyle w:val="130"/>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2" w:firstLineChars="200"/>
        <w:outlineLvl w:val="9"/>
        <w:rPr>
          <w:rFonts w:hint="eastAsia" w:ascii="宋体" w:hAnsi="宋体" w:eastAsia="宋体" w:cs="宋体"/>
          <w:kern w:val="0"/>
          <w:sz w:val="24"/>
          <w:lang w:val="en-US" w:eastAsia="zh-CN"/>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cs="宋体"/>
          <w:kern w:val="0"/>
          <w:sz w:val="24"/>
          <w:lang w:eastAsia="zh-CN"/>
        </w:rPr>
        <w:t>供应商</w:t>
      </w:r>
      <w:r>
        <w:rPr>
          <w:rFonts w:hint="eastAsia" w:ascii="宋体" w:hAnsi="宋体" w:cs="宋体"/>
          <w:kern w:val="0"/>
          <w:sz w:val="24"/>
        </w:rPr>
        <w:t>为排名第一的中标候选人。</w:t>
      </w:r>
      <w:r>
        <w:rPr>
          <w:rFonts w:hint="eastAsia" w:ascii="宋体" w:hAnsi="宋体" w:eastAsia="宋体" w:cs="宋体"/>
          <w:b/>
          <w:bCs/>
          <w:kern w:val="0"/>
          <w:sz w:val="24"/>
          <w:lang w:val="en-US" w:eastAsia="zh-CN"/>
        </w:rPr>
        <w:t>备注：推荐3名及以上中标候选人。</w:t>
      </w:r>
    </w:p>
    <w:p>
      <w:pPr>
        <w:kinsoku/>
        <w:wordWrap/>
        <w:overflowPunct/>
        <w:topLinePunct w:val="0"/>
        <w:bidi w:val="0"/>
        <w:spacing w:line="360" w:lineRule="auto"/>
        <w:ind w:firstLine="480" w:firstLineChars="200"/>
        <w:outlineLvl w:val="9"/>
        <w:rPr>
          <w:rFonts w:ascii="宋体" w:hAnsi="宋体" w:cs="宋体"/>
          <w:b/>
          <w:kern w:val="0"/>
          <w:sz w:val="24"/>
        </w:rPr>
      </w:pPr>
      <w:r>
        <w:rPr>
          <w:rFonts w:hint="eastAsia" w:ascii="宋体" w:hAnsi="宋体" w:cs="宋体"/>
          <w:kern w:val="0"/>
          <w:sz w:val="24"/>
        </w:rPr>
        <w:t>多家</w:t>
      </w:r>
      <w:r>
        <w:rPr>
          <w:rFonts w:hint="eastAsia" w:ascii="宋体" w:hAnsi="宋体" w:cs="宋体"/>
          <w:kern w:val="0"/>
          <w:sz w:val="24"/>
          <w:lang w:eastAsia="zh-CN"/>
        </w:rPr>
        <w:t>供应商</w:t>
      </w:r>
      <w:r>
        <w:rPr>
          <w:rFonts w:hint="eastAsia" w:ascii="宋体" w:hAnsi="宋体" w:cs="宋体"/>
          <w:kern w:val="0"/>
          <w:sz w:val="24"/>
        </w:rPr>
        <w:t>提供相同品牌产品（单一产品采购项目中的该产品或者非单一产品采购项目的核心产品）且通过资格审查、符合性审查的不同</w:t>
      </w:r>
      <w:r>
        <w:rPr>
          <w:rFonts w:hint="eastAsia" w:ascii="宋体" w:hAnsi="宋体" w:cs="宋体"/>
          <w:kern w:val="0"/>
          <w:sz w:val="24"/>
          <w:lang w:eastAsia="zh-CN"/>
        </w:rPr>
        <w:t>供应商</w:t>
      </w:r>
      <w:r>
        <w:rPr>
          <w:rFonts w:hint="eastAsia" w:ascii="宋体" w:hAnsi="宋体" w:cs="宋体"/>
          <w:kern w:val="0"/>
          <w:sz w:val="24"/>
        </w:rPr>
        <w:t>参加同一合同项下投标的，按一家</w:t>
      </w:r>
      <w:r>
        <w:rPr>
          <w:rFonts w:hint="eastAsia" w:ascii="宋体" w:hAnsi="宋体" w:cs="宋体"/>
          <w:kern w:val="0"/>
          <w:sz w:val="24"/>
          <w:lang w:eastAsia="zh-CN"/>
        </w:rPr>
        <w:t>供应商</w:t>
      </w:r>
      <w:r>
        <w:rPr>
          <w:rFonts w:hint="eastAsia" w:ascii="宋体" w:hAnsi="宋体" w:cs="宋体"/>
          <w:kern w:val="0"/>
          <w:sz w:val="24"/>
        </w:rPr>
        <w:t>计算，评审后得分最高的同品牌</w:t>
      </w:r>
      <w:r>
        <w:rPr>
          <w:rFonts w:hint="eastAsia" w:ascii="宋体" w:hAnsi="宋体" w:cs="宋体"/>
          <w:kern w:val="0"/>
          <w:sz w:val="24"/>
          <w:lang w:eastAsia="zh-CN"/>
        </w:rPr>
        <w:t>供应商</w:t>
      </w:r>
      <w:r>
        <w:rPr>
          <w:rFonts w:hint="eastAsia" w:ascii="宋体" w:hAnsi="宋体" w:cs="宋体"/>
          <w:kern w:val="0"/>
          <w:sz w:val="24"/>
        </w:rPr>
        <w:t>获得中标人推荐资格；评审得分相同的，采取随机抽取方式确定，其他同品牌</w:t>
      </w:r>
      <w:r>
        <w:rPr>
          <w:rFonts w:hint="eastAsia" w:ascii="宋体" w:hAnsi="宋体" w:cs="宋体"/>
          <w:kern w:val="0"/>
          <w:sz w:val="24"/>
          <w:lang w:eastAsia="zh-CN"/>
        </w:rPr>
        <w:t>供应商</w:t>
      </w:r>
      <w:r>
        <w:rPr>
          <w:rFonts w:hint="eastAsia" w:ascii="宋体" w:hAnsi="宋体" w:cs="宋体"/>
          <w:kern w:val="0"/>
          <w:sz w:val="24"/>
        </w:rPr>
        <w:t>不作为中标候选人。</w:t>
      </w:r>
    </w:p>
    <w:p>
      <w:pPr>
        <w:kinsoku/>
        <w:wordWrap/>
        <w:overflowPunct/>
        <w:topLinePunct w:val="0"/>
        <w:bidi w:val="0"/>
        <w:spacing w:line="360" w:lineRule="auto"/>
        <w:ind w:firstLine="472" w:firstLineChars="196"/>
        <w:outlineLvl w:val="9"/>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kinsoku/>
        <w:wordWrap/>
        <w:overflowPunct/>
        <w:topLinePunct w:val="0"/>
        <w:bidi w:val="0"/>
        <w:adjustRightInd/>
        <w:spacing w:after="225" w:line="315" w:lineRule="atLeast"/>
        <w:jc w:val="left"/>
        <w:outlineLvl w:val="9"/>
        <w:rPr>
          <w:rFonts w:ascii="宋体" w:hAnsi="宋体" w:cs="宋体"/>
          <w:b/>
          <w:sz w:val="32"/>
        </w:rPr>
      </w:pPr>
      <w:r>
        <w:rPr>
          <w:rFonts w:hint="eastAsia" w:ascii="宋体" w:hAnsi="宋体" w:cs="宋体"/>
          <w:b/>
          <w:sz w:val="32"/>
        </w:rPr>
        <w:t>四、评标中的其他事项</w:t>
      </w:r>
    </w:p>
    <w:p>
      <w:pPr>
        <w:pStyle w:val="130"/>
        <w:kinsoku/>
        <w:wordWrap/>
        <w:overflowPunct/>
        <w:topLinePunct w:val="0"/>
        <w:bidi w:val="0"/>
        <w:spacing w:before="0"/>
        <w:ind w:firstLine="472" w:firstLineChars="196"/>
        <w:outlineLvl w:val="9"/>
        <w:rPr>
          <w:rFonts w:ascii="宋体" w:hAnsi="宋体" w:cs="宋体"/>
          <w:kern w:val="0"/>
          <w:szCs w:val="24"/>
        </w:rPr>
      </w:pPr>
      <w:r>
        <w:rPr>
          <w:rFonts w:hint="eastAsia" w:ascii="宋体" w:hAnsi="宋体" w:cs="宋体"/>
          <w:b/>
          <w:kern w:val="0"/>
          <w:szCs w:val="24"/>
        </w:rPr>
        <w:t>4.1</w:t>
      </w:r>
      <w:r>
        <w:rPr>
          <w:rFonts w:hint="eastAsia" w:ascii="宋体" w:hAnsi="宋体" w:cs="宋体"/>
          <w:b/>
          <w:kern w:val="0"/>
          <w:szCs w:val="24"/>
          <w:lang w:eastAsia="zh-CN"/>
        </w:rPr>
        <w:t>供应商</w:t>
      </w:r>
      <w:r>
        <w:rPr>
          <w:rFonts w:hint="eastAsia" w:ascii="宋体" w:hAnsi="宋体" w:cs="宋体"/>
          <w:b/>
          <w:kern w:val="0"/>
          <w:szCs w:val="24"/>
        </w:rPr>
        <w:t>澄清、说明或者补正。</w:t>
      </w:r>
      <w:r>
        <w:rPr>
          <w:rFonts w:hint="eastAsia" w:ascii="宋体" w:hAnsi="宋体" w:cs="宋体"/>
          <w:kern w:val="0"/>
          <w:szCs w:val="24"/>
        </w:rPr>
        <w:t>对于投标文件中含义不明确、同类问题表述不一致或者有明显文字和计算错误的内容需要</w:t>
      </w:r>
      <w:r>
        <w:rPr>
          <w:rFonts w:hint="eastAsia" w:ascii="宋体" w:hAnsi="宋体" w:cs="宋体"/>
          <w:kern w:val="0"/>
          <w:szCs w:val="24"/>
          <w:lang w:eastAsia="zh-CN"/>
        </w:rPr>
        <w:t>供应商</w:t>
      </w:r>
      <w:r>
        <w:rPr>
          <w:rFonts w:hint="eastAsia" w:ascii="宋体" w:hAnsi="宋体" w:cs="宋体"/>
          <w:kern w:val="0"/>
          <w:szCs w:val="24"/>
        </w:rPr>
        <w:t>作出必要的澄清、说明或者补正的，评标委员会和</w:t>
      </w:r>
      <w:r>
        <w:rPr>
          <w:rFonts w:hint="eastAsia" w:ascii="宋体" w:hAnsi="宋体" w:cs="宋体"/>
          <w:kern w:val="0"/>
          <w:szCs w:val="24"/>
          <w:lang w:eastAsia="zh-CN"/>
        </w:rPr>
        <w:t>供应商</w:t>
      </w:r>
      <w:r>
        <w:rPr>
          <w:rFonts w:hint="eastAsia" w:ascii="宋体" w:hAnsi="宋体" w:cs="宋体"/>
          <w:kern w:val="0"/>
          <w:szCs w:val="24"/>
        </w:rPr>
        <w:t>通过电子交易平台交换数据电文，</w:t>
      </w:r>
      <w:r>
        <w:rPr>
          <w:rFonts w:hint="eastAsia" w:ascii="宋体" w:hAnsi="宋体" w:cs="宋体"/>
          <w:kern w:val="0"/>
          <w:szCs w:val="24"/>
          <w:lang w:eastAsia="zh-CN"/>
        </w:rPr>
        <w:t>供应商</w:t>
      </w:r>
      <w:r>
        <w:rPr>
          <w:rFonts w:hint="eastAsia" w:ascii="宋体" w:hAnsi="宋体" w:cs="宋体"/>
          <w:kern w:val="0"/>
          <w:szCs w:val="24"/>
        </w:rPr>
        <w:t>提交使用电子签名的相关数据电文或通过平台上传加盖公章的扫描件。给予</w:t>
      </w:r>
      <w:r>
        <w:rPr>
          <w:rFonts w:hint="eastAsia" w:ascii="宋体" w:hAnsi="宋体" w:cs="宋体"/>
          <w:kern w:val="0"/>
          <w:szCs w:val="24"/>
          <w:lang w:eastAsia="zh-CN"/>
        </w:rPr>
        <w:t>供应商</w:t>
      </w:r>
      <w:r>
        <w:rPr>
          <w:rFonts w:hint="eastAsia" w:ascii="宋体" w:hAnsi="宋体" w:cs="宋体"/>
          <w:kern w:val="0"/>
          <w:szCs w:val="24"/>
        </w:rPr>
        <w:t>提交澄清、说明或补正的时间不得少于半小时，</w:t>
      </w:r>
      <w:r>
        <w:rPr>
          <w:rFonts w:hint="eastAsia" w:ascii="宋体" w:hAnsi="宋体" w:cs="宋体"/>
          <w:kern w:val="0"/>
          <w:szCs w:val="24"/>
          <w:lang w:eastAsia="zh-CN"/>
        </w:rPr>
        <w:t>供应商</w:t>
      </w:r>
      <w:r>
        <w:rPr>
          <w:rFonts w:hint="eastAsia" w:ascii="宋体" w:hAnsi="宋体" w:cs="宋体"/>
          <w:kern w:val="0"/>
          <w:szCs w:val="24"/>
        </w:rPr>
        <w:t>已经明确表示澄清说明或补正完毕的除外。</w:t>
      </w:r>
      <w:r>
        <w:rPr>
          <w:rFonts w:hint="eastAsia" w:ascii="宋体" w:hAnsi="宋体" w:cs="宋体"/>
          <w:kern w:val="0"/>
          <w:szCs w:val="24"/>
          <w:lang w:eastAsia="zh-CN"/>
        </w:rPr>
        <w:t>供应商</w:t>
      </w:r>
      <w:r>
        <w:rPr>
          <w:rFonts w:hint="eastAsia" w:ascii="宋体" w:hAnsi="宋体" w:cs="宋体"/>
          <w:kern w:val="0"/>
          <w:szCs w:val="24"/>
        </w:rPr>
        <w:t>的澄清、说明或者补正不得超出投标文件的范围或者改变投标文件的实质性内容。</w:t>
      </w:r>
    </w:p>
    <w:p>
      <w:pPr>
        <w:pStyle w:val="25"/>
        <w:kinsoku/>
        <w:wordWrap/>
        <w:overflowPunct/>
        <w:topLinePunct w:val="0"/>
        <w:bidi w:val="0"/>
        <w:spacing w:line="360" w:lineRule="auto"/>
        <w:ind w:left="954" w:leftChars="226" w:hanging="479" w:firstLineChars="0"/>
        <w:outlineLvl w:val="9"/>
        <w:rPr>
          <w:rFonts w:cs="宋体"/>
          <w:szCs w:val="21"/>
        </w:rPr>
      </w:pPr>
      <w:r>
        <w:rPr>
          <w:rFonts w:hint="eastAsia" w:cs="宋体"/>
          <w:b/>
          <w:kern w:val="0"/>
        </w:rPr>
        <w:t>4.2投标无效。</w:t>
      </w:r>
      <w:r>
        <w:rPr>
          <w:rFonts w:hint="eastAsia" w:cs="宋体"/>
          <w:szCs w:val="21"/>
        </w:rPr>
        <w:t>有下列情形之一的，投标无效：</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4.2.1</w:t>
      </w:r>
      <w:r>
        <w:rPr>
          <w:rFonts w:hint="eastAsia" w:ascii="宋体" w:hAnsi="宋体" w:cs="宋体"/>
          <w:kern w:val="0"/>
          <w:sz w:val="24"/>
          <w:lang w:eastAsia="zh-CN"/>
        </w:rPr>
        <w:t>供应商</w:t>
      </w:r>
      <w:r>
        <w:rPr>
          <w:rFonts w:hint="eastAsia" w:ascii="宋体" w:hAnsi="宋体" w:cs="宋体"/>
          <w:kern w:val="0"/>
          <w:sz w:val="24"/>
        </w:rPr>
        <w:t>不具备招标文件中规定的资格要求的（</w:t>
      </w:r>
      <w:r>
        <w:rPr>
          <w:rFonts w:hint="eastAsia" w:ascii="宋体" w:hAnsi="宋体" w:cs="宋体"/>
          <w:kern w:val="0"/>
          <w:sz w:val="24"/>
          <w:lang w:eastAsia="zh-CN"/>
        </w:rPr>
        <w:t>供应商</w:t>
      </w:r>
      <w:r>
        <w:rPr>
          <w:rFonts w:hint="eastAsia" w:ascii="宋体" w:hAnsi="宋体" w:cs="宋体"/>
          <w:kern w:val="0"/>
          <w:sz w:val="24"/>
        </w:rPr>
        <w:t>未提供有效的资格文件的，视为</w:t>
      </w:r>
      <w:r>
        <w:rPr>
          <w:rFonts w:hint="eastAsia" w:ascii="宋体" w:hAnsi="宋体" w:cs="宋体"/>
          <w:kern w:val="0"/>
          <w:sz w:val="24"/>
          <w:lang w:eastAsia="zh-CN"/>
        </w:rPr>
        <w:t>供应商</w:t>
      </w:r>
      <w:r>
        <w:rPr>
          <w:rFonts w:hint="eastAsia" w:ascii="宋体" w:hAnsi="宋体" w:cs="宋体"/>
          <w:kern w:val="0"/>
          <w:sz w:val="24"/>
        </w:rPr>
        <w:t>不具备招标文件中规定的资格要求）；</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4.2.2投标文件未按照招标文件要求签署、盖章的；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4.2.3采购人拟采购的产品属于政府强制采购的节能产品品目清单范围的，</w:t>
      </w:r>
      <w:r>
        <w:rPr>
          <w:rFonts w:hint="eastAsia" w:ascii="宋体" w:hAnsi="宋体" w:cs="宋体"/>
          <w:kern w:val="0"/>
          <w:sz w:val="24"/>
          <w:lang w:eastAsia="zh-CN"/>
        </w:rPr>
        <w:t>供应商</w:t>
      </w:r>
      <w:r>
        <w:rPr>
          <w:rFonts w:hint="eastAsia" w:ascii="宋体" w:hAnsi="宋体" w:cs="宋体"/>
          <w:kern w:val="0"/>
          <w:sz w:val="24"/>
        </w:rPr>
        <w:t>相应的投标产品未获得国家确定的认证机构出具的、处于有效期之内的节能产品认证证书的；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4.2.4投标文件含有采购人不能接受的附加条件的；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4.2.6</w:t>
      </w:r>
      <w:r>
        <w:rPr>
          <w:rFonts w:hint="eastAsia" w:ascii="宋体" w:hAnsi="宋体" w:eastAsia="宋体" w:cs="宋体"/>
          <w:kern w:val="0"/>
          <w:sz w:val="24"/>
        </w:rPr>
        <w:t>投标</w:t>
      </w:r>
      <w:r>
        <w:rPr>
          <w:rFonts w:hint="eastAsia" w:ascii="宋体" w:hAnsi="宋体" w:cs="宋体"/>
          <w:kern w:val="0"/>
          <w:sz w:val="24"/>
        </w:rPr>
        <w:t>文件出现不是唯一的、有选择性投标报价的;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4.2.7投标报价超过招标文件中规定的预算金额或者最高限价的;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4.2.8报价明显低于其他通过符合性审查</w:t>
      </w:r>
      <w:r>
        <w:rPr>
          <w:rFonts w:hint="eastAsia" w:ascii="宋体" w:hAnsi="宋体" w:cs="宋体"/>
          <w:kern w:val="0"/>
          <w:sz w:val="24"/>
          <w:lang w:eastAsia="zh-CN"/>
        </w:rPr>
        <w:t>供应商</w:t>
      </w:r>
      <w:r>
        <w:rPr>
          <w:rFonts w:hint="eastAsia" w:ascii="宋体" w:hAnsi="宋体" w:cs="宋体"/>
          <w:kern w:val="0"/>
          <w:sz w:val="24"/>
        </w:rPr>
        <w:t>的报价，有可能影响产品质量或者不能诚信履约的，未能按要求提供书面说明或者提交相关证明材料，不能证明其报价合理性的;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4.2.9</w:t>
      </w:r>
      <w:r>
        <w:rPr>
          <w:rFonts w:hint="eastAsia" w:ascii="宋体" w:hAnsi="宋体" w:cs="宋体"/>
          <w:kern w:val="0"/>
          <w:sz w:val="24"/>
          <w:lang w:eastAsia="zh-CN"/>
        </w:rPr>
        <w:t>供应商</w:t>
      </w:r>
      <w:r>
        <w:rPr>
          <w:rFonts w:hint="eastAsia" w:ascii="宋体" w:hAnsi="宋体" w:cs="宋体"/>
          <w:kern w:val="0"/>
          <w:sz w:val="24"/>
        </w:rPr>
        <w:t>对根据修正原则修正后的报价不确认的；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4.2.10</w:t>
      </w:r>
      <w:r>
        <w:rPr>
          <w:rFonts w:hint="eastAsia" w:ascii="宋体" w:hAnsi="宋体" w:cs="宋体"/>
          <w:kern w:val="0"/>
          <w:sz w:val="24"/>
          <w:lang w:eastAsia="zh-CN"/>
        </w:rPr>
        <w:t>供应商</w:t>
      </w:r>
      <w:r>
        <w:rPr>
          <w:rFonts w:hint="eastAsia" w:ascii="宋体" w:hAnsi="宋体" w:cs="宋体"/>
          <w:kern w:val="0"/>
          <w:sz w:val="24"/>
        </w:rPr>
        <w:t>提供虚假材料投标的；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4.2.11</w:t>
      </w:r>
      <w:r>
        <w:rPr>
          <w:rFonts w:hint="eastAsia" w:ascii="宋体" w:hAnsi="宋体" w:cs="宋体"/>
          <w:kern w:val="0"/>
          <w:sz w:val="24"/>
          <w:lang w:eastAsia="zh-CN"/>
        </w:rPr>
        <w:t>供应商</w:t>
      </w:r>
      <w:r>
        <w:rPr>
          <w:rFonts w:hint="eastAsia" w:ascii="宋体" w:hAnsi="宋体" w:cs="宋体"/>
          <w:kern w:val="0"/>
          <w:sz w:val="24"/>
        </w:rPr>
        <w:t>有恶意串通、妨碍其他</w:t>
      </w:r>
      <w:r>
        <w:rPr>
          <w:rFonts w:hint="eastAsia" w:ascii="宋体" w:hAnsi="宋体" w:cs="宋体"/>
          <w:kern w:val="0"/>
          <w:sz w:val="24"/>
          <w:lang w:eastAsia="zh-CN"/>
        </w:rPr>
        <w:t>供应商</w:t>
      </w:r>
      <w:r>
        <w:rPr>
          <w:rFonts w:hint="eastAsia" w:ascii="宋体" w:hAnsi="宋体" w:cs="宋体"/>
          <w:kern w:val="0"/>
          <w:sz w:val="24"/>
        </w:rPr>
        <w:t>的竞争行为、损害采购人或者其他</w:t>
      </w:r>
      <w:r>
        <w:rPr>
          <w:rFonts w:hint="eastAsia" w:ascii="宋体" w:hAnsi="宋体" w:cs="宋体"/>
          <w:kern w:val="0"/>
          <w:sz w:val="24"/>
          <w:lang w:eastAsia="zh-CN"/>
        </w:rPr>
        <w:t>供应商</w:t>
      </w:r>
      <w:r>
        <w:rPr>
          <w:rFonts w:hint="eastAsia" w:ascii="宋体" w:hAnsi="宋体" w:cs="宋体"/>
          <w:kern w:val="0"/>
          <w:sz w:val="24"/>
        </w:rPr>
        <w:t>的合法权益情形的；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4.2.12</w:t>
      </w:r>
      <w:r>
        <w:rPr>
          <w:rFonts w:hint="eastAsia" w:ascii="宋体" w:hAnsi="宋体" w:cs="宋体"/>
          <w:kern w:val="0"/>
          <w:sz w:val="24"/>
          <w:lang w:eastAsia="zh-CN"/>
        </w:rPr>
        <w:t>供应商</w:t>
      </w:r>
      <w:r>
        <w:rPr>
          <w:rFonts w:hint="eastAsia" w:ascii="宋体" w:hAnsi="宋体" w:cs="宋体"/>
          <w:kern w:val="0"/>
          <w:sz w:val="24"/>
        </w:rPr>
        <w:t>仅提交备份投标文件，未在电子交易平台传输递交投标文件的，投标无效；</w:t>
      </w:r>
    </w:p>
    <w:p>
      <w:pPr>
        <w:kinsoku/>
        <w:wordWrap/>
        <w:overflowPunct/>
        <w:topLinePunct w:val="0"/>
        <w:bidi w:val="0"/>
        <w:spacing w:line="360" w:lineRule="auto"/>
        <w:ind w:firstLine="480" w:firstLineChars="200"/>
        <w:outlineLvl w:val="9"/>
        <w:rPr>
          <w:rFonts w:hint="eastAsia" w:ascii="宋体" w:hAnsi="宋体" w:eastAsia="宋体" w:cs="宋体"/>
          <w:kern w:val="0"/>
          <w:sz w:val="24"/>
          <w:lang w:val="en-US"/>
        </w:rPr>
      </w:pPr>
      <w:r>
        <w:rPr>
          <w:rFonts w:hint="eastAsia" w:ascii="宋体" w:hAnsi="宋体" w:eastAsia="宋体" w:cs="宋体"/>
          <w:b w:val="0"/>
          <w:bCs w:val="0"/>
          <w:kern w:val="0"/>
          <w:sz w:val="24"/>
          <w:szCs w:val="24"/>
          <w:lang w:val="en-US"/>
        </w:rPr>
        <w:t>4.2.13 投标</w:t>
      </w:r>
      <w:r>
        <w:rPr>
          <w:rFonts w:hint="eastAsia" w:ascii="宋体" w:hAnsi="宋体" w:eastAsia="宋体" w:cs="宋体"/>
          <w:kern w:val="0"/>
          <w:sz w:val="24"/>
          <w:lang w:val="en-US"/>
        </w:rPr>
        <w:t>文件不满足招标文件的其它实质性要求的；</w:t>
      </w:r>
    </w:p>
    <w:p>
      <w:pPr>
        <w:kinsoku/>
        <w:wordWrap/>
        <w:overflowPunct/>
        <w:topLinePunct w:val="0"/>
        <w:bidi w:val="0"/>
        <w:spacing w:line="360" w:lineRule="auto"/>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5"/>
        <w:kinsoku/>
        <w:wordWrap/>
        <w:overflowPunct/>
        <w:topLinePunct w:val="0"/>
        <w:bidi w:val="0"/>
        <w:snapToGrid w:val="0"/>
        <w:spacing w:line="360" w:lineRule="auto"/>
        <w:ind w:firstLine="472" w:firstLineChars="196"/>
        <w:outlineLvl w:val="9"/>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kinsoku/>
        <w:wordWrap/>
        <w:overflowPunct/>
        <w:topLinePunct w:val="0"/>
        <w:bidi w:val="0"/>
        <w:snapToGrid w:val="0"/>
        <w:spacing w:line="360" w:lineRule="auto"/>
        <w:outlineLvl w:val="9"/>
        <w:rPr>
          <w:rFonts w:cs="宋体"/>
        </w:rPr>
      </w:pPr>
      <w:r>
        <w:rPr>
          <w:rFonts w:hint="eastAsia" w:cs="宋体"/>
        </w:rPr>
        <w:t>5.1符合专业条件的供应商或者对招标文件作实质响应的供应商不足3家的；</w:t>
      </w:r>
    </w:p>
    <w:p>
      <w:pPr>
        <w:pStyle w:val="25"/>
        <w:kinsoku/>
        <w:wordWrap/>
        <w:overflowPunct/>
        <w:topLinePunct w:val="0"/>
        <w:bidi w:val="0"/>
        <w:snapToGrid w:val="0"/>
        <w:spacing w:line="360" w:lineRule="auto"/>
        <w:outlineLvl w:val="9"/>
        <w:rPr>
          <w:rFonts w:cs="宋体"/>
        </w:rPr>
      </w:pPr>
      <w:r>
        <w:rPr>
          <w:rFonts w:hint="eastAsia" w:cs="宋体"/>
        </w:rPr>
        <w:t>5.2出现影响采购公正的违法、违规行为的；</w:t>
      </w:r>
    </w:p>
    <w:p>
      <w:pPr>
        <w:pStyle w:val="25"/>
        <w:kinsoku/>
        <w:wordWrap/>
        <w:overflowPunct/>
        <w:topLinePunct w:val="0"/>
        <w:bidi w:val="0"/>
        <w:snapToGrid w:val="0"/>
        <w:spacing w:line="360" w:lineRule="auto"/>
        <w:outlineLvl w:val="9"/>
        <w:rPr>
          <w:rFonts w:cs="宋体"/>
        </w:rPr>
      </w:pPr>
      <w:r>
        <w:rPr>
          <w:rFonts w:hint="eastAsia" w:cs="宋体"/>
        </w:rPr>
        <w:t>5.3</w:t>
      </w:r>
      <w:r>
        <w:rPr>
          <w:rFonts w:hint="eastAsia" w:cs="宋体"/>
          <w:lang w:eastAsia="zh-CN"/>
        </w:rPr>
        <w:t>供应商</w:t>
      </w:r>
      <w:r>
        <w:rPr>
          <w:rFonts w:hint="eastAsia" w:cs="宋体"/>
        </w:rPr>
        <w:t>的报价均超过了采购预算，采购人不能支付的；</w:t>
      </w:r>
    </w:p>
    <w:p>
      <w:pPr>
        <w:pStyle w:val="25"/>
        <w:kinsoku/>
        <w:wordWrap/>
        <w:overflowPunct/>
        <w:topLinePunct w:val="0"/>
        <w:bidi w:val="0"/>
        <w:snapToGrid w:val="0"/>
        <w:spacing w:line="360" w:lineRule="auto"/>
        <w:outlineLvl w:val="9"/>
        <w:rPr>
          <w:rFonts w:cs="宋体"/>
        </w:rPr>
      </w:pPr>
      <w:r>
        <w:rPr>
          <w:rFonts w:hint="eastAsia" w:cs="宋体"/>
        </w:rPr>
        <w:t>5.4因重大变故，采购任务取消的。</w:t>
      </w:r>
    </w:p>
    <w:p>
      <w:pPr>
        <w:pStyle w:val="25"/>
        <w:kinsoku/>
        <w:wordWrap/>
        <w:overflowPunct/>
        <w:topLinePunct w:val="0"/>
        <w:bidi w:val="0"/>
        <w:snapToGrid w:val="0"/>
        <w:spacing w:line="360" w:lineRule="auto"/>
        <w:outlineLvl w:val="9"/>
        <w:rPr>
          <w:rFonts w:cs="宋体"/>
        </w:rPr>
      </w:pPr>
      <w:r>
        <w:rPr>
          <w:rFonts w:hint="eastAsia" w:cs="宋体"/>
        </w:rPr>
        <w:t>废标后，</w:t>
      </w:r>
      <w:r>
        <w:rPr>
          <w:rFonts w:hint="eastAsia" w:cs="宋体"/>
          <w:lang w:eastAsia="zh-CN"/>
        </w:rPr>
        <w:t>采购代理机构</w:t>
      </w:r>
      <w:r>
        <w:rPr>
          <w:rFonts w:hint="eastAsia" w:cs="宋体"/>
        </w:rPr>
        <w:t>应当将废标理由通知所有</w:t>
      </w:r>
      <w:r>
        <w:rPr>
          <w:rFonts w:hint="eastAsia" w:cs="宋体"/>
          <w:lang w:eastAsia="zh-CN"/>
        </w:rPr>
        <w:t>供应商</w:t>
      </w:r>
      <w:r>
        <w:rPr>
          <w:rFonts w:hint="eastAsia" w:cs="宋体"/>
        </w:rPr>
        <w:t>。</w:t>
      </w:r>
    </w:p>
    <w:p>
      <w:pPr>
        <w:pStyle w:val="25"/>
        <w:kinsoku/>
        <w:wordWrap/>
        <w:overflowPunct/>
        <w:topLinePunct w:val="0"/>
        <w:bidi w:val="0"/>
        <w:snapToGrid w:val="0"/>
        <w:spacing w:line="360" w:lineRule="auto"/>
        <w:ind w:firstLine="590" w:firstLineChars="245"/>
        <w:outlineLvl w:val="9"/>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kinsoku/>
        <w:wordWrap/>
        <w:overflowPunct/>
        <w:topLinePunct w:val="0"/>
        <w:bidi w:val="0"/>
        <w:snapToGrid w:val="0"/>
        <w:spacing w:line="360" w:lineRule="auto"/>
        <w:ind w:firstLine="482"/>
        <w:outlineLvl w:val="9"/>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kinsoku/>
        <w:wordWrap/>
        <w:overflowPunct/>
        <w:topLinePunct w:val="0"/>
        <w:bidi w:val="0"/>
        <w:snapToGrid w:val="0"/>
        <w:spacing w:line="360" w:lineRule="auto"/>
        <w:outlineLvl w:val="9"/>
        <w:rPr>
          <w:rFonts w:cs="宋体"/>
        </w:rPr>
      </w:pPr>
      <w:r>
        <w:rPr>
          <w:rFonts w:hint="eastAsia" w:cs="宋体"/>
        </w:rPr>
        <w:t>7.1未确定中标供应商的，终止本次政府采购活动，重新开展政府采购活动。</w:t>
      </w:r>
    </w:p>
    <w:p>
      <w:pPr>
        <w:pStyle w:val="25"/>
        <w:kinsoku/>
        <w:wordWrap/>
        <w:overflowPunct/>
        <w:topLinePunct w:val="0"/>
        <w:bidi w:val="0"/>
        <w:snapToGrid w:val="0"/>
        <w:spacing w:line="360" w:lineRule="auto"/>
        <w:outlineLvl w:val="9"/>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kinsoku/>
        <w:wordWrap/>
        <w:overflowPunct/>
        <w:topLinePunct w:val="0"/>
        <w:bidi w:val="0"/>
        <w:snapToGrid w:val="0"/>
        <w:spacing w:line="360" w:lineRule="auto"/>
        <w:outlineLvl w:val="9"/>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kinsoku/>
        <w:wordWrap/>
        <w:overflowPunct/>
        <w:topLinePunct w:val="0"/>
        <w:bidi w:val="0"/>
        <w:snapToGrid w:val="0"/>
        <w:spacing w:line="360" w:lineRule="auto"/>
        <w:outlineLvl w:val="9"/>
        <w:rPr>
          <w:rFonts w:cs="宋体"/>
        </w:rPr>
      </w:pPr>
      <w:r>
        <w:rPr>
          <w:rFonts w:hint="eastAsia" w:cs="宋体"/>
        </w:rPr>
        <w:t>7.4政府采购合同已经履行，给采购人、供应商造成损失的，由责任人承担赔偿责任。</w:t>
      </w:r>
    </w:p>
    <w:p>
      <w:pPr>
        <w:pStyle w:val="25"/>
        <w:kinsoku/>
        <w:wordWrap/>
        <w:overflowPunct/>
        <w:topLinePunct w:val="0"/>
        <w:bidi w:val="0"/>
        <w:snapToGrid w:val="0"/>
        <w:spacing w:line="360" w:lineRule="auto"/>
        <w:outlineLvl w:val="9"/>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kinsoku/>
        <w:wordWrap/>
        <w:overflowPunct/>
        <w:topLinePunct w:val="0"/>
        <w:bidi w:val="0"/>
        <w:snapToGrid w:val="0"/>
        <w:spacing w:line="360" w:lineRule="auto"/>
        <w:ind w:firstLine="0" w:firstLineChars="0"/>
        <w:outlineLvl w:val="9"/>
        <w:rPr>
          <w:rFonts w:cs="宋体"/>
        </w:rPr>
      </w:pPr>
    </w:p>
    <w:bookmarkEnd w:id="33"/>
    <w:p>
      <w:pPr>
        <w:kinsoku/>
        <w:wordWrap/>
        <w:overflowPunct/>
        <w:topLinePunct w:val="0"/>
        <w:bidi w:val="0"/>
        <w:spacing w:line="360" w:lineRule="auto"/>
        <w:ind w:left="720" w:leftChars="343" w:firstLine="1084" w:firstLineChars="300"/>
        <w:outlineLvl w:val="9"/>
        <w:rPr>
          <w:rFonts w:ascii="宋体" w:hAnsi="宋体" w:cs="宋体"/>
          <w:b/>
          <w:sz w:val="36"/>
          <w:szCs w:val="36"/>
        </w:rPr>
      </w:pPr>
      <w:bookmarkStart w:id="403" w:name="第五部分"/>
      <w:bookmarkStart w:id="404" w:name="_Toc86217003"/>
    </w:p>
    <w:p>
      <w:pPr>
        <w:kinsoku/>
        <w:wordWrap/>
        <w:overflowPunct/>
        <w:topLinePunct w:val="0"/>
        <w:bidi w:val="0"/>
        <w:outlineLvl w:val="9"/>
        <w:rPr>
          <w:rFonts w:hint="eastAsia" w:ascii="宋体" w:hAnsi="宋体" w:cs="宋体"/>
          <w:b/>
          <w:sz w:val="36"/>
          <w:szCs w:val="36"/>
        </w:rPr>
      </w:pPr>
      <w:r>
        <w:rPr>
          <w:rFonts w:hint="eastAsia" w:ascii="宋体" w:hAnsi="宋体" w:cs="宋体"/>
          <w:b/>
          <w:sz w:val="36"/>
          <w:szCs w:val="36"/>
        </w:rPr>
        <w:br w:type="page"/>
      </w:r>
    </w:p>
    <w:p>
      <w:pPr>
        <w:kinsoku/>
        <w:wordWrap/>
        <w:overflowPunct/>
        <w:topLinePunct w:val="0"/>
        <w:bidi w:val="0"/>
        <w:spacing w:line="360" w:lineRule="auto"/>
        <w:ind w:left="720" w:leftChars="343" w:firstLine="1084" w:firstLineChars="300"/>
        <w:outlineLvl w:val="0"/>
        <w:rPr>
          <w:rFonts w:ascii="宋体" w:hAnsi="宋体" w:cs="宋体"/>
          <w:b/>
          <w:sz w:val="36"/>
          <w:szCs w:val="36"/>
        </w:rPr>
      </w:pPr>
      <w:bookmarkStart w:id="405" w:name="_Toc8264"/>
      <w:r>
        <w:rPr>
          <w:rFonts w:hint="eastAsia" w:ascii="宋体" w:hAnsi="宋体" w:cs="宋体"/>
          <w:b/>
          <w:sz w:val="36"/>
          <w:szCs w:val="36"/>
        </w:rPr>
        <w:t>第五部分 拟签订的合同文本</w:t>
      </w:r>
      <w:bookmarkEnd w:id="405"/>
    </w:p>
    <w:p>
      <w:pPr>
        <w:kinsoku/>
        <w:wordWrap/>
        <w:overflowPunct/>
        <w:topLinePunct w:val="0"/>
        <w:bidi w:val="0"/>
        <w:outlineLvl w:val="9"/>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kinsoku/>
        <w:wordWrap/>
        <w:overflowPunct/>
        <w:topLinePunct w:val="0"/>
        <w:bidi w:val="0"/>
        <w:spacing w:line="480" w:lineRule="auto"/>
        <w:jc w:val="center"/>
        <w:outlineLvl w:val="9"/>
        <w:rPr>
          <w:rFonts w:ascii="宋体" w:hAnsi="宋体" w:cs="宋体"/>
          <w:b/>
          <w:sz w:val="28"/>
          <w:szCs w:val="28"/>
        </w:rPr>
      </w:pPr>
    </w:p>
    <w:p>
      <w:pPr>
        <w:kinsoku/>
        <w:wordWrap/>
        <w:overflowPunct/>
        <w:topLinePunct w:val="0"/>
        <w:bidi w:val="0"/>
        <w:spacing w:line="480" w:lineRule="auto"/>
        <w:jc w:val="center"/>
        <w:outlineLvl w:val="9"/>
        <w:rPr>
          <w:rFonts w:ascii="宋体" w:hAnsi="宋体" w:cs="宋体"/>
          <w:b/>
          <w:sz w:val="24"/>
        </w:rPr>
      </w:pPr>
    </w:p>
    <w:p>
      <w:pPr>
        <w:kinsoku/>
        <w:wordWrap/>
        <w:overflowPunct/>
        <w:topLinePunct w:val="0"/>
        <w:bidi w:val="0"/>
        <w:spacing w:line="480" w:lineRule="auto"/>
        <w:jc w:val="center"/>
        <w:outlineLvl w:val="9"/>
        <w:rPr>
          <w:rFonts w:ascii="宋体" w:hAnsi="宋体" w:cs="宋体"/>
          <w:b/>
          <w:sz w:val="24"/>
        </w:rPr>
      </w:pPr>
    </w:p>
    <w:p>
      <w:pPr>
        <w:kinsoku/>
        <w:wordWrap/>
        <w:overflowPunct/>
        <w:topLinePunct w:val="0"/>
        <w:bidi w:val="0"/>
        <w:spacing w:line="480" w:lineRule="auto"/>
        <w:jc w:val="center"/>
        <w:outlineLvl w:val="9"/>
        <w:rPr>
          <w:rFonts w:ascii="宋体" w:hAnsi="宋体" w:cs="宋体"/>
          <w:b/>
          <w:sz w:val="36"/>
          <w:szCs w:val="36"/>
        </w:rPr>
      </w:pPr>
      <w:r>
        <w:rPr>
          <w:rFonts w:hint="eastAsia" w:ascii="宋体" w:hAnsi="宋体" w:cs="宋体"/>
          <w:b/>
          <w:sz w:val="36"/>
          <w:szCs w:val="36"/>
        </w:rPr>
        <w:t>政府采购合同参考范本</w:t>
      </w:r>
    </w:p>
    <w:p>
      <w:pPr>
        <w:kinsoku/>
        <w:wordWrap/>
        <w:overflowPunct/>
        <w:topLinePunct w:val="0"/>
        <w:bidi w:val="0"/>
        <w:spacing w:line="480" w:lineRule="auto"/>
        <w:jc w:val="center"/>
        <w:outlineLvl w:val="9"/>
        <w:rPr>
          <w:rFonts w:ascii="宋体" w:hAnsi="宋体" w:cs="宋体"/>
          <w:b/>
          <w:sz w:val="36"/>
          <w:szCs w:val="36"/>
        </w:rPr>
      </w:pPr>
      <w:r>
        <w:rPr>
          <w:rFonts w:hint="eastAsia" w:ascii="宋体" w:hAnsi="宋体" w:cs="宋体"/>
          <w:b/>
          <w:sz w:val="36"/>
          <w:szCs w:val="36"/>
        </w:rPr>
        <w:t>（</w:t>
      </w:r>
      <w:r>
        <w:rPr>
          <w:rFonts w:hint="eastAsia" w:ascii="宋体" w:hAnsi="宋体" w:cs="宋体"/>
          <w:b/>
          <w:sz w:val="36"/>
          <w:szCs w:val="36"/>
          <w:lang w:val="en-US" w:eastAsia="zh-CN"/>
        </w:rPr>
        <w:t>服务类</w:t>
      </w:r>
      <w:r>
        <w:rPr>
          <w:rFonts w:hint="eastAsia" w:ascii="宋体" w:hAnsi="宋体" w:cs="宋体"/>
          <w:b/>
          <w:sz w:val="36"/>
          <w:szCs w:val="36"/>
        </w:rPr>
        <w:t>）</w:t>
      </w:r>
    </w:p>
    <w:p>
      <w:pPr>
        <w:pStyle w:val="699"/>
        <w:kinsoku/>
        <w:wordWrap/>
        <w:overflowPunct/>
        <w:topLinePunct w:val="0"/>
        <w:bidi w:val="0"/>
        <w:outlineLvl w:val="9"/>
        <w:rPr>
          <w:rFonts w:ascii="宋体" w:hAnsi="宋体" w:cs="宋体"/>
          <w:szCs w:val="24"/>
        </w:rPr>
      </w:pPr>
    </w:p>
    <w:p>
      <w:pPr>
        <w:pStyle w:val="699"/>
        <w:kinsoku/>
        <w:wordWrap/>
        <w:overflowPunct/>
        <w:topLinePunct w:val="0"/>
        <w:bidi w:val="0"/>
        <w:outlineLvl w:val="9"/>
        <w:rPr>
          <w:rFonts w:ascii="宋体" w:hAnsi="宋体" w:cs="宋体"/>
          <w:szCs w:val="24"/>
        </w:rPr>
      </w:pPr>
    </w:p>
    <w:p>
      <w:pPr>
        <w:pStyle w:val="699"/>
        <w:kinsoku/>
        <w:wordWrap/>
        <w:overflowPunct/>
        <w:topLinePunct w:val="0"/>
        <w:bidi w:val="0"/>
        <w:jc w:val="center"/>
        <w:outlineLvl w:val="9"/>
        <w:rPr>
          <w:rFonts w:ascii="宋体" w:hAnsi="宋体" w:cs="宋体"/>
          <w:szCs w:val="24"/>
        </w:rPr>
      </w:pPr>
    </w:p>
    <w:p>
      <w:pPr>
        <w:pStyle w:val="699"/>
        <w:keepNext w:val="0"/>
        <w:keepLines w:val="0"/>
        <w:pageBreakBefore w:val="0"/>
        <w:widowControl w:val="0"/>
        <w:kinsoku/>
        <w:wordWrap/>
        <w:overflowPunct/>
        <w:topLinePunct w:val="0"/>
        <w:autoSpaceDE w:val="0"/>
        <w:autoSpaceDN w:val="0"/>
        <w:bidi w:val="0"/>
        <w:adjustRightInd w:val="0"/>
        <w:snapToGrid w:val="0"/>
        <w:ind w:firstLine="2843" w:firstLineChars="1180"/>
        <w:textAlignment w:val="auto"/>
        <w:outlineLvl w:val="9"/>
        <w:rPr>
          <w:rFonts w:ascii="宋体" w:hAnsi="宋体" w:cs="宋体"/>
          <w:b/>
          <w:szCs w:val="24"/>
        </w:rPr>
      </w:pPr>
      <w:r>
        <w:rPr>
          <w:rFonts w:hint="eastAsia" w:ascii="宋体" w:hAnsi="宋体" w:cs="宋体"/>
          <w:b/>
          <w:szCs w:val="24"/>
        </w:rPr>
        <w:t>第一部分 合同书</w:t>
      </w:r>
    </w:p>
    <w:p>
      <w:pPr>
        <w:pStyle w:val="699"/>
        <w:kinsoku/>
        <w:wordWrap/>
        <w:overflowPunct/>
        <w:topLinePunct w:val="0"/>
        <w:bidi w:val="0"/>
        <w:outlineLvl w:val="9"/>
        <w:rPr>
          <w:rFonts w:ascii="宋体" w:hAnsi="宋体" w:cs="宋体"/>
          <w:szCs w:val="24"/>
        </w:rPr>
      </w:pPr>
    </w:p>
    <w:p>
      <w:pPr>
        <w:pStyle w:val="699"/>
        <w:kinsoku/>
        <w:wordWrap/>
        <w:overflowPunct/>
        <w:topLinePunct w:val="0"/>
        <w:bidi w:val="0"/>
        <w:outlineLvl w:val="9"/>
        <w:rPr>
          <w:rFonts w:ascii="宋体" w:hAnsi="宋体" w:cs="宋体"/>
          <w:szCs w:val="24"/>
        </w:rPr>
      </w:pPr>
    </w:p>
    <w:p>
      <w:pPr>
        <w:kinsoku/>
        <w:wordWrap/>
        <w:overflowPunct/>
        <w:topLinePunct w:val="0"/>
        <w:bidi w:val="0"/>
        <w:spacing w:before="120" w:line="22" w:lineRule="atLeast"/>
        <w:outlineLvl w:val="9"/>
        <w:rPr>
          <w:rFonts w:ascii="宋体" w:hAnsi="宋体" w:cs="宋体"/>
          <w:sz w:val="24"/>
        </w:rPr>
      </w:pPr>
    </w:p>
    <w:p>
      <w:pPr>
        <w:kinsoku/>
        <w:wordWrap/>
        <w:overflowPunct/>
        <w:topLinePunct w:val="0"/>
        <w:bidi w:val="0"/>
        <w:spacing w:before="120" w:line="22" w:lineRule="atLeast"/>
        <w:ind w:left="960"/>
        <w:outlineLvl w:val="9"/>
        <w:rPr>
          <w:rFonts w:ascii="宋体" w:hAnsi="宋体" w:cs="宋体"/>
          <w:sz w:val="24"/>
        </w:rPr>
      </w:pPr>
      <w:r>
        <w:rPr>
          <w:rFonts w:hint="eastAsia" w:ascii="宋体" w:hAnsi="宋体" w:cs="宋体"/>
          <w:sz w:val="24"/>
        </w:rPr>
        <w:t>项目名称：</w:t>
      </w:r>
      <w:r>
        <w:rPr>
          <w:rFonts w:hint="eastAsia" w:ascii="宋体" w:hAnsi="宋体" w:cs="宋体"/>
          <w:sz w:val="24"/>
          <w:u w:val="single"/>
          <w:lang w:eastAsia="zh-CN"/>
        </w:rPr>
        <w:t>宁波市医疗中心李惠利医院人力资源服务外包项目</w:t>
      </w:r>
    </w:p>
    <w:p>
      <w:pPr>
        <w:pStyle w:val="596"/>
        <w:kinsoku/>
        <w:wordWrap/>
        <w:overflowPunct/>
        <w:topLinePunct w:val="0"/>
        <w:bidi w:val="0"/>
        <w:spacing w:before="120" w:line="22" w:lineRule="atLeast"/>
        <w:outlineLvl w:val="9"/>
        <w:rPr>
          <w:rFonts w:ascii="宋体" w:hAnsi="宋体" w:eastAsia="宋体" w:cs="宋体"/>
          <w:szCs w:val="24"/>
        </w:rPr>
      </w:pPr>
    </w:p>
    <w:p>
      <w:pPr>
        <w:kinsoku/>
        <w:wordWrap/>
        <w:overflowPunct/>
        <w:topLinePunct w:val="0"/>
        <w:bidi w:val="0"/>
        <w:outlineLvl w:val="9"/>
        <w:rPr>
          <w:rFonts w:ascii="宋体" w:hAnsi="宋体" w:cs="宋体"/>
          <w:sz w:val="24"/>
        </w:rPr>
      </w:pPr>
    </w:p>
    <w:p>
      <w:pPr>
        <w:kinsoku/>
        <w:wordWrap/>
        <w:overflowPunct/>
        <w:topLinePunct w:val="0"/>
        <w:bidi w:val="0"/>
        <w:spacing w:before="120" w:line="22" w:lineRule="atLeast"/>
        <w:ind w:left="960"/>
        <w:outlineLvl w:val="9"/>
        <w:rPr>
          <w:rFonts w:ascii="宋体" w:hAnsi="宋体" w:cs="宋体"/>
          <w:sz w:val="24"/>
          <w:u w:val="single"/>
        </w:rPr>
      </w:pPr>
      <w:r>
        <w:rPr>
          <w:rFonts w:hint="eastAsia" w:ascii="宋体" w:hAnsi="宋体" w:cs="宋体"/>
          <w:sz w:val="24"/>
        </w:rPr>
        <w:t>甲方：</w:t>
      </w:r>
      <w:r>
        <w:rPr>
          <w:rFonts w:hint="eastAsia" w:ascii="宋体" w:hAnsi="宋体" w:cs="宋体"/>
          <w:sz w:val="24"/>
          <w:u w:val="single"/>
          <w:lang w:eastAsia="zh-CN"/>
        </w:rPr>
        <w:t>宁波市医疗中心李惠利医院</w:t>
      </w:r>
    </w:p>
    <w:p>
      <w:pPr>
        <w:kinsoku/>
        <w:wordWrap/>
        <w:overflowPunct/>
        <w:topLinePunct w:val="0"/>
        <w:bidi w:val="0"/>
        <w:spacing w:before="120" w:line="22" w:lineRule="atLeast"/>
        <w:outlineLvl w:val="9"/>
        <w:rPr>
          <w:rFonts w:ascii="宋体" w:hAnsi="宋体" w:cs="宋体"/>
          <w:sz w:val="24"/>
        </w:rPr>
      </w:pPr>
    </w:p>
    <w:p>
      <w:pPr>
        <w:kinsoku/>
        <w:wordWrap/>
        <w:overflowPunct/>
        <w:topLinePunct w:val="0"/>
        <w:bidi w:val="0"/>
        <w:spacing w:before="120" w:line="22" w:lineRule="atLeast"/>
        <w:ind w:left="960"/>
        <w:outlineLvl w:val="9"/>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kinsoku/>
        <w:wordWrap/>
        <w:overflowPunct/>
        <w:topLinePunct w:val="0"/>
        <w:bidi w:val="0"/>
        <w:spacing w:before="120" w:line="22" w:lineRule="atLeast"/>
        <w:outlineLvl w:val="9"/>
        <w:rPr>
          <w:rFonts w:ascii="宋体" w:hAnsi="宋体" w:cs="宋体"/>
          <w:sz w:val="24"/>
        </w:rPr>
      </w:pPr>
    </w:p>
    <w:p>
      <w:pPr>
        <w:kinsoku/>
        <w:wordWrap/>
        <w:overflowPunct/>
        <w:topLinePunct w:val="0"/>
        <w:bidi w:val="0"/>
        <w:spacing w:before="120" w:line="22" w:lineRule="atLeast"/>
        <w:ind w:firstLine="960" w:firstLineChars="400"/>
        <w:outlineLvl w:val="9"/>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r>
        <w:rPr>
          <w:rFonts w:hint="eastAsia" w:ascii="宋体" w:hAnsi="宋体" w:cs="宋体"/>
          <w:sz w:val="24"/>
          <w:u w:val="single"/>
          <w:lang w:val="en-US" w:eastAsia="zh-CN"/>
        </w:rPr>
        <w:t>宁波市</w:t>
      </w:r>
      <w:r>
        <w:rPr>
          <w:rFonts w:hint="eastAsia" w:ascii="宋体" w:hAnsi="宋体" w:cs="宋体"/>
          <w:sz w:val="24"/>
          <w:u w:val="single"/>
        </w:rPr>
        <w:t xml:space="preserve">  </w:t>
      </w:r>
    </w:p>
    <w:p>
      <w:pPr>
        <w:kinsoku/>
        <w:wordWrap/>
        <w:overflowPunct/>
        <w:topLinePunct w:val="0"/>
        <w:bidi w:val="0"/>
        <w:spacing w:before="120" w:line="22" w:lineRule="atLeast"/>
        <w:outlineLvl w:val="9"/>
        <w:rPr>
          <w:rFonts w:ascii="宋体" w:hAnsi="宋体" w:cs="宋体"/>
          <w:sz w:val="24"/>
        </w:rPr>
      </w:pPr>
    </w:p>
    <w:p>
      <w:pPr>
        <w:kinsoku/>
        <w:wordWrap/>
        <w:overflowPunct/>
        <w:topLinePunct w:val="0"/>
        <w:bidi w:val="0"/>
        <w:spacing w:before="120" w:line="22" w:lineRule="atLeast"/>
        <w:ind w:firstLine="960" w:firstLineChars="400"/>
        <w:outlineLvl w:val="9"/>
        <w:rPr>
          <w:rFonts w:hint="eastAsia" w:ascii="宋体" w:hAnsi="宋体" w:cs="宋体"/>
          <w:sz w:val="24"/>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0"/>
      </w:pPr>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cs="宋体"/>
          <w:sz w:val="24"/>
          <w:u w:val="single"/>
          <w:lang w:val="zh-CN"/>
        </w:rPr>
      </w:pPr>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cs="宋体"/>
          <w:sz w:val="24"/>
          <w:u w:val="single"/>
          <w:lang w:val="zh-CN"/>
        </w:rPr>
      </w:pP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u w:val="single"/>
          <w:lang w:val="en-US" w:eastAsia="zh-CN"/>
        </w:rPr>
        <w:t>2023</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宁波市医疗中心李惠利医院</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公开招标</w:t>
      </w:r>
      <w:r>
        <w:rPr>
          <w:rFonts w:ascii="宋体" w:hAnsi="宋体"/>
          <w:color w:val="auto"/>
          <w:sz w:val="24"/>
          <w:highlight w:val="none"/>
          <w:u w:val="single"/>
        </w:rPr>
        <w:t xml:space="preserve">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宁波市医疗中心李惠利医院人力资源服务外包</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hint="eastAsia" w:ascii="宋体" w:hAnsi="宋体"/>
          <w:color w:val="auto"/>
          <w:sz w:val="24"/>
          <w:highlight w:val="none"/>
          <w:u w:val="single"/>
          <w:lang w:val="en-US" w:eastAsia="zh-CN"/>
        </w:rPr>
        <w:t>评标委员会</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宁波市医疗中心李惠利医院</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hd w:val="clear"/>
        <w:spacing w:line="560" w:lineRule="exact"/>
        <w:ind w:firstLine="482" w:firstLineChars="200"/>
        <w:outlineLvl w:val="0"/>
        <w:rPr>
          <w:rFonts w:ascii="宋体" w:hAnsi="宋体"/>
          <w:color w:val="auto"/>
          <w:sz w:val="24"/>
          <w:highlight w:val="none"/>
        </w:rPr>
      </w:pPr>
      <w:bookmarkStart w:id="406" w:name="_Toc20421"/>
      <w:bookmarkStart w:id="407" w:name="_Toc15367"/>
      <w:bookmarkStart w:id="408" w:name="_Toc22967"/>
      <w:bookmarkStart w:id="409" w:name="_Toc19273"/>
      <w:bookmarkStart w:id="410" w:name="_Toc28855"/>
      <w:r>
        <w:rPr>
          <w:rFonts w:ascii="宋体" w:hAnsi="宋体"/>
          <w:b/>
          <w:color w:val="auto"/>
          <w:sz w:val="24"/>
          <w:highlight w:val="none"/>
        </w:rPr>
        <w:t xml:space="preserve">1.1 </w:t>
      </w:r>
      <w:r>
        <w:rPr>
          <w:rFonts w:hint="eastAsia" w:ascii="宋体" w:hAnsi="宋体"/>
          <w:b/>
          <w:color w:val="auto"/>
          <w:sz w:val="24"/>
          <w:highlight w:val="none"/>
        </w:rPr>
        <w:t>合同组成部分</w:t>
      </w:r>
      <w:bookmarkEnd w:id="406"/>
      <w:bookmarkEnd w:id="407"/>
      <w:bookmarkEnd w:id="408"/>
      <w:bookmarkEnd w:id="409"/>
      <w:bookmarkEnd w:id="410"/>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hd w:val="clear"/>
        <w:spacing w:line="560" w:lineRule="exact"/>
        <w:ind w:firstLine="482" w:firstLineChars="200"/>
        <w:outlineLvl w:val="0"/>
        <w:rPr>
          <w:rFonts w:ascii="宋体" w:hAnsi="宋体"/>
          <w:b/>
          <w:color w:val="auto"/>
          <w:sz w:val="24"/>
          <w:highlight w:val="none"/>
        </w:rPr>
      </w:pPr>
      <w:bookmarkStart w:id="411" w:name="_Toc6773"/>
      <w:bookmarkStart w:id="412" w:name="_Toc2918"/>
      <w:bookmarkStart w:id="413" w:name="_Toc18585"/>
      <w:bookmarkStart w:id="414" w:name="_Toc22185"/>
      <w:bookmarkStart w:id="415" w:name="_Toc6311"/>
      <w:r>
        <w:rPr>
          <w:rFonts w:ascii="宋体" w:hAnsi="宋体"/>
          <w:b/>
          <w:color w:val="auto"/>
          <w:sz w:val="24"/>
          <w:highlight w:val="none"/>
        </w:rPr>
        <w:t xml:space="preserve">1.2 </w:t>
      </w:r>
      <w:r>
        <w:rPr>
          <w:rFonts w:hint="eastAsia" w:ascii="宋体" w:hAnsi="宋体"/>
          <w:b/>
          <w:color w:val="auto"/>
          <w:sz w:val="24"/>
          <w:highlight w:val="none"/>
        </w:rPr>
        <w:t>标的</w:t>
      </w:r>
      <w:bookmarkEnd w:id="411"/>
      <w:bookmarkEnd w:id="412"/>
      <w:bookmarkEnd w:id="413"/>
      <w:bookmarkEnd w:id="414"/>
      <w:bookmarkEnd w:id="415"/>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hint="eastAsia" w:ascii="宋体" w:hAnsi="宋体"/>
          <w:color w:val="auto"/>
          <w:sz w:val="24"/>
          <w:highlight w:val="none"/>
          <w:u w:val="single"/>
          <w:lang w:val="en-US" w:eastAsia="zh-CN"/>
        </w:rPr>
        <w:t>宁波市医疗中心李惠利医院人力资源服务外包</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w:t>
      </w:r>
    </w:p>
    <w:p>
      <w:pPr>
        <w:shd w:val="clea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416" w:name="_Toc1386"/>
      <w:bookmarkStart w:id="417" w:name="_Toc4929"/>
      <w:bookmarkStart w:id="418" w:name="_Toc13918"/>
      <w:bookmarkStart w:id="419" w:name="_Toc5635"/>
      <w:bookmarkStart w:id="420" w:name="_Toc21124"/>
      <w:r>
        <w:rPr>
          <w:rFonts w:ascii="宋体" w:hAnsi="宋体"/>
          <w:b/>
          <w:color w:val="auto"/>
          <w:sz w:val="24"/>
          <w:highlight w:val="none"/>
        </w:rPr>
        <w:t>1.3 价款</w:t>
      </w:r>
      <w:bookmarkEnd w:id="416"/>
      <w:bookmarkEnd w:id="417"/>
      <w:bookmarkEnd w:id="418"/>
      <w:bookmarkEnd w:id="419"/>
      <w:bookmarkEnd w:id="420"/>
    </w:p>
    <w:p>
      <w:pPr>
        <w:shd w:val="clea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1.3.1</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suppressLineNumbers w:val="0"/>
              <w:shd w:val="clear"/>
              <w:spacing w:before="0" w:beforeAutospacing="0" w:after="0" w:afterAutospacing="0" w:line="560" w:lineRule="exact"/>
              <w:ind w:left="0" w:right="0"/>
              <w:jc w:val="center"/>
              <w:rPr>
                <w:rFonts w:hint="default" w:hAnsi="宋体"/>
                <w:color w:val="auto"/>
                <w:sz w:val="24"/>
                <w:szCs w:val="24"/>
                <w:highlight w:val="none"/>
              </w:rPr>
            </w:pPr>
            <w:r>
              <w:rPr>
                <w:rFonts w:hint="default" w:hAnsi="宋体"/>
                <w:color w:val="auto"/>
                <w:sz w:val="24"/>
                <w:szCs w:val="24"/>
                <w:highlight w:val="none"/>
              </w:rPr>
              <w:t>序号</w:t>
            </w:r>
          </w:p>
        </w:tc>
        <w:tc>
          <w:tcPr>
            <w:tcW w:w="340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8"/>
              <w:keepNext w:val="0"/>
              <w:keepLines w:val="0"/>
              <w:suppressLineNumbers w:val="0"/>
              <w:shd w:val="clear"/>
              <w:spacing w:before="0" w:beforeAutospacing="0" w:after="0" w:afterAutospacing="0" w:line="560" w:lineRule="exact"/>
              <w:ind w:left="0" w:right="0"/>
              <w:jc w:val="center"/>
              <w:rPr>
                <w:rFonts w:hint="default" w:hAnsi="宋体"/>
                <w:color w:val="auto"/>
                <w:sz w:val="24"/>
                <w:szCs w:val="24"/>
                <w:highlight w:val="none"/>
              </w:rPr>
            </w:pPr>
            <w:r>
              <w:rPr>
                <w:rFonts w:hint="default"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c>
          <w:tcPr>
            <w:tcW w:w="340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c>
          <w:tcPr>
            <w:tcW w:w="255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c>
          <w:tcPr>
            <w:tcW w:w="340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c>
          <w:tcPr>
            <w:tcW w:w="255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c>
          <w:tcPr>
            <w:tcW w:w="340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c>
          <w:tcPr>
            <w:tcW w:w="255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c>
          <w:tcPr>
            <w:tcW w:w="340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c>
          <w:tcPr>
            <w:tcW w:w="255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8"/>
              <w:keepNext w:val="0"/>
              <w:keepLines w:val="0"/>
              <w:suppressLineNumbers w:val="0"/>
              <w:shd w:val="clear"/>
              <w:spacing w:before="0" w:beforeAutospacing="0" w:after="0" w:afterAutospacing="0" w:line="560" w:lineRule="exact"/>
              <w:ind w:left="0" w:right="0" w:firstLine="200"/>
              <w:jc w:val="center"/>
              <w:rPr>
                <w:rFonts w:hint="default" w:hAnsi="宋体"/>
                <w:color w:val="auto"/>
                <w:sz w:val="24"/>
                <w:szCs w:val="24"/>
                <w:highlight w:val="none"/>
              </w:rPr>
            </w:pPr>
          </w:p>
        </w:tc>
      </w:tr>
    </w:tbl>
    <w:p>
      <w:pPr>
        <w:shd w:val="clear"/>
        <w:spacing w:line="560" w:lineRule="exact"/>
        <w:ind w:firstLine="480" w:firstLineChars="200"/>
        <w:rPr>
          <w:rFonts w:hint="eastAsia" w:ascii="宋体" w:hAnsi="宋体" w:eastAsia="宋体" w:cs="Times New Roman"/>
          <w:bCs/>
          <w:color w:val="auto"/>
          <w:sz w:val="24"/>
          <w:highlight w:val="none"/>
        </w:rPr>
      </w:pPr>
      <w:bookmarkStart w:id="421" w:name="_Toc30506"/>
      <w:bookmarkStart w:id="422" w:name="_Toc26916"/>
      <w:bookmarkStart w:id="423" w:name="_Toc30158"/>
      <w:bookmarkStart w:id="424" w:name="_Toc14993"/>
      <w:bookmarkStart w:id="425" w:name="_Toc3654"/>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bookmarkEnd w:id="421"/>
    <w:bookmarkEnd w:id="422"/>
    <w:bookmarkEnd w:id="423"/>
    <w:bookmarkEnd w:id="424"/>
    <w:bookmarkEnd w:id="425"/>
    <w:p>
      <w:pPr>
        <w:shd w:val="clear"/>
        <w:spacing w:line="560" w:lineRule="exact"/>
        <w:ind w:firstLine="482" w:firstLineChars="200"/>
        <w:outlineLvl w:val="0"/>
        <w:rPr>
          <w:rFonts w:ascii="宋体" w:hAnsi="宋体" w:eastAsia="宋体" w:cs="Times New Roman"/>
          <w:b/>
          <w:color w:val="auto"/>
          <w:sz w:val="24"/>
          <w:highlight w:val="none"/>
        </w:rPr>
      </w:pPr>
      <w:bookmarkStart w:id="426" w:name="_Toc10340"/>
      <w:bookmarkStart w:id="427" w:name="_Toc1814"/>
      <w:bookmarkStart w:id="428" w:name="_Toc22618"/>
      <w:bookmarkStart w:id="429" w:name="_Toc31421"/>
      <w:bookmarkStart w:id="430" w:name="_Toc4760"/>
      <w:bookmarkStart w:id="431" w:name="_Toc11108"/>
      <w:bookmarkStart w:id="432" w:name="_Toc8772"/>
      <w:bookmarkStart w:id="433" w:name="_Toc3625"/>
      <w:r>
        <w:rPr>
          <w:rFonts w:hint="eastAsia" w:ascii="宋体" w:hAnsi="宋体" w:eastAsia="宋体" w:cs="Times New Roman"/>
          <w:b/>
          <w:color w:val="auto"/>
          <w:sz w:val="24"/>
          <w:highlight w:val="none"/>
        </w:rPr>
        <w:t>1.4履约保证金</w:t>
      </w:r>
    </w:p>
    <w:p>
      <w:pPr>
        <w:shd w:val="clear"/>
        <w:spacing w:line="560" w:lineRule="exact"/>
        <w:ind w:firstLine="480" w:firstLineChars="200"/>
        <w:rPr>
          <w:rFonts w:hint="eastAsia" w:ascii="宋体" w:hAnsi="宋体" w:eastAsia="宋体" w:cs="宋体"/>
          <w:b w:val="0"/>
          <w:bCs w:val="0"/>
          <w:color w:val="auto"/>
          <w:sz w:val="24"/>
          <w:highlight w:val="none"/>
          <w:lang w:val="en-US"/>
        </w:rPr>
      </w:pPr>
      <w:r>
        <w:rPr>
          <w:rFonts w:hint="eastAsia" w:ascii="宋体" w:hAnsi="宋体" w:eastAsia="宋体" w:cs="宋体"/>
          <w:b w:val="0"/>
          <w:bCs w:val="0"/>
          <w:color w:val="auto"/>
          <w:sz w:val="24"/>
          <w:highlight w:val="none"/>
          <w:lang w:val="en-US"/>
        </w:rPr>
        <w:t>乙方</w:t>
      </w:r>
      <w:r>
        <w:rPr>
          <w:rFonts w:hint="eastAsia" w:ascii="宋体" w:hAnsi="宋体" w:eastAsia="宋体" w:cs="宋体"/>
          <w:b w:val="0"/>
          <w:bCs w:val="0"/>
          <w:color w:val="auto"/>
          <w:sz w:val="24"/>
          <w:highlight w:val="none"/>
          <w:u w:val="single"/>
          <w:lang w:val="en-US"/>
        </w:rPr>
        <w:t xml:space="preserve"> 是</w:t>
      </w:r>
      <w:r>
        <w:rPr>
          <w:rFonts w:hint="eastAsia" w:ascii="宋体" w:hAnsi="宋体" w:eastAsia="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lang w:val="en-US"/>
        </w:rPr>
        <w:t>需要支付履约保证金。若需要支付履约保证金的，则：</w:t>
      </w:r>
    </w:p>
    <w:p>
      <w:pPr>
        <w:shd w:val="clea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hd w:val="clea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5"/>
        <w:shd w:val="clear"/>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w:t>
      </w:r>
      <w:r>
        <w:rPr>
          <w:rFonts w:hint="eastAsia" w:ascii="宋体" w:hAnsi="宋体" w:eastAsia="宋体" w:cs="宋体"/>
          <w:color w:val="auto"/>
          <w:sz w:val="24"/>
          <w:szCs w:val="24"/>
          <w:highlight w:val="none"/>
          <w:lang w:val="en-US" w:eastAsia="zh-CN"/>
        </w:rPr>
        <w:t>履约保证金在</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val="en-US" w:eastAsia="zh-CN"/>
        </w:rPr>
        <w:t>完成合同履约后无息退还（但如</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val="en-US" w:eastAsia="zh-CN"/>
        </w:rPr>
        <w:t>未能履行合同规定的任何义务，</w:t>
      </w:r>
      <w:r>
        <w:rPr>
          <w:rFonts w:hint="eastAsia" w:ascii="宋体" w:hAnsi="宋体" w:cs="宋体"/>
          <w:color w:val="auto"/>
          <w:sz w:val="24"/>
          <w:szCs w:val="24"/>
          <w:highlight w:val="none"/>
          <w:lang w:val="en-US" w:eastAsia="zh-CN"/>
        </w:rPr>
        <w:t>甲方</w:t>
      </w:r>
      <w:r>
        <w:rPr>
          <w:rFonts w:hint="eastAsia" w:ascii="宋体" w:hAnsi="宋体" w:eastAsia="宋体" w:cs="宋体"/>
          <w:color w:val="auto"/>
          <w:sz w:val="24"/>
          <w:szCs w:val="24"/>
          <w:highlight w:val="none"/>
          <w:lang w:val="en-US" w:eastAsia="zh-CN"/>
        </w:rPr>
        <w:t>有权从履约保证金中优先扣除应由</w:t>
      </w:r>
      <w:r>
        <w:rPr>
          <w:rFonts w:hint="eastAsia" w:ascii="宋体" w:hAnsi="宋体" w:cs="宋体"/>
          <w:color w:val="auto"/>
          <w:sz w:val="24"/>
          <w:szCs w:val="24"/>
          <w:highlight w:val="none"/>
          <w:lang w:val="en-US" w:eastAsia="zh-CN"/>
        </w:rPr>
        <w:t>乙方</w:t>
      </w:r>
      <w:r>
        <w:rPr>
          <w:rFonts w:hint="eastAsia" w:ascii="宋体" w:hAnsi="宋体" w:eastAsia="宋体" w:cs="宋体"/>
          <w:color w:val="auto"/>
          <w:sz w:val="24"/>
          <w:szCs w:val="24"/>
          <w:highlight w:val="none"/>
          <w:lang w:val="en-US" w:eastAsia="zh-CN"/>
        </w:rPr>
        <w:t>承担的违约金、赔偿金以及其他款项）</w:t>
      </w:r>
      <w:r>
        <w:rPr>
          <w:rFonts w:hint="eastAsia" w:ascii="宋体" w:hAnsi="宋体" w:cs="宋体"/>
          <w:color w:val="auto"/>
          <w:kern w:val="0"/>
          <w:sz w:val="24"/>
          <w:highlight w:val="none"/>
          <w:lang w:val="en-US" w:eastAsia="zh-CN"/>
        </w:rPr>
        <w:t>。</w:t>
      </w:r>
    </w:p>
    <w:p>
      <w:pPr>
        <w:shd w:val="clea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26"/>
      <w:bookmarkEnd w:id="427"/>
      <w:bookmarkEnd w:id="428"/>
      <w:r>
        <w:rPr>
          <w:rFonts w:hint="eastAsia" w:ascii="宋体" w:hAnsi="宋体" w:cs="宋体"/>
          <w:b/>
          <w:color w:val="auto"/>
          <w:sz w:val="24"/>
          <w:highlight w:val="none"/>
        </w:rPr>
        <w:t>预付款</w:t>
      </w:r>
    </w:p>
    <w:p>
      <w:pPr>
        <w:pStyle w:val="957"/>
        <w:shd w:val="clear"/>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u w:val="single"/>
          <w:lang w:val="en-US" w:eastAsia="zh-CN"/>
        </w:rPr>
        <w:t>是</w:t>
      </w:r>
      <w:r>
        <w:rPr>
          <w:rFonts w:hint="eastAsia"/>
          <w:color w:val="auto"/>
          <w:highlight w:val="none"/>
          <w:u w:val="single"/>
        </w:rPr>
        <w:t xml:space="preserve"> </w:t>
      </w:r>
      <w:r>
        <w:rPr>
          <w:rFonts w:hint="eastAsia"/>
          <w:color w:val="auto"/>
          <w:highlight w:val="none"/>
        </w:rPr>
        <w:t>需要支付预付款。若需要支付预付款的，则：</w:t>
      </w:r>
    </w:p>
    <w:p>
      <w:pPr>
        <w:pStyle w:val="957"/>
        <w:shd w:val="clear"/>
        <w:spacing w:before="0" w:beforeAutospacing="0" w:after="0" w:afterAutospacing="0"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7"/>
        <w:shd w:val="clear"/>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7"/>
        <w:shd w:val="clear"/>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7"/>
        <w:shd w:val="clear"/>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7"/>
        <w:shd w:val="clear"/>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hd w:val="clea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29"/>
      <w:bookmarkEnd w:id="430"/>
      <w:bookmarkEnd w:id="431"/>
      <w:bookmarkEnd w:id="432"/>
      <w:bookmarkEnd w:id="433"/>
    </w:p>
    <w:p>
      <w:pPr>
        <w:shd w:val="clea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hd w:val="clear"/>
        <w:spacing w:line="560" w:lineRule="exact"/>
        <w:ind w:firstLine="480" w:firstLineChars="200"/>
        <w:outlineLvl w:val="0"/>
        <w:rPr>
          <w:rFonts w:ascii="宋体" w:hAnsi="宋体"/>
          <w:bCs/>
          <w:color w:val="auto"/>
          <w:sz w:val="24"/>
          <w:highlight w:val="none"/>
        </w:rPr>
      </w:pPr>
      <w:bookmarkStart w:id="434" w:name="_Toc24662"/>
      <w:bookmarkStart w:id="435" w:name="_Toc5698"/>
      <w:bookmarkStart w:id="436" w:name="_Toc2375"/>
      <w:bookmarkStart w:id="437" w:name="_Toc8586"/>
      <w:bookmarkStart w:id="438" w:name="_Toc3079"/>
      <w:r>
        <w:rPr>
          <w:rFonts w:hint="eastAsia" w:ascii="宋体" w:hAnsi="宋体"/>
          <w:bCs/>
          <w:color w:val="auto"/>
          <w:sz w:val="24"/>
          <w:highlight w:val="none"/>
        </w:rPr>
        <w:t>1.7.4若服务</w:t>
      </w:r>
      <w:r>
        <w:rPr>
          <w:rFonts w:hint="eastAsia"/>
          <w:bCs/>
          <w:color w:val="auto"/>
          <w:sz w:val="24"/>
          <w:highlight w:val="none"/>
        </w:rPr>
        <w:t>涉及货物的，则货物的：</w:t>
      </w:r>
    </w:p>
    <w:p>
      <w:pPr>
        <w:shd w:val="clea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hd w:val="clea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34"/>
      <w:bookmarkEnd w:id="435"/>
      <w:bookmarkEnd w:id="436"/>
      <w:bookmarkEnd w:id="437"/>
      <w:bookmarkEnd w:id="438"/>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shd w:val="clear"/>
        <w:spacing w:line="560" w:lineRule="exact"/>
        <w:ind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0.05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w:t>
      </w:r>
      <w:r>
        <w:rPr>
          <w:rFonts w:hint="eastAsia" w:ascii="宋体" w:hAnsi="宋体" w:eastAsia="宋体" w:cs="Times New Roman"/>
          <w:color w:val="auto"/>
          <w:sz w:val="24"/>
          <w:highlight w:val="none"/>
        </w:rPr>
        <w:t>要求</w:t>
      </w:r>
      <w:r>
        <w:rPr>
          <w:rFonts w:hint="eastAsia" w:ascii="宋体" w:hAnsi="宋体" w:cs="宋体"/>
          <w:color w:val="auto"/>
          <w:sz w:val="24"/>
          <w:highlight w:val="none"/>
        </w:rPr>
        <w:t>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hd w:val="clear"/>
        <w:spacing w:line="560" w:lineRule="exact"/>
        <w:ind w:firstLine="480" w:firstLineChars="200"/>
        <w:rPr>
          <w:rFonts w:ascii="宋体" w:hAnsi="宋体" w:cs="宋体"/>
          <w:color w:val="auto"/>
          <w:sz w:val="24"/>
          <w:highlight w:val="none"/>
        </w:rPr>
      </w:pPr>
      <w:bookmarkStart w:id="439" w:name="_Toc9497"/>
      <w:bookmarkStart w:id="440" w:name="_Toc30329"/>
      <w:bookmarkStart w:id="441" w:name="_Toc26807"/>
      <w:bookmarkStart w:id="442" w:name="_Toc18683"/>
      <w:bookmarkStart w:id="443" w:name="_Toc32454"/>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hd w:val="clea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39"/>
    <w:bookmarkEnd w:id="440"/>
    <w:bookmarkEnd w:id="441"/>
    <w:bookmarkEnd w:id="442"/>
    <w:bookmarkEnd w:id="443"/>
    <w:p>
      <w:pPr>
        <w:shd w:val="clear"/>
        <w:spacing w:line="560" w:lineRule="exact"/>
        <w:ind w:firstLine="482" w:firstLineChars="200"/>
        <w:outlineLvl w:val="0"/>
        <w:rPr>
          <w:rFonts w:ascii="宋体" w:hAnsi="宋体" w:cs="宋体"/>
          <w:b/>
          <w:color w:val="auto"/>
          <w:sz w:val="24"/>
          <w:highlight w:val="none"/>
        </w:rPr>
      </w:pPr>
      <w:bookmarkStart w:id="444" w:name="_Toc16021"/>
      <w:bookmarkStart w:id="445" w:name="_Toc15583"/>
      <w:bookmarkStart w:id="446" w:name="_Toc28375"/>
      <w:r>
        <w:rPr>
          <w:rFonts w:hint="eastAsia" w:ascii="宋体" w:hAnsi="宋体" w:cs="宋体"/>
          <w:b/>
          <w:color w:val="auto"/>
          <w:sz w:val="24"/>
          <w:highlight w:val="none"/>
        </w:rPr>
        <w:t>1.9合同争议的解决</w:t>
      </w:r>
      <w:bookmarkEnd w:id="444"/>
      <w:bookmarkEnd w:id="445"/>
      <w:bookmarkEnd w:id="446"/>
    </w:p>
    <w:p>
      <w:pPr>
        <w:shd w:val="clea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b/>
          <w:i/>
          <w:color w:val="auto"/>
          <w:sz w:val="24"/>
          <w:highlight w:val="none"/>
          <w:u w:val="single"/>
          <w:lang w:val="en-US" w:eastAsia="zh-CN"/>
        </w:rPr>
        <w:t>1.9.2</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hd w:val="clea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hd w:val="clea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hd w:val="clear"/>
        <w:spacing w:line="560" w:lineRule="exact"/>
        <w:ind w:firstLine="482" w:firstLineChars="200"/>
        <w:outlineLvl w:val="0"/>
        <w:rPr>
          <w:rFonts w:ascii="宋体" w:hAnsi="宋体" w:cs="宋体"/>
          <w:b/>
          <w:color w:val="auto"/>
          <w:sz w:val="24"/>
          <w:highlight w:val="none"/>
        </w:rPr>
      </w:pPr>
      <w:bookmarkStart w:id="447" w:name="_Toc11173"/>
      <w:bookmarkStart w:id="448" w:name="_Toc7245"/>
      <w:bookmarkStart w:id="449" w:name="_Toc15322"/>
      <w:r>
        <w:rPr>
          <w:rFonts w:hint="eastAsia" w:ascii="宋体" w:hAnsi="宋体" w:cs="宋体"/>
          <w:b/>
          <w:color w:val="auto"/>
          <w:sz w:val="24"/>
          <w:highlight w:val="none"/>
        </w:rPr>
        <w:t>2.0 合同生效</w:t>
      </w:r>
      <w:bookmarkEnd w:id="447"/>
      <w:bookmarkEnd w:id="448"/>
      <w:bookmarkEnd w:id="449"/>
    </w:p>
    <w:p>
      <w:pPr>
        <w:shd w:val="clea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shd w:val="clear"/>
        <w:autoSpaceDE w:val="0"/>
        <w:autoSpaceDN w:val="0"/>
        <w:spacing w:line="560" w:lineRule="exact"/>
        <w:rPr>
          <w:rFonts w:ascii="宋体" w:hAnsi="宋体"/>
          <w:color w:val="auto"/>
          <w:sz w:val="24"/>
          <w:highlight w:val="none"/>
          <w:lang w:val="zh-CN"/>
        </w:rPr>
      </w:pPr>
    </w:p>
    <w:p>
      <w:pPr>
        <w:shd w:val="clear"/>
        <w:autoSpaceDE w:val="0"/>
        <w:autoSpaceDN w:val="0"/>
        <w:spacing w:line="560" w:lineRule="exact"/>
        <w:rPr>
          <w:rFonts w:hint="eastAsia" w:ascii="宋体" w:hAnsi="宋体"/>
          <w:b/>
          <w:color w:val="auto"/>
          <w:sz w:val="24"/>
          <w:highlight w:val="none"/>
          <w:lang w:val="zh-CN"/>
        </w:rPr>
      </w:pPr>
    </w:p>
    <w:p>
      <w:pPr>
        <w:shd w:val="clea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shd w:val="clear"/>
        <w:autoSpaceDE w:val="0"/>
        <w:autoSpaceDN w:val="0"/>
        <w:spacing w:line="560" w:lineRule="exact"/>
        <w:rPr>
          <w:rFonts w:ascii="宋体" w:hAnsi="宋体"/>
          <w:color w:val="auto"/>
          <w:sz w:val="24"/>
          <w:highlight w:val="none"/>
          <w:lang w:val="zh-CN"/>
        </w:rPr>
      </w:pP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shd w:val="clea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shd w:val="clea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hd w:val="clear"/>
        <w:spacing w:line="560" w:lineRule="exact"/>
        <w:jc w:val="left"/>
        <w:rPr>
          <w:rFonts w:ascii="宋体" w:hAnsi="宋体"/>
          <w:b/>
          <w:color w:val="auto"/>
          <w:sz w:val="24"/>
          <w:highlight w:val="none"/>
        </w:rPr>
      </w:pPr>
    </w:p>
    <w:p>
      <w:pPr>
        <w:widowControl/>
        <w:shd w:val="clear"/>
        <w:adjustRightInd/>
        <w:jc w:val="left"/>
        <w:rPr>
          <w:rFonts w:ascii="宋体" w:hAnsi="宋体"/>
          <w:b/>
          <w:color w:val="auto"/>
          <w:sz w:val="24"/>
          <w:highlight w:val="none"/>
        </w:rPr>
      </w:pPr>
      <w:r>
        <w:rPr>
          <w:rFonts w:ascii="宋体" w:hAnsi="宋体"/>
          <w:b/>
          <w:color w:val="auto"/>
          <w:highlight w:val="none"/>
        </w:rPr>
        <w:br w:type="page"/>
      </w:r>
    </w:p>
    <w:p>
      <w:pPr>
        <w:pStyle w:val="699"/>
        <w:keepNext w:val="0"/>
        <w:keepLines w:val="0"/>
        <w:pageBreakBefore w:val="0"/>
        <w:widowControl w:val="0"/>
        <w:kinsoku/>
        <w:wordWrap/>
        <w:overflowPunct/>
        <w:topLinePunct w:val="0"/>
        <w:autoSpaceDE w:val="0"/>
        <w:autoSpaceDN w:val="0"/>
        <w:bidi w:val="0"/>
        <w:adjustRightInd w:val="0"/>
        <w:snapToGrid w:val="0"/>
        <w:spacing w:line="560" w:lineRule="exact"/>
        <w:ind w:firstLine="482"/>
        <w:jc w:val="center"/>
        <w:textAlignment w:val="auto"/>
        <w:outlineLvl w:val="9"/>
        <w:rPr>
          <w:rFonts w:ascii="宋体" w:hAnsi="宋体" w:cs="宋体"/>
          <w:b/>
          <w:szCs w:val="24"/>
        </w:rPr>
      </w:pPr>
      <w:r>
        <w:rPr>
          <w:rFonts w:hint="eastAsia" w:ascii="宋体" w:hAnsi="宋体" w:cs="宋体"/>
          <w:b/>
          <w:szCs w:val="24"/>
        </w:rPr>
        <w:t>第二部分 合同一般条款</w:t>
      </w:r>
    </w:p>
    <w:p>
      <w:pPr>
        <w:shd w:val="clear"/>
        <w:spacing w:line="560" w:lineRule="exact"/>
        <w:ind w:firstLine="482" w:firstLineChars="200"/>
        <w:outlineLvl w:val="0"/>
        <w:rPr>
          <w:rFonts w:ascii="宋体" w:hAnsi="宋体"/>
          <w:b/>
          <w:color w:val="auto"/>
          <w:sz w:val="24"/>
          <w:highlight w:val="none"/>
        </w:rPr>
      </w:pPr>
      <w:bookmarkStart w:id="450" w:name="_Toc19680"/>
      <w:bookmarkStart w:id="451" w:name="_Toc25079"/>
      <w:bookmarkStart w:id="452" w:name="_Toc5228"/>
      <w:bookmarkStart w:id="453" w:name="_Toc14021"/>
      <w:bookmarkStart w:id="454" w:name="_Toc31297"/>
      <w:r>
        <w:rPr>
          <w:rFonts w:ascii="宋体" w:hAnsi="宋体"/>
          <w:b/>
          <w:color w:val="auto"/>
          <w:sz w:val="24"/>
          <w:highlight w:val="none"/>
        </w:rPr>
        <w:t>2.1 定义</w:t>
      </w:r>
      <w:bookmarkEnd w:id="450"/>
      <w:bookmarkEnd w:id="451"/>
      <w:bookmarkEnd w:id="452"/>
      <w:bookmarkEnd w:id="453"/>
      <w:bookmarkEnd w:id="454"/>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hd w:val="clear"/>
        <w:spacing w:line="560" w:lineRule="exact"/>
        <w:ind w:firstLine="482" w:firstLineChars="200"/>
        <w:outlineLvl w:val="0"/>
        <w:rPr>
          <w:rFonts w:ascii="宋体" w:hAnsi="宋体"/>
          <w:b/>
          <w:color w:val="auto"/>
          <w:sz w:val="24"/>
          <w:highlight w:val="none"/>
        </w:rPr>
      </w:pPr>
      <w:bookmarkStart w:id="455" w:name="_Toc16752"/>
      <w:bookmarkStart w:id="456" w:name="_Toc3769"/>
      <w:bookmarkStart w:id="457" w:name="_Toc23289"/>
      <w:bookmarkStart w:id="458" w:name="_Toc19539"/>
      <w:bookmarkStart w:id="459" w:name="_Toc31402"/>
      <w:r>
        <w:rPr>
          <w:rFonts w:ascii="宋体" w:hAnsi="宋体"/>
          <w:b/>
          <w:color w:val="auto"/>
          <w:sz w:val="24"/>
          <w:highlight w:val="none"/>
        </w:rPr>
        <w:t>2.2 技术规范</w:t>
      </w:r>
      <w:bookmarkEnd w:id="455"/>
      <w:bookmarkEnd w:id="456"/>
      <w:bookmarkEnd w:id="457"/>
      <w:bookmarkEnd w:id="458"/>
      <w:bookmarkEnd w:id="459"/>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hd w:val="clear"/>
        <w:spacing w:line="560" w:lineRule="exact"/>
        <w:ind w:firstLine="482" w:firstLineChars="200"/>
        <w:outlineLvl w:val="0"/>
        <w:rPr>
          <w:rFonts w:ascii="宋体" w:hAnsi="宋体"/>
          <w:b/>
          <w:color w:val="auto"/>
          <w:sz w:val="24"/>
          <w:highlight w:val="none"/>
        </w:rPr>
      </w:pPr>
      <w:bookmarkStart w:id="460" w:name="_Toc9161"/>
      <w:bookmarkStart w:id="461" w:name="_Toc12412"/>
      <w:bookmarkStart w:id="462" w:name="_Toc27945"/>
      <w:bookmarkStart w:id="463" w:name="_Toc13673"/>
      <w:bookmarkStart w:id="464" w:name="_Toc4133"/>
      <w:r>
        <w:rPr>
          <w:rFonts w:ascii="宋体" w:hAnsi="宋体"/>
          <w:b/>
          <w:color w:val="auto"/>
          <w:sz w:val="24"/>
          <w:highlight w:val="none"/>
        </w:rPr>
        <w:t>2.3 知识产权</w:t>
      </w:r>
      <w:bookmarkEnd w:id="460"/>
      <w:bookmarkEnd w:id="461"/>
      <w:bookmarkEnd w:id="462"/>
      <w:bookmarkEnd w:id="463"/>
      <w:bookmarkEnd w:id="464"/>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hd w:val="clea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hd w:val="clear"/>
        <w:spacing w:line="560" w:lineRule="exact"/>
        <w:ind w:firstLine="482" w:firstLineChars="200"/>
        <w:outlineLvl w:val="0"/>
        <w:rPr>
          <w:rFonts w:ascii="宋体" w:hAnsi="宋体"/>
          <w:b/>
          <w:color w:val="auto"/>
          <w:sz w:val="24"/>
          <w:highlight w:val="none"/>
        </w:rPr>
      </w:pPr>
      <w:bookmarkStart w:id="465" w:name="_Toc26555"/>
      <w:bookmarkStart w:id="466" w:name="_Toc22011"/>
      <w:bookmarkStart w:id="467" w:name="_Toc15447"/>
      <w:bookmarkStart w:id="468" w:name="_Toc31233"/>
      <w:bookmarkStart w:id="469" w:name="_Toc32670"/>
      <w:r>
        <w:rPr>
          <w:rFonts w:ascii="宋体" w:hAnsi="宋体"/>
          <w:b/>
          <w:color w:val="auto"/>
          <w:sz w:val="24"/>
          <w:highlight w:val="none"/>
        </w:rPr>
        <w:t>2.5 结算方式和付款条件</w:t>
      </w:r>
      <w:bookmarkEnd w:id="465"/>
      <w:bookmarkEnd w:id="466"/>
      <w:bookmarkEnd w:id="467"/>
      <w:bookmarkEnd w:id="468"/>
      <w:bookmarkEnd w:id="469"/>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470" w:name="_Toc13154"/>
      <w:bookmarkStart w:id="471" w:name="_Toc16163"/>
      <w:bookmarkStart w:id="472" w:name="_Toc30507"/>
      <w:bookmarkStart w:id="473" w:name="_Toc13467"/>
      <w:bookmarkStart w:id="474" w:name="_Toc18990"/>
      <w:r>
        <w:rPr>
          <w:rFonts w:ascii="宋体" w:hAnsi="宋体"/>
          <w:b/>
          <w:color w:val="auto"/>
          <w:sz w:val="24"/>
          <w:highlight w:val="none"/>
        </w:rPr>
        <w:t>2.6 技术资料和保密义务</w:t>
      </w:r>
      <w:bookmarkEnd w:id="470"/>
      <w:bookmarkEnd w:id="471"/>
      <w:bookmarkEnd w:id="472"/>
      <w:bookmarkEnd w:id="473"/>
      <w:bookmarkEnd w:id="474"/>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hd w:val="clear"/>
        <w:spacing w:line="560" w:lineRule="exact"/>
        <w:ind w:firstLine="482" w:firstLineChars="200"/>
        <w:outlineLvl w:val="0"/>
        <w:rPr>
          <w:rFonts w:ascii="宋体" w:hAnsi="宋体"/>
          <w:b/>
          <w:color w:val="auto"/>
          <w:sz w:val="24"/>
          <w:highlight w:val="none"/>
        </w:rPr>
      </w:pPr>
      <w:bookmarkStart w:id="475"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75"/>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hd w:val="clear"/>
        <w:spacing w:line="560" w:lineRule="exact"/>
        <w:ind w:firstLine="482" w:firstLineChars="200"/>
        <w:outlineLvl w:val="0"/>
        <w:rPr>
          <w:rFonts w:ascii="宋体" w:hAnsi="宋体"/>
          <w:b/>
          <w:color w:val="auto"/>
          <w:sz w:val="24"/>
          <w:highlight w:val="none"/>
        </w:rPr>
      </w:pPr>
      <w:bookmarkStart w:id="476"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76"/>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hd w:val="clear"/>
        <w:spacing w:line="560" w:lineRule="exact"/>
        <w:ind w:firstLine="482" w:firstLineChars="200"/>
        <w:outlineLvl w:val="0"/>
        <w:rPr>
          <w:rFonts w:ascii="宋体" w:hAnsi="宋体"/>
          <w:b/>
          <w:color w:val="auto"/>
          <w:sz w:val="24"/>
          <w:highlight w:val="none"/>
        </w:rPr>
      </w:pPr>
      <w:bookmarkStart w:id="477"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77"/>
    </w:p>
    <w:p>
      <w:pPr>
        <w:shd w:val="clea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hd w:val="clear"/>
        <w:spacing w:line="560" w:lineRule="exact"/>
        <w:ind w:firstLine="482" w:firstLineChars="200"/>
        <w:outlineLvl w:val="0"/>
        <w:rPr>
          <w:rFonts w:ascii="宋体" w:hAnsi="宋体"/>
          <w:b/>
          <w:color w:val="auto"/>
          <w:sz w:val="24"/>
          <w:highlight w:val="none"/>
        </w:rPr>
      </w:pPr>
      <w:bookmarkStart w:id="478" w:name="_Toc21830"/>
      <w:bookmarkStart w:id="479" w:name="_Toc23368"/>
      <w:bookmarkStart w:id="480" w:name="_Toc42"/>
      <w:bookmarkStart w:id="481" w:name="_Toc10663"/>
      <w:bookmarkStart w:id="482" w:name="_Toc26689"/>
      <w:r>
        <w:rPr>
          <w:rFonts w:ascii="宋体" w:hAnsi="宋体"/>
          <w:b/>
          <w:color w:val="auto"/>
          <w:sz w:val="24"/>
          <w:highlight w:val="none"/>
        </w:rPr>
        <w:t>2.10 合同转让和分包</w:t>
      </w:r>
      <w:bookmarkEnd w:id="478"/>
      <w:bookmarkEnd w:id="479"/>
      <w:bookmarkEnd w:id="480"/>
      <w:bookmarkEnd w:id="481"/>
      <w:bookmarkEnd w:id="482"/>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hd w:val="clear"/>
        <w:spacing w:line="560" w:lineRule="exact"/>
        <w:ind w:firstLine="482" w:firstLineChars="200"/>
        <w:outlineLvl w:val="0"/>
        <w:rPr>
          <w:rFonts w:ascii="宋体" w:hAnsi="宋体"/>
          <w:b/>
          <w:color w:val="auto"/>
          <w:sz w:val="24"/>
          <w:highlight w:val="none"/>
        </w:rPr>
      </w:pPr>
      <w:bookmarkStart w:id="483" w:name="_Toc25571"/>
      <w:bookmarkStart w:id="484" w:name="_Toc26633"/>
      <w:bookmarkStart w:id="485" w:name="_Toc32494"/>
      <w:bookmarkStart w:id="486" w:name="_Toc4720"/>
      <w:bookmarkStart w:id="487" w:name="_Toc14371"/>
      <w:r>
        <w:rPr>
          <w:rFonts w:ascii="宋体" w:hAnsi="宋体"/>
          <w:b/>
          <w:color w:val="auto"/>
          <w:sz w:val="24"/>
          <w:highlight w:val="none"/>
        </w:rPr>
        <w:t>2.11 不可抗力</w:t>
      </w:r>
      <w:bookmarkEnd w:id="483"/>
      <w:bookmarkEnd w:id="484"/>
      <w:bookmarkEnd w:id="485"/>
      <w:bookmarkEnd w:id="486"/>
      <w:bookmarkEnd w:id="487"/>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488" w:name="_Toc24465"/>
      <w:bookmarkStart w:id="489" w:name="_Toc14115"/>
      <w:bookmarkStart w:id="490" w:name="_Toc23854"/>
      <w:bookmarkStart w:id="491" w:name="_Toc3638"/>
      <w:bookmarkStart w:id="492" w:name="_Toc25783"/>
      <w:r>
        <w:rPr>
          <w:rFonts w:ascii="宋体" w:hAnsi="宋体"/>
          <w:b/>
          <w:color w:val="auto"/>
          <w:sz w:val="24"/>
          <w:highlight w:val="none"/>
        </w:rPr>
        <w:t>2.12 税费</w:t>
      </w:r>
      <w:bookmarkEnd w:id="488"/>
      <w:bookmarkEnd w:id="489"/>
      <w:bookmarkEnd w:id="490"/>
      <w:bookmarkEnd w:id="491"/>
      <w:bookmarkEnd w:id="492"/>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hd w:val="clear"/>
        <w:spacing w:line="560" w:lineRule="exact"/>
        <w:ind w:firstLine="482" w:firstLineChars="200"/>
        <w:outlineLvl w:val="0"/>
        <w:rPr>
          <w:rFonts w:ascii="宋体" w:hAnsi="宋体"/>
          <w:b/>
          <w:color w:val="auto"/>
          <w:sz w:val="24"/>
          <w:highlight w:val="none"/>
        </w:rPr>
      </w:pPr>
      <w:bookmarkStart w:id="493" w:name="_Toc14814"/>
      <w:bookmarkStart w:id="494" w:name="_Toc7315"/>
      <w:bookmarkStart w:id="495" w:name="_Toc30105"/>
      <w:bookmarkStart w:id="496" w:name="_Toc26883"/>
      <w:bookmarkStart w:id="497" w:name="_Toc25525"/>
      <w:r>
        <w:rPr>
          <w:rFonts w:ascii="宋体" w:hAnsi="宋体"/>
          <w:b/>
          <w:color w:val="auto"/>
          <w:sz w:val="24"/>
          <w:highlight w:val="none"/>
        </w:rPr>
        <w:t>2.13 乙方破产</w:t>
      </w:r>
      <w:bookmarkEnd w:id="493"/>
      <w:bookmarkEnd w:id="494"/>
      <w:bookmarkEnd w:id="495"/>
      <w:bookmarkEnd w:id="496"/>
      <w:bookmarkEnd w:id="497"/>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498" w:name="_Toc1123"/>
      <w:bookmarkStart w:id="499" w:name="_Toc2016"/>
      <w:bookmarkStart w:id="500" w:name="_Toc23323"/>
      <w:r>
        <w:rPr>
          <w:rFonts w:ascii="宋体" w:hAnsi="宋体"/>
          <w:b/>
          <w:color w:val="auto"/>
          <w:sz w:val="24"/>
          <w:highlight w:val="none"/>
        </w:rPr>
        <w:t>2.14 合同中止、终止</w:t>
      </w:r>
      <w:bookmarkEnd w:id="498"/>
      <w:bookmarkEnd w:id="499"/>
      <w:bookmarkEnd w:id="500"/>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hd w:val="clear"/>
        <w:spacing w:line="560" w:lineRule="exact"/>
        <w:ind w:firstLine="482" w:firstLineChars="200"/>
        <w:outlineLvl w:val="0"/>
        <w:rPr>
          <w:rFonts w:ascii="宋体" w:hAnsi="宋体"/>
          <w:b/>
          <w:color w:val="auto"/>
          <w:sz w:val="24"/>
          <w:highlight w:val="none"/>
        </w:rPr>
      </w:pPr>
      <w:bookmarkStart w:id="501" w:name="_Toc17363"/>
      <w:bookmarkStart w:id="502" w:name="_Toc1969"/>
      <w:bookmarkStart w:id="503" w:name="_Toc14525"/>
      <w:r>
        <w:rPr>
          <w:rFonts w:ascii="宋体" w:hAnsi="宋体"/>
          <w:b/>
          <w:color w:val="auto"/>
          <w:sz w:val="24"/>
          <w:highlight w:val="none"/>
        </w:rPr>
        <w:t>2.15 检验和验收</w:t>
      </w:r>
      <w:bookmarkEnd w:id="501"/>
      <w:bookmarkEnd w:id="502"/>
      <w:bookmarkEnd w:id="503"/>
    </w:p>
    <w:p>
      <w:pPr>
        <w:shd w:val="clea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shd w:val="clea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hd w:val="clea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hd w:val="clear"/>
        <w:spacing w:line="560" w:lineRule="exact"/>
        <w:ind w:firstLine="482" w:firstLineChars="200"/>
        <w:outlineLvl w:val="0"/>
        <w:rPr>
          <w:rFonts w:ascii="宋体" w:hAnsi="宋体"/>
          <w:b/>
          <w:color w:val="auto"/>
          <w:sz w:val="24"/>
          <w:highlight w:val="none"/>
        </w:rPr>
      </w:pPr>
      <w:bookmarkStart w:id="504" w:name="_Toc25198"/>
      <w:bookmarkStart w:id="505" w:name="_Toc31892"/>
      <w:bookmarkStart w:id="506" w:name="_Toc9808"/>
      <w:bookmarkStart w:id="507" w:name="_Toc12666"/>
      <w:bookmarkStart w:id="508" w:name="_Toc2308"/>
      <w:r>
        <w:rPr>
          <w:rFonts w:ascii="宋体" w:hAnsi="宋体"/>
          <w:b/>
          <w:color w:val="auto"/>
          <w:sz w:val="24"/>
          <w:highlight w:val="none"/>
        </w:rPr>
        <w:t>2.16 通知和送达</w:t>
      </w:r>
      <w:bookmarkEnd w:id="504"/>
      <w:bookmarkEnd w:id="505"/>
      <w:bookmarkEnd w:id="506"/>
      <w:bookmarkEnd w:id="507"/>
      <w:bookmarkEnd w:id="508"/>
    </w:p>
    <w:p>
      <w:pPr>
        <w:shd w:val="clear"/>
        <w:spacing w:line="560" w:lineRule="exact"/>
        <w:ind w:firstLine="480" w:firstLineChars="200"/>
        <w:rPr>
          <w:rFonts w:ascii="宋体" w:hAnsi="宋体"/>
          <w:color w:val="auto"/>
          <w:sz w:val="24"/>
          <w:highlight w:val="none"/>
        </w:rPr>
      </w:pPr>
      <w:bookmarkStart w:id="509" w:name="_Toc27674"/>
      <w:bookmarkStart w:id="510"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509"/>
      <w:bookmarkEnd w:id="510"/>
    </w:p>
    <w:p>
      <w:pPr>
        <w:shd w:val="clear"/>
        <w:spacing w:line="560" w:lineRule="exact"/>
        <w:ind w:firstLine="482" w:firstLineChars="200"/>
        <w:outlineLvl w:val="0"/>
        <w:rPr>
          <w:rFonts w:ascii="宋体" w:hAnsi="宋体"/>
          <w:b/>
          <w:color w:val="auto"/>
          <w:sz w:val="24"/>
          <w:highlight w:val="none"/>
        </w:rPr>
      </w:pPr>
      <w:bookmarkStart w:id="511" w:name="_Toc5063"/>
      <w:bookmarkStart w:id="512" w:name="_Toc20808"/>
      <w:bookmarkStart w:id="513" w:name="_Toc12254"/>
      <w:bookmarkStart w:id="514" w:name="_Toc28906"/>
      <w:bookmarkStart w:id="515" w:name="_Toc2764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11"/>
      <w:bookmarkEnd w:id="512"/>
      <w:bookmarkEnd w:id="513"/>
      <w:bookmarkEnd w:id="514"/>
      <w:bookmarkEnd w:id="515"/>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hd w:val="clear"/>
        <w:spacing w:line="560" w:lineRule="exact"/>
        <w:ind w:firstLine="482" w:firstLineChars="200"/>
        <w:outlineLvl w:val="0"/>
        <w:rPr>
          <w:rFonts w:ascii="宋体" w:hAnsi="宋体" w:cs="宋体"/>
          <w:b/>
          <w:color w:val="auto"/>
          <w:sz w:val="24"/>
          <w:highlight w:val="none"/>
        </w:rPr>
      </w:pPr>
      <w:bookmarkStart w:id="516" w:name="_Toc4355"/>
      <w:bookmarkStart w:id="517" w:name="_Toc18540"/>
      <w:bookmarkStart w:id="518" w:name="_Toc30599"/>
      <w:r>
        <w:rPr>
          <w:rFonts w:hint="eastAsia" w:ascii="宋体" w:hAnsi="宋体" w:cs="宋体"/>
          <w:b/>
          <w:color w:val="auto"/>
          <w:sz w:val="24"/>
          <w:highlight w:val="none"/>
        </w:rPr>
        <w:t>2.18 计量单位</w:t>
      </w:r>
      <w:bookmarkEnd w:id="516"/>
      <w:bookmarkEnd w:id="517"/>
      <w:bookmarkEnd w:id="518"/>
    </w:p>
    <w:p>
      <w:pPr>
        <w:shd w:val="clea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hd w:val="clea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hd w:val="clea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513" w:firstLineChars="1197"/>
        <w:textAlignment w:val="auto"/>
        <w:outlineLvl w:val="9"/>
        <w:rPr>
          <w:rFonts w:ascii="宋体" w:hAnsi="宋体" w:cs="宋体"/>
          <w:b/>
        </w:rPr>
      </w:pPr>
      <w:r>
        <w:rPr>
          <w:rFonts w:hint="eastAsia" w:ascii="宋体" w:hAnsi="宋体" w:cs="宋体"/>
          <w:i w:val="0"/>
          <w:iCs w:val="0"/>
          <w:kern w:val="0"/>
        </w:rPr>
        <w:br w:type="page"/>
      </w:r>
      <w:r>
        <w:rPr>
          <w:rFonts w:hint="eastAsia" w:ascii="宋体" w:hAnsi="宋体" w:cs="宋体"/>
          <w:b/>
          <w:sz w:val="32"/>
          <w:szCs w:val="20"/>
        </w:rPr>
        <w:t xml:space="preserve"> 第三部分  合同专用条款</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right="-420" w:rightChars="-200" w:firstLine="480" w:firstLineChars="200"/>
        <w:textAlignment w:val="auto"/>
        <w:outlineLvl w:val="9"/>
        <w:rPr>
          <w:rFonts w:hint="eastAsia"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r>
        <w:rPr>
          <w:rFonts w:hint="eastAsia" w:ascii="宋体" w:hAnsi="宋体" w:cs="宋体"/>
          <w:sz w:val="24"/>
        </w:rPr>
        <w:br w:type="textWrapping"/>
      </w:r>
    </w:p>
    <w:tbl>
      <w:tblPr>
        <w:tblStyle w:val="62"/>
        <w:tblW w:w="5059" w:type="pct"/>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86"/>
        <w:gridCol w:w="81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条款号</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1.3.2</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1.4.2</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lang w:eastAsia="zh-CN"/>
              </w:rPr>
              <w:t>以</w:t>
            </w:r>
            <w:r>
              <w:rPr>
                <w:rFonts w:hint="eastAsia" w:ascii="宋体" w:hAnsi="宋体" w:cs="宋体"/>
                <w:color w:val="auto"/>
                <w:sz w:val="24"/>
                <w:highlight w:val="none"/>
                <w:lang w:val="en-US" w:eastAsia="zh-CN"/>
              </w:rPr>
              <w:t>银行汇票、转账、电汇、保函等形式。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1.5.1</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合同签订后7个工作日内支付年度合同总价20%的预付款（合同签订时中标人主动要求不需要预付款的采购人可以不支付）。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1.5.2</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1.5.3</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1.6.2</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1.7.1</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lang w:val="en-US" w:eastAsia="zh-CN"/>
              </w:rPr>
              <w:t>本项目服务期二年，合同一年一签。根据中标人在合同履约期内按照履约、考核等情况决定是否续签。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1.7.2</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1.7.3</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1.7.4.1</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1.7.4.2</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1.7.4.3</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1.8.7</w:t>
            </w:r>
          </w:p>
        </w:tc>
        <w:tc>
          <w:tcPr>
            <w:tcW w:w="4411" w:type="pct"/>
            <w:vAlign w:val="center"/>
          </w:tcPr>
          <w:p>
            <w:pPr>
              <w:pStyle w:val="3"/>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color w:val="auto"/>
                <w:highlight w:val="none"/>
                <w:lang w:eastAsia="zh-CN"/>
              </w:rPr>
            </w:pPr>
            <w:r>
              <w:rPr>
                <w:rFonts w:hint="eastAsia"/>
                <w:color w:val="auto"/>
                <w:highlight w:val="none"/>
                <w:lang w:val="en-US" w:eastAsia="zh-CN"/>
              </w:rPr>
              <w:t>因乙方不能保证工作质量，甲方可有权终止合同，乙方承担全部责任。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1.9.1</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1.9.2</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宁波市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2.3.2</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420" w:leftChars="-200" w:right="-420" w:rightChars="-20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5</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（1）合同签订后7个工作日内支付年度合同总价20%的预付款（合同签订时中标人主动要求不需要预付款的采购人可以不支付）；</w:t>
            </w:r>
          </w:p>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lang w:val="en-US" w:eastAsia="zh-CN"/>
              </w:rPr>
              <w:t>（2）按月支付，由乙方根据前一个月的考核结果在下月凭税务发票支付前一个月的派遣人员成本费及管理费，乙方每月初提供税务所统一发票。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11</w:t>
            </w:r>
            <w:r>
              <w:rPr>
                <w:rFonts w:hint="eastAsia" w:ascii="宋体" w:hAnsi="宋体" w:cs="宋体"/>
                <w:color w:val="auto"/>
                <w:sz w:val="24"/>
                <w:highlight w:val="none"/>
              </w:rPr>
              <w:t>.</w:t>
            </w:r>
            <w:r>
              <w:rPr>
                <w:rFonts w:hint="default" w:ascii="宋体" w:hAnsi="宋体" w:cs="宋体"/>
                <w:color w:val="auto"/>
                <w:sz w:val="24"/>
                <w:highlight w:val="none"/>
              </w:rPr>
              <w:t>3</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11.4</w:t>
            </w:r>
          </w:p>
        </w:tc>
        <w:tc>
          <w:tcPr>
            <w:tcW w:w="4411" w:type="pct"/>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15</w:t>
            </w:r>
            <w:r>
              <w:rPr>
                <w:rFonts w:hint="eastAsia" w:ascii="宋体" w:hAnsi="宋体" w:cs="宋体"/>
                <w:color w:val="auto"/>
                <w:sz w:val="24"/>
                <w:highlight w:val="none"/>
              </w:rPr>
              <w:t>.</w:t>
            </w:r>
            <w:r>
              <w:rPr>
                <w:rFonts w:hint="default" w:ascii="宋体" w:hAnsi="宋体" w:cs="宋体"/>
                <w:color w:val="auto"/>
                <w:sz w:val="24"/>
                <w:highlight w:val="none"/>
              </w:rPr>
              <w:t>1</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2.</w:t>
            </w:r>
            <w:r>
              <w:rPr>
                <w:rFonts w:hint="default" w:ascii="宋体" w:hAnsi="宋体" w:cs="宋体"/>
                <w:color w:val="auto"/>
                <w:sz w:val="24"/>
                <w:highlight w:val="none"/>
              </w:rPr>
              <w:t>15</w:t>
            </w:r>
            <w:r>
              <w:rPr>
                <w:rFonts w:hint="eastAsia" w:ascii="宋体" w:hAnsi="宋体" w:cs="宋体"/>
                <w:color w:val="auto"/>
                <w:sz w:val="24"/>
                <w:highlight w:val="none"/>
              </w:rPr>
              <w:t>.</w:t>
            </w:r>
            <w:r>
              <w:rPr>
                <w:rFonts w:hint="default" w:ascii="宋体" w:hAnsi="宋体" w:cs="宋体"/>
                <w:color w:val="auto"/>
                <w:sz w:val="24"/>
                <w:highlight w:val="none"/>
              </w:rPr>
              <w:t>3</w:t>
            </w:r>
          </w:p>
        </w:tc>
        <w:tc>
          <w:tcPr>
            <w:tcW w:w="4411" w:type="pct"/>
            <w:vAlign w:val="center"/>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588" w:type="pct"/>
            <w:tcBorders>
              <w:left w:val="single" w:color="auto" w:sz="4" w:space="0"/>
            </w:tcBorders>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2.19</w:t>
            </w:r>
          </w:p>
        </w:tc>
        <w:tc>
          <w:tcPr>
            <w:tcW w:w="4411" w:type="pct"/>
          </w:tcPr>
          <w:p>
            <w:pPr>
              <w:keepNext w:val="0"/>
              <w:keepLines w:val="0"/>
              <w:pageBreakBefore w:val="0"/>
              <w:widowControl w:val="0"/>
              <w:suppressLineNumbers w:val="0"/>
              <w:shd w:val="clear"/>
              <w:kinsoku/>
              <w:wordWrap/>
              <w:overflowPunct/>
              <w:topLinePunct w:val="0"/>
              <w:bidi w:val="0"/>
              <w:adjustRightInd w:val="0"/>
              <w:snapToGrid/>
              <w:spacing w:before="0" w:beforeAutospacing="0" w:after="0" w:afterAutospacing="0" w:line="312" w:lineRule="auto"/>
              <w:ind w:left="0" w:right="0"/>
              <w:textAlignment w:val="auto"/>
              <w:rPr>
                <w:rFonts w:hint="eastAsia" w:ascii="宋体" w:hAnsi="宋体" w:eastAsia="宋体" w:cs="宋体"/>
                <w:color w:val="auto"/>
                <w:sz w:val="24"/>
                <w:highlight w:val="none"/>
                <w:lang w:eastAsia="zh-CN"/>
              </w:rPr>
            </w:pPr>
            <w:r>
              <w:rPr>
                <w:rFonts w:hint="default" w:ascii="宋体" w:hAnsi="宋体" w:cs="宋体"/>
                <w:color w:val="auto"/>
                <w:sz w:val="24"/>
                <w:highlight w:val="none"/>
              </w:rPr>
              <w:t>一式</w:t>
            </w:r>
            <w:r>
              <w:rPr>
                <w:rFonts w:hint="eastAsia" w:ascii="宋体" w:hAnsi="宋体" w:cs="宋体"/>
                <w:color w:val="auto"/>
                <w:sz w:val="24"/>
                <w:highlight w:val="none"/>
                <w:u w:val="single"/>
                <w:lang w:val="en-US" w:eastAsia="zh-CN"/>
              </w:rPr>
              <w:t xml:space="preserve">  </w:t>
            </w:r>
            <w:r>
              <w:rPr>
                <w:rFonts w:hint="default" w:ascii="宋体" w:hAnsi="宋体" w:cs="宋体"/>
                <w:color w:val="auto"/>
                <w:sz w:val="24"/>
                <w:highlight w:val="none"/>
              </w:rPr>
              <w:t>份</w:t>
            </w:r>
            <w:r>
              <w:rPr>
                <w:rFonts w:hint="eastAsia" w:ascii="宋体" w:hAnsi="宋体" w:cs="宋体"/>
                <w:color w:val="auto"/>
                <w:sz w:val="24"/>
                <w:highlight w:val="none"/>
                <w:lang w:eastAsia="zh-CN"/>
              </w:rPr>
              <w:t>，</w:t>
            </w:r>
            <w:r>
              <w:rPr>
                <w:rFonts w:hint="default" w:ascii="宋体" w:hAnsi="宋体" w:cs="宋体"/>
                <w:color w:val="auto"/>
                <w:sz w:val="24"/>
                <w:highlight w:val="none"/>
              </w:rPr>
              <w:t>双方各</w:t>
            </w:r>
            <w:r>
              <w:rPr>
                <w:rFonts w:hint="eastAsia" w:ascii="宋体" w:hAnsi="宋体" w:cs="宋体"/>
                <w:color w:val="auto"/>
                <w:sz w:val="24"/>
                <w:highlight w:val="none"/>
              </w:rPr>
              <w:t>执</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份</w:t>
            </w:r>
            <w:r>
              <w:rPr>
                <w:rFonts w:hint="eastAsia" w:ascii="宋体" w:hAnsi="宋体" w:cs="宋体"/>
                <w:color w:val="auto"/>
                <w:sz w:val="24"/>
                <w:highlight w:val="none"/>
                <w:lang w:eastAsia="zh-CN"/>
              </w:rPr>
              <w:t>。</w:t>
            </w:r>
          </w:p>
        </w:tc>
      </w:tr>
    </w:tbl>
    <w:p>
      <w:pPr>
        <w:rPr>
          <w:rFonts w:hint="eastAsia" w:ascii="宋体" w:hAnsi="宋体" w:cs="宋体"/>
          <w:b/>
          <w:sz w:val="36"/>
          <w:szCs w:val="20"/>
        </w:rPr>
      </w:pPr>
      <w:r>
        <w:rPr>
          <w:rFonts w:hint="eastAsia" w:ascii="宋体" w:hAnsi="宋体" w:cs="宋体"/>
          <w:sz w:val="24"/>
        </w:rPr>
        <w:br w:type="textWrapping"/>
      </w:r>
      <w:r>
        <w:rPr>
          <w:rFonts w:hint="eastAsia" w:ascii="宋体" w:hAnsi="宋体" w:cs="宋体"/>
          <w:sz w:val="24"/>
        </w:rPr>
        <w:br w:type="textWrapping"/>
      </w:r>
      <w:r>
        <w:rPr>
          <w:rFonts w:hint="eastAsia" w:ascii="宋体" w:hAnsi="宋体" w:cs="宋体"/>
          <w:sz w:val="24"/>
        </w:rPr>
        <w:br w:type="textWrapping"/>
      </w:r>
      <w:bookmarkStart w:id="519" w:name="_Toc22993"/>
    </w:p>
    <w:p>
      <w:pPr>
        <w:kinsoku/>
        <w:wordWrap/>
        <w:overflowPunct/>
        <w:topLinePunct w:val="0"/>
        <w:bidi w:val="0"/>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403"/>
      <w:r>
        <w:rPr>
          <w:rFonts w:hint="eastAsia" w:ascii="宋体" w:hAnsi="宋体" w:cs="宋体"/>
          <w:b/>
          <w:sz w:val="36"/>
          <w:szCs w:val="20"/>
        </w:rPr>
        <w:t xml:space="preserve"> </w:t>
      </w:r>
      <w:bookmarkEnd w:id="404"/>
      <w:r>
        <w:rPr>
          <w:rFonts w:hint="eastAsia" w:ascii="宋体" w:hAnsi="宋体" w:cs="宋体"/>
          <w:b/>
          <w:sz w:val="36"/>
          <w:szCs w:val="20"/>
        </w:rPr>
        <w:t>应提交的有关格式范例</w:t>
      </w:r>
      <w:bookmarkEnd w:id="519"/>
    </w:p>
    <w:p>
      <w:pPr>
        <w:kinsoku/>
        <w:wordWrap/>
        <w:overflowPunct/>
        <w:topLinePunct w:val="0"/>
        <w:bidi w:val="0"/>
        <w:spacing w:line="360" w:lineRule="auto"/>
        <w:jc w:val="center"/>
        <w:outlineLvl w:val="9"/>
        <w:rPr>
          <w:rFonts w:ascii="宋体" w:hAnsi="宋体" w:cs="宋体"/>
          <w:b/>
          <w:kern w:val="0"/>
          <w:sz w:val="36"/>
          <w:szCs w:val="36"/>
        </w:rPr>
      </w:pPr>
    </w:p>
    <w:p>
      <w:pPr>
        <w:kinsoku/>
        <w:wordWrap/>
        <w:overflowPunct/>
        <w:topLinePunct w:val="0"/>
        <w:bidi w:val="0"/>
        <w:spacing w:line="360" w:lineRule="auto"/>
        <w:jc w:val="center"/>
        <w:outlineLvl w:val="9"/>
        <w:rPr>
          <w:rFonts w:ascii="宋体" w:hAnsi="宋体" w:cs="宋体"/>
          <w:b/>
          <w:kern w:val="0"/>
          <w:sz w:val="36"/>
          <w:szCs w:val="36"/>
        </w:rPr>
      </w:pPr>
      <w:r>
        <w:rPr>
          <w:rFonts w:hint="eastAsia" w:ascii="宋体" w:hAnsi="宋体" w:cs="宋体"/>
          <w:b/>
          <w:kern w:val="0"/>
          <w:sz w:val="36"/>
          <w:szCs w:val="36"/>
        </w:rPr>
        <w:t>资格文件部分</w:t>
      </w:r>
    </w:p>
    <w:p>
      <w:pPr>
        <w:kinsoku/>
        <w:wordWrap/>
        <w:overflowPunct/>
        <w:topLinePunct w:val="0"/>
        <w:bidi w:val="0"/>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kinsoku/>
        <w:wordWrap/>
        <w:overflowPunct/>
        <w:topLinePunct w:val="0"/>
        <w:bidi w:val="0"/>
        <w:spacing w:line="360" w:lineRule="auto"/>
        <w:jc w:val="center"/>
        <w:outlineLvl w:val="9"/>
        <w:rPr>
          <w:rFonts w:ascii="宋体" w:hAnsi="宋体" w:cs="宋体"/>
          <w:b/>
          <w:kern w:val="0"/>
          <w:sz w:val="36"/>
          <w:szCs w:val="36"/>
        </w:rPr>
      </w:pP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（1）符合参加政府采购活动应当具备的一般条件的承诺函……………（页码）</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kinsoku/>
        <w:wordWrap/>
        <w:overflowPunct/>
        <w:topLinePunct w:val="0"/>
        <w:bidi w:val="0"/>
        <w:snapToGrid w:val="0"/>
        <w:spacing w:line="360" w:lineRule="auto"/>
        <w:ind w:firstLine="480" w:firstLineChars="200"/>
        <w:outlineLvl w:val="9"/>
        <w:rPr>
          <w:rFonts w:ascii="宋体" w:hAnsi="宋体" w:cs="宋体"/>
          <w:sz w:val="24"/>
        </w:rPr>
      </w:pPr>
    </w:p>
    <w:p>
      <w:pPr>
        <w:kinsoku/>
        <w:wordWrap/>
        <w:overflowPunct/>
        <w:topLinePunct w:val="0"/>
        <w:bidi w:val="0"/>
        <w:spacing w:line="360" w:lineRule="auto"/>
        <w:ind w:firstLine="480" w:firstLineChars="200"/>
        <w:outlineLvl w:val="9"/>
        <w:rPr>
          <w:rFonts w:ascii="宋体" w:hAnsi="宋体" w:cs="宋体"/>
          <w:sz w:val="24"/>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一、符合参加政府采购活动应当具备的一般条件的承诺函</w:t>
      </w:r>
    </w:p>
    <w:p>
      <w:pPr>
        <w:kinsoku/>
        <w:wordWrap/>
        <w:overflowPunct/>
        <w:topLinePunct w:val="0"/>
        <w:bidi w:val="0"/>
        <w:snapToGrid w:val="0"/>
        <w:spacing w:line="360" w:lineRule="auto"/>
        <w:outlineLvl w:val="9"/>
        <w:rPr>
          <w:rFonts w:ascii="宋体" w:hAnsi="宋体" w:cs="宋体"/>
          <w:color w:val="auto"/>
          <w:sz w:val="24"/>
        </w:rPr>
      </w:pPr>
      <w:r>
        <w:rPr>
          <w:rFonts w:hint="eastAsia" w:ascii="宋体" w:hAnsi="宋体" w:cs="宋体"/>
          <w:color w:val="auto"/>
          <w:sz w:val="24"/>
        </w:rPr>
        <w:t>（采购人）、（采购代理机构）：</w:t>
      </w:r>
    </w:p>
    <w:p>
      <w:pPr>
        <w:kinsoku/>
        <w:wordWrap/>
        <w:overflowPunct/>
        <w:topLinePunct w:val="0"/>
        <w:bidi w:val="0"/>
        <w:snapToGrid w:val="0"/>
        <w:spacing w:line="360" w:lineRule="auto"/>
        <w:ind w:firstLine="480" w:firstLineChars="200"/>
        <w:outlineLvl w:val="9"/>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kinsoku/>
        <w:wordWrap/>
        <w:overflowPunct/>
        <w:topLinePunct w:val="0"/>
        <w:bidi w:val="0"/>
        <w:snapToGrid w:val="0"/>
        <w:spacing w:line="360" w:lineRule="auto"/>
        <w:ind w:firstLine="360" w:firstLineChars="150"/>
        <w:outlineLvl w:val="9"/>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kinsoku/>
        <w:wordWrap/>
        <w:overflowPunct/>
        <w:topLinePunct w:val="0"/>
        <w:bidi w:val="0"/>
        <w:snapToGrid w:val="0"/>
        <w:spacing w:line="360" w:lineRule="auto"/>
        <w:ind w:firstLine="480" w:firstLineChars="200"/>
        <w:outlineLvl w:val="9"/>
        <w:rPr>
          <w:rFonts w:ascii="宋体" w:hAnsi="宋体" w:cs="宋体"/>
          <w:color w:val="auto"/>
          <w:sz w:val="24"/>
        </w:rPr>
      </w:pPr>
      <w:r>
        <w:rPr>
          <w:rFonts w:hint="eastAsia" w:ascii="宋体" w:hAnsi="宋体" w:cs="宋体"/>
          <w:color w:val="auto"/>
          <w:sz w:val="24"/>
        </w:rPr>
        <w:t>1、具有独立承担民事责任的能力；</w:t>
      </w:r>
    </w:p>
    <w:p>
      <w:pPr>
        <w:kinsoku/>
        <w:wordWrap/>
        <w:overflowPunct/>
        <w:topLinePunct w:val="0"/>
        <w:bidi w:val="0"/>
        <w:snapToGrid w:val="0"/>
        <w:spacing w:line="360" w:lineRule="auto"/>
        <w:ind w:firstLine="480" w:firstLineChars="200"/>
        <w:outlineLvl w:val="9"/>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kinsoku/>
        <w:wordWrap/>
        <w:overflowPunct/>
        <w:topLinePunct w:val="0"/>
        <w:bidi w:val="0"/>
        <w:snapToGrid w:val="0"/>
        <w:spacing w:line="360" w:lineRule="auto"/>
        <w:ind w:firstLine="480" w:firstLineChars="200"/>
        <w:outlineLvl w:val="9"/>
        <w:rPr>
          <w:rFonts w:ascii="宋体" w:hAnsi="宋体" w:cs="宋体"/>
          <w:color w:val="auto"/>
          <w:sz w:val="24"/>
        </w:rPr>
      </w:pPr>
      <w:r>
        <w:rPr>
          <w:rFonts w:hint="eastAsia" w:ascii="宋体" w:hAnsi="宋体" w:cs="宋体"/>
          <w:color w:val="auto"/>
          <w:sz w:val="24"/>
        </w:rPr>
        <w:t>3、具有履行合同所必需的设备和专业技术能力；</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4、有依法缴纳税收和社会保障资金的良好记录；</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5、参加政府采购活动前三年内，在经营活动中没有重大违法记录；</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6、具有法律、行政法规规定的其他条件。</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（三）不存在以下情况：</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outlineLvl w:val="9"/>
        <w:rPr>
          <w:rFonts w:hint="eastAsia"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kinsoku/>
        <w:wordWrap/>
        <w:overflowPunct/>
        <w:topLinePunct w:val="0"/>
        <w:bidi w:val="0"/>
        <w:snapToGrid w:val="0"/>
        <w:spacing w:line="360" w:lineRule="auto"/>
        <w:ind w:firstLine="480" w:firstLineChars="200"/>
        <w:outlineLvl w:val="9"/>
        <w:rPr>
          <w:rFonts w:hint="eastAsia" w:ascii="宋体" w:hAnsi="宋体" w:eastAsia="宋体" w:cs="宋体"/>
          <w:sz w:val="24"/>
          <w:lang w:eastAsia="zh-CN"/>
        </w:rPr>
      </w:pPr>
    </w:p>
    <w:p>
      <w:pPr>
        <w:kinsoku/>
        <w:wordWrap/>
        <w:overflowPunct/>
        <w:topLinePunct w:val="0"/>
        <w:bidi w:val="0"/>
        <w:snapToGrid w:val="0"/>
        <w:spacing w:line="360" w:lineRule="auto"/>
        <w:ind w:firstLine="5520" w:firstLineChars="2300"/>
        <w:outlineLvl w:val="9"/>
        <w:rPr>
          <w:rFonts w:hint="eastAsia" w:ascii="宋体" w:hAnsi="宋体" w:cs="宋体"/>
          <w:kern w:val="0"/>
          <w:sz w:val="24"/>
          <w:lang w:val="zh-CN"/>
        </w:rPr>
      </w:pPr>
    </w:p>
    <w:p>
      <w:pPr>
        <w:kinsoku/>
        <w:wordWrap/>
        <w:overflowPunct/>
        <w:topLinePunct w:val="0"/>
        <w:bidi w:val="0"/>
        <w:snapToGrid w:val="0"/>
        <w:spacing w:line="360" w:lineRule="auto"/>
        <w:ind w:firstLine="5520" w:firstLineChars="2300"/>
        <w:outlineLvl w:val="9"/>
        <w:rPr>
          <w:rFonts w:ascii="宋体" w:hAnsi="宋体" w:cs="宋体"/>
          <w:kern w:val="0"/>
          <w:sz w:val="24"/>
        </w:rPr>
      </w:pPr>
      <w:r>
        <w:rPr>
          <w:rFonts w:hint="eastAsia" w:ascii="宋体" w:hAnsi="宋体" w:cs="宋体"/>
          <w:kern w:val="0"/>
          <w:sz w:val="24"/>
          <w:lang w:val="zh-CN"/>
        </w:rPr>
        <w:t>供应商名称(电子签名)：</w:t>
      </w:r>
    </w:p>
    <w:p>
      <w:pPr>
        <w:kinsoku/>
        <w:wordWrap/>
        <w:overflowPunct/>
        <w:topLinePunct w:val="0"/>
        <w:bidi w:val="0"/>
        <w:snapToGrid w:val="0"/>
        <w:spacing w:line="360" w:lineRule="auto"/>
        <w:outlineLvl w:val="9"/>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outlineLvl w:val="9"/>
        <w:rPr>
          <w:rFonts w:ascii="宋体" w:hAnsi="宋体" w:cs="宋体"/>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rPr>
      </w:pPr>
    </w:p>
    <w:p>
      <w:pPr>
        <w:widowControl/>
        <w:kinsoku/>
        <w:wordWrap/>
        <w:overflowPunct/>
        <w:topLinePunct w:val="0"/>
        <w:bidi w:val="0"/>
        <w:spacing w:line="360" w:lineRule="auto"/>
        <w:ind w:firstLine="643" w:firstLineChars="200"/>
        <w:jc w:val="center"/>
        <w:outlineLvl w:val="9"/>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kinsoku/>
        <w:wordWrap/>
        <w:overflowPunct/>
        <w:topLinePunct w:val="0"/>
        <w:bidi w:val="0"/>
        <w:spacing w:line="360" w:lineRule="auto"/>
        <w:ind w:firstLine="482" w:firstLineChars="200"/>
        <w:jc w:val="left"/>
        <w:outlineLvl w:val="9"/>
        <w:rPr>
          <w:rFonts w:ascii="宋体" w:hAnsi="宋体" w:cs="宋体"/>
          <w:b/>
          <w:sz w:val="24"/>
        </w:rPr>
      </w:pPr>
      <w:r>
        <w:rPr>
          <w:rFonts w:hint="eastAsia" w:ascii="宋体" w:hAnsi="宋体" w:cs="宋体"/>
          <w:b/>
          <w:sz w:val="24"/>
        </w:rPr>
        <w:t>[以联合体形式投标的，提供联合协议（附件5）；本项目不接受联合体投标或者</w:t>
      </w:r>
      <w:r>
        <w:rPr>
          <w:rFonts w:hint="eastAsia" w:ascii="宋体" w:hAnsi="宋体" w:cs="宋体"/>
          <w:b/>
          <w:sz w:val="24"/>
          <w:lang w:eastAsia="zh-CN"/>
        </w:rPr>
        <w:t>供应商</w:t>
      </w:r>
      <w:r>
        <w:rPr>
          <w:rFonts w:hint="eastAsia" w:ascii="宋体" w:hAnsi="宋体" w:cs="宋体"/>
          <w:b/>
          <w:sz w:val="24"/>
        </w:rPr>
        <w:t>不以联合体形式投标的，则不需要提供]</w:t>
      </w: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outlineLvl w:val="9"/>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kinsoku/>
        <w:wordWrap/>
        <w:overflowPunct/>
        <w:topLinePunct w:val="0"/>
        <w:bidi w:val="0"/>
        <w:spacing w:line="360" w:lineRule="auto"/>
        <w:ind w:firstLine="480"/>
        <w:jc w:val="left"/>
        <w:outlineLvl w:val="9"/>
        <w:rPr>
          <w:rFonts w:ascii="宋体" w:hAnsi="宋体" w:cs="宋体"/>
          <w:sz w:val="24"/>
        </w:rPr>
      </w:pPr>
    </w:p>
    <w:p>
      <w:pPr>
        <w:widowControl/>
        <w:kinsoku/>
        <w:wordWrap/>
        <w:overflowPunct/>
        <w:topLinePunct w:val="0"/>
        <w:bidi w:val="0"/>
        <w:spacing w:line="360" w:lineRule="auto"/>
        <w:ind w:firstLine="472" w:firstLineChars="196"/>
        <w:jc w:val="left"/>
        <w:outlineLvl w:val="9"/>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kinsoku/>
        <w:wordWrap/>
        <w:overflowPunct/>
        <w:topLinePunct w:val="0"/>
        <w:bidi w:val="0"/>
        <w:snapToGrid w:val="0"/>
        <w:spacing w:before="50" w:after="50" w:line="360" w:lineRule="auto"/>
        <w:jc w:val="center"/>
        <w:outlineLvl w:val="9"/>
        <w:rPr>
          <w:rFonts w:ascii="宋体" w:hAnsi="宋体" w:cs="宋体"/>
          <w:sz w:val="24"/>
        </w:rPr>
      </w:pPr>
      <w:r>
        <w:rPr>
          <w:rFonts w:hint="eastAsia" w:ascii="宋体" w:hAnsi="宋体" w:cs="宋体"/>
          <w:b/>
          <w:sz w:val="24"/>
        </w:rPr>
        <w:t xml:space="preserve">    </w:t>
      </w:r>
    </w:p>
    <w:p>
      <w:pPr>
        <w:kinsoku/>
        <w:wordWrap/>
        <w:overflowPunct/>
        <w:topLinePunct w:val="0"/>
        <w:bidi w:val="0"/>
        <w:spacing w:line="360" w:lineRule="auto"/>
        <w:ind w:firstLine="482" w:firstLineChars="200"/>
        <w:outlineLvl w:val="9"/>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kinsoku/>
        <w:wordWrap/>
        <w:overflowPunct/>
        <w:topLinePunct w:val="0"/>
        <w:bidi w:val="0"/>
        <w:spacing w:line="360" w:lineRule="auto"/>
        <w:ind w:left="150"/>
        <w:jc w:val="center"/>
        <w:outlineLvl w:val="9"/>
        <w:rPr>
          <w:rFonts w:ascii="宋体" w:hAnsi="宋体" w:cs="宋体"/>
          <w:b/>
          <w:kern w:val="0"/>
          <w:sz w:val="32"/>
          <w:szCs w:val="32"/>
        </w:rPr>
      </w:pPr>
    </w:p>
    <w:p>
      <w:pPr>
        <w:widowControl/>
        <w:kinsoku/>
        <w:wordWrap/>
        <w:overflowPunct/>
        <w:topLinePunct w:val="0"/>
        <w:bidi w:val="0"/>
        <w:spacing w:line="360" w:lineRule="auto"/>
        <w:ind w:left="150"/>
        <w:jc w:val="center"/>
        <w:outlineLvl w:val="9"/>
        <w:rPr>
          <w:rFonts w:ascii="宋体" w:hAnsi="宋体" w:cs="宋体"/>
          <w:b/>
          <w:kern w:val="0"/>
          <w:sz w:val="32"/>
          <w:szCs w:val="32"/>
        </w:rPr>
      </w:pPr>
      <w:r>
        <w:rPr>
          <w:rFonts w:hint="eastAsia" w:ascii="宋体" w:hAnsi="宋体" w:cs="宋体"/>
          <w:b/>
          <w:kern w:val="0"/>
          <w:sz w:val="32"/>
          <w:szCs w:val="32"/>
        </w:rPr>
        <w:t>四、本项目的特定资格要求</w:t>
      </w:r>
    </w:p>
    <w:p>
      <w:pPr>
        <w:kinsoku/>
        <w:wordWrap/>
        <w:overflowPunct/>
        <w:topLinePunct w:val="0"/>
        <w:bidi w:val="0"/>
        <w:spacing w:line="360" w:lineRule="auto"/>
        <w:jc w:val="center"/>
        <w:outlineLvl w:val="9"/>
        <w:rPr>
          <w:rFonts w:ascii="宋体" w:hAnsi="宋体" w:cs="宋体"/>
          <w:sz w:val="24"/>
        </w:rPr>
      </w:pPr>
      <w:r>
        <w:rPr>
          <w:rFonts w:hint="eastAsia" w:ascii="宋体" w:hAnsi="宋体" w:cs="宋体"/>
          <w:sz w:val="24"/>
        </w:rPr>
        <w:t>（根据招标公告本项目的特定资格要求提供相应的材料；未要求的，无需提供）</w:t>
      </w:r>
    </w:p>
    <w:p>
      <w:pPr>
        <w:kinsoku/>
        <w:wordWrap/>
        <w:overflowPunct/>
        <w:topLinePunct w:val="0"/>
        <w:bidi w:val="0"/>
        <w:outlineLvl w:val="9"/>
        <w:rPr>
          <w:rFonts w:ascii="宋体" w:hAnsi="宋体" w:cs="宋体"/>
        </w:rPr>
      </w:pPr>
    </w:p>
    <w:p>
      <w:pPr>
        <w:widowControl/>
        <w:kinsoku/>
        <w:wordWrap/>
        <w:overflowPunct/>
        <w:topLinePunct w:val="0"/>
        <w:bidi w:val="0"/>
        <w:adjustRightInd/>
        <w:jc w:val="left"/>
        <w:outlineLvl w:val="9"/>
        <w:rPr>
          <w:rFonts w:ascii="宋体" w:hAnsi="宋体" w:cs="宋体"/>
          <w:b/>
          <w:kern w:val="0"/>
          <w:sz w:val="32"/>
          <w:szCs w:val="32"/>
        </w:rPr>
      </w:pPr>
      <w:r>
        <w:rPr>
          <w:rFonts w:ascii="宋体" w:hAnsi="宋体" w:cs="宋体"/>
          <w:b/>
          <w:kern w:val="0"/>
          <w:sz w:val="32"/>
          <w:szCs w:val="32"/>
        </w:rPr>
        <w:br w:type="page"/>
      </w:r>
    </w:p>
    <w:p>
      <w:pPr>
        <w:kinsoku/>
        <w:wordWrap/>
        <w:overflowPunct/>
        <w:topLinePunct w:val="0"/>
        <w:bidi w:val="0"/>
        <w:spacing w:line="360" w:lineRule="auto"/>
        <w:ind w:right="420" w:firstLine="3614" w:firstLineChars="1000"/>
        <w:outlineLvl w:val="9"/>
        <w:rPr>
          <w:rFonts w:ascii="宋体" w:hAnsi="宋体" w:cs="宋体"/>
          <w:b/>
          <w:kern w:val="0"/>
          <w:sz w:val="36"/>
          <w:szCs w:val="36"/>
        </w:rPr>
      </w:pPr>
      <w:r>
        <w:rPr>
          <w:rFonts w:hint="eastAsia" w:ascii="宋体" w:hAnsi="宋体" w:cs="宋体"/>
          <w:b/>
          <w:kern w:val="0"/>
          <w:sz w:val="36"/>
          <w:szCs w:val="36"/>
        </w:rPr>
        <w:t>商务技术文件部分</w:t>
      </w:r>
    </w:p>
    <w:p>
      <w:pPr>
        <w:kinsoku/>
        <w:wordWrap/>
        <w:overflowPunct/>
        <w:topLinePunct w:val="0"/>
        <w:bidi w:val="0"/>
        <w:spacing w:line="360" w:lineRule="auto"/>
        <w:jc w:val="center"/>
        <w:outlineLvl w:val="9"/>
        <w:rPr>
          <w:rFonts w:ascii="宋体" w:hAnsi="宋体" w:cs="宋体"/>
          <w:b/>
          <w:kern w:val="0"/>
          <w:sz w:val="28"/>
          <w:szCs w:val="28"/>
        </w:rPr>
      </w:pPr>
      <w:r>
        <w:rPr>
          <w:rFonts w:hint="eastAsia" w:ascii="宋体" w:hAnsi="宋体" w:cs="宋体"/>
          <w:b/>
          <w:kern w:val="0"/>
          <w:sz w:val="28"/>
          <w:szCs w:val="28"/>
        </w:rPr>
        <w:t>目录</w:t>
      </w:r>
    </w:p>
    <w:p>
      <w:pPr>
        <w:kinsoku/>
        <w:wordWrap/>
        <w:overflowPunct/>
        <w:topLinePunct w:val="0"/>
        <w:bidi w:val="0"/>
        <w:snapToGrid w:val="0"/>
        <w:spacing w:line="360" w:lineRule="auto"/>
        <w:ind w:left="479" w:leftChars="228"/>
        <w:outlineLvl w:val="9"/>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kinsoku/>
        <w:wordWrap/>
        <w:overflowPunct/>
        <w:topLinePunct w:val="0"/>
        <w:bidi w:val="0"/>
        <w:snapToGrid w:val="0"/>
        <w:spacing w:line="360" w:lineRule="auto"/>
        <w:ind w:left="479" w:leftChars="228"/>
        <w:outlineLvl w:val="9"/>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kinsoku/>
        <w:wordWrap/>
        <w:overflowPunct/>
        <w:topLinePunct w:val="0"/>
        <w:bidi w:val="0"/>
        <w:snapToGrid w:val="0"/>
        <w:spacing w:line="360" w:lineRule="auto"/>
        <w:ind w:firstLine="480" w:firstLineChars="200"/>
        <w:outlineLvl w:val="9"/>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kinsoku/>
        <w:wordWrap/>
        <w:overflowPunct/>
        <w:topLinePunct w:val="0"/>
        <w:bidi w:val="0"/>
        <w:snapToGrid w:val="0"/>
        <w:spacing w:line="360" w:lineRule="auto"/>
        <w:ind w:left="479" w:leftChars="228"/>
        <w:outlineLvl w:val="9"/>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kinsoku/>
        <w:wordWrap/>
        <w:overflowPunct/>
        <w:topLinePunct w:val="0"/>
        <w:bidi w:val="0"/>
        <w:snapToGrid w:val="0"/>
        <w:spacing w:line="360" w:lineRule="auto"/>
        <w:ind w:left="479" w:leftChars="228"/>
        <w:outlineLvl w:val="9"/>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rPr>
      </w:pPr>
    </w:p>
    <w:p>
      <w:pPr>
        <w:kinsoku/>
        <w:wordWrap/>
        <w:overflowPunct/>
        <w:topLinePunct w:val="0"/>
        <w:bidi w:val="0"/>
        <w:snapToGrid w:val="0"/>
        <w:spacing w:line="360" w:lineRule="auto"/>
        <w:jc w:val="center"/>
        <w:outlineLvl w:val="9"/>
        <w:rPr>
          <w:rFonts w:ascii="宋体" w:hAnsi="宋体" w:cs="宋体"/>
          <w:b/>
          <w:kern w:val="0"/>
          <w:sz w:val="32"/>
          <w:szCs w:val="32"/>
        </w:rPr>
      </w:pPr>
    </w:p>
    <w:p>
      <w:pPr>
        <w:kinsoku/>
        <w:wordWrap/>
        <w:overflowPunct/>
        <w:topLinePunct w:val="0"/>
        <w:bidi w:val="0"/>
        <w:outlineLvl w:val="9"/>
        <w:rPr>
          <w:rFonts w:ascii="宋体" w:hAnsi="宋体" w:cs="宋体"/>
        </w:rPr>
      </w:pPr>
    </w:p>
    <w:p>
      <w:pPr>
        <w:kinsoku/>
        <w:wordWrap/>
        <w:overflowPunct/>
        <w:topLinePunct w:val="0"/>
        <w:bidi w:val="0"/>
        <w:snapToGrid w:val="0"/>
        <w:spacing w:line="360" w:lineRule="auto"/>
        <w:jc w:val="center"/>
        <w:outlineLvl w:val="9"/>
        <w:rPr>
          <w:rFonts w:ascii="宋体" w:hAnsi="宋体" w:cs="宋体"/>
          <w:b/>
          <w:kern w:val="0"/>
          <w:sz w:val="32"/>
          <w:szCs w:val="32"/>
        </w:rPr>
      </w:pPr>
    </w:p>
    <w:p>
      <w:pPr>
        <w:kinsoku/>
        <w:wordWrap/>
        <w:overflowPunct/>
        <w:topLinePunct w:val="0"/>
        <w:bidi w:val="0"/>
        <w:snapToGrid w:val="0"/>
        <w:spacing w:line="360" w:lineRule="auto"/>
        <w:jc w:val="center"/>
        <w:outlineLvl w:val="9"/>
        <w:rPr>
          <w:rFonts w:ascii="宋体" w:hAnsi="宋体" w:cs="宋体"/>
          <w:b/>
          <w:kern w:val="0"/>
          <w:sz w:val="32"/>
          <w:szCs w:val="32"/>
        </w:rPr>
      </w:pPr>
    </w:p>
    <w:p>
      <w:pPr>
        <w:tabs>
          <w:tab w:val="left" w:pos="432"/>
        </w:tabs>
        <w:kinsoku/>
        <w:wordWrap/>
        <w:overflowPunct/>
        <w:topLinePunct w:val="0"/>
        <w:bidi w:val="0"/>
        <w:outlineLvl w:val="9"/>
        <w:rPr>
          <w:lang w:val="en-US"/>
        </w:rPr>
      </w:pPr>
    </w:p>
    <w:p>
      <w:pPr>
        <w:kinsoku/>
        <w:wordWrap/>
        <w:overflowPunct/>
        <w:topLinePunct w:val="0"/>
        <w:bidi w:val="0"/>
        <w:outlineLvl w:val="9"/>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rPr>
      </w:pPr>
    </w:p>
    <w:p>
      <w:pPr>
        <w:widowControl/>
        <w:kinsoku/>
        <w:wordWrap/>
        <w:overflowPunct/>
        <w:topLinePunct w:val="0"/>
        <w:bidi w:val="0"/>
        <w:adjustRightInd/>
        <w:jc w:val="left"/>
        <w:outlineLvl w:val="9"/>
        <w:rPr>
          <w:rFonts w:ascii="宋体" w:hAnsi="宋体" w:cs="宋体"/>
          <w:b/>
          <w:kern w:val="0"/>
          <w:sz w:val="32"/>
          <w:szCs w:val="32"/>
        </w:rPr>
      </w:pPr>
      <w:r>
        <w:rPr>
          <w:rFonts w:ascii="宋体" w:hAnsi="宋体" w:cs="宋体"/>
          <w:b/>
          <w:kern w:val="0"/>
          <w:sz w:val="32"/>
          <w:szCs w:val="32"/>
        </w:rPr>
        <w:br w:type="page"/>
      </w:r>
    </w:p>
    <w:p>
      <w:pPr>
        <w:kinsoku/>
        <w:wordWrap/>
        <w:overflowPunct/>
        <w:topLinePunct w:val="0"/>
        <w:bidi w:val="0"/>
        <w:snapToGrid w:val="0"/>
        <w:spacing w:line="360" w:lineRule="auto"/>
        <w:ind w:firstLine="3855" w:firstLineChars="1200"/>
        <w:outlineLvl w:val="9"/>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ascii="宋体" w:hAnsi="宋体" w:cs="宋体"/>
          <w:color w:val="auto"/>
          <w:sz w:val="24"/>
        </w:rPr>
      </w:pPr>
      <w:r>
        <w:rPr>
          <w:rFonts w:hint="eastAsia" w:ascii="宋体" w:hAnsi="宋体" w:cs="宋体"/>
          <w:color w:val="auto"/>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rPr>
      </w:pPr>
      <w:r>
        <w:rPr>
          <w:rFonts w:hint="eastAsia" w:ascii="宋体" w:hAnsi="宋体" w:cs="宋体"/>
          <w:color w:val="auto"/>
          <w:sz w:val="24"/>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2.1.1承诺函；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w:t>
      </w:r>
      <w:r>
        <w:rPr>
          <w:rFonts w:hint="eastAsia" w:ascii="宋体" w:hAnsi="宋体" w:cs="宋体"/>
          <w:color w:val="auto"/>
          <w:sz w:val="24"/>
          <w:lang w:val="en-US" w:eastAsia="zh-CN"/>
        </w:rPr>
        <w:t>6</w:t>
      </w:r>
      <w:r>
        <w:rPr>
          <w:rFonts w:hint="eastAsia" w:ascii="宋体" w:hAnsi="宋体" w:cs="宋体"/>
          <w:color w:val="auto"/>
          <w:sz w:val="24"/>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lang w:val="en-US" w:eastAsia="zh-CN"/>
        </w:rPr>
        <w:t>7</w:t>
      </w:r>
      <w:r>
        <w:rPr>
          <w:rFonts w:hint="eastAsia" w:ascii="宋体" w:hAnsi="宋体" w:cs="宋体"/>
          <w:color w:val="auto"/>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sz w:val="24"/>
        </w:rPr>
      </w:pPr>
      <w:r>
        <w:rPr>
          <w:rFonts w:hint="eastAsia" w:ascii="宋体" w:hAnsi="宋体" w:cs="宋体"/>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sz w:val="24"/>
        </w:rPr>
      </w:pPr>
      <w:r>
        <w:rPr>
          <w:rFonts w:hint="eastAsia" w:ascii="宋体" w:hAnsi="宋体" w:cs="宋体"/>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hint="eastAsia" w:ascii="宋体" w:hAnsi="宋体" w:cs="宋体"/>
          <w:sz w:val="24"/>
        </w:rPr>
      </w:pPr>
      <w:r>
        <w:rPr>
          <w:rFonts w:hint="eastAsia" w:ascii="宋体" w:hAnsi="宋体" w:cs="宋体"/>
          <w:sz w:val="24"/>
        </w:rPr>
        <w:t>4.4在合同约定的期限内完成合同规定的全部义务。</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lang w:val="en-US" w:eastAsia="zh-CN"/>
        </w:rPr>
        <w:t>4.5</w:t>
      </w:r>
      <w:r>
        <w:rPr>
          <w:rFonts w:hint="eastAsia" w:cs="宋体" w:asciiTheme="minorEastAsia" w:hAnsiTheme="minorEastAsia" w:eastAsiaTheme="minorEastAsia"/>
          <w:sz w:val="24"/>
          <w:lang w:val="en-US" w:eastAsia="zh-CN"/>
        </w:rPr>
        <w:t>按照招标文件的规定，在中标后向采购代理机构一次性支付招标代理服务费。</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outlineLvl w:val="9"/>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名称（电子签名）：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outlineLvl w:val="9"/>
        <w:rPr>
          <w:rFonts w:ascii="宋体" w:hAnsi="宋体" w:cs="宋体"/>
          <w:sz w:val="24"/>
        </w:rPr>
      </w:pPr>
      <w:r>
        <w:rPr>
          <w:rFonts w:hint="eastAsia" w:ascii="宋体" w:hAnsi="宋体" w:cs="宋体"/>
          <w:sz w:val="24"/>
        </w:rPr>
        <w:t xml:space="preserve">     日期：  年   月   日</w:t>
      </w:r>
    </w:p>
    <w:p>
      <w:pPr>
        <w:widowControl/>
        <w:kinsoku/>
        <w:wordWrap/>
        <w:overflowPunct/>
        <w:topLinePunct w:val="0"/>
        <w:bidi w:val="0"/>
        <w:adjustRightInd/>
        <w:jc w:val="left"/>
        <w:outlineLvl w:val="9"/>
        <w:rPr>
          <w:rFonts w:ascii="宋体" w:hAnsi="宋体" w:cs="宋体"/>
          <w:b/>
          <w:kern w:val="0"/>
          <w:sz w:val="32"/>
          <w:szCs w:val="32"/>
        </w:rPr>
      </w:pPr>
      <w:r>
        <w:rPr>
          <w:rFonts w:hint="eastAsia" w:ascii="宋体" w:hAnsi="宋体" w:cs="宋体"/>
          <w:sz w:val="24"/>
        </w:rPr>
        <w:t>注：按本格式和要求提供。</w:t>
      </w:r>
      <w:r>
        <w:rPr>
          <w:rFonts w:ascii="宋体" w:hAnsi="宋体" w:cs="宋体"/>
          <w:b/>
          <w:kern w:val="0"/>
          <w:sz w:val="32"/>
          <w:szCs w:val="32"/>
        </w:rPr>
        <w:br w:type="page"/>
      </w:r>
    </w:p>
    <w:p>
      <w:pPr>
        <w:kinsoku/>
        <w:wordWrap/>
        <w:overflowPunct/>
        <w:topLinePunct w:val="0"/>
        <w:bidi w:val="0"/>
        <w:jc w:val="center"/>
        <w:outlineLvl w:val="9"/>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 xml:space="preserve">                                </w:t>
      </w:r>
    </w:p>
    <w:p>
      <w:pPr>
        <w:kinsoku/>
        <w:wordWrap/>
        <w:overflowPunct/>
        <w:topLinePunct w:val="0"/>
        <w:bidi w:val="0"/>
        <w:snapToGrid w:val="0"/>
        <w:spacing w:line="360" w:lineRule="auto"/>
        <w:ind w:firstLine="2872" w:firstLineChars="894"/>
        <w:outlineLvl w:val="9"/>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lang w:val="zh-CN"/>
        </w:rPr>
        <w:t xml:space="preserve">                                                 供应商名称(电子签名)：</w:t>
      </w:r>
    </w:p>
    <w:p>
      <w:pPr>
        <w:kinsoku/>
        <w:wordWrap/>
        <w:overflowPunct/>
        <w:topLinePunct w:val="0"/>
        <w:bidi w:val="0"/>
        <w:snapToGrid w:val="0"/>
        <w:spacing w:line="360" w:lineRule="auto"/>
        <w:outlineLvl w:val="9"/>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kinsoku/>
        <w:wordWrap/>
        <w:overflowPunct/>
        <w:topLinePunct w:val="0"/>
        <w:bidi w:val="0"/>
        <w:snapToGrid w:val="0"/>
        <w:spacing w:line="360" w:lineRule="auto"/>
        <w:outlineLvl w:val="9"/>
        <w:rPr>
          <w:rFonts w:ascii="宋体" w:hAnsi="宋体" w:cs="宋体"/>
          <w:color w:val="auto"/>
          <w:sz w:val="24"/>
        </w:rPr>
      </w:pPr>
    </w:p>
    <w:p>
      <w:pPr>
        <w:kinsoku/>
        <w:wordWrap/>
        <w:overflowPunct/>
        <w:topLinePunct w:val="0"/>
        <w:bidi w:val="0"/>
        <w:snapToGrid w:val="0"/>
        <w:spacing w:line="360" w:lineRule="auto"/>
        <w:outlineLvl w:val="9"/>
        <w:rPr>
          <w:rFonts w:ascii="宋体" w:hAnsi="宋体" w:cs="宋体"/>
          <w:sz w:val="24"/>
        </w:rPr>
      </w:pPr>
    </w:p>
    <w:p>
      <w:pPr>
        <w:kinsoku/>
        <w:wordWrap/>
        <w:overflowPunct/>
        <w:topLinePunct w:val="0"/>
        <w:bidi w:val="0"/>
        <w:snapToGrid w:val="0"/>
        <w:spacing w:line="360" w:lineRule="auto"/>
        <w:outlineLvl w:val="9"/>
        <w:rPr>
          <w:rFonts w:ascii="宋体" w:hAnsi="宋体" w:cs="宋体"/>
          <w:sz w:val="24"/>
        </w:rPr>
      </w:pPr>
    </w:p>
    <w:p>
      <w:pPr>
        <w:kinsoku/>
        <w:wordWrap/>
        <w:overflowPunct/>
        <w:topLinePunct w:val="0"/>
        <w:bidi w:val="0"/>
        <w:jc w:val="center"/>
        <w:outlineLvl w:val="9"/>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outlineLvl w:val="9"/>
        <w:rPr>
          <w:rFonts w:ascii="宋体" w:hAnsi="宋体" w:cs="宋体"/>
        </w:rPr>
      </w:pPr>
    </w:p>
    <w:p>
      <w:pPr>
        <w:kinsoku/>
        <w:wordWrap/>
        <w:overflowPunct/>
        <w:topLinePunct w:val="0"/>
        <w:bidi w:val="0"/>
        <w:snapToGrid w:val="0"/>
        <w:spacing w:line="360" w:lineRule="auto"/>
        <w:ind w:firstLine="5040" w:firstLineChars="2100"/>
        <w:outlineLvl w:val="9"/>
        <w:rPr>
          <w:rFonts w:ascii="宋体" w:hAnsi="宋体" w:cs="宋体"/>
          <w:kern w:val="0"/>
          <w:sz w:val="24"/>
          <w:lang w:val="zh-CN"/>
        </w:rPr>
      </w:pPr>
      <w:r>
        <w:rPr>
          <w:rFonts w:hint="eastAsia" w:ascii="宋体" w:hAnsi="宋体" w:cs="宋体"/>
          <w:kern w:val="0"/>
          <w:sz w:val="24"/>
          <w:lang w:val="zh-CN"/>
        </w:rPr>
        <w:t>联合体成员名称(电子签名/公章)：</w:t>
      </w:r>
    </w:p>
    <w:p>
      <w:pPr>
        <w:kinsoku/>
        <w:wordWrap/>
        <w:overflowPunct/>
        <w:topLinePunct w:val="0"/>
        <w:bidi w:val="0"/>
        <w:snapToGrid w:val="0"/>
        <w:spacing w:line="360" w:lineRule="auto"/>
        <w:ind w:firstLine="5040" w:firstLineChars="2100"/>
        <w:outlineLvl w:val="9"/>
        <w:rPr>
          <w:rFonts w:ascii="宋体" w:hAnsi="宋体" w:cs="宋体"/>
          <w:kern w:val="0"/>
          <w:sz w:val="24"/>
          <w:lang w:val="zh-CN"/>
        </w:rPr>
      </w:pPr>
      <w:r>
        <w:rPr>
          <w:rFonts w:hint="eastAsia" w:ascii="宋体" w:hAnsi="宋体" w:cs="宋体"/>
          <w:kern w:val="0"/>
          <w:sz w:val="24"/>
          <w:lang w:val="zh-CN"/>
        </w:rPr>
        <w:t>联合体成员名称(电子签名/公章)：</w:t>
      </w:r>
    </w:p>
    <w:p>
      <w:pPr>
        <w:kinsoku/>
        <w:wordWrap/>
        <w:overflowPunct/>
        <w:topLinePunct w:val="0"/>
        <w:bidi w:val="0"/>
        <w:snapToGrid w:val="0"/>
        <w:spacing w:line="360" w:lineRule="auto"/>
        <w:ind w:firstLine="5760" w:firstLineChars="2400"/>
        <w:outlineLvl w:val="9"/>
        <w:rPr>
          <w:rFonts w:ascii="宋体" w:hAnsi="宋体" w:cs="宋体"/>
        </w:rPr>
      </w:pPr>
      <w:r>
        <w:rPr>
          <w:rFonts w:hint="eastAsia" w:ascii="宋体" w:hAnsi="宋体" w:cs="宋体"/>
          <w:kern w:val="0"/>
          <w:sz w:val="24"/>
          <w:lang w:val="zh-CN"/>
        </w:rPr>
        <w:t>……</w:t>
      </w:r>
    </w:p>
    <w:p>
      <w:pPr>
        <w:kinsoku/>
        <w:wordWrap/>
        <w:overflowPunct/>
        <w:topLinePunct w:val="0"/>
        <w:bidi w:val="0"/>
        <w:snapToGrid w:val="0"/>
        <w:spacing w:line="360" w:lineRule="auto"/>
        <w:outlineLvl w:val="9"/>
        <w:rPr>
          <w:rFonts w:ascii="宋体" w:hAnsi="宋体" w:cs="宋体"/>
          <w:kern w:val="0"/>
          <w:sz w:val="24"/>
          <w:lang w:val="zh-CN"/>
        </w:rPr>
      </w:pPr>
      <w:r>
        <w:rPr>
          <w:rFonts w:hint="eastAsia" w:ascii="宋体" w:hAnsi="宋体" w:cs="宋体"/>
          <w:kern w:val="0"/>
          <w:sz w:val="24"/>
          <w:lang w:val="zh-CN"/>
        </w:rPr>
        <w:t xml:space="preserve">                                               日期：  年  月   日</w:t>
      </w:r>
    </w:p>
    <w:p>
      <w:pPr>
        <w:kinsoku/>
        <w:wordWrap/>
        <w:overflowPunct/>
        <w:topLinePunct w:val="0"/>
        <w:autoSpaceDE w:val="0"/>
        <w:autoSpaceDN w:val="0"/>
        <w:bidi w:val="0"/>
        <w:spacing w:line="360" w:lineRule="auto"/>
        <w:jc w:val="center"/>
        <w:outlineLvl w:val="9"/>
        <w:rPr>
          <w:rFonts w:hint="eastAsia" w:ascii="宋体" w:hAnsi="宋体" w:cs="宋体"/>
          <w:b/>
          <w:kern w:val="0"/>
          <w:sz w:val="32"/>
          <w:szCs w:val="32"/>
          <w:lang w:val="zh-CN"/>
        </w:rPr>
      </w:pPr>
    </w:p>
    <w:p>
      <w:pPr>
        <w:kinsoku/>
        <w:wordWrap/>
        <w:overflowPunct/>
        <w:topLinePunct w:val="0"/>
        <w:autoSpaceDE w:val="0"/>
        <w:autoSpaceDN w:val="0"/>
        <w:bidi w:val="0"/>
        <w:spacing w:line="360" w:lineRule="auto"/>
        <w:jc w:val="center"/>
        <w:outlineLvl w:val="9"/>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w:t>
      </w:r>
      <w:r>
        <w:rPr>
          <w:rFonts w:hint="eastAsia" w:ascii="宋体" w:hAnsi="宋体" w:cs="宋体"/>
          <w:b/>
          <w:sz w:val="30"/>
          <w:szCs w:val="30"/>
          <w:lang w:eastAsia="zh-CN"/>
        </w:rPr>
        <w:t>供应商</w:t>
      </w:r>
      <w:r>
        <w:rPr>
          <w:rFonts w:hint="eastAsia" w:ascii="宋体" w:hAnsi="宋体" w:cs="宋体"/>
          <w:b/>
          <w:sz w:val="30"/>
          <w:szCs w:val="30"/>
        </w:rPr>
        <w:t>参加投标）</w:t>
      </w:r>
    </w:p>
    <w:p>
      <w:pPr>
        <w:pStyle w:val="148"/>
        <w:kinsoku/>
        <w:wordWrap/>
        <w:overflowPunct/>
        <w:topLinePunct w:val="0"/>
        <w:bidi w:val="0"/>
        <w:spacing w:line="360" w:lineRule="auto"/>
        <w:outlineLvl w:val="9"/>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sz w:val="24"/>
              </w:rPr>
            </w:pPr>
            <w:r>
              <w:rPr>
                <w:rFonts w:hint="eastAsia" w:hAnsi="宋体" w:cs="宋体"/>
                <w:bCs/>
                <w:sz w:val="24"/>
              </w:rPr>
              <w:t>正面：                                 反面：</w:t>
            </w:r>
          </w:p>
          <w:p>
            <w:pPr>
              <w:pStyle w:val="148"/>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sz w:val="24"/>
              </w:rPr>
            </w:pPr>
          </w:p>
        </w:tc>
      </w:tr>
    </w:tbl>
    <w:p>
      <w:pPr>
        <w:kinsoku/>
        <w:wordWrap/>
        <w:overflowPunct/>
        <w:topLinePunct w:val="0"/>
        <w:bidi w:val="0"/>
        <w:snapToGrid w:val="0"/>
        <w:spacing w:line="360" w:lineRule="auto"/>
        <w:ind w:firstLine="576"/>
        <w:jc w:val="center"/>
        <w:outlineLvl w:val="9"/>
        <w:rPr>
          <w:rFonts w:ascii="宋体" w:hAnsi="宋体" w:cs="宋体"/>
          <w:kern w:val="0"/>
          <w:sz w:val="24"/>
          <w:lang w:val="zh-CN"/>
        </w:rPr>
      </w:pPr>
      <w:r>
        <w:rPr>
          <w:rFonts w:hint="eastAsia" w:ascii="宋体" w:hAnsi="宋体" w:cs="宋体"/>
          <w:kern w:val="0"/>
          <w:sz w:val="24"/>
          <w:lang w:val="zh-CN"/>
        </w:rPr>
        <w:t xml:space="preserve">                 </w:t>
      </w:r>
    </w:p>
    <w:p>
      <w:pPr>
        <w:kinsoku/>
        <w:wordWrap/>
        <w:overflowPunct/>
        <w:topLinePunct w:val="0"/>
        <w:bidi w:val="0"/>
        <w:snapToGrid w:val="0"/>
        <w:spacing w:line="360" w:lineRule="auto"/>
        <w:ind w:firstLine="576"/>
        <w:jc w:val="center"/>
        <w:outlineLvl w:val="9"/>
        <w:rPr>
          <w:rFonts w:ascii="宋体" w:hAnsi="宋体" w:cs="宋体"/>
          <w:kern w:val="0"/>
          <w:sz w:val="24"/>
          <w:lang w:val="zh-CN"/>
        </w:rPr>
      </w:pPr>
      <w:r>
        <w:rPr>
          <w:rFonts w:hint="eastAsia" w:ascii="宋体" w:hAnsi="宋体" w:cs="宋体"/>
          <w:kern w:val="0"/>
          <w:sz w:val="24"/>
          <w:lang w:val="zh-CN"/>
        </w:rPr>
        <w:t xml:space="preserve">                  供应商名称(电子签名)：                              </w:t>
      </w:r>
    </w:p>
    <w:p>
      <w:pPr>
        <w:kinsoku/>
        <w:wordWrap/>
        <w:overflowPunct/>
        <w:topLinePunct w:val="0"/>
        <w:bidi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 xml:space="preserve">                   日期：  年  月  日</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snapToGrid w:val="0"/>
        <w:spacing w:line="360" w:lineRule="auto"/>
        <w:ind w:right="480"/>
        <w:outlineLvl w:val="9"/>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napToGrid w:val="0"/>
        <w:spacing w:line="360" w:lineRule="auto"/>
        <w:jc w:val="center"/>
        <w:outlineLvl w:val="9"/>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kinsoku/>
        <w:wordWrap/>
        <w:overflowPunct/>
        <w:topLinePunct w:val="0"/>
        <w:bidi w:val="0"/>
        <w:spacing w:line="360" w:lineRule="auto"/>
        <w:ind w:firstLine="120" w:firstLineChars="50"/>
        <w:jc w:val="left"/>
        <w:outlineLvl w:val="9"/>
        <w:rPr>
          <w:rFonts w:ascii="宋体" w:hAnsi="宋体" w:cs="宋体"/>
          <w:sz w:val="24"/>
        </w:rPr>
      </w:pPr>
      <w:bookmarkStart w:id="520"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w:t>
      </w:r>
      <w:r>
        <w:rPr>
          <w:rFonts w:hint="eastAsia" w:ascii="宋体" w:hAnsi="宋体" w:cs="宋体"/>
          <w:b/>
          <w:sz w:val="24"/>
          <w:lang w:eastAsia="zh-CN"/>
        </w:rPr>
        <w:t>供应商</w:t>
      </w:r>
      <w:r>
        <w:rPr>
          <w:rFonts w:hint="eastAsia" w:ascii="宋体" w:hAnsi="宋体" w:cs="宋体"/>
          <w:b/>
          <w:sz w:val="24"/>
        </w:rPr>
        <w:t>中标后不以分包方式履行合同的，则不需要提供。</w:t>
      </w:r>
      <w:r>
        <w:rPr>
          <w:rFonts w:hint="eastAsia" w:ascii="宋体" w:hAnsi="宋体" w:cs="宋体"/>
          <w:sz w:val="24"/>
        </w:rPr>
        <w:t>]</w:t>
      </w:r>
    </w:p>
    <w:bookmarkEnd w:id="520"/>
    <w:p>
      <w:pPr>
        <w:kinsoku/>
        <w:wordWrap/>
        <w:overflowPunct/>
        <w:topLinePunct w:val="0"/>
        <w:bidi w:val="0"/>
        <w:snapToGrid w:val="0"/>
        <w:spacing w:line="360" w:lineRule="auto"/>
        <w:outlineLvl w:val="9"/>
        <w:rPr>
          <w:rFonts w:ascii="宋体" w:hAnsi="宋体" w:cs="宋体"/>
          <w:kern w:val="0"/>
          <w:sz w:val="24"/>
        </w:rPr>
      </w:pPr>
    </w:p>
    <w:p>
      <w:pPr>
        <w:kinsoku/>
        <w:wordWrap/>
        <w:overflowPunct/>
        <w:topLinePunct w:val="0"/>
        <w:bidi w:val="0"/>
        <w:jc w:val="center"/>
        <w:outlineLvl w:val="9"/>
        <w:rPr>
          <w:rFonts w:ascii="宋体" w:hAnsi="宋体" w:cs="宋体"/>
          <w:b/>
          <w:kern w:val="0"/>
          <w:sz w:val="32"/>
          <w:szCs w:val="32"/>
        </w:rPr>
      </w:pPr>
    </w:p>
    <w:p>
      <w:pPr>
        <w:tabs>
          <w:tab w:val="left" w:pos="432"/>
        </w:tabs>
        <w:kinsoku/>
        <w:wordWrap/>
        <w:overflowPunct/>
        <w:topLinePunct w:val="0"/>
        <w:bidi w:val="0"/>
        <w:outlineLvl w:val="9"/>
        <w:rPr>
          <w:lang w:val="en-US"/>
        </w:rPr>
      </w:pPr>
    </w:p>
    <w:p>
      <w:pPr>
        <w:kinsoku/>
        <w:wordWrap/>
        <w:overflowPunct/>
        <w:topLinePunct w:val="0"/>
        <w:bidi w:val="0"/>
        <w:outlineLvl w:val="9"/>
      </w:pPr>
    </w:p>
    <w:p>
      <w:pPr>
        <w:tabs>
          <w:tab w:val="left" w:pos="432"/>
        </w:tabs>
        <w:kinsoku/>
        <w:wordWrap/>
        <w:overflowPunct/>
        <w:topLinePunct w:val="0"/>
        <w:bidi w:val="0"/>
        <w:outlineLvl w:val="9"/>
        <w:rPr>
          <w:lang w:val="en-US"/>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r>
        <w:rPr>
          <w:rFonts w:hint="eastAsia" w:ascii="宋体" w:hAnsi="宋体" w:cs="宋体"/>
          <w:b/>
          <w:kern w:val="0"/>
          <w:sz w:val="32"/>
          <w:szCs w:val="32"/>
        </w:rPr>
        <w:t>四、符合性审查资料</w:t>
      </w:r>
    </w:p>
    <w:p>
      <w:pPr>
        <w:kinsoku/>
        <w:wordWrap/>
        <w:overflowPunct/>
        <w:topLinePunct w:val="0"/>
        <w:bidi w:val="0"/>
        <w:jc w:val="center"/>
        <w:outlineLvl w:val="9"/>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40"/>
        <w:gridCol w:w="310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序号</w:t>
            </w:r>
          </w:p>
        </w:tc>
        <w:tc>
          <w:tcPr>
            <w:tcW w:w="4440"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实质性要求</w:t>
            </w:r>
          </w:p>
        </w:tc>
        <w:tc>
          <w:tcPr>
            <w:tcW w:w="3102"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需要提供的符合性审查资料</w:t>
            </w:r>
          </w:p>
        </w:tc>
        <w:tc>
          <w:tcPr>
            <w:tcW w:w="1418"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投标文件中的</w:t>
            </w:r>
          </w:p>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rPr>
            </w:pPr>
            <w:r>
              <w:rPr>
                <w:rFonts w:hint="eastAsia" w:ascii="宋体" w:hAnsi="宋体" w:cs="宋体"/>
                <w:sz w:val="24"/>
              </w:rPr>
              <w:t>1</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rPr>
            </w:pPr>
            <w:r>
              <w:rPr>
                <w:rFonts w:hint="eastAsia" w:ascii="宋体" w:hAnsi="宋体" w:cs="宋体"/>
                <w:sz w:val="24"/>
              </w:rPr>
              <w:t>投标文件按照招标文件要求签署、盖章。</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sz w:val="24"/>
              </w:rPr>
            </w:pPr>
            <w:r>
              <w:rPr>
                <w:rFonts w:hint="eastAsia" w:ascii="宋体" w:hAnsi="宋体" w:cs="宋体"/>
                <w:sz w:val="24"/>
              </w:rPr>
              <w:t>见投标文件</w:t>
            </w:r>
          </w:p>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rPr>
            </w:pPr>
            <w:r>
              <w:rPr>
                <w:rFonts w:hint="eastAsia" w:ascii="宋体" w:hAnsi="宋体" w:cs="宋体"/>
                <w:sz w:val="24"/>
              </w:rPr>
              <w:t>2</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rPr>
            </w:pPr>
            <w:r>
              <w:rPr>
                <w:rFonts w:hint="eastAsia" w:ascii="宋体" w:hAnsi="宋体" w:cs="宋体"/>
                <w:sz w:val="24"/>
              </w:rPr>
              <w:t>投标文件中承诺的投标有效期不少于招标文件中载明的投标有效期。</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rPr>
            </w:pPr>
            <w:r>
              <w:rPr>
                <w:rFonts w:hint="eastAsia" w:ascii="宋体" w:hAnsi="宋体" w:cs="宋体"/>
                <w:sz w:val="24"/>
              </w:rPr>
              <w:t>投标函</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rPr>
            </w:pPr>
            <w:r>
              <w:rPr>
                <w:rFonts w:hint="eastAsia" w:ascii="宋体" w:hAnsi="宋体" w:cs="宋体"/>
                <w:sz w:val="24"/>
              </w:rPr>
              <w:t>3</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rPr>
            </w:pPr>
            <w:r>
              <w:rPr>
                <w:rFonts w:hint="eastAsia" w:ascii="宋体" w:hAnsi="宋体" w:cs="宋体"/>
                <w:sz w:val="24"/>
              </w:rPr>
              <w:t>投标文件满足招标文件的其它实质性要求。</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rPr>
            </w:pPr>
            <w:r>
              <w:rPr>
                <w:rFonts w:hint="eastAsia" w:ascii="宋体" w:hAnsi="宋体" w:cs="宋体"/>
                <w:kern w:val="0"/>
                <w:sz w:val="24"/>
              </w:rPr>
              <w:t>招标文件其它实质性要求相应的材料（“</w:t>
            </w:r>
            <w:r>
              <w:rPr>
                <w:rFonts w:hint="eastAsia" w:ascii="宋体" w:hAnsi="宋体" w:cs="宋体"/>
                <w:kern w:val="0"/>
                <w:sz w:val="24"/>
                <w:lang w:eastAsia="zh-CN"/>
              </w:rPr>
              <w:t>★</w:t>
            </w:r>
            <w:r>
              <w:rPr>
                <w:rFonts w:hint="eastAsia" w:ascii="宋体" w:hAnsi="宋体" w:cs="宋体"/>
                <w:kern w:val="0"/>
                <w:sz w:val="24"/>
              </w:rPr>
              <w:t>” 系指实质性要求条款，招标文件无其它实质性要求的，无需提供）</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kinsoku/>
        <w:wordWrap/>
        <w:overflowPunct/>
        <w:topLinePunct w:val="0"/>
        <w:bidi w:val="0"/>
        <w:spacing w:line="360" w:lineRule="auto"/>
        <w:ind w:right="420"/>
        <w:outlineLvl w:val="9"/>
        <w:rPr>
          <w:rFonts w:ascii="宋体" w:hAnsi="宋体" w:cs="宋体"/>
          <w:sz w:val="24"/>
        </w:rPr>
      </w:pPr>
      <w:r>
        <w:rPr>
          <w:rFonts w:hint="eastAsia" w:ascii="宋体" w:hAnsi="宋体" w:cs="宋体"/>
          <w:sz w:val="24"/>
        </w:rPr>
        <w:t>注：按本格式和要求提供。</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r>
        <w:rPr>
          <w:rFonts w:hint="eastAsia" w:ascii="宋体" w:hAnsi="宋体" w:cs="宋体"/>
          <w:b/>
          <w:kern w:val="0"/>
          <w:sz w:val="32"/>
          <w:szCs w:val="32"/>
        </w:rPr>
        <w:t xml:space="preserve">            </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widowControl/>
        <w:kinsoku/>
        <w:wordWrap/>
        <w:overflowPunct/>
        <w:topLinePunct w:val="0"/>
        <w:bidi w:val="0"/>
        <w:adjustRightInd/>
        <w:jc w:val="left"/>
        <w:outlineLvl w:val="9"/>
        <w:rPr>
          <w:rFonts w:ascii="宋体" w:hAnsi="宋体" w:cs="宋体"/>
          <w:b/>
          <w:kern w:val="0"/>
          <w:sz w:val="32"/>
          <w:szCs w:val="32"/>
        </w:rPr>
      </w:pPr>
      <w:r>
        <w:rPr>
          <w:rFonts w:ascii="宋体" w:hAnsi="宋体" w:cs="宋体"/>
          <w:b/>
          <w:kern w:val="0"/>
          <w:sz w:val="32"/>
          <w:szCs w:val="32"/>
        </w:rPr>
        <w:br w:type="page"/>
      </w:r>
    </w:p>
    <w:p>
      <w:pPr>
        <w:kinsoku/>
        <w:wordWrap/>
        <w:overflowPunct/>
        <w:topLinePunct w:val="0"/>
        <w:bidi w:val="0"/>
        <w:jc w:val="center"/>
        <w:outlineLvl w:val="9"/>
        <w:rPr>
          <w:rFonts w:ascii="宋体" w:hAnsi="宋体" w:cs="宋体"/>
        </w:rPr>
      </w:pPr>
      <w:r>
        <w:rPr>
          <w:rFonts w:hint="eastAsia" w:ascii="宋体" w:hAnsi="宋体" w:cs="宋体"/>
          <w:b/>
          <w:kern w:val="0"/>
          <w:sz w:val="32"/>
          <w:szCs w:val="32"/>
        </w:rPr>
        <w:t>五、评标标准相应的商务技术资料</w:t>
      </w:r>
    </w:p>
    <w:p>
      <w:pPr>
        <w:kinsoku/>
        <w:wordWrap/>
        <w:overflowPunct/>
        <w:topLinePunct w:val="0"/>
        <w:bidi w:val="0"/>
        <w:snapToGrid w:val="0"/>
        <w:spacing w:line="360" w:lineRule="auto"/>
        <w:jc w:val="left"/>
        <w:outlineLvl w:val="9"/>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r>
        <w:rPr>
          <w:rFonts w:hint="eastAsia" w:ascii="宋体" w:hAnsi="宋体" w:cs="宋体"/>
          <w:b/>
          <w:kern w:val="0"/>
          <w:sz w:val="32"/>
          <w:szCs w:val="32"/>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rPr>
            </w:pPr>
            <w:r>
              <w:rPr>
                <w:rFonts w:hint="eastAsia" w:ascii="宋体" w:hAnsi="宋体" w:cs="宋体"/>
                <w:b/>
                <w:bCs/>
                <w:sz w:val="24"/>
              </w:rPr>
              <w:t>序号</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rPr>
            </w:pPr>
            <w:r>
              <w:rPr>
                <w:rFonts w:hint="eastAsia" w:ascii="宋体" w:hAnsi="宋体" w:cs="宋体"/>
                <w:b/>
                <w:bCs/>
                <w:sz w:val="24"/>
              </w:rPr>
              <w:t>招标文件章节及具体内容</w:t>
            </w: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rPr>
            </w:pPr>
            <w:r>
              <w:rPr>
                <w:rFonts w:hint="eastAsia" w:ascii="宋体" w:hAnsi="宋体" w:cs="宋体"/>
                <w:b/>
                <w:bCs/>
                <w:sz w:val="24"/>
              </w:rPr>
              <w:t>投标文件章节及具体内容</w:t>
            </w: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rPr>
            </w:pPr>
            <w:r>
              <w:rPr>
                <w:rFonts w:hint="eastAsia" w:ascii="宋体" w:hAnsi="宋体" w:cs="宋体"/>
                <w:kern w:val="0"/>
                <w:sz w:val="24"/>
              </w:rPr>
              <w:t>1</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rPr>
            </w:pPr>
            <w:r>
              <w:rPr>
                <w:rFonts w:hint="eastAsia" w:ascii="宋体" w:hAnsi="宋体" w:cs="宋体"/>
                <w:kern w:val="0"/>
                <w:sz w:val="24"/>
              </w:rPr>
              <w:t>2</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rPr>
            </w:pPr>
            <w:r>
              <w:rPr>
                <w:rFonts w:hint="eastAsia" w:ascii="宋体" w:hAnsi="宋体" w:cs="宋体"/>
                <w:kern w:val="0"/>
                <w:sz w:val="24"/>
              </w:rPr>
              <w:t>……</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r>
    </w:tbl>
    <w:p>
      <w:pPr>
        <w:kinsoku/>
        <w:wordWrap/>
        <w:overflowPunct/>
        <w:topLinePunct w:val="0"/>
        <w:bidi w:val="0"/>
        <w:jc w:val="left"/>
        <w:outlineLvl w:val="9"/>
        <w:rPr>
          <w:rFonts w:ascii="宋体" w:hAnsi="宋体" w:cs="宋体"/>
          <w:kern w:val="0"/>
          <w:sz w:val="24"/>
        </w:rPr>
      </w:pPr>
      <w:r>
        <w:rPr>
          <w:rFonts w:hint="eastAsia" w:ascii="宋体" w:hAnsi="宋体" w:cs="宋体"/>
          <w:kern w:val="0"/>
          <w:sz w:val="24"/>
          <w:lang w:eastAsia="zh-CN"/>
        </w:rPr>
        <w:t>供应商</w:t>
      </w:r>
      <w:r>
        <w:rPr>
          <w:rFonts w:hint="eastAsia" w:ascii="宋体" w:hAnsi="宋体" w:cs="宋体"/>
          <w:kern w:val="0"/>
          <w:sz w:val="24"/>
        </w:rPr>
        <w:t>保证：除商务技术偏离表列出的偏离外，</w:t>
      </w:r>
      <w:r>
        <w:rPr>
          <w:rFonts w:hint="eastAsia" w:ascii="宋体" w:hAnsi="宋体" w:cs="宋体"/>
          <w:kern w:val="0"/>
          <w:sz w:val="24"/>
          <w:lang w:eastAsia="zh-CN"/>
        </w:rPr>
        <w:t>供应商</w:t>
      </w:r>
      <w:r>
        <w:rPr>
          <w:rFonts w:hint="eastAsia" w:ascii="宋体" w:hAnsi="宋体" w:cs="宋体"/>
          <w:kern w:val="0"/>
          <w:sz w:val="24"/>
        </w:rPr>
        <w:t>响应招标文件的全部要求</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spacing w:line="360" w:lineRule="auto"/>
        <w:ind w:right="420"/>
        <w:outlineLvl w:val="9"/>
        <w:rPr>
          <w:rFonts w:ascii="宋体" w:hAnsi="宋体" w:cs="宋体"/>
          <w:sz w:val="24"/>
        </w:rPr>
      </w:pPr>
      <w:r>
        <w:rPr>
          <w:rFonts w:hint="eastAsia" w:ascii="宋体" w:hAnsi="宋体" w:cs="宋体"/>
          <w:sz w:val="24"/>
        </w:rPr>
        <w:t>注：按本格式和要求提供。</w:t>
      </w:r>
    </w:p>
    <w:p>
      <w:pPr>
        <w:kinsoku/>
        <w:wordWrap/>
        <w:overflowPunct/>
        <w:topLinePunct w:val="0"/>
        <w:bidi w:val="0"/>
        <w:ind w:firstLine="1911" w:firstLineChars="595"/>
        <w:outlineLvl w:val="9"/>
        <w:rPr>
          <w:rFonts w:ascii="宋体" w:hAnsi="宋体" w:cs="宋体"/>
          <w:b/>
          <w:bCs/>
          <w:sz w:val="32"/>
          <w:szCs w:val="32"/>
        </w:rPr>
      </w:pPr>
    </w:p>
    <w:p>
      <w:pPr>
        <w:kinsoku/>
        <w:wordWrap/>
        <w:overflowPunct/>
        <w:topLinePunct w:val="0"/>
        <w:bidi w:val="0"/>
        <w:ind w:firstLine="1911" w:firstLineChars="595"/>
        <w:outlineLvl w:val="9"/>
        <w:rPr>
          <w:rFonts w:ascii="宋体" w:hAnsi="宋体" w:cs="宋体"/>
          <w:b/>
          <w:bCs/>
          <w:sz w:val="32"/>
          <w:szCs w:val="32"/>
        </w:rPr>
      </w:pPr>
    </w:p>
    <w:p>
      <w:pPr>
        <w:kinsoku/>
        <w:wordWrap/>
        <w:overflowPunct/>
        <w:topLinePunct w:val="0"/>
        <w:bidi w:val="0"/>
        <w:ind w:firstLine="1911" w:firstLineChars="595"/>
        <w:outlineLvl w:val="9"/>
        <w:rPr>
          <w:rFonts w:ascii="宋体" w:hAnsi="宋体" w:cs="宋体"/>
          <w:b/>
          <w:bCs/>
          <w:sz w:val="32"/>
          <w:szCs w:val="32"/>
        </w:rPr>
      </w:pPr>
    </w:p>
    <w:p>
      <w:pPr>
        <w:kinsoku/>
        <w:wordWrap/>
        <w:overflowPunct/>
        <w:topLinePunct w:val="0"/>
        <w:bidi w:val="0"/>
        <w:ind w:firstLine="1911" w:firstLineChars="595"/>
        <w:outlineLvl w:val="9"/>
        <w:rPr>
          <w:rFonts w:ascii="宋体" w:hAnsi="宋体" w:cs="宋体"/>
          <w:b/>
          <w:bCs/>
          <w:sz w:val="32"/>
          <w:szCs w:val="32"/>
        </w:rPr>
      </w:pPr>
    </w:p>
    <w:p>
      <w:pPr>
        <w:kinsoku/>
        <w:wordWrap/>
        <w:overflowPunct/>
        <w:topLinePunct w:val="0"/>
        <w:bidi w:val="0"/>
        <w:ind w:firstLine="1911" w:firstLineChars="595"/>
        <w:outlineLvl w:val="9"/>
        <w:rPr>
          <w:rFonts w:ascii="宋体" w:hAnsi="宋体" w:cs="宋体"/>
          <w:b/>
          <w:bCs/>
          <w:sz w:val="32"/>
          <w:szCs w:val="32"/>
        </w:rPr>
      </w:pPr>
    </w:p>
    <w:p>
      <w:pPr>
        <w:widowControl/>
        <w:kinsoku/>
        <w:wordWrap/>
        <w:overflowPunct/>
        <w:topLinePunct w:val="0"/>
        <w:bidi w:val="0"/>
        <w:adjustRightInd/>
        <w:jc w:val="left"/>
        <w:outlineLvl w:val="9"/>
        <w:rPr>
          <w:rFonts w:ascii="宋体" w:hAnsi="宋体" w:cs="宋体"/>
          <w:b/>
          <w:bCs/>
          <w:sz w:val="32"/>
          <w:szCs w:val="32"/>
        </w:rPr>
      </w:pPr>
      <w:r>
        <w:rPr>
          <w:rFonts w:ascii="宋体" w:hAnsi="宋体" w:cs="宋体"/>
          <w:b/>
          <w:bCs/>
          <w:sz w:val="32"/>
          <w:szCs w:val="32"/>
        </w:rPr>
        <w:br w:type="page"/>
      </w:r>
    </w:p>
    <w:p>
      <w:pPr>
        <w:kinsoku/>
        <w:wordWrap/>
        <w:overflowPunct/>
        <w:topLinePunct w:val="0"/>
        <w:bidi w:val="0"/>
        <w:ind w:firstLine="1911" w:firstLineChars="595"/>
        <w:outlineLvl w:val="9"/>
        <w:rPr>
          <w:rFonts w:ascii="宋体" w:hAnsi="宋体" w:cs="宋体"/>
          <w:b/>
          <w:kern w:val="0"/>
          <w:sz w:val="32"/>
          <w:szCs w:val="32"/>
        </w:rPr>
      </w:pPr>
      <w:r>
        <w:rPr>
          <w:rFonts w:hint="eastAsia" w:ascii="宋体" w:hAnsi="宋体" w:cs="宋体"/>
          <w:b/>
          <w:bCs/>
          <w:sz w:val="32"/>
          <w:szCs w:val="32"/>
          <w:lang w:eastAsia="zh-CN"/>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kinsoku/>
        <w:wordWrap/>
        <w:overflowPunct/>
        <w:topLinePunct w:val="0"/>
        <w:bidi w:val="0"/>
        <w:snapToGrid w:val="0"/>
        <w:spacing w:line="360" w:lineRule="auto"/>
        <w:outlineLvl w:val="9"/>
        <w:rPr>
          <w:rFonts w:ascii="宋体" w:hAnsi="宋体" w:cs="宋体"/>
          <w:sz w:val="24"/>
        </w:rPr>
      </w:pP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outlineLvl w:val="9"/>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outlineLvl w:val="9"/>
        <w:rPr>
          <w:rFonts w:ascii="宋体" w:hAnsi="宋体" w:cs="宋体"/>
          <w:kern w:val="0"/>
          <w:sz w:val="24"/>
          <w:lang w:val="zh-CN"/>
        </w:rPr>
      </w:pPr>
      <w:r>
        <w:rPr>
          <w:rFonts w:hint="eastAsia" w:ascii="宋体" w:hAnsi="宋体" w:cs="宋体"/>
          <w:kern w:val="0"/>
          <w:sz w:val="24"/>
          <w:lang w:val="zh-CN"/>
        </w:rPr>
        <w:t>好处；</w:t>
      </w:r>
    </w:p>
    <w:p>
      <w:pPr>
        <w:kinsoku/>
        <w:wordWrap/>
        <w:overflowPunct/>
        <w:topLinePunct w:val="0"/>
        <w:autoSpaceDE w:val="0"/>
        <w:autoSpaceDN w:val="0"/>
        <w:bidi w:val="0"/>
        <w:spacing w:line="360" w:lineRule="auto"/>
        <w:ind w:left="481" w:leftChars="229"/>
        <w:jc w:val="left"/>
        <w:outlineLvl w:val="9"/>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kinsoku/>
        <w:wordWrap/>
        <w:overflowPunct/>
        <w:topLinePunct w:val="0"/>
        <w:autoSpaceDE w:val="0"/>
        <w:autoSpaceDN w:val="0"/>
        <w:bidi w:val="0"/>
        <w:spacing w:line="360" w:lineRule="auto"/>
        <w:jc w:val="left"/>
        <w:outlineLvl w:val="9"/>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kinsoku/>
        <w:wordWrap/>
        <w:overflowPunct/>
        <w:topLinePunct w:val="0"/>
        <w:autoSpaceDE w:val="0"/>
        <w:autoSpaceDN w:val="0"/>
        <w:bidi w:val="0"/>
        <w:spacing w:line="360" w:lineRule="auto"/>
        <w:ind w:firstLine="480" w:firstLineChars="200"/>
        <w:jc w:val="left"/>
        <w:outlineLvl w:val="9"/>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outlineLvl w:val="9"/>
        <w:rPr>
          <w:rFonts w:ascii="宋体" w:hAnsi="宋体" w:cs="宋体"/>
          <w:kern w:val="0"/>
          <w:sz w:val="24"/>
          <w:lang w:val="zh-CN"/>
        </w:rPr>
      </w:pPr>
    </w:p>
    <w:p>
      <w:pPr>
        <w:kinsoku/>
        <w:wordWrap/>
        <w:overflowPunct/>
        <w:topLinePunct w:val="0"/>
        <w:autoSpaceDE w:val="0"/>
        <w:autoSpaceDN w:val="0"/>
        <w:bidi w:val="0"/>
        <w:spacing w:line="360" w:lineRule="auto"/>
        <w:ind w:left="2"/>
        <w:jc w:val="left"/>
        <w:outlineLvl w:val="9"/>
        <w:rPr>
          <w:rFonts w:ascii="宋体" w:hAnsi="宋体" w:cs="宋体"/>
          <w:kern w:val="0"/>
          <w:sz w:val="24"/>
          <w:lang w:val="zh-CN"/>
        </w:rPr>
      </w:pPr>
    </w:p>
    <w:p>
      <w:pPr>
        <w:kinsoku/>
        <w:wordWrap/>
        <w:overflowPunct/>
        <w:topLinePunct w:val="0"/>
        <w:autoSpaceDE w:val="0"/>
        <w:autoSpaceDN w:val="0"/>
        <w:bidi w:val="0"/>
        <w:spacing w:line="360" w:lineRule="auto"/>
        <w:ind w:left="2"/>
        <w:jc w:val="left"/>
        <w:outlineLvl w:val="9"/>
        <w:rPr>
          <w:rFonts w:ascii="宋体" w:hAnsi="宋体" w:cs="宋体"/>
          <w:kern w:val="0"/>
          <w:sz w:val="24"/>
          <w:lang w:val="zh-CN"/>
        </w:rPr>
      </w:pPr>
    </w:p>
    <w:p>
      <w:pPr>
        <w:kinsoku/>
        <w:wordWrap/>
        <w:overflowPunct/>
        <w:topLinePunct w:val="0"/>
        <w:autoSpaceDE w:val="0"/>
        <w:autoSpaceDN w:val="0"/>
        <w:bidi w:val="0"/>
        <w:spacing w:line="360" w:lineRule="auto"/>
        <w:ind w:left="2" w:leftChars="1" w:right="1120" w:firstLine="4560" w:firstLineChars="1900"/>
        <w:jc w:val="left"/>
        <w:outlineLvl w:val="9"/>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kinsoku/>
        <w:wordWrap/>
        <w:overflowPunct/>
        <w:topLinePunct w:val="0"/>
        <w:bidi w:val="0"/>
        <w:spacing w:line="360" w:lineRule="auto"/>
        <w:ind w:left="4620" w:leftChars="2200"/>
        <w:outlineLvl w:val="9"/>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kinsoku/>
        <w:wordWrap/>
        <w:overflowPunct/>
        <w:topLinePunct w:val="0"/>
        <w:bidi w:val="0"/>
        <w:spacing w:line="360" w:lineRule="auto"/>
        <w:jc w:val="center"/>
        <w:outlineLvl w:val="9"/>
        <w:rPr>
          <w:rFonts w:ascii="宋体" w:hAnsi="宋体" w:cs="宋体"/>
          <w:b/>
          <w:bCs/>
          <w:sz w:val="24"/>
        </w:rPr>
      </w:pPr>
    </w:p>
    <w:p>
      <w:pPr>
        <w:kinsoku/>
        <w:wordWrap/>
        <w:overflowPunct/>
        <w:topLinePunct w:val="0"/>
        <w:bidi w:val="0"/>
        <w:spacing w:line="360" w:lineRule="auto"/>
        <w:ind w:right="420"/>
        <w:outlineLvl w:val="9"/>
        <w:rPr>
          <w:rFonts w:ascii="宋体" w:hAnsi="宋体" w:cs="宋体"/>
          <w:sz w:val="24"/>
        </w:rPr>
      </w:pPr>
      <w:r>
        <w:rPr>
          <w:rFonts w:hint="eastAsia" w:ascii="宋体" w:hAnsi="宋体" w:cs="宋体"/>
          <w:sz w:val="24"/>
        </w:rPr>
        <w:t>注：按本格式和要求提供。</w:t>
      </w:r>
    </w:p>
    <w:p>
      <w:pPr>
        <w:kinsoku/>
        <w:wordWrap/>
        <w:overflowPunct/>
        <w:topLinePunct w:val="0"/>
        <w:bidi w:val="0"/>
        <w:spacing w:line="360" w:lineRule="auto"/>
        <w:jc w:val="center"/>
        <w:outlineLvl w:val="9"/>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pacing w:line="360" w:lineRule="auto"/>
        <w:jc w:val="center"/>
        <w:outlineLvl w:val="9"/>
        <w:rPr>
          <w:rFonts w:ascii="宋体" w:hAnsi="宋体" w:cs="宋体"/>
          <w:b/>
          <w:kern w:val="0"/>
          <w:sz w:val="36"/>
          <w:szCs w:val="36"/>
        </w:rPr>
      </w:pPr>
      <w:r>
        <w:rPr>
          <w:rFonts w:hint="eastAsia" w:ascii="宋体" w:hAnsi="宋体" w:cs="宋体"/>
          <w:b/>
          <w:kern w:val="0"/>
          <w:sz w:val="36"/>
          <w:szCs w:val="36"/>
        </w:rPr>
        <w:t>报价文件部分</w:t>
      </w:r>
    </w:p>
    <w:p>
      <w:pPr>
        <w:kinsoku/>
        <w:wordWrap/>
        <w:overflowPunct/>
        <w:topLinePunct w:val="0"/>
        <w:bidi w:val="0"/>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kinsoku/>
        <w:wordWrap/>
        <w:overflowPunct/>
        <w:topLinePunct w:val="0"/>
        <w:bidi w:val="0"/>
        <w:spacing w:line="360" w:lineRule="auto"/>
        <w:jc w:val="center"/>
        <w:outlineLvl w:val="9"/>
        <w:rPr>
          <w:rFonts w:ascii="宋体" w:hAnsi="宋体" w:cs="宋体"/>
          <w:b/>
          <w:kern w:val="0"/>
          <w:sz w:val="36"/>
          <w:szCs w:val="36"/>
        </w:rPr>
      </w:pP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（1）开标一览表（报价表）………………………………………………………（页码）</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（2）中小企业声明函………………………………………………………………（页码）</w:t>
      </w: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rPr>
      </w:pPr>
      <w:bookmarkStart w:id="521" w:name="_Toc18859"/>
      <w:bookmarkStart w:id="522" w:name="_Toc26425"/>
      <w:r>
        <w:rPr>
          <w:rFonts w:hint="eastAsia" w:ascii="宋体" w:hAnsi="宋体" w:eastAsia="宋体" w:cs="宋体"/>
          <w:kern w:val="2"/>
          <w:sz w:val="32"/>
          <w:szCs w:val="32"/>
        </w:rPr>
        <w:t>一、开标一览表（报价表）</w:t>
      </w:r>
      <w:bookmarkEnd w:id="521"/>
      <w:bookmarkEnd w:id="522"/>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kinsoku/>
        <w:wordWrap/>
        <w:overflowPunct/>
        <w:topLinePunct w:val="0"/>
        <w:bidi w:val="0"/>
        <w:snapToGrid w:val="0"/>
        <w:spacing w:line="360" w:lineRule="auto"/>
        <w:ind w:firstLine="482"/>
        <w:outlineLvl w:val="9"/>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kinsoku/>
        <w:wordWrap/>
        <w:overflowPunct/>
        <w:topLinePunct w:val="0"/>
        <w:bidi w:val="0"/>
        <w:spacing w:line="360" w:lineRule="auto"/>
        <w:jc w:val="center"/>
        <w:outlineLvl w:val="9"/>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1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2496"/>
        <w:gridCol w:w="1959"/>
        <w:gridCol w:w="2288"/>
        <w:gridCol w:w="33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宋体" w:hAnsi="宋体" w:eastAsia="宋体" w:cs="Times New Roman"/>
                <w:color w:val="000000"/>
                <w:szCs w:val="21"/>
              </w:rPr>
            </w:pPr>
            <w:r>
              <w:rPr>
                <w:rFonts w:hint="eastAsia" w:ascii="宋体" w:hAnsi="宋体" w:eastAsia="宋体" w:cs="宋体"/>
                <w:color w:val="000000"/>
              </w:rPr>
              <w:t>序号</w:t>
            </w:r>
          </w:p>
        </w:tc>
        <w:tc>
          <w:tcPr>
            <w:tcW w:w="44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000000"/>
                <w:szCs w:val="21"/>
                <w:lang w:val="en-US" w:eastAsia="zh-CN"/>
              </w:rPr>
            </w:pPr>
            <w:r>
              <w:rPr>
                <w:rFonts w:hint="eastAsia" w:ascii="宋体" w:hAnsi="宋体" w:cs="宋体"/>
                <w:color w:val="000000"/>
                <w:lang w:val="en-US" w:eastAsia="zh-CN"/>
              </w:rPr>
              <w:t>服务内容</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宋体" w:hAnsi="宋体" w:eastAsia="宋体" w:cs="Times New Roman"/>
                <w:color w:val="000000"/>
                <w:szCs w:val="21"/>
                <w:lang w:eastAsia="zh-CN"/>
              </w:rPr>
            </w:pPr>
            <w:r>
              <w:rPr>
                <w:rFonts w:hint="eastAsia" w:ascii="宋体" w:hAnsi="宋体" w:eastAsia="宋体" w:cs="Times New Roman"/>
                <w:color w:val="000000"/>
                <w:szCs w:val="21"/>
                <w:lang w:eastAsia="zh-CN"/>
              </w:rPr>
              <w:t>合同履约期限</w:t>
            </w:r>
          </w:p>
        </w:tc>
        <w:tc>
          <w:tcPr>
            <w:tcW w:w="3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宋体" w:hAnsi="宋体" w:eastAsia="宋体" w:cs="Times New Roman"/>
                <w:color w:val="000000"/>
                <w:kern w:val="2"/>
                <w:sz w:val="21"/>
                <w:szCs w:val="21"/>
                <w:lang w:val="en-US" w:eastAsia="zh-CN" w:bidi="ar-SA"/>
              </w:rPr>
            </w:pPr>
            <w:r>
              <w:rPr>
                <w:rFonts w:hint="eastAsia" w:ascii="宋体" w:hAnsi="宋体" w:cs="宋体"/>
                <w:color w:val="000000"/>
                <w:lang w:val="en-US" w:eastAsia="zh-CN"/>
              </w:rPr>
              <w:t>年度投标</w:t>
            </w:r>
            <w:r>
              <w:rPr>
                <w:rFonts w:hint="eastAsia" w:ascii="宋体" w:hAnsi="宋体" w:eastAsia="宋体" w:cs="宋体"/>
                <w:color w:val="000000"/>
              </w:rPr>
              <w:t>价</w:t>
            </w:r>
            <w:r>
              <w:rPr>
                <w:rFonts w:hint="eastAsia" w:ascii="宋体" w:hAnsi="宋体" w:eastAsia="宋体" w:cs="宋体"/>
                <w:color w:val="000000"/>
                <w:lang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1200" w:type="dxa"/>
            <w:tcBorders>
              <w:top w:val="single" w:color="auto" w:sz="4" w:space="0"/>
              <w:left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000000"/>
                <w:szCs w:val="21"/>
              </w:rPr>
            </w:pPr>
            <w:r>
              <w:rPr>
                <w:rFonts w:hint="eastAsia" w:ascii="宋体" w:hAnsi="宋体" w:eastAsia="宋体" w:cs="宋体"/>
                <w:color w:val="000000"/>
              </w:rPr>
              <w:t>1</w:t>
            </w:r>
          </w:p>
        </w:tc>
        <w:tc>
          <w:tcPr>
            <w:tcW w:w="44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Times New Roman" w:hAnsi="Times New Roman" w:eastAsia="宋体" w:cs="Times New Roman"/>
                <w:color w:val="000000"/>
              </w:rPr>
            </w:pP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宋体" w:hAnsi="宋体" w:eastAsia="宋体" w:cs="Times New Roman"/>
                <w:color w:val="000000"/>
                <w:szCs w:val="21"/>
                <w:lang w:val="en-US" w:eastAsia="zh-CN"/>
              </w:rPr>
            </w:pPr>
          </w:p>
        </w:tc>
        <w:tc>
          <w:tcPr>
            <w:tcW w:w="3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default" w:ascii="宋体" w:hAnsi="宋体" w:eastAsia="宋体"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3696" w:type="dxa"/>
            <w:gridSpan w:val="2"/>
            <w:tcBorders>
              <w:top w:val="single" w:color="auto" w:sz="4" w:space="0"/>
              <w:left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宋体" w:hAnsi="宋体" w:eastAsia="宋体" w:cs="宋体"/>
                <w:color w:val="000000"/>
              </w:rPr>
            </w:pPr>
            <w:r>
              <w:rPr>
                <w:rFonts w:hint="eastAsia" w:ascii="宋体" w:hAnsi="宋体" w:cs="宋体"/>
                <w:color w:val="000000"/>
                <w:lang w:val="en-US" w:eastAsia="zh-CN"/>
              </w:rPr>
              <w:t>两年</w:t>
            </w:r>
            <w:r>
              <w:rPr>
                <w:rFonts w:hint="eastAsia" w:ascii="宋体" w:hAnsi="宋体" w:eastAsia="宋体" w:cs="宋体"/>
                <w:color w:val="000000"/>
              </w:rPr>
              <w:t>投标</w:t>
            </w:r>
            <w:r>
              <w:rPr>
                <w:rFonts w:hint="eastAsia" w:ascii="宋体" w:hAnsi="宋体" w:eastAsia="宋体" w:cs="宋体"/>
                <w:color w:val="000000"/>
                <w:lang w:val="en-US" w:eastAsia="zh-CN"/>
              </w:rPr>
              <w:t>总价</w:t>
            </w:r>
            <w:r>
              <w:rPr>
                <w:rFonts w:hint="eastAsia" w:ascii="宋体" w:hAnsi="宋体" w:eastAsia="宋体" w:cs="宋体"/>
                <w:color w:val="000000"/>
                <w:lang w:eastAsia="zh-CN"/>
              </w:rPr>
              <w:t>（</w:t>
            </w:r>
            <w:r>
              <w:rPr>
                <w:rFonts w:hint="eastAsia" w:ascii="宋体" w:hAnsi="宋体" w:eastAsia="宋体" w:cs="宋体"/>
                <w:color w:val="000000"/>
                <w:lang w:val="en-US" w:eastAsia="zh-CN"/>
              </w:rPr>
              <w:t>元</w:t>
            </w:r>
            <w:r>
              <w:rPr>
                <w:rFonts w:hint="eastAsia" w:ascii="宋体" w:hAnsi="宋体" w:eastAsia="宋体" w:cs="宋体"/>
                <w:color w:val="000000"/>
                <w:lang w:eastAsia="zh-CN"/>
              </w:rPr>
              <w:t>）</w:t>
            </w:r>
          </w:p>
        </w:tc>
        <w:tc>
          <w:tcPr>
            <w:tcW w:w="75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left"/>
              <w:rPr>
                <w:rFonts w:hint="default" w:ascii="宋体" w:hAnsi="宋体" w:eastAsia="宋体" w:cs="Times New Roman"/>
                <w:color w:val="000000"/>
                <w:kern w:val="2"/>
                <w:sz w:val="21"/>
                <w:szCs w:val="21"/>
                <w:lang w:val="en-US" w:eastAsia="zh-CN" w:bidi="ar-SA"/>
              </w:rPr>
            </w:pPr>
            <w:r>
              <w:rPr>
                <w:rFonts w:hint="default" w:ascii="宋体" w:hAnsi="宋体" w:eastAsia="宋体" w:cs="Times New Roman"/>
                <w:color w:val="000000"/>
                <w:kern w:val="2"/>
                <w:sz w:val="21"/>
                <w:szCs w:val="21"/>
                <w:lang w:val="en-US" w:eastAsia="zh-CN" w:bidi="ar-SA"/>
              </w:rPr>
              <w:t>大写：</w:t>
            </w:r>
          </w:p>
          <w:p>
            <w:pPr>
              <w:keepNext w:val="0"/>
              <w:keepLines w:val="0"/>
              <w:suppressLineNumbers w:val="0"/>
              <w:adjustRightInd/>
              <w:snapToGrid w:val="0"/>
              <w:spacing w:before="50" w:beforeAutospacing="0" w:after="50" w:afterAutospacing="0"/>
              <w:ind w:left="0" w:right="0"/>
              <w:jc w:val="left"/>
              <w:rPr>
                <w:rFonts w:hint="default" w:ascii="宋体" w:hAnsi="宋体" w:eastAsia="宋体" w:cs="Times New Roman"/>
                <w:color w:val="000000"/>
                <w:kern w:val="2"/>
                <w:sz w:val="21"/>
                <w:szCs w:val="21"/>
                <w:lang w:val="en-US" w:eastAsia="zh-CN" w:bidi="ar-SA"/>
              </w:rPr>
            </w:pPr>
            <w:r>
              <w:rPr>
                <w:rFonts w:hint="default" w:ascii="宋体" w:hAnsi="宋体" w:eastAsia="宋体" w:cs="Times New Roman"/>
                <w:color w:val="000000"/>
                <w:kern w:val="2"/>
                <w:sz w:val="21"/>
                <w:szCs w:val="21"/>
                <w:lang w:val="en-US" w:eastAsia="zh-CN" w:bidi="ar-SA"/>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jc w:val="center"/>
        </w:trPr>
        <w:tc>
          <w:tcPr>
            <w:tcW w:w="36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jc w:val="center"/>
              <w:rPr>
                <w:rFonts w:hint="eastAsia" w:ascii="Times New Roman" w:hAnsi="Times New Roman" w:eastAsia="宋体" w:cs="Times New Roman"/>
                <w:color w:val="000000"/>
                <w:szCs w:val="21"/>
              </w:rPr>
            </w:pPr>
            <w:r>
              <w:rPr>
                <w:rFonts w:hint="eastAsia" w:ascii="Times New Roman" w:hAnsi="Times New Roman" w:eastAsia="宋体" w:cs="Times New Roman"/>
                <w:color w:val="000000"/>
                <w:szCs w:val="21"/>
              </w:rPr>
              <w:t>投标声明</w:t>
            </w:r>
          </w:p>
        </w:tc>
        <w:tc>
          <w:tcPr>
            <w:tcW w:w="75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snapToGrid w:val="0"/>
              <w:spacing w:before="50" w:beforeAutospacing="0" w:after="50" w:afterAutospacing="0"/>
              <w:ind w:left="0" w:right="0"/>
              <w:rPr>
                <w:rFonts w:hint="eastAsia" w:ascii="Times New Roman" w:hAnsi="Times New Roman" w:eastAsia="宋体" w:cs="Times New Roman"/>
                <w:color w:val="000000"/>
                <w:szCs w:val="21"/>
              </w:rPr>
            </w:pPr>
          </w:p>
        </w:tc>
      </w:tr>
    </w:tbl>
    <w:p>
      <w:pPr>
        <w:kinsoku/>
        <w:wordWrap/>
        <w:overflowPunct/>
        <w:topLinePunct w:val="0"/>
        <w:bidi w:val="0"/>
        <w:snapToGrid w:val="0"/>
        <w:spacing w:line="360" w:lineRule="auto"/>
        <w:ind w:left="480"/>
        <w:outlineLvl w:val="9"/>
        <w:rPr>
          <w:rFonts w:hint="eastAsia" w:ascii="宋体" w:hAnsi="宋体" w:cs="宋体"/>
          <w:b/>
          <w:kern w:val="0"/>
          <w:sz w:val="24"/>
          <w:lang w:val="zh-CN"/>
        </w:rPr>
      </w:pPr>
    </w:p>
    <w:p>
      <w:pPr>
        <w:pStyle w:val="3"/>
        <w:rPr>
          <w:rFonts w:hint="eastAsia" w:ascii="宋体" w:hAnsi="宋体" w:cs="宋体"/>
          <w:b/>
          <w:kern w:val="0"/>
          <w:sz w:val="24"/>
          <w:lang w:val="zh-CN"/>
        </w:rPr>
      </w:pPr>
    </w:p>
    <w:p>
      <w:pPr>
        <w:pStyle w:val="51"/>
        <w:rPr>
          <w:rFonts w:hint="eastAsia"/>
          <w:lang w:val="zh-CN"/>
        </w:rPr>
      </w:pPr>
    </w:p>
    <w:p>
      <w:pPr>
        <w:kinsoku/>
        <w:wordWrap/>
        <w:overflowPunct/>
        <w:topLinePunct w:val="0"/>
        <w:bidi w:val="0"/>
        <w:snapToGrid w:val="0"/>
        <w:spacing w:line="360" w:lineRule="auto"/>
        <w:ind w:left="480"/>
        <w:outlineLvl w:val="9"/>
        <w:rPr>
          <w:rFonts w:ascii="宋体" w:hAnsi="宋体" w:cs="宋体"/>
          <w:b/>
          <w:kern w:val="0"/>
          <w:sz w:val="24"/>
          <w:lang w:val="zh-CN"/>
        </w:rPr>
      </w:pPr>
      <w:r>
        <w:rPr>
          <w:rFonts w:hint="eastAsia" w:ascii="宋体" w:hAnsi="宋体" w:cs="宋体"/>
          <w:b/>
          <w:kern w:val="0"/>
          <w:sz w:val="24"/>
          <w:lang w:val="zh-CN"/>
        </w:rPr>
        <w:t>注：</w:t>
      </w:r>
    </w:p>
    <w:p>
      <w:pPr>
        <w:kinsoku/>
        <w:wordWrap/>
        <w:overflowPunct/>
        <w:topLinePunct w:val="0"/>
        <w:bidi w:val="0"/>
        <w:spacing w:line="360" w:lineRule="auto"/>
        <w:ind w:left="-2" w:leftChars="-1" w:firstLine="480" w:firstLineChars="200"/>
        <w:outlineLvl w:val="9"/>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；采购内容未包含在《开标一览表（报价表）》名称栏中，供应商不能作出合理解释的，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kinsoku/>
        <w:wordWrap/>
        <w:overflowPunct/>
        <w:topLinePunct w:val="0"/>
        <w:bidi w:val="0"/>
        <w:snapToGrid w:val="0"/>
        <w:spacing w:line="360" w:lineRule="auto"/>
        <w:ind w:firstLine="480" w:firstLineChars="200"/>
        <w:jc w:val="left"/>
        <w:outlineLvl w:val="9"/>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sz w:val="32"/>
          <w:szCs w:val="32"/>
        </w:rPr>
      </w:pPr>
      <w:bookmarkStart w:id="523" w:name="_Toc25773"/>
      <w:bookmarkStart w:id="524" w:name="_Toc30621"/>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bookmarkStart w:id="525" w:name="_Hlk101259491"/>
      <w:r>
        <w:rPr>
          <w:rFonts w:hint="eastAsia" w:ascii="宋体" w:hAnsi="宋体" w:eastAsia="宋体" w:cs="宋体"/>
          <w:color w:val="auto"/>
          <w:sz w:val="32"/>
          <w:szCs w:val="32"/>
        </w:rPr>
        <w:t>（如果有）</w:t>
      </w:r>
      <w:bookmarkEnd w:id="523"/>
      <w:bookmarkEnd w:id="524"/>
      <w:bookmarkEnd w:id="525"/>
    </w:p>
    <w:p>
      <w:pPr>
        <w:widowControl/>
        <w:kinsoku/>
        <w:wordWrap/>
        <w:overflowPunct/>
        <w:topLinePunct w:val="0"/>
        <w:bidi w:val="0"/>
        <w:spacing w:line="360" w:lineRule="auto"/>
        <w:ind w:firstLine="120" w:firstLineChars="50"/>
        <w:jc w:val="left"/>
        <w:outlineLvl w:val="9"/>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b w:val="0"/>
          <w:color w:val="FF0000"/>
          <w:sz w:val="32"/>
          <w:szCs w:val="32"/>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eepNext w:val="0"/>
        <w:keepLines w:val="0"/>
        <w:pageBreakBefore/>
        <w:widowControl/>
        <w:tabs>
          <w:tab w:val="left" w:pos="432"/>
        </w:tabs>
        <w:kinsoku/>
        <w:wordWrap/>
        <w:overflowPunct/>
        <w:topLinePunct w:val="0"/>
        <w:bidi w:val="0"/>
        <w:spacing w:before="100" w:beforeAutospacing="1" w:after="100" w:afterAutospacing="1" w:line="360" w:lineRule="auto"/>
        <w:jc w:val="center"/>
        <w:outlineLvl w:val="9"/>
        <w:rPr>
          <w:rFonts w:ascii="宋体" w:hAnsi="宋体" w:cs="宋体"/>
          <w:b/>
          <w:bCs/>
        </w:rPr>
      </w:pPr>
      <w:bookmarkStart w:id="526" w:name="_Toc465665161"/>
      <w:r>
        <w:rPr>
          <w:rFonts w:hint="eastAsia" w:ascii="宋体" w:hAnsi="宋体" w:cs="宋体"/>
          <w:b/>
          <w:bCs/>
        </w:rPr>
        <w:t>附件</w:t>
      </w:r>
      <w:bookmarkEnd w:id="526"/>
    </w:p>
    <w:p>
      <w:pPr>
        <w:kinsoku/>
        <w:wordWrap/>
        <w:overflowPunct/>
        <w:topLinePunct w:val="0"/>
        <w:bidi w:val="0"/>
        <w:spacing w:line="360" w:lineRule="auto"/>
        <w:outlineLvl w:val="9"/>
        <w:rPr>
          <w:rFonts w:ascii="宋体" w:hAnsi="宋体" w:cs="宋体"/>
          <w:b/>
          <w:spacing w:val="6"/>
          <w:sz w:val="32"/>
          <w:szCs w:val="32"/>
        </w:rPr>
      </w:pPr>
      <w:r>
        <w:rPr>
          <w:rFonts w:hint="eastAsia" w:ascii="宋体" w:hAnsi="宋体" w:cs="宋体"/>
          <w:b/>
          <w:spacing w:val="6"/>
          <w:sz w:val="32"/>
          <w:szCs w:val="32"/>
        </w:rPr>
        <w:t>附件1：</w:t>
      </w:r>
    </w:p>
    <w:p>
      <w:pPr>
        <w:kinsoku/>
        <w:wordWrap/>
        <w:overflowPunct/>
        <w:topLinePunct w:val="0"/>
        <w:bidi w:val="0"/>
        <w:spacing w:line="360" w:lineRule="auto"/>
        <w:jc w:val="center"/>
        <w:outlineLvl w:val="9"/>
        <w:rPr>
          <w:rFonts w:ascii="宋体" w:hAnsi="宋体" w:cs="宋体"/>
          <w:b/>
          <w:spacing w:val="6"/>
          <w:sz w:val="32"/>
          <w:szCs w:val="32"/>
        </w:rPr>
      </w:pPr>
      <w:bookmarkStart w:id="527" w:name="OLE_LINK14"/>
      <w:bookmarkStart w:id="528" w:name="OLE_LINK13"/>
      <w:r>
        <w:rPr>
          <w:rFonts w:hint="eastAsia" w:ascii="宋体" w:hAnsi="宋体" w:cs="宋体"/>
          <w:b/>
          <w:spacing w:val="6"/>
          <w:sz w:val="32"/>
          <w:szCs w:val="32"/>
        </w:rPr>
        <w:t>残疾人福利性单位声明函</w:t>
      </w:r>
    </w:p>
    <w:bookmarkEnd w:id="527"/>
    <w:bookmarkEnd w:id="528"/>
    <w:p>
      <w:pPr>
        <w:kinsoku/>
        <w:wordWrap/>
        <w:overflowPunct/>
        <w:topLinePunct w:val="0"/>
        <w:bidi w:val="0"/>
        <w:spacing w:line="360" w:lineRule="auto"/>
        <w:outlineLvl w:val="9"/>
        <w:rPr>
          <w:rFonts w:ascii="宋体" w:hAnsi="宋体" w:cs="宋体"/>
          <w:b/>
          <w:spacing w:val="6"/>
          <w:sz w:val="30"/>
          <w:szCs w:val="30"/>
        </w:rPr>
      </w:pPr>
    </w:p>
    <w:p>
      <w:pPr>
        <w:kinsoku/>
        <w:wordWrap/>
        <w:overflowPunct/>
        <w:topLinePunct w:val="0"/>
        <w:bidi w:val="0"/>
        <w:spacing w:line="360" w:lineRule="auto"/>
        <w:ind w:firstLine="480" w:firstLineChars="200"/>
        <w:outlineLvl w:val="9"/>
        <w:rPr>
          <w:rFonts w:ascii="宋体" w:hAnsi="宋体" w:cs="宋体"/>
          <w:sz w:val="24"/>
        </w:rPr>
      </w:pPr>
      <w:r>
        <w:rPr>
          <w:rFonts w:hint="eastAsia" w:ascii="宋体" w:hAnsi="宋体" w:cs="宋体"/>
          <w:sz w:val="24"/>
        </w:rPr>
        <w:t>本单位郑重声明，根据《财政部 民政部 中国残疾人联合会关于促进残疾人就业政府采购政策的</w:t>
      </w:r>
      <w:r>
        <w:rPr>
          <w:rFonts w:hint="eastAsia" w:ascii="宋体" w:hAnsi="宋体" w:cs="宋体"/>
          <w:color w:val="auto"/>
          <w:sz w:val="24"/>
        </w:rPr>
        <w:t>通知》（财库〔2017〕 141号）的规定，本单位为符合条件的残疾人福利性单位，且本单位参加</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w:t>
      </w:r>
      <w:r>
        <w:rPr>
          <w:rFonts w:hint="eastAsia" w:ascii="宋体" w:hAnsi="宋体" w:cs="宋体"/>
          <w:sz w:val="24"/>
        </w:rPr>
        <w:t>造的货物（不包括使用非残疾人福利性单位注册商标的货物）。</w:t>
      </w:r>
    </w:p>
    <w:p>
      <w:pPr>
        <w:kinsoku/>
        <w:wordWrap/>
        <w:overflowPunct/>
        <w:topLinePunct w:val="0"/>
        <w:bidi w:val="0"/>
        <w:spacing w:line="360" w:lineRule="auto"/>
        <w:ind w:firstLine="480" w:firstLineChars="200"/>
        <w:outlineLvl w:val="9"/>
        <w:rPr>
          <w:rFonts w:ascii="宋体" w:hAnsi="宋体" w:cs="宋体"/>
          <w:sz w:val="24"/>
        </w:rPr>
      </w:pPr>
      <w:r>
        <w:rPr>
          <w:rFonts w:hint="eastAsia" w:ascii="宋体" w:hAnsi="宋体" w:cs="宋体"/>
          <w:sz w:val="24"/>
        </w:rPr>
        <w:t>本单位对上述声明的真实性负责。如有虚假，将依法承担相应责任。</w:t>
      </w:r>
    </w:p>
    <w:p>
      <w:pPr>
        <w:kinsoku/>
        <w:wordWrap/>
        <w:overflowPunct/>
        <w:topLinePunct w:val="0"/>
        <w:bidi w:val="0"/>
        <w:spacing w:line="360" w:lineRule="auto"/>
        <w:ind w:firstLine="480" w:firstLineChars="200"/>
        <w:outlineLvl w:val="9"/>
        <w:rPr>
          <w:rFonts w:ascii="宋体" w:hAnsi="宋体" w:cs="宋体"/>
          <w:sz w:val="24"/>
        </w:rPr>
      </w:pPr>
    </w:p>
    <w:p>
      <w:pPr>
        <w:kinsoku/>
        <w:wordWrap/>
        <w:overflowPunct/>
        <w:topLinePunct w:val="0"/>
        <w:bidi w:val="0"/>
        <w:spacing w:line="360" w:lineRule="auto"/>
        <w:ind w:firstLine="480" w:firstLineChars="200"/>
        <w:outlineLvl w:val="9"/>
        <w:rPr>
          <w:rFonts w:ascii="宋体" w:hAnsi="宋体" w:cs="宋体"/>
          <w:sz w:val="24"/>
        </w:rPr>
      </w:pPr>
    </w:p>
    <w:p>
      <w:pPr>
        <w:tabs>
          <w:tab w:val="left" w:pos="4860"/>
        </w:tabs>
        <w:kinsoku/>
        <w:wordWrap/>
        <w:overflowPunct/>
        <w:topLinePunct w:val="0"/>
        <w:bidi w:val="0"/>
        <w:spacing w:line="360" w:lineRule="auto"/>
        <w:ind w:right="1560" w:firstLine="480" w:firstLineChars="200"/>
        <w:jc w:val="center"/>
        <w:outlineLvl w:val="9"/>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供应商名称（电子签名）</w:t>
      </w:r>
      <w:r>
        <w:rPr>
          <w:rFonts w:hint="eastAsia" w:ascii="宋体" w:hAnsi="宋体" w:cs="宋体"/>
          <w:sz w:val="24"/>
        </w:rPr>
        <w:t>：</w:t>
      </w:r>
    </w:p>
    <w:p>
      <w:pPr>
        <w:tabs>
          <w:tab w:val="left" w:pos="4860"/>
        </w:tabs>
        <w:kinsoku/>
        <w:wordWrap/>
        <w:overflowPunct/>
        <w:topLinePunct w:val="0"/>
        <w:bidi w:val="0"/>
        <w:spacing w:line="360" w:lineRule="auto"/>
        <w:ind w:right="1560" w:firstLine="480" w:firstLineChars="200"/>
        <w:jc w:val="center"/>
        <w:outlineLvl w:val="9"/>
        <w:rPr>
          <w:rFonts w:ascii="宋体" w:hAnsi="宋体" w:cs="宋体"/>
          <w:sz w:val="24"/>
        </w:rPr>
      </w:pPr>
      <w:r>
        <w:rPr>
          <w:rFonts w:hint="eastAsia" w:ascii="宋体" w:hAnsi="宋体" w:cs="宋体"/>
          <w:sz w:val="24"/>
        </w:rPr>
        <w:t xml:space="preserve">       日  期：</w:t>
      </w:r>
    </w:p>
    <w:p>
      <w:pPr>
        <w:kinsoku/>
        <w:wordWrap/>
        <w:overflowPunct/>
        <w:topLinePunct w:val="0"/>
        <w:bidi w:val="0"/>
        <w:spacing w:line="360" w:lineRule="auto"/>
        <w:ind w:firstLine="480" w:firstLineChars="200"/>
        <w:outlineLvl w:val="9"/>
        <w:rPr>
          <w:rFonts w:ascii="宋体" w:hAnsi="宋体" w:cs="宋体"/>
          <w:sz w:val="24"/>
        </w:rPr>
      </w:pPr>
    </w:p>
    <w:p>
      <w:pPr>
        <w:kinsoku/>
        <w:wordWrap/>
        <w:overflowPunct/>
        <w:topLinePunct w:val="0"/>
        <w:bidi w:val="0"/>
        <w:spacing w:line="360" w:lineRule="auto"/>
        <w:ind w:firstLine="420" w:firstLineChars="200"/>
        <w:outlineLvl w:val="9"/>
        <w:rPr>
          <w:rFonts w:ascii="宋体" w:hAnsi="宋体" w:cs="宋体"/>
        </w:rPr>
      </w:pPr>
    </w:p>
    <w:p>
      <w:pPr>
        <w:kinsoku/>
        <w:wordWrap/>
        <w:overflowPunct/>
        <w:topLinePunct w:val="0"/>
        <w:bidi w:val="0"/>
        <w:spacing w:line="360" w:lineRule="auto"/>
        <w:ind w:firstLine="420" w:firstLineChars="200"/>
        <w:outlineLvl w:val="9"/>
        <w:rPr>
          <w:rFonts w:ascii="宋体" w:hAnsi="宋体" w:cs="宋体"/>
        </w:rPr>
      </w:pPr>
    </w:p>
    <w:p>
      <w:pPr>
        <w:kinsoku/>
        <w:wordWrap/>
        <w:overflowPunct/>
        <w:topLinePunct w:val="0"/>
        <w:bidi w:val="0"/>
        <w:spacing w:line="360" w:lineRule="auto"/>
        <w:ind w:firstLine="420" w:firstLineChars="200"/>
        <w:outlineLvl w:val="9"/>
        <w:rPr>
          <w:rFonts w:ascii="宋体" w:hAnsi="宋体" w:cs="宋体"/>
        </w:rPr>
      </w:pPr>
    </w:p>
    <w:p>
      <w:pPr>
        <w:kinsoku/>
        <w:wordWrap/>
        <w:overflowPunct/>
        <w:topLinePunct w:val="0"/>
        <w:bidi w:val="0"/>
        <w:spacing w:line="360" w:lineRule="auto"/>
        <w:ind w:firstLine="420" w:firstLineChars="200"/>
        <w:outlineLvl w:val="9"/>
        <w:rPr>
          <w:rFonts w:ascii="宋体" w:hAnsi="宋体" w:cs="宋体"/>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jc w:val="left"/>
        <w:outlineLvl w:val="9"/>
        <w:rPr>
          <w:rFonts w:hint="eastAsia" w:ascii="宋体" w:hAnsi="宋体" w:cs="宋体"/>
          <w:b/>
          <w:spacing w:val="6"/>
          <w:sz w:val="32"/>
          <w:szCs w:val="32"/>
        </w:rPr>
      </w:pPr>
    </w:p>
    <w:p>
      <w:pPr>
        <w:kinsoku/>
        <w:wordWrap/>
        <w:overflowPunct/>
        <w:topLinePunct w:val="0"/>
        <w:bidi w:val="0"/>
        <w:spacing w:line="360" w:lineRule="auto"/>
        <w:jc w:val="left"/>
        <w:outlineLvl w:val="9"/>
        <w:rPr>
          <w:rFonts w:ascii="宋体" w:hAnsi="宋体" w:cs="宋体"/>
          <w:b/>
          <w:spacing w:val="6"/>
          <w:sz w:val="32"/>
          <w:szCs w:val="32"/>
        </w:rPr>
      </w:pPr>
      <w:r>
        <w:rPr>
          <w:rFonts w:hint="eastAsia" w:ascii="宋体" w:hAnsi="宋体" w:cs="宋体"/>
          <w:b/>
          <w:spacing w:val="6"/>
          <w:sz w:val="32"/>
          <w:szCs w:val="32"/>
        </w:rPr>
        <w:t>附件2：质疑函范本及制作说明</w:t>
      </w:r>
    </w:p>
    <w:p>
      <w:pPr>
        <w:kinsoku/>
        <w:wordWrap/>
        <w:overflowPunct/>
        <w:topLinePunct w:val="0"/>
        <w:bidi w:val="0"/>
        <w:spacing w:line="360" w:lineRule="auto"/>
        <w:jc w:val="center"/>
        <w:outlineLvl w:val="9"/>
        <w:rPr>
          <w:rFonts w:ascii="宋体" w:hAnsi="宋体" w:cs="宋体"/>
          <w:b/>
          <w:spacing w:val="6"/>
          <w:sz w:val="32"/>
          <w:szCs w:val="32"/>
        </w:rPr>
      </w:pPr>
      <w:r>
        <w:rPr>
          <w:rFonts w:hint="eastAsia" w:ascii="宋体" w:hAnsi="宋体" w:cs="宋体"/>
          <w:b/>
          <w:spacing w:val="6"/>
          <w:sz w:val="32"/>
          <w:szCs w:val="32"/>
        </w:rPr>
        <w:t>质疑函范本</w:t>
      </w:r>
    </w:p>
    <w:p>
      <w:pPr>
        <w:kinsoku/>
        <w:wordWrap/>
        <w:overflowPunct/>
        <w:topLinePunct w:val="0"/>
        <w:bidi w:val="0"/>
        <w:snapToGrid w:val="0"/>
        <w:spacing w:before="240" w:beforeLines="100" w:line="360" w:lineRule="auto"/>
        <w:outlineLvl w:val="9"/>
        <w:rPr>
          <w:rFonts w:ascii="宋体" w:hAnsi="宋体" w:cs="宋体"/>
          <w:bCs/>
          <w:sz w:val="24"/>
        </w:rPr>
      </w:pPr>
      <w:r>
        <w:rPr>
          <w:rFonts w:hint="eastAsia" w:ascii="宋体" w:hAnsi="宋体" w:cs="宋体"/>
          <w:bCs/>
          <w:sz w:val="24"/>
        </w:rPr>
        <w:t>一、质疑供应商基本信息</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bCs/>
          <w:sz w:val="24"/>
        </w:rPr>
      </w:pPr>
      <w:r>
        <w:rPr>
          <w:rFonts w:hint="eastAsia" w:ascii="宋体" w:hAnsi="宋体" w:cs="宋体"/>
          <w:bCs/>
          <w:sz w:val="24"/>
        </w:rPr>
        <w:t>二、质疑项目基本情况</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lang w:eastAsia="zh-CN"/>
        </w:rPr>
        <w:t>招标文件</w:t>
      </w:r>
      <w:r>
        <w:rPr>
          <w:rFonts w:hint="eastAsia" w:ascii="宋体" w:hAnsi="宋体" w:cs="宋体"/>
          <w:sz w:val="24"/>
        </w:rPr>
        <w:t>获取日期：</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bCs/>
          <w:sz w:val="24"/>
        </w:rPr>
      </w:pPr>
      <w:r>
        <w:rPr>
          <w:rFonts w:hint="eastAsia" w:ascii="宋体" w:hAnsi="宋体" w:cs="宋体"/>
          <w:bCs/>
          <w:sz w:val="24"/>
        </w:rPr>
        <w:t>三、质疑事项具体内容</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质疑事项2</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w:t>
      </w:r>
    </w:p>
    <w:p>
      <w:pPr>
        <w:kinsoku/>
        <w:wordWrap/>
        <w:overflowPunct/>
        <w:topLinePunct w:val="0"/>
        <w:bidi w:val="0"/>
        <w:snapToGrid w:val="0"/>
        <w:spacing w:line="360" w:lineRule="auto"/>
        <w:outlineLvl w:val="9"/>
        <w:rPr>
          <w:rFonts w:ascii="宋体" w:hAnsi="宋体" w:cs="宋体"/>
          <w:bCs/>
          <w:sz w:val="24"/>
        </w:rPr>
      </w:pPr>
      <w:r>
        <w:rPr>
          <w:rFonts w:hint="eastAsia" w:ascii="宋体" w:hAnsi="宋体" w:cs="宋体"/>
          <w:bCs/>
          <w:sz w:val="24"/>
        </w:rPr>
        <w:t>四、与质疑事项相关的质疑请求</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 xml:space="preserve">签字(签章)：                   公章：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 xml:space="preserve">日期：    </w:t>
      </w:r>
    </w:p>
    <w:p>
      <w:pPr>
        <w:kinsoku/>
        <w:wordWrap/>
        <w:overflowPunct/>
        <w:topLinePunct w:val="0"/>
        <w:bidi w:val="0"/>
        <w:spacing w:line="360" w:lineRule="auto"/>
        <w:jc w:val="center"/>
        <w:outlineLvl w:val="9"/>
        <w:rPr>
          <w:rFonts w:ascii="宋体" w:hAnsi="宋体" w:cs="宋体"/>
          <w:b/>
          <w:bCs/>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r>
        <w:rPr>
          <w:rFonts w:hint="eastAsia" w:ascii="宋体" w:hAnsi="宋体" w:cs="宋体"/>
          <w:b/>
          <w:sz w:val="24"/>
        </w:rPr>
        <w:t>质疑函制作说明：</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1.供应商提出质疑时，应提交质疑函和必要的证明材料。</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4.质疑函的质疑事项应具体、明确，并有必要的事实依据和法律依据。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5.质疑函的质疑请求应与质疑事项相关。</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outlineLvl w:val="9"/>
        <w:rPr>
          <w:rFonts w:ascii="宋体" w:hAnsi="宋体" w:cs="宋体"/>
          <w:sz w:val="30"/>
          <w:szCs w:val="30"/>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left"/>
        <w:outlineLvl w:val="9"/>
        <w:rPr>
          <w:rFonts w:ascii="宋体" w:hAnsi="宋体" w:cs="宋体"/>
          <w:b/>
          <w:spacing w:val="6"/>
          <w:sz w:val="32"/>
          <w:szCs w:val="32"/>
        </w:rPr>
      </w:pPr>
    </w:p>
    <w:p>
      <w:pPr>
        <w:kinsoku/>
        <w:wordWrap/>
        <w:overflowPunct/>
        <w:topLinePunct w:val="0"/>
        <w:bidi w:val="0"/>
        <w:spacing w:line="360" w:lineRule="auto"/>
        <w:jc w:val="left"/>
        <w:outlineLvl w:val="9"/>
        <w:rPr>
          <w:rFonts w:ascii="宋体" w:hAnsi="宋体" w:cs="宋体"/>
          <w:b/>
          <w:spacing w:val="6"/>
          <w:sz w:val="32"/>
          <w:szCs w:val="32"/>
        </w:rPr>
      </w:pPr>
    </w:p>
    <w:p>
      <w:pPr>
        <w:kinsoku/>
        <w:wordWrap/>
        <w:overflowPunct/>
        <w:topLinePunct w:val="0"/>
        <w:bidi w:val="0"/>
        <w:spacing w:line="360" w:lineRule="auto"/>
        <w:jc w:val="left"/>
        <w:outlineLvl w:val="9"/>
        <w:rPr>
          <w:rFonts w:ascii="宋体" w:hAnsi="宋体" w:cs="宋体"/>
          <w:b/>
          <w:spacing w:val="6"/>
          <w:sz w:val="32"/>
          <w:szCs w:val="32"/>
        </w:rPr>
      </w:pPr>
      <w:r>
        <w:rPr>
          <w:rFonts w:hint="eastAsia" w:ascii="宋体" w:hAnsi="宋体" w:cs="宋体"/>
          <w:b/>
          <w:spacing w:val="6"/>
          <w:sz w:val="32"/>
          <w:szCs w:val="32"/>
        </w:rPr>
        <w:t>附件3：投诉书范本及制作说明</w:t>
      </w:r>
    </w:p>
    <w:p>
      <w:pPr>
        <w:kinsoku/>
        <w:wordWrap/>
        <w:overflowPunct/>
        <w:topLinePunct w:val="0"/>
        <w:bidi w:val="0"/>
        <w:spacing w:line="360" w:lineRule="auto"/>
        <w:jc w:val="center"/>
        <w:outlineLvl w:val="9"/>
        <w:rPr>
          <w:rFonts w:ascii="宋体" w:hAnsi="宋体" w:cs="宋体"/>
          <w:b/>
          <w:sz w:val="24"/>
        </w:rPr>
      </w:pPr>
    </w:p>
    <w:p>
      <w:pPr>
        <w:kinsoku/>
        <w:wordWrap/>
        <w:overflowPunct/>
        <w:topLinePunct w:val="0"/>
        <w:bidi w:val="0"/>
        <w:spacing w:line="360" w:lineRule="auto"/>
        <w:jc w:val="center"/>
        <w:outlineLvl w:val="9"/>
        <w:rPr>
          <w:rFonts w:ascii="宋体" w:hAnsi="宋体" w:cs="宋体"/>
          <w:b/>
          <w:spacing w:val="6"/>
          <w:sz w:val="32"/>
          <w:szCs w:val="32"/>
        </w:rPr>
      </w:pPr>
      <w:r>
        <w:rPr>
          <w:rFonts w:hint="eastAsia" w:ascii="宋体" w:hAnsi="宋体" w:cs="宋体"/>
          <w:b/>
          <w:spacing w:val="6"/>
          <w:sz w:val="32"/>
          <w:szCs w:val="32"/>
        </w:rPr>
        <w:t>投诉书范本</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一、投诉相关主体基本情况</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kinsoku/>
        <w:wordWrap/>
        <w:overflowPunct/>
        <w:topLinePunct w:val="0"/>
        <w:bidi w:val="0"/>
        <w:spacing w:line="360" w:lineRule="auto"/>
        <w:jc w:val="left"/>
        <w:outlineLvl w:val="9"/>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被投诉人2</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二、投诉项目基本情况</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lang w:eastAsia="zh-CN"/>
        </w:rPr>
        <w:t>招标文件</w:t>
      </w:r>
      <w:r>
        <w:rPr>
          <w:rFonts w:hint="eastAsia" w:ascii="宋体" w:hAnsi="宋体" w:cs="宋体"/>
          <w:sz w:val="24"/>
        </w:rPr>
        <w:t>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三、质疑基本情况</w:t>
      </w:r>
    </w:p>
    <w:p>
      <w:pPr>
        <w:kinsoku/>
        <w:wordWrap/>
        <w:overflowPunct/>
        <w:topLinePunct w:val="0"/>
        <w:bidi w:val="0"/>
        <w:spacing w:line="360" w:lineRule="auto"/>
        <w:ind w:firstLine="480" w:firstLineChars="200"/>
        <w:outlineLvl w:val="9"/>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kinsoku/>
        <w:wordWrap/>
        <w:overflowPunct/>
        <w:topLinePunct w:val="0"/>
        <w:bidi w:val="0"/>
        <w:spacing w:line="360" w:lineRule="auto"/>
        <w:ind w:firstLine="360" w:firstLineChars="150"/>
        <w:outlineLvl w:val="9"/>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四、投诉事项具体内容</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投诉事项2</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五、与投诉事项相关的投诉请求</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 xml:space="preserve">签字(签章)：                   公章：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 xml:space="preserve">日期：    </w:t>
      </w: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r>
        <w:rPr>
          <w:rFonts w:hint="eastAsia" w:ascii="宋体" w:hAnsi="宋体" w:cs="宋体"/>
          <w:b/>
          <w:sz w:val="24"/>
        </w:rPr>
        <w:t>投诉书制作说明：</w:t>
      </w:r>
    </w:p>
    <w:p>
      <w:pPr>
        <w:widowControl/>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outlineLvl w:val="9"/>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3.投诉人若对项目的某一分包进行投诉，投诉书应列明具体分包号。</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4.投诉书应简要列明质疑事项，质疑函、质疑答复等作为附件材料提供。</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5.投诉书的投诉事项应具体、明确，并有必要的事实依据和法律依据。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6.投诉书的投诉请求应与投诉事项相关。</w:t>
      </w:r>
    </w:p>
    <w:p>
      <w:pPr>
        <w:widowControl/>
        <w:kinsoku/>
        <w:wordWrap/>
        <w:overflowPunct/>
        <w:topLinePunct w:val="0"/>
        <w:bidi w:val="0"/>
        <w:spacing w:line="360" w:lineRule="auto"/>
        <w:ind w:firstLine="480" w:firstLineChars="200"/>
        <w:jc w:val="left"/>
        <w:outlineLvl w:val="9"/>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spacing w:line="360" w:lineRule="auto"/>
        <w:outlineLvl w:val="9"/>
        <w:rPr>
          <w:rFonts w:ascii="宋体" w:hAnsi="宋体" w:cs="宋体"/>
          <w:b/>
          <w:sz w:val="24"/>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kinsoku/>
        <w:wordWrap/>
        <w:overflowPunct/>
        <w:topLinePunct w:val="0"/>
        <w:bidi w:val="0"/>
        <w:spacing w:line="360" w:lineRule="auto"/>
        <w:outlineLvl w:val="9"/>
        <w:rPr>
          <w:rFonts w:ascii="宋体" w:hAnsi="宋体" w:cs="宋体"/>
          <w:color w:val="0000FF"/>
          <w:sz w:val="24"/>
          <w:u w:val="single"/>
        </w:rPr>
      </w:pPr>
    </w:p>
    <w:p>
      <w:pPr>
        <w:kinsoku/>
        <w:wordWrap/>
        <w:overflowPunct/>
        <w:topLinePunct w:val="0"/>
        <w:bidi w:val="0"/>
        <w:spacing w:line="360" w:lineRule="auto"/>
        <w:outlineLvl w:val="9"/>
        <w:rPr>
          <w:rFonts w:ascii="宋体" w:hAnsi="宋体" w:cs="宋体"/>
          <w:color w:val="auto"/>
          <w:sz w:val="24"/>
        </w:rPr>
      </w:pPr>
      <w:r>
        <w:rPr>
          <w:rFonts w:hint="eastAsia" w:ascii="宋体" w:hAnsi="宋体" w:cs="宋体"/>
          <w:color w:val="auto"/>
          <w:sz w:val="24"/>
          <w:u w:val="single"/>
        </w:rPr>
        <w:t>（采购人）、（采购代理机构）：</w:t>
      </w:r>
    </w:p>
    <w:p>
      <w:pPr>
        <w:kinsoku/>
        <w:wordWrap/>
        <w:overflowPunct/>
        <w:topLinePunct w:val="0"/>
        <w:bidi w:val="0"/>
        <w:spacing w:line="360" w:lineRule="auto"/>
        <w:ind w:firstLine="480" w:firstLineChars="200"/>
        <w:outlineLvl w:val="9"/>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w:t>
      </w:r>
      <w:r>
        <w:rPr>
          <w:rFonts w:hint="eastAsia" w:ascii="宋体" w:hAnsi="宋体" w:cs="宋体"/>
          <w:color w:val="auto"/>
          <w:sz w:val="24"/>
          <w:lang w:eastAsia="zh-CN"/>
        </w:rPr>
        <w:t>供应商</w:t>
      </w:r>
      <w:r>
        <w:rPr>
          <w:rFonts w:hint="eastAsia" w:ascii="宋体" w:hAnsi="宋体" w:cs="宋体"/>
          <w:color w:val="auto"/>
          <w:sz w:val="24"/>
        </w:rPr>
        <w:t>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kinsoku/>
        <w:wordWrap/>
        <w:overflowPunct/>
        <w:topLinePunct w:val="0"/>
        <w:bidi w:val="0"/>
        <w:spacing w:line="360" w:lineRule="auto"/>
        <w:ind w:firstLine="480" w:firstLineChars="200"/>
        <w:outlineLvl w:val="9"/>
        <w:rPr>
          <w:rFonts w:ascii="宋体" w:hAnsi="宋体" w:cs="宋体"/>
          <w:sz w:val="24"/>
        </w:rPr>
      </w:pPr>
      <w:r>
        <w:rPr>
          <w:rFonts w:hint="eastAsia" w:ascii="宋体" w:hAnsi="宋体" w:cs="宋体"/>
          <w:sz w:val="24"/>
        </w:rPr>
        <w:t>特此说明。</w:t>
      </w:r>
    </w:p>
    <w:p>
      <w:pPr>
        <w:kinsoku/>
        <w:wordWrap/>
        <w:overflowPunct/>
        <w:topLinePunct w:val="0"/>
        <w:bidi w:val="0"/>
        <w:spacing w:line="360" w:lineRule="auto"/>
        <w:ind w:firstLine="494"/>
        <w:outlineLvl w:val="9"/>
        <w:rPr>
          <w:rFonts w:ascii="宋体" w:hAnsi="宋体" w:cs="宋体"/>
          <w:sz w:val="24"/>
        </w:rPr>
      </w:pPr>
    </w:p>
    <w:p>
      <w:pPr>
        <w:kinsoku/>
        <w:wordWrap/>
        <w:overflowPunct/>
        <w:topLinePunct w:val="0"/>
        <w:bidi w:val="0"/>
        <w:spacing w:line="360" w:lineRule="auto"/>
        <w:ind w:firstLine="494"/>
        <w:outlineLvl w:val="9"/>
        <w:rPr>
          <w:rFonts w:ascii="宋体" w:hAnsi="宋体" w:cs="宋体"/>
          <w:sz w:val="24"/>
        </w:rPr>
      </w:pPr>
    </w:p>
    <w:p>
      <w:pPr>
        <w:kinsoku/>
        <w:wordWrap/>
        <w:overflowPunct/>
        <w:topLinePunct w:val="0"/>
        <w:bidi w:val="0"/>
        <w:spacing w:line="360" w:lineRule="auto"/>
        <w:ind w:firstLine="494"/>
        <w:outlineLvl w:val="9"/>
        <w:rPr>
          <w:rFonts w:ascii="宋体" w:hAnsi="宋体" w:cs="宋体"/>
          <w:sz w:val="24"/>
        </w:rPr>
      </w:pPr>
    </w:p>
    <w:p>
      <w:pPr>
        <w:kinsoku/>
        <w:wordWrap/>
        <w:overflowPunct/>
        <w:topLinePunct w:val="0"/>
        <w:bidi w:val="0"/>
        <w:spacing w:line="360" w:lineRule="auto"/>
        <w:ind w:right="480" w:firstLine="4080" w:firstLineChars="1700"/>
        <w:outlineLvl w:val="9"/>
        <w:rPr>
          <w:rFonts w:ascii="宋体" w:hAnsi="宋体" w:cs="宋体"/>
          <w:sz w:val="24"/>
        </w:rPr>
      </w:pPr>
      <w:r>
        <w:rPr>
          <w:rFonts w:hint="eastAsia" w:ascii="宋体" w:hAnsi="宋体" w:cs="宋体"/>
          <w:sz w:val="24"/>
        </w:rPr>
        <w:t>投标单位（法定名称章）：</w:t>
      </w:r>
    </w:p>
    <w:p>
      <w:pPr>
        <w:kinsoku/>
        <w:wordWrap/>
        <w:overflowPunct/>
        <w:topLinePunct w:val="0"/>
        <w:bidi w:val="0"/>
        <w:ind w:right="1440" w:firstLine="494"/>
        <w:jc w:val="center"/>
        <w:outlineLvl w:val="9"/>
        <w:rPr>
          <w:rFonts w:ascii="宋体" w:hAnsi="宋体" w:cs="宋体"/>
          <w:sz w:val="24"/>
        </w:rPr>
      </w:pPr>
      <w:r>
        <w:rPr>
          <w:rFonts w:hint="eastAsia" w:ascii="宋体" w:hAnsi="宋体" w:cs="宋体"/>
          <w:sz w:val="24"/>
        </w:rPr>
        <w:t xml:space="preserve">                              日期：       年     月     日</w:t>
      </w:r>
    </w:p>
    <w:p>
      <w:pPr>
        <w:kinsoku/>
        <w:wordWrap/>
        <w:overflowPunct/>
        <w:topLinePunct w:val="0"/>
        <w:bidi w:val="0"/>
        <w:outlineLvl w:val="9"/>
        <w:rPr>
          <w:rFonts w:ascii="宋体" w:hAnsi="宋体" w:cs="宋体"/>
          <w:sz w:val="24"/>
        </w:rPr>
      </w:pPr>
      <w:r>
        <w:rPr>
          <w:rFonts w:hint="eastAsia" w:ascii="宋体" w:hAnsi="宋体" w:cs="宋体"/>
          <w:b/>
          <w:bCs/>
          <w:sz w:val="24"/>
        </w:rPr>
        <w:t>附：</w:t>
      </w:r>
    </w:p>
    <w:p>
      <w:pPr>
        <w:kinsoku/>
        <w:wordWrap/>
        <w:overflowPunct/>
        <w:topLinePunct w:val="0"/>
        <w:bidi w:val="0"/>
        <w:spacing w:line="360" w:lineRule="auto"/>
        <w:outlineLvl w:val="9"/>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bidi w:val="0"/>
        <w:snapToGrid w:val="0"/>
        <w:spacing w:line="360" w:lineRule="auto"/>
        <w:jc w:val="center"/>
        <w:outlineLvl w:val="9"/>
        <w:rPr>
          <w:rFonts w:hint="eastAsia" w:ascii="宋体" w:hAnsi="宋体" w:cs="宋体"/>
          <w:b/>
          <w:kern w:val="0"/>
          <w:sz w:val="32"/>
          <w:szCs w:val="32"/>
        </w:rPr>
      </w:pPr>
    </w:p>
    <w:p>
      <w:pPr>
        <w:kinsoku/>
        <w:wordWrap/>
        <w:overflowPunct/>
        <w:topLinePunct w:val="0"/>
        <w:bidi w:val="0"/>
        <w:snapToGrid w:val="0"/>
        <w:spacing w:line="360" w:lineRule="auto"/>
        <w:jc w:val="center"/>
        <w:outlineLvl w:val="9"/>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outlineLvl w:val="9"/>
        <w:rPr>
          <w:rFonts w:ascii="宋体" w:hAnsi="宋体" w:cs="宋体"/>
          <w:b/>
          <w:color w:val="auto"/>
          <w:sz w:val="24"/>
        </w:rPr>
      </w:pPr>
      <w:r>
        <w:rPr>
          <w:rFonts w:hint="eastAsia" w:ascii="宋体" w:hAnsi="宋体" w:cs="宋体"/>
          <w:b/>
          <w:color w:val="auto"/>
          <w:sz w:val="24"/>
        </w:rPr>
        <w:t>（以联合体形式投标的，提供联合协议；本项目不接受联合体投标或者</w:t>
      </w:r>
      <w:r>
        <w:rPr>
          <w:rFonts w:hint="eastAsia" w:ascii="宋体" w:hAnsi="宋体" w:cs="宋体"/>
          <w:b/>
          <w:color w:val="auto"/>
          <w:sz w:val="24"/>
          <w:lang w:eastAsia="zh-CN"/>
        </w:rPr>
        <w:t>供应商</w:t>
      </w:r>
      <w:r>
        <w:rPr>
          <w:rFonts w:hint="eastAsia" w:ascii="宋体" w:hAnsi="宋体" w:cs="宋体"/>
          <w:b/>
          <w:color w:val="auto"/>
          <w:sz w:val="24"/>
        </w:rPr>
        <w:t>不以联合体形式投标的，则不需要提供）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组成一个联合体，以一个供应商的身份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w:t>
      </w:r>
      <w:r>
        <w:rPr>
          <w:rFonts w:hint="eastAsia" w:ascii="宋体" w:hAnsi="宋体" w:cs="宋体"/>
          <w:sz w:val="24"/>
        </w:rPr>
        <w:t>表所有联合体成员负责投标和合同实施阶段的主办、协调工作</w:t>
      </w: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三、本次联合投标中，分工如下：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bookmarkStart w:id="529"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w:t>
      </w:r>
    </w:p>
    <w:bookmarkEnd w:id="529"/>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kern w:val="0"/>
          <w:sz w:val="24"/>
          <w:lang w:val="zh-CN"/>
        </w:rPr>
      </w:pPr>
      <w:r>
        <w:rPr>
          <w:rFonts w:hint="eastAsia" w:ascii="宋体" w:hAnsi="宋体" w:cs="宋体"/>
          <w:kern w:val="0"/>
          <w:sz w:val="24"/>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kern w:val="0"/>
          <w:sz w:val="24"/>
          <w:lang w:val="zh-CN"/>
        </w:rPr>
      </w:pPr>
      <w:r>
        <w:rPr>
          <w:rFonts w:hint="eastAsia" w:ascii="宋体" w:hAnsi="宋体" w:cs="宋体"/>
          <w:kern w:val="0"/>
          <w:sz w:val="24"/>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right="960"/>
        <w:jc w:val="center"/>
        <w:textAlignment w:val="auto"/>
        <w:outlineLvl w:val="9"/>
        <w:rPr>
          <w:rFonts w:ascii="宋体" w:hAnsi="宋体" w:cs="宋体"/>
          <w:kern w:val="0"/>
          <w:sz w:val="24"/>
          <w:lang w:val="zh-CN"/>
        </w:rPr>
      </w:pPr>
      <w:r>
        <w:rPr>
          <w:rFonts w:hint="eastAsia" w:ascii="宋体" w:hAnsi="宋体" w:cs="宋体"/>
          <w:kern w:val="0"/>
          <w:sz w:val="24"/>
          <w:lang w:val="zh-CN"/>
        </w:rPr>
        <w:t xml:space="preserve">                   ……</w:t>
      </w:r>
    </w:p>
    <w:p>
      <w:pPr>
        <w:keepNext w:val="0"/>
        <w:keepLines w:val="0"/>
        <w:pageBreakBefore w:val="0"/>
        <w:kinsoku/>
        <w:wordWrap/>
        <w:overflowPunct/>
        <w:topLinePunct w:val="0"/>
        <w:autoSpaceDE/>
        <w:autoSpaceDN/>
        <w:bidi w:val="0"/>
        <w:adjustRightInd w:val="0"/>
        <w:snapToGrid w:val="0"/>
        <w:spacing w:line="288" w:lineRule="auto"/>
        <w:jc w:val="right"/>
        <w:textAlignment w:val="auto"/>
        <w:outlineLvl w:val="9"/>
        <w:rPr>
          <w:rFonts w:ascii="宋体" w:hAnsi="宋体" w:cs="宋体"/>
          <w:kern w:val="0"/>
          <w:sz w:val="24"/>
          <w:lang w:val="zh-CN"/>
        </w:rPr>
      </w:pPr>
      <w:r>
        <w:rPr>
          <w:rFonts w:hint="eastAsia" w:ascii="宋体" w:hAnsi="宋体" w:cs="宋体"/>
          <w:kern w:val="0"/>
          <w:sz w:val="24"/>
          <w:lang w:val="zh-CN"/>
        </w:rPr>
        <w:t>日期：  年  月   日</w:t>
      </w:r>
    </w:p>
    <w:p>
      <w:pPr>
        <w:kinsoku/>
        <w:wordWrap/>
        <w:overflowPunct/>
        <w:topLinePunct w:val="0"/>
        <w:bidi w:val="0"/>
        <w:snapToGrid w:val="0"/>
        <w:spacing w:line="360" w:lineRule="auto"/>
        <w:jc w:val="both"/>
        <w:outlineLvl w:val="9"/>
        <w:rPr>
          <w:rFonts w:hint="eastAsia" w:ascii="宋体" w:hAnsi="宋体" w:cs="宋体"/>
          <w:sz w:val="24"/>
        </w:rPr>
      </w:pPr>
      <w:r>
        <w:rPr>
          <w:rFonts w:hint="eastAsia" w:ascii="宋体" w:hAnsi="宋体" w:cs="宋体"/>
          <w:sz w:val="24"/>
        </w:rPr>
        <w:t>注：按本格式和要求提供。</w:t>
      </w:r>
    </w:p>
    <w:p>
      <w:pPr>
        <w:kinsoku/>
        <w:wordWrap/>
        <w:overflowPunct/>
        <w:topLinePunct w:val="0"/>
        <w:bidi w:val="0"/>
        <w:outlineLvl w:val="9"/>
        <w:rPr>
          <w:rFonts w:hint="eastAsia" w:ascii="宋体" w:hAnsi="宋体" w:cs="宋体"/>
          <w:sz w:val="24"/>
        </w:rPr>
      </w:pPr>
      <w:r>
        <w:rPr>
          <w:rFonts w:hint="eastAsia" w:ascii="宋体" w:hAnsi="宋体" w:cs="宋体"/>
          <w:sz w:val="24"/>
        </w:rPr>
        <w:br w:type="page"/>
      </w:r>
    </w:p>
    <w:p>
      <w:pPr>
        <w:pageBreakBefore w:val="0"/>
        <w:kinsoku/>
        <w:wordWrap/>
        <w:overflowPunct/>
        <w:topLinePunct w:val="0"/>
        <w:autoSpaceDE/>
        <w:autoSpaceDN/>
        <w:bidi w:val="0"/>
        <w:snapToGrid w:val="0"/>
        <w:spacing w:line="312" w:lineRule="auto"/>
        <w:jc w:val="center"/>
        <w:textAlignment w:val="auto"/>
        <w:outlineLvl w:val="9"/>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6</w:t>
      </w:r>
      <w:r>
        <w:rPr>
          <w:rFonts w:hint="eastAsia" w:ascii="宋体" w:hAnsi="宋体" w:cs="宋体"/>
          <w:b/>
          <w:color w:val="auto"/>
          <w:kern w:val="0"/>
          <w:sz w:val="32"/>
          <w:szCs w:val="32"/>
        </w:rPr>
        <w:t>：分包意向协议</w:t>
      </w:r>
    </w:p>
    <w:p>
      <w:pPr>
        <w:pageBreakBefore w:val="0"/>
        <w:widowControl/>
        <w:kinsoku/>
        <w:wordWrap/>
        <w:overflowPunct/>
        <w:topLinePunct w:val="0"/>
        <w:autoSpaceDE/>
        <w:autoSpaceDN/>
        <w:bidi w:val="0"/>
        <w:spacing w:line="312" w:lineRule="auto"/>
        <w:ind w:firstLine="120" w:firstLineChars="50"/>
        <w:jc w:val="left"/>
        <w:textAlignment w:val="auto"/>
        <w:outlineLvl w:val="9"/>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w:t>
      </w:r>
      <w:r>
        <w:rPr>
          <w:rFonts w:hint="eastAsia" w:ascii="宋体" w:hAnsi="宋体" w:cs="宋体"/>
          <w:b/>
          <w:color w:val="auto"/>
          <w:sz w:val="24"/>
          <w:lang w:eastAsia="zh-CN"/>
        </w:rPr>
        <w:t>供应商</w:t>
      </w:r>
      <w:r>
        <w:rPr>
          <w:rFonts w:hint="eastAsia" w:ascii="宋体" w:hAnsi="宋体" w:cs="宋体"/>
          <w:b/>
          <w:color w:val="auto"/>
          <w:sz w:val="24"/>
        </w:rPr>
        <w:t>中标后不以分包方式履行合同的，则不需要提供。</w:t>
      </w:r>
      <w:r>
        <w:rPr>
          <w:rFonts w:hint="eastAsia" w:ascii="宋体" w:hAnsi="宋体" w:cs="宋体"/>
          <w:color w:val="auto"/>
          <w:sz w:val="24"/>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供应商</w:t>
      </w:r>
      <w:r>
        <w:rPr>
          <w:rFonts w:hint="eastAsia" w:ascii="宋体" w:hAnsi="宋体" w:cs="宋体"/>
          <w:color w:val="auto"/>
          <w:kern w:val="0"/>
          <w:sz w:val="24"/>
          <w:u w:val="single"/>
        </w:rPr>
        <w:t>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供应商</w:t>
      </w:r>
      <w:r>
        <w:rPr>
          <w:rFonts w:hint="eastAsia" w:ascii="宋体" w:hAnsi="宋体" w:cs="宋体"/>
          <w:color w:val="auto"/>
          <w:kern w:val="0"/>
          <w:sz w:val="24"/>
          <w:u w:val="single"/>
        </w:rPr>
        <w:t>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供应商</w:t>
      </w:r>
      <w:r>
        <w:rPr>
          <w:rFonts w:hint="eastAsia" w:ascii="宋体" w:hAnsi="宋体" w:cs="宋体"/>
          <w:color w:val="auto"/>
          <w:kern w:val="0"/>
          <w:sz w:val="24"/>
          <w:u w:val="single"/>
        </w:rPr>
        <w:t>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ageBreakBefore w:val="0"/>
        <w:tabs>
          <w:tab w:val="left" w:pos="432"/>
        </w:tabs>
        <w:kinsoku/>
        <w:wordWrap/>
        <w:overflowPunct/>
        <w:topLinePunct w:val="0"/>
        <w:autoSpaceDE/>
        <w:autoSpaceDN/>
        <w:bidi w:val="0"/>
        <w:spacing w:line="312" w:lineRule="auto"/>
        <w:ind w:left="664" w:leftChars="316" w:firstLine="228" w:firstLineChars="95"/>
        <w:textAlignment w:val="auto"/>
        <w:outlineLvl w:val="9"/>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……）提供的货物全部由小微企业制造，</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pageBreakBefore w:val="0"/>
        <w:kinsoku/>
        <w:wordWrap/>
        <w:overflowPunct/>
        <w:topLinePunct w:val="0"/>
        <w:autoSpaceDE/>
        <w:autoSpaceDN/>
        <w:bidi w:val="0"/>
        <w:spacing w:line="312" w:lineRule="auto"/>
        <w:ind w:firstLine="480" w:firstLineChars="200"/>
        <w:textAlignment w:val="auto"/>
        <w:outlineLvl w:val="9"/>
        <w:rPr>
          <w:rFonts w:ascii="宋体" w:hAnsi="宋体" w:cs="宋体"/>
          <w:b/>
          <w:bCs/>
          <w:color w:val="auto"/>
          <w:kern w:val="0"/>
          <w:sz w:val="24"/>
          <w:lang w:val="zh-CN"/>
        </w:rPr>
      </w:pPr>
      <w:r>
        <w:rPr>
          <w:rFonts w:hint="eastAsia" w:ascii="宋体" w:hAnsi="宋体" w:cs="宋体"/>
          <w:color w:val="auto"/>
          <w:sz w:val="24"/>
        </w:rPr>
        <w:t>2、</w:t>
      </w:r>
      <w:bookmarkStart w:id="530"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bookmarkEnd w:id="530"/>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u w:val="single"/>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四、质量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lang w:val="zh-CN"/>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六、违约责任</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left="5758" w:leftChars="342" w:hanging="5040" w:hangingChars="2100"/>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 xml:space="preserve">                                          供应商名称(电子签名)：</w:t>
      </w:r>
    </w:p>
    <w:p>
      <w:pPr>
        <w:pageBreakBefore w:val="0"/>
        <w:kinsoku/>
        <w:wordWrap/>
        <w:overflowPunct/>
        <w:topLinePunct w:val="0"/>
        <w:autoSpaceDE/>
        <w:autoSpaceDN/>
        <w:bidi w:val="0"/>
        <w:snapToGrid w:val="0"/>
        <w:spacing w:line="312" w:lineRule="auto"/>
        <w:jc w:val="right"/>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pageBreakBefore w:val="0"/>
        <w:kinsoku/>
        <w:wordWrap/>
        <w:overflowPunct/>
        <w:topLinePunct w:val="0"/>
        <w:autoSpaceDE/>
        <w:autoSpaceDN/>
        <w:bidi w:val="0"/>
        <w:snapToGrid w:val="0"/>
        <w:spacing w:line="312" w:lineRule="auto"/>
        <w:ind w:firstLine="5760" w:firstLineChars="2400"/>
        <w:textAlignment w:val="auto"/>
        <w:outlineLvl w:val="9"/>
        <w:rPr>
          <w:rFonts w:ascii="宋体" w:hAnsi="宋体" w:cs="宋体"/>
          <w:color w:val="auto"/>
        </w:rPr>
      </w:pPr>
      <w:r>
        <w:rPr>
          <w:rFonts w:hint="eastAsia" w:ascii="宋体" w:hAnsi="宋体" w:cs="宋体"/>
          <w:color w:val="auto"/>
          <w:kern w:val="0"/>
          <w:sz w:val="24"/>
          <w:lang w:val="zh-CN"/>
        </w:rPr>
        <w:t>……</w:t>
      </w:r>
    </w:p>
    <w:p>
      <w:pPr>
        <w:pageBreakBefore w:val="0"/>
        <w:kinsoku/>
        <w:wordWrap/>
        <w:overflowPunct/>
        <w:topLinePunct w:val="0"/>
        <w:autoSpaceDE/>
        <w:autoSpaceDN/>
        <w:bidi w:val="0"/>
        <w:spacing w:line="312" w:lineRule="auto"/>
        <w:jc w:val="center"/>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widowControl/>
        <w:kinsoku/>
        <w:wordWrap/>
        <w:overflowPunct/>
        <w:topLinePunct w:val="0"/>
        <w:bidi w:val="0"/>
        <w:adjustRightInd/>
        <w:jc w:val="left"/>
        <w:outlineLvl w:val="9"/>
        <w:rPr>
          <w:rFonts w:hint="eastAsia" w:ascii="宋体" w:hAnsi="宋体" w:cs="宋体"/>
          <w:color w:val="auto"/>
          <w:sz w:val="24"/>
        </w:rPr>
      </w:pPr>
      <w:r>
        <w:rPr>
          <w:rFonts w:hint="eastAsia" w:ascii="宋体" w:hAnsi="宋体" w:cs="宋体"/>
          <w:color w:val="auto"/>
          <w:sz w:val="24"/>
        </w:rPr>
        <w:t>注：按本格式和要求提供。</w:t>
      </w:r>
    </w:p>
    <w:p>
      <w:pPr>
        <w:widowControl/>
        <w:kinsoku/>
        <w:wordWrap/>
        <w:overflowPunct/>
        <w:topLinePunct w:val="0"/>
        <w:bidi w:val="0"/>
        <w:adjustRightInd/>
        <w:jc w:val="left"/>
        <w:outlineLvl w:val="9"/>
        <w:rPr>
          <w:rFonts w:ascii="宋体" w:hAnsi="宋体" w:cs="宋体"/>
          <w:b/>
          <w:kern w:val="0"/>
          <w:sz w:val="32"/>
          <w:szCs w:val="32"/>
        </w:rPr>
      </w:pPr>
      <w:r>
        <w:rPr>
          <w:rFonts w:ascii="宋体" w:hAnsi="宋体" w:cs="宋体"/>
          <w:b/>
          <w:kern w:val="0"/>
          <w:sz w:val="32"/>
          <w:szCs w:val="32"/>
        </w:rPr>
        <w:br w:type="page"/>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附件7：中小企业声明函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ascii="宋体" w:hAnsi="宋体" w:cs="宋体"/>
          <w:b/>
          <w:sz w:val="32"/>
          <w:szCs w:val="32"/>
        </w:rPr>
      </w:pPr>
      <w:r>
        <w:rPr>
          <w:rFonts w:hint="eastAsia" w:ascii="宋体" w:hAnsi="宋体" w:cs="宋体"/>
          <w:b/>
          <w:sz w:val="32"/>
          <w:szCs w:val="32"/>
        </w:rPr>
        <w:t>中小企业声明函</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rPr>
      </w:pPr>
      <w:r>
        <w:rPr>
          <w:rFonts w:hint="eastAsia" w:ascii="宋体" w:hAnsi="宋体" w:cs="宋体"/>
          <w:sz w:val="24"/>
        </w:rPr>
        <w:t>本公司（联合体）郑重声明，根据《政府采购促进中小企业发展管理办法》（财库﹝2020﹞46 号）的规定，本公司（联合体</w:t>
      </w:r>
      <w:r>
        <w:rPr>
          <w:rFonts w:hint="eastAsia" w:ascii="宋体" w:hAnsi="宋体" w:cs="宋体"/>
          <w:color w:val="auto"/>
          <w:sz w:val="24"/>
        </w:rPr>
        <w:t xml:space="preserve">）参加 </w:t>
      </w:r>
      <w:r>
        <w:rPr>
          <w:rFonts w:hint="eastAsia" w:ascii="宋体" w:hAnsi="宋体" w:cs="宋体"/>
          <w:color w:val="auto"/>
          <w:sz w:val="24"/>
          <w:u w:val="single"/>
        </w:rPr>
        <w:t xml:space="preserve">（采购人） </w:t>
      </w:r>
      <w:r>
        <w:rPr>
          <w:rFonts w:hint="eastAsia" w:ascii="宋体" w:hAnsi="宋体" w:cs="宋体"/>
          <w:color w:val="auto"/>
          <w:sz w:val="24"/>
        </w:rPr>
        <w:t xml:space="preserve">的 </w:t>
      </w:r>
      <w:r>
        <w:rPr>
          <w:rFonts w:hint="eastAsia" w:ascii="宋体" w:hAnsi="宋体" w:cs="宋体"/>
          <w:color w:val="auto"/>
          <w:sz w:val="24"/>
          <w:u w:val="single"/>
        </w:rPr>
        <w:t>（项目名称）</w:t>
      </w:r>
      <w:r>
        <w:rPr>
          <w:rFonts w:hint="eastAsia" w:ascii="宋体" w:hAnsi="宋体" w:cs="宋体"/>
          <w:color w:val="auto"/>
          <w:sz w:val="24"/>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 xml:space="preserve"> ，属于 </w:t>
      </w:r>
      <w:r>
        <w:rPr>
          <w:rFonts w:hint="eastAsia" w:ascii="宋体" w:hAnsi="宋体" w:cs="宋体"/>
          <w:color w:val="auto"/>
          <w:sz w:val="24"/>
          <w:u w:val="single"/>
        </w:rPr>
        <w:t>（</w:t>
      </w:r>
      <w:r>
        <w:rPr>
          <w:rFonts w:hint="eastAsia" w:ascii="宋体" w:hAnsi="宋体" w:cs="宋体"/>
          <w:color w:val="auto"/>
          <w:sz w:val="24"/>
          <w:u w:val="single"/>
          <w:lang w:val="en-US" w:eastAsia="zh-CN"/>
        </w:rPr>
        <w:t>其他未列明行业</w:t>
      </w:r>
      <w:r>
        <w:rPr>
          <w:rFonts w:hint="eastAsia" w:ascii="宋体" w:hAnsi="宋体" w:cs="宋体"/>
          <w:color w:val="auto"/>
          <w:sz w:val="24"/>
          <w:u w:val="single"/>
        </w:rPr>
        <w:t>）</w:t>
      </w:r>
      <w:r>
        <w:rPr>
          <w:rFonts w:hint="eastAsia" w:ascii="宋体" w:hAnsi="宋体" w:cs="宋体"/>
          <w:color w:val="auto"/>
          <w:sz w:val="24"/>
        </w:rPr>
        <w:t>行业 ；承建（承接）为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 xml:space="preserve"> ，属于 </w:t>
      </w:r>
      <w:r>
        <w:rPr>
          <w:rFonts w:hint="eastAsia" w:ascii="宋体" w:hAnsi="宋体" w:cs="宋体"/>
          <w:color w:val="auto"/>
          <w:sz w:val="24"/>
          <w:u w:val="single"/>
        </w:rPr>
        <w:t>（</w:t>
      </w:r>
      <w:r>
        <w:rPr>
          <w:rFonts w:hint="eastAsia" w:ascii="宋体" w:hAnsi="宋体" w:cs="宋体"/>
          <w:color w:val="auto"/>
          <w:sz w:val="24"/>
          <w:u w:val="single"/>
          <w:lang w:val="en-US" w:eastAsia="zh-CN"/>
        </w:rPr>
        <w:t>其他未列明行业</w:t>
      </w:r>
      <w:r>
        <w:rPr>
          <w:rFonts w:hint="eastAsia" w:ascii="宋体" w:hAnsi="宋体" w:cs="宋体"/>
          <w:color w:val="auto"/>
          <w:sz w:val="24"/>
          <w:u w:val="single"/>
        </w:rPr>
        <w:t>）</w:t>
      </w:r>
      <w:r>
        <w:rPr>
          <w:rFonts w:hint="eastAsia" w:ascii="宋体" w:hAnsi="宋体" w:cs="宋体"/>
          <w:color w:val="auto"/>
          <w:sz w:val="24"/>
        </w:rPr>
        <w:t>行业 ；承建（承接）为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w:t>
      </w:r>
      <w:r>
        <w:rPr>
          <w:rFonts w:hint="eastAsia" w:ascii="宋体" w:hAnsi="宋体" w:cs="宋体"/>
          <w:sz w:val="24"/>
          <w:u w:val="single"/>
        </w:rPr>
        <w:t>业、小型企业、微型企业）</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rPr>
      </w:pP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rPr>
      </w:pPr>
      <w:r>
        <w:rPr>
          <w:rFonts w:hint="eastAsia" w:ascii="宋体" w:hAnsi="宋体" w:cs="宋体"/>
          <w:sz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288" w:lineRule="auto"/>
        <w:ind w:firstLine="5160" w:firstLineChars="2150"/>
        <w:textAlignment w:val="auto"/>
        <w:outlineLvl w:val="9"/>
        <w:rPr>
          <w:rFonts w:ascii="宋体" w:hAnsi="宋体" w:cs="宋体"/>
          <w:kern w:val="0"/>
          <w:sz w:val="24"/>
        </w:rPr>
      </w:pPr>
      <w:r>
        <w:rPr>
          <w:rFonts w:hint="eastAsia" w:ascii="宋体" w:hAnsi="宋体" w:cs="宋体"/>
          <w:kern w:val="0"/>
          <w:sz w:val="24"/>
          <w:lang w:val="zh-CN"/>
        </w:rPr>
        <w:t>供应商名称(电子签名)：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sz w:val="24"/>
        </w:rPr>
      </w:pPr>
      <w:r>
        <w:rPr>
          <w:rFonts w:hint="eastAsia" w:ascii="宋体" w:hAnsi="宋体" w:cs="宋体"/>
          <w:sz w:val="24"/>
        </w:rPr>
        <w:t>注：1、填写要求：①“标的名称”、“</w:t>
      </w:r>
      <w:r>
        <w:rPr>
          <w:rFonts w:hint="eastAsia" w:ascii="宋体" w:hAnsi="宋体" w:cs="宋体"/>
          <w:sz w:val="24"/>
          <w:lang w:eastAsia="zh-CN"/>
        </w:rPr>
        <w:t>招标文件</w:t>
      </w:r>
      <w:r>
        <w:rPr>
          <w:rFonts w:hint="eastAsia" w:ascii="宋体" w:hAnsi="宋体" w:cs="宋体"/>
          <w:sz w:val="24"/>
        </w:rPr>
        <w:t>中明确的所属行业”依据招标文件第二部分</w:t>
      </w:r>
      <w:r>
        <w:rPr>
          <w:rFonts w:hint="eastAsia" w:ascii="宋体" w:hAnsi="宋体" w:cs="宋体"/>
          <w:sz w:val="24"/>
          <w:lang w:eastAsia="zh-CN"/>
        </w:rPr>
        <w:t>供应商</w:t>
      </w:r>
      <w:r>
        <w:rPr>
          <w:rFonts w:hint="eastAsia" w:ascii="宋体" w:hAnsi="宋体" w:cs="宋体"/>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sz w:val="24"/>
          <w:lang w:eastAsia="zh-CN"/>
        </w:rPr>
        <w:t>供应商</w:t>
      </w:r>
      <w:r>
        <w:rPr>
          <w:rFonts w:hint="eastAsia" w:ascii="宋体" w:hAnsi="宋体" w:cs="宋体"/>
          <w:sz w:val="24"/>
        </w:rPr>
        <w:t>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sz w:val="24"/>
          <w:lang w:eastAsia="zh-CN"/>
        </w:rPr>
        <w:t>供应商</w:t>
      </w:r>
      <w:r>
        <w:rPr>
          <w:rFonts w:hint="eastAsia" w:ascii="宋体" w:hAnsi="宋体" w:cs="宋体"/>
          <w:sz w:val="24"/>
        </w:rPr>
        <w:t>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bCs/>
          <w:sz w:val="24"/>
        </w:rPr>
      </w:pPr>
      <w:r>
        <w:rPr>
          <w:rFonts w:hint="eastAsia" w:ascii="宋体" w:hAnsi="宋体" w:cs="宋体"/>
          <w:sz w:val="24"/>
          <w:lang w:val="en-US" w:eastAsia="zh-CN"/>
        </w:rPr>
        <w:t>3、其他未列明行业。从业人员300人以下的为中小微型企业。其中，从业人员100人及以上的为中型企业；从业人员10人及以上的为小型企业；从业人员10人以下的为微型企业。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I0OTFhZGFlZDc0OTlhZjI2NTdiOTJhMDU4Z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2A"/>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465"/>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7EF"/>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C51"/>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2E04F0"/>
    <w:rsid w:val="019F7441"/>
    <w:rsid w:val="01B37585"/>
    <w:rsid w:val="01D55165"/>
    <w:rsid w:val="01DF6BF8"/>
    <w:rsid w:val="01EC2C57"/>
    <w:rsid w:val="01EF122A"/>
    <w:rsid w:val="02426589"/>
    <w:rsid w:val="025F0711"/>
    <w:rsid w:val="026B2E25"/>
    <w:rsid w:val="02824D4D"/>
    <w:rsid w:val="0284056C"/>
    <w:rsid w:val="02BC0A7B"/>
    <w:rsid w:val="02C1531D"/>
    <w:rsid w:val="02DC4B10"/>
    <w:rsid w:val="02DD76CE"/>
    <w:rsid w:val="02F36323"/>
    <w:rsid w:val="02F5619C"/>
    <w:rsid w:val="0326446A"/>
    <w:rsid w:val="032A692E"/>
    <w:rsid w:val="032D5555"/>
    <w:rsid w:val="03514610"/>
    <w:rsid w:val="036634D2"/>
    <w:rsid w:val="03905ADC"/>
    <w:rsid w:val="03DA48E8"/>
    <w:rsid w:val="03DD35E4"/>
    <w:rsid w:val="04076900"/>
    <w:rsid w:val="041A5A3B"/>
    <w:rsid w:val="042042C5"/>
    <w:rsid w:val="042311BA"/>
    <w:rsid w:val="042B157A"/>
    <w:rsid w:val="0458719A"/>
    <w:rsid w:val="046F18B1"/>
    <w:rsid w:val="048F763B"/>
    <w:rsid w:val="04937D48"/>
    <w:rsid w:val="049F330E"/>
    <w:rsid w:val="04AA775C"/>
    <w:rsid w:val="04AF1889"/>
    <w:rsid w:val="04C15CE9"/>
    <w:rsid w:val="04C52A1F"/>
    <w:rsid w:val="04F66F48"/>
    <w:rsid w:val="050A242F"/>
    <w:rsid w:val="0518354E"/>
    <w:rsid w:val="05251E14"/>
    <w:rsid w:val="059B00A7"/>
    <w:rsid w:val="05A16594"/>
    <w:rsid w:val="05A7762D"/>
    <w:rsid w:val="05FB57F0"/>
    <w:rsid w:val="060E5941"/>
    <w:rsid w:val="06110FAF"/>
    <w:rsid w:val="06493CA7"/>
    <w:rsid w:val="065A6178"/>
    <w:rsid w:val="06605C46"/>
    <w:rsid w:val="066F1CF3"/>
    <w:rsid w:val="067A7832"/>
    <w:rsid w:val="068E1A0C"/>
    <w:rsid w:val="06930BB8"/>
    <w:rsid w:val="06A26752"/>
    <w:rsid w:val="06E710CA"/>
    <w:rsid w:val="0705522E"/>
    <w:rsid w:val="07245D42"/>
    <w:rsid w:val="07261BF2"/>
    <w:rsid w:val="07264C62"/>
    <w:rsid w:val="072A7934"/>
    <w:rsid w:val="0779354C"/>
    <w:rsid w:val="07C35742"/>
    <w:rsid w:val="07F910B5"/>
    <w:rsid w:val="08061376"/>
    <w:rsid w:val="08123F24"/>
    <w:rsid w:val="08422A5C"/>
    <w:rsid w:val="0845254C"/>
    <w:rsid w:val="08452D77"/>
    <w:rsid w:val="086401F8"/>
    <w:rsid w:val="08751CAA"/>
    <w:rsid w:val="087E4C40"/>
    <w:rsid w:val="08A871D0"/>
    <w:rsid w:val="08C56DD9"/>
    <w:rsid w:val="08D66AD6"/>
    <w:rsid w:val="08DA33A3"/>
    <w:rsid w:val="08E80F13"/>
    <w:rsid w:val="092832A9"/>
    <w:rsid w:val="09335624"/>
    <w:rsid w:val="093403CB"/>
    <w:rsid w:val="0944690F"/>
    <w:rsid w:val="09535675"/>
    <w:rsid w:val="095F057D"/>
    <w:rsid w:val="09642282"/>
    <w:rsid w:val="09733572"/>
    <w:rsid w:val="09772C16"/>
    <w:rsid w:val="098353B5"/>
    <w:rsid w:val="098F7F12"/>
    <w:rsid w:val="09A92330"/>
    <w:rsid w:val="09B06B87"/>
    <w:rsid w:val="09C13146"/>
    <w:rsid w:val="09D46C43"/>
    <w:rsid w:val="09D709B0"/>
    <w:rsid w:val="09E04166"/>
    <w:rsid w:val="0A1C0718"/>
    <w:rsid w:val="0A3E7710"/>
    <w:rsid w:val="0A5B7E63"/>
    <w:rsid w:val="0AA374A5"/>
    <w:rsid w:val="0AAB7649"/>
    <w:rsid w:val="0ABC5606"/>
    <w:rsid w:val="0B30404E"/>
    <w:rsid w:val="0B3351D8"/>
    <w:rsid w:val="0B4C6C14"/>
    <w:rsid w:val="0B547599"/>
    <w:rsid w:val="0B560CBF"/>
    <w:rsid w:val="0B631A88"/>
    <w:rsid w:val="0B65609D"/>
    <w:rsid w:val="0B683D45"/>
    <w:rsid w:val="0B7F3F11"/>
    <w:rsid w:val="0B884417"/>
    <w:rsid w:val="0BB2024E"/>
    <w:rsid w:val="0BF6188C"/>
    <w:rsid w:val="0BF73C91"/>
    <w:rsid w:val="0C170175"/>
    <w:rsid w:val="0C1E558E"/>
    <w:rsid w:val="0C23311B"/>
    <w:rsid w:val="0C571A41"/>
    <w:rsid w:val="0C5C1171"/>
    <w:rsid w:val="0C5E1CBC"/>
    <w:rsid w:val="0C615B50"/>
    <w:rsid w:val="0C711B61"/>
    <w:rsid w:val="0C8445DA"/>
    <w:rsid w:val="0C87121B"/>
    <w:rsid w:val="0CC007F7"/>
    <w:rsid w:val="0CC617AC"/>
    <w:rsid w:val="0CCC5321"/>
    <w:rsid w:val="0CD84B3B"/>
    <w:rsid w:val="0CDA32A3"/>
    <w:rsid w:val="0CE618DF"/>
    <w:rsid w:val="0CFE707A"/>
    <w:rsid w:val="0D063BDA"/>
    <w:rsid w:val="0D08375F"/>
    <w:rsid w:val="0D184CFB"/>
    <w:rsid w:val="0D4A7419"/>
    <w:rsid w:val="0D5F5E5E"/>
    <w:rsid w:val="0D827401"/>
    <w:rsid w:val="0D84094E"/>
    <w:rsid w:val="0D8A00E9"/>
    <w:rsid w:val="0D8D589E"/>
    <w:rsid w:val="0D8E5FAA"/>
    <w:rsid w:val="0DA01C73"/>
    <w:rsid w:val="0DCA2888"/>
    <w:rsid w:val="0DD63300"/>
    <w:rsid w:val="0DF50604"/>
    <w:rsid w:val="0DF702FE"/>
    <w:rsid w:val="0E060E51"/>
    <w:rsid w:val="0E116AEE"/>
    <w:rsid w:val="0E1434A7"/>
    <w:rsid w:val="0E5604B2"/>
    <w:rsid w:val="0E6D5D79"/>
    <w:rsid w:val="0E7A570A"/>
    <w:rsid w:val="0E9A03FC"/>
    <w:rsid w:val="0E9D0089"/>
    <w:rsid w:val="0EA06CB7"/>
    <w:rsid w:val="0EA75D9A"/>
    <w:rsid w:val="0EAA7385"/>
    <w:rsid w:val="0EB803EE"/>
    <w:rsid w:val="0ECD3EA6"/>
    <w:rsid w:val="0ED71A24"/>
    <w:rsid w:val="0EDC3291"/>
    <w:rsid w:val="0EF94D4B"/>
    <w:rsid w:val="0F170CE4"/>
    <w:rsid w:val="0F1C6E00"/>
    <w:rsid w:val="0F4958DC"/>
    <w:rsid w:val="0F515DF7"/>
    <w:rsid w:val="0F563291"/>
    <w:rsid w:val="0F59068B"/>
    <w:rsid w:val="0F596BA8"/>
    <w:rsid w:val="0F6248D2"/>
    <w:rsid w:val="0F693536"/>
    <w:rsid w:val="0F7B0511"/>
    <w:rsid w:val="0F7B76D9"/>
    <w:rsid w:val="0F816ACD"/>
    <w:rsid w:val="0F8B4F2A"/>
    <w:rsid w:val="0F9832DB"/>
    <w:rsid w:val="0FBF3FD2"/>
    <w:rsid w:val="0FBF7FF3"/>
    <w:rsid w:val="10174821"/>
    <w:rsid w:val="104447E9"/>
    <w:rsid w:val="105A46BB"/>
    <w:rsid w:val="10646583"/>
    <w:rsid w:val="107514F4"/>
    <w:rsid w:val="107D4B15"/>
    <w:rsid w:val="108A3C80"/>
    <w:rsid w:val="10A42D21"/>
    <w:rsid w:val="10C02B10"/>
    <w:rsid w:val="10C26171"/>
    <w:rsid w:val="10F33360"/>
    <w:rsid w:val="10FC16EA"/>
    <w:rsid w:val="110F1D40"/>
    <w:rsid w:val="11194998"/>
    <w:rsid w:val="111E0C94"/>
    <w:rsid w:val="11266F33"/>
    <w:rsid w:val="116033DA"/>
    <w:rsid w:val="117669E6"/>
    <w:rsid w:val="11896203"/>
    <w:rsid w:val="118963A1"/>
    <w:rsid w:val="11C6522A"/>
    <w:rsid w:val="11D067E4"/>
    <w:rsid w:val="11E104CC"/>
    <w:rsid w:val="11E20309"/>
    <w:rsid w:val="1201785C"/>
    <w:rsid w:val="12106436"/>
    <w:rsid w:val="12255233"/>
    <w:rsid w:val="12530213"/>
    <w:rsid w:val="12547EAC"/>
    <w:rsid w:val="125C0BBE"/>
    <w:rsid w:val="12691A06"/>
    <w:rsid w:val="12695089"/>
    <w:rsid w:val="127723A9"/>
    <w:rsid w:val="12862074"/>
    <w:rsid w:val="12883966"/>
    <w:rsid w:val="12937E5A"/>
    <w:rsid w:val="129E45B4"/>
    <w:rsid w:val="12AE6A32"/>
    <w:rsid w:val="12D81596"/>
    <w:rsid w:val="13072A44"/>
    <w:rsid w:val="1343264F"/>
    <w:rsid w:val="1346119F"/>
    <w:rsid w:val="135A57EE"/>
    <w:rsid w:val="135F4BE2"/>
    <w:rsid w:val="136A10B9"/>
    <w:rsid w:val="13815EDF"/>
    <w:rsid w:val="139B1A0A"/>
    <w:rsid w:val="139D25C7"/>
    <w:rsid w:val="13BF3CE4"/>
    <w:rsid w:val="13CA16CE"/>
    <w:rsid w:val="140C03C2"/>
    <w:rsid w:val="141008D8"/>
    <w:rsid w:val="14125FE6"/>
    <w:rsid w:val="146D271E"/>
    <w:rsid w:val="14982588"/>
    <w:rsid w:val="149A5AD9"/>
    <w:rsid w:val="14A7619D"/>
    <w:rsid w:val="14AF55C1"/>
    <w:rsid w:val="14F70F66"/>
    <w:rsid w:val="150536C3"/>
    <w:rsid w:val="150C1963"/>
    <w:rsid w:val="151447A0"/>
    <w:rsid w:val="15163B8A"/>
    <w:rsid w:val="154A6454"/>
    <w:rsid w:val="156A0E93"/>
    <w:rsid w:val="15762120"/>
    <w:rsid w:val="15962639"/>
    <w:rsid w:val="15C30CAF"/>
    <w:rsid w:val="15D157AE"/>
    <w:rsid w:val="15EB309C"/>
    <w:rsid w:val="15F76776"/>
    <w:rsid w:val="15FE15DA"/>
    <w:rsid w:val="16A8729C"/>
    <w:rsid w:val="16AA277F"/>
    <w:rsid w:val="16B33777"/>
    <w:rsid w:val="16BC70A7"/>
    <w:rsid w:val="16C6339E"/>
    <w:rsid w:val="16E34270"/>
    <w:rsid w:val="16E551D0"/>
    <w:rsid w:val="171E28E6"/>
    <w:rsid w:val="172F2D79"/>
    <w:rsid w:val="173C2D6C"/>
    <w:rsid w:val="174538A9"/>
    <w:rsid w:val="17512E98"/>
    <w:rsid w:val="17557BEF"/>
    <w:rsid w:val="176959DC"/>
    <w:rsid w:val="17D349C1"/>
    <w:rsid w:val="17E908E2"/>
    <w:rsid w:val="18244F26"/>
    <w:rsid w:val="18245CDA"/>
    <w:rsid w:val="1830729E"/>
    <w:rsid w:val="183A5651"/>
    <w:rsid w:val="1870062C"/>
    <w:rsid w:val="18817102"/>
    <w:rsid w:val="18830A15"/>
    <w:rsid w:val="18852B28"/>
    <w:rsid w:val="188B5321"/>
    <w:rsid w:val="18903097"/>
    <w:rsid w:val="18F71640"/>
    <w:rsid w:val="190D71AF"/>
    <w:rsid w:val="191C4C03"/>
    <w:rsid w:val="197B5DCD"/>
    <w:rsid w:val="19932372"/>
    <w:rsid w:val="199B021E"/>
    <w:rsid w:val="19A20DD5"/>
    <w:rsid w:val="19AE03F1"/>
    <w:rsid w:val="1A042784"/>
    <w:rsid w:val="1A071A03"/>
    <w:rsid w:val="1A0C4C78"/>
    <w:rsid w:val="1A1F16AE"/>
    <w:rsid w:val="1A3B5C77"/>
    <w:rsid w:val="1A7C1916"/>
    <w:rsid w:val="1A846F04"/>
    <w:rsid w:val="1A984BAD"/>
    <w:rsid w:val="1AB8220E"/>
    <w:rsid w:val="1ABA46D4"/>
    <w:rsid w:val="1AE4166C"/>
    <w:rsid w:val="1AF06CFB"/>
    <w:rsid w:val="1AF11B8D"/>
    <w:rsid w:val="1B11359C"/>
    <w:rsid w:val="1B214753"/>
    <w:rsid w:val="1B2A271F"/>
    <w:rsid w:val="1B530544"/>
    <w:rsid w:val="1B570174"/>
    <w:rsid w:val="1B713184"/>
    <w:rsid w:val="1BA209CF"/>
    <w:rsid w:val="1BB4777D"/>
    <w:rsid w:val="1BBF058C"/>
    <w:rsid w:val="1BC752A5"/>
    <w:rsid w:val="1BCC110E"/>
    <w:rsid w:val="1BD75AB8"/>
    <w:rsid w:val="1C0459C2"/>
    <w:rsid w:val="1C0E7EC3"/>
    <w:rsid w:val="1C1B3B4A"/>
    <w:rsid w:val="1C7E0123"/>
    <w:rsid w:val="1C88086E"/>
    <w:rsid w:val="1C915908"/>
    <w:rsid w:val="1CC1038E"/>
    <w:rsid w:val="1CC17F9B"/>
    <w:rsid w:val="1CEB6DC6"/>
    <w:rsid w:val="1D0E0D07"/>
    <w:rsid w:val="1D1E62D0"/>
    <w:rsid w:val="1D266CE1"/>
    <w:rsid w:val="1D3963AF"/>
    <w:rsid w:val="1D417B50"/>
    <w:rsid w:val="1D6A673C"/>
    <w:rsid w:val="1D6B6159"/>
    <w:rsid w:val="1D9247AE"/>
    <w:rsid w:val="1DB567EC"/>
    <w:rsid w:val="1DEC706D"/>
    <w:rsid w:val="1DF51A98"/>
    <w:rsid w:val="1E051CD9"/>
    <w:rsid w:val="1E3D060F"/>
    <w:rsid w:val="1E3F7D2E"/>
    <w:rsid w:val="1E4134E4"/>
    <w:rsid w:val="1E5062B3"/>
    <w:rsid w:val="1E523514"/>
    <w:rsid w:val="1E714A66"/>
    <w:rsid w:val="1E802593"/>
    <w:rsid w:val="1E814BE5"/>
    <w:rsid w:val="1E8B6156"/>
    <w:rsid w:val="1EA703CC"/>
    <w:rsid w:val="1EB7330C"/>
    <w:rsid w:val="1EC876F6"/>
    <w:rsid w:val="1EC94328"/>
    <w:rsid w:val="1EEC27E3"/>
    <w:rsid w:val="1F0A0FF3"/>
    <w:rsid w:val="1F446C62"/>
    <w:rsid w:val="1F462D95"/>
    <w:rsid w:val="1F47684D"/>
    <w:rsid w:val="1F5771FF"/>
    <w:rsid w:val="1FB57B5F"/>
    <w:rsid w:val="1FC73600"/>
    <w:rsid w:val="1FD52574"/>
    <w:rsid w:val="1FE868A9"/>
    <w:rsid w:val="20032EF5"/>
    <w:rsid w:val="20034907"/>
    <w:rsid w:val="200E08AD"/>
    <w:rsid w:val="20173E4B"/>
    <w:rsid w:val="20390790"/>
    <w:rsid w:val="204E48BC"/>
    <w:rsid w:val="208921B3"/>
    <w:rsid w:val="20973DEB"/>
    <w:rsid w:val="20B26522"/>
    <w:rsid w:val="20B44310"/>
    <w:rsid w:val="20D858B3"/>
    <w:rsid w:val="21035A46"/>
    <w:rsid w:val="211116EB"/>
    <w:rsid w:val="21432B39"/>
    <w:rsid w:val="215018EE"/>
    <w:rsid w:val="215A6C10"/>
    <w:rsid w:val="216133FC"/>
    <w:rsid w:val="21821CC3"/>
    <w:rsid w:val="21B60677"/>
    <w:rsid w:val="21C45D42"/>
    <w:rsid w:val="21D56769"/>
    <w:rsid w:val="21E52EF3"/>
    <w:rsid w:val="21FB5D7B"/>
    <w:rsid w:val="22015E94"/>
    <w:rsid w:val="220B1C3D"/>
    <w:rsid w:val="221D1D20"/>
    <w:rsid w:val="221F7512"/>
    <w:rsid w:val="22326F75"/>
    <w:rsid w:val="22334A87"/>
    <w:rsid w:val="22370D00"/>
    <w:rsid w:val="2278012F"/>
    <w:rsid w:val="227C4964"/>
    <w:rsid w:val="22883128"/>
    <w:rsid w:val="22B42350"/>
    <w:rsid w:val="22BE6801"/>
    <w:rsid w:val="22C71D57"/>
    <w:rsid w:val="22EC3898"/>
    <w:rsid w:val="2302000B"/>
    <w:rsid w:val="23104268"/>
    <w:rsid w:val="233500BF"/>
    <w:rsid w:val="23377FF7"/>
    <w:rsid w:val="234F5CFB"/>
    <w:rsid w:val="236B425F"/>
    <w:rsid w:val="2379726B"/>
    <w:rsid w:val="23836192"/>
    <w:rsid w:val="23901F29"/>
    <w:rsid w:val="239C0061"/>
    <w:rsid w:val="23B2407F"/>
    <w:rsid w:val="23B908A4"/>
    <w:rsid w:val="23CC7199"/>
    <w:rsid w:val="23E95BEF"/>
    <w:rsid w:val="23FD0064"/>
    <w:rsid w:val="24077A99"/>
    <w:rsid w:val="241C1F5B"/>
    <w:rsid w:val="245375B0"/>
    <w:rsid w:val="245B6DB7"/>
    <w:rsid w:val="246279E1"/>
    <w:rsid w:val="24642C0A"/>
    <w:rsid w:val="249E762F"/>
    <w:rsid w:val="24B22173"/>
    <w:rsid w:val="24B95AD9"/>
    <w:rsid w:val="24BE24DA"/>
    <w:rsid w:val="24C3687B"/>
    <w:rsid w:val="24CF5825"/>
    <w:rsid w:val="24D663E6"/>
    <w:rsid w:val="24D757B6"/>
    <w:rsid w:val="24D77F2B"/>
    <w:rsid w:val="24DE5879"/>
    <w:rsid w:val="256718FC"/>
    <w:rsid w:val="257A6A46"/>
    <w:rsid w:val="258B00E2"/>
    <w:rsid w:val="259C15A5"/>
    <w:rsid w:val="25A917A6"/>
    <w:rsid w:val="25BD151C"/>
    <w:rsid w:val="25BE27CC"/>
    <w:rsid w:val="25D435EF"/>
    <w:rsid w:val="25F0544D"/>
    <w:rsid w:val="25F74A5C"/>
    <w:rsid w:val="261513AF"/>
    <w:rsid w:val="261D2AB6"/>
    <w:rsid w:val="2628662C"/>
    <w:rsid w:val="262D45DE"/>
    <w:rsid w:val="26871DC8"/>
    <w:rsid w:val="26A53EF9"/>
    <w:rsid w:val="26A544E4"/>
    <w:rsid w:val="26A94201"/>
    <w:rsid w:val="26AC274F"/>
    <w:rsid w:val="26BA01F3"/>
    <w:rsid w:val="27044A29"/>
    <w:rsid w:val="271D34C8"/>
    <w:rsid w:val="272730F1"/>
    <w:rsid w:val="27457CE6"/>
    <w:rsid w:val="276142BF"/>
    <w:rsid w:val="27783712"/>
    <w:rsid w:val="278D4EE0"/>
    <w:rsid w:val="27907362"/>
    <w:rsid w:val="27CB3CE5"/>
    <w:rsid w:val="280276BA"/>
    <w:rsid w:val="28333E1D"/>
    <w:rsid w:val="28454BD6"/>
    <w:rsid w:val="28455253"/>
    <w:rsid w:val="28551971"/>
    <w:rsid w:val="285A2FA5"/>
    <w:rsid w:val="285B1C53"/>
    <w:rsid w:val="287702CA"/>
    <w:rsid w:val="288B5901"/>
    <w:rsid w:val="289F7086"/>
    <w:rsid w:val="28C32028"/>
    <w:rsid w:val="28CC490F"/>
    <w:rsid w:val="28DE40AA"/>
    <w:rsid w:val="28FE7C39"/>
    <w:rsid w:val="29333963"/>
    <w:rsid w:val="29345E77"/>
    <w:rsid w:val="29475CCC"/>
    <w:rsid w:val="294C65AD"/>
    <w:rsid w:val="2965010A"/>
    <w:rsid w:val="29806583"/>
    <w:rsid w:val="298B3C4C"/>
    <w:rsid w:val="298F19EC"/>
    <w:rsid w:val="298F27C5"/>
    <w:rsid w:val="29A70519"/>
    <w:rsid w:val="29AB0437"/>
    <w:rsid w:val="29E344D0"/>
    <w:rsid w:val="29F10CFD"/>
    <w:rsid w:val="29F26D24"/>
    <w:rsid w:val="2A15033F"/>
    <w:rsid w:val="2A1662C1"/>
    <w:rsid w:val="2A1C7367"/>
    <w:rsid w:val="2A2815FA"/>
    <w:rsid w:val="2A636B36"/>
    <w:rsid w:val="2A6D6092"/>
    <w:rsid w:val="2A715F67"/>
    <w:rsid w:val="2A7D76B4"/>
    <w:rsid w:val="2AB56C65"/>
    <w:rsid w:val="2AEA4B61"/>
    <w:rsid w:val="2B09293F"/>
    <w:rsid w:val="2B255206"/>
    <w:rsid w:val="2B437463"/>
    <w:rsid w:val="2B5A3674"/>
    <w:rsid w:val="2B7807EE"/>
    <w:rsid w:val="2B807273"/>
    <w:rsid w:val="2BA50BF7"/>
    <w:rsid w:val="2BB96CF1"/>
    <w:rsid w:val="2BBD6AEF"/>
    <w:rsid w:val="2BBF00EC"/>
    <w:rsid w:val="2BC162D3"/>
    <w:rsid w:val="2BC37CFD"/>
    <w:rsid w:val="2BD5237F"/>
    <w:rsid w:val="2BE536CE"/>
    <w:rsid w:val="2BE758D9"/>
    <w:rsid w:val="2BE9496F"/>
    <w:rsid w:val="2BF10171"/>
    <w:rsid w:val="2BF346BB"/>
    <w:rsid w:val="2C09049E"/>
    <w:rsid w:val="2C0A653C"/>
    <w:rsid w:val="2C191F85"/>
    <w:rsid w:val="2C587AAB"/>
    <w:rsid w:val="2C5933A3"/>
    <w:rsid w:val="2C5F332D"/>
    <w:rsid w:val="2C6554BB"/>
    <w:rsid w:val="2CE82D6F"/>
    <w:rsid w:val="2D0B17AA"/>
    <w:rsid w:val="2D197980"/>
    <w:rsid w:val="2D343236"/>
    <w:rsid w:val="2D575011"/>
    <w:rsid w:val="2DAC5EA2"/>
    <w:rsid w:val="2DB11966"/>
    <w:rsid w:val="2DBE0ECB"/>
    <w:rsid w:val="2DD15014"/>
    <w:rsid w:val="2DF72DE4"/>
    <w:rsid w:val="2E0220AF"/>
    <w:rsid w:val="2E19750B"/>
    <w:rsid w:val="2E4B082A"/>
    <w:rsid w:val="2E5D4E86"/>
    <w:rsid w:val="2E5D790B"/>
    <w:rsid w:val="2E840A66"/>
    <w:rsid w:val="2E9A3C18"/>
    <w:rsid w:val="2EBB0FEE"/>
    <w:rsid w:val="2EC63002"/>
    <w:rsid w:val="2ECE0A3B"/>
    <w:rsid w:val="2EDA7AD7"/>
    <w:rsid w:val="2F0A6B38"/>
    <w:rsid w:val="2F616D81"/>
    <w:rsid w:val="2F7760A6"/>
    <w:rsid w:val="2F7960D4"/>
    <w:rsid w:val="2F8A246F"/>
    <w:rsid w:val="2F946CCB"/>
    <w:rsid w:val="2FD25781"/>
    <w:rsid w:val="2FDC745C"/>
    <w:rsid w:val="2FFD7934"/>
    <w:rsid w:val="30134B5A"/>
    <w:rsid w:val="301B5344"/>
    <w:rsid w:val="30733ACD"/>
    <w:rsid w:val="308C3862"/>
    <w:rsid w:val="309317F7"/>
    <w:rsid w:val="309379D8"/>
    <w:rsid w:val="30A270F7"/>
    <w:rsid w:val="30B04157"/>
    <w:rsid w:val="30C25A2F"/>
    <w:rsid w:val="30DF1478"/>
    <w:rsid w:val="30E6702B"/>
    <w:rsid w:val="30EC586F"/>
    <w:rsid w:val="30FD3EF5"/>
    <w:rsid w:val="311734C2"/>
    <w:rsid w:val="311961A0"/>
    <w:rsid w:val="31501496"/>
    <w:rsid w:val="319C6071"/>
    <w:rsid w:val="31AC537E"/>
    <w:rsid w:val="31AE2A82"/>
    <w:rsid w:val="31C9409A"/>
    <w:rsid w:val="31E3679B"/>
    <w:rsid w:val="31E732FD"/>
    <w:rsid w:val="31E8264B"/>
    <w:rsid w:val="32517576"/>
    <w:rsid w:val="32586354"/>
    <w:rsid w:val="32BE5C2C"/>
    <w:rsid w:val="32FA790B"/>
    <w:rsid w:val="32FB6478"/>
    <w:rsid w:val="332629BB"/>
    <w:rsid w:val="33263B3F"/>
    <w:rsid w:val="332B572C"/>
    <w:rsid w:val="33497548"/>
    <w:rsid w:val="336963EB"/>
    <w:rsid w:val="33816EEB"/>
    <w:rsid w:val="339A10EE"/>
    <w:rsid w:val="33EB55CD"/>
    <w:rsid w:val="33EC4C02"/>
    <w:rsid w:val="34016FE1"/>
    <w:rsid w:val="340D2360"/>
    <w:rsid w:val="3410665D"/>
    <w:rsid w:val="34211214"/>
    <w:rsid w:val="342E63AB"/>
    <w:rsid w:val="34321327"/>
    <w:rsid w:val="345A1D9D"/>
    <w:rsid w:val="34950E68"/>
    <w:rsid w:val="34986E94"/>
    <w:rsid w:val="34AF62C9"/>
    <w:rsid w:val="34CB4388"/>
    <w:rsid w:val="34E602EB"/>
    <w:rsid w:val="34F90942"/>
    <w:rsid w:val="34FA6E12"/>
    <w:rsid w:val="35375AC2"/>
    <w:rsid w:val="354D7158"/>
    <w:rsid w:val="35774A21"/>
    <w:rsid w:val="358B23EF"/>
    <w:rsid w:val="358D5588"/>
    <w:rsid w:val="35BA6F50"/>
    <w:rsid w:val="36025094"/>
    <w:rsid w:val="36174C78"/>
    <w:rsid w:val="363A3B40"/>
    <w:rsid w:val="363B0967"/>
    <w:rsid w:val="365302AE"/>
    <w:rsid w:val="3660217B"/>
    <w:rsid w:val="36607A0A"/>
    <w:rsid w:val="36657837"/>
    <w:rsid w:val="366E227C"/>
    <w:rsid w:val="366F2E0D"/>
    <w:rsid w:val="367B6A5C"/>
    <w:rsid w:val="369C0E1F"/>
    <w:rsid w:val="369D2EA4"/>
    <w:rsid w:val="36A74ADA"/>
    <w:rsid w:val="36AD60D5"/>
    <w:rsid w:val="36B224F9"/>
    <w:rsid w:val="36E44D2C"/>
    <w:rsid w:val="36EC0CC9"/>
    <w:rsid w:val="373F410B"/>
    <w:rsid w:val="378B3228"/>
    <w:rsid w:val="37B24C58"/>
    <w:rsid w:val="37D72911"/>
    <w:rsid w:val="37EE7094"/>
    <w:rsid w:val="38296C89"/>
    <w:rsid w:val="383002EB"/>
    <w:rsid w:val="384F0EE0"/>
    <w:rsid w:val="38586797"/>
    <w:rsid w:val="385D15DF"/>
    <w:rsid w:val="386F25DF"/>
    <w:rsid w:val="38AC5B4C"/>
    <w:rsid w:val="38BC0149"/>
    <w:rsid w:val="38CD0DC8"/>
    <w:rsid w:val="38D87D1C"/>
    <w:rsid w:val="39636459"/>
    <w:rsid w:val="396B7F6C"/>
    <w:rsid w:val="39715F8D"/>
    <w:rsid w:val="39A25A25"/>
    <w:rsid w:val="39B417A9"/>
    <w:rsid w:val="39B55FD7"/>
    <w:rsid w:val="39C66799"/>
    <w:rsid w:val="39EF72AE"/>
    <w:rsid w:val="39FC5695"/>
    <w:rsid w:val="3A006D8E"/>
    <w:rsid w:val="3A3651E5"/>
    <w:rsid w:val="3A3F1290"/>
    <w:rsid w:val="3A744481"/>
    <w:rsid w:val="3A8C7BEF"/>
    <w:rsid w:val="3A8F302F"/>
    <w:rsid w:val="3A906246"/>
    <w:rsid w:val="3AFF6407"/>
    <w:rsid w:val="3B0D493A"/>
    <w:rsid w:val="3B160056"/>
    <w:rsid w:val="3B2349B7"/>
    <w:rsid w:val="3B616CFF"/>
    <w:rsid w:val="3B6259F6"/>
    <w:rsid w:val="3B976654"/>
    <w:rsid w:val="3B9C37F1"/>
    <w:rsid w:val="3BC01EFC"/>
    <w:rsid w:val="3BCA786A"/>
    <w:rsid w:val="3BD31E2F"/>
    <w:rsid w:val="3BEB698B"/>
    <w:rsid w:val="3BF15831"/>
    <w:rsid w:val="3C105946"/>
    <w:rsid w:val="3C1F4887"/>
    <w:rsid w:val="3C471448"/>
    <w:rsid w:val="3C536A3E"/>
    <w:rsid w:val="3C5F759A"/>
    <w:rsid w:val="3C6C525A"/>
    <w:rsid w:val="3CB44AC3"/>
    <w:rsid w:val="3CC03AAB"/>
    <w:rsid w:val="3CCE23CB"/>
    <w:rsid w:val="3CD17D17"/>
    <w:rsid w:val="3CF41147"/>
    <w:rsid w:val="3D3C7F39"/>
    <w:rsid w:val="3D440F09"/>
    <w:rsid w:val="3D4504A0"/>
    <w:rsid w:val="3D4A5E08"/>
    <w:rsid w:val="3D6458FA"/>
    <w:rsid w:val="3D6A1B31"/>
    <w:rsid w:val="3D8734BB"/>
    <w:rsid w:val="3D8C5F4C"/>
    <w:rsid w:val="3D9A11D4"/>
    <w:rsid w:val="3DA16D89"/>
    <w:rsid w:val="3DA364BE"/>
    <w:rsid w:val="3DCB6A74"/>
    <w:rsid w:val="3DCD3E19"/>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6778AF"/>
    <w:rsid w:val="3F756B8F"/>
    <w:rsid w:val="3F95482B"/>
    <w:rsid w:val="3FA330D9"/>
    <w:rsid w:val="3FB86B84"/>
    <w:rsid w:val="3FFF47B3"/>
    <w:rsid w:val="4019356B"/>
    <w:rsid w:val="40356D15"/>
    <w:rsid w:val="404B17A6"/>
    <w:rsid w:val="40592157"/>
    <w:rsid w:val="406E1CAE"/>
    <w:rsid w:val="40A0133A"/>
    <w:rsid w:val="40B530C4"/>
    <w:rsid w:val="40C31A53"/>
    <w:rsid w:val="40C70712"/>
    <w:rsid w:val="40FF545D"/>
    <w:rsid w:val="410067C8"/>
    <w:rsid w:val="411F0533"/>
    <w:rsid w:val="418F0D2A"/>
    <w:rsid w:val="419034F1"/>
    <w:rsid w:val="41921B42"/>
    <w:rsid w:val="419B49AF"/>
    <w:rsid w:val="41D01505"/>
    <w:rsid w:val="41D21EC1"/>
    <w:rsid w:val="41EE2D31"/>
    <w:rsid w:val="41F93484"/>
    <w:rsid w:val="42474939"/>
    <w:rsid w:val="424C3C57"/>
    <w:rsid w:val="42613FF3"/>
    <w:rsid w:val="42660D96"/>
    <w:rsid w:val="428667D2"/>
    <w:rsid w:val="429C0C25"/>
    <w:rsid w:val="42B1494A"/>
    <w:rsid w:val="42CA38FC"/>
    <w:rsid w:val="42CD1CE0"/>
    <w:rsid w:val="42D727D3"/>
    <w:rsid w:val="42D9578F"/>
    <w:rsid w:val="42E1381E"/>
    <w:rsid w:val="42ED6459"/>
    <w:rsid w:val="42FE33C9"/>
    <w:rsid w:val="42FE58DD"/>
    <w:rsid w:val="43065E58"/>
    <w:rsid w:val="43174B3D"/>
    <w:rsid w:val="434B790E"/>
    <w:rsid w:val="4360274F"/>
    <w:rsid w:val="436074C4"/>
    <w:rsid w:val="43977AB6"/>
    <w:rsid w:val="43A3342B"/>
    <w:rsid w:val="43C77C27"/>
    <w:rsid w:val="43DB20E4"/>
    <w:rsid w:val="43DE09EE"/>
    <w:rsid w:val="44002FAD"/>
    <w:rsid w:val="441B764E"/>
    <w:rsid w:val="4479751F"/>
    <w:rsid w:val="449101DD"/>
    <w:rsid w:val="44DE1391"/>
    <w:rsid w:val="44E75C60"/>
    <w:rsid w:val="451B225C"/>
    <w:rsid w:val="452410C9"/>
    <w:rsid w:val="45317DFB"/>
    <w:rsid w:val="455E1F7C"/>
    <w:rsid w:val="456D3CE4"/>
    <w:rsid w:val="45701CAF"/>
    <w:rsid w:val="4579042C"/>
    <w:rsid w:val="457F0571"/>
    <w:rsid w:val="45851176"/>
    <w:rsid w:val="45B65E71"/>
    <w:rsid w:val="45C63B94"/>
    <w:rsid w:val="45D65FB6"/>
    <w:rsid w:val="460E7DA5"/>
    <w:rsid w:val="4628284A"/>
    <w:rsid w:val="46422483"/>
    <w:rsid w:val="4647199E"/>
    <w:rsid w:val="464C40B9"/>
    <w:rsid w:val="4659254A"/>
    <w:rsid w:val="465B0637"/>
    <w:rsid w:val="465E3F0D"/>
    <w:rsid w:val="466A16E6"/>
    <w:rsid w:val="467A1037"/>
    <w:rsid w:val="46893F2B"/>
    <w:rsid w:val="46B72338"/>
    <w:rsid w:val="46C4686E"/>
    <w:rsid w:val="47156B58"/>
    <w:rsid w:val="477B778F"/>
    <w:rsid w:val="478203EC"/>
    <w:rsid w:val="47B025FA"/>
    <w:rsid w:val="4809698F"/>
    <w:rsid w:val="480C3F11"/>
    <w:rsid w:val="4811697D"/>
    <w:rsid w:val="4812283E"/>
    <w:rsid w:val="4836049D"/>
    <w:rsid w:val="487230E1"/>
    <w:rsid w:val="487A3E25"/>
    <w:rsid w:val="488B5503"/>
    <w:rsid w:val="48937E21"/>
    <w:rsid w:val="489A0361"/>
    <w:rsid w:val="48A653A7"/>
    <w:rsid w:val="48B94FF3"/>
    <w:rsid w:val="48C4659A"/>
    <w:rsid w:val="48D82443"/>
    <w:rsid w:val="48E1714C"/>
    <w:rsid w:val="48E37AAB"/>
    <w:rsid w:val="48FD4B4C"/>
    <w:rsid w:val="48FD77BB"/>
    <w:rsid w:val="490A68E0"/>
    <w:rsid w:val="491055FE"/>
    <w:rsid w:val="493D634C"/>
    <w:rsid w:val="495F5B3E"/>
    <w:rsid w:val="496F77D7"/>
    <w:rsid w:val="497654FD"/>
    <w:rsid w:val="49892E51"/>
    <w:rsid w:val="49B64211"/>
    <w:rsid w:val="49F6167F"/>
    <w:rsid w:val="4A032B66"/>
    <w:rsid w:val="4A064FA0"/>
    <w:rsid w:val="4A16615C"/>
    <w:rsid w:val="4A1B043B"/>
    <w:rsid w:val="4A365779"/>
    <w:rsid w:val="4A4424D7"/>
    <w:rsid w:val="4A565766"/>
    <w:rsid w:val="4A5971B6"/>
    <w:rsid w:val="4A7E7A76"/>
    <w:rsid w:val="4A9E5367"/>
    <w:rsid w:val="4AA2007C"/>
    <w:rsid w:val="4AB82D0F"/>
    <w:rsid w:val="4AE64290"/>
    <w:rsid w:val="4AEB7664"/>
    <w:rsid w:val="4AED7781"/>
    <w:rsid w:val="4AF34F14"/>
    <w:rsid w:val="4AFD3FE5"/>
    <w:rsid w:val="4AFD7C19"/>
    <w:rsid w:val="4B0567D1"/>
    <w:rsid w:val="4B0E747A"/>
    <w:rsid w:val="4B236AAE"/>
    <w:rsid w:val="4B412124"/>
    <w:rsid w:val="4B707271"/>
    <w:rsid w:val="4B8D2F5C"/>
    <w:rsid w:val="4B9739F7"/>
    <w:rsid w:val="4BB604C9"/>
    <w:rsid w:val="4BBF5506"/>
    <w:rsid w:val="4BC0573E"/>
    <w:rsid w:val="4BEE2503"/>
    <w:rsid w:val="4C245A30"/>
    <w:rsid w:val="4C281285"/>
    <w:rsid w:val="4C352698"/>
    <w:rsid w:val="4CB6685F"/>
    <w:rsid w:val="4CC367FE"/>
    <w:rsid w:val="4D077F3C"/>
    <w:rsid w:val="4D123355"/>
    <w:rsid w:val="4D2A3B31"/>
    <w:rsid w:val="4D312C52"/>
    <w:rsid w:val="4D905305"/>
    <w:rsid w:val="4D964A72"/>
    <w:rsid w:val="4D9B1643"/>
    <w:rsid w:val="4D9C1254"/>
    <w:rsid w:val="4DB1031F"/>
    <w:rsid w:val="4DB52955"/>
    <w:rsid w:val="4DCB4CA4"/>
    <w:rsid w:val="4DD21759"/>
    <w:rsid w:val="4DD55028"/>
    <w:rsid w:val="4DF63804"/>
    <w:rsid w:val="4E083A40"/>
    <w:rsid w:val="4E1B207A"/>
    <w:rsid w:val="4E28680F"/>
    <w:rsid w:val="4E793892"/>
    <w:rsid w:val="4E800872"/>
    <w:rsid w:val="4E90715E"/>
    <w:rsid w:val="4EB20454"/>
    <w:rsid w:val="4EBB7A56"/>
    <w:rsid w:val="4EC569ED"/>
    <w:rsid w:val="4ED50EA1"/>
    <w:rsid w:val="4EEC050C"/>
    <w:rsid w:val="4EEE3BC3"/>
    <w:rsid w:val="4F022BC1"/>
    <w:rsid w:val="4F104EC3"/>
    <w:rsid w:val="4F47354A"/>
    <w:rsid w:val="4F62571C"/>
    <w:rsid w:val="4F911C54"/>
    <w:rsid w:val="4FC5018F"/>
    <w:rsid w:val="4FE625E0"/>
    <w:rsid w:val="5021480F"/>
    <w:rsid w:val="5076676F"/>
    <w:rsid w:val="50962ECB"/>
    <w:rsid w:val="50A42E38"/>
    <w:rsid w:val="50A4577F"/>
    <w:rsid w:val="50B73D1F"/>
    <w:rsid w:val="50BD5BC9"/>
    <w:rsid w:val="50C11EEE"/>
    <w:rsid w:val="50E905CA"/>
    <w:rsid w:val="50E97CFC"/>
    <w:rsid w:val="50EF43D0"/>
    <w:rsid w:val="50FA4028"/>
    <w:rsid w:val="510D65B7"/>
    <w:rsid w:val="511157AB"/>
    <w:rsid w:val="51256043"/>
    <w:rsid w:val="5142540C"/>
    <w:rsid w:val="516A07DB"/>
    <w:rsid w:val="518832C8"/>
    <w:rsid w:val="519D3C50"/>
    <w:rsid w:val="519D6B66"/>
    <w:rsid w:val="51A0432A"/>
    <w:rsid w:val="51A4340C"/>
    <w:rsid w:val="51A86090"/>
    <w:rsid w:val="51A90A23"/>
    <w:rsid w:val="51B7396D"/>
    <w:rsid w:val="51CC6EC2"/>
    <w:rsid w:val="52171E30"/>
    <w:rsid w:val="52263AC6"/>
    <w:rsid w:val="522916A8"/>
    <w:rsid w:val="522E4CC3"/>
    <w:rsid w:val="5244713B"/>
    <w:rsid w:val="52615633"/>
    <w:rsid w:val="526F4DE4"/>
    <w:rsid w:val="528F19C6"/>
    <w:rsid w:val="529214B7"/>
    <w:rsid w:val="52977FD4"/>
    <w:rsid w:val="529813CF"/>
    <w:rsid w:val="52A25790"/>
    <w:rsid w:val="52A96B6F"/>
    <w:rsid w:val="52B45975"/>
    <w:rsid w:val="52D753D2"/>
    <w:rsid w:val="52D94AA4"/>
    <w:rsid w:val="52EA3A62"/>
    <w:rsid w:val="52EC0BF4"/>
    <w:rsid w:val="52F50BB8"/>
    <w:rsid w:val="53097272"/>
    <w:rsid w:val="53544462"/>
    <w:rsid w:val="5397158E"/>
    <w:rsid w:val="54013861"/>
    <w:rsid w:val="540208BE"/>
    <w:rsid w:val="540F3ADB"/>
    <w:rsid w:val="543C16DA"/>
    <w:rsid w:val="5444720F"/>
    <w:rsid w:val="54487265"/>
    <w:rsid w:val="544D6070"/>
    <w:rsid w:val="54605E1E"/>
    <w:rsid w:val="54613836"/>
    <w:rsid w:val="54B3506A"/>
    <w:rsid w:val="54CA0D16"/>
    <w:rsid w:val="54DD4057"/>
    <w:rsid w:val="54E7490F"/>
    <w:rsid w:val="550764A4"/>
    <w:rsid w:val="550B2BF6"/>
    <w:rsid w:val="550F3998"/>
    <w:rsid w:val="55214EB5"/>
    <w:rsid w:val="55364EFD"/>
    <w:rsid w:val="555D4828"/>
    <w:rsid w:val="557A4C8B"/>
    <w:rsid w:val="558931E1"/>
    <w:rsid w:val="55923347"/>
    <w:rsid w:val="55925180"/>
    <w:rsid w:val="55983B1B"/>
    <w:rsid w:val="55A8376B"/>
    <w:rsid w:val="55AF1B1C"/>
    <w:rsid w:val="55B611EB"/>
    <w:rsid w:val="55DC29B6"/>
    <w:rsid w:val="55DD4241"/>
    <w:rsid w:val="55E262B1"/>
    <w:rsid w:val="55F85AD5"/>
    <w:rsid w:val="562763BA"/>
    <w:rsid w:val="566B6D1E"/>
    <w:rsid w:val="56892BD1"/>
    <w:rsid w:val="56990EDA"/>
    <w:rsid w:val="56CC38D1"/>
    <w:rsid w:val="57032A2C"/>
    <w:rsid w:val="570F5219"/>
    <w:rsid w:val="571E4796"/>
    <w:rsid w:val="575D12B5"/>
    <w:rsid w:val="57610A87"/>
    <w:rsid w:val="576178A6"/>
    <w:rsid w:val="577B1140"/>
    <w:rsid w:val="577B7F21"/>
    <w:rsid w:val="577F181B"/>
    <w:rsid w:val="57921984"/>
    <w:rsid w:val="579737F0"/>
    <w:rsid w:val="57A35F14"/>
    <w:rsid w:val="57AB7B30"/>
    <w:rsid w:val="57AF5251"/>
    <w:rsid w:val="57B26373"/>
    <w:rsid w:val="57B63F04"/>
    <w:rsid w:val="57CD20C2"/>
    <w:rsid w:val="57D675AB"/>
    <w:rsid w:val="57D73717"/>
    <w:rsid w:val="57D95FDD"/>
    <w:rsid w:val="57E22784"/>
    <w:rsid w:val="57E82409"/>
    <w:rsid w:val="587C3B8A"/>
    <w:rsid w:val="58900246"/>
    <w:rsid w:val="58917D2F"/>
    <w:rsid w:val="5894085C"/>
    <w:rsid w:val="58AE4F0C"/>
    <w:rsid w:val="58B033C6"/>
    <w:rsid w:val="58B716A6"/>
    <w:rsid w:val="58B85899"/>
    <w:rsid w:val="58C15992"/>
    <w:rsid w:val="58E363A9"/>
    <w:rsid w:val="58EF598F"/>
    <w:rsid w:val="59166304"/>
    <w:rsid w:val="59372DB8"/>
    <w:rsid w:val="595E1678"/>
    <w:rsid w:val="59645A89"/>
    <w:rsid w:val="596D5BD4"/>
    <w:rsid w:val="597332A9"/>
    <w:rsid w:val="5978041C"/>
    <w:rsid w:val="597E3DD8"/>
    <w:rsid w:val="59A0672C"/>
    <w:rsid w:val="59AC5554"/>
    <w:rsid w:val="59B352CD"/>
    <w:rsid w:val="59EF245F"/>
    <w:rsid w:val="59F80043"/>
    <w:rsid w:val="5A09252F"/>
    <w:rsid w:val="5A0B2778"/>
    <w:rsid w:val="5A2A7C7B"/>
    <w:rsid w:val="5A3E2560"/>
    <w:rsid w:val="5A5D3B6E"/>
    <w:rsid w:val="5A637A76"/>
    <w:rsid w:val="5A694668"/>
    <w:rsid w:val="5A6D33BA"/>
    <w:rsid w:val="5A762C88"/>
    <w:rsid w:val="5A792B1F"/>
    <w:rsid w:val="5A874767"/>
    <w:rsid w:val="5AA85BE2"/>
    <w:rsid w:val="5AAD6F28"/>
    <w:rsid w:val="5AB07062"/>
    <w:rsid w:val="5AC0437F"/>
    <w:rsid w:val="5AD63A24"/>
    <w:rsid w:val="5AEB1E12"/>
    <w:rsid w:val="5B2E1A1D"/>
    <w:rsid w:val="5B5601F4"/>
    <w:rsid w:val="5B843A1C"/>
    <w:rsid w:val="5B873E3F"/>
    <w:rsid w:val="5BBB1A7E"/>
    <w:rsid w:val="5BEA4CF5"/>
    <w:rsid w:val="5BF1724E"/>
    <w:rsid w:val="5C02690E"/>
    <w:rsid w:val="5C146F5E"/>
    <w:rsid w:val="5C196DA7"/>
    <w:rsid w:val="5C2A048C"/>
    <w:rsid w:val="5C4A5F64"/>
    <w:rsid w:val="5C80234E"/>
    <w:rsid w:val="5C8A680C"/>
    <w:rsid w:val="5CD21A5C"/>
    <w:rsid w:val="5CF76771"/>
    <w:rsid w:val="5CFA1A85"/>
    <w:rsid w:val="5D0C4701"/>
    <w:rsid w:val="5D0F0395"/>
    <w:rsid w:val="5D1B2CA8"/>
    <w:rsid w:val="5D221076"/>
    <w:rsid w:val="5D2B1F4F"/>
    <w:rsid w:val="5D2C42B6"/>
    <w:rsid w:val="5D397964"/>
    <w:rsid w:val="5D562BB6"/>
    <w:rsid w:val="5D5A391C"/>
    <w:rsid w:val="5D5B5CB9"/>
    <w:rsid w:val="5D5F10C0"/>
    <w:rsid w:val="5D794F45"/>
    <w:rsid w:val="5D891B7B"/>
    <w:rsid w:val="5DA75383"/>
    <w:rsid w:val="5DAD38EE"/>
    <w:rsid w:val="5DB524FD"/>
    <w:rsid w:val="5DDE1A54"/>
    <w:rsid w:val="5E006862"/>
    <w:rsid w:val="5E0207B9"/>
    <w:rsid w:val="5E1834A1"/>
    <w:rsid w:val="5E261785"/>
    <w:rsid w:val="5E4A7017"/>
    <w:rsid w:val="5E552BBA"/>
    <w:rsid w:val="5E611C10"/>
    <w:rsid w:val="5E762B94"/>
    <w:rsid w:val="5E7A0F3F"/>
    <w:rsid w:val="5EF37781"/>
    <w:rsid w:val="5EFA28BD"/>
    <w:rsid w:val="5EFC7377"/>
    <w:rsid w:val="5F06174D"/>
    <w:rsid w:val="5F3A3602"/>
    <w:rsid w:val="5F45733B"/>
    <w:rsid w:val="5F6277C6"/>
    <w:rsid w:val="5F6D0B1D"/>
    <w:rsid w:val="5F7B6E87"/>
    <w:rsid w:val="5F8D0B82"/>
    <w:rsid w:val="5FCC5339"/>
    <w:rsid w:val="5FE34A5B"/>
    <w:rsid w:val="5FF94273"/>
    <w:rsid w:val="5FFE1E36"/>
    <w:rsid w:val="60232584"/>
    <w:rsid w:val="60252844"/>
    <w:rsid w:val="605B7A0D"/>
    <w:rsid w:val="607330CE"/>
    <w:rsid w:val="60825176"/>
    <w:rsid w:val="608A5EC3"/>
    <w:rsid w:val="609F2AC4"/>
    <w:rsid w:val="60B82A30"/>
    <w:rsid w:val="60C330AE"/>
    <w:rsid w:val="60E0295D"/>
    <w:rsid w:val="60FA2EE8"/>
    <w:rsid w:val="61054A27"/>
    <w:rsid w:val="610A52BC"/>
    <w:rsid w:val="610C0686"/>
    <w:rsid w:val="611D2366"/>
    <w:rsid w:val="6141056D"/>
    <w:rsid w:val="61421856"/>
    <w:rsid w:val="615227C4"/>
    <w:rsid w:val="61551709"/>
    <w:rsid w:val="615E238B"/>
    <w:rsid w:val="61654E3F"/>
    <w:rsid w:val="6182292A"/>
    <w:rsid w:val="619F7F92"/>
    <w:rsid w:val="61C15914"/>
    <w:rsid w:val="61C807BC"/>
    <w:rsid w:val="61E81EE3"/>
    <w:rsid w:val="61F03696"/>
    <w:rsid w:val="61F94C26"/>
    <w:rsid w:val="62000E56"/>
    <w:rsid w:val="62043966"/>
    <w:rsid w:val="62112765"/>
    <w:rsid w:val="6228716A"/>
    <w:rsid w:val="624F3E49"/>
    <w:rsid w:val="62632286"/>
    <w:rsid w:val="627B1F67"/>
    <w:rsid w:val="62885958"/>
    <w:rsid w:val="62F31C3F"/>
    <w:rsid w:val="62F40B65"/>
    <w:rsid w:val="62F6339C"/>
    <w:rsid w:val="62FC2CFE"/>
    <w:rsid w:val="63024505"/>
    <w:rsid w:val="63027F93"/>
    <w:rsid w:val="630737FB"/>
    <w:rsid w:val="635600A5"/>
    <w:rsid w:val="635B1DB5"/>
    <w:rsid w:val="63711FED"/>
    <w:rsid w:val="63880DDC"/>
    <w:rsid w:val="638D750D"/>
    <w:rsid w:val="63AC6CC0"/>
    <w:rsid w:val="63B07EEF"/>
    <w:rsid w:val="63E84000"/>
    <w:rsid w:val="64055776"/>
    <w:rsid w:val="64240056"/>
    <w:rsid w:val="642E5AB4"/>
    <w:rsid w:val="64394CBF"/>
    <w:rsid w:val="643E143A"/>
    <w:rsid w:val="64491666"/>
    <w:rsid w:val="648B6EEF"/>
    <w:rsid w:val="64925D9F"/>
    <w:rsid w:val="649536C6"/>
    <w:rsid w:val="64C158BF"/>
    <w:rsid w:val="64CE2EAA"/>
    <w:rsid w:val="65294F03"/>
    <w:rsid w:val="653C3090"/>
    <w:rsid w:val="655B2F90"/>
    <w:rsid w:val="655F0EAE"/>
    <w:rsid w:val="657B402C"/>
    <w:rsid w:val="65853702"/>
    <w:rsid w:val="65854376"/>
    <w:rsid w:val="658767BE"/>
    <w:rsid w:val="658820E9"/>
    <w:rsid w:val="65892531"/>
    <w:rsid w:val="65B57B97"/>
    <w:rsid w:val="65DE26ED"/>
    <w:rsid w:val="660D3E2D"/>
    <w:rsid w:val="66183441"/>
    <w:rsid w:val="66195831"/>
    <w:rsid w:val="661B0E4D"/>
    <w:rsid w:val="662D5327"/>
    <w:rsid w:val="662E75B1"/>
    <w:rsid w:val="663012BB"/>
    <w:rsid w:val="66342C2E"/>
    <w:rsid w:val="663E784C"/>
    <w:rsid w:val="66805E20"/>
    <w:rsid w:val="668B6A45"/>
    <w:rsid w:val="66CB16E9"/>
    <w:rsid w:val="67194F69"/>
    <w:rsid w:val="672F3F24"/>
    <w:rsid w:val="673E055F"/>
    <w:rsid w:val="6751439C"/>
    <w:rsid w:val="67551CE3"/>
    <w:rsid w:val="67632F3A"/>
    <w:rsid w:val="67A22552"/>
    <w:rsid w:val="67B22DCC"/>
    <w:rsid w:val="67BE71AA"/>
    <w:rsid w:val="67D90273"/>
    <w:rsid w:val="67DE5875"/>
    <w:rsid w:val="67E55852"/>
    <w:rsid w:val="67EA7CCE"/>
    <w:rsid w:val="67EB1AB4"/>
    <w:rsid w:val="67ED7463"/>
    <w:rsid w:val="67FA1285"/>
    <w:rsid w:val="684E345F"/>
    <w:rsid w:val="68551F4F"/>
    <w:rsid w:val="687C10C9"/>
    <w:rsid w:val="68840C16"/>
    <w:rsid w:val="68866387"/>
    <w:rsid w:val="68876EFB"/>
    <w:rsid w:val="68884654"/>
    <w:rsid w:val="689F444F"/>
    <w:rsid w:val="68B96DBB"/>
    <w:rsid w:val="68CA2805"/>
    <w:rsid w:val="68D0468F"/>
    <w:rsid w:val="68D27724"/>
    <w:rsid w:val="68E937A3"/>
    <w:rsid w:val="693E15D3"/>
    <w:rsid w:val="69407A67"/>
    <w:rsid w:val="69482477"/>
    <w:rsid w:val="695B6585"/>
    <w:rsid w:val="69627681"/>
    <w:rsid w:val="6977531D"/>
    <w:rsid w:val="69990490"/>
    <w:rsid w:val="69C4359B"/>
    <w:rsid w:val="69CC2BFF"/>
    <w:rsid w:val="69DC778F"/>
    <w:rsid w:val="69F30635"/>
    <w:rsid w:val="69FD55B8"/>
    <w:rsid w:val="6A0B1C62"/>
    <w:rsid w:val="6A2406C8"/>
    <w:rsid w:val="6A7554EE"/>
    <w:rsid w:val="6AA43E1A"/>
    <w:rsid w:val="6AAB0F10"/>
    <w:rsid w:val="6AB50B02"/>
    <w:rsid w:val="6ADE0BD1"/>
    <w:rsid w:val="6AE96859"/>
    <w:rsid w:val="6AED1528"/>
    <w:rsid w:val="6B147746"/>
    <w:rsid w:val="6B24787C"/>
    <w:rsid w:val="6B573233"/>
    <w:rsid w:val="6B5B6274"/>
    <w:rsid w:val="6B847F5E"/>
    <w:rsid w:val="6B935D53"/>
    <w:rsid w:val="6C196F71"/>
    <w:rsid w:val="6C226FCB"/>
    <w:rsid w:val="6C2B5723"/>
    <w:rsid w:val="6C31226F"/>
    <w:rsid w:val="6C552F0B"/>
    <w:rsid w:val="6C700663"/>
    <w:rsid w:val="6C8C67B7"/>
    <w:rsid w:val="6C9D744C"/>
    <w:rsid w:val="6D080A78"/>
    <w:rsid w:val="6D167928"/>
    <w:rsid w:val="6D1A237D"/>
    <w:rsid w:val="6D26299B"/>
    <w:rsid w:val="6D4772EC"/>
    <w:rsid w:val="6D5076EA"/>
    <w:rsid w:val="6D8228B3"/>
    <w:rsid w:val="6D9078AF"/>
    <w:rsid w:val="6DA00AD4"/>
    <w:rsid w:val="6DA0348B"/>
    <w:rsid w:val="6DAA3FEF"/>
    <w:rsid w:val="6DB12CE1"/>
    <w:rsid w:val="6DC0172B"/>
    <w:rsid w:val="6DC87E48"/>
    <w:rsid w:val="6DCB690C"/>
    <w:rsid w:val="6DD41A5B"/>
    <w:rsid w:val="6DE12E9C"/>
    <w:rsid w:val="6DF43C2E"/>
    <w:rsid w:val="6DF51CA3"/>
    <w:rsid w:val="6E191184"/>
    <w:rsid w:val="6E8335BD"/>
    <w:rsid w:val="6E8E12EF"/>
    <w:rsid w:val="6E972936"/>
    <w:rsid w:val="6EB40202"/>
    <w:rsid w:val="6ED446C5"/>
    <w:rsid w:val="6F130D38"/>
    <w:rsid w:val="6F2A7D94"/>
    <w:rsid w:val="6F491927"/>
    <w:rsid w:val="6F79782E"/>
    <w:rsid w:val="6F8331F1"/>
    <w:rsid w:val="6FA01CFF"/>
    <w:rsid w:val="6FAE1A09"/>
    <w:rsid w:val="6FC564EC"/>
    <w:rsid w:val="6FCE7B7A"/>
    <w:rsid w:val="6FD75BF8"/>
    <w:rsid w:val="6FD76303"/>
    <w:rsid w:val="6FF922DA"/>
    <w:rsid w:val="700D583A"/>
    <w:rsid w:val="704020FA"/>
    <w:rsid w:val="707723D0"/>
    <w:rsid w:val="708F2CC4"/>
    <w:rsid w:val="70961D03"/>
    <w:rsid w:val="70B9559C"/>
    <w:rsid w:val="70F5661B"/>
    <w:rsid w:val="71125845"/>
    <w:rsid w:val="71357CB6"/>
    <w:rsid w:val="71360107"/>
    <w:rsid w:val="713B688E"/>
    <w:rsid w:val="714A4C8C"/>
    <w:rsid w:val="716342F2"/>
    <w:rsid w:val="71A6677C"/>
    <w:rsid w:val="71AF1970"/>
    <w:rsid w:val="71D43752"/>
    <w:rsid w:val="71F1796A"/>
    <w:rsid w:val="72154626"/>
    <w:rsid w:val="72262B5D"/>
    <w:rsid w:val="72283FF7"/>
    <w:rsid w:val="722E7212"/>
    <w:rsid w:val="7232489D"/>
    <w:rsid w:val="723A0474"/>
    <w:rsid w:val="725923E4"/>
    <w:rsid w:val="7262796D"/>
    <w:rsid w:val="72773728"/>
    <w:rsid w:val="72864BF7"/>
    <w:rsid w:val="729023FC"/>
    <w:rsid w:val="72F25F5A"/>
    <w:rsid w:val="735A1831"/>
    <w:rsid w:val="73C0646E"/>
    <w:rsid w:val="73CB43D1"/>
    <w:rsid w:val="742222F5"/>
    <w:rsid w:val="74476126"/>
    <w:rsid w:val="74706664"/>
    <w:rsid w:val="747F3682"/>
    <w:rsid w:val="74930F19"/>
    <w:rsid w:val="749C4185"/>
    <w:rsid w:val="74A16D28"/>
    <w:rsid w:val="74B801CE"/>
    <w:rsid w:val="74F45691"/>
    <w:rsid w:val="75067759"/>
    <w:rsid w:val="752E6DCD"/>
    <w:rsid w:val="7551380D"/>
    <w:rsid w:val="75600BE5"/>
    <w:rsid w:val="7564475C"/>
    <w:rsid w:val="757E5B9F"/>
    <w:rsid w:val="757F6616"/>
    <w:rsid w:val="7583797F"/>
    <w:rsid w:val="75917B29"/>
    <w:rsid w:val="75B74C0D"/>
    <w:rsid w:val="75B92F09"/>
    <w:rsid w:val="75C01326"/>
    <w:rsid w:val="75CC1203"/>
    <w:rsid w:val="75D20F1D"/>
    <w:rsid w:val="75DA2C18"/>
    <w:rsid w:val="75F54412"/>
    <w:rsid w:val="760D694D"/>
    <w:rsid w:val="761D08E0"/>
    <w:rsid w:val="76592EEE"/>
    <w:rsid w:val="765D347C"/>
    <w:rsid w:val="76607052"/>
    <w:rsid w:val="766755D0"/>
    <w:rsid w:val="76826699"/>
    <w:rsid w:val="76A870A5"/>
    <w:rsid w:val="76BD00E5"/>
    <w:rsid w:val="76C87133"/>
    <w:rsid w:val="76CD08D5"/>
    <w:rsid w:val="76DB4B92"/>
    <w:rsid w:val="77052AA4"/>
    <w:rsid w:val="77136511"/>
    <w:rsid w:val="77170059"/>
    <w:rsid w:val="77340A39"/>
    <w:rsid w:val="77351FD0"/>
    <w:rsid w:val="7744462F"/>
    <w:rsid w:val="77472422"/>
    <w:rsid w:val="777F31F2"/>
    <w:rsid w:val="77C6261E"/>
    <w:rsid w:val="77CD629B"/>
    <w:rsid w:val="77D1700D"/>
    <w:rsid w:val="77D31AA6"/>
    <w:rsid w:val="77E44E04"/>
    <w:rsid w:val="77EC04CC"/>
    <w:rsid w:val="78075902"/>
    <w:rsid w:val="784F55D0"/>
    <w:rsid w:val="78775729"/>
    <w:rsid w:val="788D60F9"/>
    <w:rsid w:val="789B20FA"/>
    <w:rsid w:val="78A42DB0"/>
    <w:rsid w:val="78A656AB"/>
    <w:rsid w:val="78B2245C"/>
    <w:rsid w:val="78B81351"/>
    <w:rsid w:val="78E172CC"/>
    <w:rsid w:val="78EA1D1F"/>
    <w:rsid w:val="7904172F"/>
    <w:rsid w:val="790C1713"/>
    <w:rsid w:val="790F7E27"/>
    <w:rsid w:val="79272A8A"/>
    <w:rsid w:val="792A231A"/>
    <w:rsid w:val="79316829"/>
    <w:rsid w:val="79340C5D"/>
    <w:rsid w:val="79441EE8"/>
    <w:rsid w:val="7956298E"/>
    <w:rsid w:val="797E66A9"/>
    <w:rsid w:val="798518A4"/>
    <w:rsid w:val="79A77132"/>
    <w:rsid w:val="79A97383"/>
    <w:rsid w:val="79DD3184"/>
    <w:rsid w:val="79E27E8B"/>
    <w:rsid w:val="79E47F9A"/>
    <w:rsid w:val="79ED50A1"/>
    <w:rsid w:val="79F850CE"/>
    <w:rsid w:val="79FD443C"/>
    <w:rsid w:val="7A1D1975"/>
    <w:rsid w:val="7A3E5150"/>
    <w:rsid w:val="7A4670D6"/>
    <w:rsid w:val="7A487BF8"/>
    <w:rsid w:val="7A490096"/>
    <w:rsid w:val="7A534B63"/>
    <w:rsid w:val="7A615382"/>
    <w:rsid w:val="7A67303B"/>
    <w:rsid w:val="7A707A80"/>
    <w:rsid w:val="7A721A4A"/>
    <w:rsid w:val="7AA51642"/>
    <w:rsid w:val="7AAB1D04"/>
    <w:rsid w:val="7ABA4368"/>
    <w:rsid w:val="7AC57DCC"/>
    <w:rsid w:val="7AD05746"/>
    <w:rsid w:val="7B072192"/>
    <w:rsid w:val="7B0B0CDB"/>
    <w:rsid w:val="7B257FFD"/>
    <w:rsid w:val="7B343476"/>
    <w:rsid w:val="7B5A2978"/>
    <w:rsid w:val="7B5A7E4C"/>
    <w:rsid w:val="7B667AF9"/>
    <w:rsid w:val="7B7468F8"/>
    <w:rsid w:val="7B9559F0"/>
    <w:rsid w:val="7BEE0103"/>
    <w:rsid w:val="7C0A0FE4"/>
    <w:rsid w:val="7C254906"/>
    <w:rsid w:val="7C590818"/>
    <w:rsid w:val="7C7C10F6"/>
    <w:rsid w:val="7C853BEA"/>
    <w:rsid w:val="7C881368"/>
    <w:rsid w:val="7C8820A3"/>
    <w:rsid w:val="7CDC13FD"/>
    <w:rsid w:val="7CE27788"/>
    <w:rsid w:val="7D080444"/>
    <w:rsid w:val="7D0C32F1"/>
    <w:rsid w:val="7D0F408D"/>
    <w:rsid w:val="7D276B1C"/>
    <w:rsid w:val="7D491C6C"/>
    <w:rsid w:val="7D5429C0"/>
    <w:rsid w:val="7D6E6D43"/>
    <w:rsid w:val="7D896CEA"/>
    <w:rsid w:val="7DB57A34"/>
    <w:rsid w:val="7DE60973"/>
    <w:rsid w:val="7DE65520"/>
    <w:rsid w:val="7DEF0916"/>
    <w:rsid w:val="7E105802"/>
    <w:rsid w:val="7E1E5218"/>
    <w:rsid w:val="7E2C27CE"/>
    <w:rsid w:val="7E4C41F6"/>
    <w:rsid w:val="7E8946B4"/>
    <w:rsid w:val="7E947E7A"/>
    <w:rsid w:val="7E9A4E1F"/>
    <w:rsid w:val="7EA7723A"/>
    <w:rsid w:val="7EC34F75"/>
    <w:rsid w:val="7ECF1219"/>
    <w:rsid w:val="7ED755DB"/>
    <w:rsid w:val="7EF56FBB"/>
    <w:rsid w:val="7F064380"/>
    <w:rsid w:val="7F0768EB"/>
    <w:rsid w:val="7F143BEC"/>
    <w:rsid w:val="7F3215D4"/>
    <w:rsid w:val="7F531E4A"/>
    <w:rsid w:val="7F6477A9"/>
    <w:rsid w:val="7F715AF2"/>
    <w:rsid w:val="7F886E69"/>
    <w:rsid w:val="7F8E145F"/>
    <w:rsid w:val="7FBC7F69"/>
    <w:rsid w:val="7FE74B3D"/>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1"/>
    <w:link w:val="319"/>
    <w:qFormat/>
    <w:uiPriority w:val="0"/>
    <w:pPr>
      <w:ind w:firstLine="420"/>
    </w:pPr>
    <w:rPr>
      <w:rFonts w:hAnsi="Calibri" w:cs="Times New Roman"/>
      <w:snapToGrid/>
      <w:szCs w:val="20"/>
    </w:rPr>
  </w:style>
  <w:style w:type="paragraph" w:styleId="3">
    <w:name w:val="Body Text"/>
    <w:basedOn w:val="1"/>
    <w:next w:val="2"/>
    <w:link w:val="428"/>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next w:val="1"/>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5"/>
    <w:qFormat/>
    <w:uiPriority w:val="0"/>
    <w:rPr>
      <w:b/>
      <w:bCs/>
    </w:rPr>
  </w:style>
  <w:style w:type="paragraph" w:styleId="61">
    <w:name w:val="Body Text First Indent 2"/>
    <w:basedOn w:val="25"/>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_Style 3"/>
    <w:basedOn w:val="1"/>
    <w:qFormat/>
    <w:uiPriority w:val="0"/>
    <w:pPr>
      <w:adjustRightInd/>
      <w:ind w:firstLine="420" w:firstLineChars="200"/>
    </w:pPr>
    <w:rPr>
      <w:rFonts w:eastAsia="仿宋_GB2312"/>
      <w:sz w:val="28"/>
    </w:rPr>
  </w:style>
  <w:style w:type="paragraph" w:styleId="80">
    <w:name w:val="List Paragraph"/>
    <w:basedOn w:val="1"/>
    <w:qFormat/>
    <w:uiPriority w:val="34"/>
    <w:pPr>
      <w:spacing w:line="360" w:lineRule="auto"/>
      <w:ind w:firstLine="200" w:firstLineChars="200"/>
    </w:pPr>
    <w:rPr>
      <w:rFonts w:eastAsia="楷体_GB2312" w:cs="Lucida Sans"/>
      <w:sz w:val="24"/>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1"/>
    <w:qFormat/>
    <w:uiPriority w:val="0"/>
    <w:rPr>
      <w:rFonts w:ascii="宋体" w:hAnsi="宋体"/>
      <w:kern w:val="2"/>
      <w:sz w:val="21"/>
      <w:szCs w:val="24"/>
    </w:rPr>
  </w:style>
  <w:style w:type="character" w:customStyle="1" w:styleId="121">
    <w:name w:val="font11"/>
    <w:basedOn w:val="69"/>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basedOn w:val="69"/>
    <w:qFormat/>
    <w:uiPriority w:val="0"/>
    <w:rPr>
      <w:rFonts w:hint="eastAsia" w:ascii="仿宋_GB2312" w:eastAsia="仿宋_GB2312" w:cs="仿宋_GB2312"/>
      <w:color w:val="000000"/>
      <w:sz w:val="22"/>
      <w:szCs w:val="22"/>
      <w:u w:val="none"/>
    </w:rPr>
  </w:style>
  <w:style w:type="character" w:customStyle="1" w:styleId="146">
    <w:name w:val="标题 6 Char"/>
    <w:link w:val="10"/>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5"/>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6"/>
    <w:qFormat/>
    <w:uiPriority w:val="0"/>
    <w:rPr>
      <w:rFonts w:ascii="宋体"/>
      <w:kern w:val="2"/>
      <w:sz w:val="24"/>
      <w:szCs w:val="21"/>
      <w:lang w:val="zh-CN"/>
    </w:rPr>
  </w:style>
  <w:style w:type="character" w:customStyle="1" w:styleId="181">
    <w:name w:val="标题 9 Char"/>
    <w:link w:val="13"/>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0"/>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7"/>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basedOn w:val="69"/>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8"/>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8"/>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80"/>
    <w:link w:val="255"/>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basedOn w:val="69"/>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basedOn w:val="69"/>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basedOn w:val="69"/>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4"/>
    <w:next w:val="234"/>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4"/>
    <w:next w:val="234"/>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0"/>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0"/>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963">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WPSOffice手动目录 1"/>
    <w:qFormat/>
    <w:uiPriority w:val="0"/>
    <w:pPr>
      <w:ind w:leftChars="0"/>
    </w:pPr>
    <w:rPr>
      <w:rFonts w:ascii="Times New Roman" w:hAnsi="Times New Roman" w:eastAsia="宋体" w:cs="Times New Roman"/>
      <w:sz w:val="20"/>
      <w:szCs w:val="20"/>
    </w:rPr>
  </w:style>
  <w:style w:type="paragraph" w:customStyle="1" w:styleId="965">
    <w:name w:val="列表段落"/>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37615</Words>
  <Characters>39689</Characters>
  <Lines>1</Lines>
  <Paragraphs>1</Paragraphs>
  <TotalTime>22</TotalTime>
  <ScaleCrop>false</ScaleCrop>
  <LinksUpToDate>false</LinksUpToDate>
  <CharactersWithSpaces>44668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朱同学。</cp:lastModifiedBy>
  <cp:lastPrinted>2023-03-28T06:19:00Z</cp:lastPrinted>
  <dcterms:modified xsi:type="dcterms:W3CDTF">2023-07-25T04:16:25Z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0D65CCA805844FC781561E586E5D4776</vt:lpwstr>
  </property>
</Properties>
</file>