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000000"/>
          <w:sz w:val="44"/>
          <w:szCs w:val="44"/>
        </w:rPr>
      </w:pPr>
      <w:bookmarkStart w:id="130" w:name="_GoBack"/>
      <w:bookmarkEnd w:id="130"/>
    </w:p>
    <w:p>
      <w:pPr>
        <w:jc w:val="center"/>
        <w:rPr>
          <w:rFonts w:hint="eastAsia" w:ascii="宋体" w:hAnsi="宋体" w:cs="宋体"/>
          <w:b/>
          <w:color w:val="000000"/>
          <w:sz w:val="44"/>
          <w:szCs w:val="44"/>
        </w:rPr>
      </w:pPr>
      <w:r>
        <w:rPr>
          <w:rFonts w:hint="eastAsia" w:ascii="宋体" w:hAnsi="宋体" w:cs="宋体"/>
          <w:b/>
          <w:color w:val="000000"/>
          <w:sz w:val="44"/>
          <w:szCs w:val="44"/>
        </w:rPr>
        <w:t>宁波杭州湾新区智能终端产业园区配套小学、幼儿园智慧校园采购项目</w:t>
      </w:r>
    </w:p>
    <w:p>
      <w:pPr>
        <w:rPr>
          <w:rFonts w:hint="eastAsia" w:ascii="宋体" w:hAnsi="宋体" w:cs="宋体"/>
          <w:b/>
          <w:color w:val="000000"/>
          <w:sz w:val="36"/>
          <w:szCs w:val="36"/>
        </w:rPr>
      </w:pPr>
    </w:p>
    <w:p>
      <w:pPr>
        <w:jc w:val="center"/>
        <w:rPr>
          <w:rFonts w:hint="eastAsia" w:ascii="宋体" w:hAnsi="宋体" w:cs="宋体"/>
          <w:b/>
          <w:color w:val="000000"/>
          <w:sz w:val="36"/>
          <w:szCs w:val="36"/>
        </w:rPr>
      </w:pPr>
    </w:p>
    <w:p>
      <w:pPr>
        <w:rPr>
          <w:rFonts w:hint="eastAsia" w:ascii="宋体" w:hAnsi="宋体" w:cs="宋体"/>
          <w:b/>
          <w:color w:val="000000"/>
          <w:szCs w:val="21"/>
        </w:rPr>
      </w:pPr>
      <w:r>
        <w:rPr>
          <w:rFonts w:hint="eastAsia" w:ascii="宋体" w:hAnsi="宋体" w:cs="宋体"/>
          <w:b/>
          <w:color w:val="000000"/>
          <w:sz w:val="36"/>
          <w:szCs w:val="36"/>
        </w:rPr>
        <w:t xml:space="preserve">              采购编号：</w:t>
      </w:r>
      <w:r>
        <w:rPr>
          <w:rFonts w:ascii="宋体" w:hAnsi="宋体" w:cs="宋体"/>
          <w:b/>
          <w:color w:val="000000"/>
          <w:sz w:val="36"/>
          <w:szCs w:val="36"/>
        </w:rPr>
        <w:t>HZWXQ20</w:t>
      </w:r>
      <w:r>
        <w:rPr>
          <w:rFonts w:hint="eastAsia" w:ascii="宋体" w:hAnsi="宋体" w:cs="宋体"/>
          <w:b/>
          <w:color w:val="000000"/>
          <w:sz w:val="36"/>
          <w:szCs w:val="36"/>
        </w:rPr>
        <w:t>20</w:t>
      </w:r>
      <w:r>
        <w:rPr>
          <w:rFonts w:ascii="宋体" w:hAnsi="宋体" w:cs="宋体"/>
          <w:b/>
          <w:color w:val="000000"/>
          <w:sz w:val="36"/>
          <w:szCs w:val="36"/>
        </w:rPr>
        <w:t>-</w:t>
      </w:r>
      <w:r>
        <w:rPr>
          <w:rFonts w:hint="eastAsia" w:ascii="宋体" w:hAnsi="宋体" w:cs="宋体"/>
          <w:b/>
          <w:color w:val="000000"/>
          <w:sz w:val="36"/>
          <w:szCs w:val="36"/>
        </w:rPr>
        <w:t xml:space="preserve">19 </w:t>
      </w:r>
      <w:r>
        <w:rPr>
          <w:rFonts w:ascii="宋体" w:hAnsi="宋体" w:cs="宋体"/>
          <w:b/>
          <w:color w:val="000000"/>
          <w:sz w:val="36"/>
          <w:szCs w:val="36"/>
        </w:rPr>
        <w:t xml:space="preserve"> </w:t>
      </w:r>
      <w:r>
        <w:rPr>
          <w:rFonts w:hint="eastAsia" w:ascii="宋体" w:hAnsi="宋体" w:cs="宋体"/>
          <w:b/>
          <w:color w:val="000000"/>
          <w:sz w:val="36"/>
          <w:szCs w:val="36"/>
        </w:rPr>
        <w:t xml:space="preserve">  </w:t>
      </w:r>
    </w:p>
    <w:p>
      <w:pPr>
        <w:rPr>
          <w:rFonts w:hint="eastAsia" w:ascii="宋体" w:hAnsi="宋体" w:cs="宋体"/>
          <w:b/>
          <w:bCs/>
          <w:color w:val="000000"/>
          <w:szCs w:val="21"/>
        </w:rPr>
      </w:pPr>
    </w:p>
    <w:p>
      <w:pPr>
        <w:rPr>
          <w:rFonts w:hint="eastAsia" w:ascii="宋体" w:hAnsi="宋体" w:cs="宋体"/>
          <w:b/>
          <w:bCs/>
          <w:color w:val="000000"/>
          <w:szCs w:val="21"/>
        </w:rPr>
      </w:pPr>
    </w:p>
    <w:p>
      <w:pPr>
        <w:rPr>
          <w:rFonts w:hint="eastAsia" w:ascii="宋体" w:hAnsi="宋体" w:cs="宋体"/>
          <w:b/>
          <w:bCs/>
          <w:color w:val="000000"/>
          <w:szCs w:val="21"/>
        </w:rPr>
      </w:pPr>
    </w:p>
    <w:p>
      <w:pPr>
        <w:jc w:val="center"/>
        <w:rPr>
          <w:rFonts w:hint="eastAsia" w:ascii="宋体" w:hAnsi="宋体" w:cs="宋体"/>
          <w:b/>
          <w:bCs/>
          <w:color w:val="000000"/>
          <w:sz w:val="72"/>
          <w:szCs w:val="72"/>
        </w:rPr>
      </w:pPr>
      <w:r>
        <w:rPr>
          <w:rFonts w:hint="eastAsia" w:ascii="宋体" w:hAnsi="宋体" w:cs="宋体"/>
          <w:b/>
          <w:bCs/>
          <w:color w:val="000000"/>
          <w:sz w:val="72"/>
          <w:szCs w:val="72"/>
        </w:rPr>
        <w:t>公</w:t>
      </w:r>
    </w:p>
    <w:p>
      <w:pPr>
        <w:jc w:val="center"/>
        <w:rPr>
          <w:rFonts w:hint="eastAsia" w:ascii="宋体" w:hAnsi="宋体" w:cs="宋体"/>
          <w:b/>
          <w:bCs/>
          <w:color w:val="000000"/>
          <w:sz w:val="72"/>
          <w:szCs w:val="72"/>
        </w:rPr>
      </w:pPr>
      <w:r>
        <w:rPr>
          <w:rFonts w:hint="eastAsia" w:ascii="宋体" w:hAnsi="宋体" w:cs="宋体"/>
          <w:b/>
          <w:bCs/>
          <w:color w:val="000000"/>
          <w:sz w:val="72"/>
          <w:szCs w:val="72"/>
        </w:rPr>
        <w:t>开</w:t>
      </w:r>
    </w:p>
    <w:p>
      <w:pPr>
        <w:jc w:val="center"/>
        <w:rPr>
          <w:rFonts w:hint="eastAsia" w:ascii="宋体" w:hAnsi="宋体" w:cs="宋体"/>
          <w:b/>
          <w:bCs/>
          <w:color w:val="000000"/>
          <w:sz w:val="72"/>
          <w:szCs w:val="72"/>
        </w:rPr>
      </w:pPr>
      <w:r>
        <w:rPr>
          <w:rFonts w:hint="eastAsia" w:ascii="宋体" w:hAnsi="宋体" w:cs="宋体"/>
          <w:b/>
          <w:bCs/>
          <w:color w:val="000000"/>
          <w:sz w:val="72"/>
          <w:szCs w:val="72"/>
        </w:rPr>
        <w:t>招</w:t>
      </w:r>
    </w:p>
    <w:p>
      <w:pPr>
        <w:jc w:val="center"/>
        <w:rPr>
          <w:rFonts w:hint="eastAsia" w:ascii="宋体" w:hAnsi="宋体" w:cs="宋体"/>
          <w:b/>
          <w:bCs/>
          <w:color w:val="000000"/>
          <w:sz w:val="72"/>
          <w:szCs w:val="72"/>
        </w:rPr>
      </w:pPr>
      <w:r>
        <w:rPr>
          <w:rFonts w:hint="eastAsia" w:ascii="宋体" w:hAnsi="宋体" w:cs="宋体"/>
          <w:b/>
          <w:bCs/>
          <w:color w:val="000000"/>
          <w:sz w:val="72"/>
          <w:szCs w:val="72"/>
        </w:rPr>
        <w:t>标</w:t>
      </w:r>
    </w:p>
    <w:p>
      <w:pPr>
        <w:jc w:val="center"/>
        <w:rPr>
          <w:rFonts w:hint="eastAsia" w:ascii="宋体" w:hAnsi="宋体" w:cs="宋体"/>
          <w:b/>
          <w:bCs/>
          <w:color w:val="000000"/>
          <w:sz w:val="72"/>
          <w:szCs w:val="72"/>
        </w:rPr>
      </w:pPr>
      <w:r>
        <w:rPr>
          <w:rFonts w:hint="eastAsia" w:ascii="宋体" w:hAnsi="宋体" w:cs="宋体"/>
          <w:b/>
          <w:bCs/>
          <w:color w:val="000000"/>
          <w:sz w:val="72"/>
          <w:szCs w:val="72"/>
        </w:rPr>
        <w:t>文</w:t>
      </w:r>
    </w:p>
    <w:p>
      <w:pPr>
        <w:jc w:val="center"/>
        <w:rPr>
          <w:rFonts w:hint="eastAsia" w:ascii="宋体" w:hAnsi="宋体" w:cs="宋体"/>
          <w:bCs/>
          <w:color w:val="000000"/>
          <w:sz w:val="52"/>
          <w:szCs w:val="52"/>
        </w:rPr>
      </w:pPr>
      <w:r>
        <w:rPr>
          <w:rFonts w:hint="eastAsia" w:ascii="宋体" w:hAnsi="宋体" w:cs="宋体"/>
          <w:b/>
          <w:bCs/>
          <w:color w:val="000000"/>
          <w:sz w:val="72"/>
          <w:szCs w:val="72"/>
        </w:rPr>
        <w:t>件</w:t>
      </w:r>
    </w:p>
    <w:p>
      <w:pPr>
        <w:rPr>
          <w:rFonts w:hint="eastAsia" w:ascii="宋体" w:hAnsi="宋体" w:cs="宋体"/>
          <w:bCs/>
          <w:color w:val="000000"/>
          <w:sz w:val="52"/>
          <w:szCs w:val="52"/>
        </w:rPr>
      </w:pPr>
    </w:p>
    <w:p>
      <w:pPr>
        <w:adjustRightInd w:val="0"/>
        <w:snapToGrid w:val="0"/>
        <w:spacing w:line="700" w:lineRule="exact"/>
        <w:rPr>
          <w:rFonts w:hint="eastAsia" w:ascii="宋体" w:hAnsi="宋体" w:cs="宋体"/>
          <w:b/>
          <w:bCs/>
          <w:color w:val="000000"/>
          <w:sz w:val="30"/>
          <w:szCs w:val="30"/>
        </w:rPr>
      </w:pPr>
      <w:r>
        <w:rPr>
          <w:rFonts w:hint="eastAsia" w:ascii="宋体" w:hAnsi="宋体" w:cs="宋体"/>
          <w:b/>
          <w:bCs/>
          <w:color w:val="000000"/>
          <w:sz w:val="30"/>
          <w:szCs w:val="30"/>
        </w:rPr>
        <w:t xml:space="preserve">     采购人：宁波杭州湾新区教育发展中心（盖章）</w:t>
      </w:r>
    </w:p>
    <w:p>
      <w:pPr>
        <w:adjustRightInd w:val="0"/>
        <w:snapToGrid w:val="0"/>
        <w:spacing w:line="700" w:lineRule="exact"/>
        <w:rPr>
          <w:rFonts w:hint="eastAsia" w:ascii="宋体" w:hAnsi="宋体" w:cs="宋体"/>
          <w:b/>
          <w:bCs/>
          <w:color w:val="000000"/>
          <w:sz w:val="30"/>
          <w:szCs w:val="30"/>
        </w:rPr>
      </w:pPr>
      <w:r>
        <w:rPr>
          <w:rFonts w:hint="eastAsia" w:ascii="宋体" w:hAnsi="宋体" w:cs="宋体"/>
          <w:b/>
          <w:bCs/>
          <w:color w:val="000000"/>
          <w:sz w:val="30"/>
          <w:szCs w:val="30"/>
        </w:rPr>
        <w:t xml:space="preserve">     采购代理机构：宁波高专建设监理有限公司（盖章）</w:t>
      </w:r>
    </w:p>
    <w:p>
      <w:pPr>
        <w:adjustRightInd w:val="0"/>
        <w:snapToGrid w:val="0"/>
        <w:spacing w:line="700" w:lineRule="exact"/>
        <w:rPr>
          <w:rFonts w:hint="eastAsia" w:ascii="宋体" w:hAnsi="宋体" w:cs="宋体"/>
          <w:b/>
          <w:bCs/>
          <w:color w:val="000000"/>
          <w:sz w:val="30"/>
          <w:szCs w:val="30"/>
        </w:rPr>
      </w:pPr>
      <w:r>
        <w:rPr>
          <w:rFonts w:hint="eastAsia" w:ascii="宋体" w:hAnsi="宋体" w:cs="宋体"/>
          <w:b/>
          <w:bCs/>
          <w:color w:val="000000"/>
          <w:sz w:val="30"/>
          <w:szCs w:val="30"/>
        </w:rPr>
        <w:t xml:space="preserve">     备案单位：宁波杭州湾新区公共资源交易管理办公室（盖章）</w:t>
      </w:r>
    </w:p>
    <w:p>
      <w:pPr>
        <w:adjustRightInd w:val="0"/>
        <w:snapToGrid w:val="0"/>
        <w:spacing w:line="700" w:lineRule="exact"/>
        <w:rPr>
          <w:rFonts w:hint="eastAsia" w:ascii="宋体" w:hAnsi="宋体" w:eastAsia="宋体" w:cs="宋体"/>
          <w:b/>
          <w:color w:val="000000"/>
          <w:sz w:val="28"/>
          <w:szCs w:val="28"/>
          <w:lang w:eastAsia="zh-CN"/>
        </w:rPr>
        <w:sectPr>
          <w:headerReference r:id="rId3" w:type="default"/>
          <w:footerReference r:id="rId4" w:type="default"/>
          <w:footerReference r:id="rId5" w:type="even"/>
          <w:type w:val="nextColumn"/>
          <w:pgSz w:w="11907" w:h="16840"/>
          <w:pgMar w:top="1418" w:right="1134" w:bottom="1418" w:left="1134" w:header="720" w:footer="720" w:gutter="0"/>
          <w:pgBorders w:offsetFrom="page">
            <w:top w:val="none" w:sz="0" w:space="0"/>
            <w:left w:val="none" w:sz="0" w:space="0"/>
            <w:bottom w:val="none" w:sz="0" w:space="0"/>
            <w:right w:val="none" w:sz="0" w:space="0"/>
          </w:pgBorders>
          <w:pgNumType w:start="1"/>
          <w:cols w:space="720" w:num="1"/>
          <w:docGrid w:linePitch="285" w:charSpace="0"/>
        </w:sectPr>
      </w:pPr>
      <w:r>
        <w:rPr>
          <w:rFonts w:hint="eastAsia" w:ascii="宋体" w:hAnsi="宋体" w:cs="宋体"/>
          <w:b/>
          <w:bCs/>
          <w:color w:val="000000"/>
          <w:sz w:val="30"/>
          <w:szCs w:val="30"/>
        </w:rPr>
        <w:t xml:space="preserve">     编制日期：</w:t>
      </w:r>
      <w:r>
        <w:rPr>
          <w:rFonts w:hint="eastAsia" w:ascii="宋体" w:hAnsi="宋体" w:cs="宋体"/>
          <w:b/>
          <w:bCs/>
          <w:color w:val="000000"/>
          <w:sz w:val="30"/>
          <w:szCs w:val="30"/>
          <w:lang w:eastAsia="zh-CN"/>
        </w:rPr>
        <w:t>2020年4月</w:t>
      </w:r>
    </w:p>
    <w:p>
      <w:pPr>
        <w:spacing w:line="1000" w:lineRule="exact"/>
        <w:jc w:val="center"/>
        <w:rPr>
          <w:rFonts w:hint="eastAsia" w:ascii="宋体" w:hAnsi="宋体" w:cs="宋体"/>
          <w:color w:val="000000"/>
          <w:sz w:val="48"/>
          <w:szCs w:val="48"/>
        </w:rPr>
      </w:pPr>
      <w:r>
        <w:rPr>
          <w:rFonts w:hint="eastAsia" w:ascii="宋体" w:hAnsi="宋体" w:cs="宋体"/>
          <w:b/>
          <w:color w:val="000000"/>
          <w:sz w:val="48"/>
          <w:szCs w:val="48"/>
        </w:rPr>
        <w:t>温馨提醒</w:t>
      </w:r>
    </w:p>
    <w:p>
      <w:pPr>
        <w:spacing w:line="1000" w:lineRule="exact"/>
        <w:jc w:val="center"/>
        <w:rPr>
          <w:rFonts w:hint="eastAsia" w:ascii="宋体" w:hAnsi="宋体" w:cs="宋体"/>
          <w:color w:val="000000"/>
          <w:sz w:val="32"/>
          <w:szCs w:val="32"/>
        </w:rPr>
      </w:pPr>
    </w:p>
    <w:p>
      <w:pPr>
        <w:spacing w:line="360" w:lineRule="auto"/>
        <w:ind w:firstLine="602" w:firstLineChars="200"/>
        <w:jc w:val="left"/>
        <w:rPr>
          <w:rFonts w:hint="eastAsia" w:ascii="宋体" w:hAnsi="宋体" w:cs="宋体"/>
          <w:b/>
          <w:color w:val="000000"/>
          <w:sz w:val="30"/>
          <w:szCs w:val="30"/>
        </w:rPr>
      </w:pPr>
      <w:r>
        <w:rPr>
          <w:rFonts w:hint="eastAsia" w:ascii="宋体" w:hAnsi="宋体" w:cs="宋体"/>
          <w:b/>
          <w:color w:val="000000"/>
          <w:sz w:val="30"/>
          <w:szCs w:val="30"/>
        </w:rPr>
        <w:t>采购人可以对已发出的招标文件进行必要的澄清或者修改，将以“澄清公告”的形式发布在政采云平台，供应商应及时登录政采云平台，进行浏览并下载，未及时浏览下载的责任自负。</w:t>
      </w:r>
    </w:p>
    <w:p>
      <w:pPr>
        <w:spacing w:line="360" w:lineRule="auto"/>
        <w:jc w:val="left"/>
        <w:rPr>
          <w:rFonts w:hint="eastAsia" w:ascii="宋体" w:hAnsi="宋体" w:cs="宋体"/>
          <w:b/>
          <w:color w:val="000000"/>
          <w:sz w:val="30"/>
          <w:szCs w:val="30"/>
        </w:rPr>
      </w:pPr>
    </w:p>
    <w:p>
      <w:pPr>
        <w:spacing w:line="360" w:lineRule="auto"/>
        <w:jc w:val="left"/>
        <w:rPr>
          <w:rFonts w:hint="eastAsia" w:ascii="宋体" w:hAnsi="宋体" w:cs="宋体"/>
          <w:b/>
          <w:color w:val="000000"/>
          <w:sz w:val="30"/>
          <w:szCs w:val="30"/>
        </w:rPr>
      </w:pPr>
    </w:p>
    <w:p>
      <w:pPr>
        <w:spacing w:line="360" w:lineRule="auto"/>
        <w:jc w:val="left"/>
        <w:rPr>
          <w:rFonts w:hint="eastAsia" w:ascii="宋体" w:hAnsi="宋体" w:cs="宋体"/>
          <w:b/>
          <w:color w:val="000000"/>
          <w:sz w:val="30"/>
          <w:szCs w:val="30"/>
        </w:rPr>
      </w:pPr>
    </w:p>
    <w:p>
      <w:pPr>
        <w:spacing w:line="360" w:lineRule="auto"/>
        <w:jc w:val="left"/>
        <w:rPr>
          <w:rFonts w:hint="eastAsia" w:ascii="宋体" w:hAnsi="宋体" w:cs="宋体"/>
          <w:b/>
          <w:color w:val="000000"/>
          <w:sz w:val="30"/>
          <w:szCs w:val="30"/>
        </w:rPr>
      </w:pPr>
    </w:p>
    <w:p>
      <w:pPr>
        <w:spacing w:line="360" w:lineRule="auto"/>
        <w:jc w:val="left"/>
        <w:rPr>
          <w:rFonts w:hint="eastAsia" w:ascii="宋体" w:hAnsi="宋体" w:cs="宋体"/>
          <w:b/>
          <w:color w:val="000000"/>
          <w:sz w:val="30"/>
          <w:szCs w:val="30"/>
        </w:rPr>
      </w:pPr>
    </w:p>
    <w:p>
      <w:pPr>
        <w:spacing w:line="360" w:lineRule="auto"/>
        <w:jc w:val="left"/>
        <w:rPr>
          <w:rFonts w:hint="eastAsia" w:ascii="宋体" w:hAnsi="宋体" w:cs="宋体"/>
          <w:b/>
          <w:color w:val="000000"/>
          <w:sz w:val="30"/>
          <w:szCs w:val="30"/>
        </w:rPr>
      </w:pPr>
    </w:p>
    <w:p>
      <w:pPr>
        <w:spacing w:line="360" w:lineRule="auto"/>
        <w:jc w:val="left"/>
        <w:rPr>
          <w:rFonts w:hint="eastAsia" w:ascii="宋体" w:hAnsi="宋体" w:cs="宋体"/>
          <w:b/>
          <w:color w:val="000000"/>
          <w:sz w:val="30"/>
          <w:szCs w:val="30"/>
        </w:rPr>
      </w:pPr>
    </w:p>
    <w:p>
      <w:pPr>
        <w:spacing w:line="360" w:lineRule="auto"/>
        <w:jc w:val="left"/>
        <w:rPr>
          <w:rFonts w:hint="eastAsia" w:ascii="宋体" w:hAnsi="宋体" w:cs="宋体"/>
          <w:b/>
          <w:color w:val="000000"/>
          <w:sz w:val="30"/>
          <w:szCs w:val="30"/>
        </w:rPr>
      </w:pPr>
    </w:p>
    <w:p>
      <w:pPr>
        <w:spacing w:line="360" w:lineRule="auto"/>
        <w:jc w:val="left"/>
        <w:rPr>
          <w:rFonts w:hint="eastAsia" w:ascii="宋体" w:hAnsi="宋体" w:cs="宋体"/>
          <w:b/>
          <w:color w:val="000000"/>
          <w:sz w:val="30"/>
          <w:szCs w:val="30"/>
        </w:rPr>
      </w:pPr>
    </w:p>
    <w:p>
      <w:pPr>
        <w:spacing w:line="360" w:lineRule="auto"/>
        <w:jc w:val="left"/>
        <w:rPr>
          <w:rFonts w:hint="eastAsia" w:ascii="宋体" w:hAnsi="宋体" w:cs="宋体"/>
          <w:b/>
          <w:color w:val="000000"/>
          <w:sz w:val="30"/>
          <w:szCs w:val="30"/>
        </w:rPr>
      </w:pPr>
    </w:p>
    <w:p>
      <w:pPr>
        <w:spacing w:line="360" w:lineRule="auto"/>
        <w:jc w:val="left"/>
        <w:rPr>
          <w:rFonts w:hint="eastAsia" w:ascii="宋体" w:hAnsi="宋体" w:cs="宋体"/>
          <w:b/>
          <w:color w:val="000000"/>
          <w:sz w:val="30"/>
          <w:szCs w:val="30"/>
        </w:rPr>
      </w:pPr>
    </w:p>
    <w:p>
      <w:pPr>
        <w:spacing w:line="360" w:lineRule="auto"/>
        <w:jc w:val="left"/>
        <w:rPr>
          <w:rFonts w:hint="eastAsia" w:ascii="宋体" w:hAnsi="宋体" w:cs="宋体"/>
          <w:b/>
          <w:color w:val="000000"/>
          <w:sz w:val="30"/>
          <w:szCs w:val="30"/>
        </w:rPr>
      </w:pPr>
    </w:p>
    <w:p>
      <w:pPr>
        <w:spacing w:line="360" w:lineRule="auto"/>
        <w:jc w:val="left"/>
        <w:rPr>
          <w:rFonts w:hint="eastAsia" w:ascii="宋体" w:hAnsi="宋体" w:cs="宋体"/>
          <w:b/>
          <w:color w:val="000000"/>
          <w:sz w:val="30"/>
          <w:szCs w:val="30"/>
        </w:rPr>
      </w:pPr>
    </w:p>
    <w:p>
      <w:pPr>
        <w:spacing w:line="360" w:lineRule="auto"/>
        <w:jc w:val="left"/>
        <w:rPr>
          <w:rFonts w:hint="eastAsia" w:ascii="宋体" w:hAnsi="宋体" w:cs="宋体"/>
          <w:b/>
          <w:color w:val="000000"/>
          <w:sz w:val="30"/>
          <w:szCs w:val="30"/>
        </w:rPr>
      </w:pPr>
    </w:p>
    <w:p>
      <w:pPr>
        <w:spacing w:line="360" w:lineRule="auto"/>
        <w:jc w:val="left"/>
        <w:rPr>
          <w:rFonts w:hint="eastAsia" w:ascii="宋体" w:hAnsi="宋体" w:cs="宋体"/>
          <w:b/>
          <w:color w:val="000000"/>
          <w:sz w:val="30"/>
          <w:szCs w:val="30"/>
        </w:rPr>
      </w:pPr>
    </w:p>
    <w:p>
      <w:pPr>
        <w:pStyle w:val="2"/>
        <w:rPr>
          <w:rFonts w:hint="eastAsia" w:ascii="宋体" w:hAnsi="宋体" w:cs="宋体"/>
          <w:b/>
          <w:color w:val="000000"/>
          <w:sz w:val="30"/>
          <w:szCs w:val="30"/>
        </w:rPr>
      </w:pPr>
    </w:p>
    <w:p>
      <w:pPr>
        <w:pStyle w:val="2"/>
        <w:rPr>
          <w:rFonts w:hint="eastAsia" w:ascii="宋体" w:hAnsi="宋体" w:cs="宋体"/>
          <w:b/>
          <w:color w:val="000000"/>
          <w:sz w:val="30"/>
          <w:szCs w:val="30"/>
        </w:rPr>
      </w:pPr>
    </w:p>
    <w:p>
      <w:pPr>
        <w:spacing w:line="360" w:lineRule="auto"/>
        <w:jc w:val="left"/>
        <w:rPr>
          <w:rFonts w:hint="eastAsia" w:ascii="宋体" w:hAnsi="宋体" w:cs="宋体"/>
          <w:b/>
          <w:color w:val="000000"/>
          <w:sz w:val="30"/>
          <w:szCs w:val="30"/>
        </w:rPr>
      </w:pPr>
    </w:p>
    <w:p>
      <w:pPr>
        <w:tabs>
          <w:tab w:val="center" w:pos="4365"/>
        </w:tabs>
        <w:spacing w:line="480" w:lineRule="auto"/>
        <w:jc w:val="left"/>
        <w:rPr>
          <w:rFonts w:hint="eastAsia" w:ascii="宋体" w:hAnsi="宋体" w:cs="宋体"/>
          <w:b/>
          <w:color w:val="000000"/>
          <w:sz w:val="52"/>
          <w:szCs w:val="52"/>
        </w:rPr>
      </w:pPr>
      <w:r>
        <w:rPr>
          <w:rFonts w:hint="eastAsia" w:ascii="宋体" w:hAnsi="宋体" w:cs="宋体"/>
          <w:b/>
          <w:color w:val="000000"/>
          <w:sz w:val="52"/>
          <w:szCs w:val="52"/>
        </w:rPr>
        <w:tab/>
      </w:r>
      <w:r>
        <w:rPr>
          <w:rFonts w:hint="eastAsia" w:ascii="宋体" w:hAnsi="宋体" w:cs="宋体"/>
          <w:b/>
          <w:color w:val="000000"/>
          <w:sz w:val="52"/>
          <w:szCs w:val="52"/>
        </w:rPr>
        <w:t>目    录</w:t>
      </w:r>
    </w:p>
    <w:p>
      <w:pPr>
        <w:pStyle w:val="30"/>
        <w:tabs>
          <w:tab w:val="right" w:leader="dot" w:pos="9639"/>
          <w:tab w:val="clear" w:pos="8721"/>
        </w:tabs>
        <w:spacing w:line="360" w:lineRule="auto"/>
        <w:rPr>
          <w:color w:val="000000"/>
          <w:sz w:val="21"/>
          <w:szCs w:val="21"/>
        </w:rPr>
      </w:pPr>
      <w:r>
        <w:rPr>
          <w:rFonts w:hint="eastAsia" w:cs="宋体"/>
          <w:color w:val="000000"/>
          <w:sz w:val="21"/>
          <w:szCs w:val="21"/>
        </w:rPr>
        <w:fldChar w:fldCharType="begin"/>
      </w:r>
      <w:r>
        <w:rPr>
          <w:rFonts w:hint="eastAsia" w:cs="宋体"/>
          <w:color w:val="000000"/>
          <w:sz w:val="21"/>
          <w:szCs w:val="21"/>
        </w:rPr>
        <w:instrText xml:space="preserve"> TOC \o "1-3" \h \z \u </w:instrText>
      </w:r>
      <w:r>
        <w:rPr>
          <w:rFonts w:hint="eastAsia" w:cs="宋体"/>
          <w:color w:val="000000"/>
          <w:sz w:val="21"/>
          <w:szCs w:val="21"/>
        </w:rPr>
        <w:fldChar w:fldCharType="separate"/>
      </w:r>
      <w:r>
        <w:rPr>
          <w:rFonts w:hint="eastAsia" w:cs="宋体"/>
          <w:color w:val="000000"/>
          <w:sz w:val="21"/>
          <w:szCs w:val="21"/>
        </w:rPr>
        <w:fldChar w:fldCharType="begin"/>
      </w:r>
      <w:r>
        <w:rPr>
          <w:rFonts w:hint="eastAsia" w:cs="宋体"/>
          <w:color w:val="000000"/>
          <w:sz w:val="21"/>
          <w:szCs w:val="21"/>
        </w:rPr>
        <w:instrText xml:space="preserve"> HYPERLINK \l _Toc31323 </w:instrText>
      </w:r>
      <w:r>
        <w:rPr>
          <w:rFonts w:hint="eastAsia" w:cs="宋体"/>
          <w:color w:val="000000"/>
          <w:sz w:val="21"/>
          <w:szCs w:val="21"/>
        </w:rPr>
        <w:fldChar w:fldCharType="separate"/>
      </w:r>
      <w:r>
        <w:rPr>
          <w:rFonts w:hint="eastAsia" w:cs="宋体"/>
          <w:color w:val="000000"/>
          <w:sz w:val="21"/>
          <w:szCs w:val="21"/>
        </w:rPr>
        <w:t>第一章  采购公告</w:t>
      </w:r>
      <w:r>
        <w:rPr>
          <w:color w:val="000000"/>
          <w:sz w:val="21"/>
          <w:szCs w:val="21"/>
        </w:rPr>
        <w:tab/>
      </w:r>
      <w:r>
        <w:rPr>
          <w:color w:val="000000"/>
          <w:sz w:val="21"/>
          <w:szCs w:val="21"/>
        </w:rPr>
        <w:fldChar w:fldCharType="begin"/>
      </w:r>
      <w:r>
        <w:rPr>
          <w:color w:val="000000"/>
          <w:sz w:val="21"/>
          <w:szCs w:val="21"/>
        </w:rPr>
        <w:instrText xml:space="preserve"> PAGEREF _Toc31323 </w:instrText>
      </w:r>
      <w:r>
        <w:rPr>
          <w:color w:val="000000"/>
          <w:sz w:val="21"/>
          <w:szCs w:val="21"/>
        </w:rPr>
        <w:fldChar w:fldCharType="separate"/>
      </w:r>
      <w:r>
        <w:rPr>
          <w:color w:val="000000"/>
          <w:sz w:val="21"/>
          <w:szCs w:val="21"/>
        </w:rPr>
        <w:t>1</w:t>
      </w:r>
      <w:r>
        <w:rPr>
          <w:color w:val="000000"/>
          <w:sz w:val="21"/>
          <w:szCs w:val="21"/>
        </w:rPr>
        <w:fldChar w:fldCharType="end"/>
      </w:r>
      <w:r>
        <w:rPr>
          <w:rFonts w:hint="eastAsia" w:cs="宋体"/>
          <w:color w:val="000000"/>
          <w:sz w:val="21"/>
          <w:szCs w:val="21"/>
        </w:rPr>
        <w:fldChar w:fldCharType="end"/>
      </w:r>
    </w:p>
    <w:p>
      <w:pPr>
        <w:pStyle w:val="30"/>
        <w:tabs>
          <w:tab w:val="right" w:leader="dot" w:pos="9639"/>
          <w:tab w:val="clear" w:pos="8721"/>
        </w:tabs>
        <w:spacing w:line="360" w:lineRule="auto"/>
        <w:rPr>
          <w:color w:val="000000"/>
          <w:sz w:val="21"/>
          <w:szCs w:val="21"/>
        </w:rPr>
      </w:pPr>
      <w:r>
        <w:rPr>
          <w:rFonts w:hint="eastAsia" w:cs="宋体"/>
          <w:color w:val="000000"/>
          <w:sz w:val="21"/>
          <w:szCs w:val="21"/>
        </w:rPr>
        <w:fldChar w:fldCharType="begin"/>
      </w:r>
      <w:r>
        <w:rPr>
          <w:rFonts w:hint="eastAsia" w:cs="宋体"/>
          <w:color w:val="000000"/>
          <w:sz w:val="21"/>
          <w:szCs w:val="21"/>
        </w:rPr>
        <w:instrText xml:space="preserve"> HYPERLINK \l _Toc16878 </w:instrText>
      </w:r>
      <w:r>
        <w:rPr>
          <w:rFonts w:hint="eastAsia" w:cs="宋体"/>
          <w:color w:val="000000"/>
          <w:sz w:val="21"/>
          <w:szCs w:val="21"/>
        </w:rPr>
        <w:fldChar w:fldCharType="separate"/>
      </w:r>
      <w:r>
        <w:rPr>
          <w:rFonts w:hint="eastAsia" w:cs="宋体"/>
          <w:color w:val="000000"/>
          <w:sz w:val="21"/>
          <w:szCs w:val="21"/>
        </w:rPr>
        <w:t>第二章  投标须知</w:t>
      </w:r>
      <w:r>
        <w:rPr>
          <w:color w:val="000000"/>
          <w:sz w:val="21"/>
          <w:szCs w:val="21"/>
        </w:rPr>
        <w:tab/>
      </w:r>
      <w:r>
        <w:rPr>
          <w:color w:val="000000"/>
          <w:sz w:val="21"/>
          <w:szCs w:val="21"/>
        </w:rPr>
        <w:fldChar w:fldCharType="begin"/>
      </w:r>
      <w:r>
        <w:rPr>
          <w:color w:val="000000"/>
          <w:sz w:val="21"/>
          <w:szCs w:val="21"/>
        </w:rPr>
        <w:instrText xml:space="preserve"> PAGEREF _Toc16878 </w:instrText>
      </w:r>
      <w:r>
        <w:rPr>
          <w:color w:val="000000"/>
          <w:sz w:val="21"/>
          <w:szCs w:val="21"/>
        </w:rPr>
        <w:fldChar w:fldCharType="separate"/>
      </w:r>
      <w:r>
        <w:rPr>
          <w:color w:val="000000"/>
          <w:sz w:val="21"/>
          <w:szCs w:val="21"/>
        </w:rPr>
        <w:t>4</w:t>
      </w:r>
      <w:r>
        <w:rPr>
          <w:color w:val="000000"/>
          <w:sz w:val="21"/>
          <w:szCs w:val="21"/>
        </w:rPr>
        <w:fldChar w:fldCharType="end"/>
      </w:r>
      <w:r>
        <w:rPr>
          <w:rFonts w:hint="eastAsia" w:cs="宋体"/>
          <w:color w:val="000000"/>
          <w:sz w:val="21"/>
          <w:szCs w:val="21"/>
        </w:rPr>
        <w:fldChar w:fldCharType="end"/>
      </w:r>
    </w:p>
    <w:p>
      <w:pPr>
        <w:pStyle w:val="30"/>
        <w:tabs>
          <w:tab w:val="right" w:leader="dot" w:pos="9639"/>
          <w:tab w:val="clear" w:pos="8721"/>
        </w:tabs>
        <w:spacing w:line="360" w:lineRule="auto"/>
        <w:rPr>
          <w:color w:val="000000"/>
          <w:sz w:val="21"/>
          <w:szCs w:val="21"/>
        </w:rPr>
      </w:pPr>
      <w:r>
        <w:rPr>
          <w:rFonts w:hint="eastAsia" w:cs="宋体"/>
          <w:color w:val="000000"/>
          <w:sz w:val="21"/>
          <w:szCs w:val="21"/>
        </w:rPr>
        <w:fldChar w:fldCharType="begin"/>
      </w:r>
      <w:r>
        <w:rPr>
          <w:rFonts w:hint="eastAsia" w:cs="宋体"/>
          <w:color w:val="000000"/>
          <w:sz w:val="21"/>
          <w:szCs w:val="21"/>
        </w:rPr>
        <w:instrText xml:space="preserve"> HYPERLINK \l _Toc25489 </w:instrText>
      </w:r>
      <w:r>
        <w:rPr>
          <w:rFonts w:hint="eastAsia" w:cs="宋体"/>
          <w:color w:val="000000"/>
          <w:sz w:val="21"/>
          <w:szCs w:val="21"/>
        </w:rPr>
        <w:fldChar w:fldCharType="separate"/>
      </w:r>
      <w:r>
        <w:rPr>
          <w:rFonts w:hint="eastAsia" w:cs="宋体"/>
          <w:color w:val="000000"/>
          <w:sz w:val="21"/>
          <w:szCs w:val="21"/>
        </w:rPr>
        <w:t>第三章  评标办</w:t>
      </w:r>
      <w:bookmarkStart w:id="0" w:name="_Hlt28350711"/>
      <w:bookmarkStart w:id="1" w:name="_Hlt28357293"/>
      <w:r>
        <w:rPr>
          <w:rFonts w:hint="eastAsia" w:cs="宋体"/>
          <w:color w:val="000000"/>
          <w:sz w:val="21"/>
          <w:szCs w:val="21"/>
        </w:rPr>
        <w:t>法</w:t>
      </w:r>
      <w:bookmarkEnd w:id="0"/>
      <w:bookmarkEnd w:id="1"/>
      <w:r>
        <w:rPr>
          <w:rFonts w:hint="eastAsia" w:cs="宋体"/>
          <w:color w:val="000000"/>
          <w:sz w:val="21"/>
          <w:szCs w:val="21"/>
        </w:rPr>
        <w:t>及标准</w:t>
      </w:r>
      <w:r>
        <w:rPr>
          <w:color w:val="000000"/>
          <w:sz w:val="21"/>
          <w:szCs w:val="21"/>
        </w:rPr>
        <w:tab/>
      </w:r>
      <w:r>
        <w:rPr>
          <w:color w:val="000000"/>
          <w:sz w:val="21"/>
          <w:szCs w:val="21"/>
        </w:rPr>
        <w:fldChar w:fldCharType="begin"/>
      </w:r>
      <w:r>
        <w:rPr>
          <w:color w:val="000000"/>
          <w:sz w:val="21"/>
          <w:szCs w:val="21"/>
        </w:rPr>
        <w:instrText xml:space="preserve"> PAGEREF _Toc25489 </w:instrText>
      </w:r>
      <w:r>
        <w:rPr>
          <w:color w:val="000000"/>
          <w:sz w:val="21"/>
          <w:szCs w:val="21"/>
        </w:rPr>
        <w:fldChar w:fldCharType="separate"/>
      </w:r>
      <w:r>
        <w:rPr>
          <w:color w:val="000000"/>
          <w:sz w:val="21"/>
          <w:szCs w:val="21"/>
        </w:rPr>
        <w:t>12</w:t>
      </w:r>
      <w:r>
        <w:rPr>
          <w:color w:val="000000"/>
          <w:sz w:val="21"/>
          <w:szCs w:val="21"/>
        </w:rPr>
        <w:fldChar w:fldCharType="end"/>
      </w:r>
      <w:r>
        <w:rPr>
          <w:rFonts w:hint="eastAsia" w:cs="宋体"/>
          <w:color w:val="000000"/>
          <w:sz w:val="21"/>
          <w:szCs w:val="21"/>
        </w:rPr>
        <w:fldChar w:fldCharType="end"/>
      </w:r>
    </w:p>
    <w:p>
      <w:pPr>
        <w:pStyle w:val="30"/>
        <w:tabs>
          <w:tab w:val="right" w:leader="dot" w:pos="9639"/>
          <w:tab w:val="clear" w:pos="8721"/>
        </w:tabs>
        <w:spacing w:line="360" w:lineRule="auto"/>
        <w:rPr>
          <w:color w:val="000000"/>
          <w:sz w:val="21"/>
          <w:szCs w:val="21"/>
        </w:rPr>
      </w:pPr>
      <w:r>
        <w:rPr>
          <w:rFonts w:hint="eastAsia" w:cs="宋体"/>
          <w:color w:val="000000"/>
          <w:sz w:val="21"/>
          <w:szCs w:val="21"/>
        </w:rPr>
        <w:fldChar w:fldCharType="begin"/>
      </w:r>
      <w:r>
        <w:rPr>
          <w:rFonts w:hint="eastAsia" w:cs="宋体"/>
          <w:color w:val="000000"/>
          <w:sz w:val="21"/>
          <w:szCs w:val="21"/>
        </w:rPr>
        <w:instrText xml:space="preserve"> HYPERLINK \l _Toc16469 </w:instrText>
      </w:r>
      <w:r>
        <w:rPr>
          <w:rFonts w:hint="eastAsia" w:cs="宋体"/>
          <w:color w:val="000000"/>
          <w:sz w:val="21"/>
          <w:szCs w:val="21"/>
        </w:rPr>
        <w:fldChar w:fldCharType="separate"/>
      </w:r>
      <w:r>
        <w:rPr>
          <w:rFonts w:hint="eastAsia" w:cs="宋体"/>
          <w:color w:val="000000"/>
          <w:sz w:val="21"/>
          <w:szCs w:val="21"/>
        </w:rPr>
        <w:t>第四章  合同样本</w:t>
      </w:r>
      <w:r>
        <w:rPr>
          <w:color w:val="000000"/>
          <w:sz w:val="21"/>
          <w:szCs w:val="21"/>
        </w:rPr>
        <w:tab/>
      </w:r>
      <w:r>
        <w:rPr>
          <w:color w:val="000000"/>
          <w:sz w:val="21"/>
          <w:szCs w:val="21"/>
        </w:rPr>
        <w:fldChar w:fldCharType="begin"/>
      </w:r>
      <w:r>
        <w:rPr>
          <w:color w:val="000000"/>
          <w:sz w:val="21"/>
          <w:szCs w:val="21"/>
        </w:rPr>
        <w:instrText xml:space="preserve"> PAGEREF _Toc16469 </w:instrText>
      </w:r>
      <w:r>
        <w:rPr>
          <w:color w:val="000000"/>
          <w:sz w:val="21"/>
          <w:szCs w:val="21"/>
        </w:rPr>
        <w:fldChar w:fldCharType="separate"/>
      </w:r>
      <w:r>
        <w:rPr>
          <w:color w:val="000000"/>
          <w:sz w:val="21"/>
          <w:szCs w:val="21"/>
        </w:rPr>
        <w:t>23</w:t>
      </w:r>
      <w:r>
        <w:rPr>
          <w:color w:val="000000"/>
          <w:sz w:val="21"/>
          <w:szCs w:val="21"/>
        </w:rPr>
        <w:fldChar w:fldCharType="end"/>
      </w:r>
      <w:r>
        <w:rPr>
          <w:rFonts w:hint="eastAsia" w:cs="宋体"/>
          <w:color w:val="000000"/>
          <w:sz w:val="21"/>
          <w:szCs w:val="21"/>
        </w:rPr>
        <w:fldChar w:fldCharType="end"/>
      </w:r>
    </w:p>
    <w:p>
      <w:pPr>
        <w:pStyle w:val="30"/>
        <w:tabs>
          <w:tab w:val="right" w:leader="dot" w:pos="9639"/>
          <w:tab w:val="clear" w:pos="8721"/>
        </w:tabs>
        <w:spacing w:line="360" w:lineRule="auto"/>
        <w:rPr>
          <w:color w:val="000000"/>
          <w:sz w:val="21"/>
          <w:szCs w:val="21"/>
        </w:rPr>
      </w:pPr>
      <w:r>
        <w:rPr>
          <w:rFonts w:hint="eastAsia" w:cs="宋体"/>
          <w:color w:val="000000"/>
          <w:sz w:val="21"/>
          <w:szCs w:val="21"/>
        </w:rPr>
        <w:fldChar w:fldCharType="begin"/>
      </w:r>
      <w:r>
        <w:rPr>
          <w:rFonts w:hint="eastAsia" w:cs="宋体"/>
          <w:color w:val="000000"/>
          <w:sz w:val="21"/>
          <w:szCs w:val="21"/>
        </w:rPr>
        <w:instrText xml:space="preserve"> HYPERLINK \l _Toc14161 </w:instrText>
      </w:r>
      <w:r>
        <w:rPr>
          <w:rFonts w:hint="eastAsia" w:cs="宋体"/>
          <w:color w:val="000000"/>
          <w:sz w:val="21"/>
          <w:szCs w:val="21"/>
        </w:rPr>
        <w:fldChar w:fldCharType="separate"/>
      </w:r>
      <w:r>
        <w:rPr>
          <w:rFonts w:hint="eastAsia" w:cs="宋体"/>
          <w:color w:val="000000"/>
          <w:sz w:val="21"/>
          <w:szCs w:val="21"/>
        </w:rPr>
        <w:t>第五章  招标内容与技术需求</w:t>
      </w:r>
      <w:r>
        <w:rPr>
          <w:color w:val="000000"/>
          <w:sz w:val="21"/>
          <w:szCs w:val="21"/>
        </w:rPr>
        <w:tab/>
      </w:r>
      <w:r>
        <w:rPr>
          <w:color w:val="000000"/>
          <w:sz w:val="21"/>
          <w:szCs w:val="21"/>
        </w:rPr>
        <w:fldChar w:fldCharType="begin"/>
      </w:r>
      <w:r>
        <w:rPr>
          <w:color w:val="000000"/>
          <w:sz w:val="21"/>
          <w:szCs w:val="21"/>
        </w:rPr>
        <w:instrText xml:space="preserve"> PAGEREF _Toc14161 </w:instrText>
      </w:r>
      <w:r>
        <w:rPr>
          <w:color w:val="000000"/>
          <w:sz w:val="21"/>
          <w:szCs w:val="21"/>
        </w:rPr>
        <w:fldChar w:fldCharType="separate"/>
      </w:r>
      <w:r>
        <w:rPr>
          <w:color w:val="000000"/>
          <w:sz w:val="21"/>
          <w:szCs w:val="21"/>
        </w:rPr>
        <w:t>26</w:t>
      </w:r>
      <w:r>
        <w:rPr>
          <w:color w:val="000000"/>
          <w:sz w:val="21"/>
          <w:szCs w:val="21"/>
        </w:rPr>
        <w:fldChar w:fldCharType="end"/>
      </w:r>
      <w:r>
        <w:rPr>
          <w:rFonts w:hint="eastAsia" w:cs="宋体"/>
          <w:color w:val="000000"/>
          <w:sz w:val="21"/>
          <w:szCs w:val="21"/>
        </w:rPr>
        <w:fldChar w:fldCharType="end"/>
      </w:r>
    </w:p>
    <w:p>
      <w:pPr>
        <w:pStyle w:val="30"/>
        <w:tabs>
          <w:tab w:val="right" w:leader="dot" w:pos="9639"/>
          <w:tab w:val="clear" w:pos="8721"/>
        </w:tabs>
        <w:spacing w:line="360" w:lineRule="auto"/>
        <w:rPr>
          <w:color w:val="000000"/>
          <w:sz w:val="21"/>
          <w:szCs w:val="21"/>
        </w:rPr>
      </w:pPr>
      <w:r>
        <w:rPr>
          <w:rFonts w:hint="eastAsia" w:cs="宋体"/>
          <w:color w:val="000000"/>
          <w:sz w:val="21"/>
          <w:szCs w:val="21"/>
        </w:rPr>
        <w:fldChar w:fldCharType="begin"/>
      </w:r>
      <w:r>
        <w:rPr>
          <w:rFonts w:hint="eastAsia" w:cs="宋体"/>
          <w:color w:val="000000"/>
          <w:sz w:val="21"/>
          <w:szCs w:val="21"/>
        </w:rPr>
        <w:instrText xml:space="preserve"> HYPERLINK \l _Toc11059 </w:instrText>
      </w:r>
      <w:r>
        <w:rPr>
          <w:rFonts w:hint="eastAsia" w:cs="宋体"/>
          <w:color w:val="000000"/>
          <w:sz w:val="21"/>
          <w:szCs w:val="21"/>
        </w:rPr>
        <w:fldChar w:fldCharType="separate"/>
      </w:r>
      <w:r>
        <w:rPr>
          <w:rFonts w:hint="eastAsia" w:cs="宋体"/>
          <w:color w:val="000000"/>
          <w:sz w:val="21"/>
          <w:szCs w:val="21"/>
        </w:rPr>
        <w:t>第六章  商务条款</w:t>
      </w:r>
      <w:r>
        <w:rPr>
          <w:color w:val="000000"/>
          <w:sz w:val="21"/>
          <w:szCs w:val="21"/>
        </w:rPr>
        <w:tab/>
      </w:r>
      <w:r>
        <w:rPr>
          <w:color w:val="000000"/>
          <w:sz w:val="21"/>
          <w:szCs w:val="21"/>
        </w:rPr>
        <w:fldChar w:fldCharType="begin"/>
      </w:r>
      <w:r>
        <w:rPr>
          <w:color w:val="000000"/>
          <w:sz w:val="21"/>
          <w:szCs w:val="21"/>
        </w:rPr>
        <w:instrText xml:space="preserve"> PAGEREF _Toc11059 </w:instrText>
      </w:r>
      <w:r>
        <w:rPr>
          <w:color w:val="000000"/>
          <w:sz w:val="21"/>
          <w:szCs w:val="21"/>
        </w:rPr>
        <w:fldChar w:fldCharType="separate"/>
      </w:r>
      <w:r>
        <w:rPr>
          <w:color w:val="000000"/>
          <w:sz w:val="21"/>
          <w:szCs w:val="21"/>
        </w:rPr>
        <w:t>100</w:t>
      </w:r>
      <w:r>
        <w:rPr>
          <w:color w:val="000000"/>
          <w:sz w:val="21"/>
          <w:szCs w:val="21"/>
        </w:rPr>
        <w:fldChar w:fldCharType="end"/>
      </w:r>
      <w:r>
        <w:rPr>
          <w:rFonts w:hint="eastAsia" w:cs="宋体"/>
          <w:color w:val="000000"/>
          <w:sz w:val="21"/>
          <w:szCs w:val="21"/>
        </w:rPr>
        <w:fldChar w:fldCharType="end"/>
      </w:r>
    </w:p>
    <w:p>
      <w:pPr>
        <w:pStyle w:val="30"/>
        <w:tabs>
          <w:tab w:val="right" w:leader="dot" w:pos="9639"/>
          <w:tab w:val="clear" w:pos="8721"/>
        </w:tabs>
        <w:spacing w:line="360" w:lineRule="auto"/>
        <w:rPr>
          <w:color w:val="000000"/>
          <w:sz w:val="21"/>
          <w:szCs w:val="21"/>
        </w:rPr>
      </w:pPr>
      <w:r>
        <w:rPr>
          <w:rFonts w:hint="eastAsia" w:cs="宋体"/>
          <w:color w:val="000000"/>
          <w:sz w:val="21"/>
          <w:szCs w:val="21"/>
        </w:rPr>
        <w:fldChar w:fldCharType="begin"/>
      </w:r>
      <w:r>
        <w:rPr>
          <w:rFonts w:hint="eastAsia" w:cs="宋体"/>
          <w:color w:val="000000"/>
          <w:sz w:val="21"/>
          <w:szCs w:val="21"/>
        </w:rPr>
        <w:instrText xml:space="preserve"> HYPERLINK \l _Toc762 </w:instrText>
      </w:r>
      <w:r>
        <w:rPr>
          <w:rFonts w:hint="eastAsia" w:cs="宋体"/>
          <w:color w:val="000000"/>
          <w:sz w:val="21"/>
          <w:szCs w:val="21"/>
        </w:rPr>
        <w:fldChar w:fldCharType="separate"/>
      </w:r>
      <w:r>
        <w:rPr>
          <w:rFonts w:hint="eastAsia" w:cs="宋体"/>
          <w:color w:val="000000"/>
          <w:sz w:val="21"/>
          <w:szCs w:val="21"/>
        </w:rPr>
        <w:t>第七章  附件</w:t>
      </w:r>
      <w:r>
        <w:rPr>
          <w:color w:val="000000"/>
          <w:sz w:val="21"/>
          <w:szCs w:val="21"/>
        </w:rPr>
        <w:tab/>
      </w:r>
      <w:r>
        <w:rPr>
          <w:color w:val="000000"/>
          <w:sz w:val="21"/>
          <w:szCs w:val="21"/>
        </w:rPr>
        <w:fldChar w:fldCharType="begin"/>
      </w:r>
      <w:r>
        <w:rPr>
          <w:color w:val="000000"/>
          <w:sz w:val="21"/>
          <w:szCs w:val="21"/>
        </w:rPr>
        <w:instrText xml:space="preserve"> PAGEREF _Toc762 </w:instrText>
      </w:r>
      <w:r>
        <w:rPr>
          <w:color w:val="000000"/>
          <w:sz w:val="21"/>
          <w:szCs w:val="21"/>
        </w:rPr>
        <w:fldChar w:fldCharType="separate"/>
      </w:r>
      <w:r>
        <w:rPr>
          <w:color w:val="000000"/>
          <w:sz w:val="21"/>
          <w:szCs w:val="21"/>
        </w:rPr>
        <w:t>114</w:t>
      </w:r>
      <w:r>
        <w:rPr>
          <w:color w:val="000000"/>
          <w:sz w:val="21"/>
          <w:szCs w:val="21"/>
        </w:rPr>
        <w:fldChar w:fldCharType="end"/>
      </w:r>
      <w:r>
        <w:rPr>
          <w:rFonts w:hint="eastAsia" w:cs="宋体"/>
          <w:color w:val="000000"/>
          <w:sz w:val="21"/>
          <w:szCs w:val="21"/>
        </w:rPr>
        <w:fldChar w:fldCharType="end"/>
      </w:r>
    </w:p>
    <w:p>
      <w:pPr>
        <w:spacing w:line="360" w:lineRule="auto"/>
        <w:jc w:val="center"/>
        <w:rPr>
          <w:rFonts w:hint="eastAsia" w:ascii="宋体" w:hAnsi="宋体" w:cs="宋体"/>
          <w:color w:val="000000"/>
          <w:sz w:val="32"/>
          <w:szCs w:val="32"/>
        </w:rPr>
      </w:pPr>
      <w:r>
        <w:rPr>
          <w:rFonts w:hint="eastAsia" w:ascii="宋体" w:hAnsi="宋体" w:cs="宋体"/>
          <w:color w:val="000000"/>
          <w:szCs w:val="21"/>
        </w:rPr>
        <w:fldChar w:fldCharType="end"/>
      </w:r>
    </w:p>
    <w:p>
      <w:pPr>
        <w:spacing w:line="400" w:lineRule="exact"/>
        <w:jc w:val="center"/>
        <w:outlineLvl w:val="0"/>
        <w:rPr>
          <w:rFonts w:hint="eastAsia" w:ascii="宋体" w:hAnsi="宋体" w:cs="宋体"/>
          <w:b/>
          <w:color w:val="000000"/>
          <w:sz w:val="32"/>
        </w:rPr>
        <w:sectPr>
          <w:headerReference r:id="rId6" w:type="default"/>
          <w:footerReference r:id="rId7" w:type="default"/>
          <w:type w:val="nextColumn"/>
          <w:pgSz w:w="11907" w:h="16840"/>
          <w:pgMar w:top="1418" w:right="1134" w:bottom="1418" w:left="1134" w:header="285" w:footer="701" w:gutter="0"/>
          <w:pgBorders w:offsetFrom="page">
            <w:top w:val="none" w:sz="0" w:space="0"/>
            <w:left w:val="none" w:sz="0" w:space="0"/>
            <w:bottom w:val="none" w:sz="0" w:space="0"/>
            <w:right w:val="none" w:sz="0" w:space="0"/>
          </w:pgBorders>
          <w:pgNumType w:start="1"/>
          <w:cols w:space="720" w:num="1"/>
          <w:docGrid w:linePitch="285" w:charSpace="0"/>
        </w:sectPr>
      </w:pPr>
    </w:p>
    <w:p>
      <w:pPr>
        <w:spacing w:line="400" w:lineRule="exact"/>
        <w:jc w:val="center"/>
        <w:outlineLvl w:val="0"/>
        <w:rPr>
          <w:rFonts w:hint="eastAsia" w:ascii="宋体" w:hAnsi="宋体" w:cs="宋体"/>
          <w:b/>
          <w:color w:val="000000"/>
          <w:sz w:val="32"/>
        </w:rPr>
      </w:pPr>
      <w:bookmarkStart w:id="2" w:name="_Toc31323"/>
      <w:r>
        <w:rPr>
          <w:rFonts w:hint="eastAsia" w:ascii="宋体" w:hAnsi="宋体" w:cs="宋体"/>
          <w:b/>
          <w:color w:val="000000"/>
          <w:sz w:val="32"/>
        </w:rPr>
        <w:t>第一章  采购公告</w:t>
      </w:r>
      <w:bookmarkEnd w:id="2"/>
    </w:p>
    <w:p>
      <w:pPr>
        <w:widowControl/>
        <w:spacing w:line="400" w:lineRule="exact"/>
        <w:jc w:val="left"/>
        <w:rPr>
          <w:rFonts w:hint="eastAsia" w:ascii="宋体" w:hAnsi="宋体" w:cs="宋体"/>
          <w:color w:val="000000"/>
          <w:szCs w:val="21"/>
        </w:rPr>
      </w:pPr>
      <w:r>
        <w:rPr>
          <w:rFonts w:hint="eastAsia" w:ascii="宋体" w:hAnsi="宋体" w:cs="宋体"/>
          <w:color w:val="000000"/>
          <w:szCs w:val="21"/>
          <w:lang w:bidi="ar"/>
        </w:rPr>
        <w:t>发布日期：2020年</w:t>
      </w:r>
      <w:r>
        <w:rPr>
          <w:rFonts w:hint="eastAsia" w:ascii="宋体" w:hAnsi="宋体" w:cs="宋体"/>
          <w:color w:val="000000"/>
          <w:szCs w:val="21"/>
          <w:u w:val="single"/>
          <w:lang w:bidi="ar"/>
        </w:rPr>
        <w:t xml:space="preserve"> </w:t>
      </w:r>
      <w:r>
        <w:rPr>
          <w:rFonts w:hint="eastAsia" w:ascii="宋体" w:hAnsi="宋体" w:cs="宋体"/>
          <w:color w:val="000000"/>
          <w:szCs w:val="21"/>
          <w:u w:val="single"/>
          <w:lang w:val="en-US" w:eastAsia="zh-CN" w:bidi="ar"/>
        </w:rPr>
        <w:t>5</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月</w:t>
      </w:r>
      <w:r>
        <w:rPr>
          <w:rFonts w:hint="eastAsia" w:ascii="宋体" w:hAnsi="宋体" w:cs="宋体"/>
          <w:color w:val="000000"/>
          <w:szCs w:val="21"/>
          <w:u w:val="single"/>
          <w:lang w:bidi="ar"/>
        </w:rPr>
        <w:t xml:space="preserve"> </w:t>
      </w:r>
      <w:r>
        <w:rPr>
          <w:rFonts w:hint="eastAsia" w:ascii="宋体" w:hAnsi="宋体" w:cs="宋体"/>
          <w:color w:val="000000"/>
          <w:szCs w:val="21"/>
          <w:u w:val="single"/>
          <w:lang w:val="en-US" w:eastAsia="zh-CN" w:bidi="ar"/>
        </w:rPr>
        <w:t>21</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日</w:t>
      </w:r>
    </w:p>
    <w:p>
      <w:pPr>
        <w:spacing w:line="400" w:lineRule="exact"/>
        <w:rPr>
          <w:rFonts w:hint="eastAsia" w:ascii="宋体" w:hAnsi="宋体" w:cs="宋体"/>
          <w:color w:val="000000"/>
          <w:szCs w:val="21"/>
        </w:rPr>
      </w:pPr>
      <w:r>
        <w:rPr>
          <w:rFonts w:hint="eastAsia" w:ascii="宋体" w:hAnsi="宋体" w:cs="宋体"/>
          <w:color w:val="000000"/>
          <w:szCs w:val="21"/>
          <w:lang w:bidi="ar"/>
        </w:rPr>
        <w:t>公告期限：2020年</w:t>
      </w:r>
      <w:r>
        <w:rPr>
          <w:rFonts w:hint="eastAsia" w:ascii="宋体" w:hAnsi="宋体" w:cs="宋体"/>
          <w:color w:val="000000"/>
          <w:szCs w:val="21"/>
          <w:u w:val="single"/>
          <w:lang w:bidi="ar"/>
        </w:rPr>
        <w:t xml:space="preserve"> </w:t>
      </w:r>
      <w:r>
        <w:rPr>
          <w:rFonts w:hint="eastAsia" w:ascii="宋体" w:hAnsi="宋体" w:cs="宋体"/>
          <w:color w:val="000000"/>
          <w:szCs w:val="21"/>
          <w:u w:val="single"/>
          <w:lang w:val="en-US" w:eastAsia="zh-CN" w:bidi="ar"/>
        </w:rPr>
        <w:t>5</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月</w:t>
      </w:r>
      <w:r>
        <w:rPr>
          <w:rFonts w:hint="eastAsia" w:ascii="宋体" w:hAnsi="宋体" w:cs="宋体"/>
          <w:color w:val="000000"/>
          <w:szCs w:val="21"/>
          <w:u w:val="single"/>
          <w:lang w:bidi="ar"/>
        </w:rPr>
        <w:t xml:space="preserve"> </w:t>
      </w:r>
      <w:r>
        <w:rPr>
          <w:rFonts w:hint="eastAsia" w:ascii="宋体" w:hAnsi="宋体" w:cs="宋体"/>
          <w:color w:val="000000"/>
          <w:szCs w:val="21"/>
          <w:u w:val="single"/>
          <w:lang w:val="en-US" w:eastAsia="zh-CN" w:bidi="ar"/>
        </w:rPr>
        <w:t>21</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日至2020年</w:t>
      </w:r>
      <w:r>
        <w:rPr>
          <w:rFonts w:hint="eastAsia" w:ascii="宋体" w:hAnsi="宋体" w:cs="宋体"/>
          <w:color w:val="000000"/>
          <w:szCs w:val="21"/>
          <w:u w:val="single"/>
          <w:lang w:bidi="ar"/>
        </w:rPr>
        <w:t xml:space="preserve"> </w:t>
      </w:r>
      <w:r>
        <w:rPr>
          <w:rFonts w:hint="eastAsia" w:ascii="宋体" w:hAnsi="宋体" w:cs="宋体"/>
          <w:color w:val="000000"/>
          <w:szCs w:val="21"/>
          <w:u w:val="single"/>
          <w:lang w:val="en-US" w:eastAsia="zh-CN" w:bidi="ar"/>
        </w:rPr>
        <w:t>5</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月</w:t>
      </w:r>
      <w:r>
        <w:rPr>
          <w:rFonts w:hint="eastAsia" w:ascii="宋体" w:hAnsi="宋体" w:cs="宋体"/>
          <w:color w:val="000000"/>
          <w:szCs w:val="21"/>
          <w:u w:val="single"/>
          <w:lang w:bidi="ar"/>
        </w:rPr>
        <w:t xml:space="preserve"> </w:t>
      </w:r>
      <w:r>
        <w:rPr>
          <w:rFonts w:hint="eastAsia" w:ascii="宋体" w:hAnsi="宋体" w:cs="宋体"/>
          <w:color w:val="000000"/>
          <w:szCs w:val="21"/>
          <w:u w:val="single"/>
          <w:lang w:val="en-US" w:eastAsia="zh-CN" w:bidi="ar"/>
        </w:rPr>
        <w:t>28</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日</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根据《中华人民共和国政府采购法》、《中华人民共和国政府采购法实施条例》</w:t>
      </w:r>
      <w:r>
        <w:rPr>
          <w:rFonts w:hint="eastAsia" w:ascii="宋体" w:hAnsi="宋体" w:cs="宋体"/>
          <w:color w:val="000000"/>
          <w:spacing w:val="-2"/>
          <w:kern w:val="10"/>
          <w:szCs w:val="21"/>
        </w:rPr>
        <w:t>及其它有关办法，</w:t>
      </w:r>
      <w:r>
        <w:rPr>
          <w:rFonts w:hint="eastAsia" w:ascii="宋体" w:hAnsi="宋体" w:cs="宋体"/>
          <w:color w:val="000000"/>
          <w:szCs w:val="21"/>
        </w:rPr>
        <w:t>宁波高专建设监理有限公司受宁波杭州湾新区教育发展中心的委托，就</w:t>
      </w:r>
      <w:r>
        <w:rPr>
          <w:rFonts w:hint="eastAsia" w:ascii="宋体" w:hAnsi="宋体" w:cs="宋体"/>
          <w:color w:val="000000"/>
          <w:szCs w:val="21"/>
          <w:u w:val="single"/>
        </w:rPr>
        <w:t>宁波杭州湾新区智能终端产业园区配套小学、幼儿园智慧校园采购项目</w:t>
      </w:r>
      <w:r>
        <w:rPr>
          <w:rFonts w:hint="eastAsia" w:ascii="宋体" w:hAnsi="宋体" w:cs="宋体"/>
          <w:color w:val="000000"/>
          <w:szCs w:val="21"/>
        </w:rPr>
        <w:t>进行公开招标，欢迎符合要求的供应商前来投标。</w:t>
      </w:r>
    </w:p>
    <w:p>
      <w:pPr>
        <w:spacing w:line="400" w:lineRule="exact"/>
        <w:rPr>
          <w:rFonts w:ascii="宋体" w:hAnsi="宋体" w:cs="宋体"/>
          <w:color w:val="000000"/>
          <w:szCs w:val="21"/>
        </w:rPr>
      </w:pPr>
      <w:r>
        <w:rPr>
          <w:rFonts w:hint="eastAsia" w:ascii="宋体" w:hAnsi="宋体" w:cs="宋体"/>
          <w:b/>
          <w:color w:val="000000"/>
          <w:szCs w:val="21"/>
        </w:rPr>
        <w:t>一、采购编号：</w:t>
      </w:r>
      <w:r>
        <w:rPr>
          <w:rFonts w:ascii="宋体" w:hAnsi="宋体" w:cs="宋体"/>
          <w:color w:val="000000"/>
          <w:szCs w:val="21"/>
        </w:rPr>
        <w:t>HZWXQ20</w:t>
      </w:r>
      <w:r>
        <w:rPr>
          <w:rFonts w:hint="eastAsia" w:ascii="宋体" w:hAnsi="宋体" w:cs="宋体"/>
          <w:color w:val="000000"/>
          <w:szCs w:val="21"/>
        </w:rPr>
        <w:t>20</w:t>
      </w:r>
      <w:r>
        <w:rPr>
          <w:rFonts w:ascii="宋体" w:hAnsi="宋体" w:cs="宋体"/>
          <w:color w:val="000000"/>
          <w:szCs w:val="21"/>
        </w:rPr>
        <w:t>-</w:t>
      </w:r>
      <w:r>
        <w:rPr>
          <w:rFonts w:hint="eastAsia" w:ascii="宋体" w:hAnsi="宋体" w:cs="宋体"/>
          <w:color w:val="000000"/>
          <w:szCs w:val="21"/>
        </w:rPr>
        <w:t>19</w:t>
      </w:r>
    </w:p>
    <w:p>
      <w:pPr>
        <w:spacing w:line="400" w:lineRule="exact"/>
        <w:rPr>
          <w:rFonts w:hint="eastAsia" w:ascii="宋体" w:hAnsi="宋体" w:cs="宋体"/>
          <w:color w:val="000000"/>
          <w:szCs w:val="21"/>
        </w:rPr>
      </w:pPr>
      <w:r>
        <w:rPr>
          <w:rFonts w:hint="eastAsia" w:ascii="宋体" w:hAnsi="宋体" w:cs="宋体"/>
          <w:b/>
          <w:color w:val="000000"/>
          <w:szCs w:val="21"/>
        </w:rPr>
        <w:t>二、项目名称：</w:t>
      </w:r>
      <w:r>
        <w:rPr>
          <w:rFonts w:hint="eastAsia" w:ascii="宋体" w:hAnsi="宋体" w:cs="宋体"/>
          <w:color w:val="000000"/>
          <w:szCs w:val="21"/>
        </w:rPr>
        <w:t>宁波杭州湾新区智能终端产业园区配套小学、幼儿园智慧校园采购项目</w:t>
      </w:r>
    </w:p>
    <w:p>
      <w:pPr>
        <w:spacing w:line="400" w:lineRule="exact"/>
        <w:rPr>
          <w:rFonts w:hint="eastAsia" w:ascii="宋体" w:hAnsi="宋体" w:cs="宋体"/>
          <w:color w:val="000000"/>
          <w:szCs w:val="21"/>
        </w:rPr>
      </w:pPr>
      <w:r>
        <w:rPr>
          <w:rFonts w:hint="eastAsia" w:ascii="宋体" w:hAnsi="宋体" w:cs="宋体"/>
          <w:color w:val="000000"/>
          <w:szCs w:val="21"/>
        </w:rPr>
        <w:t>三、</w:t>
      </w:r>
      <w:r>
        <w:rPr>
          <w:rFonts w:hint="eastAsia" w:ascii="宋体" w:hAnsi="宋体" w:cs="宋体"/>
          <w:b/>
          <w:bCs/>
          <w:color w:val="000000"/>
          <w:szCs w:val="21"/>
        </w:rPr>
        <w:t>采购方式：</w:t>
      </w:r>
      <w:r>
        <w:rPr>
          <w:rFonts w:hint="eastAsia" w:ascii="宋体" w:hAnsi="宋体" w:cs="宋体"/>
          <w:color w:val="000000"/>
          <w:szCs w:val="21"/>
        </w:rPr>
        <w:t>公开招标</w:t>
      </w:r>
    </w:p>
    <w:p>
      <w:pPr>
        <w:spacing w:line="400" w:lineRule="exact"/>
        <w:rPr>
          <w:rFonts w:hint="eastAsia" w:ascii="宋体" w:hAnsi="宋体" w:cs="宋体"/>
          <w:b/>
          <w:color w:val="000000"/>
          <w:szCs w:val="21"/>
        </w:rPr>
      </w:pPr>
      <w:r>
        <w:rPr>
          <w:rFonts w:hint="eastAsia" w:ascii="宋体" w:hAnsi="宋体" w:cs="宋体"/>
          <w:b/>
          <w:color w:val="000000"/>
          <w:szCs w:val="21"/>
        </w:rPr>
        <w:t>四、项目概况：</w:t>
      </w:r>
    </w:p>
    <w:tbl>
      <w:tblPr>
        <w:tblStyle w:val="47"/>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8"/>
        <w:gridCol w:w="1522"/>
        <w:gridCol w:w="3540"/>
        <w:gridCol w:w="750"/>
        <w:gridCol w:w="1890"/>
        <w:gridCol w:w="14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7" w:hRule="atLeast"/>
        </w:trPr>
        <w:tc>
          <w:tcPr>
            <w:tcW w:w="698" w:type="dxa"/>
            <w:shd w:val="clear" w:color="000000" w:fill="auto"/>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子包号</w:t>
            </w:r>
          </w:p>
        </w:tc>
        <w:tc>
          <w:tcPr>
            <w:tcW w:w="1522" w:type="dxa"/>
            <w:shd w:val="clear" w:color="000000" w:fill="auto"/>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货物名称</w:t>
            </w:r>
          </w:p>
        </w:tc>
        <w:tc>
          <w:tcPr>
            <w:tcW w:w="3540" w:type="dxa"/>
            <w:tcBorders>
              <w:right w:val="single" w:color="auto" w:sz="4" w:space="0"/>
            </w:tcBorders>
            <w:shd w:val="clear" w:color="000000" w:fill="auto"/>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简要技术要求</w:t>
            </w:r>
          </w:p>
        </w:tc>
        <w:tc>
          <w:tcPr>
            <w:tcW w:w="750" w:type="dxa"/>
            <w:tcBorders>
              <w:left w:val="single" w:color="auto" w:sz="4" w:space="0"/>
            </w:tcBorders>
            <w:shd w:val="clear" w:color="000000" w:fill="auto"/>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数量</w:t>
            </w:r>
          </w:p>
        </w:tc>
        <w:tc>
          <w:tcPr>
            <w:tcW w:w="1890" w:type="dxa"/>
            <w:shd w:val="clear" w:color="000000" w:fill="auto"/>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交货期</w:t>
            </w:r>
          </w:p>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（工期）</w:t>
            </w:r>
          </w:p>
        </w:tc>
        <w:tc>
          <w:tcPr>
            <w:tcW w:w="1404" w:type="dxa"/>
            <w:shd w:val="clear" w:color="000000" w:fill="auto"/>
            <w:noWrap w:val="0"/>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预算价</w:t>
            </w:r>
          </w:p>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4" w:hRule="atLeast"/>
        </w:trPr>
        <w:tc>
          <w:tcPr>
            <w:tcW w:w="698" w:type="dxa"/>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szCs w:val="21"/>
                <w:lang w:val="zh-CN"/>
              </w:rPr>
              <w:t>一</w:t>
            </w:r>
          </w:p>
        </w:tc>
        <w:tc>
          <w:tcPr>
            <w:tcW w:w="1522" w:type="dxa"/>
            <w:noWrap w:val="0"/>
            <w:vAlign w:val="center"/>
          </w:tcPr>
          <w:p>
            <w:pPr>
              <w:adjustRightInd w:val="0"/>
              <w:snapToGrid w:val="0"/>
              <w:spacing w:line="400" w:lineRule="exact"/>
              <w:jc w:val="center"/>
              <w:rPr>
                <w:rFonts w:hint="eastAsia" w:ascii="宋体" w:hAnsi="宋体" w:eastAsia="宋体" w:cs="宋体"/>
                <w:color w:val="000000"/>
                <w:spacing w:val="-2"/>
                <w:szCs w:val="21"/>
              </w:rPr>
            </w:pPr>
            <w:r>
              <w:rPr>
                <w:rFonts w:hint="eastAsia" w:ascii="宋体" w:hAnsi="宋体" w:eastAsia="宋体" w:cs="宋体"/>
                <w:color w:val="000000"/>
                <w:spacing w:val="-2"/>
                <w:szCs w:val="21"/>
              </w:rPr>
              <w:t>宁波杭州湾新区智能终端产业园区配套小学智慧校园</w:t>
            </w:r>
          </w:p>
        </w:tc>
        <w:tc>
          <w:tcPr>
            <w:tcW w:w="3540" w:type="dxa"/>
            <w:tcBorders>
              <w:right w:val="single" w:color="auto" w:sz="4" w:space="0"/>
            </w:tcBorders>
            <w:noWrap w:val="0"/>
            <w:vAlign w:val="center"/>
          </w:tcPr>
          <w:p>
            <w:pPr>
              <w:adjustRightInd w:val="0"/>
              <w:snapToGrid w:val="0"/>
              <w:spacing w:line="400" w:lineRule="exact"/>
              <w:jc w:val="center"/>
              <w:rPr>
                <w:rFonts w:hint="eastAsia" w:ascii="宋体" w:hAnsi="宋体" w:eastAsia="宋体" w:cs="宋体"/>
                <w:color w:val="000000"/>
                <w:spacing w:val="-2"/>
                <w:kern w:val="0"/>
                <w:szCs w:val="21"/>
              </w:rPr>
            </w:pPr>
            <w:r>
              <w:rPr>
                <w:rFonts w:hint="eastAsia" w:ascii="宋体" w:hAnsi="宋体" w:eastAsia="宋体" w:cs="宋体"/>
                <w:color w:val="000000"/>
                <w:spacing w:val="-2"/>
                <w:kern w:val="0"/>
                <w:szCs w:val="21"/>
              </w:rPr>
              <w:t>智慧班牌系统、</w:t>
            </w:r>
            <w:r>
              <w:rPr>
                <w:rFonts w:hint="eastAsia" w:ascii="宋体" w:hAnsi="宋体" w:eastAsia="宋体" w:cs="宋体"/>
                <w:color w:val="000000"/>
                <w:szCs w:val="21"/>
              </w:rPr>
              <w:t>微格教室系统（微格教室)、智慧教室系统(智慧灯光）、访客管理系统+出入口管理系统、智慧校园平台、智慧校园平台设备支撑、智慧互动教室、互联网校园电视台</w:t>
            </w:r>
            <w:r>
              <w:rPr>
                <w:rFonts w:hint="eastAsia" w:ascii="宋体" w:hAnsi="宋体" w:eastAsia="宋体" w:cs="宋体"/>
                <w:color w:val="000000"/>
                <w:spacing w:val="-2"/>
                <w:kern w:val="0"/>
                <w:szCs w:val="21"/>
              </w:rPr>
              <w:t>等采购，具体参数详见招标文件第五章“招标内容与技术要求”</w:t>
            </w:r>
          </w:p>
        </w:tc>
        <w:tc>
          <w:tcPr>
            <w:tcW w:w="750" w:type="dxa"/>
            <w:tcBorders>
              <w:left w:val="single" w:color="auto" w:sz="4" w:space="0"/>
            </w:tcBorders>
            <w:noWrap w:val="0"/>
            <w:vAlign w:val="center"/>
          </w:tcPr>
          <w:p>
            <w:pPr>
              <w:adjustRightInd w:val="0"/>
              <w:snapToGrid w:val="0"/>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一批</w:t>
            </w:r>
          </w:p>
        </w:tc>
        <w:tc>
          <w:tcPr>
            <w:tcW w:w="1890" w:type="dxa"/>
            <w:noWrap w:val="0"/>
            <w:vAlign w:val="center"/>
          </w:tcPr>
          <w:p>
            <w:pPr>
              <w:adjustRightInd w:val="0"/>
              <w:snapToGrid w:val="0"/>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在合同签订后40个日历天内完成设备供货、安装并验收合格</w:t>
            </w:r>
          </w:p>
        </w:tc>
        <w:tc>
          <w:tcPr>
            <w:tcW w:w="1404" w:type="dxa"/>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预算价422.74万元，最高限价412.0238万元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95" w:hRule="atLeast"/>
        </w:trPr>
        <w:tc>
          <w:tcPr>
            <w:tcW w:w="698" w:type="dxa"/>
            <w:noWrap w:val="0"/>
            <w:vAlign w:val="center"/>
          </w:tcPr>
          <w:p>
            <w:pPr>
              <w:widowControl/>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二</w:t>
            </w:r>
          </w:p>
        </w:tc>
        <w:tc>
          <w:tcPr>
            <w:tcW w:w="1522" w:type="dxa"/>
            <w:noWrap w:val="0"/>
            <w:vAlign w:val="center"/>
          </w:tcPr>
          <w:p>
            <w:pPr>
              <w:adjustRightInd w:val="0"/>
              <w:snapToGrid w:val="0"/>
              <w:spacing w:line="400" w:lineRule="exact"/>
              <w:jc w:val="center"/>
              <w:rPr>
                <w:rFonts w:hint="eastAsia" w:ascii="宋体" w:hAnsi="宋体" w:eastAsia="宋体" w:cs="宋体"/>
                <w:color w:val="000000"/>
                <w:spacing w:val="-2"/>
                <w:szCs w:val="21"/>
              </w:rPr>
            </w:pPr>
            <w:r>
              <w:rPr>
                <w:rFonts w:hint="eastAsia" w:ascii="宋体" w:hAnsi="宋体" w:eastAsia="宋体" w:cs="宋体"/>
                <w:color w:val="000000"/>
                <w:spacing w:val="-2"/>
                <w:szCs w:val="21"/>
              </w:rPr>
              <w:t>宁波杭州湾新区智能终端产业园区配套幼儿园智慧校园</w:t>
            </w:r>
          </w:p>
        </w:tc>
        <w:tc>
          <w:tcPr>
            <w:tcW w:w="3540" w:type="dxa"/>
            <w:tcBorders>
              <w:right w:val="single" w:color="auto" w:sz="4" w:space="0"/>
            </w:tcBorders>
            <w:noWrap w:val="0"/>
            <w:vAlign w:val="center"/>
          </w:tcPr>
          <w:p>
            <w:pPr>
              <w:adjustRightInd w:val="0"/>
              <w:snapToGrid w:val="0"/>
              <w:spacing w:line="400" w:lineRule="exact"/>
              <w:jc w:val="center"/>
              <w:rPr>
                <w:rFonts w:hint="eastAsia" w:ascii="宋体" w:hAnsi="宋体" w:eastAsia="宋体" w:cs="宋体"/>
                <w:color w:val="000000"/>
                <w:spacing w:val="-2"/>
                <w:kern w:val="0"/>
                <w:szCs w:val="21"/>
              </w:rPr>
            </w:pPr>
            <w:r>
              <w:rPr>
                <w:rFonts w:hint="eastAsia" w:ascii="宋体" w:hAnsi="宋体" w:eastAsia="宋体" w:cs="宋体"/>
                <w:color w:val="000000"/>
                <w:spacing w:val="-2"/>
                <w:kern w:val="0"/>
                <w:szCs w:val="21"/>
              </w:rPr>
              <w:t>智慧班牌系统、</w:t>
            </w:r>
            <w:r>
              <w:rPr>
                <w:rFonts w:hint="eastAsia" w:ascii="宋体" w:hAnsi="宋体" w:eastAsia="宋体" w:cs="宋体"/>
                <w:color w:val="000000"/>
                <w:szCs w:val="21"/>
              </w:rPr>
              <w:t>智慧护眼灯光系统、访客管理系统、智慧校园平台、网络安全</w:t>
            </w:r>
            <w:r>
              <w:rPr>
                <w:rFonts w:hint="eastAsia" w:ascii="宋体" w:hAnsi="宋体" w:eastAsia="宋体" w:cs="宋体"/>
                <w:color w:val="000000"/>
                <w:spacing w:val="-2"/>
                <w:kern w:val="0"/>
                <w:szCs w:val="21"/>
              </w:rPr>
              <w:t>等采购，具体参数详见招标文件第五章“招标内容与技术要求”</w:t>
            </w:r>
          </w:p>
        </w:tc>
        <w:tc>
          <w:tcPr>
            <w:tcW w:w="750" w:type="dxa"/>
            <w:tcBorders>
              <w:left w:val="single" w:color="auto" w:sz="4" w:space="0"/>
            </w:tcBorders>
            <w:noWrap w:val="0"/>
            <w:vAlign w:val="center"/>
          </w:tcPr>
          <w:p>
            <w:pPr>
              <w:adjustRightInd w:val="0"/>
              <w:snapToGrid w:val="0"/>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一批</w:t>
            </w:r>
          </w:p>
        </w:tc>
        <w:tc>
          <w:tcPr>
            <w:tcW w:w="1890" w:type="dxa"/>
            <w:noWrap w:val="0"/>
            <w:vAlign w:val="center"/>
          </w:tcPr>
          <w:p>
            <w:pPr>
              <w:adjustRightInd w:val="0"/>
              <w:snapToGrid w:val="0"/>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在合同签订后40个日历天内完成设备供货、安装并验收合格</w:t>
            </w:r>
          </w:p>
        </w:tc>
        <w:tc>
          <w:tcPr>
            <w:tcW w:w="1404" w:type="dxa"/>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49.57万元</w:t>
            </w:r>
          </w:p>
        </w:tc>
      </w:tr>
    </w:tbl>
    <w:p>
      <w:pPr>
        <w:spacing w:line="400" w:lineRule="exact"/>
        <w:rPr>
          <w:rFonts w:hint="eastAsia" w:ascii="宋体" w:hAnsi="宋体" w:cs="宋体"/>
          <w:b/>
          <w:color w:val="000000"/>
          <w:szCs w:val="21"/>
        </w:rPr>
      </w:pPr>
      <w:r>
        <w:rPr>
          <w:rFonts w:hint="eastAsia" w:ascii="宋体" w:hAnsi="宋体" w:cs="宋体"/>
          <w:b/>
          <w:color w:val="000000"/>
          <w:szCs w:val="21"/>
        </w:rPr>
        <w:t>五、供应商资格要求：</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1、符合《中华人民共和国政府采购法》第22条的一般资格条件的规定：</w:t>
      </w:r>
    </w:p>
    <w:p>
      <w:pPr>
        <w:spacing w:line="400" w:lineRule="exact"/>
        <w:ind w:firstLine="735" w:firstLineChars="350"/>
        <w:rPr>
          <w:rFonts w:hint="eastAsia" w:ascii="宋体" w:hAnsi="宋体" w:cs="宋体"/>
          <w:color w:val="000000"/>
          <w:szCs w:val="21"/>
        </w:rPr>
      </w:pPr>
      <w:r>
        <w:rPr>
          <w:rFonts w:hint="eastAsia" w:ascii="宋体" w:hAnsi="宋体" w:cs="宋体"/>
          <w:color w:val="000000"/>
          <w:szCs w:val="21"/>
        </w:rPr>
        <w:t>1.1具有独立承担民事责任的能力；</w:t>
      </w:r>
    </w:p>
    <w:p>
      <w:pPr>
        <w:spacing w:line="400" w:lineRule="exact"/>
        <w:ind w:firstLine="735" w:firstLineChars="350"/>
        <w:rPr>
          <w:rFonts w:hint="eastAsia" w:ascii="宋体" w:hAnsi="宋体" w:cs="宋体"/>
          <w:color w:val="000000"/>
          <w:szCs w:val="21"/>
        </w:rPr>
      </w:pPr>
      <w:r>
        <w:rPr>
          <w:rFonts w:hint="eastAsia" w:ascii="宋体" w:hAnsi="宋体" w:cs="宋体"/>
          <w:color w:val="000000"/>
          <w:szCs w:val="21"/>
        </w:rPr>
        <w:t>1.2具有良好的商业信誉和健全的财务会计制度；</w:t>
      </w:r>
    </w:p>
    <w:p>
      <w:pPr>
        <w:spacing w:line="400" w:lineRule="exact"/>
        <w:ind w:firstLine="735" w:firstLineChars="350"/>
        <w:rPr>
          <w:rFonts w:hint="eastAsia" w:ascii="宋体" w:hAnsi="宋体" w:cs="宋体"/>
          <w:color w:val="000000"/>
          <w:szCs w:val="21"/>
        </w:rPr>
      </w:pPr>
      <w:r>
        <w:rPr>
          <w:rFonts w:hint="eastAsia" w:ascii="宋体" w:hAnsi="宋体" w:cs="宋体"/>
          <w:color w:val="000000"/>
          <w:szCs w:val="21"/>
        </w:rPr>
        <w:t>1.3具有履行合同所必需的设备和专业技术能力；</w:t>
      </w:r>
    </w:p>
    <w:p>
      <w:pPr>
        <w:spacing w:line="400" w:lineRule="exact"/>
        <w:ind w:firstLine="735" w:firstLineChars="350"/>
        <w:rPr>
          <w:rFonts w:hint="eastAsia" w:ascii="宋体" w:hAnsi="宋体" w:cs="宋体"/>
          <w:color w:val="000000"/>
          <w:szCs w:val="21"/>
        </w:rPr>
      </w:pPr>
      <w:r>
        <w:rPr>
          <w:rFonts w:hint="eastAsia" w:ascii="宋体" w:hAnsi="宋体" w:cs="宋体"/>
          <w:color w:val="000000"/>
          <w:szCs w:val="21"/>
        </w:rPr>
        <w:t>1.4有依法缴纳税收和社会保障资金的良好记录；</w:t>
      </w:r>
    </w:p>
    <w:p>
      <w:pPr>
        <w:spacing w:line="400" w:lineRule="exact"/>
        <w:ind w:firstLine="735" w:firstLineChars="350"/>
        <w:rPr>
          <w:rFonts w:hint="eastAsia" w:ascii="宋体" w:hAnsi="宋体" w:cs="宋体"/>
          <w:color w:val="000000"/>
          <w:szCs w:val="21"/>
        </w:rPr>
      </w:pPr>
      <w:r>
        <w:rPr>
          <w:rFonts w:hint="eastAsia" w:ascii="宋体" w:hAnsi="宋体" w:cs="宋体"/>
          <w:color w:val="000000"/>
          <w:szCs w:val="21"/>
        </w:rPr>
        <w:t>1.5参加政府采购活动前三年内，在经营活动中没有重大违法记录；</w:t>
      </w:r>
    </w:p>
    <w:p>
      <w:pPr>
        <w:spacing w:line="400" w:lineRule="exact"/>
        <w:ind w:firstLine="735" w:firstLineChars="350"/>
        <w:rPr>
          <w:rFonts w:hint="eastAsia" w:ascii="宋体" w:hAnsi="宋体" w:cs="宋体"/>
          <w:color w:val="000000"/>
          <w:szCs w:val="21"/>
        </w:rPr>
      </w:pPr>
      <w:r>
        <w:rPr>
          <w:rFonts w:hint="eastAsia" w:ascii="宋体" w:hAnsi="宋体" w:cs="宋体"/>
          <w:color w:val="000000"/>
          <w:szCs w:val="21"/>
        </w:rPr>
        <w:t>1.6法律、行政法规规定的其他条件。</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2、未被信用中国网站（</w:t>
      </w:r>
      <w:r>
        <w:rPr>
          <w:rFonts w:hint="eastAsia" w:ascii="宋体" w:hAnsi="宋体" w:cs="宋体"/>
          <w:color w:val="000000"/>
          <w:szCs w:val="21"/>
        </w:rPr>
        <w:fldChar w:fldCharType="begin"/>
      </w:r>
      <w:r>
        <w:rPr>
          <w:rFonts w:hint="eastAsia" w:ascii="宋体" w:hAnsi="宋体" w:cs="宋体"/>
          <w:color w:val="000000"/>
          <w:szCs w:val="21"/>
        </w:rPr>
        <w:instrText xml:space="preserve"> HYPERLINK "http://www.creditchina.gov.cn" </w:instrText>
      </w:r>
      <w:r>
        <w:rPr>
          <w:rFonts w:hint="eastAsia" w:ascii="宋体" w:hAnsi="宋体" w:cs="宋体"/>
          <w:color w:val="000000"/>
          <w:szCs w:val="21"/>
        </w:rPr>
        <w:fldChar w:fldCharType="separate"/>
      </w:r>
      <w:r>
        <w:rPr>
          <w:rFonts w:hint="eastAsia" w:ascii="宋体" w:hAnsi="宋体" w:cs="宋体"/>
          <w:color w:val="000000"/>
          <w:szCs w:val="21"/>
        </w:rPr>
        <w:t>www.creditchina.gov.cn</w:t>
      </w:r>
      <w:r>
        <w:rPr>
          <w:rFonts w:hint="eastAsia" w:ascii="宋体" w:hAnsi="宋体" w:cs="宋体"/>
          <w:color w:val="000000"/>
          <w:szCs w:val="21"/>
        </w:rPr>
        <w:fldChar w:fldCharType="end"/>
      </w:r>
      <w:r>
        <w:rPr>
          <w:rFonts w:hint="eastAsia" w:ascii="宋体" w:hAnsi="宋体" w:cs="宋体"/>
          <w:color w:val="000000"/>
          <w:szCs w:val="21"/>
        </w:rPr>
        <w:t>）列入失信被执行人、重大税收违法案件当事人名单，未被中国政府采购网（www.ccgp.gov.cn）列入政府采购严重违法失信行为记录名单。</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3、本项目不接受联合体投标。</w:t>
      </w:r>
    </w:p>
    <w:p>
      <w:pPr>
        <w:spacing w:line="400" w:lineRule="exact"/>
        <w:rPr>
          <w:rFonts w:hint="eastAsia" w:ascii="宋体" w:hAnsi="宋体" w:cs="宋体"/>
          <w:b/>
          <w:color w:val="000000"/>
          <w:szCs w:val="21"/>
        </w:rPr>
      </w:pPr>
      <w:r>
        <w:rPr>
          <w:rFonts w:hint="eastAsia" w:ascii="宋体" w:hAnsi="宋体" w:cs="宋体"/>
          <w:b/>
          <w:color w:val="000000"/>
          <w:szCs w:val="21"/>
        </w:rPr>
        <w:t>六、招标文件的提供：</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1、招标文件提供期限：即日起至2020年</w:t>
      </w:r>
      <w:r>
        <w:rPr>
          <w:rFonts w:hint="eastAsia" w:ascii="宋体" w:hAnsi="宋体" w:cs="宋体"/>
          <w:color w:val="000000"/>
          <w:szCs w:val="21"/>
          <w:lang w:val="en-US" w:eastAsia="zh-CN"/>
        </w:rPr>
        <w:t>5</w:t>
      </w:r>
      <w:r>
        <w:rPr>
          <w:rFonts w:hint="eastAsia" w:ascii="宋体" w:hAnsi="宋体" w:cs="宋体"/>
          <w:color w:val="000000"/>
          <w:szCs w:val="21"/>
        </w:rPr>
        <w:t>月</w:t>
      </w:r>
      <w:r>
        <w:rPr>
          <w:rFonts w:hint="eastAsia" w:ascii="宋体" w:hAnsi="宋体" w:cs="宋体"/>
          <w:color w:val="000000"/>
          <w:szCs w:val="21"/>
          <w:lang w:val="en-US" w:eastAsia="zh-CN"/>
        </w:rPr>
        <w:t>28</w:t>
      </w:r>
      <w:r>
        <w:rPr>
          <w:rFonts w:hint="eastAsia" w:ascii="宋体" w:hAnsi="宋体" w:cs="宋体"/>
          <w:color w:val="000000"/>
          <w:szCs w:val="21"/>
        </w:rPr>
        <w:t>日。</w:t>
      </w:r>
      <w:r>
        <w:rPr>
          <w:rFonts w:hint="eastAsia" w:ascii="宋体" w:hAnsi="宋体"/>
          <w:color w:val="000000"/>
          <w:szCs w:val="21"/>
        </w:rPr>
        <w:t>提供期限届满后</w:t>
      </w:r>
      <w:r>
        <w:rPr>
          <w:rFonts w:hint="eastAsia" w:ascii="宋体" w:hAnsi="宋体" w:cs="宋体"/>
          <w:color w:val="000000"/>
          <w:szCs w:val="21"/>
        </w:rPr>
        <w:t>，除获取招标文件的潜在供应商不足3家的情况外，不再提供招标文件。发售期限届满后，获取招标文件的潜在供应商不足3家的，采购人可以顺延提供期限并予公告，也可以重新招标。</w:t>
      </w:r>
    </w:p>
    <w:p>
      <w:pPr>
        <w:spacing w:line="400" w:lineRule="exact"/>
        <w:ind w:firstLine="420" w:firstLineChars="200"/>
        <w:rPr>
          <w:rFonts w:hint="eastAsia" w:ascii="宋体" w:hAnsi="宋体"/>
          <w:color w:val="000000"/>
          <w:szCs w:val="21"/>
        </w:rPr>
      </w:pPr>
      <w:r>
        <w:rPr>
          <w:rFonts w:hint="eastAsia" w:ascii="宋体" w:hAnsi="宋体" w:cs="宋体"/>
          <w:color w:val="000000"/>
          <w:szCs w:val="21"/>
        </w:rPr>
        <w:t>2、</w:t>
      </w:r>
      <w:r>
        <w:rPr>
          <w:rFonts w:hint="eastAsia" w:ascii="宋体" w:hAnsi="宋体"/>
          <w:color w:val="000000"/>
          <w:szCs w:val="21"/>
        </w:rPr>
        <w:t>获取招标文件方式：</w:t>
      </w:r>
    </w:p>
    <w:p>
      <w:pPr>
        <w:spacing w:line="400" w:lineRule="exact"/>
        <w:ind w:firstLine="420" w:firstLineChars="200"/>
        <w:rPr>
          <w:rFonts w:hint="eastAsia" w:ascii="宋体" w:hAnsi="宋体"/>
          <w:color w:val="000000"/>
          <w:szCs w:val="21"/>
        </w:rPr>
      </w:pPr>
      <w:r>
        <w:rPr>
          <w:rFonts w:hint="eastAsia" w:ascii="宋体" w:hAnsi="宋体"/>
          <w:color w:val="000000"/>
          <w:szCs w:val="21"/>
        </w:rPr>
        <w:t>2.1获取招标文件前，供应商应按照《浙江省政府采购供应商注册及诚信管理暂行办法》的规定在浙江政府采购网</w:t>
      </w:r>
      <w:r>
        <w:rPr>
          <w:rFonts w:ascii="宋体" w:hAnsi="宋体"/>
          <w:color w:val="000000"/>
          <w:szCs w:val="21"/>
        </w:rPr>
        <w:fldChar w:fldCharType="begin"/>
      </w:r>
      <w:r>
        <w:rPr>
          <w:rFonts w:ascii="宋体" w:hAnsi="宋体"/>
          <w:color w:val="000000"/>
          <w:szCs w:val="21"/>
        </w:rPr>
        <w:instrText xml:space="preserve"> HYPERLINK "http://</w:instrText>
      </w:r>
      <w:r>
        <w:rPr>
          <w:rFonts w:hint="eastAsia" w:ascii="宋体" w:hAnsi="宋体"/>
          <w:color w:val="000000"/>
          <w:szCs w:val="21"/>
        </w:rPr>
        <w:instrText xml:space="preserve">www.zjzfcg.gov.cn</w:instrText>
      </w:r>
      <w:r>
        <w:rPr>
          <w:rFonts w:ascii="宋体" w:hAnsi="宋体"/>
          <w:color w:val="000000"/>
          <w:szCs w:val="21"/>
        </w:rPr>
        <w:instrText xml:space="preserve">" </w:instrText>
      </w:r>
      <w:r>
        <w:rPr>
          <w:rFonts w:ascii="宋体" w:hAnsi="宋体"/>
          <w:color w:val="000000"/>
          <w:szCs w:val="21"/>
        </w:rPr>
        <w:fldChar w:fldCharType="separate"/>
      </w:r>
      <w:r>
        <w:rPr>
          <w:rFonts w:hint="eastAsia" w:ascii="宋体" w:hAnsi="宋体"/>
          <w:color w:val="000000"/>
          <w:szCs w:val="21"/>
        </w:rPr>
        <w:t>www.zjzfcg.gov.cn</w:t>
      </w:r>
      <w:r>
        <w:rPr>
          <w:rFonts w:ascii="宋体" w:hAnsi="宋体"/>
          <w:color w:val="000000"/>
          <w:szCs w:val="21"/>
        </w:rPr>
        <w:fldChar w:fldCharType="end"/>
      </w:r>
      <w:r>
        <w:rPr>
          <w:rFonts w:hint="eastAsia" w:ascii="宋体" w:hAnsi="宋体"/>
          <w:color w:val="000000"/>
          <w:szCs w:val="21"/>
        </w:rPr>
        <w:t>上注册，并登记加入浙江省政府采购供应商库，</w:t>
      </w:r>
      <w:r>
        <w:rPr>
          <w:rFonts w:hint="eastAsia" w:ascii="宋体" w:hAnsi="宋体" w:cs="宋体"/>
          <w:color w:val="000000"/>
          <w:kern w:val="0"/>
          <w:szCs w:val="21"/>
        </w:rPr>
        <w:t>注册咨询电话：4008817190</w:t>
      </w:r>
      <w:r>
        <w:rPr>
          <w:rFonts w:hint="eastAsia" w:ascii="宋体" w:hAnsi="宋体"/>
          <w:color w:val="000000"/>
          <w:szCs w:val="21"/>
        </w:rPr>
        <w:t>，如未注册的供应商，请注意注册所需时间。</w:t>
      </w:r>
    </w:p>
    <w:p>
      <w:pPr>
        <w:spacing w:line="400" w:lineRule="exact"/>
        <w:ind w:firstLine="420" w:firstLineChars="200"/>
        <w:rPr>
          <w:rFonts w:hint="eastAsia" w:ascii="宋体" w:hAnsi="宋体" w:cs="宋体"/>
          <w:color w:val="000000"/>
          <w:szCs w:val="21"/>
        </w:rPr>
      </w:pPr>
      <w:r>
        <w:rPr>
          <w:rFonts w:hint="eastAsia" w:ascii="宋体" w:hAnsi="宋体"/>
          <w:color w:val="000000"/>
          <w:szCs w:val="21"/>
        </w:rPr>
        <w:t>2.2本招标公告附件中的招标文件仅供阅览使用，供应商应在规定的招标文件提供期限内在政采云平台（</w:t>
      </w:r>
      <w:r>
        <w:rPr>
          <w:rFonts w:ascii="宋体" w:hAnsi="宋体"/>
          <w:color w:val="000000"/>
          <w:szCs w:val="21"/>
        </w:rPr>
        <w:fldChar w:fldCharType="begin"/>
      </w:r>
      <w:r>
        <w:rPr>
          <w:rFonts w:ascii="宋体" w:hAnsi="宋体"/>
          <w:color w:val="000000"/>
          <w:szCs w:val="21"/>
        </w:rPr>
        <w:instrText xml:space="preserve"> HYPERLINK "http://www.zcygov.cn</w:instrText>
      </w:r>
      <w:r>
        <w:rPr>
          <w:rFonts w:hint="eastAsia" w:ascii="宋体" w:hAnsi="宋体"/>
          <w:color w:val="000000"/>
          <w:szCs w:val="21"/>
        </w:rPr>
        <w:instrText xml:space="preserve">/login</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t>www.zcygov.cn</w:t>
      </w:r>
      <w:r>
        <w:rPr>
          <w:rFonts w:hint="eastAsia" w:ascii="宋体" w:hAnsi="宋体"/>
          <w:color w:val="000000"/>
          <w:szCs w:val="21"/>
        </w:rPr>
        <w:t>/login</w:t>
      </w:r>
      <w:r>
        <w:rPr>
          <w:rFonts w:ascii="宋体" w:hAnsi="宋体"/>
          <w:color w:val="000000"/>
          <w:szCs w:val="21"/>
        </w:rPr>
        <w:fldChar w:fldCharType="end"/>
      </w:r>
      <w:r>
        <w:rPr>
          <w:rFonts w:hint="eastAsia" w:ascii="宋体" w:hAnsi="宋体"/>
          <w:color w:val="000000"/>
          <w:szCs w:val="21"/>
        </w:rPr>
        <w:t>）登录上述供应商注册的账号后获取招标文件，未在规定的招标文件提供期限内或未按上述方式获取招标文件的，其投标均视为无效，并不得对招标文件提起质疑投诉。</w:t>
      </w:r>
    </w:p>
    <w:p>
      <w:pPr>
        <w:spacing w:line="400" w:lineRule="exact"/>
        <w:rPr>
          <w:rFonts w:hint="eastAsia" w:ascii="宋体" w:hAnsi="宋体" w:cs="宋体"/>
          <w:b/>
          <w:color w:val="000000"/>
          <w:szCs w:val="21"/>
        </w:rPr>
      </w:pPr>
      <w:r>
        <w:rPr>
          <w:rFonts w:hint="eastAsia" w:ascii="宋体" w:hAnsi="宋体" w:cs="宋体"/>
          <w:b/>
          <w:color w:val="000000"/>
          <w:szCs w:val="21"/>
        </w:rPr>
        <w:t>七、投标保证金：</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本项目（各子包）无需缴纳投标保证金。</w:t>
      </w:r>
    </w:p>
    <w:p>
      <w:pPr>
        <w:spacing w:line="400" w:lineRule="exact"/>
        <w:rPr>
          <w:rFonts w:hint="eastAsia" w:ascii="宋体" w:hAnsi="宋体" w:cs="宋体"/>
          <w:b/>
          <w:color w:val="000000"/>
          <w:szCs w:val="21"/>
        </w:rPr>
      </w:pPr>
      <w:r>
        <w:rPr>
          <w:rFonts w:hint="eastAsia" w:ascii="宋体" w:hAnsi="宋体" w:cs="宋体"/>
          <w:b/>
          <w:color w:val="000000"/>
          <w:szCs w:val="21"/>
        </w:rPr>
        <w:t>八、投标文件截止时间和递交地点：</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1、投标文件递交的截止时间为2020年</w:t>
      </w:r>
      <w:r>
        <w:rPr>
          <w:rFonts w:hint="eastAsia" w:ascii="宋体" w:hAnsi="宋体" w:cs="宋体"/>
          <w:color w:val="000000"/>
          <w:szCs w:val="21"/>
          <w:lang w:val="en-US" w:eastAsia="zh-CN"/>
        </w:rPr>
        <w:t>6</w:t>
      </w:r>
      <w:r>
        <w:rPr>
          <w:rFonts w:hint="eastAsia" w:ascii="宋体" w:hAnsi="宋体" w:cs="宋体"/>
          <w:color w:val="000000"/>
          <w:szCs w:val="21"/>
        </w:rPr>
        <w:t>月</w:t>
      </w:r>
      <w:r>
        <w:rPr>
          <w:rFonts w:hint="eastAsia" w:ascii="宋体" w:hAnsi="宋体" w:cs="宋体"/>
          <w:color w:val="000000"/>
          <w:szCs w:val="21"/>
          <w:lang w:val="en-US" w:eastAsia="zh-CN"/>
        </w:rPr>
        <w:t>19</w:t>
      </w:r>
      <w:r>
        <w:rPr>
          <w:rFonts w:hint="eastAsia" w:ascii="宋体" w:hAnsi="宋体" w:cs="宋体"/>
          <w:color w:val="000000"/>
          <w:szCs w:val="21"/>
        </w:rPr>
        <w:t>日</w:t>
      </w:r>
      <w:r>
        <w:rPr>
          <w:rFonts w:hint="eastAsia" w:ascii="宋体" w:hAnsi="宋体" w:cs="宋体"/>
          <w:color w:val="000000"/>
          <w:szCs w:val="21"/>
          <w:lang w:val="en-US" w:eastAsia="zh-CN"/>
        </w:rPr>
        <w:t>9</w:t>
      </w:r>
      <w:r>
        <w:rPr>
          <w:rFonts w:hint="eastAsia" w:ascii="宋体" w:hAnsi="宋体" w:cs="宋体"/>
          <w:color w:val="000000"/>
          <w:szCs w:val="21"/>
        </w:rPr>
        <w:t>时</w:t>
      </w:r>
      <w:r>
        <w:rPr>
          <w:rFonts w:hint="eastAsia" w:ascii="宋体" w:hAnsi="宋体" w:cs="宋体"/>
          <w:color w:val="000000"/>
          <w:szCs w:val="21"/>
          <w:lang w:val="en-US" w:eastAsia="zh-CN"/>
        </w:rPr>
        <w:t>30</w:t>
      </w:r>
      <w:r>
        <w:rPr>
          <w:rFonts w:hint="eastAsia" w:ascii="宋体" w:hAnsi="宋体" w:cs="宋体"/>
          <w:color w:val="000000"/>
          <w:szCs w:val="21"/>
        </w:rPr>
        <w:t>分（北京时间），地点为宁波杭州湾公共资源交易中心（宁波杭州湾新区兴慈一路296号新区行政服务中心三楼3</w:t>
      </w:r>
      <w:r>
        <w:rPr>
          <w:rFonts w:hint="eastAsia" w:ascii="宋体" w:hAnsi="宋体" w:cs="宋体"/>
          <w:color w:val="000000"/>
          <w:szCs w:val="21"/>
          <w:lang w:val="en-US" w:eastAsia="zh-CN"/>
        </w:rPr>
        <w:t>28</w:t>
      </w:r>
      <w:r>
        <w:rPr>
          <w:rFonts w:hint="eastAsia" w:ascii="宋体" w:hAnsi="宋体" w:cs="宋体"/>
          <w:color w:val="000000"/>
          <w:szCs w:val="21"/>
        </w:rPr>
        <w:t>室）。</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2、逾期送达的或者未送达指定地点的投标文件，采购人不予受理。</w:t>
      </w:r>
    </w:p>
    <w:p>
      <w:pPr>
        <w:spacing w:line="400" w:lineRule="exact"/>
        <w:rPr>
          <w:rFonts w:hint="eastAsia" w:ascii="宋体" w:hAnsi="宋体" w:cs="宋体"/>
          <w:b/>
          <w:color w:val="000000"/>
          <w:szCs w:val="21"/>
        </w:rPr>
      </w:pPr>
      <w:r>
        <w:rPr>
          <w:rFonts w:hint="eastAsia" w:ascii="宋体" w:hAnsi="宋体" w:cs="宋体"/>
          <w:b/>
          <w:color w:val="000000"/>
          <w:szCs w:val="21"/>
        </w:rPr>
        <w:t>九、开标时间和开标地点：</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1、开标时间：2020年</w:t>
      </w:r>
      <w:r>
        <w:rPr>
          <w:rFonts w:hint="eastAsia" w:ascii="宋体" w:hAnsi="宋体" w:cs="宋体"/>
          <w:color w:val="000000"/>
          <w:szCs w:val="21"/>
          <w:lang w:val="en-US" w:eastAsia="zh-CN"/>
        </w:rPr>
        <w:t>6</w:t>
      </w:r>
      <w:r>
        <w:rPr>
          <w:rFonts w:hint="eastAsia" w:ascii="宋体" w:hAnsi="宋体" w:cs="宋体"/>
          <w:color w:val="000000"/>
          <w:szCs w:val="21"/>
        </w:rPr>
        <w:t>月</w:t>
      </w:r>
      <w:r>
        <w:rPr>
          <w:rFonts w:hint="eastAsia" w:ascii="宋体" w:hAnsi="宋体" w:cs="宋体"/>
          <w:color w:val="000000"/>
          <w:szCs w:val="21"/>
          <w:lang w:val="en-US" w:eastAsia="zh-CN"/>
        </w:rPr>
        <w:t>19</w:t>
      </w:r>
      <w:r>
        <w:rPr>
          <w:rFonts w:hint="eastAsia" w:ascii="宋体" w:hAnsi="宋体" w:cs="宋体"/>
          <w:color w:val="000000"/>
          <w:szCs w:val="21"/>
        </w:rPr>
        <w:t>日</w:t>
      </w:r>
      <w:r>
        <w:rPr>
          <w:rFonts w:hint="eastAsia" w:ascii="宋体" w:hAnsi="宋体" w:cs="宋体"/>
          <w:color w:val="000000"/>
          <w:szCs w:val="21"/>
          <w:lang w:val="en-US" w:eastAsia="zh-CN"/>
        </w:rPr>
        <w:t>9</w:t>
      </w:r>
      <w:r>
        <w:rPr>
          <w:rFonts w:hint="eastAsia" w:ascii="宋体" w:hAnsi="宋体" w:cs="宋体"/>
          <w:color w:val="000000"/>
          <w:szCs w:val="21"/>
        </w:rPr>
        <w:t>时</w:t>
      </w:r>
      <w:r>
        <w:rPr>
          <w:rFonts w:hint="eastAsia" w:ascii="宋体" w:hAnsi="宋体" w:cs="宋体"/>
          <w:color w:val="000000"/>
          <w:szCs w:val="21"/>
          <w:lang w:val="en-US" w:eastAsia="zh-CN"/>
        </w:rPr>
        <w:t>30</w:t>
      </w:r>
      <w:r>
        <w:rPr>
          <w:rFonts w:hint="eastAsia" w:ascii="宋体" w:hAnsi="宋体" w:cs="宋体"/>
          <w:color w:val="000000"/>
          <w:szCs w:val="21"/>
        </w:rPr>
        <w:t>分（北京时间）。</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2、开标地点：宁波杭州湾新区公共资源交易中心（宁波杭州湾兴慈一路296号新区行政服务中心三楼</w:t>
      </w:r>
      <w:r>
        <w:rPr>
          <w:rFonts w:hint="eastAsia" w:ascii="宋体" w:hAnsi="宋体" w:cs="宋体"/>
          <w:color w:val="000000"/>
          <w:szCs w:val="21"/>
          <w:lang w:val="en-US" w:eastAsia="zh-CN"/>
        </w:rPr>
        <w:t>328</w:t>
      </w:r>
      <w:r>
        <w:rPr>
          <w:rFonts w:hint="eastAsia" w:ascii="宋体" w:hAnsi="宋体" w:cs="宋体"/>
          <w:color w:val="000000"/>
          <w:szCs w:val="21"/>
        </w:rPr>
        <w:t>室）。</w:t>
      </w:r>
    </w:p>
    <w:p>
      <w:pPr>
        <w:spacing w:line="400" w:lineRule="exact"/>
        <w:rPr>
          <w:rFonts w:hint="eastAsia" w:ascii="宋体" w:hAnsi="宋体" w:cs="宋体"/>
          <w:b/>
          <w:color w:val="000000"/>
          <w:szCs w:val="21"/>
        </w:rPr>
      </w:pPr>
      <w:r>
        <w:rPr>
          <w:rFonts w:hint="eastAsia" w:ascii="宋体" w:hAnsi="宋体" w:cs="宋体"/>
          <w:b/>
          <w:color w:val="000000"/>
          <w:szCs w:val="21"/>
        </w:rPr>
        <w:t>十、其他事项：</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bidi="ar"/>
        </w:rPr>
        <w:t>单位负责人为同一人或者存在直接控股、管理关系的不同供应商，不得参加同一子包号的投标；</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2、为本项目提供整体设计、规范编制或者项目管理、监理、检测等服务的供应商，不得再参加本项目的投标；</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3、未购买招标文件者的投标将被拒绝。</w:t>
      </w:r>
    </w:p>
    <w:p>
      <w:pPr>
        <w:pStyle w:val="41"/>
        <w:spacing w:before="0" w:beforeAutospacing="0" w:after="0" w:afterAutospacing="0" w:line="405" w:lineRule="atLeast"/>
        <w:ind w:firstLine="420" w:firstLineChars="200"/>
        <w:rPr>
          <w:rFonts w:hint="eastAsia"/>
          <w:color w:val="000000"/>
        </w:rPr>
      </w:pPr>
      <w:r>
        <w:rPr>
          <w:rFonts w:hint="eastAsia"/>
          <w:color w:val="000000"/>
          <w:kern w:val="2"/>
          <w:sz w:val="21"/>
          <w:szCs w:val="21"/>
        </w:rPr>
        <w:t>4、肺炎防疫期间，请各投标供应商遵守杭州湾新区公共资源交易中心各项防疫措施规定。</w:t>
      </w:r>
    </w:p>
    <w:p>
      <w:pPr>
        <w:widowControl/>
        <w:spacing w:line="440" w:lineRule="exact"/>
        <w:jc w:val="left"/>
        <w:rPr>
          <w:rFonts w:ascii="Arial" w:hAnsi="Arial" w:cs="Arial"/>
          <w:b/>
          <w:bCs/>
          <w:color w:val="000000"/>
          <w:sz w:val="22"/>
          <w:szCs w:val="22"/>
        </w:rPr>
      </w:pPr>
      <w:r>
        <w:rPr>
          <w:rFonts w:ascii="Arial" w:hAnsi="Arial" w:cs="Arial"/>
          <w:b/>
          <w:bCs/>
          <w:color w:val="000000"/>
          <w:sz w:val="22"/>
          <w:szCs w:val="22"/>
        </w:rPr>
        <w:t>十</w:t>
      </w:r>
      <w:r>
        <w:rPr>
          <w:rFonts w:hint="eastAsia" w:ascii="Arial" w:hAnsi="Arial" w:cs="Arial"/>
          <w:b/>
          <w:bCs/>
          <w:color w:val="000000"/>
          <w:sz w:val="22"/>
          <w:szCs w:val="22"/>
        </w:rPr>
        <w:t>一</w:t>
      </w:r>
      <w:r>
        <w:rPr>
          <w:rFonts w:ascii="Arial" w:hAnsi="Arial" w:cs="Arial"/>
          <w:b/>
          <w:bCs/>
          <w:color w:val="000000"/>
          <w:sz w:val="22"/>
          <w:szCs w:val="22"/>
        </w:rPr>
        <w:t>、落实的政策：</w:t>
      </w:r>
    </w:p>
    <w:p>
      <w:pPr>
        <w:spacing w:line="40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政府采购促进中小企业发展暂行办法》（财库[2011]181号）、《关于政府采购支持监狱企业发展有关问题的通知》(财库[2014]68号)、《关于促进残疾人就业政府采购政策的通知》（财库[2017]141号）、《关于环境标志产品政府采购实施的意见》（财库〔2006〕90号、《节能产品政府采购实施意见》的通知（财库〔2004〕185号）。</w:t>
      </w:r>
    </w:p>
    <w:p>
      <w:pPr>
        <w:spacing w:line="400" w:lineRule="exact"/>
        <w:rPr>
          <w:rFonts w:hint="eastAsia" w:ascii="宋体" w:hAnsi="宋体" w:cs="宋体"/>
          <w:b/>
          <w:color w:val="000000"/>
          <w:szCs w:val="21"/>
        </w:rPr>
      </w:pPr>
      <w:r>
        <w:rPr>
          <w:rFonts w:hint="eastAsia" w:ascii="宋体" w:hAnsi="宋体" w:cs="宋体"/>
          <w:b/>
          <w:color w:val="000000"/>
          <w:szCs w:val="21"/>
        </w:rPr>
        <w:t>十二、采购人及其委托代理机构联系方式：</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采购人：宁波杭州湾新区教育发展中心</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联系人：陈先生</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联系电话：</w:t>
      </w:r>
      <w:r>
        <w:rPr>
          <w:rFonts w:hint="eastAsia" w:ascii="宋体" w:hAnsi="宋体"/>
          <w:color w:val="000000"/>
          <w:szCs w:val="21"/>
          <w:lang w:bidi="ar"/>
        </w:rPr>
        <w:t>0574-89280312</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联系地址：</w:t>
      </w:r>
      <w:r>
        <w:rPr>
          <w:rFonts w:hint="eastAsia" w:ascii="宋体" w:hAnsi="宋体"/>
          <w:color w:val="000000"/>
          <w:szCs w:val="24"/>
          <w:lang w:bidi="ar"/>
        </w:rPr>
        <w:t>宁波杭州湾新区兴慈一路</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代理机构名称：宁波高专建设监理有限公司</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联系地址：慈溪市古塘街道海通路1008号西幢</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联 系 人：缪臻、徐杰</w:t>
      </w:r>
    </w:p>
    <w:p>
      <w:pPr>
        <w:spacing w:line="400" w:lineRule="exact"/>
        <w:ind w:firstLine="420" w:firstLineChars="200"/>
        <w:rPr>
          <w:rFonts w:hint="eastAsia" w:ascii="宋体" w:hAnsi="宋体" w:cs="宋体"/>
          <w:bCs/>
          <w:color w:val="000000"/>
          <w:szCs w:val="21"/>
        </w:rPr>
      </w:pPr>
      <w:r>
        <w:rPr>
          <w:rFonts w:hint="eastAsia" w:ascii="宋体" w:hAnsi="宋体" w:cs="宋体"/>
          <w:color w:val="000000"/>
          <w:szCs w:val="21"/>
        </w:rPr>
        <w:t>联系电话：</w:t>
      </w:r>
      <w:r>
        <w:rPr>
          <w:rFonts w:hint="eastAsia" w:ascii="宋体" w:hAnsi="宋体" w:cs="宋体"/>
          <w:bCs/>
          <w:color w:val="000000"/>
          <w:szCs w:val="21"/>
        </w:rPr>
        <w:t>0574-63086120</w:t>
      </w:r>
    </w:p>
    <w:p>
      <w:pPr>
        <w:spacing w:line="400" w:lineRule="exact"/>
        <w:ind w:firstLine="420" w:firstLineChars="200"/>
        <w:jc w:val="left"/>
        <w:rPr>
          <w:rFonts w:hint="eastAsia" w:ascii="宋体" w:hAnsi="宋体" w:cs="宋体"/>
          <w:bCs/>
          <w:color w:val="000000"/>
          <w:szCs w:val="21"/>
        </w:rPr>
      </w:pPr>
      <w:r>
        <w:rPr>
          <w:rFonts w:hint="eastAsia" w:ascii="宋体" w:hAnsi="宋体" w:cs="宋体"/>
          <w:color w:val="000000"/>
          <w:szCs w:val="21"/>
        </w:rPr>
        <w:t>传    真：</w:t>
      </w:r>
      <w:r>
        <w:rPr>
          <w:rFonts w:hint="eastAsia" w:ascii="宋体" w:hAnsi="宋体" w:cs="宋体"/>
          <w:bCs/>
          <w:color w:val="000000"/>
          <w:szCs w:val="21"/>
        </w:rPr>
        <w:t>0574-63086150</w:t>
      </w:r>
    </w:p>
    <w:p>
      <w:pPr>
        <w:spacing w:line="520" w:lineRule="exact"/>
        <w:ind w:firstLine="420" w:firstLineChars="200"/>
        <w:rPr>
          <w:rFonts w:hint="eastAsia" w:ascii="宋体" w:hAnsi="宋体" w:cs="宋体"/>
          <w:color w:val="000000"/>
          <w:szCs w:val="21"/>
        </w:rPr>
      </w:pPr>
    </w:p>
    <w:p>
      <w:pPr>
        <w:spacing w:line="400" w:lineRule="exact"/>
        <w:ind w:firstLine="420" w:firstLineChars="200"/>
        <w:rPr>
          <w:rFonts w:hint="eastAsia" w:ascii="宋体" w:hAnsi="宋体" w:cs="宋体"/>
          <w:color w:val="000000"/>
          <w:szCs w:val="21"/>
        </w:rPr>
      </w:pPr>
    </w:p>
    <w:p>
      <w:pPr>
        <w:widowControl/>
        <w:spacing w:line="400" w:lineRule="exact"/>
        <w:ind w:firstLine="480"/>
        <w:jc w:val="right"/>
        <w:rPr>
          <w:rFonts w:hint="eastAsia" w:ascii="宋体" w:hAnsi="宋体" w:cs="宋体"/>
          <w:color w:val="000000"/>
          <w:sz w:val="24"/>
        </w:rPr>
        <w:sectPr>
          <w:footerReference r:id="rId8" w:type="default"/>
          <w:pgSz w:w="11907" w:h="16840"/>
          <w:pgMar w:top="1418" w:right="1134" w:bottom="1418" w:left="1134" w:header="285" w:footer="701" w:gutter="0"/>
          <w:pgBorders w:offsetFrom="page">
            <w:top w:val="none" w:sz="0" w:space="0"/>
            <w:left w:val="none" w:sz="0" w:space="0"/>
            <w:bottom w:val="none" w:sz="0" w:space="0"/>
            <w:right w:val="none" w:sz="0" w:space="0"/>
          </w:pgBorders>
          <w:pgNumType w:start="1"/>
          <w:cols w:space="720" w:num="1"/>
          <w:docGrid w:linePitch="285" w:charSpace="0"/>
        </w:sectPr>
      </w:pPr>
    </w:p>
    <w:p>
      <w:pPr>
        <w:spacing w:line="400" w:lineRule="exact"/>
        <w:jc w:val="center"/>
        <w:outlineLvl w:val="0"/>
        <w:rPr>
          <w:rFonts w:hint="eastAsia" w:ascii="宋体" w:hAnsi="宋体" w:cs="宋体"/>
          <w:b/>
          <w:color w:val="000000"/>
          <w:sz w:val="32"/>
        </w:rPr>
      </w:pPr>
      <w:bookmarkStart w:id="3" w:name="_Toc16878"/>
      <w:r>
        <w:rPr>
          <w:rFonts w:hint="eastAsia" w:ascii="宋体" w:hAnsi="宋体" w:cs="宋体"/>
          <w:b/>
          <w:color w:val="000000"/>
          <w:sz w:val="32"/>
        </w:rPr>
        <w:t>第二章  投标须知</w:t>
      </w:r>
      <w:bookmarkEnd w:id="3"/>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一、适用范围</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本招标文件仅适用于本采购项目所叙述的货物和服务的招标、评标、定标、验收、合同履约、付款等（法律、法规另有规定的，从其规定）。</w:t>
      </w:r>
    </w:p>
    <w:p>
      <w:pPr>
        <w:spacing w:line="400" w:lineRule="exact"/>
        <w:ind w:firstLine="422" w:firstLineChars="200"/>
        <w:jc w:val="left"/>
        <w:rPr>
          <w:rFonts w:hint="eastAsia" w:ascii="宋体" w:hAnsi="宋体" w:cs="宋体"/>
          <w:b/>
          <w:color w:val="000000"/>
          <w:szCs w:val="21"/>
        </w:rPr>
      </w:pPr>
      <w:r>
        <w:rPr>
          <w:rFonts w:hint="eastAsia" w:ascii="宋体" w:hAnsi="宋体" w:cs="宋体"/>
          <w:b/>
          <w:color w:val="000000"/>
          <w:szCs w:val="21"/>
        </w:rPr>
        <w:t>二、定义</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1、“采购人”系指宁波杭州湾新区教育发展中心。</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2、“代理机构”系指宁波高专建设监理有限公司。</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3、“供应商”系指向采购人提供投标文件的供应商。</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4、“中标人”系指在本次招标中确定向采购人提供货物和服务的供应商；</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5、“货物”系指供方按招标文件规定，须向采购人提供的一切设备、系统、保险、税金、备品备件、工具、手册及其它有关技术资料和材料。</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6、“服务”系指招标文件规定供应商</w:t>
      </w:r>
      <w:r>
        <w:rPr>
          <w:rFonts w:hint="eastAsia" w:ascii="宋体" w:hAnsi="宋体" w:cs="宋体"/>
          <w:color w:val="000000"/>
        </w:rPr>
        <w:t>须承担的</w:t>
      </w:r>
      <w:r>
        <w:rPr>
          <w:rFonts w:hint="eastAsia" w:ascii="宋体" w:hAnsi="宋体" w:cs="宋体"/>
          <w:color w:val="000000"/>
          <w:szCs w:val="21"/>
        </w:rPr>
        <w:t>技术协助、</w:t>
      </w:r>
      <w:r>
        <w:rPr>
          <w:rFonts w:hint="eastAsia" w:ascii="宋体" w:hAnsi="宋体" w:cs="宋体"/>
          <w:color w:val="000000"/>
        </w:rPr>
        <w:t>安装、调试、校准、培训以及其他类似的义务。</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7、“▲”系指实质性响应条款。</w:t>
      </w:r>
    </w:p>
    <w:p>
      <w:pPr>
        <w:spacing w:line="400" w:lineRule="exact"/>
        <w:ind w:firstLine="420" w:firstLineChars="200"/>
        <w:jc w:val="left"/>
        <w:rPr>
          <w:rFonts w:hint="eastAsia" w:ascii="宋体" w:hAnsi="宋体" w:cs="宋体"/>
          <w:b/>
          <w:color w:val="000000"/>
          <w:szCs w:val="21"/>
        </w:rPr>
      </w:pPr>
      <w:r>
        <w:rPr>
          <w:rFonts w:hint="eastAsia" w:ascii="宋体" w:hAnsi="宋体" w:cs="宋体"/>
          <w:color w:val="000000"/>
          <w:szCs w:val="21"/>
        </w:rPr>
        <w:t>▲</w:t>
      </w:r>
      <w:r>
        <w:rPr>
          <w:rFonts w:hint="eastAsia" w:ascii="宋体" w:hAnsi="宋体" w:cs="宋体"/>
          <w:b/>
          <w:color w:val="000000"/>
          <w:szCs w:val="21"/>
        </w:rPr>
        <w:t>三、供应商的资格要求</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详见采购公告。</w:t>
      </w:r>
    </w:p>
    <w:p>
      <w:pPr>
        <w:spacing w:line="400" w:lineRule="exact"/>
        <w:ind w:firstLine="422" w:firstLineChars="200"/>
        <w:jc w:val="left"/>
        <w:rPr>
          <w:rFonts w:hint="eastAsia" w:ascii="宋体" w:hAnsi="宋体" w:cs="宋体"/>
          <w:b/>
          <w:color w:val="000000"/>
          <w:szCs w:val="21"/>
        </w:rPr>
      </w:pPr>
      <w:r>
        <w:rPr>
          <w:rFonts w:hint="eastAsia" w:ascii="宋体" w:hAnsi="宋体" w:cs="宋体"/>
          <w:b/>
          <w:color w:val="000000"/>
          <w:szCs w:val="21"/>
        </w:rPr>
        <w:t>四、投标费用</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1、无论投标过程和结果如何，供应商自行承担与投标有关的全部费用。</w:t>
      </w:r>
    </w:p>
    <w:p>
      <w:pPr>
        <w:spacing w:line="400" w:lineRule="exact"/>
        <w:ind w:firstLine="420" w:firstLineChars="200"/>
        <w:jc w:val="left"/>
        <w:rPr>
          <w:rFonts w:hint="eastAsia" w:ascii="宋体" w:hAnsi="宋体"/>
          <w:color w:val="000000"/>
          <w:szCs w:val="21"/>
        </w:rPr>
      </w:pPr>
      <w:r>
        <w:rPr>
          <w:rFonts w:hint="eastAsia" w:ascii="宋体" w:hAnsi="宋体" w:cs="宋体"/>
          <w:color w:val="000000"/>
          <w:szCs w:val="21"/>
        </w:rPr>
        <w:t>2、招标代理费：</w:t>
      </w:r>
      <w:r>
        <w:rPr>
          <w:rFonts w:hint="eastAsia" w:ascii="宋体" w:hAnsi="宋体"/>
          <w:color w:val="000000"/>
          <w:szCs w:val="21"/>
        </w:rPr>
        <w:t>本次采购招标代理服务费由中标人支付，中标人在领取中标通知书前支付给采购代理机构，招标代理服务费收取金额如下：</w:t>
      </w:r>
    </w:p>
    <w:p>
      <w:pPr>
        <w:spacing w:line="400" w:lineRule="exact"/>
        <w:ind w:firstLine="420" w:firstLineChars="200"/>
        <w:jc w:val="left"/>
        <w:rPr>
          <w:rFonts w:hint="eastAsia" w:ascii="宋体" w:hAnsi="宋体" w:cs="宋体"/>
          <w:color w:val="000000"/>
          <w:szCs w:val="21"/>
          <w:lang w:bidi="ar"/>
        </w:rPr>
      </w:pPr>
      <w:r>
        <w:rPr>
          <w:rFonts w:hint="eastAsia" w:ascii="宋体" w:hAnsi="宋体" w:cs="宋体"/>
          <w:color w:val="000000"/>
          <w:szCs w:val="21"/>
          <w:lang w:bidi="ar"/>
        </w:rPr>
        <w:t>①子包一：招标代理服务费收费</w:t>
      </w:r>
      <w:r>
        <w:rPr>
          <w:rFonts w:hint="eastAsia" w:ascii="宋体" w:hAnsi="宋体" w:cs="宋体"/>
          <w:color w:val="000000"/>
          <w:szCs w:val="21"/>
          <w:u w:val="single"/>
          <w:lang w:bidi="ar"/>
        </w:rPr>
        <w:t>以中标金额的1.5%计取</w:t>
      </w:r>
      <w:r>
        <w:rPr>
          <w:rFonts w:hint="eastAsia" w:ascii="宋体" w:hAnsi="宋体" w:cs="宋体"/>
          <w:color w:val="000000"/>
          <w:szCs w:val="21"/>
          <w:lang w:bidi="ar"/>
        </w:rPr>
        <w:t>；</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②</w:t>
      </w:r>
      <w:r>
        <w:rPr>
          <w:rFonts w:hint="eastAsia" w:ascii="宋体" w:hAnsi="宋体" w:cs="宋体"/>
          <w:color w:val="000000"/>
          <w:szCs w:val="21"/>
          <w:lang w:bidi="ar"/>
        </w:rPr>
        <w:t>子包</w:t>
      </w:r>
      <w:r>
        <w:rPr>
          <w:rFonts w:hint="eastAsia" w:ascii="宋体" w:hAnsi="宋体" w:cs="宋体"/>
          <w:color w:val="000000"/>
          <w:szCs w:val="21"/>
        </w:rPr>
        <w:t>二：</w:t>
      </w:r>
      <w:r>
        <w:rPr>
          <w:rFonts w:hint="eastAsia" w:ascii="宋体" w:hAnsi="宋体" w:cs="宋体"/>
          <w:color w:val="000000"/>
          <w:szCs w:val="21"/>
          <w:lang w:bidi="ar"/>
        </w:rPr>
        <w:t>招标代理服务费收费</w:t>
      </w:r>
      <w:r>
        <w:rPr>
          <w:rFonts w:hint="eastAsia" w:ascii="宋体" w:hAnsi="宋体" w:cs="宋体"/>
          <w:color w:val="000000"/>
          <w:szCs w:val="21"/>
          <w:u w:val="single"/>
          <w:lang w:bidi="ar"/>
        </w:rPr>
        <w:t>以中标金额的1.5%计取</w:t>
      </w:r>
      <w:r>
        <w:rPr>
          <w:rFonts w:hint="eastAsia" w:ascii="宋体" w:hAnsi="宋体" w:cs="宋体"/>
          <w:color w:val="000000"/>
          <w:szCs w:val="21"/>
        </w:rPr>
        <w:t>。</w:t>
      </w:r>
    </w:p>
    <w:p>
      <w:pPr>
        <w:spacing w:line="400" w:lineRule="exact"/>
        <w:ind w:firstLine="422" w:firstLineChars="200"/>
        <w:jc w:val="left"/>
        <w:rPr>
          <w:rFonts w:hint="eastAsia" w:ascii="宋体" w:hAnsi="宋体" w:cs="宋体"/>
          <w:b/>
          <w:color w:val="000000"/>
          <w:szCs w:val="21"/>
        </w:rPr>
      </w:pPr>
      <w:r>
        <w:rPr>
          <w:rFonts w:hint="eastAsia" w:ascii="宋体" w:hAnsi="宋体" w:cs="宋体"/>
          <w:b/>
          <w:color w:val="000000"/>
          <w:szCs w:val="21"/>
        </w:rPr>
        <w:t>五、投标保证金</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本项目（各子包）无需缴纳投标保证金。</w:t>
      </w:r>
    </w:p>
    <w:p>
      <w:pPr>
        <w:spacing w:line="400" w:lineRule="exact"/>
        <w:ind w:firstLine="422" w:firstLineChars="200"/>
        <w:jc w:val="left"/>
        <w:rPr>
          <w:rFonts w:hint="eastAsia" w:ascii="宋体" w:hAnsi="宋体" w:cs="宋体"/>
          <w:b/>
          <w:color w:val="000000"/>
          <w:szCs w:val="21"/>
        </w:rPr>
      </w:pPr>
      <w:r>
        <w:rPr>
          <w:rFonts w:hint="eastAsia" w:ascii="宋体" w:hAnsi="宋体" w:cs="宋体"/>
          <w:b/>
          <w:color w:val="000000"/>
          <w:szCs w:val="21"/>
        </w:rPr>
        <w:t>六、投标有效期</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▲1、投标文件从开标之日起，投标有效期为90个日历天。有效期自开标日起计算，不能小于招标文件的要求。</w:t>
      </w:r>
    </w:p>
    <w:p>
      <w:pPr>
        <w:spacing w:line="400" w:lineRule="exact"/>
        <w:ind w:firstLine="420" w:firstLineChars="200"/>
        <w:jc w:val="left"/>
        <w:rPr>
          <w:rFonts w:hint="eastAsia" w:ascii="宋体" w:hAnsi="宋体" w:cs="宋体"/>
          <w:b/>
          <w:color w:val="000000"/>
          <w:szCs w:val="21"/>
        </w:rPr>
      </w:pPr>
      <w:r>
        <w:rPr>
          <w:rFonts w:hint="eastAsia" w:ascii="宋体" w:hAnsi="宋体" w:cs="宋体"/>
          <w:color w:val="000000"/>
          <w:szCs w:val="21"/>
        </w:rPr>
        <w:t>2、特殊情况下，采购人可与供应商协商延缓投标文件的有效期，这种要求和答复均以书面形式进行。</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3、同意延长有效期的供应商不能修改投标文件。</w:t>
      </w:r>
    </w:p>
    <w:p>
      <w:pPr>
        <w:spacing w:line="400" w:lineRule="exact"/>
        <w:ind w:firstLine="422" w:firstLineChars="200"/>
        <w:jc w:val="left"/>
        <w:rPr>
          <w:rFonts w:hint="eastAsia" w:ascii="宋体" w:hAnsi="宋体" w:cs="宋体"/>
          <w:b/>
          <w:color w:val="000000"/>
          <w:szCs w:val="21"/>
        </w:rPr>
      </w:pPr>
      <w:r>
        <w:rPr>
          <w:rFonts w:hint="eastAsia" w:ascii="宋体" w:hAnsi="宋体" w:cs="宋体"/>
          <w:b/>
          <w:color w:val="000000"/>
          <w:szCs w:val="21"/>
        </w:rPr>
        <w:t>七、投标文件的组成</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每个子包投标文件由商务技术文件、报价文件二部分组成。</w:t>
      </w:r>
    </w:p>
    <w:p>
      <w:pPr>
        <w:spacing w:line="400" w:lineRule="exact"/>
        <w:ind w:firstLine="422" w:firstLineChars="200"/>
        <w:jc w:val="left"/>
        <w:rPr>
          <w:rFonts w:hint="eastAsia" w:ascii="宋体" w:hAnsi="宋体" w:cs="宋体"/>
          <w:color w:val="000000"/>
          <w:szCs w:val="21"/>
        </w:rPr>
      </w:pPr>
      <w:r>
        <w:rPr>
          <w:rFonts w:hint="eastAsia" w:ascii="宋体" w:hAnsi="宋体"/>
          <w:b/>
          <w:bCs/>
          <w:color w:val="000000"/>
          <w:szCs w:val="21"/>
        </w:rPr>
        <w:t>子包一：</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〈一〉商务技术文件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1、投标文件封面（格式见附件）；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2、投标书（格式见附件）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3、目录；</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4、法定代表人身份证明（格式见附件）或法定代表人授权书（投标文件由授权代表签字的）（格式见附件）；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5、资格证明文件：</w:t>
      </w:r>
    </w:p>
    <w:p>
      <w:pPr>
        <w:spacing w:line="400" w:lineRule="exact"/>
        <w:ind w:left="420"/>
        <w:jc w:val="left"/>
        <w:rPr>
          <w:rFonts w:hint="eastAsia" w:ascii="宋体" w:hAnsi="宋体" w:cs="宋体"/>
          <w:color w:val="000000"/>
          <w:szCs w:val="21"/>
        </w:rPr>
      </w:pPr>
      <w:r>
        <w:rPr>
          <w:rFonts w:hint="eastAsia" w:ascii="宋体" w:hAnsi="宋体" w:cs="宋体"/>
          <w:color w:val="000000"/>
          <w:szCs w:val="21"/>
        </w:rPr>
        <w:t>5-1.关于资格的声明函（格式见附件）；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5-2.营业执照副本复印件加盖供应商公章；</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5-3.税务登记证副本复印件加盖供应商公章</w:t>
      </w:r>
      <w:r>
        <w:rPr>
          <w:rFonts w:hint="eastAsia" w:ascii="宋体" w:hAnsi="宋体" w:cs="宋体"/>
          <w:color w:val="000000"/>
          <w:szCs w:val="21"/>
          <w:lang w:bidi="ar"/>
        </w:rPr>
        <w:t>（已办理多证合一的无须提供）</w:t>
      </w:r>
      <w:r>
        <w:rPr>
          <w:rFonts w:hint="eastAsia" w:ascii="宋体" w:hAnsi="宋体" w:cs="宋体"/>
          <w:color w:val="000000"/>
          <w:szCs w:val="21"/>
        </w:rPr>
        <w:t>；</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5-4.组织机构代码证副本复印件加盖供应商公章</w:t>
      </w:r>
      <w:r>
        <w:rPr>
          <w:rFonts w:hint="eastAsia" w:ascii="宋体" w:hAnsi="宋体" w:cs="宋体"/>
          <w:color w:val="000000"/>
          <w:szCs w:val="21"/>
          <w:lang w:bidi="ar"/>
        </w:rPr>
        <w:t>（已办理多证合一的无须提供）</w:t>
      </w:r>
      <w:r>
        <w:rPr>
          <w:rFonts w:hint="eastAsia" w:ascii="宋体" w:hAnsi="宋体" w:cs="宋体"/>
          <w:color w:val="000000"/>
          <w:szCs w:val="21"/>
        </w:rPr>
        <w:t>；</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5-5.社会保险登记证副本复印件加盖供应商公章</w:t>
      </w:r>
      <w:r>
        <w:rPr>
          <w:rFonts w:hint="eastAsia" w:ascii="宋体" w:hAnsi="宋体" w:cs="宋体"/>
          <w:color w:val="000000"/>
          <w:szCs w:val="21"/>
          <w:lang w:bidi="ar"/>
        </w:rPr>
        <w:t>（已办理多证合一的无须提供）</w:t>
      </w:r>
      <w:r>
        <w:rPr>
          <w:rFonts w:hint="eastAsia" w:ascii="宋体" w:hAnsi="宋体" w:cs="宋体"/>
          <w:color w:val="000000"/>
          <w:szCs w:val="21"/>
        </w:rPr>
        <w:t>；</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5-6.2019年度财务会计报表复印件加盖供应商公章</w:t>
      </w:r>
      <w:r>
        <w:rPr>
          <w:rFonts w:hint="eastAsia" w:ascii="宋体" w:hAnsi="宋体" w:cs="宋体"/>
          <w:color w:val="000000"/>
          <w:szCs w:val="21"/>
          <w:lang w:bidi="ar"/>
        </w:rPr>
        <w:t>（供应商注册成立不足一年的，应提供供应商单位成立至</w:t>
      </w:r>
      <w:r>
        <w:rPr>
          <w:rFonts w:hint="eastAsia" w:ascii="宋体" w:hAnsi="宋体" w:cs="宋体"/>
          <w:color w:val="000000"/>
          <w:szCs w:val="21"/>
          <w:lang w:eastAsia="zh-CN" w:bidi="ar"/>
        </w:rPr>
        <w:t>2020年4月</w:t>
      </w:r>
      <w:r>
        <w:rPr>
          <w:rFonts w:hint="eastAsia" w:ascii="宋体" w:hAnsi="宋体" w:cs="宋体"/>
          <w:color w:val="000000"/>
          <w:szCs w:val="21"/>
          <w:lang w:bidi="ar"/>
        </w:rPr>
        <w:t>的财务会计报表复印件加盖供应商公章）</w:t>
      </w:r>
      <w:r>
        <w:rPr>
          <w:rFonts w:hint="eastAsia" w:ascii="宋体" w:hAnsi="宋体" w:cs="宋体"/>
          <w:color w:val="000000"/>
          <w:szCs w:val="21"/>
        </w:rPr>
        <w:t>；</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5-7.2019年度缴纳税收的证明资料复印件加盖供应商公章（供应商注册成立不足一年的，应提供供应商单位成立至</w:t>
      </w:r>
      <w:r>
        <w:rPr>
          <w:rFonts w:hint="eastAsia" w:ascii="宋体" w:hAnsi="宋体" w:cs="宋体"/>
          <w:color w:val="000000"/>
          <w:szCs w:val="21"/>
          <w:lang w:eastAsia="zh-CN" w:bidi="ar"/>
        </w:rPr>
        <w:t>2020年4月</w:t>
      </w:r>
      <w:r>
        <w:rPr>
          <w:rFonts w:hint="eastAsia" w:ascii="宋体" w:hAnsi="宋体" w:cs="宋体"/>
          <w:color w:val="000000"/>
          <w:szCs w:val="21"/>
        </w:rPr>
        <w:t>的缴纳税收的凭据证明材料复印件加盖供应商公章）；如依法免税的，应提供相应文件证明其依法免税；</w:t>
      </w:r>
    </w:p>
    <w:p>
      <w:pPr>
        <w:spacing w:line="400" w:lineRule="exact"/>
        <w:ind w:firstLine="420" w:firstLineChars="200"/>
        <w:jc w:val="left"/>
        <w:rPr>
          <w:rFonts w:ascii="宋体" w:hAnsi="宋体" w:cs="宋体"/>
          <w:color w:val="000000"/>
          <w:szCs w:val="21"/>
        </w:rPr>
      </w:pPr>
      <w:r>
        <w:rPr>
          <w:rFonts w:hint="eastAsia" w:ascii="宋体" w:hAnsi="宋体" w:cs="宋体"/>
          <w:color w:val="000000"/>
          <w:szCs w:val="21"/>
        </w:rPr>
        <w:t>5-8.2019年度缴纳社保的证明资料复印件加盖供应商公章</w:t>
      </w:r>
      <w:r>
        <w:rPr>
          <w:rFonts w:hint="eastAsia" w:ascii="宋体" w:hAnsi="宋体" w:cs="宋体"/>
          <w:color w:val="000000"/>
          <w:szCs w:val="21"/>
          <w:lang w:bidi="ar"/>
        </w:rPr>
        <w:t>（供应商注册成立不足一年的，应提供供应商单位成立至</w:t>
      </w:r>
      <w:r>
        <w:rPr>
          <w:rFonts w:hint="eastAsia" w:ascii="宋体" w:hAnsi="宋体" w:cs="宋体"/>
          <w:color w:val="000000"/>
          <w:szCs w:val="21"/>
          <w:lang w:eastAsia="zh-CN" w:bidi="ar"/>
        </w:rPr>
        <w:t>2020年4月</w:t>
      </w:r>
      <w:r>
        <w:rPr>
          <w:rFonts w:hint="eastAsia" w:ascii="宋体" w:hAnsi="宋体" w:cs="宋体"/>
          <w:color w:val="000000"/>
          <w:szCs w:val="21"/>
          <w:lang w:bidi="ar"/>
        </w:rPr>
        <w:t>的缴纳社保的证明资料复印件加盖供应商公章）</w:t>
      </w:r>
      <w:r>
        <w:rPr>
          <w:rFonts w:hint="eastAsia" w:ascii="宋体" w:hAnsi="宋体" w:cs="宋体"/>
          <w:color w:val="000000"/>
          <w:szCs w:val="21"/>
        </w:rPr>
        <w:t>；如依法不需要缴纳社保的，应提供相关文件证明其依法不需要缴纳社保；</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5-9.无重大违法记录声明函（格式见附件）；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5-10.供应商一般情况（格式见附件）；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6、商务条款响应表（格式见附件）；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7、技术条款响应表（格式见附件）及</w:t>
      </w:r>
      <w:r>
        <w:rPr>
          <w:rFonts w:hint="eastAsia" w:ascii="宋体" w:hAnsi="宋体" w:cs="宋体"/>
          <w:b/>
          <w:bCs/>
          <w:color w:val="000000"/>
          <w:szCs w:val="21"/>
        </w:rPr>
        <w:t>技术条款要求提供的相关资料复印件加盖供应商公章</w:t>
      </w:r>
      <w:r>
        <w:rPr>
          <w:rFonts w:hint="eastAsia" w:ascii="宋体" w:hAnsi="宋体" w:cs="宋体"/>
          <w:color w:val="000000"/>
          <w:szCs w:val="21"/>
        </w:rPr>
        <w:t>；</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8、如有，提供供应商承接过的智慧校园项目合同及中标通知书复印件（复印件加盖供应商公章，投标截止时间前提供原件）；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9、如有，提供拟派项目经理的基本情况表（格式自拟）和项目经理的相关证书复印件（复印件加盖供应商公章，项目经理的相关证书需在投标截止时间前提供原件）；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10、如有，提供所投产品为节能产品（或环境标志产品）的相关证明复印件（复印件加盖供应商公章，投标截止时间前提供原件）；</w:t>
      </w:r>
    </w:p>
    <w:p>
      <w:pPr>
        <w:spacing w:line="400" w:lineRule="exact"/>
        <w:ind w:firstLine="422" w:firstLineChars="200"/>
        <w:jc w:val="left"/>
        <w:rPr>
          <w:rFonts w:hint="eastAsia" w:ascii="宋体" w:hAnsi="宋体" w:cs="宋体"/>
          <w:b/>
          <w:bCs/>
          <w:color w:val="000000"/>
          <w:szCs w:val="21"/>
        </w:rPr>
      </w:pPr>
      <w:r>
        <w:rPr>
          <w:rFonts w:hint="eastAsia" w:ascii="宋体" w:hAnsi="宋体" w:cs="宋体"/>
          <w:b/>
          <w:bCs/>
          <w:color w:val="000000"/>
          <w:szCs w:val="21"/>
        </w:rPr>
        <w:t>11、如有，供应商提供所投软硬件要求的相关证明资料复印件（具体详见第三章商务技术评分标准）；</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12、供应商针对本项目的</w:t>
      </w:r>
      <w:r>
        <w:rPr>
          <w:rFonts w:hint="eastAsia" w:ascii="宋体" w:hAnsi="宋体" w:cs="宋体"/>
          <w:color w:val="000000"/>
          <w:szCs w:val="21"/>
          <w:lang w:bidi="ar"/>
        </w:rPr>
        <w:t>安装、调试的方案、</w:t>
      </w:r>
      <w:r>
        <w:rPr>
          <w:rFonts w:hint="eastAsia" w:ascii="宋体" w:hAnsi="宋体" w:cs="宋体"/>
          <w:color w:val="000000"/>
          <w:szCs w:val="21"/>
        </w:rPr>
        <w:t>对于提供设备的教学功能适用性情况说明和售后服务方案；</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13、供应商认为需要的其他资料。</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〈二〉报价文件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1、投标文件封面（格式见附件）；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 xml:space="preserve">2、目录； </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3、开标一览表（格式见附件）；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4、分项报价表（格式见附件）；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5、投标单位声明函（格式见附件）；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6、中小企业声明函（格式见附件）；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7、残疾人福利性单位声明函（如有需提供）（格式见附件）；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8、供应商认为需要的其他资料。</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以上文件，由商务技术文件和报价文件二部分组成， “商务技术文件”与“报价文件”须分开装订并密封，未按此要求的，由此造成其投标报价提前泄露的风险由投标供应商自行承担。</w:t>
      </w:r>
    </w:p>
    <w:p>
      <w:pPr>
        <w:spacing w:line="400" w:lineRule="exact"/>
        <w:ind w:firstLine="420" w:firstLineChars="200"/>
        <w:jc w:val="left"/>
        <w:rPr>
          <w:rFonts w:hint="eastAsia" w:ascii="宋体" w:hAnsi="宋体" w:cs="仿宋_GB2312"/>
          <w:color w:val="000000"/>
          <w:kern w:val="0"/>
          <w:szCs w:val="21"/>
          <w:lang w:bidi="ar"/>
        </w:rPr>
      </w:pPr>
      <w:r>
        <w:rPr>
          <w:rFonts w:hint="eastAsia" w:ascii="宋体" w:hAnsi="宋体" w:cs="宋体"/>
          <w:color w:val="000000"/>
          <w:szCs w:val="21"/>
        </w:rPr>
        <w:t>〈三〉</w:t>
      </w:r>
      <w:r>
        <w:rPr>
          <w:rFonts w:hint="eastAsia" w:ascii="宋体" w:hAnsi="宋体"/>
          <w:color w:val="000000"/>
          <w:szCs w:val="21"/>
        </w:rPr>
        <w:t>提供设备演示需要的相关设备：本项目要求供应商提供智慧校园管理平台演示，</w:t>
      </w:r>
      <w:r>
        <w:rPr>
          <w:rFonts w:hint="eastAsia" w:ascii="宋体" w:hAnsi="宋体" w:cs="仿宋_GB2312"/>
          <w:color w:val="000000"/>
          <w:kern w:val="0"/>
          <w:szCs w:val="21"/>
          <w:lang w:bidi="ar"/>
        </w:rPr>
        <w:t>供应商须按招标文件规定时间及地点提交演示相关设备（不需要提供相关检测报告）。</w:t>
      </w:r>
    </w:p>
    <w:p>
      <w:pPr>
        <w:spacing w:line="400" w:lineRule="exact"/>
        <w:ind w:firstLine="420" w:firstLineChars="200"/>
        <w:jc w:val="left"/>
        <w:rPr>
          <w:rFonts w:hint="eastAsia" w:ascii="宋体" w:hAnsi="宋体" w:cs="仿宋_GB2312"/>
          <w:color w:val="000000"/>
          <w:kern w:val="0"/>
          <w:szCs w:val="21"/>
          <w:lang w:bidi="ar"/>
        </w:rPr>
      </w:pPr>
      <w:r>
        <w:rPr>
          <w:rFonts w:hint="eastAsia" w:ascii="宋体" w:hAnsi="宋体" w:cs="仿宋_GB2312"/>
          <w:color w:val="000000"/>
          <w:kern w:val="0"/>
          <w:szCs w:val="21"/>
          <w:lang w:bidi="ar"/>
        </w:rPr>
        <w:t>递交演示相关设备的时间：供应商于投标截止时间前30分钟内递交演示相关设备。</w:t>
      </w:r>
    </w:p>
    <w:p>
      <w:pPr>
        <w:spacing w:line="400" w:lineRule="exact"/>
        <w:ind w:firstLine="420" w:firstLineChars="200"/>
        <w:jc w:val="left"/>
        <w:rPr>
          <w:rFonts w:hint="eastAsia" w:ascii="宋体" w:hAnsi="宋体" w:cs="宋体"/>
          <w:color w:val="000000"/>
          <w:szCs w:val="21"/>
        </w:rPr>
      </w:pPr>
      <w:r>
        <w:rPr>
          <w:rFonts w:hint="eastAsia" w:ascii="宋体" w:hAnsi="宋体" w:cs="仿宋_GB2312"/>
          <w:color w:val="000000"/>
          <w:kern w:val="0"/>
          <w:szCs w:val="21"/>
          <w:lang w:bidi="ar"/>
        </w:rPr>
        <w:t>递交演示相关设备的地点：</w:t>
      </w:r>
      <w:r>
        <w:rPr>
          <w:rFonts w:hint="eastAsia" w:ascii="宋体" w:hAnsi="宋体" w:cs="宋体"/>
          <w:color w:val="000000"/>
          <w:szCs w:val="21"/>
        </w:rPr>
        <w:t>宁波杭州湾新区公共资源交易中心北侧一楼楼梯处。</w:t>
      </w:r>
    </w:p>
    <w:p>
      <w:pPr>
        <w:spacing w:line="400" w:lineRule="exact"/>
        <w:ind w:firstLine="422" w:firstLineChars="200"/>
        <w:jc w:val="left"/>
        <w:rPr>
          <w:rFonts w:hint="eastAsia"/>
          <w:color w:val="000000"/>
        </w:rPr>
      </w:pPr>
      <w:r>
        <w:rPr>
          <w:rFonts w:hint="eastAsia" w:ascii="宋体" w:hAnsi="宋体" w:cs="仿宋_GB2312"/>
          <w:b/>
          <w:color w:val="000000"/>
          <w:kern w:val="0"/>
          <w:szCs w:val="21"/>
        </w:rPr>
        <w:t>供应商递交的演示相关设备于招标活动结束后予以退还</w:t>
      </w:r>
      <w:r>
        <w:rPr>
          <w:rFonts w:hint="eastAsia" w:ascii="宋体" w:hAnsi="宋体" w:cs="仿宋_GB2312"/>
          <w:b/>
          <w:color w:val="000000"/>
          <w:kern w:val="0"/>
          <w:sz w:val="22"/>
        </w:rPr>
        <w:t>。</w:t>
      </w:r>
    </w:p>
    <w:p>
      <w:pPr>
        <w:spacing w:line="400" w:lineRule="exact"/>
        <w:ind w:firstLine="422" w:firstLineChars="200"/>
        <w:jc w:val="left"/>
        <w:rPr>
          <w:rFonts w:hint="eastAsia" w:ascii="宋体" w:hAnsi="宋体" w:cs="宋体"/>
          <w:color w:val="000000"/>
          <w:szCs w:val="21"/>
        </w:rPr>
      </w:pPr>
      <w:r>
        <w:rPr>
          <w:rFonts w:hint="eastAsia" w:ascii="宋体" w:hAnsi="宋体"/>
          <w:b/>
          <w:bCs/>
          <w:color w:val="000000"/>
          <w:szCs w:val="21"/>
        </w:rPr>
        <w:t>子包二：</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〈一〉商务技术文件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1、投标文件封面（格式见附件）；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2、投标书（格式见附件）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3、目录；</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4、法定代表人身份证明（格式见附件）或法定代表人授权书（投标文件由授权代表签字的）（格式见附件）；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5、资格证明文件：</w:t>
      </w:r>
    </w:p>
    <w:p>
      <w:pPr>
        <w:spacing w:line="400" w:lineRule="exact"/>
        <w:ind w:left="420"/>
        <w:jc w:val="left"/>
        <w:rPr>
          <w:rFonts w:hint="eastAsia" w:ascii="宋体" w:hAnsi="宋体" w:cs="宋体"/>
          <w:color w:val="000000"/>
          <w:szCs w:val="21"/>
        </w:rPr>
      </w:pPr>
      <w:r>
        <w:rPr>
          <w:rFonts w:hint="eastAsia" w:ascii="宋体" w:hAnsi="宋体" w:cs="宋体"/>
          <w:color w:val="000000"/>
          <w:szCs w:val="21"/>
        </w:rPr>
        <w:t>5-1.关于资格的声明函（格式见附件）；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5-2.营业执照副本复印件加盖供应商公章；</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5-3.税务登记证副本复印件加盖供应商公章</w:t>
      </w:r>
      <w:r>
        <w:rPr>
          <w:rFonts w:hint="eastAsia" w:ascii="宋体" w:hAnsi="宋体" w:cs="宋体"/>
          <w:color w:val="000000"/>
          <w:szCs w:val="21"/>
          <w:lang w:bidi="ar"/>
        </w:rPr>
        <w:t>（已办理多证合一的无须提供）</w:t>
      </w:r>
      <w:r>
        <w:rPr>
          <w:rFonts w:hint="eastAsia" w:ascii="宋体" w:hAnsi="宋体" w:cs="宋体"/>
          <w:color w:val="000000"/>
          <w:szCs w:val="21"/>
        </w:rPr>
        <w:t>；</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5-4.组织机构代码证副本复印件加盖供应商公章</w:t>
      </w:r>
      <w:r>
        <w:rPr>
          <w:rFonts w:hint="eastAsia" w:ascii="宋体" w:hAnsi="宋体" w:cs="宋体"/>
          <w:color w:val="000000"/>
          <w:szCs w:val="21"/>
          <w:lang w:bidi="ar"/>
        </w:rPr>
        <w:t>（已办理多证合一的无须提供）</w:t>
      </w:r>
      <w:r>
        <w:rPr>
          <w:rFonts w:hint="eastAsia" w:ascii="宋体" w:hAnsi="宋体" w:cs="宋体"/>
          <w:color w:val="000000"/>
          <w:szCs w:val="21"/>
        </w:rPr>
        <w:t>；</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5-5.社会保险登记证副本复印件加盖供应商公章</w:t>
      </w:r>
      <w:r>
        <w:rPr>
          <w:rFonts w:hint="eastAsia" w:ascii="宋体" w:hAnsi="宋体" w:cs="宋体"/>
          <w:color w:val="000000"/>
          <w:szCs w:val="21"/>
          <w:lang w:bidi="ar"/>
        </w:rPr>
        <w:t>（已办理多证合一的无须提供）</w:t>
      </w:r>
      <w:r>
        <w:rPr>
          <w:rFonts w:hint="eastAsia" w:ascii="宋体" w:hAnsi="宋体" w:cs="宋体"/>
          <w:color w:val="000000"/>
          <w:szCs w:val="21"/>
        </w:rPr>
        <w:t>；</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5-6.2019年度财务会计报表复印件加盖供应商公章</w:t>
      </w:r>
      <w:r>
        <w:rPr>
          <w:rFonts w:hint="eastAsia" w:ascii="宋体" w:hAnsi="宋体" w:cs="宋体"/>
          <w:color w:val="000000"/>
          <w:szCs w:val="21"/>
          <w:lang w:bidi="ar"/>
        </w:rPr>
        <w:t>（供应商注册成立不足一年的，应提供供应商单位成立至</w:t>
      </w:r>
      <w:r>
        <w:rPr>
          <w:rFonts w:hint="eastAsia" w:ascii="宋体" w:hAnsi="宋体" w:cs="宋体"/>
          <w:color w:val="000000"/>
          <w:szCs w:val="21"/>
          <w:lang w:eastAsia="zh-CN" w:bidi="ar"/>
        </w:rPr>
        <w:t>2020年4月</w:t>
      </w:r>
      <w:r>
        <w:rPr>
          <w:rFonts w:hint="eastAsia" w:ascii="宋体" w:hAnsi="宋体" w:cs="宋体"/>
          <w:color w:val="000000"/>
          <w:szCs w:val="21"/>
          <w:lang w:bidi="ar"/>
        </w:rPr>
        <w:t>的财务会计报表复印件加盖供应商公章）</w:t>
      </w:r>
      <w:r>
        <w:rPr>
          <w:rFonts w:hint="eastAsia" w:ascii="宋体" w:hAnsi="宋体" w:cs="宋体"/>
          <w:color w:val="000000"/>
          <w:szCs w:val="21"/>
        </w:rPr>
        <w:t>；</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5-7.2019年度缴纳税收的证明资料复印件加盖供应商公章（供应商注册成立不足一年的，应提供供应商单位成立至</w:t>
      </w:r>
      <w:r>
        <w:rPr>
          <w:rFonts w:hint="eastAsia" w:ascii="宋体" w:hAnsi="宋体" w:cs="宋体"/>
          <w:color w:val="000000"/>
          <w:szCs w:val="21"/>
          <w:lang w:eastAsia="zh-CN" w:bidi="ar"/>
        </w:rPr>
        <w:t>2020年4月</w:t>
      </w:r>
      <w:r>
        <w:rPr>
          <w:rFonts w:hint="eastAsia" w:ascii="宋体" w:hAnsi="宋体" w:cs="宋体"/>
          <w:color w:val="000000"/>
          <w:szCs w:val="21"/>
        </w:rPr>
        <w:t>的缴纳税收的凭据证明材料复印件加盖供应商公章）；如依法免税的，应提供相应文件证明其依法免税；</w:t>
      </w:r>
    </w:p>
    <w:p>
      <w:pPr>
        <w:spacing w:line="400" w:lineRule="exact"/>
        <w:ind w:firstLine="420" w:firstLineChars="200"/>
        <w:jc w:val="left"/>
        <w:rPr>
          <w:rFonts w:ascii="宋体" w:hAnsi="宋体" w:cs="宋体"/>
          <w:color w:val="000000"/>
          <w:szCs w:val="21"/>
        </w:rPr>
      </w:pPr>
      <w:r>
        <w:rPr>
          <w:rFonts w:hint="eastAsia" w:ascii="宋体" w:hAnsi="宋体" w:cs="宋体"/>
          <w:color w:val="000000"/>
          <w:szCs w:val="21"/>
        </w:rPr>
        <w:t>5-8.2019年度缴纳社保的证明资料复印件加盖供应商公章</w:t>
      </w:r>
      <w:r>
        <w:rPr>
          <w:rFonts w:hint="eastAsia" w:ascii="宋体" w:hAnsi="宋体" w:cs="宋体"/>
          <w:color w:val="000000"/>
          <w:szCs w:val="21"/>
          <w:lang w:bidi="ar"/>
        </w:rPr>
        <w:t>（供应商注册成立不足一年的，应提供供应商单位成立至</w:t>
      </w:r>
      <w:r>
        <w:rPr>
          <w:rFonts w:hint="eastAsia" w:ascii="宋体" w:hAnsi="宋体" w:cs="宋体"/>
          <w:color w:val="000000"/>
          <w:szCs w:val="21"/>
          <w:lang w:eastAsia="zh-CN" w:bidi="ar"/>
        </w:rPr>
        <w:t>2020年4月</w:t>
      </w:r>
      <w:r>
        <w:rPr>
          <w:rFonts w:hint="eastAsia" w:ascii="宋体" w:hAnsi="宋体" w:cs="宋体"/>
          <w:color w:val="000000"/>
          <w:szCs w:val="21"/>
          <w:lang w:bidi="ar"/>
        </w:rPr>
        <w:t>的缴纳社保的证明资料复印件加盖供应商公章）</w:t>
      </w:r>
      <w:r>
        <w:rPr>
          <w:rFonts w:hint="eastAsia" w:ascii="宋体" w:hAnsi="宋体" w:cs="宋体"/>
          <w:color w:val="000000"/>
          <w:szCs w:val="21"/>
        </w:rPr>
        <w:t>；如依法不需要缴纳社保的，应提供相关文件证明其依法不需要缴纳社保；</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5-9.无重大违法记录声明函（格式见附件）；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5-10.供应商一般情况（格式见附件）；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6、商务条款响应表（格式见附件）；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7、技术条款响应表（格式见附件）；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8、如有，提供供应商承接过的智慧校园项目合同及中标通知书复印件（复印件加盖供应商公章，投标截止时间前提供原件）；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9、如有，提供拟派项目经理的基本情况表（格式自拟）和项目经理的相关证书复印件（复印件加盖供应商公章，项目经理的相关证书需在投标截止时间前提供原件）；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10、如有，提供所投产品为节能产品（或环境标志产品）的相关证明复印件（复印件加盖供应商公章，投标截止时间前提供原件）；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11、如有，供应商提供所投软硬件要求的相关证明资料复印件（具体详见第三章商务技术评分标准）；</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12、供应商对于提供设备的教学功能适用性情况说明和售后服务方案；</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13、供应商认为需要的其他资料。</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〈二〉报价文件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1、投标文件封面（格式见附件）；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 xml:space="preserve">2、目录； </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3、开标一览表（格式见附件）；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4、分项报价表（格式见附件）；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5、投标单位声明函（格式见附件）；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6、中小企业声明函（格式见附件）；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7、残疾人福利性单位声明函（如有需提供）（格式见附件）；</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8、供应商认为需要的其他资料。</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以上文件，由商务技术文件和报价文件二部分组成， “商务技术文件”与“报价文件”须分开装订并密封，未按此要求的，由此造成其投标报价提前泄露的风险由投标供应商自行承担。</w:t>
      </w:r>
    </w:p>
    <w:p>
      <w:pPr>
        <w:spacing w:line="400" w:lineRule="exact"/>
        <w:ind w:firstLine="420" w:firstLineChars="200"/>
        <w:jc w:val="left"/>
        <w:rPr>
          <w:rFonts w:hint="eastAsia" w:ascii="宋体" w:hAnsi="宋体" w:cs="仿宋_GB2312"/>
          <w:color w:val="000000"/>
          <w:kern w:val="0"/>
          <w:szCs w:val="21"/>
          <w:lang w:bidi="ar"/>
        </w:rPr>
      </w:pPr>
      <w:r>
        <w:rPr>
          <w:rFonts w:hint="eastAsia" w:ascii="宋体" w:hAnsi="宋体" w:cs="宋体"/>
          <w:color w:val="000000"/>
          <w:szCs w:val="21"/>
        </w:rPr>
        <w:t>〈三〉</w:t>
      </w:r>
      <w:r>
        <w:rPr>
          <w:rFonts w:hint="eastAsia" w:ascii="宋体" w:hAnsi="宋体"/>
          <w:color w:val="000000"/>
          <w:szCs w:val="21"/>
        </w:rPr>
        <w:t>提供设备演示需要的相关设备：本项目要求供应商提供智慧校园管理平台演示，</w:t>
      </w:r>
      <w:r>
        <w:rPr>
          <w:rFonts w:hint="eastAsia" w:ascii="宋体" w:hAnsi="宋体" w:cs="仿宋_GB2312"/>
          <w:color w:val="000000"/>
          <w:kern w:val="0"/>
          <w:szCs w:val="21"/>
          <w:lang w:bidi="ar"/>
        </w:rPr>
        <w:t>供应商须按招标文件规定时间及地点提交演示相关设备（不需要提供相关检测报告）。</w:t>
      </w:r>
    </w:p>
    <w:p>
      <w:pPr>
        <w:spacing w:line="400" w:lineRule="exact"/>
        <w:ind w:firstLine="420" w:firstLineChars="200"/>
        <w:jc w:val="left"/>
        <w:rPr>
          <w:rFonts w:hint="eastAsia" w:ascii="宋体" w:hAnsi="宋体" w:cs="仿宋_GB2312"/>
          <w:color w:val="000000"/>
          <w:kern w:val="0"/>
          <w:szCs w:val="21"/>
          <w:lang w:bidi="ar"/>
        </w:rPr>
      </w:pPr>
      <w:r>
        <w:rPr>
          <w:rFonts w:hint="eastAsia" w:ascii="宋体" w:hAnsi="宋体" w:cs="仿宋_GB2312"/>
          <w:color w:val="000000"/>
          <w:kern w:val="0"/>
          <w:szCs w:val="21"/>
          <w:lang w:bidi="ar"/>
        </w:rPr>
        <w:t>递交演示相关设备的时间：供应商于投标截止时间前30分钟内递交演示相关设备。</w:t>
      </w:r>
    </w:p>
    <w:p>
      <w:pPr>
        <w:spacing w:line="400" w:lineRule="exact"/>
        <w:ind w:firstLine="420" w:firstLineChars="200"/>
        <w:jc w:val="left"/>
        <w:rPr>
          <w:rFonts w:hint="eastAsia"/>
          <w:color w:val="000000"/>
        </w:rPr>
      </w:pPr>
      <w:r>
        <w:rPr>
          <w:rFonts w:hint="eastAsia" w:ascii="宋体" w:hAnsi="宋体" w:cs="仿宋_GB2312"/>
          <w:color w:val="000000"/>
          <w:kern w:val="0"/>
          <w:szCs w:val="21"/>
          <w:lang w:bidi="ar"/>
        </w:rPr>
        <w:t>递交演示相关设备的地点：</w:t>
      </w:r>
      <w:r>
        <w:rPr>
          <w:rFonts w:hint="eastAsia" w:ascii="宋体" w:hAnsi="宋体" w:cs="宋体"/>
          <w:color w:val="000000"/>
          <w:szCs w:val="21"/>
        </w:rPr>
        <w:t>宁波杭州湾新区公共资源交易中心北侧一楼楼梯处。</w:t>
      </w:r>
    </w:p>
    <w:p>
      <w:pPr>
        <w:spacing w:line="400" w:lineRule="exact"/>
        <w:ind w:firstLine="422" w:firstLineChars="200"/>
        <w:jc w:val="left"/>
        <w:rPr>
          <w:rFonts w:hint="eastAsia" w:ascii="宋体" w:hAnsi="宋体" w:cs="宋体"/>
          <w:color w:val="000000"/>
          <w:szCs w:val="21"/>
        </w:rPr>
      </w:pPr>
      <w:r>
        <w:rPr>
          <w:rFonts w:hint="eastAsia" w:ascii="宋体" w:hAnsi="宋体" w:cs="仿宋_GB2312"/>
          <w:b/>
          <w:color w:val="000000"/>
          <w:kern w:val="0"/>
          <w:szCs w:val="21"/>
        </w:rPr>
        <w:t>供应商递交的演示相关设备于招标活动结束后予以退还</w:t>
      </w:r>
      <w:r>
        <w:rPr>
          <w:rFonts w:hint="eastAsia" w:ascii="宋体" w:hAnsi="宋体" w:cs="仿宋_GB2312"/>
          <w:b/>
          <w:color w:val="000000"/>
          <w:kern w:val="0"/>
          <w:sz w:val="22"/>
        </w:rPr>
        <w:t>。</w:t>
      </w:r>
    </w:p>
    <w:p>
      <w:pPr>
        <w:spacing w:line="400" w:lineRule="exact"/>
        <w:ind w:firstLine="422" w:firstLineChars="200"/>
        <w:jc w:val="left"/>
        <w:rPr>
          <w:rFonts w:hint="eastAsia" w:ascii="宋体" w:hAnsi="宋体" w:cs="宋体"/>
          <w:b/>
          <w:color w:val="000000"/>
          <w:szCs w:val="21"/>
        </w:rPr>
      </w:pPr>
      <w:r>
        <w:rPr>
          <w:rFonts w:hint="eastAsia" w:ascii="宋体" w:hAnsi="宋体" w:cs="宋体"/>
          <w:b/>
          <w:color w:val="000000"/>
          <w:szCs w:val="21"/>
        </w:rPr>
        <w:t>八、投标文件的编制、密封和标记</w:t>
      </w:r>
    </w:p>
    <w:p>
      <w:pPr>
        <w:tabs>
          <w:tab w:val="left" w:pos="900"/>
        </w:tabs>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1、投标文件需打印或用不褪色的墨水填写，招标文件第七章“附件”中标明加盖公章或签字的，须加盖供应商公章或其法定代表人（或授权代表）签字。授权代表签字的，投标文件应附法定代表人签署的法定代表人授权书。投标文件应尽量避免涂改、行间插字或删除。如果出现上述情况，改动之处应加盖供应商公章或由其法定代表人（或授权代表）签字确认。</w:t>
      </w:r>
    </w:p>
    <w:p>
      <w:pPr>
        <w:tabs>
          <w:tab w:val="left" w:pos="900"/>
        </w:tabs>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2、投标文件正本和副本应分别装订成册。正本和副本的封面上应清楚地标记“正本”或“副本”的字样。当副本和正本不一致时，以正本为准。</w:t>
      </w:r>
    </w:p>
    <w:p>
      <w:pPr>
        <w:tabs>
          <w:tab w:val="left" w:pos="900"/>
        </w:tabs>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b/>
          <w:color w:val="000000"/>
          <w:szCs w:val="21"/>
        </w:rPr>
        <w:t>投标文件正本1份，副本4份，须用封袋密封，在封袋上分别注明：</w:t>
      </w:r>
    </w:p>
    <w:p>
      <w:pPr>
        <w:tabs>
          <w:tab w:val="left" w:pos="900"/>
        </w:tabs>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（1）注明：</w:t>
      </w:r>
      <w:r>
        <w:rPr>
          <w:rFonts w:hint="eastAsia" w:ascii="宋体" w:hAnsi="宋体" w:cs="宋体"/>
          <w:color w:val="000000"/>
          <w:szCs w:val="21"/>
          <w:u w:val="single"/>
        </w:rPr>
        <w:t xml:space="preserve">           商务技术文件或报价文件         </w:t>
      </w:r>
      <w:r>
        <w:rPr>
          <w:rFonts w:hint="eastAsia" w:ascii="宋体" w:hAnsi="宋体" w:cs="宋体"/>
          <w:color w:val="000000"/>
          <w:szCs w:val="21"/>
        </w:rPr>
        <w:t>；</w:t>
      </w:r>
    </w:p>
    <w:p>
      <w:pPr>
        <w:tabs>
          <w:tab w:val="left" w:pos="900"/>
        </w:tabs>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（2）采购编号：</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pPr>
        <w:tabs>
          <w:tab w:val="left" w:pos="900"/>
        </w:tabs>
        <w:spacing w:line="400" w:lineRule="exact"/>
        <w:ind w:firstLine="420" w:firstLineChars="200"/>
        <w:jc w:val="left"/>
        <w:rPr>
          <w:rFonts w:hint="eastAsia"/>
          <w:color w:val="000000"/>
        </w:rPr>
      </w:pPr>
      <w:r>
        <w:rPr>
          <w:rFonts w:hint="eastAsia" w:ascii="宋体" w:hAnsi="宋体" w:cs="宋体"/>
          <w:color w:val="000000"/>
          <w:szCs w:val="21"/>
        </w:rPr>
        <w:t>（2）子包号：</w:t>
      </w:r>
      <w:r>
        <w:rPr>
          <w:rFonts w:hint="eastAsia" w:ascii="宋体" w:hAnsi="宋体" w:cs="宋体"/>
          <w:color w:val="000000"/>
          <w:szCs w:val="21"/>
          <w:u w:val="single"/>
        </w:rPr>
        <w:t xml:space="preserve">                                        </w:t>
      </w:r>
      <w:r>
        <w:rPr>
          <w:rFonts w:hint="eastAsia" w:ascii="宋体" w:hAnsi="宋体" w:cs="宋体"/>
          <w:color w:val="000000"/>
          <w:szCs w:val="21"/>
        </w:rPr>
        <w:t>；</w:t>
      </w:r>
    </w:p>
    <w:p>
      <w:pPr>
        <w:tabs>
          <w:tab w:val="left" w:pos="900"/>
        </w:tabs>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（3）项目名称：</w:t>
      </w:r>
      <w:r>
        <w:rPr>
          <w:rFonts w:hint="eastAsia" w:ascii="宋体" w:hAnsi="宋体" w:cs="宋体"/>
          <w:color w:val="000000"/>
          <w:szCs w:val="21"/>
          <w:u w:val="single"/>
        </w:rPr>
        <w:t xml:space="preserve">                                      </w:t>
      </w:r>
      <w:r>
        <w:rPr>
          <w:rFonts w:hint="eastAsia" w:ascii="宋体" w:hAnsi="宋体" w:cs="宋体"/>
          <w:color w:val="000000"/>
          <w:szCs w:val="21"/>
        </w:rPr>
        <w:t>；</w:t>
      </w:r>
    </w:p>
    <w:p>
      <w:pPr>
        <w:tabs>
          <w:tab w:val="left" w:pos="900"/>
        </w:tabs>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（4）在</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r>
        <w:rPr>
          <w:rFonts w:hint="eastAsia" w:ascii="宋体" w:hAnsi="宋体" w:cs="宋体"/>
          <w:color w:val="000000"/>
          <w:szCs w:val="21"/>
          <w:u w:val="single"/>
        </w:rPr>
        <w:t xml:space="preserve">    时  分 </w:t>
      </w:r>
      <w:r>
        <w:rPr>
          <w:rFonts w:hint="eastAsia" w:ascii="宋体" w:hAnsi="宋体" w:cs="宋体"/>
          <w:color w:val="000000"/>
          <w:szCs w:val="21"/>
        </w:rPr>
        <w:t>（规定的开标日期和时间）前不准启封；</w:t>
      </w:r>
    </w:p>
    <w:p>
      <w:pPr>
        <w:tabs>
          <w:tab w:val="left" w:pos="900"/>
        </w:tabs>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（5）供应商的名称：</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4、供应商必须在包封上加盖供应商公章或由其法定代表人（或授权代表）签字。</w:t>
      </w:r>
    </w:p>
    <w:p>
      <w:pPr>
        <w:spacing w:line="400" w:lineRule="exact"/>
        <w:ind w:firstLine="422" w:firstLineChars="200"/>
        <w:jc w:val="left"/>
        <w:rPr>
          <w:rFonts w:hint="eastAsia" w:ascii="宋体" w:hAnsi="宋体" w:cs="宋体"/>
          <w:b/>
          <w:color w:val="000000"/>
          <w:szCs w:val="21"/>
        </w:rPr>
      </w:pPr>
      <w:r>
        <w:rPr>
          <w:rFonts w:hint="eastAsia" w:ascii="宋体" w:hAnsi="宋体" w:cs="宋体"/>
          <w:b/>
          <w:color w:val="000000"/>
          <w:szCs w:val="21"/>
        </w:rPr>
        <w:t>九、投标文件的递交</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1、供应商应在投标截止时间前于开标地点递交投标文件。逾期送达的或者未送达指定地点的投标文件，代理机构不予受理。</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2、</w:t>
      </w:r>
      <w:r>
        <w:rPr>
          <w:rFonts w:hint="eastAsia" w:ascii="宋体" w:hAnsi="宋体"/>
          <w:color w:val="000000"/>
          <w:szCs w:val="21"/>
        </w:rPr>
        <w:t>代理机构在投标截止时间前半小时内于开标地点接受投标文件</w:t>
      </w:r>
      <w:r>
        <w:rPr>
          <w:rFonts w:hint="eastAsia" w:ascii="宋体" w:hAnsi="宋体" w:cs="宋体"/>
          <w:color w:val="000000"/>
          <w:szCs w:val="21"/>
        </w:rPr>
        <w:t>。</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3、供应商未按上述要求密封的投标文件，代理机构不予受理。</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▲4、投标文件的补充和修改</w:t>
      </w:r>
    </w:p>
    <w:p>
      <w:pPr>
        <w:pStyle w:val="19"/>
        <w:spacing w:line="40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投标截止时间前，供应商可以书面向采购人已递交的投标文件提出补充和修改，相应部分以最后的补充和修改为准。补充或修改材料应密封，由供应商法定代表人（或授权代表）签字并加盖供应商公章。</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5、投标文件填写字迹必须清楚、工整，对不同文字文本投标文件的解释发生异议的，以中文文本为准。</w:t>
      </w:r>
    </w:p>
    <w:p>
      <w:pPr>
        <w:spacing w:line="400" w:lineRule="exact"/>
        <w:ind w:firstLine="422" w:firstLineChars="200"/>
        <w:jc w:val="left"/>
        <w:rPr>
          <w:rFonts w:hint="eastAsia" w:ascii="宋体" w:hAnsi="宋体" w:cs="宋体"/>
          <w:b/>
          <w:color w:val="000000"/>
          <w:szCs w:val="21"/>
        </w:rPr>
      </w:pPr>
      <w:r>
        <w:rPr>
          <w:rFonts w:hint="eastAsia" w:ascii="宋体" w:hAnsi="宋体" w:cs="宋体"/>
          <w:b/>
          <w:color w:val="000000"/>
          <w:szCs w:val="21"/>
        </w:rPr>
        <w:t>十、开评标</w:t>
      </w:r>
    </w:p>
    <w:p>
      <w:pPr>
        <w:spacing w:line="400" w:lineRule="exact"/>
        <w:ind w:firstLine="420" w:firstLineChars="200"/>
        <w:jc w:val="left"/>
        <w:rPr>
          <w:rFonts w:ascii="宋体" w:hAnsi="宋体"/>
          <w:color w:val="000000"/>
          <w:szCs w:val="21"/>
        </w:rPr>
      </w:pPr>
      <w:r>
        <w:rPr>
          <w:rFonts w:ascii="宋体" w:hAnsi="宋体"/>
          <w:color w:val="000000"/>
          <w:szCs w:val="21"/>
        </w:rPr>
        <w:t>（一）招标人在招标文件规定的时间和地点公开开标，</w:t>
      </w:r>
      <w:r>
        <w:rPr>
          <w:rFonts w:hint="eastAsia" w:ascii="宋体" w:hAnsi="宋体"/>
          <w:color w:val="000000"/>
          <w:szCs w:val="21"/>
        </w:rPr>
        <w:t>并邀请所有供应商的法定代表人（或授权代表）准时参加。供应商的法定代表人（或授权代表）不参加开标的或迟到参加开标的，视同该供应商默认开标记录，不得事后对开标过程提出任何异议</w:t>
      </w:r>
      <w:r>
        <w:rPr>
          <w:rFonts w:ascii="宋体" w:hAnsi="宋体"/>
          <w:color w:val="000000"/>
          <w:szCs w:val="21"/>
        </w:rPr>
        <w:t>。</w:t>
      </w:r>
    </w:p>
    <w:p>
      <w:pPr>
        <w:spacing w:line="400" w:lineRule="exact"/>
        <w:ind w:firstLine="420" w:firstLineChars="200"/>
        <w:jc w:val="left"/>
        <w:rPr>
          <w:rFonts w:ascii="宋体" w:hAnsi="宋体"/>
          <w:color w:val="000000"/>
          <w:szCs w:val="21"/>
        </w:rPr>
      </w:pPr>
      <w:r>
        <w:rPr>
          <w:rFonts w:ascii="宋体" w:hAnsi="宋体"/>
          <w:color w:val="000000"/>
          <w:szCs w:val="21"/>
        </w:rPr>
        <w:t>（二）</w:t>
      </w:r>
      <w:r>
        <w:rPr>
          <w:rFonts w:hint="eastAsia" w:ascii="宋体" w:hAnsi="宋体"/>
          <w:color w:val="000000"/>
          <w:szCs w:val="21"/>
        </w:rPr>
        <w:t>开标由采购人（或代理机构）代表组织并主持，</w:t>
      </w:r>
      <w:r>
        <w:rPr>
          <w:rFonts w:ascii="宋体" w:hAnsi="宋体"/>
          <w:color w:val="000000"/>
          <w:szCs w:val="21"/>
        </w:rPr>
        <w:t>开标时，招标（代理）人介绍参加开标会议的相关人员，如供应商认为相关人员中有需要回避的情形可以在此时要求其回避。</w:t>
      </w:r>
    </w:p>
    <w:p>
      <w:pPr>
        <w:spacing w:line="400" w:lineRule="exact"/>
        <w:ind w:firstLine="420" w:firstLineChars="200"/>
        <w:jc w:val="left"/>
        <w:rPr>
          <w:rFonts w:ascii="宋体" w:hAnsi="宋体"/>
          <w:color w:val="000000"/>
          <w:szCs w:val="21"/>
        </w:rPr>
      </w:pPr>
      <w:r>
        <w:rPr>
          <w:rFonts w:ascii="宋体" w:hAnsi="宋体"/>
          <w:color w:val="000000"/>
          <w:szCs w:val="21"/>
        </w:rPr>
        <w:t>需要回避的情形：</w:t>
      </w:r>
    </w:p>
    <w:p>
      <w:pPr>
        <w:numPr>
          <w:ilvl w:val="0"/>
          <w:numId w:val="5"/>
        </w:numPr>
        <w:spacing w:line="400" w:lineRule="exact"/>
        <w:ind w:firstLine="420" w:firstLineChars="200"/>
        <w:jc w:val="left"/>
        <w:rPr>
          <w:rFonts w:ascii="宋体" w:hAnsi="宋体"/>
          <w:color w:val="000000"/>
          <w:szCs w:val="21"/>
        </w:rPr>
      </w:pPr>
      <w:r>
        <w:rPr>
          <w:rFonts w:ascii="宋体" w:hAnsi="宋体"/>
          <w:color w:val="000000"/>
          <w:szCs w:val="21"/>
        </w:rPr>
        <w:t>参加采购活动前3年内与供应商存在劳动关系；</w:t>
      </w:r>
    </w:p>
    <w:p>
      <w:pPr>
        <w:numPr>
          <w:ilvl w:val="0"/>
          <w:numId w:val="5"/>
        </w:numPr>
        <w:spacing w:line="400" w:lineRule="exact"/>
        <w:ind w:firstLine="420" w:firstLineChars="200"/>
        <w:jc w:val="left"/>
        <w:rPr>
          <w:rFonts w:ascii="宋体" w:hAnsi="宋体"/>
          <w:color w:val="000000"/>
          <w:szCs w:val="21"/>
        </w:rPr>
      </w:pPr>
      <w:r>
        <w:rPr>
          <w:rFonts w:ascii="宋体" w:hAnsi="宋体"/>
          <w:color w:val="000000"/>
          <w:szCs w:val="21"/>
        </w:rPr>
        <w:t>参加采购活动前3年</w:t>
      </w:r>
      <w:r>
        <w:rPr>
          <w:rFonts w:hint="eastAsia" w:ascii="宋体" w:hAnsi="宋体"/>
          <w:color w:val="000000"/>
          <w:szCs w:val="21"/>
        </w:rPr>
        <w:t>内</w:t>
      </w:r>
      <w:r>
        <w:rPr>
          <w:rFonts w:ascii="宋体" w:hAnsi="宋体"/>
          <w:color w:val="000000"/>
          <w:szCs w:val="21"/>
        </w:rPr>
        <w:t>担任供应商的董事、监事；</w:t>
      </w:r>
    </w:p>
    <w:p>
      <w:pPr>
        <w:numPr>
          <w:ilvl w:val="0"/>
          <w:numId w:val="5"/>
        </w:numPr>
        <w:spacing w:line="400" w:lineRule="exact"/>
        <w:ind w:firstLine="420" w:firstLineChars="200"/>
        <w:jc w:val="left"/>
        <w:rPr>
          <w:rFonts w:ascii="宋体" w:hAnsi="宋体"/>
          <w:color w:val="000000"/>
          <w:szCs w:val="21"/>
        </w:rPr>
      </w:pPr>
      <w:r>
        <w:rPr>
          <w:rFonts w:ascii="宋体" w:hAnsi="宋体"/>
          <w:color w:val="000000"/>
          <w:szCs w:val="21"/>
        </w:rPr>
        <w:t>参加采购活动前3年内是供应商的控股股东或者实际控制人；</w:t>
      </w:r>
    </w:p>
    <w:p>
      <w:pPr>
        <w:numPr>
          <w:ilvl w:val="0"/>
          <w:numId w:val="5"/>
        </w:numPr>
        <w:spacing w:line="400" w:lineRule="exact"/>
        <w:ind w:firstLine="420" w:firstLineChars="200"/>
        <w:jc w:val="left"/>
        <w:rPr>
          <w:rFonts w:ascii="宋体" w:hAnsi="宋体"/>
          <w:color w:val="000000"/>
          <w:szCs w:val="21"/>
        </w:rPr>
      </w:pPr>
      <w:r>
        <w:rPr>
          <w:rFonts w:ascii="宋体" w:hAnsi="宋体"/>
          <w:color w:val="000000"/>
          <w:szCs w:val="21"/>
        </w:rPr>
        <w:t>与供应商的法定代表人或者负责人有夫妻、直系血亲、三代以内旁系血亲或者近姻亲关系；</w:t>
      </w:r>
    </w:p>
    <w:p>
      <w:pPr>
        <w:numPr>
          <w:ilvl w:val="0"/>
          <w:numId w:val="5"/>
        </w:numPr>
        <w:spacing w:line="400" w:lineRule="exact"/>
        <w:ind w:firstLine="420" w:firstLineChars="200"/>
        <w:jc w:val="left"/>
        <w:rPr>
          <w:rFonts w:ascii="宋体" w:hAnsi="宋体"/>
          <w:color w:val="000000"/>
          <w:szCs w:val="21"/>
        </w:rPr>
      </w:pPr>
      <w:r>
        <w:rPr>
          <w:rFonts w:ascii="宋体" w:hAnsi="宋体"/>
          <w:color w:val="000000"/>
          <w:szCs w:val="21"/>
        </w:rPr>
        <w:t>与供应商有其他可能影响政府采购活动公平、公正进行的关系。</w:t>
      </w:r>
    </w:p>
    <w:p>
      <w:pPr>
        <w:spacing w:line="400" w:lineRule="exact"/>
        <w:ind w:firstLine="420" w:firstLineChars="200"/>
        <w:jc w:val="left"/>
        <w:rPr>
          <w:rFonts w:ascii="宋体" w:hAnsi="宋体"/>
          <w:color w:val="000000"/>
          <w:szCs w:val="21"/>
        </w:rPr>
      </w:pPr>
      <w:r>
        <w:rPr>
          <w:rFonts w:ascii="宋体" w:hAnsi="宋体"/>
          <w:color w:val="000000"/>
          <w:szCs w:val="21"/>
        </w:rPr>
        <w:t>出现上述情形的，供应商法定代表人或其授权代表可以申请相关人员回避。</w:t>
      </w:r>
    </w:p>
    <w:p>
      <w:pPr>
        <w:spacing w:line="400" w:lineRule="exact"/>
        <w:ind w:firstLine="420" w:firstLineChars="200"/>
        <w:jc w:val="left"/>
        <w:rPr>
          <w:rFonts w:ascii="宋体" w:hAnsi="宋体"/>
          <w:b/>
          <w:bCs/>
          <w:color w:val="000000"/>
          <w:szCs w:val="21"/>
        </w:rPr>
      </w:pPr>
      <w:r>
        <w:rPr>
          <w:rFonts w:ascii="宋体" w:hAnsi="宋体"/>
          <w:color w:val="000000"/>
          <w:szCs w:val="21"/>
        </w:rPr>
        <w:t>供应商法定代表人或其授权代表查验投标文件密封情况，确认无误后，由招标（代理）人拆封投标文件，进行公开唱标。</w:t>
      </w:r>
    </w:p>
    <w:p>
      <w:pPr>
        <w:spacing w:line="400" w:lineRule="exact"/>
        <w:ind w:firstLine="420" w:firstLineChars="200"/>
        <w:jc w:val="left"/>
        <w:rPr>
          <w:rFonts w:hint="eastAsia" w:ascii="宋体" w:hAnsi="宋体"/>
          <w:color w:val="000000"/>
          <w:szCs w:val="21"/>
        </w:rPr>
      </w:pPr>
      <w:r>
        <w:rPr>
          <w:rFonts w:ascii="宋体" w:hAnsi="宋体"/>
          <w:color w:val="000000"/>
          <w:szCs w:val="21"/>
        </w:rPr>
        <w:t>（三）按照采购文件规定的时间、地点和程序组织开标</w:t>
      </w:r>
      <w:r>
        <w:rPr>
          <w:rFonts w:hint="eastAsia" w:ascii="宋体" w:hAnsi="宋体"/>
          <w:color w:val="000000"/>
          <w:szCs w:val="21"/>
        </w:rPr>
        <w:t>。本项目</w:t>
      </w:r>
      <w:r>
        <w:rPr>
          <w:rFonts w:ascii="宋体" w:hAnsi="宋体"/>
          <w:color w:val="000000"/>
          <w:szCs w:val="21"/>
        </w:rPr>
        <w:t>采取先拆封</w:t>
      </w:r>
      <w:r>
        <w:rPr>
          <w:rFonts w:hint="eastAsia" w:ascii="宋体" w:hAnsi="宋体"/>
          <w:color w:val="000000"/>
          <w:szCs w:val="21"/>
        </w:rPr>
        <w:t>商务技术文件</w:t>
      </w:r>
      <w:r>
        <w:rPr>
          <w:rFonts w:ascii="宋体" w:hAnsi="宋体"/>
          <w:color w:val="000000"/>
          <w:szCs w:val="21"/>
        </w:rPr>
        <w:t>，后拆封报价文件的顺序进行。具体按以下程序进行</w:t>
      </w:r>
      <w:r>
        <w:rPr>
          <w:rFonts w:hint="eastAsia" w:ascii="宋体" w:hAnsi="宋体"/>
          <w:color w:val="000000"/>
          <w:szCs w:val="21"/>
        </w:rPr>
        <w:t>：</w:t>
      </w:r>
    </w:p>
    <w:p>
      <w:pPr>
        <w:spacing w:line="400" w:lineRule="exact"/>
        <w:ind w:firstLine="420" w:firstLineChars="200"/>
        <w:jc w:val="left"/>
        <w:rPr>
          <w:rFonts w:hint="eastAsia" w:ascii="宋体" w:hAnsi="宋体"/>
          <w:color w:val="000000"/>
          <w:szCs w:val="21"/>
        </w:rPr>
      </w:pPr>
      <w:r>
        <w:rPr>
          <w:rFonts w:ascii="宋体" w:hAnsi="宋体"/>
          <w:color w:val="000000"/>
          <w:szCs w:val="21"/>
        </w:rPr>
        <w:t>1、核验出席开标活动现场的各授权供应商代表及相关单位人员身份，并组织其分别登记、签到。</w:t>
      </w:r>
      <w:r>
        <w:rPr>
          <w:rFonts w:ascii="宋体" w:hAnsi="宋体"/>
          <w:color w:val="000000"/>
          <w:szCs w:val="21"/>
        </w:rPr>
        <w:br w:type="textWrapping"/>
      </w:r>
      <w:r>
        <w:rPr>
          <w:rFonts w:ascii="宋体" w:hAnsi="宋体"/>
          <w:color w:val="000000"/>
          <w:szCs w:val="21"/>
        </w:rPr>
        <w:t>   2、对现场接受投标文件的，由现场工作人员接收投标文件并登记，由供应商代表对投标文件的递交记录情况进行签字确认。</w:t>
      </w:r>
    </w:p>
    <w:p>
      <w:pPr>
        <w:spacing w:line="400" w:lineRule="exact"/>
        <w:ind w:firstLine="420" w:firstLineChars="200"/>
        <w:jc w:val="left"/>
        <w:rPr>
          <w:rFonts w:ascii="宋体" w:hAnsi="宋体"/>
          <w:color w:val="000000"/>
          <w:szCs w:val="21"/>
        </w:rPr>
      </w:pPr>
      <w:r>
        <w:rPr>
          <w:rFonts w:hint="eastAsia" w:ascii="宋体" w:hAnsi="宋体"/>
          <w:color w:val="000000"/>
          <w:szCs w:val="21"/>
        </w:rPr>
        <w:t>3、宣布开标，先开子包一，再开子包二，每个子包的开标程序如下</w:t>
      </w:r>
      <w:r>
        <w:rPr>
          <w:rFonts w:ascii="宋体" w:hAnsi="宋体"/>
          <w:color w:val="000000"/>
          <w:szCs w:val="21"/>
        </w:rPr>
        <w:t>：</w:t>
      </w:r>
      <w:r>
        <w:rPr>
          <w:rFonts w:ascii="宋体" w:hAnsi="宋体"/>
          <w:color w:val="000000"/>
          <w:szCs w:val="21"/>
        </w:rPr>
        <w:br w:type="textWrapping"/>
      </w:r>
      <w:r>
        <w:rPr>
          <w:rFonts w:ascii="宋体" w:hAnsi="宋体"/>
          <w:color w:val="000000"/>
          <w:szCs w:val="21"/>
        </w:rPr>
        <w:t>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3.1</w:t>
      </w:r>
      <w:r>
        <w:rPr>
          <w:rFonts w:ascii="宋体" w:hAnsi="宋体"/>
          <w:color w:val="000000"/>
          <w:szCs w:val="21"/>
        </w:rPr>
        <w:t xml:space="preserve">宣布开标，组织供应商签署不存在影响公平竞争的 《政府采购活动现场确认声明书》。    </w:t>
      </w:r>
    </w:p>
    <w:p>
      <w:pPr>
        <w:spacing w:line="400" w:lineRule="exact"/>
        <w:ind w:firstLine="420"/>
        <w:jc w:val="left"/>
        <w:rPr>
          <w:rFonts w:hint="eastAsia" w:ascii="宋体" w:hAnsi="宋体"/>
          <w:color w:val="000000"/>
          <w:szCs w:val="21"/>
        </w:rPr>
      </w:pPr>
      <w:r>
        <w:rPr>
          <w:rFonts w:hint="eastAsia" w:ascii="宋体" w:hAnsi="宋体"/>
          <w:color w:val="000000"/>
          <w:szCs w:val="21"/>
        </w:rPr>
        <w:t>3.2投标文件启封前，供应商推荐的代表检查投标文件的密封情况。</w:t>
      </w:r>
    </w:p>
    <w:p>
      <w:pPr>
        <w:spacing w:line="400" w:lineRule="exact"/>
        <w:ind w:firstLine="420"/>
        <w:jc w:val="left"/>
        <w:rPr>
          <w:rFonts w:ascii="宋体" w:hAnsi="宋体"/>
          <w:color w:val="000000"/>
          <w:szCs w:val="21"/>
        </w:rPr>
      </w:pPr>
      <w:r>
        <w:rPr>
          <w:rFonts w:hint="eastAsia" w:ascii="宋体" w:hAnsi="宋体"/>
          <w:color w:val="000000"/>
          <w:szCs w:val="21"/>
        </w:rPr>
        <w:t>3.3</w:t>
      </w:r>
      <w:r>
        <w:rPr>
          <w:rFonts w:ascii="宋体" w:hAnsi="宋体"/>
          <w:color w:val="000000"/>
          <w:szCs w:val="21"/>
        </w:rPr>
        <w:t>按供应商提交投标文件的先后顺序当众拆封、清点投标文件（包括正本、副本）数量，将其中密封的报价文件现场集中封存保管等候拆封，将拆封后的</w:t>
      </w:r>
      <w:r>
        <w:rPr>
          <w:rFonts w:hint="eastAsia" w:ascii="宋体" w:hAnsi="宋体"/>
          <w:color w:val="000000"/>
          <w:szCs w:val="21"/>
        </w:rPr>
        <w:t>“商务技术文件”</w:t>
      </w:r>
      <w:r>
        <w:rPr>
          <w:rFonts w:ascii="宋体" w:hAnsi="宋体"/>
          <w:color w:val="000000"/>
          <w:szCs w:val="21"/>
        </w:rPr>
        <w:t>由现场工作人员护送至指定的评审地点。对不符合装订要求的投标文件，由现场工作人员退还供应商代表。提交的投标文件应当将其中的报价文件单独保存，否则如开标时发生报价泄露的，由供应商自行承担相关责任。</w:t>
      </w:r>
    </w:p>
    <w:p>
      <w:pPr>
        <w:spacing w:line="400" w:lineRule="exact"/>
        <w:jc w:val="left"/>
        <w:rPr>
          <w:rFonts w:ascii="宋体" w:hAnsi="宋体"/>
          <w:color w:val="000000"/>
          <w:szCs w:val="21"/>
        </w:rPr>
      </w:pPr>
      <w:r>
        <w:rPr>
          <w:rFonts w:ascii="宋体" w:hAnsi="宋体"/>
          <w:color w:val="000000"/>
          <w:szCs w:val="21"/>
        </w:rPr>
        <w:t xml:space="preserve">   </w:t>
      </w:r>
      <w:r>
        <w:rPr>
          <w:rFonts w:hint="eastAsia" w:ascii="宋体" w:hAnsi="宋体"/>
          <w:color w:val="000000"/>
          <w:szCs w:val="21"/>
        </w:rPr>
        <w:t>3.4</w:t>
      </w:r>
      <w:r>
        <w:rPr>
          <w:rFonts w:ascii="宋体" w:hAnsi="宋体"/>
          <w:color w:val="000000"/>
          <w:szCs w:val="21"/>
        </w:rPr>
        <w:t>由</w:t>
      </w:r>
      <w:r>
        <w:rPr>
          <w:rFonts w:hint="eastAsia" w:ascii="宋体" w:hAnsi="宋体"/>
          <w:color w:val="000000"/>
          <w:szCs w:val="21"/>
        </w:rPr>
        <w:t>采购</w:t>
      </w:r>
      <w:r>
        <w:rPr>
          <w:rFonts w:ascii="宋体" w:hAnsi="宋体"/>
          <w:color w:val="000000"/>
          <w:szCs w:val="21"/>
        </w:rPr>
        <w:t>人或采购代理机构进行资格</w:t>
      </w:r>
      <w:r>
        <w:rPr>
          <w:rFonts w:hint="eastAsia" w:ascii="宋体" w:hAnsi="宋体"/>
          <w:color w:val="000000"/>
          <w:szCs w:val="21"/>
        </w:rPr>
        <w:t>性</w:t>
      </w:r>
      <w:r>
        <w:rPr>
          <w:rFonts w:ascii="宋体" w:hAnsi="宋体"/>
          <w:color w:val="000000"/>
          <w:szCs w:val="21"/>
        </w:rPr>
        <w:t>审查，具体操作可由评标委员会协助资格</w:t>
      </w:r>
      <w:r>
        <w:rPr>
          <w:rFonts w:hint="eastAsia" w:ascii="宋体" w:hAnsi="宋体"/>
          <w:color w:val="000000"/>
          <w:szCs w:val="21"/>
        </w:rPr>
        <w:t>性</w:t>
      </w:r>
      <w:r>
        <w:rPr>
          <w:rFonts w:ascii="宋体" w:hAnsi="宋体"/>
          <w:color w:val="000000"/>
          <w:szCs w:val="21"/>
        </w:rPr>
        <w:t>审查。资格</w:t>
      </w:r>
      <w:r>
        <w:rPr>
          <w:rFonts w:hint="eastAsia" w:ascii="宋体" w:hAnsi="宋体"/>
          <w:color w:val="000000"/>
          <w:szCs w:val="21"/>
        </w:rPr>
        <w:t>性</w:t>
      </w:r>
      <w:r>
        <w:rPr>
          <w:rFonts w:ascii="宋体" w:hAnsi="宋体"/>
          <w:color w:val="000000"/>
          <w:szCs w:val="21"/>
        </w:rPr>
        <w:t>审查的结果报招标人代表确认后由评标委员会对资格</w:t>
      </w:r>
      <w:r>
        <w:rPr>
          <w:rFonts w:hint="eastAsia" w:ascii="宋体" w:hAnsi="宋体"/>
          <w:color w:val="000000"/>
          <w:szCs w:val="21"/>
        </w:rPr>
        <w:t>性</w:t>
      </w:r>
      <w:r>
        <w:rPr>
          <w:rFonts w:ascii="宋体" w:hAnsi="宋体"/>
          <w:color w:val="000000"/>
          <w:szCs w:val="21"/>
        </w:rPr>
        <w:t>审查合格的供应商进行商务技术</w:t>
      </w:r>
      <w:r>
        <w:rPr>
          <w:rFonts w:hint="eastAsia" w:ascii="宋体" w:hAnsi="宋体"/>
          <w:color w:val="000000"/>
          <w:szCs w:val="21"/>
        </w:rPr>
        <w:t>文件</w:t>
      </w:r>
      <w:r>
        <w:rPr>
          <w:rFonts w:ascii="宋体" w:hAnsi="宋体"/>
          <w:color w:val="000000"/>
          <w:szCs w:val="21"/>
        </w:rPr>
        <w:t>的</w:t>
      </w:r>
      <w:r>
        <w:rPr>
          <w:rFonts w:hint="eastAsia" w:ascii="宋体" w:hAnsi="宋体"/>
          <w:color w:val="000000"/>
          <w:szCs w:val="21"/>
        </w:rPr>
        <w:t>符合性评审及比较与评价</w:t>
      </w:r>
      <w:r>
        <w:rPr>
          <w:rFonts w:ascii="宋体" w:hAnsi="宋体"/>
          <w:color w:val="000000"/>
          <w:szCs w:val="21"/>
        </w:rPr>
        <w:t>。</w:t>
      </w:r>
      <w:r>
        <w:rPr>
          <w:rFonts w:ascii="宋体" w:hAnsi="宋体"/>
          <w:color w:val="000000"/>
          <w:szCs w:val="21"/>
        </w:rPr>
        <w:br w:type="textWrapping"/>
      </w:r>
      <w:r>
        <w:rPr>
          <w:rFonts w:ascii="宋体" w:hAnsi="宋体"/>
          <w:color w:val="000000"/>
          <w:szCs w:val="21"/>
        </w:rPr>
        <w:t xml:space="preserve">   </w:t>
      </w:r>
      <w:r>
        <w:rPr>
          <w:rFonts w:hint="eastAsia" w:ascii="宋体" w:hAnsi="宋体"/>
          <w:color w:val="000000"/>
          <w:szCs w:val="21"/>
        </w:rPr>
        <w:t>3.5商务技术文件</w:t>
      </w:r>
      <w:r>
        <w:rPr>
          <w:rFonts w:ascii="宋体" w:hAnsi="宋体"/>
          <w:color w:val="000000"/>
          <w:szCs w:val="21"/>
        </w:rPr>
        <w:t>评审结束后，公布其商务技术</w:t>
      </w:r>
      <w:r>
        <w:rPr>
          <w:rFonts w:hint="eastAsia" w:ascii="宋体" w:hAnsi="宋体"/>
          <w:color w:val="000000"/>
          <w:szCs w:val="21"/>
        </w:rPr>
        <w:t>评审</w:t>
      </w:r>
      <w:r>
        <w:rPr>
          <w:rFonts w:ascii="宋体" w:hAnsi="宋体"/>
          <w:color w:val="000000"/>
          <w:szCs w:val="21"/>
        </w:rPr>
        <w:t>情况。</w:t>
      </w:r>
      <w:r>
        <w:rPr>
          <w:rFonts w:ascii="宋体" w:hAnsi="宋体"/>
          <w:color w:val="000000"/>
          <w:szCs w:val="21"/>
        </w:rPr>
        <w:br w:type="textWrapping"/>
      </w:r>
      <w:r>
        <w:rPr>
          <w:rFonts w:ascii="宋体" w:hAnsi="宋体"/>
          <w:color w:val="000000"/>
          <w:szCs w:val="21"/>
        </w:rPr>
        <w:t xml:space="preserve">   </w:t>
      </w:r>
      <w:r>
        <w:rPr>
          <w:rFonts w:hint="eastAsia" w:ascii="宋体" w:hAnsi="宋体"/>
          <w:color w:val="000000"/>
          <w:szCs w:val="21"/>
        </w:rPr>
        <w:t>3.6</w:t>
      </w:r>
      <w:r>
        <w:rPr>
          <w:rFonts w:ascii="宋体" w:hAnsi="宋体"/>
          <w:color w:val="000000"/>
          <w:szCs w:val="21"/>
        </w:rPr>
        <w:t>拆封供应商报价文件唱标结束后，现场工作人员将报价文件及开标记录表护送至指定评审地点，由评审小组对报价的合理性、准确性等进行审查核实。</w:t>
      </w:r>
      <w:r>
        <w:rPr>
          <w:rFonts w:ascii="宋体" w:hAnsi="宋体"/>
          <w:color w:val="000000"/>
          <w:szCs w:val="21"/>
        </w:rPr>
        <w:br w:type="textWrapping"/>
      </w:r>
      <w:r>
        <w:rPr>
          <w:rFonts w:ascii="宋体" w:hAnsi="宋体"/>
          <w:color w:val="000000"/>
          <w:szCs w:val="21"/>
        </w:rPr>
        <w:t xml:space="preserve">   </w:t>
      </w:r>
      <w:r>
        <w:rPr>
          <w:rFonts w:hint="eastAsia" w:ascii="宋体" w:hAnsi="宋体"/>
          <w:color w:val="000000"/>
          <w:szCs w:val="21"/>
        </w:rPr>
        <w:t>3.7</w:t>
      </w:r>
      <w:r>
        <w:rPr>
          <w:rFonts w:ascii="宋体" w:hAnsi="宋体"/>
          <w:color w:val="000000"/>
          <w:szCs w:val="21"/>
        </w:rPr>
        <w:t>评审结束后，公布中标候选供应商名单。</w:t>
      </w:r>
      <w:r>
        <w:rPr>
          <w:rFonts w:ascii="宋体" w:hAnsi="宋体"/>
          <w:color w:val="000000"/>
          <w:szCs w:val="21"/>
        </w:rPr>
        <w:br w:type="textWrapping"/>
      </w:r>
      <w:r>
        <w:rPr>
          <w:rFonts w:ascii="宋体" w:hAnsi="宋体"/>
          <w:color w:val="000000"/>
          <w:szCs w:val="21"/>
        </w:rPr>
        <w:tab/>
      </w:r>
      <w:r>
        <w:rPr>
          <w:rFonts w:ascii="宋体" w:hAnsi="宋体" w:cs="仿宋_GB2312"/>
          <w:color w:val="000000"/>
          <w:szCs w:val="21"/>
        </w:rPr>
        <w:t>▲</w:t>
      </w:r>
      <w:r>
        <w:rPr>
          <w:rFonts w:ascii="宋体" w:hAnsi="宋体"/>
          <w:color w:val="000000"/>
          <w:szCs w:val="21"/>
        </w:rPr>
        <w:t>评标委员会经过评审，认为所有投标都不符合招标文件要求的，可以否决所有投标。</w:t>
      </w:r>
    </w:p>
    <w:p>
      <w:pPr>
        <w:spacing w:line="400" w:lineRule="exact"/>
        <w:jc w:val="left"/>
        <w:rPr>
          <w:rFonts w:ascii="宋体" w:hAnsi="宋体"/>
          <w:color w:val="000000"/>
          <w:szCs w:val="21"/>
        </w:rPr>
      </w:pPr>
      <w:r>
        <w:rPr>
          <w:rFonts w:ascii="宋体" w:hAnsi="宋体"/>
          <w:color w:val="000000"/>
          <w:szCs w:val="21"/>
        </w:rPr>
        <w:t xml:space="preserve">    </w:t>
      </w:r>
      <w:r>
        <w:rPr>
          <w:rFonts w:hint="eastAsia" w:ascii="宋体" w:hAnsi="宋体"/>
          <w:color w:val="000000"/>
          <w:szCs w:val="21"/>
        </w:rPr>
        <w:t>3.8</w:t>
      </w:r>
      <w:r>
        <w:rPr>
          <w:rFonts w:ascii="宋体" w:hAnsi="宋体"/>
          <w:color w:val="000000"/>
          <w:szCs w:val="21"/>
        </w:rPr>
        <w:t>推荐</w:t>
      </w:r>
      <w:r>
        <w:rPr>
          <w:rFonts w:hint="eastAsia" w:ascii="宋体" w:hAnsi="宋体"/>
          <w:color w:val="000000"/>
          <w:szCs w:val="21"/>
        </w:rPr>
        <w:t>中标候选人</w:t>
      </w:r>
    </w:p>
    <w:p>
      <w:pPr>
        <w:spacing w:line="400" w:lineRule="exact"/>
        <w:ind w:firstLine="420" w:firstLineChars="200"/>
        <w:jc w:val="left"/>
        <w:rPr>
          <w:rFonts w:ascii="宋体" w:hAnsi="宋体"/>
          <w:color w:val="000000"/>
          <w:szCs w:val="21"/>
        </w:rPr>
      </w:pPr>
      <w:r>
        <w:rPr>
          <w:rFonts w:ascii="宋体" w:hAnsi="宋体"/>
          <w:color w:val="000000"/>
          <w:szCs w:val="21"/>
        </w:rPr>
        <w:t>按评分总得分结果由高到低排序，推荐综合得分最高的供应商为</w:t>
      </w:r>
      <w:r>
        <w:rPr>
          <w:rFonts w:hint="eastAsia" w:ascii="宋体" w:hAnsi="宋体"/>
          <w:color w:val="000000"/>
          <w:szCs w:val="21"/>
        </w:rPr>
        <w:t>第一中标候选人</w:t>
      </w:r>
      <w:r>
        <w:rPr>
          <w:rFonts w:ascii="宋体" w:hAnsi="宋体"/>
          <w:color w:val="000000"/>
          <w:szCs w:val="21"/>
        </w:rPr>
        <w:t>。</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4.</w:t>
      </w:r>
      <w:r>
        <w:rPr>
          <w:rFonts w:ascii="宋体" w:hAnsi="宋体"/>
          <w:color w:val="000000"/>
          <w:szCs w:val="21"/>
        </w:rPr>
        <w:t>供应商未参加开标的，视同认可开标结果</w:t>
      </w:r>
      <w:r>
        <w:rPr>
          <w:rFonts w:hint="eastAsia" w:ascii="宋体" w:hAnsi="宋体"/>
          <w:color w:val="000000"/>
          <w:szCs w:val="21"/>
        </w:rPr>
        <w:t>。</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5.定标</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本项目（子包一、子包二）由采购人确定中标人。采购代理机构在评标结束后2个工作日内将评标报告交采购人确认，采购人自收到评标报告之日起5个工作日内在评标报告推荐的中标候选人中按顺序确定中标人，并在发布招标公告的网站上对中标结果进行公示，公告期限为1个工作日。</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若中标人放弃中标、或事后查询为失信被执行人的、或因不可抗力提出不能履行合同被依法撤销中标资格，则招标人可确定排名其次的中标候选人为中标人，或重新组织招标。</w:t>
      </w:r>
    </w:p>
    <w:p>
      <w:pPr>
        <w:spacing w:line="400" w:lineRule="exact"/>
        <w:ind w:firstLine="422" w:firstLineChars="200"/>
        <w:jc w:val="left"/>
        <w:rPr>
          <w:rFonts w:hint="eastAsia" w:ascii="宋体" w:hAnsi="宋体" w:cs="宋体"/>
          <w:b/>
          <w:color w:val="000000"/>
          <w:szCs w:val="21"/>
        </w:rPr>
      </w:pPr>
      <w:r>
        <w:rPr>
          <w:rFonts w:hint="eastAsia" w:ascii="宋体" w:hAnsi="宋体" w:cs="宋体"/>
          <w:b/>
          <w:color w:val="000000"/>
          <w:szCs w:val="21"/>
        </w:rPr>
        <w:t>十一、招标文件的澄清和修改</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1、如对本次招标文件存在疑问，应在2020年</w:t>
      </w:r>
      <w:r>
        <w:rPr>
          <w:rFonts w:hint="eastAsia" w:ascii="宋体" w:hAnsi="宋体" w:cs="宋体"/>
          <w:color w:val="000000"/>
          <w:szCs w:val="21"/>
          <w:lang w:val="en-US" w:eastAsia="zh-CN"/>
        </w:rPr>
        <w:t>5</w:t>
      </w:r>
      <w:r>
        <w:rPr>
          <w:rFonts w:hint="eastAsia" w:ascii="宋体" w:hAnsi="宋体" w:cs="宋体"/>
          <w:color w:val="000000"/>
          <w:szCs w:val="21"/>
        </w:rPr>
        <w:t>月</w:t>
      </w:r>
      <w:r>
        <w:rPr>
          <w:rFonts w:hint="eastAsia" w:ascii="宋体" w:hAnsi="宋体" w:cs="宋体"/>
          <w:color w:val="000000"/>
          <w:szCs w:val="21"/>
          <w:lang w:val="en-US" w:eastAsia="zh-CN"/>
        </w:rPr>
        <w:t>29</w:t>
      </w:r>
      <w:r>
        <w:rPr>
          <w:rFonts w:hint="eastAsia" w:ascii="宋体" w:hAnsi="宋体" w:cs="宋体"/>
          <w:color w:val="000000"/>
          <w:szCs w:val="21"/>
        </w:rPr>
        <w:t>日11：00之前以书面形式要求采购人对招标文件予以澄清，逾期视为各供应商对招标文件无异议。</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2、采购人可以对已发出的招标文件进行必要的澄清或者修改。澄清或者修改的内容可能影响投标文件编制的，采购人应当在投标截止时间至少15日前，以书面形式通知所有获取招标文件的潜在供应商，不足15日的，采购人应当顺延提交投标文件的截止时间；澄清或者修改的内容不影响投标文件编制的，则不受15日的期限限制。澄清或者修改的内容为招标文件的组成部分，对所有供应商具有约束力。</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3、潜在供应商收到代理机构发出的招标文件澄清或修改通知，或顺延提交投标文件截止时间通知后，应在通知单回执上明示收悉意见、加盖供应商公章，以书面形式回复代理机构。</w:t>
      </w:r>
    </w:p>
    <w:p>
      <w:pPr>
        <w:spacing w:line="400" w:lineRule="exact"/>
        <w:ind w:firstLine="422" w:firstLineChars="200"/>
        <w:jc w:val="left"/>
        <w:rPr>
          <w:rFonts w:hint="eastAsia" w:ascii="宋体" w:hAnsi="宋体" w:cs="宋体"/>
          <w:b/>
          <w:color w:val="000000"/>
          <w:szCs w:val="21"/>
        </w:rPr>
      </w:pPr>
      <w:r>
        <w:rPr>
          <w:rFonts w:hint="eastAsia" w:ascii="宋体" w:hAnsi="宋体" w:cs="宋体"/>
          <w:b/>
          <w:color w:val="000000"/>
          <w:szCs w:val="21"/>
        </w:rPr>
        <w:t>十二、质疑</w:t>
      </w:r>
    </w:p>
    <w:p>
      <w:pPr>
        <w:topLinePunct/>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采购公告、采购文件、开标评标、采购结果等同一采购程序环节的质疑，第二次提出的质疑视为质疑无效，采购人、采购代理机构将不予受理（对于采购人、采购代理机构作出的澄清或者修改的内容提出质疑的除外）。</w:t>
      </w:r>
    </w:p>
    <w:p>
      <w:pPr>
        <w:topLinePunct/>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topLinePunct/>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3、供应商提出质疑应当提交质疑函和必要的证明材料，质疑函应当以书面形式提出，质疑函格式和内容须符合财政部《质疑函范本》要求，供应商可到中国政府采购网自行下载财政部《质疑函范本》。</w:t>
      </w:r>
    </w:p>
    <w:p>
      <w:pPr>
        <w:topLinePunct/>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pPr>
        <w:topLinePunct/>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5、采购人、采购代理机构接收质疑函的方式：只接收供应商以当面递交、邮寄、传真或电子邮件方式提出的质疑函，以其他方式提出的质疑不予接收。</w:t>
      </w:r>
    </w:p>
    <w:p>
      <w:pPr>
        <w:topLinePunct/>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采取邮寄方式的，提出质疑的时间为质疑函原件交邮的时间（以邮戳时间或快递收件时间为准）。</w:t>
      </w:r>
    </w:p>
    <w:p>
      <w:pPr>
        <w:topLinePunct/>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采取传真、电子邮件方式的，供应商应当在传真、电子邮件发出后将质疑函原件邮寄给被质疑人，提出质疑的时间为质疑函原件交邮的时间（以邮戳时间或快递收件时间为准）。</w:t>
      </w:r>
    </w:p>
    <w:p>
      <w:pPr>
        <w:topLinePunct/>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6、采购人、采购代理机构以实际收到质疑函原件之日作为收到质疑函的日期，将在收到质疑函后7个工作日内作出答复。</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7、采购人、采购代理机构接收质疑函的联系人、联系电话和通讯地址等信息详见采购公告。</w:t>
      </w:r>
    </w:p>
    <w:p>
      <w:pPr>
        <w:spacing w:line="400" w:lineRule="exact"/>
        <w:ind w:firstLine="422" w:firstLineChars="200"/>
        <w:jc w:val="left"/>
        <w:rPr>
          <w:rFonts w:hint="eastAsia" w:ascii="宋体" w:hAnsi="宋体" w:cs="宋体"/>
          <w:b/>
          <w:color w:val="000000"/>
          <w:szCs w:val="21"/>
        </w:rPr>
      </w:pPr>
      <w:r>
        <w:rPr>
          <w:rFonts w:ascii="宋体" w:hAnsi="宋体"/>
          <w:b/>
          <w:color w:val="000000"/>
          <w:szCs w:val="21"/>
        </w:rPr>
        <w:t>▲</w:t>
      </w:r>
      <w:r>
        <w:rPr>
          <w:rFonts w:hint="eastAsia" w:ascii="宋体" w:hAnsi="宋体" w:cs="宋体"/>
          <w:b/>
          <w:color w:val="000000"/>
          <w:szCs w:val="21"/>
        </w:rPr>
        <w:t>十三、预算价</w:t>
      </w:r>
    </w:p>
    <w:p>
      <w:pPr>
        <w:spacing w:line="400" w:lineRule="exact"/>
        <w:ind w:firstLine="422" w:firstLineChars="200"/>
        <w:jc w:val="left"/>
        <w:rPr>
          <w:rFonts w:hint="eastAsia" w:ascii="宋体" w:hAnsi="宋体" w:cs="宋体"/>
          <w:b/>
          <w:color w:val="000000"/>
          <w:szCs w:val="21"/>
        </w:rPr>
      </w:pPr>
      <w:r>
        <w:rPr>
          <w:rFonts w:ascii="宋体" w:hAnsi="宋体" w:cs="宋体"/>
          <w:b/>
          <w:color w:val="000000"/>
          <w:szCs w:val="21"/>
        </w:rPr>
        <w:t>本次招标设有政府采购预算价</w:t>
      </w:r>
      <w:r>
        <w:rPr>
          <w:rFonts w:hint="eastAsia" w:ascii="宋体" w:hAnsi="宋体" w:cs="宋体"/>
          <w:b/>
          <w:color w:val="000000"/>
          <w:szCs w:val="21"/>
        </w:rPr>
        <w:t>（或最高限价）：</w:t>
      </w:r>
    </w:p>
    <w:p>
      <w:pPr>
        <w:spacing w:line="400" w:lineRule="exact"/>
        <w:ind w:firstLine="422" w:firstLineChars="200"/>
        <w:jc w:val="left"/>
        <w:rPr>
          <w:rFonts w:hint="eastAsia" w:ascii="宋体" w:hAnsi="宋体" w:cs="宋体"/>
          <w:b/>
          <w:color w:val="000000"/>
          <w:szCs w:val="21"/>
          <w:lang w:bidi="ar"/>
        </w:rPr>
      </w:pPr>
      <w:r>
        <w:rPr>
          <w:rFonts w:hint="eastAsia" w:ascii="宋体" w:hAnsi="宋体" w:cs="宋体"/>
          <w:b/>
          <w:color w:val="000000"/>
          <w:szCs w:val="21"/>
          <w:lang w:bidi="ar"/>
        </w:rPr>
        <w:t>①子包一预算价为预算价</w:t>
      </w:r>
      <w:r>
        <w:rPr>
          <w:rFonts w:hint="eastAsia" w:ascii="宋体" w:hAnsi="宋体" w:cs="宋体"/>
          <w:b/>
          <w:color w:val="000000"/>
          <w:szCs w:val="21"/>
          <w:u w:val="single"/>
          <w:lang w:bidi="ar"/>
        </w:rPr>
        <w:t>422.74</w:t>
      </w:r>
      <w:r>
        <w:rPr>
          <w:rFonts w:hint="eastAsia" w:ascii="宋体" w:hAnsi="宋体" w:cs="宋体"/>
          <w:b/>
          <w:color w:val="000000"/>
          <w:szCs w:val="21"/>
          <w:lang w:bidi="ar"/>
        </w:rPr>
        <w:t>万元，最高限价</w:t>
      </w:r>
      <w:r>
        <w:rPr>
          <w:rFonts w:hint="eastAsia" w:ascii="宋体" w:hAnsi="宋体" w:cs="宋体"/>
          <w:b/>
          <w:color w:val="000000"/>
          <w:szCs w:val="21"/>
          <w:u w:val="single"/>
          <w:lang w:bidi="ar"/>
        </w:rPr>
        <w:t>412.0238</w:t>
      </w:r>
      <w:r>
        <w:rPr>
          <w:rFonts w:hint="eastAsia" w:ascii="宋体" w:hAnsi="宋体" w:cs="宋体"/>
          <w:b/>
          <w:color w:val="000000"/>
          <w:szCs w:val="21"/>
          <w:lang w:bidi="ar"/>
        </w:rPr>
        <w:t>万元，投标报价超出该采购最高限价的为无效投标；</w:t>
      </w:r>
    </w:p>
    <w:p>
      <w:pPr>
        <w:spacing w:line="400" w:lineRule="exact"/>
        <w:ind w:firstLine="422" w:firstLineChars="200"/>
        <w:jc w:val="left"/>
        <w:rPr>
          <w:rFonts w:hint="eastAsia"/>
          <w:color w:val="000000"/>
        </w:rPr>
      </w:pPr>
      <w:r>
        <w:rPr>
          <w:rFonts w:hint="eastAsia" w:ascii="宋体" w:hAnsi="宋体" w:cs="宋体"/>
          <w:b/>
          <w:color w:val="000000"/>
          <w:szCs w:val="21"/>
          <w:lang w:bidi="ar"/>
        </w:rPr>
        <w:t>①子包二预算价为</w:t>
      </w:r>
      <w:r>
        <w:rPr>
          <w:rFonts w:hint="eastAsia" w:ascii="宋体" w:hAnsi="宋体" w:cs="宋体"/>
          <w:b/>
          <w:color w:val="000000"/>
          <w:szCs w:val="21"/>
          <w:u w:val="single"/>
          <w:lang w:bidi="ar"/>
        </w:rPr>
        <w:t xml:space="preserve"> 49.57 </w:t>
      </w:r>
      <w:r>
        <w:rPr>
          <w:rFonts w:hint="eastAsia" w:ascii="宋体" w:hAnsi="宋体" w:cs="宋体"/>
          <w:b/>
          <w:color w:val="000000"/>
          <w:szCs w:val="21"/>
          <w:lang w:bidi="ar"/>
        </w:rPr>
        <w:t>万元，投标报价超出该采购预算价的为无效投标；</w:t>
      </w:r>
    </w:p>
    <w:p>
      <w:pPr>
        <w:spacing w:line="400" w:lineRule="exact"/>
        <w:ind w:firstLine="422" w:firstLineChars="200"/>
        <w:jc w:val="left"/>
        <w:rPr>
          <w:rFonts w:hint="eastAsia" w:ascii="宋体" w:hAnsi="宋体" w:cs="宋体"/>
          <w:b/>
          <w:color w:val="000000"/>
          <w:szCs w:val="21"/>
        </w:rPr>
      </w:pPr>
      <w:r>
        <w:rPr>
          <w:rFonts w:hint="eastAsia" w:ascii="宋体" w:hAnsi="宋体" w:cs="宋体"/>
          <w:b/>
          <w:color w:val="000000"/>
          <w:szCs w:val="21"/>
        </w:rPr>
        <w:t>十四、特别说明</w:t>
      </w:r>
    </w:p>
    <w:p>
      <w:pPr>
        <w:spacing w:line="400" w:lineRule="exact"/>
        <w:ind w:firstLine="420" w:firstLineChars="200"/>
        <w:outlineLvl w:val="0"/>
        <w:rPr>
          <w:rFonts w:hint="eastAsia" w:ascii="宋体" w:hAnsi="宋体" w:cs="宋体"/>
          <w:color w:val="000000"/>
          <w:szCs w:val="21"/>
        </w:rPr>
      </w:pPr>
      <w:bookmarkStart w:id="4" w:name="_Toc529781134"/>
      <w:bookmarkStart w:id="5" w:name="_Toc419729150"/>
      <w:bookmarkStart w:id="6" w:name="_Toc436408700"/>
      <w:bookmarkStart w:id="7" w:name="_Toc12428971"/>
      <w:bookmarkStart w:id="8" w:name="_Toc13828"/>
      <w:bookmarkStart w:id="9" w:name="_Toc441316546"/>
      <w:bookmarkStart w:id="10" w:name="_Toc12374287"/>
      <w:bookmarkStart w:id="11" w:name="_Toc26602"/>
      <w:bookmarkStart w:id="12" w:name="_Toc12376812"/>
      <w:r>
        <w:rPr>
          <w:rFonts w:hint="eastAsia" w:ascii="宋体" w:hAnsi="宋体" w:cs="宋体"/>
          <w:color w:val="000000"/>
          <w:szCs w:val="21"/>
        </w:rPr>
        <w:t>1、政府采购活动中有关中小企业的相关规定（采购进口产品的项目不适用）：</w:t>
      </w:r>
      <w:bookmarkEnd w:id="4"/>
      <w:bookmarkEnd w:id="5"/>
      <w:bookmarkEnd w:id="6"/>
      <w:bookmarkEnd w:id="7"/>
      <w:bookmarkEnd w:id="8"/>
      <w:bookmarkEnd w:id="9"/>
      <w:bookmarkEnd w:id="10"/>
      <w:bookmarkEnd w:id="11"/>
      <w:bookmarkEnd w:id="12"/>
    </w:p>
    <w:p>
      <w:pPr>
        <w:spacing w:line="400" w:lineRule="exact"/>
        <w:ind w:firstLine="420" w:firstLineChars="200"/>
        <w:outlineLvl w:val="0"/>
        <w:rPr>
          <w:rFonts w:hint="eastAsia" w:ascii="宋体" w:hAnsi="宋体" w:cs="宋体"/>
          <w:color w:val="000000"/>
          <w:szCs w:val="21"/>
        </w:rPr>
      </w:pPr>
      <w:bookmarkStart w:id="13" w:name="_Toc7203"/>
      <w:bookmarkStart w:id="14" w:name="_Toc9342"/>
      <w:bookmarkStart w:id="15" w:name="_Toc419729151"/>
      <w:bookmarkStart w:id="16" w:name="_Toc529781135"/>
      <w:bookmarkStart w:id="17" w:name="_Toc436408701"/>
      <w:bookmarkStart w:id="18" w:name="_Toc441316547"/>
      <w:bookmarkStart w:id="19" w:name="_Toc12374288"/>
      <w:bookmarkStart w:id="20" w:name="_Toc12376813"/>
      <w:bookmarkStart w:id="21" w:name="_Toc12428972"/>
      <w:r>
        <w:rPr>
          <w:rFonts w:hint="eastAsia" w:ascii="宋体" w:hAnsi="宋体" w:cs="宋体"/>
          <w:color w:val="000000"/>
          <w:szCs w:val="21"/>
        </w:rPr>
        <w:t>（1）参加政府采购活动的中小企业（含中型、小型、微型企业，其他地方同）应当同时符合以下条件：</w:t>
      </w:r>
      <w:bookmarkEnd w:id="13"/>
      <w:bookmarkEnd w:id="14"/>
      <w:bookmarkEnd w:id="15"/>
      <w:bookmarkEnd w:id="16"/>
      <w:bookmarkEnd w:id="17"/>
      <w:bookmarkEnd w:id="18"/>
      <w:bookmarkEnd w:id="19"/>
      <w:bookmarkEnd w:id="20"/>
      <w:bookmarkEnd w:id="21"/>
    </w:p>
    <w:p>
      <w:pPr>
        <w:spacing w:line="400" w:lineRule="exact"/>
        <w:ind w:firstLine="420" w:firstLineChars="200"/>
        <w:outlineLvl w:val="0"/>
        <w:rPr>
          <w:rFonts w:hint="eastAsia" w:ascii="宋体" w:hAnsi="宋体" w:cs="宋体"/>
          <w:color w:val="000000"/>
          <w:szCs w:val="21"/>
        </w:rPr>
      </w:pPr>
      <w:bookmarkStart w:id="22" w:name="_Toc441316548"/>
      <w:bookmarkStart w:id="23" w:name="_Toc12376814"/>
      <w:bookmarkStart w:id="24" w:name="_Toc12428973"/>
      <w:bookmarkStart w:id="25" w:name="_Toc14155"/>
      <w:bookmarkStart w:id="26" w:name="_Toc12374289"/>
      <w:bookmarkStart w:id="27" w:name="_Toc9463"/>
      <w:bookmarkStart w:id="28" w:name="_Toc436408702"/>
      <w:bookmarkStart w:id="29" w:name="_Toc529781136"/>
      <w:bookmarkStart w:id="30" w:name="_Toc419729152"/>
      <w:r>
        <w:rPr>
          <w:rFonts w:hint="eastAsia" w:ascii="宋体" w:hAnsi="宋体" w:cs="宋体"/>
          <w:color w:val="000000"/>
          <w:szCs w:val="21"/>
        </w:rPr>
        <w:t>①符合中小企业划分标准（具体见工信部联企业[2011]300号）；</w:t>
      </w:r>
      <w:bookmarkEnd w:id="22"/>
      <w:bookmarkEnd w:id="23"/>
      <w:bookmarkEnd w:id="24"/>
      <w:bookmarkEnd w:id="25"/>
      <w:bookmarkEnd w:id="26"/>
      <w:bookmarkEnd w:id="27"/>
      <w:bookmarkEnd w:id="28"/>
      <w:bookmarkEnd w:id="29"/>
      <w:bookmarkEnd w:id="30"/>
    </w:p>
    <w:p>
      <w:pPr>
        <w:spacing w:line="400" w:lineRule="exact"/>
        <w:ind w:firstLine="420" w:firstLineChars="200"/>
        <w:outlineLvl w:val="0"/>
        <w:rPr>
          <w:rFonts w:hint="eastAsia" w:ascii="宋体" w:hAnsi="宋体" w:cs="宋体"/>
          <w:color w:val="000000"/>
          <w:szCs w:val="21"/>
        </w:rPr>
      </w:pPr>
      <w:bookmarkStart w:id="31" w:name="_Toc436408703"/>
      <w:bookmarkStart w:id="32" w:name="_Toc441316549"/>
      <w:bookmarkStart w:id="33" w:name="_Toc419729153"/>
      <w:bookmarkStart w:id="34" w:name="_Toc529781137"/>
      <w:bookmarkStart w:id="35" w:name="_Toc12428974"/>
      <w:bookmarkStart w:id="36" w:name="_Toc12376815"/>
      <w:bookmarkStart w:id="37" w:name="_Toc12374290"/>
      <w:bookmarkStart w:id="38" w:name="_Toc26856"/>
      <w:bookmarkStart w:id="39" w:name="_Toc11310"/>
      <w:r>
        <w:rPr>
          <w:rFonts w:hint="eastAsia" w:ascii="宋体" w:hAnsi="宋体" w:cs="宋体"/>
          <w:color w:val="000000"/>
          <w:szCs w:val="21"/>
        </w:rPr>
        <w:t>②提供本企业制造的货物、承担的工程或者服务，或者提供其他中小企业制造的货物。本项所称货物不包括使用大型企业注册商标的货物。小型、微型企业提供中型企业制造的货物的，视同为中型企业。</w:t>
      </w:r>
      <w:bookmarkEnd w:id="31"/>
      <w:bookmarkEnd w:id="32"/>
      <w:bookmarkEnd w:id="33"/>
      <w:bookmarkEnd w:id="34"/>
      <w:bookmarkEnd w:id="35"/>
      <w:bookmarkEnd w:id="36"/>
      <w:bookmarkEnd w:id="37"/>
      <w:bookmarkEnd w:id="38"/>
      <w:bookmarkEnd w:id="39"/>
    </w:p>
    <w:p>
      <w:pPr>
        <w:spacing w:line="380" w:lineRule="atLeast"/>
        <w:ind w:firstLine="420" w:firstLineChars="200"/>
        <w:outlineLvl w:val="0"/>
        <w:rPr>
          <w:rFonts w:hint="eastAsia" w:ascii="宋体" w:hAnsi="宋体" w:cs="宋体"/>
          <w:color w:val="000000"/>
          <w:szCs w:val="21"/>
        </w:rPr>
      </w:pPr>
      <w:bookmarkStart w:id="40" w:name="_Toc436408704"/>
      <w:bookmarkStart w:id="41" w:name="_Toc12376816"/>
      <w:bookmarkStart w:id="42" w:name="_Toc12428975"/>
      <w:bookmarkStart w:id="43" w:name="_Toc441316550"/>
      <w:bookmarkStart w:id="44" w:name="_Toc18421"/>
      <w:bookmarkStart w:id="45" w:name="_Toc12374291"/>
      <w:bookmarkStart w:id="46" w:name="_Toc419729154"/>
      <w:bookmarkStart w:id="47" w:name="_Toc529781138"/>
      <w:bookmarkStart w:id="48" w:name="_Toc15071"/>
      <w:r>
        <w:rPr>
          <w:rFonts w:hint="eastAsia" w:ascii="宋体" w:hAnsi="宋体" w:cs="宋体"/>
          <w:color w:val="000000"/>
          <w:szCs w:val="21"/>
        </w:rPr>
        <w:t>（2）参加政府采购活动的中小企业应当提供《中小企业声明函》（格式见第七章）。</w:t>
      </w:r>
      <w:bookmarkEnd w:id="40"/>
      <w:bookmarkEnd w:id="41"/>
      <w:bookmarkEnd w:id="42"/>
      <w:bookmarkEnd w:id="43"/>
      <w:bookmarkEnd w:id="44"/>
      <w:bookmarkEnd w:id="45"/>
      <w:bookmarkEnd w:id="46"/>
      <w:bookmarkEnd w:id="47"/>
      <w:bookmarkEnd w:id="48"/>
    </w:p>
    <w:p>
      <w:pPr>
        <w:spacing w:line="380" w:lineRule="atLeast"/>
        <w:ind w:firstLine="420" w:firstLineChars="200"/>
        <w:outlineLvl w:val="0"/>
        <w:rPr>
          <w:rFonts w:hint="eastAsia" w:ascii="宋体" w:hAnsi="宋体" w:cs="宋体"/>
          <w:color w:val="000000"/>
          <w:szCs w:val="21"/>
        </w:rPr>
      </w:pPr>
      <w:bookmarkStart w:id="49" w:name="_Toc441316551"/>
      <w:bookmarkStart w:id="50" w:name="_Toc529781139"/>
      <w:bookmarkStart w:id="51" w:name="_Toc12428976"/>
      <w:bookmarkStart w:id="52" w:name="_Toc12376817"/>
      <w:bookmarkStart w:id="53" w:name="_Toc12374292"/>
      <w:bookmarkStart w:id="54" w:name="_Toc419729155"/>
      <w:bookmarkStart w:id="55" w:name="_Toc31055"/>
      <w:bookmarkStart w:id="56" w:name="_Toc436408705"/>
      <w:bookmarkStart w:id="57" w:name="_Toc17790"/>
      <w:r>
        <w:rPr>
          <w:rFonts w:hint="eastAsia" w:ascii="宋体" w:hAnsi="宋体" w:cs="宋体"/>
          <w:color w:val="000000"/>
          <w:szCs w:val="21"/>
        </w:rPr>
        <w:t>（3）对于非专门面向中小企业的项目，对小微企业的价格应给予6%-10%的扣除，用扣除后的价格参与评审。具体扣除比例见第三章。</w:t>
      </w:r>
      <w:bookmarkEnd w:id="49"/>
      <w:bookmarkEnd w:id="50"/>
      <w:bookmarkEnd w:id="51"/>
      <w:bookmarkEnd w:id="52"/>
      <w:bookmarkEnd w:id="53"/>
      <w:bookmarkEnd w:id="54"/>
      <w:bookmarkEnd w:id="55"/>
      <w:bookmarkEnd w:id="56"/>
      <w:bookmarkEnd w:id="57"/>
    </w:p>
    <w:p>
      <w:pPr>
        <w:spacing w:line="380" w:lineRule="atLeast"/>
        <w:ind w:firstLine="420" w:firstLineChars="200"/>
        <w:outlineLvl w:val="0"/>
        <w:rPr>
          <w:rFonts w:hint="eastAsia" w:ascii="宋体" w:hAnsi="宋体" w:cs="宋体"/>
          <w:color w:val="000000"/>
          <w:szCs w:val="21"/>
        </w:rPr>
      </w:pPr>
      <w:bookmarkStart w:id="58" w:name="_Toc12374293"/>
      <w:bookmarkStart w:id="59" w:name="_Toc436408706"/>
      <w:bookmarkStart w:id="60" w:name="_Toc12428977"/>
      <w:bookmarkStart w:id="61" w:name="_Toc441316552"/>
      <w:bookmarkStart w:id="62" w:name="_Toc15148"/>
      <w:bookmarkStart w:id="63" w:name="_Toc419729156"/>
      <w:bookmarkStart w:id="64" w:name="_Toc12376818"/>
      <w:bookmarkStart w:id="65" w:name="_Toc22144"/>
      <w:bookmarkStart w:id="66" w:name="_Toc529781140"/>
      <w:r>
        <w:rPr>
          <w:rFonts w:hint="eastAsia" w:ascii="宋体" w:hAnsi="宋体" w:cs="宋体"/>
          <w:color w:val="000000"/>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供应商应当向采购人和采购监管部门提供由第三方机构审计确认的财务会计报告和劳动部门提供的年度社会保障基金缴纳清单，或者相关行业主管部门出具的“中小企业”资格确认证明。</w:t>
      </w:r>
      <w:bookmarkEnd w:id="58"/>
      <w:bookmarkEnd w:id="59"/>
      <w:bookmarkEnd w:id="60"/>
      <w:bookmarkEnd w:id="61"/>
      <w:bookmarkEnd w:id="62"/>
      <w:bookmarkEnd w:id="63"/>
      <w:bookmarkEnd w:id="64"/>
      <w:bookmarkEnd w:id="65"/>
      <w:bookmarkEnd w:id="66"/>
    </w:p>
    <w:p>
      <w:pPr>
        <w:spacing w:line="380" w:lineRule="atLeast"/>
        <w:ind w:firstLine="420" w:firstLineChars="200"/>
        <w:outlineLvl w:val="0"/>
        <w:rPr>
          <w:rFonts w:hint="eastAsia" w:ascii="宋体" w:hAnsi="宋体" w:cs="宋体"/>
          <w:color w:val="000000"/>
          <w:szCs w:val="21"/>
        </w:rPr>
      </w:pPr>
      <w:bookmarkStart w:id="67" w:name="_Toc441316553"/>
      <w:bookmarkStart w:id="68" w:name="_Toc419729157"/>
      <w:bookmarkStart w:id="69" w:name="_Toc12374294"/>
      <w:bookmarkStart w:id="70" w:name="_Toc12376819"/>
      <w:bookmarkStart w:id="71" w:name="_Toc436408707"/>
      <w:bookmarkStart w:id="72" w:name="_Toc529781141"/>
      <w:bookmarkStart w:id="73" w:name="_Toc21005"/>
      <w:bookmarkStart w:id="74" w:name="_Toc28549"/>
      <w:bookmarkStart w:id="75" w:name="_Toc12428978"/>
      <w:r>
        <w:rPr>
          <w:rFonts w:hint="eastAsia" w:ascii="宋体" w:hAnsi="宋体" w:cs="宋体"/>
          <w:color w:val="000000"/>
          <w:szCs w:val="21"/>
        </w:rPr>
        <w:t>（5）《中小企业声明函》由供应商提交，如供应商为代理商的，须自行采集制造商的中小企业划分类型信息填入相应栏目并对其真实性负责。</w:t>
      </w:r>
      <w:bookmarkEnd w:id="67"/>
      <w:bookmarkEnd w:id="68"/>
      <w:bookmarkEnd w:id="69"/>
      <w:bookmarkEnd w:id="70"/>
      <w:bookmarkEnd w:id="71"/>
      <w:bookmarkEnd w:id="72"/>
      <w:bookmarkEnd w:id="73"/>
      <w:bookmarkEnd w:id="74"/>
      <w:bookmarkEnd w:id="75"/>
    </w:p>
    <w:p>
      <w:pPr>
        <w:spacing w:line="380" w:lineRule="atLeast"/>
        <w:ind w:firstLine="420" w:firstLineChars="200"/>
        <w:outlineLvl w:val="0"/>
        <w:rPr>
          <w:rFonts w:hint="eastAsia" w:ascii="宋体" w:hAnsi="宋体" w:cs="宋体"/>
          <w:color w:val="000000"/>
          <w:szCs w:val="21"/>
        </w:rPr>
      </w:pPr>
      <w:bookmarkStart w:id="76" w:name="_Toc12376820"/>
      <w:bookmarkStart w:id="77" w:name="_Toc12428979"/>
      <w:bookmarkStart w:id="78" w:name="_Toc20505"/>
      <w:bookmarkStart w:id="79" w:name="_Toc12701"/>
      <w:bookmarkStart w:id="80" w:name="_Toc495244277"/>
      <w:bookmarkStart w:id="81" w:name="_Toc529781142"/>
      <w:bookmarkStart w:id="82" w:name="_Toc12374295"/>
      <w:bookmarkStart w:id="83" w:name="_Toc436408708"/>
      <w:bookmarkStart w:id="84" w:name="_Toc419729158"/>
      <w:bookmarkStart w:id="85" w:name="_Toc441316554"/>
      <w:r>
        <w:rPr>
          <w:rFonts w:hint="eastAsia" w:ascii="宋体" w:hAnsi="宋体" w:cs="宋体"/>
          <w:color w:val="000000"/>
          <w:szCs w:val="21"/>
        </w:rPr>
        <w:t>2、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76"/>
      <w:bookmarkEnd w:id="77"/>
      <w:bookmarkEnd w:id="78"/>
      <w:bookmarkEnd w:id="79"/>
      <w:bookmarkEnd w:id="80"/>
      <w:bookmarkEnd w:id="81"/>
      <w:bookmarkEnd w:id="82"/>
    </w:p>
    <w:p>
      <w:pPr>
        <w:spacing w:line="380" w:lineRule="atLeast"/>
        <w:ind w:firstLine="420" w:firstLineChars="200"/>
        <w:outlineLvl w:val="0"/>
        <w:rPr>
          <w:rFonts w:hint="eastAsia" w:ascii="宋体" w:hAnsi="宋体" w:cs="宋体"/>
          <w:color w:val="000000"/>
          <w:szCs w:val="21"/>
        </w:rPr>
      </w:pPr>
      <w:bookmarkStart w:id="86" w:name="_Toc10008"/>
      <w:bookmarkStart w:id="87" w:name="_Toc529781143"/>
      <w:bookmarkStart w:id="88" w:name="_Toc12374296"/>
      <w:bookmarkStart w:id="89" w:name="_Toc12376821"/>
      <w:bookmarkStart w:id="90" w:name="_Toc12428980"/>
      <w:bookmarkStart w:id="91" w:name="_Toc20107"/>
      <w:r>
        <w:rPr>
          <w:rFonts w:hint="eastAsia" w:ascii="宋体" w:hAnsi="宋体" w:cs="宋体"/>
          <w:color w:val="000000"/>
          <w:szCs w:val="21"/>
        </w:rPr>
        <w:t>3、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86"/>
      <w:bookmarkEnd w:id="87"/>
      <w:bookmarkEnd w:id="88"/>
      <w:bookmarkEnd w:id="89"/>
      <w:bookmarkEnd w:id="90"/>
      <w:bookmarkEnd w:id="91"/>
    </w:p>
    <w:p>
      <w:pPr>
        <w:spacing w:line="380" w:lineRule="atLeast"/>
        <w:ind w:firstLine="420" w:firstLineChars="200"/>
        <w:outlineLvl w:val="0"/>
        <w:rPr>
          <w:rFonts w:hint="eastAsia" w:ascii="宋体" w:hAnsi="宋体" w:cs="宋体"/>
          <w:color w:val="000000"/>
          <w:szCs w:val="21"/>
        </w:rPr>
      </w:pPr>
      <w:bookmarkStart w:id="92" w:name="_Toc18385"/>
      <w:r>
        <w:rPr>
          <w:rFonts w:hint="eastAsia" w:ascii="宋体" w:hAnsi="宋体" w:cs="宋体"/>
          <w:color w:val="000000"/>
          <w:szCs w:val="21"/>
        </w:rPr>
        <w:t>4、节能环保要求</w:t>
      </w:r>
      <w:bookmarkEnd w:id="92"/>
    </w:p>
    <w:p>
      <w:pPr>
        <w:spacing w:line="380" w:lineRule="atLeast"/>
        <w:ind w:firstLine="420" w:firstLineChars="200"/>
        <w:outlineLvl w:val="0"/>
        <w:rPr>
          <w:rFonts w:hint="eastAsia" w:ascii="宋体" w:hAnsi="宋体" w:cs="宋体"/>
          <w:color w:val="000000"/>
          <w:szCs w:val="21"/>
        </w:rPr>
      </w:pPr>
      <w:bookmarkStart w:id="93" w:name="_Toc1242"/>
      <w:r>
        <w:rPr>
          <w:rFonts w:hint="eastAsia" w:ascii="宋体" w:hAnsi="宋体" w:cs="宋体"/>
          <w:color w:val="000000"/>
          <w:szCs w:val="21"/>
        </w:rPr>
        <w:t>4.1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bookmarkEnd w:id="93"/>
    </w:p>
    <w:p>
      <w:pPr>
        <w:spacing w:line="380" w:lineRule="atLeast"/>
        <w:ind w:firstLine="420" w:firstLineChars="200"/>
        <w:outlineLvl w:val="0"/>
        <w:rPr>
          <w:rFonts w:hint="eastAsia" w:ascii="宋体" w:hAnsi="宋体" w:cs="宋体"/>
          <w:color w:val="000000"/>
          <w:szCs w:val="21"/>
        </w:rPr>
      </w:pPr>
      <w:bookmarkStart w:id="94" w:name="_Toc18448"/>
      <w:r>
        <w:rPr>
          <w:rFonts w:hint="eastAsia" w:ascii="宋体" w:hAnsi="宋体" w:cs="宋体"/>
          <w:color w:val="000000"/>
          <w:szCs w:val="21"/>
        </w:rPr>
        <w:t>4.2采购人拟采购的产品属于政府强制采购的节能产品品目清单范围的，供应商未按招标文件要求提供国家确定的认证机构出具的、处于有效期之内的节能产品认证证书，投标无效。</w:t>
      </w:r>
      <w:bookmarkEnd w:id="94"/>
    </w:p>
    <w:p>
      <w:pPr>
        <w:spacing w:line="380" w:lineRule="atLeast"/>
        <w:ind w:firstLine="420" w:firstLineChars="200"/>
        <w:jc w:val="left"/>
        <w:rPr>
          <w:rFonts w:hint="eastAsia" w:ascii="宋体" w:hAnsi="宋体"/>
          <w:color w:val="000000"/>
        </w:rPr>
      </w:pPr>
      <w:r>
        <w:rPr>
          <w:rFonts w:hint="eastAsia" w:ascii="宋体" w:hAnsi="宋体"/>
          <w:color w:val="000000"/>
        </w:rPr>
        <w:t>5、子包一：多家供应商所投产品【</w:t>
      </w:r>
      <w:r>
        <w:rPr>
          <w:rFonts w:hint="eastAsia" w:ascii="宋体" w:hAnsi="宋体" w:cs="宋体"/>
          <w:color w:val="000000"/>
          <w:spacing w:val="-2"/>
          <w:kern w:val="0"/>
          <w:szCs w:val="21"/>
        </w:rPr>
        <w:t>智慧班牌系统、</w:t>
      </w:r>
      <w:r>
        <w:rPr>
          <w:rFonts w:hint="eastAsia" w:ascii="宋体" w:hAnsi="宋体" w:cs="宋体"/>
          <w:color w:val="000000"/>
          <w:szCs w:val="21"/>
        </w:rPr>
        <w:t>微格教室系统（微格教室)、智慧教室系统(智慧灯光）</w:t>
      </w:r>
      <w:r>
        <w:rPr>
          <w:rFonts w:hint="eastAsia" w:ascii="宋体" w:hAnsi="宋体" w:cs="宋体"/>
          <w:color w:val="000000"/>
          <w:spacing w:val="-2"/>
          <w:kern w:val="0"/>
          <w:szCs w:val="21"/>
        </w:rPr>
        <w:t>】</w:t>
      </w:r>
      <w:r>
        <w:rPr>
          <w:rFonts w:hint="eastAsia" w:ascii="宋体" w:hAnsi="宋体"/>
          <w:color w:val="000000"/>
        </w:rPr>
        <w:t>同时提供的是同一品牌的产品时，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spacing w:line="380" w:lineRule="atLeast"/>
        <w:ind w:firstLine="420" w:firstLineChars="200"/>
        <w:jc w:val="left"/>
        <w:rPr>
          <w:rFonts w:hint="eastAsia"/>
          <w:color w:val="000000"/>
        </w:rPr>
      </w:pPr>
      <w:r>
        <w:rPr>
          <w:rFonts w:hint="eastAsia" w:ascii="宋体" w:hAnsi="宋体"/>
          <w:color w:val="000000"/>
        </w:rPr>
        <w:t>子包二：多家供应商所投产品【</w:t>
      </w:r>
      <w:r>
        <w:rPr>
          <w:rFonts w:hint="eastAsia" w:ascii="宋体" w:hAnsi="宋体" w:cs="宋体"/>
          <w:color w:val="000000"/>
          <w:spacing w:val="-2"/>
          <w:kern w:val="0"/>
          <w:szCs w:val="21"/>
        </w:rPr>
        <w:t>智慧班牌系统</w:t>
      </w:r>
      <w:r>
        <w:rPr>
          <w:rFonts w:hint="eastAsia" w:ascii="宋体" w:hAnsi="宋体" w:cs="宋体"/>
          <w:color w:val="000000"/>
          <w:szCs w:val="21"/>
        </w:rPr>
        <w:t>、智慧教室系统(智慧灯光）</w:t>
      </w:r>
      <w:r>
        <w:rPr>
          <w:rFonts w:hint="eastAsia" w:ascii="宋体" w:hAnsi="宋体" w:cs="宋体"/>
          <w:color w:val="000000"/>
          <w:spacing w:val="-2"/>
          <w:kern w:val="0"/>
          <w:szCs w:val="21"/>
        </w:rPr>
        <w:t>】</w:t>
      </w:r>
      <w:r>
        <w:rPr>
          <w:rFonts w:hint="eastAsia" w:ascii="宋体" w:hAnsi="宋体"/>
          <w:color w:val="000000"/>
        </w:rPr>
        <w:t>同时提供的是同一品牌的产品时，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spacing w:line="380" w:lineRule="atLeast"/>
        <w:ind w:firstLine="420" w:firstLineChars="200"/>
        <w:outlineLvl w:val="0"/>
        <w:rPr>
          <w:rFonts w:hint="eastAsia" w:ascii="宋体" w:hAnsi="宋体" w:cs="宋体"/>
          <w:color w:val="000000"/>
          <w:szCs w:val="21"/>
        </w:rPr>
      </w:pPr>
      <w:bookmarkStart w:id="95" w:name="_Toc529781144"/>
      <w:bookmarkStart w:id="96" w:name="_Toc12374297"/>
      <w:bookmarkStart w:id="97" w:name="_Toc12376822"/>
      <w:bookmarkStart w:id="98" w:name="_Toc12428981"/>
      <w:bookmarkStart w:id="99" w:name="_Toc18350"/>
      <w:bookmarkStart w:id="100" w:name="_Toc18783"/>
      <w:r>
        <w:rPr>
          <w:rFonts w:hint="eastAsia" w:ascii="宋体" w:hAnsi="宋体" w:cs="宋体"/>
          <w:color w:val="000000"/>
          <w:szCs w:val="21"/>
        </w:rPr>
        <w:t>6、本项目不组织潜在供应商现场考察或者召开开标前答疑。</w:t>
      </w:r>
      <w:bookmarkEnd w:id="95"/>
      <w:bookmarkEnd w:id="96"/>
      <w:bookmarkEnd w:id="97"/>
      <w:bookmarkEnd w:id="98"/>
      <w:bookmarkEnd w:id="99"/>
      <w:bookmarkEnd w:id="100"/>
    </w:p>
    <w:p>
      <w:pPr>
        <w:spacing w:line="380" w:lineRule="atLeast"/>
        <w:ind w:firstLine="420" w:firstLineChars="200"/>
        <w:outlineLvl w:val="0"/>
        <w:rPr>
          <w:rFonts w:hint="eastAsia" w:ascii="宋体" w:hAnsi="宋体" w:cs="宋体"/>
          <w:color w:val="000000"/>
          <w:szCs w:val="21"/>
        </w:rPr>
      </w:pPr>
      <w:bookmarkStart w:id="101" w:name="_Toc5780"/>
      <w:bookmarkStart w:id="102" w:name="_Toc1158"/>
      <w:bookmarkStart w:id="103" w:name="_Toc12374298"/>
      <w:bookmarkStart w:id="104" w:name="_Toc12376823"/>
      <w:bookmarkStart w:id="105" w:name="_Toc529781145"/>
      <w:bookmarkStart w:id="106" w:name="_Toc12428982"/>
      <w:r>
        <w:rPr>
          <w:rFonts w:hint="eastAsia" w:ascii="宋体" w:hAnsi="宋体" w:cs="宋体"/>
          <w:color w:val="000000"/>
          <w:szCs w:val="21"/>
        </w:rPr>
        <w:t>7、本文件未及事项，在签订合同时双方友好商定。</w:t>
      </w:r>
      <w:bookmarkEnd w:id="83"/>
      <w:bookmarkEnd w:id="84"/>
      <w:bookmarkEnd w:id="85"/>
      <w:bookmarkEnd w:id="101"/>
      <w:bookmarkEnd w:id="102"/>
      <w:bookmarkEnd w:id="103"/>
      <w:bookmarkEnd w:id="104"/>
      <w:bookmarkEnd w:id="105"/>
      <w:bookmarkEnd w:id="106"/>
    </w:p>
    <w:p>
      <w:pPr>
        <w:spacing w:line="380" w:lineRule="atLeast"/>
        <w:ind w:firstLine="420" w:firstLineChars="200"/>
        <w:outlineLvl w:val="0"/>
        <w:rPr>
          <w:rFonts w:hint="eastAsia" w:ascii="宋体" w:hAnsi="宋体" w:cs="宋体"/>
          <w:color w:val="000000"/>
          <w:szCs w:val="21"/>
        </w:rPr>
      </w:pPr>
      <w:bookmarkStart w:id="107" w:name="_Toc21843"/>
      <w:bookmarkStart w:id="108" w:name="_Toc5269"/>
      <w:r>
        <w:rPr>
          <w:rFonts w:hint="eastAsia" w:ascii="宋体" w:hAnsi="宋体" w:cs="宋体"/>
          <w:color w:val="000000"/>
          <w:szCs w:val="21"/>
        </w:rPr>
        <w:t>8、本项目投标文件一经递交，不予退还（原件除外）。</w:t>
      </w:r>
      <w:bookmarkEnd w:id="107"/>
      <w:bookmarkEnd w:id="108"/>
    </w:p>
    <w:p>
      <w:pPr>
        <w:spacing w:line="380" w:lineRule="atLeast"/>
        <w:ind w:firstLine="420" w:firstLineChars="200"/>
        <w:rPr>
          <w:rFonts w:hint="eastAsia" w:ascii="宋体" w:hAnsi="宋体" w:cs="宋体"/>
          <w:color w:val="000000"/>
          <w:szCs w:val="21"/>
        </w:rPr>
      </w:pPr>
      <w:bookmarkStart w:id="109" w:name="_Toc419729159"/>
      <w:r>
        <w:rPr>
          <w:rFonts w:hint="eastAsia" w:ascii="宋体" w:hAnsi="宋体" w:cs="宋体"/>
          <w:color w:val="000000"/>
          <w:szCs w:val="21"/>
        </w:rPr>
        <w:t>9、本招标文件解释权归采购人。</w:t>
      </w:r>
      <w:bookmarkEnd w:id="109"/>
    </w:p>
    <w:p>
      <w:pPr>
        <w:spacing w:line="400" w:lineRule="exact"/>
        <w:ind w:firstLine="422" w:firstLineChars="200"/>
        <w:rPr>
          <w:rFonts w:hint="eastAsia" w:ascii="宋体" w:hAnsi="宋体" w:cs="宋体"/>
          <w:b/>
          <w:color w:val="000000"/>
          <w:szCs w:val="21"/>
        </w:rPr>
        <w:sectPr>
          <w:footerReference r:id="rId9" w:type="default"/>
          <w:type w:val="nextColumn"/>
          <w:pgSz w:w="11907" w:h="16840"/>
          <w:pgMar w:top="1418" w:right="1134" w:bottom="1418" w:left="1134" w:header="285" w:footer="701" w:gutter="0"/>
          <w:pgBorders w:offsetFrom="page">
            <w:top w:val="none" w:sz="0" w:space="0"/>
            <w:left w:val="none" w:sz="0" w:space="0"/>
            <w:bottom w:val="none" w:sz="0" w:space="0"/>
            <w:right w:val="none" w:sz="0" w:space="0"/>
          </w:pgBorders>
          <w:cols w:space="720" w:num="1"/>
          <w:docGrid w:linePitch="285" w:charSpace="0"/>
        </w:sectPr>
      </w:pPr>
    </w:p>
    <w:p>
      <w:pPr>
        <w:spacing w:line="400" w:lineRule="exact"/>
        <w:jc w:val="center"/>
        <w:outlineLvl w:val="0"/>
        <w:rPr>
          <w:rFonts w:hint="eastAsia" w:ascii="宋体" w:hAnsi="宋体" w:cs="宋体"/>
          <w:b/>
          <w:color w:val="000000"/>
          <w:sz w:val="32"/>
        </w:rPr>
      </w:pPr>
      <w:bookmarkStart w:id="110" w:name="_Toc25489"/>
      <w:r>
        <w:rPr>
          <w:rFonts w:hint="eastAsia" w:ascii="宋体" w:hAnsi="宋体" w:cs="宋体"/>
          <w:b/>
          <w:color w:val="000000"/>
          <w:sz w:val="32"/>
        </w:rPr>
        <w:t>第三章  评标办法及标准</w:t>
      </w:r>
      <w:bookmarkEnd w:id="110"/>
    </w:p>
    <w:p>
      <w:pPr>
        <w:spacing w:line="400" w:lineRule="exact"/>
        <w:rPr>
          <w:rFonts w:hint="eastAsia" w:ascii="宋体" w:hAnsi="宋体" w:cs="宋体"/>
          <w:b/>
          <w:color w:val="000000"/>
          <w:szCs w:val="21"/>
        </w:rPr>
      </w:pPr>
      <w:r>
        <w:rPr>
          <w:rFonts w:hint="eastAsia" w:ascii="宋体" w:hAnsi="宋体" w:cs="宋体"/>
          <w:b/>
          <w:color w:val="000000"/>
          <w:szCs w:val="21"/>
        </w:rPr>
        <w:t>一、评标办法</w:t>
      </w:r>
    </w:p>
    <w:p>
      <w:pPr>
        <w:spacing w:line="400" w:lineRule="exact"/>
        <w:ind w:left="-2" w:leftChars="-1" w:firstLine="420" w:firstLineChars="200"/>
        <w:rPr>
          <w:rFonts w:hint="eastAsia" w:ascii="宋体" w:hAnsi="宋体" w:cs="宋体"/>
          <w:color w:val="000000"/>
          <w:szCs w:val="21"/>
        </w:rPr>
      </w:pPr>
      <w:r>
        <w:rPr>
          <w:rFonts w:hint="eastAsia" w:ascii="宋体" w:hAnsi="宋体" w:cs="宋体"/>
          <w:color w:val="000000"/>
          <w:szCs w:val="21"/>
        </w:rPr>
        <w:t>1.1本项目（子包一、子包二）评标采用综合评分法。</w:t>
      </w:r>
    </w:p>
    <w:p>
      <w:pPr>
        <w:spacing w:line="400" w:lineRule="exact"/>
        <w:ind w:left="-2" w:leftChars="-1" w:firstLine="420" w:firstLineChars="200"/>
        <w:rPr>
          <w:rFonts w:hint="eastAsia" w:ascii="宋体" w:hAnsi="宋体" w:cs="宋体"/>
          <w:color w:val="000000"/>
          <w:szCs w:val="21"/>
        </w:rPr>
      </w:pPr>
      <w:r>
        <w:rPr>
          <w:rFonts w:hint="eastAsia" w:ascii="宋体" w:hAnsi="宋体" w:cs="宋体"/>
          <w:color w:val="000000"/>
          <w:szCs w:val="21"/>
        </w:rPr>
        <w:t>1.2综合评分法：采用百分制，总分100分。评标委员会成员按照评分标准（兼评委打分表）规定的内容和分值设置以记名方式独立评定打分，汇总各评委对各供应商的评分，取算术平均值（小数点后保留二位数）即为各供应商的综合得分，按照综合得分由高到低进行排序，推荐综合得分排序第一的供应商为中标候选人。若供应商的综合得分相等，则投标报价低者列前。若投标报价也相同时，则技术得分高者列前。若技术得分也相同时，采取随机抽签的方式确定排序。</w:t>
      </w:r>
    </w:p>
    <w:p>
      <w:pPr>
        <w:spacing w:line="400" w:lineRule="exact"/>
        <w:ind w:left="-2" w:leftChars="-1" w:firstLine="420" w:firstLineChars="200"/>
        <w:rPr>
          <w:rFonts w:hint="eastAsia" w:ascii="宋体" w:hAnsi="宋体" w:cs="宋体"/>
          <w:color w:val="000000"/>
          <w:szCs w:val="21"/>
        </w:rPr>
      </w:pPr>
      <w:r>
        <w:rPr>
          <w:rFonts w:hint="eastAsia" w:ascii="宋体" w:hAnsi="宋体" w:cs="宋体"/>
          <w:color w:val="000000"/>
          <w:szCs w:val="21"/>
        </w:rPr>
        <w:t>1.3</w:t>
      </w:r>
      <w:r>
        <w:rPr>
          <w:rFonts w:hint="eastAsia" w:ascii="宋体" w:hAnsi="宋体" w:cs="宋体"/>
          <w:color w:val="000000"/>
        </w:rPr>
        <w:t>本项目需要落实的政府采购政策：促进中小企业发展等。</w:t>
      </w:r>
    </w:p>
    <w:p>
      <w:pPr>
        <w:spacing w:line="400" w:lineRule="exact"/>
        <w:ind w:left="-2" w:leftChars="-1" w:firstLine="420" w:firstLineChars="200"/>
        <w:rPr>
          <w:rFonts w:hint="eastAsia" w:ascii="宋体" w:hAnsi="宋体" w:cs="宋体"/>
          <w:color w:val="000000"/>
          <w:szCs w:val="21"/>
        </w:rPr>
      </w:pPr>
      <w:r>
        <w:rPr>
          <w:rFonts w:hint="eastAsia" w:ascii="宋体" w:hAnsi="宋体" w:cs="宋体"/>
          <w:color w:val="000000"/>
          <w:szCs w:val="21"/>
        </w:rPr>
        <w:t>1.4本次采购为非专门面向中小企业，本次评标将对符合第二章第十四条第1、2、3款的小微企业的价格给予6%的扣除，用扣除后的价格参与评审。价格扣除只用于评审过程，如中标，中标价格仍按照其投标价格进行公示。</w:t>
      </w:r>
    </w:p>
    <w:p>
      <w:pPr>
        <w:spacing w:line="400" w:lineRule="exact"/>
        <w:ind w:left="-2" w:leftChars="-1" w:firstLine="420" w:firstLineChars="200"/>
        <w:rPr>
          <w:rFonts w:hint="eastAsia" w:ascii="宋体" w:hAnsi="宋体" w:cs="宋体"/>
          <w:color w:val="000000"/>
          <w:szCs w:val="21"/>
        </w:rPr>
      </w:pPr>
      <w:r>
        <w:rPr>
          <w:rFonts w:hint="eastAsia" w:ascii="宋体" w:hAnsi="宋体" w:cs="宋体"/>
          <w:color w:val="000000"/>
          <w:szCs w:val="21"/>
        </w:rPr>
        <w:t>1.5本项目将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ww.ccgp.gov.cn）节能产品、环境标志产品查询结果不相符的评标委员会将不予认可，不得享受技术加分。由多个产品集成的项目（子包），必须所有产品符合上述要求才能享受技术加分。</w:t>
      </w:r>
    </w:p>
    <w:p>
      <w:pPr>
        <w:spacing w:line="400" w:lineRule="exact"/>
        <w:ind w:left="-2" w:leftChars="-1" w:firstLine="420" w:firstLineChars="200"/>
        <w:rPr>
          <w:rFonts w:hint="eastAsia" w:ascii="宋体" w:hAnsi="宋体" w:cs="宋体"/>
          <w:color w:val="000000"/>
          <w:szCs w:val="21"/>
        </w:rPr>
      </w:pPr>
      <w:r>
        <w:rPr>
          <w:rFonts w:hint="eastAsia" w:ascii="宋体" w:hAnsi="宋体" w:cs="宋体"/>
          <w:color w:val="000000"/>
          <w:szCs w:val="21"/>
        </w:rPr>
        <w:t>1.6评标委员会认为供应商的报价低于其他通过初步审查的供应商的报价平均值的80%以下的，有可能影响产品质量或者不能诚信履约的，应当要求其在评标现场合理的时间内提供书面说明，必要时提交相关证明材料；供应商不能证明其报价合理性的，评标委员会应当将其作为无效投标处理。</w:t>
      </w:r>
    </w:p>
    <w:p>
      <w:pPr>
        <w:spacing w:line="380" w:lineRule="exact"/>
        <w:ind w:firstLine="420" w:firstLineChars="200"/>
        <w:jc w:val="left"/>
        <w:rPr>
          <w:rFonts w:hint="eastAsia" w:ascii="宋体" w:hAnsi="宋体"/>
          <w:color w:val="000000"/>
        </w:rPr>
      </w:pPr>
      <w:r>
        <w:rPr>
          <w:rFonts w:hint="eastAsia" w:ascii="宋体" w:hAnsi="宋体" w:cs="宋体"/>
          <w:color w:val="000000"/>
          <w:szCs w:val="21"/>
        </w:rPr>
        <w:t>1.7</w:t>
      </w:r>
      <w:r>
        <w:rPr>
          <w:rFonts w:hint="eastAsia" w:ascii="宋体" w:hAnsi="宋体"/>
          <w:color w:val="000000"/>
        </w:rPr>
        <w:t>子包一：多家供应商所投产品【</w:t>
      </w:r>
      <w:r>
        <w:rPr>
          <w:rFonts w:hint="eastAsia" w:ascii="宋体" w:hAnsi="宋体" w:cs="宋体"/>
          <w:color w:val="000000"/>
          <w:spacing w:val="-2"/>
          <w:kern w:val="0"/>
          <w:szCs w:val="21"/>
        </w:rPr>
        <w:t>智慧班牌系统、</w:t>
      </w:r>
      <w:r>
        <w:rPr>
          <w:rFonts w:hint="eastAsia" w:ascii="宋体" w:hAnsi="宋体" w:cs="宋体"/>
          <w:color w:val="000000"/>
          <w:szCs w:val="21"/>
        </w:rPr>
        <w:t>微格教室系统（微格教室)、智慧教室系统(智慧灯光）</w:t>
      </w:r>
      <w:r>
        <w:rPr>
          <w:rFonts w:hint="eastAsia" w:ascii="宋体" w:hAnsi="宋体" w:cs="宋体"/>
          <w:color w:val="000000"/>
          <w:spacing w:val="-2"/>
          <w:kern w:val="0"/>
          <w:szCs w:val="21"/>
        </w:rPr>
        <w:t>】</w:t>
      </w:r>
      <w:r>
        <w:rPr>
          <w:rFonts w:hint="eastAsia" w:ascii="宋体" w:hAnsi="宋体"/>
          <w:color w:val="000000"/>
        </w:rPr>
        <w:t>同时提供的是同一品牌的产品时，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spacing w:line="380" w:lineRule="exact"/>
        <w:ind w:firstLine="420" w:firstLineChars="200"/>
        <w:jc w:val="left"/>
        <w:rPr>
          <w:rFonts w:ascii="宋体" w:hAnsi="宋体" w:cs="宋体"/>
          <w:color w:val="000000"/>
          <w:szCs w:val="21"/>
        </w:rPr>
      </w:pPr>
      <w:r>
        <w:rPr>
          <w:rFonts w:hint="eastAsia" w:ascii="宋体" w:hAnsi="宋体"/>
          <w:color w:val="000000"/>
        </w:rPr>
        <w:t>子包二：多家供应商所投产品【</w:t>
      </w:r>
      <w:r>
        <w:rPr>
          <w:rFonts w:hint="eastAsia" w:ascii="宋体" w:hAnsi="宋体" w:cs="宋体"/>
          <w:color w:val="000000"/>
          <w:spacing w:val="-2"/>
          <w:kern w:val="0"/>
          <w:szCs w:val="21"/>
        </w:rPr>
        <w:t>智慧班牌系统</w:t>
      </w:r>
      <w:r>
        <w:rPr>
          <w:rFonts w:hint="eastAsia" w:ascii="宋体" w:hAnsi="宋体" w:cs="宋体"/>
          <w:color w:val="000000"/>
          <w:szCs w:val="21"/>
        </w:rPr>
        <w:t>、智慧教室系统(智慧灯光）</w:t>
      </w:r>
      <w:r>
        <w:rPr>
          <w:rFonts w:hint="eastAsia" w:ascii="宋体" w:hAnsi="宋体" w:cs="宋体"/>
          <w:color w:val="000000"/>
          <w:spacing w:val="-2"/>
          <w:kern w:val="0"/>
          <w:szCs w:val="21"/>
        </w:rPr>
        <w:t>】</w:t>
      </w:r>
      <w:r>
        <w:rPr>
          <w:rFonts w:hint="eastAsia" w:ascii="宋体" w:hAnsi="宋体"/>
          <w:color w:val="000000"/>
        </w:rPr>
        <w:t>同时提供的是同一品牌的产品时，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spacing w:line="400" w:lineRule="exact"/>
        <w:ind w:left="-2" w:leftChars="-1" w:firstLine="420" w:firstLineChars="200"/>
        <w:rPr>
          <w:rFonts w:hint="eastAsia" w:ascii="宋体" w:hAnsi="宋体" w:cs="宋体"/>
          <w:color w:val="000000"/>
          <w:szCs w:val="21"/>
        </w:rPr>
      </w:pPr>
      <w:r>
        <w:rPr>
          <w:rFonts w:hint="eastAsia" w:ascii="宋体" w:hAnsi="宋体" w:cs="宋体"/>
          <w:color w:val="000000"/>
          <w:szCs w:val="21"/>
        </w:rPr>
        <w:t>1.8评标委员会成员对需要共同认定的事项存在争议的，应当按照少数服从多数的原则作出结论。</w:t>
      </w:r>
    </w:p>
    <w:p>
      <w:pPr>
        <w:spacing w:line="400" w:lineRule="exact"/>
        <w:rPr>
          <w:rFonts w:hint="eastAsia" w:ascii="宋体" w:hAnsi="宋体" w:cs="宋体"/>
          <w:b/>
          <w:color w:val="000000"/>
          <w:szCs w:val="21"/>
        </w:rPr>
      </w:pPr>
      <w:r>
        <w:rPr>
          <w:rFonts w:hint="eastAsia" w:ascii="宋体" w:hAnsi="宋体" w:cs="宋体"/>
          <w:b/>
          <w:color w:val="000000"/>
          <w:szCs w:val="21"/>
        </w:rPr>
        <w:t>二、评标委员会</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2.1采购人依据相关规定组建评标委员会，负责本项目的评标工作。评标委员会成员名单在招标结果确定之前依法保密。</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2.2评标委员会将按照招标文件要求，只对初步确定为实质上响应本招标文件要求的投标进行评标和比较。并且只依据投标文件内容本身的响应情况进行评审，不考虑开标后的任何补充声明、修正的方案。</w:t>
      </w:r>
    </w:p>
    <w:p>
      <w:pPr>
        <w:spacing w:line="400" w:lineRule="exact"/>
        <w:rPr>
          <w:rFonts w:hint="eastAsia" w:ascii="宋体" w:hAnsi="宋体" w:cs="宋体"/>
          <w:b/>
          <w:color w:val="000000"/>
          <w:szCs w:val="21"/>
        </w:rPr>
      </w:pPr>
      <w:r>
        <w:rPr>
          <w:rFonts w:hint="eastAsia" w:ascii="宋体" w:hAnsi="宋体" w:cs="宋体"/>
          <w:b/>
          <w:color w:val="000000"/>
          <w:szCs w:val="21"/>
        </w:rPr>
        <w:t>三、评标程序</w:t>
      </w: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3.1第一阶段评审</w:t>
      </w:r>
    </w:p>
    <w:p>
      <w:pPr>
        <w:spacing w:line="400" w:lineRule="exact"/>
        <w:ind w:firstLine="420" w:firstLineChars="200"/>
        <w:rPr>
          <w:rFonts w:hint="eastAsia" w:ascii="宋体" w:hAnsi="宋体" w:cs="宋体"/>
          <w:b/>
          <w:color w:val="000000"/>
          <w:szCs w:val="21"/>
        </w:rPr>
      </w:pPr>
      <w:r>
        <w:rPr>
          <w:rFonts w:hint="eastAsia" w:ascii="宋体" w:hAnsi="宋体" w:cs="宋体"/>
          <w:color w:val="000000"/>
          <w:szCs w:val="21"/>
        </w:rPr>
        <w:t>▲3.1.1商务和技术文件初步审查：包含资格性审查和符合性审查。资格性审查是指采购人或代理机构根据相应子包对应的“附表1资格性审查表”的要求对投标文件逐一进行评审。符合性审查是指评标委员会根据相应子包对应的“附表2符合性审查表”的要求对投标文件逐一进行评审。</w:t>
      </w:r>
      <w:r>
        <w:rPr>
          <w:rFonts w:hint="eastAsia" w:ascii="宋体" w:hAnsi="宋体" w:cs="宋体"/>
          <w:b/>
          <w:color w:val="000000"/>
          <w:szCs w:val="21"/>
        </w:rPr>
        <w:t>资格性审查和符合性审查中，有任意一项审查结论不合格的，作无效标处理。</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3.1.2</w:t>
      </w:r>
      <w:r>
        <w:rPr>
          <w:rFonts w:hint="eastAsia" w:ascii="宋体" w:hAnsi="宋体" w:cs="宋体"/>
          <w:color w:val="000000"/>
          <w:szCs w:val="21"/>
          <w:lang w:val="zh-CN"/>
        </w:rPr>
        <w:t>比较与评价：</w:t>
      </w:r>
      <w:r>
        <w:rPr>
          <w:rFonts w:hint="eastAsia" w:ascii="宋体" w:hAnsi="宋体" w:cs="宋体"/>
          <w:color w:val="000000"/>
          <w:szCs w:val="21"/>
        </w:rPr>
        <w:t>评标委员会根据相应子包对应的“附表3评分标准（兼评委打分表）”的要求，</w:t>
      </w:r>
      <w:r>
        <w:rPr>
          <w:rFonts w:hint="eastAsia" w:ascii="宋体" w:hAnsi="宋体" w:cs="宋体"/>
          <w:color w:val="000000"/>
          <w:szCs w:val="21"/>
          <w:lang w:val="zh-CN"/>
        </w:rPr>
        <w:t>对照投标文件的应答进行比较，判定其偏差性质和程度，</w:t>
      </w:r>
      <w:r>
        <w:rPr>
          <w:rFonts w:hint="eastAsia" w:ascii="宋体" w:hAnsi="宋体" w:cs="宋体"/>
          <w:color w:val="000000"/>
          <w:szCs w:val="21"/>
        </w:rPr>
        <w:t>由评标委员会成员在分值范围内自行评分。供应商商务和技术得分为各评标委员会成员有效评分的算术平均值（小数点后保留二位数）。</w:t>
      </w:r>
    </w:p>
    <w:p>
      <w:pPr>
        <w:spacing w:line="400" w:lineRule="exact"/>
        <w:ind w:firstLine="422" w:firstLineChars="200"/>
        <w:jc w:val="left"/>
        <w:rPr>
          <w:rFonts w:hint="eastAsia" w:ascii="宋体" w:hAnsi="宋体" w:cs="宋体"/>
          <w:b/>
          <w:color w:val="000000"/>
          <w:szCs w:val="21"/>
        </w:rPr>
      </w:pPr>
      <w:r>
        <w:rPr>
          <w:rFonts w:hint="eastAsia" w:ascii="宋体" w:hAnsi="宋体" w:cs="宋体"/>
          <w:b/>
          <w:color w:val="000000"/>
          <w:szCs w:val="21"/>
        </w:rPr>
        <w:t>3.2第二阶段评审</w:t>
      </w:r>
    </w:p>
    <w:p>
      <w:pPr>
        <w:spacing w:line="400" w:lineRule="exact"/>
        <w:ind w:firstLine="420" w:firstLineChars="200"/>
        <w:jc w:val="left"/>
        <w:rPr>
          <w:rFonts w:hint="eastAsia" w:ascii="宋体" w:hAnsi="宋体" w:cs="宋体"/>
          <w:b/>
          <w:color w:val="000000"/>
          <w:szCs w:val="21"/>
        </w:rPr>
      </w:pPr>
      <w:r>
        <w:rPr>
          <w:rFonts w:hint="eastAsia" w:ascii="宋体" w:hAnsi="宋体" w:cs="宋体"/>
          <w:color w:val="000000"/>
          <w:szCs w:val="21"/>
        </w:rPr>
        <w:t>▲3.2.1报价文件初步审查：报价文件初步审查是指评标委员会根据相应子包对应的“附表4初步审查表”的要求对投标文件逐一进行评审。</w:t>
      </w:r>
      <w:r>
        <w:rPr>
          <w:rFonts w:hint="eastAsia" w:ascii="宋体" w:hAnsi="宋体" w:cs="宋体"/>
          <w:b/>
          <w:color w:val="000000"/>
          <w:szCs w:val="21"/>
        </w:rPr>
        <w:t>初步审查中，审查结论不合格的，作无效标处理。</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3.2.2在评标过程中，发现的价格计算错误按下述原则修正：</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（1）投标文件中开标一览表内容与投标文件中分项报价表内容不一致的，以开标一览表为准；</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（2）投标文件的大写金额和小写金额不一致的，以大写金额为准；</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（3）单价金额小数点有明显错位的，应以总价为准，并修改单价；</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（4）总价金额与按单价汇总金额不一致的，以单价金额计算结果为准。</w:t>
      </w:r>
    </w:p>
    <w:p>
      <w:pPr>
        <w:spacing w:line="400" w:lineRule="exact"/>
        <w:ind w:firstLine="420" w:firstLineChars="200"/>
        <w:jc w:val="left"/>
        <w:rPr>
          <w:rFonts w:hint="eastAsia" w:ascii="宋体" w:hAnsi="宋体" w:cs="宋体"/>
          <w:color w:val="000000"/>
        </w:rPr>
      </w:pPr>
      <w:r>
        <w:rPr>
          <w:rFonts w:hint="eastAsia" w:ascii="宋体" w:hAnsi="宋体" w:cs="宋体"/>
          <w:color w:val="000000"/>
        </w:rPr>
        <w:t>同时出现两种以上不一致的，按照上述顺序修正。修正后的价格若高于投标报价，则中标价以投标报价为准，评标价以修正后的价格为准；修正后的价格若低于投标报价，则中标价以修正后价格为准，评标价以投标报价为准。如供应商不接受按以上规则确定的评标价和中标价，则其投标将被拒绝。</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3.2.3评标委员会根据相应子包对应的“附表5价格评分表”的规定，计算供应商报价得分（小数点后保留二位数）。</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3.2.4每个子包参加采购响应的供应商中，有两家或两家以上供应商的单位负责人为同一人或者存在直接控股、管理关系的，应当按一个供应商认定。评审时，取其中通过资格审查、符合性审查后的报价最低一家为有效供应商；当报价相同时，则以技术标最优一家为有效供应商；均相同时，由评标委员会集体决定，并以书面记录评标委员会的决定理由。</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3.2.5综合评估：供应商的综合得分为商务和技术得分与报价得分之和。</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3.2.6推荐中标候选人：根据每个子包供应商综合得分由高到低进行排序，推荐综合得分排序第一的供应商为该子包第一中标候选人。若供应商的综合得分相等，则投标报价低者列前。若投标报价也相同时，则技术得分高者列前。若技术得分也相同时，采取随机抽签的方式确定排序，先抽中者排序在前。</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3.3确定中标供应商</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评标委员会按综合得分由高到低排序，向采购人推荐每个子包排序第一的供应商为该子包第一中标候选人。代理机构应当自评审结束之日起2个工作日内将评审报告送交采购人。采购人应当自收到评审报告之日起5个工作日内在评审报告推荐的中标候选人中按顺序确定中标供应商。中标供应商因不可抗力或者自身原因不能履行政府采购合同的，采购人将重新招标。</w:t>
      </w:r>
    </w:p>
    <w:p>
      <w:pPr>
        <w:spacing w:line="400" w:lineRule="exact"/>
        <w:rPr>
          <w:rFonts w:hint="eastAsia" w:ascii="宋体" w:hAnsi="宋体" w:cs="宋体"/>
          <w:b/>
          <w:color w:val="000000"/>
          <w:szCs w:val="21"/>
        </w:rPr>
      </w:pPr>
      <w:r>
        <w:rPr>
          <w:rFonts w:hint="eastAsia" w:ascii="宋体" w:hAnsi="宋体" w:cs="宋体"/>
          <w:b/>
          <w:color w:val="000000"/>
          <w:szCs w:val="21"/>
        </w:rPr>
        <w:t>四、投标的澄清</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4.1对投标文件审查中发现的投标文件表达含义不明确、同类问题表述不一致或者有明显文字和计算错误的内容，评标委员会应当书面形式要求供应商作出必要的澄清、说明或者补正。</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4.2供应商的澄清、说明或者补正应当采用书面形式，并加盖公章，或者由法定代表人或其委托代理人的签字。供应商的澄清、说明或者补正不得超出投标文件的范围或者改变投标文件的实质性内容。</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4.3若供应商未响应澄清安排的通知到场进行答疑和澄清，将被视作自动放弃。</w:t>
      </w:r>
    </w:p>
    <w:p>
      <w:pPr>
        <w:widowControl/>
        <w:spacing w:line="400" w:lineRule="exact"/>
        <w:jc w:val="left"/>
        <w:rPr>
          <w:rFonts w:hint="eastAsia" w:ascii="宋体" w:hAnsi="宋体" w:cs="宋体"/>
          <w:b/>
          <w:color w:val="000000"/>
          <w:szCs w:val="21"/>
        </w:rPr>
      </w:pPr>
      <w:r>
        <w:rPr>
          <w:rFonts w:hint="eastAsia" w:ascii="宋体" w:hAnsi="宋体" w:cs="宋体"/>
          <w:b/>
          <w:color w:val="000000"/>
          <w:szCs w:val="21"/>
        </w:rPr>
        <w:t>五、特别声明：价格是评标的重要因素之一，但最低价不是中标的唯一依据。</w:t>
      </w:r>
    </w:p>
    <w:p>
      <w:pPr>
        <w:spacing w:line="400" w:lineRule="exact"/>
        <w:jc w:val="left"/>
        <w:rPr>
          <w:rFonts w:hint="eastAsia" w:ascii="宋体" w:hAnsi="宋体" w:cs="宋体"/>
          <w:b/>
          <w:color w:val="000000"/>
          <w:szCs w:val="21"/>
        </w:rPr>
      </w:pPr>
      <w:r>
        <w:rPr>
          <w:rFonts w:hint="eastAsia" w:ascii="宋体" w:hAnsi="宋体" w:cs="宋体"/>
          <w:b/>
          <w:color w:val="000000"/>
          <w:szCs w:val="21"/>
        </w:rPr>
        <w:t>六、重新招标</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有下列情形之一的，采购人将重新招标：</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6.1投标截止时间止，供应商少于3个的；</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6.2评标委员会评标过程中，有效供应商少于3个的；</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6.3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招标活动。</w:t>
      </w:r>
    </w:p>
    <w:p>
      <w:pPr>
        <w:widowControl/>
        <w:spacing w:line="400" w:lineRule="exact"/>
        <w:jc w:val="left"/>
        <w:rPr>
          <w:rFonts w:hint="eastAsia" w:ascii="宋体" w:hAnsi="宋体" w:cs="宋体"/>
          <w:color w:val="000000"/>
          <w:szCs w:val="21"/>
        </w:rPr>
      </w:pPr>
    </w:p>
    <w:p>
      <w:pPr>
        <w:spacing w:line="400" w:lineRule="exact"/>
        <w:rPr>
          <w:rFonts w:hint="eastAsia" w:ascii="宋体" w:hAnsi="宋体" w:cs="宋体"/>
          <w:color w:val="000000"/>
          <w:szCs w:val="21"/>
        </w:rPr>
      </w:pPr>
      <w:r>
        <w:rPr>
          <w:rFonts w:hint="eastAsia" w:ascii="宋体" w:hAnsi="宋体" w:cs="宋体"/>
          <w:color w:val="000000"/>
          <w:sz w:val="24"/>
          <w:szCs w:val="24"/>
        </w:rPr>
        <w:br w:type="page"/>
      </w:r>
      <w:r>
        <w:rPr>
          <w:rFonts w:hint="eastAsia" w:ascii="宋体" w:hAnsi="宋体" w:cs="宋体"/>
          <w:color w:val="000000"/>
          <w:szCs w:val="21"/>
        </w:rPr>
        <w:t>附表1：</w:t>
      </w:r>
    </w:p>
    <w:p>
      <w:pPr>
        <w:widowControl/>
        <w:snapToGrid w:val="0"/>
        <w:spacing w:line="560" w:lineRule="exact"/>
        <w:jc w:val="center"/>
        <w:rPr>
          <w:rFonts w:hint="eastAsia" w:ascii="宋体" w:hAnsi="宋体" w:cs="宋体"/>
          <w:b/>
          <w:color w:val="000000"/>
          <w:szCs w:val="21"/>
        </w:rPr>
      </w:pPr>
      <w:r>
        <w:rPr>
          <w:rFonts w:hint="eastAsia" w:ascii="宋体" w:hAnsi="宋体" w:cs="宋体"/>
          <w:b/>
          <w:color w:val="000000"/>
          <w:szCs w:val="21"/>
        </w:rPr>
        <w:t>资格审查表（适用于子包一、子包二）</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977"/>
        <w:gridCol w:w="3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top"/>
          </w:tcPr>
          <w:p>
            <w:pPr>
              <w:spacing w:line="400" w:lineRule="exact"/>
              <w:jc w:val="center"/>
              <w:rPr>
                <w:rFonts w:hint="eastAsia" w:ascii="宋体" w:hAnsi="宋体" w:eastAsia="宋体" w:cs="宋体"/>
                <w:b/>
                <w:color w:val="000000"/>
                <w:szCs w:val="21"/>
              </w:rPr>
            </w:pPr>
            <w:r>
              <w:rPr>
                <w:rFonts w:hint="eastAsia" w:ascii="宋体" w:hAnsi="宋体" w:eastAsia="宋体" w:cs="宋体"/>
                <w:b/>
                <w:color w:val="000000"/>
                <w:szCs w:val="21"/>
              </w:rPr>
              <w:t>序号</w:t>
            </w:r>
          </w:p>
        </w:tc>
        <w:tc>
          <w:tcPr>
            <w:tcW w:w="4977" w:type="dxa"/>
            <w:noWrap w:val="0"/>
            <w:vAlign w:val="top"/>
          </w:tcPr>
          <w:p>
            <w:pPr>
              <w:spacing w:line="400" w:lineRule="exact"/>
              <w:jc w:val="center"/>
              <w:rPr>
                <w:rFonts w:hint="eastAsia" w:ascii="宋体" w:hAnsi="宋体" w:eastAsia="宋体" w:cs="宋体"/>
                <w:b/>
                <w:color w:val="000000"/>
                <w:szCs w:val="21"/>
              </w:rPr>
            </w:pPr>
            <w:r>
              <w:rPr>
                <w:rFonts w:hint="eastAsia" w:ascii="宋体" w:hAnsi="宋体" w:eastAsia="宋体" w:cs="宋体"/>
                <w:b/>
                <w:color w:val="000000"/>
                <w:szCs w:val="21"/>
              </w:rPr>
              <w:t>审查项目</w:t>
            </w:r>
          </w:p>
        </w:tc>
        <w:tc>
          <w:tcPr>
            <w:tcW w:w="3718" w:type="dxa"/>
            <w:noWrap w:val="0"/>
            <w:vAlign w:val="top"/>
          </w:tcPr>
          <w:p>
            <w:pPr>
              <w:spacing w:line="400" w:lineRule="exact"/>
              <w:jc w:val="center"/>
              <w:rPr>
                <w:rFonts w:hint="eastAsia" w:ascii="宋体" w:hAnsi="宋体" w:eastAsia="宋体" w:cs="宋体"/>
                <w:b/>
                <w:color w:val="000000"/>
                <w:szCs w:val="21"/>
              </w:rPr>
            </w:pPr>
            <w:r>
              <w:rPr>
                <w:rFonts w:hint="eastAsia" w:ascii="宋体" w:hAnsi="宋体" w:eastAsia="宋体" w:cs="宋体"/>
                <w:b/>
                <w:color w:val="00000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4977" w:type="dxa"/>
            <w:noWrap w:val="0"/>
            <w:vAlign w:val="center"/>
          </w:tcPr>
          <w:p>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（1）关于资格的声明函；</w:t>
            </w:r>
          </w:p>
          <w:p>
            <w:pPr>
              <w:spacing w:line="320" w:lineRule="exact"/>
              <w:rPr>
                <w:rFonts w:hint="eastAsia" w:ascii="宋体" w:hAnsi="宋体" w:eastAsia="宋体" w:cs="宋体"/>
                <w:color w:val="000000"/>
                <w:szCs w:val="21"/>
              </w:rPr>
            </w:pPr>
            <w:r>
              <w:rPr>
                <w:rFonts w:hint="eastAsia" w:ascii="宋体" w:hAnsi="宋体" w:eastAsia="宋体" w:cs="宋体"/>
                <w:color w:val="000000"/>
                <w:szCs w:val="21"/>
              </w:rPr>
              <w:t>（2）营业执照副本复印件加盖供应商公章；</w:t>
            </w:r>
          </w:p>
          <w:p>
            <w:pPr>
              <w:spacing w:line="320" w:lineRule="exact"/>
              <w:rPr>
                <w:rFonts w:hint="eastAsia" w:ascii="宋体" w:hAnsi="宋体" w:eastAsia="宋体" w:cs="宋体"/>
                <w:color w:val="000000"/>
                <w:szCs w:val="21"/>
              </w:rPr>
            </w:pPr>
            <w:r>
              <w:rPr>
                <w:rFonts w:hint="eastAsia" w:ascii="宋体" w:hAnsi="宋体" w:eastAsia="宋体" w:cs="宋体"/>
                <w:color w:val="000000"/>
                <w:szCs w:val="21"/>
              </w:rPr>
              <w:t>（3）税务登记证副本复印件加盖供应商公章；</w:t>
            </w:r>
          </w:p>
          <w:p>
            <w:pPr>
              <w:spacing w:line="320" w:lineRule="exact"/>
              <w:rPr>
                <w:rFonts w:hint="eastAsia" w:ascii="宋体" w:hAnsi="宋体" w:eastAsia="宋体" w:cs="宋体"/>
                <w:color w:val="000000"/>
                <w:szCs w:val="21"/>
              </w:rPr>
            </w:pPr>
            <w:r>
              <w:rPr>
                <w:rFonts w:hint="eastAsia" w:ascii="宋体" w:hAnsi="宋体" w:eastAsia="宋体" w:cs="宋体"/>
                <w:color w:val="000000"/>
                <w:szCs w:val="21"/>
              </w:rPr>
              <w:t>（4）组织机构代码证副本复印件加盖供应商公章；</w:t>
            </w:r>
          </w:p>
          <w:p>
            <w:pPr>
              <w:spacing w:line="320" w:lineRule="exact"/>
              <w:rPr>
                <w:rFonts w:hint="eastAsia" w:ascii="宋体" w:hAnsi="宋体" w:eastAsia="宋体" w:cs="宋体"/>
                <w:color w:val="000000"/>
                <w:szCs w:val="21"/>
              </w:rPr>
            </w:pPr>
            <w:r>
              <w:rPr>
                <w:rFonts w:hint="eastAsia" w:ascii="宋体" w:hAnsi="宋体" w:eastAsia="宋体" w:cs="宋体"/>
                <w:color w:val="000000"/>
                <w:szCs w:val="21"/>
              </w:rPr>
              <w:t>（5）社会保险登记证副本复印件加盖供应商公章；</w:t>
            </w:r>
          </w:p>
          <w:p>
            <w:pPr>
              <w:spacing w:line="320" w:lineRule="exact"/>
              <w:rPr>
                <w:rFonts w:hint="eastAsia" w:ascii="宋体" w:hAnsi="宋体" w:eastAsia="宋体" w:cs="宋体"/>
                <w:color w:val="000000"/>
                <w:szCs w:val="21"/>
              </w:rPr>
            </w:pPr>
            <w:r>
              <w:rPr>
                <w:rFonts w:hint="eastAsia" w:ascii="宋体" w:hAnsi="宋体" w:eastAsia="宋体" w:cs="宋体"/>
                <w:color w:val="000000"/>
                <w:szCs w:val="21"/>
              </w:rPr>
              <w:t>（6）2019年度财务会计报表复印件加盖供应商公章；</w:t>
            </w:r>
          </w:p>
          <w:p>
            <w:pPr>
              <w:spacing w:line="320" w:lineRule="exact"/>
              <w:rPr>
                <w:rFonts w:hint="eastAsia" w:ascii="宋体" w:hAnsi="宋体" w:eastAsia="宋体" w:cs="宋体"/>
                <w:color w:val="000000"/>
                <w:szCs w:val="21"/>
              </w:rPr>
            </w:pPr>
            <w:r>
              <w:rPr>
                <w:rFonts w:hint="eastAsia" w:ascii="宋体" w:hAnsi="宋体" w:eastAsia="宋体" w:cs="宋体"/>
                <w:color w:val="000000"/>
                <w:szCs w:val="21"/>
              </w:rPr>
              <w:t>（7）2019年度缴纳税收的证明资料复印件加盖供应商公章；</w:t>
            </w:r>
          </w:p>
          <w:p>
            <w:pPr>
              <w:spacing w:line="320" w:lineRule="exact"/>
              <w:rPr>
                <w:rFonts w:hint="eastAsia" w:ascii="宋体" w:hAnsi="宋体" w:eastAsia="宋体" w:cs="宋体"/>
                <w:color w:val="000000"/>
                <w:szCs w:val="21"/>
              </w:rPr>
            </w:pPr>
            <w:r>
              <w:rPr>
                <w:rFonts w:hint="eastAsia" w:ascii="宋体" w:hAnsi="宋体" w:eastAsia="宋体" w:cs="宋体"/>
                <w:color w:val="000000"/>
                <w:szCs w:val="21"/>
              </w:rPr>
              <w:t>（8）2019年度缴纳社保的证明资料复印件加盖供应商公章；</w:t>
            </w:r>
          </w:p>
          <w:p>
            <w:pPr>
              <w:spacing w:line="320" w:lineRule="exact"/>
              <w:rPr>
                <w:rFonts w:hint="eastAsia" w:ascii="宋体" w:hAnsi="宋体" w:eastAsia="宋体" w:cs="宋体"/>
                <w:color w:val="000000"/>
                <w:szCs w:val="21"/>
              </w:rPr>
            </w:pPr>
            <w:r>
              <w:rPr>
                <w:rFonts w:hint="eastAsia" w:ascii="宋体" w:hAnsi="宋体" w:eastAsia="宋体" w:cs="宋体"/>
                <w:color w:val="000000"/>
                <w:szCs w:val="21"/>
              </w:rPr>
              <w:t>（9）无重大违法记录声明函；</w:t>
            </w:r>
          </w:p>
          <w:p>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（10）供应商一般情况。</w:t>
            </w:r>
          </w:p>
        </w:tc>
        <w:tc>
          <w:tcPr>
            <w:tcW w:w="3718" w:type="dxa"/>
            <w:noWrap w:val="0"/>
            <w:vAlign w:val="center"/>
          </w:tcPr>
          <w:p>
            <w:pPr>
              <w:spacing w:line="320" w:lineRule="exact"/>
              <w:rPr>
                <w:rFonts w:hint="eastAsia" w:ascii="宋体" w:hAnsi="宋体" w:eastAsia="宋体" w:cs="宋体"/>
                <w:color w:val="000000"/>
                <w:szCs w:val="21"/>
              </w:rPr>
            </w:pPr>
            <w:r>
              <w:rPr>
                <w:rFonts w:hint="eastAsia" w:ascii="宋体" w:hAnsi="宋体" w:eastAsia="宋体" w:cs="宋体"/>
                <w:color w:val="000000"/>
                <w:szCs w:val="21"/>
              </w:rPr>
              <w:t>符合《中华人民共和国政府采购法》第22条的一般资格条件的规定：</w:t>
            </w:r>
          </w:p>
          <w:p>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1.1具有独立承担民事责任的能力；</w:t>
            </w:r>
          </w:p>
          <w:p>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1.2具有良好的商业信誉和健全的财务会计制度；</w:t>
            </w:r>
          </w:p>
          <w:p>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1.3具有履行合同所必需的设备和专业技术能力；</w:t>
            </w:r>
          </w:p>
          <w:p>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1.4有依法缴纳税收和社会保障资金的良好记录；</w:t>
            </w:r>
          </w:p>
          <w:p>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1.5参加政府采购活动前三年内，在经营活动中没有重大违法记录；</w:t>
            </w:r>
          </w:p>
          <w:p>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1.6法律、行政法规规定的其他条件。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4977" w:type="dxa"/>
            <w:noWrap w:val="0"/>
            <w:vAlign w:val="center"/>
          </w:tcPr>
          <w:p>
            <w:pPr>
              <w:spacing w:line="320" w:lineRule="exact"/>
              <w:rPr>
                <w:rFonts w:hint="eastAsia" w:ascii="宋体" w:hAnsi="宋体" w:eastAsia="宋体" w:cs="宋体"/>
                <w:color w:val="000000"/>
                <w:szCs w:val="21"/>
              </w:rPr>
            </w:pPr>
            <w:r>
              <w:rPr>
                <w:rFonts w:hint="eastAsia" w:ascii="宋体" w:hAnsi="宋体" w:eastAsia="宋体" w:cs="宋体"/>
                <w:color w:val="000000"/>
                <w:szCs w:val="21"/>
              </w:rPr>
              <w:t>采购人、采购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pPr>
              <w:spacing w:line="320" w:lineRule="exact"/>
              <w:rPr>
                <w:rFonts w:hint="eastAsia" w:ascii="宋体" w:hAnsi="宋体" w:eastAsia="宋体" w:cs="宋体"/>
                <w:color w:val="000000"/>
                <w:szCs w:val="21"/>
              </w:rPr>
            </w:pPr>
            <w:r>
              <w:rPr>
                <w:rFonts w:hint="eastAsia" w:ascii="宋体" w:hAnsi="宋体" w:eastAsia="宋体" w:cs="宋体"/>
                <w:color w:val="000000"/>
                <w:szCs w:val="21"/>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tc>
        <w:tc>
          <w:tcPr>
            <w:tcW w:w="3718" w:type="dxa"/>
            <w:noWrap w:val="0"/>
            <w:vAlign w:val="center"/>
          </w:tcPr>
          <w:p>
            <w:pPr>
              <w:spacing w:line="320" w:lineRule="exact"/>
              <w:rPr>
                <w:rFonts w:hint="eastAsia" w:ascii="宋体" w:hAnsi="宋体" w:eastAsia="宋体" w:cs="宋体"/>
                <w:color w:val="000000"/>
                <w:szCs w:val="21"/>
              </w:rPr>
            </w:pPr>
            <w:r>
              <w:rPr>
                <w:rFonts w:hint="eastAsia" w:ascii="宋体" w:hAnsi="宋体" w:eastAsia="宋体" w:cs="宋体"/>
                <w:color w:val="000000"/>
                <w:szCs w:val="21"/>
              </w:rPr>
              <w:t>未被信用中国网站（</w:t>
            </w:r>
            <w:r>
              <w:rPr>
                <w:rFonts w:hint="eastAsia" w:ascii="宋体" w:hAnsi="宋体" w:eastAsia="宋体" w:cs="宋体"/>
                <w:color w:val="000000"/>
                <w:szCs w:val="21"/>
              </w:rPr>
              <w:fldChar w:fldCharType="begin"/>
            </w:r>
            <w:r>
              <w:rPr>
                <w:rFonts w:hint="eastAsia" w:ascii="宋体" w:hAnsi="宋体" w:eastAsia="宋体" w:cs="宋体"/>
                <w:color w:val="000000"/>
                <w:szCs w:val="21"/>
              </w:rPr>
              <w:instrText xml:space="preserve"> HYPERLINK "http://www.creditchina.gov.cn" </w:instrText>
            </w:r>
            <w:r>
              <w:rPr>
                <w:rFonts w:hint="eastAsia" w:ascii="宋体" w:hAnsi="宋体" w:eastAsia="宋体" w:cs="宋体"/>
                <w:color w:val="000000"/>
                <w:szCs w:val="21"/>
              </w:rPr>
              <w:fldChar w:fldCharType="separate"/>
            </w:r>
            <w:r>
              <w:rPr>
                <w:rFonts w:hint="eastAsia" w:ascii="宋体" w:hAnsi="宋体" w:eastAsia="宋体" w:cs="宋体"/>
                <w:color w:val="000000"/>
                <w:szCs w:val="21"/>
              </w:rPr>
              <w:t>www.creditchina.gov.cn</w:t>
            </w:r>
            <w:r>
              <w:rPr>
                <w:rFonts w:hint="eastAsia" w:ascii="宋体" w:hAnsi="宋体" w:eastAsia="宋体" w:cs="宋体"/>
                <w:color w:val="000000"/>
                <w:szCs w:val="21"/>
              </w:rPr>
              <w:fldChar w:fldCharType="end"/>
            </w:r>
            <w:r>
              <w:rPr>
                <w:rFonts w:hint="eastAsia" w:ascii="宋体" w:hAnsi="宋体" w:eastAsia="宋体" w:cs="宋体"/>
                <w:color w:val="000000"/>
                <w:szCs w:val="21"/>
              </w:rPr>
              <w:t>）列入失信被执行人、重大税收违法案件当事人名单，未被中国政府采购网（www.ccgp.gov.cn）列入政府采购严重违法失信行为记录名单。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4977" w:type="dxa"/>
            <w:noWrap w:val="0"/>
            <w:vAlign w:val="center"/>
          </w:tcPr>
          <w:p>
            <w:pPr>
              <w:spacing w:line="320" w:lineRule="exact"/>
              <w:rPr>
                <w:rFonts w:hint="eastAsia" w:ascii="宋体" w:hAnsi="宋体" w:eastAsia="宋体" w:cs="宋体"/>
                <w:color w:val="000000"/>
                <w:szCs w:val="21"/>
              </w:rPr>
            </w:pPr>
            <w:r>
              <w:rPr>
                <w:rFonts w:hint="eastAsia" w:ascii="宋体" w:hAnsi="宋体" w:eastAsia="宋体" w:cs="宋体"/>
                <w:color w:val="000000"/>
              </w:rPr>
              <w:t>供应商是否为联合体</w:t>
            </w:r>
          </w:p>
        </w:tc>
        <w:tc>
          <w:tcPr>
            <w:tcW w:w="3718" w:type="dxa"/>
            <w:noWrap w:val="0"/>
            <w:vAlign w:val="center"/>
          </w:tcPr>
          <w:p>
            <w:pPr>
              <w:spacing w:line="320" w:lineRule="exact"/>
              <w:rPr>
                <w:rFonts w:hint="eastAsia" w:ascii="宋体" w:hAnsi="宋体" w:eastAsia="宋体" w:cs="宋体"/>
                <w:color w:val="000000"/>
                <w:szCs w:val="21"/>
              </w:rPr>
            </w:pPr>
            <w:r>
              <w:rPr>
                <w:rFonts w:hint="eastAsia" w:ascii="宋体" w:hAnsi="宋体" w:eastAsia="宋体" w:cs="宋体"/>
                <w:color w:val="000000"/>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9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rPr>
            </w:pPr>
            <w:r>
              <w:rPr>
                <w:rFonts w:hint="eastAsia" w:ascii="宋体" w:hAnsi="宋体" w:eastAsia="宋体" w:cs="宋体"/>
                <w:b/>
                <w:color w:val="000000"/>
                <w:szCs w:val="21"/>
                <w:lang w:bidi="ar"/>
              </w:rPr>
              <w:t>资格性审查结论</w:t>
            </w:r>
          </w:p>
        </w:tc>
        <w:tc>
          <w:tcPr>
            <w:tcW w:w="37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szCs w:val="21"/>
              </w:rPr>
            </w:pPr>
          </w:p>
        </w:tc>
      </w:tr>
    </w:tbl>
    <w:p>
      <w:pPr>
        <w:spacing w:line="400" w:lineRule="exact"/>
        <w:rPr>
          <w:rFonts w:hint="eastAsia" w:ascii="宋体" w:hAnsi="宋体" w:cs="宋体"/>
          <w:b/>
          <w:color w:val="000000"/>
        </w:rPr>
      </w:pPr>
      <w:r>
        <w:rPr>
          <w:rFonts w:hint="eastAsia" w:ascii="宋体" w:hAnsi="宋体" w:cs="宋体"/>
          <w:b/>
          <w:color w:val="000000"/>
        </w:rPr>
        <w:t>注：1、上述资格证明文件未按招标文件要求附入投标文件中的，资格性审查不合格。</w:t>
      </w:r>
    </w:p>
    <w:p>
      <w:pPr>
        <w:spacing w:line="400" w:lineRule="exact"/>
        <w:ind w:firstLine="422" w:firstLineChars="200"/>
        <w:rPr>
          <w:rFonts w:hint="eastAsia" w:ascii="宋体" w:hAnsi="宋体" w:cs="宋体"/>
          <w:b/>
          <w:color w:val="000000"/>
        </w:rPr>
      </w:pPr>
      <w:r>
        <w:rPr>
          <w:rFonts w:hint="eastAsia" w:ascii="宋体" w:hAnsi="宋体" w:cs="宋体"/>
          <w:b/>
          <w:color w:val="000000"/>
        </w:rPr>
        <w:t>2、上述审查项目中，任意一项不符合的，资格性审查不合格。</w:t>
      </w:r>
    </w:p>
    <w:p>
      <w:pPr>
        <w:spacing w:line="400" w:lineRule="exact"/>
        <w:ind w:firstLine="422" w:firstLineChars="200"/>
        <w:rPr>
          <w:rFonts w:hint="eastAsia" w:ascii="宋体" w:hAnsi="宋体" w:cs="宋体"/>
          <w:b/>
          <w:color w:val="000000"/>
        </w:rPr>
      </w:pPr>
      <w:r>
        <w:rPr>
          <w:rFonts w:hint="eastAsia" w:ascii="宋体" w:hAnsi="宋体" w:cs="宋体"/>
          <w:b/>
          <w:color w:val="000000"/>
        </w:rPr>
        <w:t>3、已办理多证合一的供应商无须提供税务登记证副本、组织机构代码证副本、社会保险登记证副本复印件加盖供应商公章。</w:t>
      </w:r>
    </w:p>
    <w:p>
      <w:pPr>
        <w:spacing w:line="400" w:lineRule="exact"/>
        <w:ind w:firstLine="422" w:firstLineChars="200"/>
        <w:rPr>
          <w:rFonts w:hint="eastAsia" w:ascii="宋体" w:hAnsi="宋体" w:cs="宋体"/>
          <w:b/>
          <w:color w:val="000000"/>
        </w:rPr>
      </w:pPr>
      <w:r>
        <w:rPr>
          <w:rFonts w:hint="eastAsia" w:ascii="宋体" w:hAnsi="宋体" w:cs="宋体"/>
          <w:b/>
          <w:color w:val="000000"/>
        </w:rPr>
        <w:t>4、供应商注册成立不足一年的，应提供供应商单位成立至</w:t>
      </w:r>
      <w:r>
        <w:rPr>
          <w:rFonts w:hint="eastAsia" w:ascii="宋体" w:hAnsi="宋体" w:cs="宋体"/>
          <w:b/>
          <w:color w:val="000000"/>
          <w:lang w:eastAsia="zh-CN"/>
        </w:rPr>
        <w:t>2020年4月</w:t>
      </w:r>
      <w:r>
        <w:rPr>
          <w:rFonts w:hint="eastAsia" w:ascii="宋体" w:hAnsi="宋体" w:cs="宋体"/>
          <w:b/>
          <w:color w:val="000000"/>
        </w:rPr>
        <w:t>份的财务会计报表、缴纳税收的证明资料、缴纳社保的证明资料复印件加盖供应商公章。</w:t>
      </w:r>
    </w:p>
    <w:p>
      <w:pPr>
        <w:spacing w:line="400" w:lineRule="exact"/>
        <w:ind w:firstLine="413" w:firstLineChars="196"/>
        <w:rPr>
          <w:rFonts w:hint="eastAsia" w:ascii="宋体" w:hAnsi="宋体" w:cs="宋体"/>
          <w:color w:val="000000"/>
          <w:szCs w:val="21"/>
        </w:rPr>
      </w:pPr>
      <w:r>
        <w:rPr>
          <w:rFonts w:hint="eastAsia" w:ascii="宋体" w:hAnsi="宋体" w:cs="宋体"/>
          <w:b/>
          <w:color w:val="000000"/>
        </w:rPr>
        <w:t>5、依法免税或不需要缴纳社保的供应商，应提供相应文件证明其依法免税或不需要缴纳社保。</w:t>
      </w:r>
      <w:r>
        <w:rPr>
          <w:rFonts w:hint="eastAsia" w:ascii="宋体" w:hAnsi="宋体" w:cs="宋体"/>
          <w:b/>
          <w:color w:val="000000"/>
        </w:rPr>
        <w:br w:type="page"/>
      </w:r>
      <w:r>
        <w:rPr>
          <w:rFonts w:hint="eastAsia" w:ascii="宋体" w:hAnsi="宋体" w:cs="宋体"/>
          <w:color w:val="000000"/>
          <w:szCs w:val="21"/>
        </w:rPr>
        <w:t>附表2：</w:t>
      </w:r>
    </w:p>
    <w:p>
      <w:pPr>
        <w:widowControl/>
        <w:snapToGrid w:val="0"/>
        <w:spacing w:line="560" w:lineRule="exact"/>
        <w:jc w:val="center"/>
        <w:rPr>
          <w:rFonts w:hint="eastAsia" w:ascii="宋体" w:hAnsi="宋体" w:cs="宋体"/>
          <w:b/>
          <w:color w:val="000000"/>
          <w:szCs w:val="21"/>
        </w:rPr>
      </w:pPr>
      <w:r>
        <w:rPr>
          <w:rFonts w:hint="eastAsia" w:ascii="宋体" w:hAnsi="宋体" w:cs="宋体"/>
          <w:b/>
          <w:color w:val="000000"/>
          <w:szCs w:val="21"/>
        </w:rPr>
        <w:t>符合性审查表（适用于子包一、子包二）</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74"/>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top"/>
          </w:tcPr>
          <w:p>
            <w:pPr>
              <w:spacing w:line="400" w:lineRule="exact"/>
              <w:jc w:val="center"/>
              <w:rPr>
                <w:rFonts w:hint="eastAsia" w:ascii="宋体" w:hAnsi="宋体" w:eastAsia="宋体" w:cs="宋体"/>
                <w:b/>
                <w:color w:val="000000"/>
                <w:szCs w:val="21"/>
              </w:rPr>
            </w:pPr>
            <w:r>
              <w:rPr>
                <w:rFonts w:hint="eastAsia" w:ascii="宋体" w:hAnsi="宋体" w:eastAsia="宋体" w:cs="宋体"/>
                <w:b/>
                <w:color w:val="000000"/>
                <w:szCs w:val="21"/>
              </w:rPr>
              <w:t>序号</w:t>
            </w:r>
          </w:p>
        </w:tc>
        <w:tc>
          <w:tcPr>
            <w:tcW w:w="2174" w:type="dxa"/>
            <w:noWrap w:val="0"/>
            <w:vAlign w:val="top"/>
          </w:tcPr>
          <w:p>
            <w:pPr>
              <w:spacing w:line="400" w:lineRule="exact"/>
              <w:jc w:val="center"/>
              <w:rPr>
                <w:rFonts w:hint="eastAsia" w:ascii="宋体" w:hAnsi="宋体" w:eastAsia="宋体" w:cs="宋体"/>
                <w:b/>
                <w:color w:val="000000"/>
                <w:szCs w:val="21"/>
              </w:rPr>
            </w:pPr>
            <w:r>
              <w:rPr>
                <w:rFonts w:hint="eastAsia" w:ascii="宋体" w:hAnsi="宋体" w:eastAsia="宋体" w:cs="宋体"/>
                <w:b/>
                <w:color w:val="000000"/>
                <w:szCs w:val="21"/>
              </w:rPr>
              <w:t>审查项目</w:t>
            </w:r>
          </w:p>
        </w:tc>
        <w:tc>
          <w:tcPr>
            <w:tcW w:w="6521" w:type="dxa"/>
            <w:noWrap w:val="0"/>
            <w:vAlign w:val="top"/>
          </w:tcPr>
          <w:p>
            <w:pPr>
              <w:spacing w:line="400" w:lineRule="exact"/>
              <w:jc w:val="center"/>
              <w:rPr>
                <w:rFonts w:hint="eastAsia" w:ascii="宋体" w:hAnsi="宋体" w:eastAsia="宋体" w:cs="宋体"/>
                <w:b/>
                <w:color w:val="000000"/>
                <w:szCs w:val="21"/>
              </w:rPr>
            </w:pPr>
            <w:r>
              <w:rPr>
                <w:rFonts w:hint="eastAsia" w:ascii="宋体" w:hAnsi="宋体" w:eastAsia="宋体" w:cs="宋体"/>
                <w:b/>
                <w:color w:val="00000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2174"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供应商名称</w:t>
            </w:r>
          </w:p>
        </w:tc>
        <w:tc>
          <w:tcPr>
            <w:tcW w:w="6521" w:type="dxa"/>
            <w:noWrap w:val="0"/>
            <w:vAlign w:val="top"/>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与营业执照副本一致。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2174"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投标有效期</w:t>
            </w:r>
          </w:p>
        </w:tc>
        <w:tc>
          <w:tcPr>
            <w:tcW w:w="6521"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符合第二章“投标须知”第六、1条的要求。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2174"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法定代表人身份证明和法定代表人授权书</w:t>
            </w:r>
          </w:p>
        </w:tc>
        <w:tc>
          <w:tcPr>
            <w:tcW w:w="6521"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投标文件由法定代表人签字的，提供“法定代表人身份证明”；</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投标文件由授权代表签字的，提供“法定代表人身份证明”和“法定代表人授权书”。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2174"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投标文件的签署盖章</w:t>
            </w:r>
          </w:p>
        </w:tc>
        <w:tc>
          <w:tcPr>
            <w:tcW w:w="6521"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符合第二章“投标须知”第八、1条的要求。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2174" w:type="dxa"/>
            <w:vMerge w:val="restart"/>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其他</w:t>
            </w:r>
          </w:p>
        </w:tc>
        <w:tc>
          <w:tcPr>
            <w:tcW w:w="6521"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不允许出现与招标文件有重大偏离的投标文件。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2174" w:type="dxa"/>
            <w:vMerge w:val="continue"/>
            <w:noWrap w:val="0"/>
            <w:vAlign w:val="center"/>
          </w:tcPr>
          <w:p>
            <w:pPr>
              <w:spacing w:line="400" w:lineRule="exact"/>
              <w:rPr>
                <w:rFonts w:hint="eastAsia" w:ascii="宋体" w:hAnsi="宋体" w:eastAsia="宋体" w:cs="宋体"/>
                <w:color w:val="000000"/>
                <w:szCs w:val="21"/>
              </w:rPr>
            </w:pPr>
          </w:p>
        </w:tc>
        <w:tc>
          <w:tcPr>
            <w:tcW w:w="6521"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供应商不得在投标活动中提供任何虚假材料或从事其他违法活动的。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2174" w:type="dxa"/>
            <w:vMerge w:val="continue"/>
            <w:noWrap w:val="0"/>
            <w:vAlign w:val="center"/>
          </w:tcPr>
          <w:p>
            <w:pPr>
              <w:spacing w:line="400" w:lineRule="exact"/>
              <w:rPr>
                <w:rFonts w:hint="eastAsia" w:ascii="宋体" w:hAnsi="宋体" w:eastAsia="宋体" w:cs="宋体"/>
                <w:color w:val="000000"/>
                <w:szCs w:val="21"/>
              </w:rPr>
            </w:pPr>
          </w:p>
        </w:tc>
        <w:tc>
          <w:tcPr>
            <w:tcW w:w="6521"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评标委员会经过审查，认定供应商虚假应标、串通投标的</w:t>
            </w:r>
          </w:p>
          <w:p>
            <w:pPr>
              <w:widowControl/>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有下列情形之一的，视为供应商串通投标：</w:t>
            </w:r>
          </w:p>
          <w:p>
            <w:pPr>
              <w:widowControl/>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（1）不同供应商的投标文件由同一单位或者个人编制；</w:t>
            </w:r>
          </w:p>
          <w:p>
            <w:pPr>
              <w:widowControl/>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（2）不同供应商委托同一单位或者个人办理投标事宜；</w:t>
            </w:r>
          </w:p>
          <w:p>
            <w:pPr>
              <w:widowControl/>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（3）不同供应商的投标文件载明的项目管理成员或者联系人员为同一人；</w:t>
            </w:r>
          </w:p>
          <w:p>
            <w:pPr>
              <w:widowControl/>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（4）不同供应商的投标文件异常一致或者投标报价呈规律性差异；</w:t>
            </w:r>
          </w:p>
          <w:p>
            <w:pPr>
              <w:widowControl/>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（5）不同供应商的投标文件相互混装；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2174" w:type="dxa"/>
            <w:vMerge w:val="continue"/>
            <w:noWrap w:val="0"/>
            <w:vAlign w:val="center"/>
          </w:tcPr>
          <w:p>
            <w:pPr>
              <w:spacing w:line="400" w:lineRule="exact"/>
              <w:rPr>
                <w:rFonts w:hint="eastAsia" w:ascii="宋体" w:hAnsi="宋体" w:eastAsia="宋体" w:cs="宋体"/>
                <w:color w:val="000000"/>
                <w:szCs w:val="21"/>
              </w:rPr>
            </w:pPr>
          </w:p>
        </w:tc>
        <w:tc>
          <w:tcPr>
            <w:tcW w:w="6521"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符合法律、法规和招标文件中规定的其他实质性要求（实质性要求招标文件中“▲”标记）。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b/>
                <w:color w:val="000000"/>
                <w:szCs w:val="21"/>
                <w:lang w:bidi="ar"/>
              </w:rPr>
              <w:t>符合性审查结论</w:t>
            </w:r>
          </w:p>
        </w:tc>
        <w:tc>
          <w:tcPr>
            <w:tcW w:w="65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szCs w:val="21"/>
              </w:rPr>
            </w:pPr>
          </w:p>
        </w:tc>
      </w:tr>
    </w:tbl>
    <w:p>
      <w:pPr>
        <w:spacing w:line="400" w:lineRule="exact"/>
        <w:ind w:firstLine="413" w:firstLineChars="196"/>
        <w:rPr>
          <w:rFonts w:hint="eastAsia" w:ascii="宋体" w:hAnsi="宋体" w:cs="宋体"/>
          <w:b/>
          <w:color w:val="000000"/>
        </w:rPr>
      </w:pPr>
    </w:p>
    <w:p>
      <w:pPr>
        <w:spacing w:line="400" w:lineRule="exact"/>
        <w:ind w:firstLine="413" w:firstLineChars="196"/>
        <w:rPr>
          <w:rFonts w:hint="eastAsia" w:ascii="宋体" w:hAnsi="宋体" w:cs="宋体"/>
          <w:color w:val="000000"/>
          <w:szCs w:val="21"/>
        </w:rPr>
      </w:pPr>
      <w:r>
        <w:rPr>
          <w:rFonts w:hint="eastAsia" w:ascii="宋体" w:hAnsi="宋体" w:cs="宋体"/>
          <w:b/>
          <w:color w:val="000000"/>
        </w:rPr>
        <w:t>注：1、上述审查项目中，任意一项不符合的，符合性审查不合格。</w:t>
      </w:r>
    </w:p>
    <w:p>
      <w:pPr>
        <w:spacing w:line="400" w:lineRule="exact"/>
        <w:rPr>
          <w:rFonts w:hint="eastAsia" w:ascii="宋体" w:hAnsi="宋体" w:cs="宋体"/>
          <w:color w:val="000000"/>
          <w:szCs w:val="21"/>
        </w:rPr>
      </w:pPr>
      <w:r>
        <w:rPr>
          <w:rFonts w:hint="eastAsia" w:ascii="宋体" w:hAnsi="宋体" w:cs="宋体"/>
          <w:color w:val="000000"/>
          <w:szCs w:val="21"/>
        </w:rPr>
        <w:br w:type="page"/>
      </w:r>
      <w:r>
        <w:rPr>
          <w:rFonts w:hint="eastAsia" w:ascii="宋体" w:hAnsi="宋体" w:cs="宋体"/>
          <w:color w:val="000000"/>
          <w:szCs w:val="21"/>
        </w:rPr>
        <w:t>附表3：</w:t>
      </w:r>
    </w:p>
    <w:p>
      <w:pPr>
        <w:spacing w:line="360" w:lineRule="auto"/>
        <w:jc w:val="center"/>
        <w:rPr>
          <w:rFonts w:hint="eastAsia" w:ascii="宋体" w:hAnsi="宋体" w:cs="宋体"/>
          <w:b/>
          <w:color w:val="000000"/>
          <w:sz w:val="24"/>
        </w:rPr>
      </w:pPr>
      <w:r>
        <w:rPr>
          <w:rFonts w:hint="eastAsia" w:ascii="宋体" w:hAnsi="宋体" w:cs="宋体"/>
          <w:b/>
          <w:color w:val="000000"/>
          <w:sz w:val="24"/>
        </w:rPr>
        <w:t>子包一商务技术评分标准（兼评委打分表）</w:t>
      </w:r>
    </w:p>
    <w:tbl>
      <w:tblPr>
        <w:tblStyle w:val="47"/>
        <w:tblW w:w="10234"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55"/>
        <w:gridCol w:w="7781"/>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blHeader/>
        </w:trPr>
        <w:tc>
          <w:tcPr>
            <w:tcW w:w="9656" w:type="dxa"/>
            <w:gridSpan w:val="3"/>
            <w:tcBorders>
              <w:top w:val="double" w:color="auto" w:sz="4" w:space="0"/>
              <w:left w:val="double" w:color="auto" w:sz="4" w:space="0"/>
              <w:bottom w:val="single" w:color="auto" w:sz="4" w:space="0"/>
              <w:right w:val="single" w:color="auto" w:sz="4" w:space="0"/>
              <w:tl2br w:val="single" w:color="000000" w:sz="4" w:space="0"/>
            </w:tcBorders>
            <w:noWrap w:val="0"/>
            <w:vAlign w:val="top"/>
          </w:tcPr>
          <w:p>
            <w:pPr>
              <w:ind w:right="420"/>
              <w:jc w:val="right"/>
              <w:rPr>
                <w:rFonts w:ascii="宋体" w:hAnsi="宋体"/>
                <w:color w:val="000000"/>
                <w:szCs w:val="21"/>
              </w:rPr>
            </w:pPr>
            <w:r>
              <w:rPr>
                <w:rFonts w:hint="eastAsia" w:ascii="宋体" w:hAnsi="宋体"/>
                <w:color w:val="000000"/>
                <w:szCs w:val="21"/>
              </w:rPr>
              <w:t>供应商</w:t>
            </w:r>
          </w:p>
          <w:p>
            <w:pPr>
              <w:ind w:firstLine="945" w:firstLineChars="450"/>
              <w:rPr>
                <w:rFonts w:ascii="宋体" w:hAnsi="宋体"/>
                <w:color w:val="000000"/>
                <w:szCs w:val="21"/>
                <w:lang w:val="ru-RU"/>
              </w:rPr>
            </w:pPr>
            <w:r>
              <w:rPr>
                <w:rFonts w:hint="eastAsia" w:ascii="宋体" w:hAnsi="宋体"/>
                <w:color w:val="000000"/>
                <w:szCs w:val="21"/>
              </w:rPr>
              <w:t>分值</w:t>
            </w:r>
          </w:p>
        </w:tc>
        <w:tc>
          <w:tcPr>
            <w:tcW w:w="578" w:type="dxa"/>
            <w:tcBorders>
              <w:top w:val="double" w:color="auto" w:sz="4" w:space="0"/>
              <w:left w:val="single" w:color="auto" w:sz="4" w:space="0"/>
              <w:bottom w:val="single" w:color="auto" w:sz="4" w:space="0"/>
              <w:right w:val="double" w:color="auto" w:sz="4" w:space="0"/>
            </w:tcBorders>
            <w:noWrap w:val="0"/>
            <w:vAlign w:val="center"/>
          </w:tcPr>
          <w:p>
            <w:pPr>
              <w:spacing w:line="400" w:lineRule="exact"/>
              <w:jc w:val="center"/>
              <w:rPr>
                <w:rFonts w:ascii="宋体" w:hAnsi="宋体"/>
                <w:color w:val="000000"/>
                <w:szCs w:val="21"/>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20" w:type="dxa"/>
            <w:vMerge w:val="restart"/>
            <w:tcBorders>
              <w:top w:val="single" w:color="auto" w:sz="4" w:space="0"/>
              <w:left w:val="double" w:color="auto" w:sz="4" w:space="0"/>
              <w:right w:val="single" w:color="auto" w:sz="4" w:space="0"/>
            </w:tcBorders>
            <w:noWrap w:val="0"/>
            <w:vAlign w:val="center"/>
          </w:tcPr>
          <w:p>
            <w:pPr>
              <w:spacing w:line="400" w:lineRule="exact"/>
              <w:jc w:val="center"/>
              <w:rPr>
                <w:rFonts w:hint="eastAsia" w:ascii="宋体" w:hAnsi="宋体"/>
                <w:b/>
                <w:color w:val="000000"/>
                <w:szCs w:val="21"/>
              </w:rPr>
            </w:pPr>
            <w:r>
              <w:rPr>
                <w:rFonts w:hint="eastAsia" w:ascii="宋体" w:hAnsi="宋体"/>
                <w:b/>
                <w:color w:val="000000"/>
                <w:szCs w:val="21"/>
              </w:rPr>
              <w:t>商务技术分</w:t>
            </w:r>
          </w:p>
          <w:p>
            <w:pPr>
              <w:spacing w:line="360" w:lineRule="exact"/>
              <w:jc w:val="center"/>
              <w:rPr>
                <w:rFonts w:hint="eastAsia" w:ascii="宋体" w:hAnsi="宋体"/>
                <w:color w:val="000000"/>
                <w:szCs w:val="21"/>
              </w:rPr>
            </w:pPr>
            <w:r>
              <w:rPr>
                <w:rFonts w:hint="eastAsia" w:ascii="宋体" w:hAnsi="宋体"/>
                <w:b/>
                <w:color w:val="000000"/>
                <w:szCs w:val="21"/>
              </w:rPr>
              <w:t>70分</w:t>
            </w:r>
          </w:p>
        </w:tc>
        <w:tc>
          <w:tcPr>
            <w:tcW w:w="893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000000"/>
                <w:szCs w:val="21"/>
              </w:rPr>
            </w:pPr>
            <w:r>
              <w:rPr>
                <w:rFonts w:hint="eastAsia" w:ascii="宋体" w:hAnsi="宋体" w:eastAsia="宋体" w:cs="宋体"/>
                <w:bCs/>
                <w:color w:val="000000"/>
                <w:szCs w:val="21"/>
              </w:rPr>
              <w:t>产品业绩：</w:t>
            </w:r>
            <w:r>
              <w:rPr>
                <w:rFonts w:hint="eastAsia" w:ascii="宋体" w:hAnsi="宋体" w:eastAsia="宋体" w:cs="宋体"/>
                <w:bCs/>
                <w:color w:val="000000"/>
                <w:szCs w:val="21"/>
                <w:lang w:bidi="ar"/>
              </w:rPr>
              <w:t>供应商自2017年1月1日（含）（中标通知书及合同均需满足）起至今承接过类似</w:t>
            </w:r>
            <w:r>
              <w:rPr>
                <w:rFonts w:hint="eastAsia" w:ascii="宋体" w:hAnsi="宋体" w:eastAsia="宋体" w:cs="宋体"/>
                <w:bCs/>
                <w:color w:val="000000"/>
                <w:szCs w:val="21"/>
                <w:u w:val="single"/>
                <w:lang w:bidi="ar"/>
              </w:rPr>
              <w:t>教育类系统集成项目</w:t>
            </w:r>
            <w:r>
              <w:rPr>
                <w:rFonts w:hint="eastAsia" w:ascii="宋体" w:hAnsi="宋体" w:eastAsia="宋体" w:cs="宋体"/>
                <w:bCs/>
                <w:color w:val="000000"/>
                <w:szCs w:val="21"/>
                <w:lang w:bidi="ar"/>
              </w:rPr>
              <w:t>的，每提供一个合同得1分，最高得2分（投标文件中同时提供中标通知书和合同复印件加盖供应商公章，中标通知书、采购合同原件于投标截止时间前递交，未按要求提供原件或原件与复印件不一致的不得分）。</w:t>
            </w:r>
          </w:p>
        </w:tc>
        <w:tc>
          <w:tcPr>
            <w:tcW w:w="578" w:type="dxa"/>
            <w:tcBorders>
              <w:top w:val="single" w:color="auto" w:sz="4" w:space="0"/>
              <w:left w:val="single" w:color="auto" w:sz="4" w:space="0"/>
              <w:bottom w:val="single" w:color="auto" w:sz="4" w:space="0"/>
              <w:right w:val="double" w:color="auto" w:sz="4" w:space="0"/>
            </w:tcBorders>
            <w:noWrap w:val="0"/>
            <w:vAlign w:val="center"/>
          </w:tcPr>
          <w:p>
            <w:pPr>
              <w:spacing w:line="400" w:lineRule="exact"/>
              <w:jc w:val="center"/>
              <w:rPr>
                <w:rFonts w:hint="eastAsia" w:ascii="宋体" w:hAnsi="宋体" w:eastAsia="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20" w:type="dxa"/>
            <w:vMerge w:val="continue"/>
            <w:tcBorders>
              <w:left w:val="double" w:color="auto" w:sz="4" w:space="0"/>
              <w:right w:val="single" w:color="auto" w:sz="4" w:space="0"/>
            </w:tcBorders>
            <w:noWrap w:val="0"/>
            <w:vAlign w:val="center"/>
          </w:tcPr>
          <w:p>
            <w:pPr>
              <w:spacing w:line="360" w:lineRule="exact"/>
              <w:jc w:val="center"/>
              <w:rPr>
                <w:rFonts w:hint="eastAsia" w:ascii="宋体" w:hAnsi="宋体"/>
                <w:color w:val="000000"/>
                <w:szCs w:val="21"/>
              </w:rPr>
            </w:pPr>
          </w:p>
        </w:tc>
        <w:tc>
          <w:tcPr>
            <w:tcW w:w="893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000000"/>
                <w:szCs w:val="21"/>
              </w:rPr>
            </w:pPr>
            <w:r>
              <w:rPr>
                <w:rFonts w:hint="eastAsia" w:ascii="宋体" w:hAnsi="宋体" w:eastAsia="宋体" w:cs="宋体"/>
                <w:bCs/>
                <w:color w:val="000000"/>
                <w:szCs w:val="21"/>
              </w:rPr>
              <w:t>项目实施人员情况：</w:t>
            </w:r>
            <w:r>
              <w:rPr>
                <w:rFonts w:hint="eastAsia" w:ascii="宋体" w:hAnsi="宋体" w:eastAsia="宋体" w:cs="宋体"/>
                <w:color w:val="000000"/>
                <w:szCs w:val="21"/>
                <w:lang w:bidi="ar"/>
              </w:rPr>
              <w:t>供应商拟派的项目经理具有</w:t>
            </w:r>
            <w:r>
              <w:rPr>
                <w:rFonts w:hint="eastAsia" w:ascii="宋体" w:hAnsi="宋体" w:eastAsia="宋体" w:cs="宋体"/>
                <w:color w:val="000000"/>
                <w:szCs w:val="21"/>
                <w:u w:val="single"/>
                <w:lang w:bidi="ar"/>
              </w:rPr>
              <w:t>有效的智能化</w:t>
            </w:r>
            <w:r>
              <w:rPr>
                <w:rFonts w:hint="eastAsia" w:ascii="宋体" w:hAnsi="宋体" w:eastAsia="宋体" w:cs="宋体"/>
                <w:color w:val="000000"/>
                <w:szCs w:val="21"/>
                <w:lang w:bidi="ar"/>
              </w:rPr>
              <w:t>系统集成项目经理证书的得2分（投标文件中提供人员证书复印件并加盖公章以及社保部门出具的由供应商为其缴纳的</w:t>
            </w:r>
            <w:r>
              <w:rPr>
                <w:rFonts w:hint="eastAsia" w:ascii="宋体" w:hAnsi="宋体" w:eastAsia="宋体" w:cs="宋体"/>
                <w:color w:val="000000"/>
                <w:szCs w:val="21"/>
                <w:lang w:eastAsia="zh-CN" w:bidi="ar"/>
              </w:rPr>
              <w:t>2019年11月-2020年4月内</w:t>
            </w:r>
            <w:r>
              <w:rPr>
                <w:rFonts w:hint="eastAsia" w:ascii="宋体" w:hAnsi="宋体" w:eastAsia="宋体" w:cs="宋体"/>
                <w:color w:val="000000"/>
                <w:szCs w:val="21"/>
                <w:lang w:bidi="ar"/>
              </w:rPr>
              <w:t>任意连续3个月的社保缴纳证明材料复印件加盖公章，</w:t>
            </w:r>
            <w:r>
              <w:rPr>
                <w:rFonts w:hint="eastAsia" w:ascii="宋体" w:hAnsi="宋体" w:eastAsia="宋体" w:cs="宋体"/>
                <w:bCs/>
                <w:color w:val="000000"/>
                <w:szCs w:val="21"/>
                <w:lang w:bidi="ar"/>
              </w:rPr>
              <w:t>投标截止时间前提供相应原件，未按要求提供原件或原件与复印件不一致的不得分</w:t>
            </w:r>
            <w:r>
              <w:rPr>
                <w:rFonts w:hint="eastAsia" w:ascii="宋体" w:hAnsi="宋体" w:eastAsia="宋体" w:cs="宋体"/>
                <w:color w:val="000000"/>
                <w:szCs w:val="21"/>
                <w:lang w:bidi="ar"/>
              </w:rPr>
              <w:t>）</w:t>
            </w:r>
          </w:p>
        </w:tc>
        <w:tc>
          <w:tcPr>
            <w:tcW w:w="578" w:type="dxa"/>
            <w:tcBorders>
              <w:top w:val="single" w:color="auto" w:sz="4" w:space="0"/>
              <w:left w:val="single" w:color="auto" w:sz="4" w:space="0"/>
              <w:bottom w:val="single" w:color="auto" w:sz="4" w:space="0"/>
              <w:right w:val="double" w:color="auto" w:sz="4" w:space="0"/>
            </w:tcBorders>
            <w:noWrap w:val="0"/>
            <w:vAlign w:val="center"/>
          </w:tcPr>
          <w:p>
            <w:pPr>
              <w:spacing w:line="400" w:lineRule="exact"/>
              <w:jc w:val="center"/>
              <w:rPr>
                <w:rFonts w:hint="eastAsia" w:ascii="宋体" w:hAnsi="宋体" w:eastAsia="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720" w:type="dxa"/>
            <w:vMerge w:val="continue"/>
            <w:tcBorders>
              <w:left w:val="double" w:color="auto" w:sz="4" w:space="0"/>
              <w:right w:val="single" w:color="auto" w:sz="4" w:space="0"/>
            </w:tcBorders>
            <w:noWrap w:val="0"/>
            <w:vAlign w:val="center"/>
          </w:tcPr>
          <w:p>
            <w:pPr>
              <w:spacing w:line="360" w:lineRule="exact"/>
              <w:jc w:val="center"/>
              <w:rPr>
                <w:rFonts w:hint="eastAsia" w:ascii="宋体" w:hAnsi="宋体"/>
                <w:color w:val="000000"/>
                <w:szCs w:val="21"/>
              </w:rPr>
            </w:pPr>
          </w:p>
        </w:tc>
        <w:tc>
          <w:tcPr>
            <w:tcW w:w="893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000000"/>
                <w:szCs w:val="21"/>
              </w:rPr>
            </w:pPr>
            <w:r>
              <w:rPr>
                <w:rFonts w:hint="eastAsia" w:ascii="宋体" w:hAnsi="宋体" w:eastAsia="宋体" w:cs="宋体"/>
                <w:bCs/>
                <w:color w:val="000000"/>
                <w:szCs w:val="21"/>
              </w:rPr>
              <w:t>政策性因素加分（1分）：</w:t>
            </w:r>
            <w:r>
              <w:rPr>
                <w:rFonts w:hint="eastAsia" w:ascii="宋体" w:hAnsi="宋体" w:eastAsia="宋体" w:cs="宋体"/>
                <w:color w:val="000000"/>
                <w:szCs w:val="21"/>
              </w:rPr>
              <w:t>投标产品为节能产品，提供有效期内节能产品认证证书的加0.5分；投标产品为环境标志产品，提供有效期内环境标志产品认证证书的加0.5分。（提供上述有效证书复印件加盖供应商公章）</w:t>
            </w:r>
          </w:p>
        </w:tc>
        <w:tc>
          <w:tcPr>
            <w:tcW w:w="578" w:type="dxa"/>
            <w:tcBorders>
              <w:top w:val="single" w:color="auto" w:sz="4" w:space="0"/>
              <w:left w:val="single" w:color="auto" w:sz="4" w:space="0"/>
              <w:bottom w:val="single" w:color="auto" w:sz="4" w:space="0"/>
              <w:right w:val="double" w:color="auto" w:sz="4" w:space="0"/>
            </w:tcBorders>
            <w:noWrap w:val="0"/>
            <w:vAlign w:val="center"/>
          </w:tcPr>
          <w:p>
            <w:pPr>
              <w:spacing w:line="400" w:lineRule="exact"/>
              <w:jc w:val="center"/>
              <w:rPr>
                <w:rFonts w:hint="eastAsia" w:ascii="宋体" w:hAnsi="宋体" w:eastAsia="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20" w:type="dxa"/>
            <w:vMerge w:val="continue"/>
            <w:tcBorders>
              <w:left w:val="double" w:color="auto" w:sz="4" w:space="0"/>
              <w:right w:val="single" w:color="auto" w:sz="4" w:space="0"/>
            </w:tcBorders>
            <w:noWrap w:val="0"/>
            <w:vAlign w:val="center"/>
          </w:tcPr>
          <w:p>
            <w:pPr>
              <w:spacing w:line="360" w:lineRule="exact"/>
              <w:jc w:val="center"/>
              <w:rPr>
                <w:rFonts w:hint="eastAsia" w:ascii="宋体" w:hAnsi="宋体"/>
                <w:color w:val="000000"/>
                <w:szCs w:val="21"/>
              </w:rPr>
            </w:pPr>
          </w:p>
        </w:tc>
        <w:tc>
          <w:tcPr>
            <w:tcW w:w="893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b/>
                <w:color w:val="000000"/>
                <w:szCs w:val="21"/>
              </w:rPr>
            </w:pPr>
            <w:r>
              <w:rPr>
                <w:rFonts w:hint="eastAsia" w:ascii="宋体" w:hAnsi="宋体" w:eastAsia="宋体" w:cs="宋体"/>
                <w:b/>
                <w:color w:val="000000"/>
                <w:szCs w:val="21"/>
                <w:lang w:bidi="ar"/>
              </w:rPr>
              <w:t>供应商提供所投软硬件要求的相关证明资料，本项满分14分：</w:t>
            </w:r>
          </w:p>
          <w:p>
            <w:pPr>
              <w:pStyle w:val="41"/>
              <w:widowControl w:val="0"/>
              <w:spacing w:before="0" w:beforeAutospacing="0" w:after="0" w:afterAutospacing="0" w:line="300" w:lineRule="exact"/>
              <w:jc w:val="both"/>
              <w:rPr>
                <w:rFonts w:hint="eastAsia" w:eastAsia="宋体"/>
                <w:b/>
                <w:color w:val="000000"/>
                <w:szCs w:val="21"/>
              </w:rPr>
            </w:pPr>
            <w:r>
              <w:rPr>
                <w:rFonts w:hint="eastAsia" w:eastAsia="宋体"/>
                <w:color w:val="000000"/>
                <w:kern w:val="2"/>
                <w:sz w:val="21"/>
                <w:szCs w:val="21"/>
                <w:lang w:bidi="ar"/>
              </w:rPr>
              <w:t>1、供应商提供的</w:t>
            </w:r>
            <w:r>
              <w:rPr>
                <w:rFonts w:hint="eastAsia" w:eastAsia="宋体"/>
                <w:color w:val="000000"/>
                <w:kern w:val="2"/>
                <w:sz w:val="21"/>
                <w:szCs w:val="21"/>
                <w:u w:val="single"/>
                <w:lang w:bidi="ar"/>
              </w:rPr>
              <w:t>教育云资源管理平台（包含基础管理平台、个人空间管理平台、资源管理系统、微信平台、智播）、跟踪主机、录播工作站、吊装话筒、全场景智能调音台、双通道数字功放、导播控制台、高清摄像机</w:t>
            </w:r>
            <w:r>
              <w:rPr>
                <w:rFonts w:hint="eastAsia" w:eastAsia="宋体"/>
                <w:color w:val="000000"/>
                <w:kern w:val="2"/>
                <w:sz w:val="21"/>
                <w:szCs w:val="21"/>
                <w:lang w:bidi="ar"/>
              </w:rPr>
              <w:t>中有五种产品为同一品牌且能提供</w:t>
            </w:r>
            <w:r>
              <w:rPr>
                <w:rFonts w:hint="eastAsia" w:eastAsia="宋体"/>
                <w:color w:val="000000"/>
                <w:kern w:val="2"/>
                <w:sz w:val="21"/>
                <w:szCs w:val="21"/>
                <w:u w:val="single"/>
                <w:lang w:bidi="ar"/>
              </w:rPr>
              <w:t>相应权威机构</w:t>
            </w:r>
            <w:r>
              <w:rPr>
                <w:rFonts w:hint="eastAsia" w:eastAsia="宋体"/>
                <w:color w:val="000000"/>
                <w:kern w:val="2"/>
                <w:sz w:val="21"/>
                <w:szCs w:val="21"/>
                <w:lang w:bidi="ar"/>
              </w:rPr>
              <w:t>出具的版权或质量证明材料的，得2分；有六种产品为同一品牌且能提供</w:t>
            </w:r>
            <w:r>
              <w:rPr>
                <w:rFonts w:hint="eastAsia" w:eastAsia="宋体"/>
                <w:color w:val="000000"/>
                <w:kern w:val="2"/>
                <w:sz w:val="21"/>
                <w:szCs w:val="21"/>
                <w:u w:val="single"/>
                <w:lang w:bidi="ar"/>
              </w:rPr>
              <w:t>相应权威机构</w:t>
            </w:r>
            <w:r>
              <w:rPr>
                <w:rFonts w:hint="eastAsia" w:eastAsia="宋体"/>
                <w:color w:val="000000"/>
                <w:kern w:val="2"/>
                <w:sz w:val="21"/>
                <w:szCs w:val="21"/>
                <w:lang w:bidi="ar"/>
              </w:rPr>
              <w:t>出具的版权或质量证明材料的，得3分；有七种及以上产品为同一品牌且能提供</w:t>
            </w:r>
            <w:r>
              <w:rPr>
                <w:rFonts w:hint="eastAsia" w:eastAsia="宋体"/>
                <w:color w:val="000000"/>
                <w:kern w:val="2"/>
                <w:sz w:val="21"/>
                <w:szCs w:val="21"/>
                <w:u w:val="single"/>
                <w:lang w:bidi="ar"/>
              </w:rPr>
              <w:t>相应权威机构</w:t>
            </w:r>
            <w:r>
              <w:rPr>
                <w:rFonts w:hint="eastAsia" w:eastAsia="宋体"/>
                <w:color w:val="000000"/>
                <w:kern w:val="2"/>
                <w:sz w:val="21"/>
                <w:szCs w:val="21"/>
                <w:lang w:bidi="ar"/>
              </w:rPr>
              <w:t>出具的版权或质量证明材料的，得4分。本款得分就高计取不累计，最高得4分，其中</w:t>
            </w:r>
            <w:r>
              <w:rPr>
                <w:rFonts w:hint="eastAsia" w:eastAsia="宋体"/>
                <w:color w:val="000000"/>
                <w:kern w:val="2"/>
                <w:sz w:val="21"/>
                <w:szCs w:val="21"/>
                <w:u w:val="single"/>
                <w:lang w:bidi="ar"/>
              </w:rPr>
              <w:t>基础管理平台、个人空间管理平台、资源管理系统、微信平台、智播</w:t>
            </w:r>
            <w:r>
              <w:rPr>
                <w:rFonts w:hint="eastAsia" w:eastAsia="宋体"/>
                <w:color w:val="000000"/>
                <w:kern w:val="2"/>
                <w:sz w:val="21"/>
                <w:szCs w:val="21"/>
                <w:lang w:bidi="ar"/>
              </w:rPr>
              <w:t>视为</w:t>
            </w:r>
            <w:r>
              <w:rPr>
                <w:rFonts w:hint="eastAsia" w:eastAsia="宋体"/>
                <w:color w:val="000000"/>
                <w:kern w:val="2"/>
                <w:sz w:val="21"/>
                <w:szCs w:val="21"/>
                <w:u w:val="single"/>
                <w:lang w:bidi="ar"/>
              </w:rPr>
              <w:t>教育云资源管理平台内的</w:t>
            </w:r>
            <w:r>
              <w:rPr>
                <w:rFonts w:hint="eastAsia" w:eastAsia="宋体"/>
                <w:color w:val="000000"/>
                <w:kern w:val="2"/>
                <w:sz w:val="21"/>
                <w:szCs w:val="21"/>
                <w:lang w:bidi="ar"/>
              </w:rPr>
              <w:t>同一产品。相应权威机构分别指：</w:t>
            </w:r>
            <w:r>
              <w:rPr>
                <w:rFonts w:hint="eastAsia" w:eastAsia="宋体"/>
                <w:color w:val="000000"/>
                <w:kern w:val="2"/>
                <w:sz w:val="21"/>
                <w:szCs w:val="21"/>
                <w:u w:val="single"/>
                <w:lang w:bidi="ar"/>
              </w:rPr>
              <w:t>跟踪主机、录播工作站、全场景智能调音台、双通道数字功放为中国质量认证中心，导播控制台为国家电子计算机质量监督中心，教育云资源管理平台为中华人民共和国国家版权局，吊装话筒、高清摄像机为第三方质量检测机构（具有CNAS认证）</w:t>
            </w:r>
            <w:r>
              <w:rPr>
                <w:rFonts w:hint="eastAsia" w:eastAsia="宋体"/>
                <w:color w:val="000000"/>
                <w:kern w:val="2"/>
                <w:sz w:val="21"/>
                <w:szCs w:val="21"/>
                <w:lang w:bidi="ar"/>
              </w:rPr>
              <w:t>（提供相应证明材料复印件并加盖供应商公章，否则不得分）。</w:t>
            </w:r>
          </w:p>
          <w:p>
            <w:pPr>
              <w:spacing w:line="300" w:lineRule="exact"/>
              <w:rPr>
                <w:rFonts w:hint="eastAsia" w:ascii="宋体" w:hAnsi="宋体" w:eastAsia="宋体" w:cs="宋体"/>
                <w:color w:val="000000"/>
                <w:szCs w:val="21"/>
              </w:rPr>
            </w:pPr>
            <w:r>
              <w:rPr>
                <w:rFonts w:hint="eastAsia" w:ascii="宋体" w:hAnsi="宋体" w:eastAsia="宋体" w:cs="宋体"/>
                <w:color w:val="000000"/>
                <w:szCs w:val="21"/>
                <w:lang w:bidi="ar"/>
              </w:rPr>
              <w:t>2、供应商提供所投的智慧护眼黑板灯根据教学场景专门设计且其出光面采用自由曲面投光技术结合反射原理来实现的，得4分（提供相应实物图片及专利证明材料</w:t>
            </w:r>
            <w:r>
              <w:rPr>
                <w:rFonts w:hint="eastAsia" w:eastAsia="宋体" w:cs="宋体"/>
                <w:color w:val="000000"/>
                <w:szCs w:val="21"/>
                <w:lang w:bidi="ar"/>
              </w:rPr>
              <w:t>复印件</w:t>
            </w:r>
            <w:r>
              <w:rPr>
                <w:rFonts w:hint="eastAsia" w:ascii="宋体" w:hAnsi="宋体" w:eastAsia="宋体" w:cs="宋体"/>
                <w:color w:val="000000"/>
                <w:szCs w:val="21"/>
                <w:lang w:bidi="ar"/>
              </w:rPr>
              <w:t>并加盖供应商公章，否则不得分）。</w:t>
            </w:r>
          </w:p>
          <w:p>
            <w:pPr>
              <w:pStyle w:val="41"/>
              <w:widowControl w:val="0"/>
              <w:spacing w:before="0" w:beforeAutospacing="0" w:after="0" w:afterAutospacing="0" w:line="300" w:lineRule="exact"/>
              <w:jc w:val="both"/>
              <w:rPr>
                <w:rFonts w:eastAsia="宋体"/>
                <w:color w:val="000000"/>
                <w:sz w:val="21"/>
                <w:szCs w:val="21"/>
                <w:lang w:bidi="ar"/>
              </w:rPr>
            </w:pPr>
            <w:r>
              <w:rPr>
                <w:rFonts w:hint="eastAsia" w:eastAsia="宋体"/>
                <w:color w:val="000000"/>
                <w:kern w:val="2"/>
                <w:sz w:val="21"/>
                <w:szCs w:val="21"/>
                <w:lang w:bidi="ar"/>
              </w:rPr>
              <w:t>3、</w:t>
            </w:r>
            <w:r>
              <w:rPr>
                <w:rFonts w:hint="eastAsia" w:eastAsia="宋体"/>
                <w:color w:val="000000"/>
                <w:sz w:val="21"/>
                <w:szCs w:val="21"/>
                <w:lang w:bidi="ar"/>
              </w:rPr>
              <w:t>供应商所投云终端</w:t>
            </w:r>
            <w:r>
              <w:rPr>
                <w:rFonts w:hint="eastAsia" w:eastAsia="宋体"/>
                <w:color w:val="000000"/>
                <w:kern w:val="2"/>
                <w:sz w:val="21"/>
                <w:szCs w:val="21"/>
                <w:lang w:bidi="ar"/>
              </w:rPr>
              <w:t>同时满足3.1、3.2、3.3的，得4分，缺一不得分。</w:t>
            </w:r>
          </w:p>
          <w:p>
            <w:pPr>
              <w:pStyle w:val="41"/>
              <w:widowControl w:val="0"/>
              <w:spacing w:before="0" w:beforeAutospacing="0" w:after="0" w:afterAutospacing="0" w:line="300" w:lineRule="exact"/>
              <w:jc w:val="both"/>
              <w:rPr>
                <w:rFonts w:hint="eastAsia" w:eastAsia="宋体"/>
                <w:color w:val="000000"/>
                <w:sz w:val="21"/>
                <w:szCs w:val="21"/>
                <w:lang w:bidi="ar"/>
              </w:rPr>
            </w:pPr>
            <w:r>
              <w:rPr>
                <w:rFonts w:hint="eastAsia" w:eastAsia="宋体"/>
                <w:color w:val="000000"/>
                <w:sz w:val="21"/>
                <w:szCs w:val="21"/>
                <w:lang w:bidi="ar"/>
              </w:rPr>
              <w:t>3.1具备防辐射要求且通过电磁兼容检测【提供第三方质量检测机构（具有</w:t>
            </w:r>
            <w:r>
              <w:rPr>
                <w:rFonts w:eastAsia="宋体"/>
                <w:color w:val="000000"/>
                <w:sz w:val="21"/>
                <w:szCs w:val="21"/>
                <w:lang w:bidi="ar"/>
              </w:rPr>
              <w:t>CNAS</w:t>
            </w:r>
            <w:r>
              <w:rPr>
                <w:rFonts w:hint="eastAsia" w:eastAsia="宋体"/>
                <w:color w:val="000000"/>
                <w:sz w:val="21"/>
                <w:szCs w:val="21"/>
                <w:lang w:bidi="ar"/>
              </w:rPr>
              <w:t>认证）出具的质量检验认证合格的检测报告复印件加盖</w:t>
            </w:r>
            <w:r>
              <w:rPr>
                <w:rFonts w:hint="eastAsia" w:eastAsia="宋体"/>
                <w:color w:val="000000"/>
                <w:kern w:val="2"/>
                <w:sz w:val="21"/>
                <w:szCs w:val="21"/>
                <w:lang w:bidi="ar"/>
              </w:rPr>
              <w:t>供应商公章</w:t>
            </w:r>
            <w:r>
              <w:rPr>
                <w:rFonts w:hint="eastAsia" w:eastAsia="宋体"/>
                <w:color w:val="000000"/>
                <w:sz w:val="21"/>
                <w:szCs w:val="21"/>
                <w:lang w:bidi="ar"/>
              </w:rPr>
              <w:t>】；</w:t>
            </w:r>
          </w:p>
          <w:p>
            <w:pPr>
              <w:pStyle w:val="41"/>
              <w:widowControl w:val="0"/>
              <w:spacing w:before="0" w:beforeAutospacing="0" w:after="0" w:afterAutospacing="0" w:line="300" w:lineRule="exact"/>
              <w:jc w:val="both"/>
              <w:rPr>
                <w:rFonts w:hint="eastAsia" w:eastAsia="宋体"/>
                <w:color w:val="000000"/>
                <w:sz w:val="21"/>
                <w:szCs w:val="21"/>
                <w:lang w:bidi="ar"/>
              </w:rPr>
            </w:pPr>
            <w:r>
              <w:rPr>
                <w:rFonts w:hint="eastAsia" w:eastAsia="宋体"/>
                <w:color w:val="000000"/>
                <w:sz w:val="21"/>
                <w:szCs w:val="21"/>
                <w:lang w:bidi="ar"/>
              </w:rPr>
              <w:t>3.2云终端MTBF大于80000小时【提供第三方质量检测机构（具有</w:t>
            </w:r>
            <w:r>
              <w:rPr>
                <w:rFonts w:eastAsia="宋体"/>
                <w:color w:val="000000"/>
                <w:sz w:val="21"/>
                <w:szCs w:val="21"/>
                <w:lang w:bidi="ar"/>
              </w:rPr>
              <w:t>CNAS</w:t>
            </w:r>
            <w:r>
              <w:rPr>
                <w:rFonts w:hint="eastAsia" w:eastAsia="宋体"/>
                <w:color w:val="000000"/>
                <w:sz w:val="21"/>
                <w:szCs w:val="21"/>
                <w:lang w:bidi="ar"/>
              </w:rPr>
              <w:t>认证）出具的质量检验认证合格的检测报告复印件加盖</w:t>
            </w:r>
            <w:r>
              <w:rPr>
                <w:rFonts w:hint="eastAsia" w:eastAsia="宋体"/>
                <w:color w:val="000000"/>
                <w:kern w:val="2"/>
                <w:sz w:val="21"/>
                <w:szCs w:val="21"/>
                <w:lang w:bidi="ar"/>
              </w:rPr>
              <w:t>供应商公章</w:t>
            </w:r>
            <w:r>
              <w:rPr>
                <w:rFonts w:hint="eastAsia" w:eastAsia="宋体"/>
                <w:color w:val="000000"/>
                <w:sz w:val="21"/>
                <w:szCs w:val="21"/>
                <w:lang w:bidi="ar"/>
              </w:rPr>
              <w:t>】；</w:t>
            </w:r>
          </w:p>
          <w:p>
            <w:pPr>
              <w:pStyle w:val="41"/>
              <w:widowControl w:val="0"/>
              <w:spacing w:before="0" w:beforeAutospacing="0" w:after="0" w:afterAutospacing="0" w:line="300" w:lineRule="exact"/>
              <w:jc w:val="both"/>
              <w:rPr>
                <w:rFonts w:hint="eastAsia" w:eastAsia="宋体"/>
                <w:color w:val="000000"/>
                <w:sz w:val="21"/>
                <w:szCs w:val="21"/>
              </w:rPr>
            </w:pPr>
            <w:r>
              <w:rPr>
                <w:rFonts w:hint="eastAsia" w:eastAsia="宋体"/>
                <w:color w:val="000000"/>
                <w:sz w:val="21"/>
                <w:szCs w:val="21"/>
                <w:lang w:bidi="ar"/>
              </w:rPr>
              <w:t>3.3云终端通过ROHS检测【提供第三方质量检测机构（具有</w:t>
            </w:r>
            <w:r>
              <w:rPr>
                <w:rFonts w:eastAsia="宋体"/>
                <w:color w:val="000000"/>
                <w:sz w:val="21"/>
                <w:szCs w:val="21"/>
                <w:lang w:bidi="ar"/>
              </w:rPr>
              <w:t>CNAS</w:t>
            </w:r>
            <w:r>
              <w:rPr>
                <w:rFonts w:hint="eastAsia" w:eastAsia="宋体"/>
                <w:color w:val="000000"/>
                <w:sz w:val="21"/>
                <w:szCs w:val="21"/>
                <w:lang w:bidi="ar"/>
              </w:rPr>
              <w:t>认证）出具的质量检验认证合格的检测报告复印件加盖</w:t>
            </w:r>
            <w:r>
              <w:rPr>
                <w:rFonts w:hint="eastAsia" w:eastAsia="宋体"/>
                <w:color w:val="000000"/>
                <w:kern w:val="2"/>
                <w:sz w:val="21"/>
                <w:szCs w:val="21"/>
                <w:lang w:bidi="ar"/>
              </w:rPr>
              <w:t>供应商公章</w:t>
            </w:r>
            <w:r>
              <w:rPr>
                <w:rFonts w:hint="eastAsia" w:eastAsia="宋体"/>
                <w:color w:val="000000"/>
                <w:sz w:val="21"/>
                <w:szCs w:val="21"/>
                <w:lang w:bidi="ar"/>
              </w:rPr>
              <w:t>】。</w:t>
            </w:r>
          </w:p>
          <w:p>
            <w:pPr>
              <w:spacing w:line="300" w:lineRule="exact"/>
              <w:rPr>
                <w:rFonts w:hint="eastAsia" w:ascii="宋体" w:hAnsi="宋体" w:eastAsia="宋体" w:cs="宋体"/>
                <w:color w:val="000000"/>
                <w:szCs w:val="21"/>
              </w:rPr>
            </w:pPr>
            <w:r>
              <w:rPr>
                <w:rFonts w:hint="eastAsia" w:ascii="宋体" w:hAnsi="宋体" w:eastAsia="宋体" w:cs="宋体"/>
                <w:color w:val="000000"/>
                <w:szCs w:val="21"/>
                <w:lang w:bidi="ar"/>
              </w:rPr>
              <w:t>4、同时满足4.1、4.2的，得2分</w:t>
            </w:r>
            <w:r>
              <w:rPr>
                <w:rFonts w:hint="eastAsia" w:eastAsia="宋体" w:cs="宋体"/>
                <w:color w:val="000000"/>
                <w:szCs w:val="21"/>
                <w:lang w:bidi="ar"/>
              </w:rPr>
              <w:t>，缺一不得分</w:t>
            </w:r>
            <w:r>
              <w:rPr>
                <w:rFonts w:hint="eastAsia" w:ascii="宋体" w:hAnsi="宋体" w:eastAsia="宋体" w:cs="宋体"/>
                <w:color w:val="000000"/>
                <w:szCs w:val="21"/>
                <w:lang w:bidi="ar"/>
              </w:rPr>
              <w:t>：</w:t>
            </w:r>
          </w:p>
          <w:p>
            <w:pPr>
              <w:spacing w:line="300" w:lineRule="exact"/>
              <w:rPr>
                <w:rFonts w:hint="eastAsia" w:ascii="宋体" w:hAnsi="宋体" w:eastAsia="宋体" w:cs="宋体"/>
                <w:color w:val="000000"/>
                <w:szCs w:val="21"/>
              </w:rPr>
            </w:pPr>
            <w:r>
              <w:rPr>
                <w:rFonts w:hint="eastAsia" w:ascii="宋体" w:hAnsi="宋体" w:eastAsia="宋体" w:cs="宋体"/>
                <w:color w:val="000000"/>
                <w:szCs w:val="21"/>
                <w:lang w:bidi="ar"/>
              </w:rPr>
              <w:t>4.1供应商所投的校园电视的双机位虚拟演播室至少内含200组专业虚拟背景，可用于录课、访谈、新闻等多种节目的使用（提供相应实物图片并加盖供应商公章，否则不得分）；</w:t>
            </w:r>
          </w:p>
          <w:p>
            <w:pPr>
              <w:widowControl/>
              <w:spacing w:line="300" w:lineRule="exact"/>
              <w:jc w:val="left"/>
              <w:rPr>
                <w:rFonts w:hint="eastAsia" w:ascii="宋体" w:hAnsi="宋体" w:eastAsia="宋体" w:cs="宋体"/>
                <w:color w:val="000000"/>
                <w:sz w:val="18"/>
                <w:szCs w:val="18"/>
              </w:rPr>
            </w:pPr>
            <w:r>
              <w:rPr>
                <w:rFonts w:hint="eastAsia" w:ascii="宋体" w:hAnsi="宋体" w:eastAsia="宋体" w:cs="宋体"/>
                <w:color w:val="000000"/>
                <w:szCs w:val="21"/>
                <w:lang w:bidi="ar"/>
              </w:rPr>
              <w:t>4.2提供专业的虚拟素材网站，可供学校免费下载使用，方便课程制作，并可提供整套完整的培训教材或出版的书籍的（提供网站链接及网站截图并加盖供应商公章，网站链接可供专家随机打开虚拟素材网站，否则不得分）。</w:t>
            </w:r>
          </w:p>
        </w:tc>
        <w:tc>
          <w:tcPr>
            <w:tcW w:w="578"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eastAsia="宋体"/>
                <w:color w:val="000000"/>
                <w:szCs w:val="21"/>
              </w:rPr>
            </w:pPr>
            <w:r>
              <w:rPr>
                <w:rFonts w:hint="eastAsia" w:ascii="宋体" w:hAnsi="宋体" w:eastAsia="宋体"/>
                <w:color w:val="00000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20" w:type="dxa"/>
            <w:vMerge w:val="continue"/>
            <w:tcBorders>
              <w:left w:val="double" w:color="auto" w:sz="4" w:space="0"/>
              <w:right w:val="single" w:color="auto" w:sz="4" w:space="0"/>
            </w:tcBorders>
            <w:noWrap w:val="0"/>
            <w:vAlign w:val="center"/>
          </w:tcPr>
          <w:p>
            <w:pPr>
              <w:spacing w:line="360" w:lineRule="exact"/>
              <w:jc w:val="center"/>
              <w:rPr>
                <w:rFonts w:hint="eastAsia" w:ascii="宋体" w:hAnsi="宋体"/>
                <w:color w:val="000000"/>
                <w:szCs w:val="21"/>
              </w:rPr>
            </w:pPr>
          </w:p>
        </w:tc>
        <w:tc>
          <w:tcPr>
            <w:tcW w:w="893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color w:val="000000"/>
                <w:szCs w:val="21"/>
              </w:rPr>
            </w:pPr>
            <w:r>
              <w:rPr>
                <w:rFonts w:hint="eastAsia" w:ascii="宋体" w:hAnsi="宋体" w:eastAsia="宋体" w:cs="宋体"/>
                <w:b/>
                <w:color w:val="000000"/>
                <w:szCs w:val="21"/>
              </w:rPr>
              <w:t>技术参数响应情况：</w:t>
            </w:r>
            <w:r>
              <w:rPr>
                <w:rFonts w:hint="eastAsia" w:ascii="宋体" w:hAnsi="宋体" w:eastAsia="宋体" w:cs="宋体"/>
                <w:color w:val="000000"/>
                <w:szCs w:val="21"/>
                <w:lang w:bidi="ar"/>
              </w:rPr>
              <w:t>评委根据供应商所提供的产品技术参数响应情况进行评审，产品技术参数和功能完全符合 “主要设备技术指标”的得满分25分。其中对于“★”条款的负偏离，每负偏离一条扣</w:t>
            </w:r>
            <w:r>
              <w:rPr>
                <w:rFonts w:hint="eastAsia" w:ascii="宋体" w:hAnsi="宋体" w:eastAsia="宋体" w:cs="宋体"/>
                <w:color w:val="000000"/>
                <w:szCs w:val="21"/>
                <w:lang w:val="en-US" w:eastAsia="zh-CN" w:bidi="ar"/>
              </w:rPr>
              <w:t>1</w:t>
            </w:r>
            <w:r>
              <w:rPr>
                <w:rFonts w:hint="eastAsia" w:ascii="宋体" w:hAnsi="宋体" w:eastAsia="宋体" w:cs="宋体"/>
                <w:color w:val="000000"/>
                <w:szCs w:val="21"/>
                <w:lang w:bidi="ar"/>
              </w:rPr>
              <w:t>分,其余条款每负偏离一条扣0.1分。本项最多25分扣完为止。如有弄虚作假或者故意修改实际参数来进行投标，一经发现将被视为无效标。</w:t>
            </w:r>
          </w:p>
        </w:tc>
        <w:tc>
          <w:tcPr>
            <w:tcW w:w="578"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eastAsia="宋体"/>
                <w:color w:val="000000"/>
                <w:szCs w:val="21"/>
              </w:rPr>
            </w:pPr>
            <w:r>
              <w:rPr>
                <w:rFonts w:hint="eastAsia" w:ascii="宋体" w:hAnsi="宋体"/>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20" w:type="dxa"/>
            <w:vMerge w:val="continue"/>
            <w:tcBorders>
              <w:left w:val="double" w:color="auto" w:sz="4" w:space="0"/>
              <w:right w:val="single" w:color="auto" w:sz="4" w:space="0"/>
            </w:tcBorders>
            <w:noWrap w:val="0"/>
            <w:vAlign w:val="center"/>
          </w:tcPr>
          <w:p>
            <w:pPr>
              <w:spacing w:line="360" w:lineRule="exact"/>
              <w:jc w:val="center"/>
              <w:rPr>
                <w:rFonts w:hint="eastAsia" w:ascii="宋体" w:hAnsi="宋体"/>
                <w:color w:val="000000"/>
                <w:szCs w:val="21"/>
              </w:rPr>
            </w:pPr>
          </w:p>
        </w:tc>
        <w:tc>
          <w:tcPr>
            <w:tcW w:w="893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b/>
                <w:color w:val="000000"/>
                <w:szCs w:val="21"/>
              </w:rPr>
            </w:pPr>
            <w:r>
              <w:rPr>
                <w:rFonts w:hint="eastAsia" w:ascii="宋体" w:hAnsi="宋体" w:cs="宋体"/>
                <w:color w:val="000000"/>
                <w:szCs w:val="21"/>
                <w:lang w:bidi="ar"/>
              </w:rPr>
              <w:t>评委根据供应商提供的投标文件，对其针对本项目制定的安装、调试的方案和措施内容的科学性、有效性以及优劣程度进行评审，安装、调试和措施内容科学、合理，拟派人员经验丰富、技术能力强的得3-2分，安装、调试和措施内容基本合理，拟派人员具有一定的技术能力的得2-1，安装、调试和措施内容及人员安排情况较差或未描述完整的得1-0分。</w:t>
            </w:r>
          </w:p>
        </w:tc>
        <w:tc>
          <w:tcPr>
            <w:tcW w:w="578"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color w:val="000000"/>
                <w:szCs w:val="21"/>
              </w:rPr>
            </w:pPr>
            <w:r>
              <w:rPr>
                <w:rFonts w:hint="eastAsia"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720" w:type="dxa"/>
            <w:vMerge w:val="continue"/>
            <w:tcBorders>
              <w:left w:val="double" w:color="auto" w:sz="4" w:space="0"/>
              <w:right w:val="single" w:color="auto" w:sz="4" w:space="0"/>
            </w:tcBorders>
            <w:noWrap w:val="0"/>
            <w:vAlign w:val="center"/>
          </w:tcPr>
          <w:p>
            <w:pPr>
              <w:spacing w:line="360" w:lineRule="exact"/>
              <w:jc w:val="center"/>
              <w:rPr>
                <w:rFonts w:hint="eastAsia" w:ascii="宋体" w:hAnsi="宋体"/>
                <w:color w:val="000000"/>
                <w:szCs w:val="21"/>
              </w:rPr>
            </w:pPr>
          </w:p>
        </w:tc>
        <w:tc>
          <w:tcPr>
            <w:tcW w:w="893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olor w:val="000000"/>
                <w:szCs w:val="21"/>
              </w:rPr>
            </w:pPr>
            <w:r>
              <w:rPr>
                <w:rFonts w:hint="eastAsia" w:ascii="宋体" w:hAnsi="宋体" w:eastAsia="宋体" w:cs="宋体"/>
                <w:color w:val="000000"/>
                <w:szCs w:val="21"/>
              </w:rPr>
              <w:t>评标委员会对供应商提供的设备的教学功能适用性进行评议，所投设备完全满足教学要求的得5-3分，所投设备基本满足教学要求的得3-1分，所投设备无法满足教学要求的得1-0分。</w:t>
            </w:r>
          </w:p>
        </w:tc>
        <w:tc>
          <w:tcPr>
            <w:tcW w:w="578" w:type="dxa"/>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color w:val="000000"/>
                <w:szCs w:val="21"/>
              </w:rPr>
            </w:pPr>
            <w:r>
              <w:rPr>
                <w:rFonts w:hint="eastAsia" w:ascii="宋体" w:hAnsi="宋体" w:eastAsia="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720" w:type="dxa"/>
            <w:vMerge w:val="continue"/>
            <w:tcBorders>
              <w:left w:val="double" w:color="auto" w:sz="4" w:space="0"/>
              <w:right w:val="single" w:color="auto" w:sz="4" w:space="0"/>
            </w:tcBorders>
            <w:noWrap w:val="0"/>
            <w:vAlign w:val="center"/>
          </w:tcPr>
          <w:p>
            <w:pPr>
              <w:spacing w:line="360" w:lineRule="exact"/>
              <w:jc w:val="center"/>
              <w:rPr>
                <w:rFonts w:hint="eastAsia" w:ascii="宋体" w:hAnsi="宋体"/>
                <w:color w:val="000000"/>
                <w:szCs w:val="21"/>
              </w:rPr>
            </w:pPr>
          </w:p>
        </w:tc>
        <w:tc>
          <w:tcPr>
            <w:tcW w:w="893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color w:val="000000"/>
                <w:szCs w:val="21"/>
              </w:rPr>
            </w:pPr>
            <w:r>
              <w:rPr>
                <w:rFonts w:hint="eastAsia" w:ascii="宋体" w:hAnsi="宋体" w:eastAsia="宋体" w:cs="宋体"/>
                <w:bCs/>
                <w:color w:val="000000"/>
                <w:szCs w:val="21"/>
              </w:rPr>
              <w:t>评标委员会对供应商提供</w:t>
            </w:r>
            <w:r>
              <w:rPr>
                <w:rFonts w:hint="eastAsia" w:ascii="宋体" w:hAnsi="宋体" w:cs="宋体"/>
                <w:bCs/>
                <w:color w:val="000000"/>
                <w:szCs w:val="21"/>
              </w:rPr>
              <w:t>的</w:t>
            </w:r>
            <w:r>
              <w:rPr>
                <w:rFonts w:hint="eastAsia" w:ascii="宋体" w:hAnsi="宋体" w:eastAsia="宋体" w:cs="宋体"/>
                <w:bCs/>
                <w:color w:val="000000"/>
                <w:szCs w:val="21"/>
              </w:rPr>
              <w:t>售后服务方案进行评议（包括本地化服务能力、服务计划等）：</w:t>
            </w:r>
            <w:r>
              <w:rPr>
                <w:rFonts w:hint="eastAsia" w:ascii="宋体" w:hAnsi="宋体" w:eastAsia="宋体" w:cs="宋体"/>
                <w:bCs/>
                <w:color w:val="000000"/>
                <w:szCs w:val="21"/>
                <w:lang w:eastAsia="zh-CN"/>
              </w:rPr>
              <w:t>方案完全满足本项目采购要求的</w:t>
            </w:r>
            <w:r>
              <w:rPr>
                <w:rFonts w:hint="eastAsia" w:ascii="宋体" w:hAnsi="宋体" w:eastAsia="宋体" w:cs="宋体"/>
                <w:bCs/>
                <w:color w:val="000000"/>
                <w:szCs w:val="21"/>
              </w:rPr>
              <w:t>得</w:t>
            </w:r>
            <w:r>
              <w:rPr>
                <w:rFonts w:hint="eastAsia" w:ascii="宋体" w:hAnsi="宋体" w:eastAsia="宋体" w:cs="宋体"/>
                <w:bCs/>
                <w:color w:val="000000"/>
                <w:szCs w:val="21"/>
                <w:lang w:val="en-US" w:eastAsia="zh-CN"/>
              </w:rPr>
              <w:t>3</w:t>
            </w:r>
            <w:r>
              <w:rPr>
                <w:rFonts w:hint="eastAsia" w:ascii="宋体" w:hAnsi="宋体" w:eastAsia="宋体" w:cs="宋体"/>
                <w:bCs/>
                <w:color w:val="000000"/>
                <w:szCs w:val="21"/>
              </w:rPr>
              <w:t>-</w:t>
            </w:r>
            <w:r>
              <w:rPr>
                <w:rFonts w:hint="eastAsia" w:ascii="宋体" w:hAnsi="宋体" w:eastAsia="宋体" w:cs="宋体"/>
                <w:bCs/>
                <w:color w:val="000000"/>
                <w:szCs w:val="21"/>
                <w:lang w:val="en-US" w:eastAsia="zh-CN"/>
              </w:rPr>
              <w:t>2</w:t>
            </w:r>
            <w:r>
              <w:rPr>
                <w:rFonts w:hint="eastAsia" w:ascii="宋体" w:hAnsi="宋体" w:eastAsia="宋体" w:cs="宋体"/>
                <w:bCs/>
                <w:color w:val="000000"/>
                <w:szCs w:val="21"/>
              </w:rPr>
              <w:t>分，</w:t>
            </w:r>
            <w:r>
              <w:rPr>
                <w:rFonts w:hint="eastAsia" w:ascii="宋体" w:hAnsi="宋体" w:eastAsia="宋体" w:cs="宋体"/>
                <w:bCs/>
                <w:color w:val="000000"/>
                <w:szCs w:val="21"/>
                <w:lang w:eastAsia="zh-CN"/>
              </w:rPr>
              <w:t>方案基本满足本项目采购要求的</w:t>
            </w:r>
            <w:r>
              <w:rPr>
                <w:rFonts w:hint="eastAsia" w:ascii="宋体" w:hAnsi="宋体" w:eastAsia="宋体" w:cs="宋体"/>
                <w:bCs/>
                <w:color w:val="000000"/>
                <w:szCs w:val="21"/>
              </w:rPr>
              <w:t>的得</w:t>
            </w:r>
            <w:r>
              <w:rPr>
                <w:rFonts w:hint="eastAsia" w:ascii="宋体" w:hAnsi="宋体" w:eastAsia="宋体" w:cs="宋体"/>
                <w:bCs/>
                <w:color w:val="000000"/>
                <w:szCs w:val="21"/>
                <w:lang w:val="en-US" w:eastAsia="zh-CN"/>
              </w:rPr>
              <w:t>2</w:t>
            </w:r>
            <w:r>
              <w:rPr>
                <w:rFonts w:hint="eastAsia" w:ascii="宋体" w:hAnsi="宋体" w:eastAsia="宋体" w:cs="宋体"/>
                <w:bCs/>
                <w:color w:val="000000"/>
                <w:szCs w:val="21"/>
              </w:rPr>
              <w:t>-</w:t>
            </w:r>
            <w:r>
              <w:rPr>
                <w:rFonts w:hint="eastAsia" w:ascii="宋体" w:hAnsi="宋体" w:eastAsia="宋体" w:cs="宋体"/>
                <w:bCs/>
                <w:color w:val="000000"/>
                <w:szCs w:val="21"/>
                <w:lang w:val="en-US" w:eastAsia="zh-CN"/>
              </w:rPr>
              <w:t>1</w:t>
            </w:r>
            <w:r>
              <w:rPr>
                <w:rFonts w:hint="eastAsia" w:ascii="宋体" w:hAnsi="宋体" w:eastAsia="宋体" w:cs="宋体"/>
                <w:bCs/>
                <w:color w:val="000000"/>
                <w:szCs w:val="21"/>
              </w:rPr>
              <w:t>分，</w:t>
            </w:r>
            <w:r>
              <w:rPr>
                <w:rFonts w:hint="eastAsia" w:ascii="宋体" w:hAnsi="宋体" w:eastAsia="宋体" w:cs="宋体"/>
                <w:bCs/>
                <w:color w:val="000000"/>
                <w:szCs w:val="21"/>
                <w:lang w:eastAsia="zh-CN"/>
              </w:rPr>
              <w:t>方案偏离本项目采购要求的</w:t>
            </w:r>
            <w:r>
              <w:rPr>
                <w:rFonts w:hint="eastAsia" w:ascii="宋体" w:hAnsi="宋体" w:eastAsia="宋体" w:cs="宋体"/>
                <w:bCs/>
                <w:color w:val="000000"/>
                <w:szCs w:val="21"/>
              </w:rPr>
              <w:t>得1-0分。</w:t>
            </w:r>
          </w:p>
        </w:tc>
        <w:tc>
          <w:tcPr>
            <w:tcW w:w="578" w:type="dxa"/>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720" w:type="dxa"/>
            <w:vMerge w:val="continue"/>
            <w:tcBorders>
              <w:left w:val="double" w:color="auto" w:sz="4" w:space="0"/>
              <w:right w:val="single" w:color="auto" w:sz="4" w:space="0"/>
            </w:tcBorders>
            <w:noWrap w:val="0"/>
            <w:vAlign w:val="center"/>
          </w:tcPr>
          <w:p>
            <w:pPr>
              <w:spacing w:line="360" w:lineRule="exact"/>
              <w:jc w:val="center"/>
              <w:rPr>
                <w:rFonts w:hint="eastAsia" w:ascii="宋体" w:hAnsi="宋体"/>
                <w:color w:val="000000"/>
                <w:szCs w:val="21"/>
              </w:rPr>
            </w:pPr>
          </w:p>
        </w:tc>
        <w:tc>
          <w:tcPr>
            <w:tcW w:w="1155"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szCs w:val="21"/>
              </w:rPr>
            </w:pPr>
            <w:r>
              <w:rPr>
                <w:rFonts w:hint="eastAsia" w:ascii="宋体" w:hAnsi="宋体" w:eastAsia="宋体" w:cs="宋体"/>
                <w:b/>
                <w:color w:val="000000"/>
                <w:szCs w:val="21"/>
              </w:rPr>
              <w:t>设备演示：智慧校园管理平台演示，评标委员会根据供应商对以下各项演示内容的完成情况酌情打分</w:t>
            </w:r>
          </w:p>
        </w:tc>
        <w:tc>
          <w:tcPr>
            <w:tcW w:w="77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Cs w:val="21"/>
              </w:rPr>
            </w:pPr>
            <w:r>
              <w:rPr>
                <w:rFonts w:hint="eastAsia" w:ascii="宋体" w:hAnsi="宋体" w:eastAsia="宋体" w:cs="宋体"/>
                <w:color w:val="000000"/>
                <w:szCs w:val="21"/>
              </w:rPr>
              <w:t>1、演示统一认证管理系统，要求能够实现至少三个核心子系统（演示统一认证管理系统，演示单点登录到选课子系统，演示单点登录到通知公告子系统，演示单点登录到日程计划子系统）的单点登录认证演示,评标委员会根据演示内容的完成情况酌情打分，得1-0分；</w:t>
            </w:r>
          </w:p>
        </w:tc>
        <w:tc>
          <w:tcPr>
            <w:tcW w:w="578" w:type="dxa"/>
            <w:tcBorders>
              <w:top w:val="single" w:color="auto" w:sz="4" w:space="0"/>
              <w:left w:val="single" w:color="auto" w:sz="4" w:space="0"/>
              <w:right w:val="double" w:color="auto" w:sz="4" w:space="0"/>
            </w:tcBorders>
            <w:noWrap w:val="0"/>
            <w:vAlign w:val="center"/>
          </w:tcPr>
          <w:p>
            <w:pPr>
              <w:jc w:val="center"/>
              <w:rPr>
                <w:rFonts w:hint="eastAsia" w:ascii="宋体" w:hAnsi="宋体" w:eastAsia="宋体"/>
                <w:color w:val="000000"/>
                <w:szCs w:val="21"/>
              </w:rPr>
            </w:pPr>
            <w:r>
              <w:rPr>
                <w:rFonts w:hint="eastAsia"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720" w:type="dxa"/>
            <w:vMerge w:val="continue"/>
            <w:tcBorders>
              <w:left w:val="double" w:color="auto" w:sz="4" w:space="0"/>
              <w:right w:val="single" w:color="auto" w:sz="4" w:space="0"/>
            </w:tcBorders>
            <w:noWrap w:val="0"/>
            <w:vAlign w:val="center"/>
          </w:tcPr>
          <w:p>
            <w:pPr>
              <w:rPr>
                <w:color w:val="000000"/>
              </w:rPr>
            </w:pPr>
          </w:p>
        </w:tc>
        <w:tc>
          <w:tcPr>
            <w:tcW w:w="1155" w:type="dxa"/>
            <w:vMerge w:val="continue"/>
            <w:tcBorders>
              <w:left w:val="single" w:color="auto" w:sz="4" w:space="0"/>
              <w:right w:val="single" w:color="auto" w:sz="4" w:space="0"/>
            </w:tcBorders>
            <w:noWrap w:val="0"/>
            <w:vAlign w:val="center"/>
          </w:tcPr>
          <w:p>
            <w:pPr>
              <w:rPr>
                <w:color w:val="000000"/>
                <w:szCs w:val="21"/>
              </w:rPr>
            </w:pPr>
          </w:p>
        </w:tc>
        <w:tc>
          <w:tcPr>
            <w:tcW w:w="77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Cs w:val="21"/>
              </w:rPr>
            </w:pPr>
            <w:r>
              <w:rPr>
                <w:rFonts w:hint="eastAsia" w:ascii="宋体" w:hAnsi="宋体" w:eastAsia="宋体" w:cs="宋体"/>
                <w:color w:val="000000"/>
                <w:szCs w:val="21"/>
              </w:rPr>
              <w:t>2、通过企业微信、微信、QQ扫码登录，同一个账号连续输入密码错误3次后账号自动冻结,评标委员会根据演示内容的完成情况酌情打分，得1-0分；</w:t>
            </w:r>
          </w:p>
        </w:tc>
        <w:tc>
          <w:tcPr>
            <w:tcW w:w="578" w:type="dxa"/>
            <w:tcBorders>
              <w:left w:val="single" w:color="auto" w:sz="4" w:space="0"/>
              <w:bottom w:val="single" w:color="auto" w:sz="4" w:space="0"/>
              <w:right w:val="double" w:color="auto"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720" w:type="dxa"/>
            <w:vMerge w:val="continue"/>
            <w:tcBorders>
              <w:left w:val="double" w:color="auto" w:sz="4" w:space="0"/>
              <w:right w:val="single" w:color="auto" w:sz="4" w:space="0"/>
            </w:tcBorders>
            <w:noWrap w:val="0"/>
            <w:vAlign w:val="center"/>
          </w:tcPr>
          <w:p>
            <w:pPr>
              <w:spacing w:line="360" w:lineRule="exact"/>
              <w:jc w:val="center"/>
              <w:rPr>
                <w:rFonts w:hint="eastAsia" w:ascii="宋体" w:hAnsi="宋体"/>
                <w:color w:val="000000"/>
                <w:szCs w:val="21"/>
              </w:rPr>
            </w:pPr>
          </w:p>
        </w:tc>
        <w:tc>
          <w:tcPr>
            <w:tcW w:w="1155" w:type="dxa"/>
            <w:vMerge w:val="continue"/>
            <w:tcBorders>
              <w:left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szCs w:val="21"/>
              </w:rPr>
            </w:pPr>
          </w:p>
        </w:tc>
        <w:tc>
          <w:tcPr>
            <w:tcW w:w="77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Cs w:val="21"/>
              </w:rPr>
            </w:pPr>
            <w:r>
              <w:rPr>
                <w:rFonts w:hint="eastAsia" w:ascii="宋体" w:hAnsi="宋体" w:eastAsia="宋体" w:cs="宋体"/>
                <w:color w:val="000000"/>
                <w:szCs w:val="21"/>
              </w:rPr>
              <w:t>3、演示教务教学管理系统中的校本选课系统：演示强大的选课规则，至少具备：</w:t>
            </w:r>
            <w:r>
              <w:rPr>
                <w:rFonts w:hint="eastAsia" w:ascii="宋体" w:hAnsi="宋体" w:eastAsia="宋体" w:cs="宋体"/>
                <w:color w:val="000000"/>
                <w:kern w:val="0"/>
                <w:szCs w:val="21"/>
              </w:rPr>
              <w:t>是否开启进阶课程、是否开启长短课、是否开启男女生限制、是否开启年级班级人数限选限制、是否开启学习领域限制、是否开启分批选课、是否开启全学段学习领域限制</w:t>
            </w:r>
            <w:r>
              <w:rPr>
                <w:rFonts w:hint="eastAsia" w:ascii="宋体" w:hAnsi="宋体" w:eastAsia="宋体" w:cs="宋体"/>
                <w:color w:val="000000"/>
                <w:szCs w:val="21"/>
              </w:rPr>
              <w:t>,评标委员会根据演示内容的完成情况酌情打分，被评委优的得7-5分，良的得5-3分，一般的得3-0分</w:t>
            </w:r>
            <w:r>
              <w:rPr>
                <w:rFonts w:hint="eastAsia" w:ascii="宋体" w:hAnsi="宋体" w:eastAsia="宋体" w:cs="宋体"/>
                <w:color w:val="000000"/>
                <w:kern w:val="0"/>
                <w:szCs w:val="21"/>
              </w:rPr>
              <w:t>；</w:t>
            </w:r>
          </w:p>
        </w:tc>
        <w:tc>
          <w:tcPr>
            <w:tcW w:w="578" w:type="dxa"/>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olor w:val="000000"/>
                <w:szCs w:val="21"/>
              </w:rPr>
            </w:pPr>
            <w:r>
              <w:rPr>
                <w:rFonts w:hint="eastAsia" w:ascii="宋体" w:hAnsi="宋体"/>
                <w:color w:val="00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trPr>
        <w:tc>
          <w:tcPr>
            <w:tcW w:w="720" w:type="dxa"/>
            <w:vMerge w:val="continue"/>
            <w:tcBorders>
              <w:left w:val="double" w:color="auto" w:sz="4" w:space="0"/>
              <w:right w:val="single" w:color="auto" w:sz="4" w:space="0"/>
            </w:tcBorders>
            <w:noWrap w:val="0"/>
            <w:vAlign w:val="center"/>
          </w:tcPr>
          <w:p>
            <w:pPr>
              <w:spacing w:line="360" w:lineRule="exact"/>
              <w:jc w:val="center"/>
              <w:rPr>
                <w:rFonts w:hint="eastAsia" w:ascii="宋体" w:hAnsi="宋体"/>
                <w:color w:val="000000"/>
                <w:szCs w:val="21"/>
              </w:rPr>
            </w:pPr>
          </w:p>
        </w:tc>
        <w:tc>
          <w:tcPr>
            <w:tcW w:w="1155" w:type="dxa"/>
            <w:vMerge w:val="continue"/>
            <w:tcBorders>
              <w:left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szCs w:val="21"/>
              </w:rPr>
            </w:pPr>
          </w:p>
        </w:tc>
        <w:tc>
          <w:tcPr>
            <w:tcW w:w="77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Cs w:val="21"/>
              </w:rPr>
            </w:pPr>
            <w:r>
              <w:rPr>
                <w:rFonts w:hint="eastAsia" w:ascii="宋体" w:hAnsi="宋体" w:eastAsia="宋体" w:cs="宋体"/>
                <w:color w:val="000000"/>
                <w:szCs w:val="21"/>
              </w:rPr>
              <w:t>4、演示校园办公OA系统中的通知公告和电子资料室功能：通知公告需要具备未阅读人员提醒功能，并能通过微信公众号和短信提醒两种方式；电子资料室需要具备</w:t>
            </w:r>
            <w:r>
              <w:rPr>
                <w:rFonts w:hint="eastAsia" w:ascii="宋体" w:hAnsi="宋体" w:eastAsia="宋体" w:cs="宋体"/>
                <w:color w:val="000000"/>
                <w:kern w:val="0"/>
                <w:szCs w:val="21"/>
              </w:rPr>
              <w:t>权限分配功能，能按照上传权限、阅读权限、下载权限分别控制；</w:t>
            </w:r>
            <w:r>
              <w:rPr>
                <w:rFonts w:hint="eastAsia" w:ascii="宋体" w:hAnsi="宋体" w:eastAsia="宋体" w:cs="宋体"/>
                <w:color w:val="000000"/>
                <w:szCs w:val="21"/>
              </w:rPr>
              <w:t>评标委员会根据演示内容的完成情况酌情打分，得4-0分</w:t>
            </w:r>
          </w:p>
        </w:tc>
        <w:tc>
          <w:tcPr>
            <w:tcW w:w="578" w:type="dxa"/>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olor w:val="000000"/>
                <w:szCs w:val="21"/>
              </w:rPr>
            </w:pPr>
            <w:r>
              <w:rPr>
                <w:rFonts w:hint="eastAsia" w:ascii="宋体" w:hAnsi="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720" w:type="dxa"/>
            <w:vMerge w:val="continue"/>
            <w:tcBorders>
              <w:left w:val="double" w:color="auto" w:sz="4" w:space="0"/>
              <w:right w:val="single" w:color="auto" w:sz="4" w:space="0"/>
            </w:tcBorders>
            <w:noWrap w:val="0"/>
            <w:vAlign w:val="center"/>
          </w:tcPr>
          <w:p>
            <w:pPr>
              <w:spacing w:line="360" w:lineRule="exact"/>
              <w:jc w:val="center"/>
              <w:rPr>
                <w:rFonts w:hint="eastAsia" w:ascii="宋体" w:hAnsi="宋体"/>
                <w:color w:val="000000"/>
                <w:szCs w:val="21"/>
              </w:rPr>
            </w:pPr>
          </w:p>
        </w:tc>
        <w:tc>
          <w:tcPr>
            <w:tcW w:w="1155" w:type="dxa"/>
            <w:vMerge w:val="continue"/>
            <w:tcBorders>
              <w:left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szCs w:val="21"/>
              </w:rPr>
            </w:pPr>
          </w:p>
        </w:tc>
        <w:tc>
          <w:tcPr>
            <w:tcW w:w="77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Cs w:val="21"/>
              </w:rPr>
            </w:pPr>
            <w:r>
              <w:rPr>
                <w:rFonts w:hint="eastAsia" w:ascii="宋体" w:hAnsi="宋体" w:eastAsia="宋体" w:cs="宋体"/>
                <w:color w:val="000000"/>
                <w:szCs w:val="21"/>
              </w:rPr>
              <w:t>5、演示移动端功能：通过学校微信公众号查询个人日程、部门日程；评标委员会根据演示内容的完成情况酌情打分，得2-0分</w:t>
            </w:r>
          </w:p>
        </w:tc>
        <w:tc>
          <w:tcPr>
            <w:tcW w:w="578"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color w:val="000000"/>
                <w:szCs w:val="21"/>
              </w:rPr>
            </w:pP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56" w:type="dxa"/>
            <w:gridSpan w:val="3"/>
            <w:tcBorders>
              <w:top w:val="single" w:color="auto" w:sz="4" w:space="0"/>
              <w:left w:val="double" w:color="auto" w:sz="4" w:space="0"/>
              <w:bottom w:val="double" w:color="auto" w:sz="4" w:space="0"/>
              <w:right w:val="single" w:color="auto" w:sz="4" w:space="0"/>
            </w:tcBorders>
            <w:noWrap w:val="0"/>
            <w:vAlign w:val="center"/>
          </w:tcPr>
          <w:p>
            <w:pPr>
              <w:spacing w:line="400" w:lineRule="exact"/>
              <w:jc w:val="center"/>
              <w:rPr>
                <w:rFonts w:ascii="宋体" w:hAnsi="宋体"/>
                <w:color w:val="000000"/>
                <w:szCs w:val="21"/>
              </w:rPr>
            </w:pPr>
            <w:r>
              <w:rPr>
                <w:rFonts w:hint="eastAsia" w:ascii="宋体" w:hAnsi="宋体"/>
                <w:b/>
                <w:color w:val="000000"/>
                <w:szCs w:val="21"/>
              </w:rPr>
              <w:t>总分70分</w:t>
            </w:r>
          </w:p>
        </w:tc>
        <w:tc>
          <w:tcPr>
            <w:tcW w:w="578" w:type="dxa"/>
            <w:tcBorders>
              <w:top w:val="single" w:color="auto" w:sz="4" w:space="0"/>
              <w:left w:val="single" w:color="auto" w:sz="4" w:space="0"/>
              <w:bottom w:val="double" w:color="auto" w:sz="4" w:space="0"/>
              <w:right w:val="double" w:color="auto" w:sz="4" w:space="0"/>
            </w:tcBorders>
            <w:noWrap w:val="0"/>
            <w:vAlign w:val="center"/>
          </w:tcPr>
          <w:p>
            <w:pPr>
              <w:spacing w:line="400" w:lineRule="exact"/>
              <w:jc w:val="center"/>
              <w:rPr>
                <w:rFonts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=SUM(ABOVE) </w:instrText>
            </w:r>
            <w:r>
              <w:rPr>
                <w:rFonts w:ascii="宋体" w:hAnsi="宋体"/>
                <w:color w:val="000000"/>
                <w:szCs w:val="21"/>
              </w:rPr>
              <w:fldChar w:fldCharType="separate"/>
            </w:r>
            <w:r>
              <w:rPr>
                <w:rFonts w:hint="eastAsia" w:ascii="宋体" w:hAnsi="宋体"/>
                <w:color w:val="000000"/>
                <w:szCs w:val="21"/>
              </w:rPr>
              <w:t>7</w:t>
            </w:r>
            <w:r>
              <w:rPr>
                <w:rFonts w:ascii="宋体" w:hAnsi="宋体"/>
                <w:color w:val="000000"/>
                <w:szCs w:val="21"/>
              </w:rPr>
              <w:t>0</w:t>
            </w:r>
            <w:r>
              <w:rPr>
                <w:rFonts w:ascii="宋体" w:hAnsi="宋体"/>
                <w:color w:val="000000"/>
                <w:szCs w:val="21"/>
              </w:rPr>
              <w:fldChar w:fldCharType="end"/>
            </w:r>
          </w:p>
        </w:tc>
      </w:tr>
    </w:tbl>
    <w:p>
      <w:pPr>
        <w:rPr>
          <w:rFonts w:hint="eastAsia" w:ascii="宋体" w:hAnsi="宋体" w:cs="宋体"/>
          <w:color w:val="000000"/>
          <w:szCs w:val="21"/>
        </w:rPr>
      </w:pPr>
      <w:r>
        <w:rPr>
          <w:rFonts w:hint="eastAsia" w:ascii="宋体" w:hAnsi="宋体" w:cs="宋体"/>
          <w:color w:val="000000"/>
          <w:szCs w:val="21"/>
        </w:rPr>
        <w:t>注：1、各评委成员自行按以上参考分值评分，小数点后保留一位数。</w:t>
      </w:r>
    </w:p>
    <w:p>
      <w:pPr>
        <w:ind w:left="420" w:leftChars="200"/>
        <w:rPr>
          <w:rFonts w:hint="eastAsia" w:ascii="宋体" w:hAnsi="宋体" w:cs="宋体"/>
          <w:color w:val="000000"/>
          <w:szCs w:val="21"/>
        </w:rPr>
      </w:pPr>
      <w:r>
        <w:rPr>
          <w:rFonts w:hint="eastAsia" w:ascii="宋体" w:hAnsi="宋体" w:cs="宋体"/>
          <w:color w:val="000000"/>
          <w:szCs w:val="21"/>
        </w:rPr>
        <w:t>2、以上分值重复的地方，下限不含，上限含。</w:t>
      </w:r>
    </w:p>
    <w:p>
      <w:pPr>
        <w:ind w:left="420" w:leftChars="200"/>
        <w:rPr>
          <w:rFonts w:hint="eastAsia" w:ascii="宋体" w:hAnsi="宋体" w:cs="宋体"/>
          <w:color w:val="000000"/>
          <w:szCs w:val="21"/>
        </w:rPr>
      </w:pPr>
      <w:r>
        <w:rPr>
          <w:rFonts w:hint="eastAsia" w:ascii="宋体" w:hAnsi="宋体" w:cs="宋体"/>
          <w:color w:val="000000"/>
          <w:szCs w:val="21"/>
        </w:rPr>
        <w:t>3、评委需查询原件的，供应商未携带原件备查或原件与复印件不一致的，均不得分。</w:t>
      </w:r>
    </w:p>
    <w:p>
      <w:pPr>
        <w:rPr>
          <w:rFonts w:hint="eastAsia" w:ascii="宋体" w:hAnsi="宋体" w:cs="宋体"/>
          <w:color w:val="000000"/>
          <w:szCs w:val="21"/>
        </w:rPr>
      </w:pPr>
      <w:r>
        <w:rPr>
          <w:rFonts w:hint="eastAsia" w:ascii="宋体" w:hAnsi="宋体" w:cs="宋体"/>
          <w:color w:val="000000"/>
          <w:szCs w:val="21"/>
        </w:rPr>
        <w:t xml:space="preserve">评委签名：                                                          </w:t>
      </w:r>
    </w:p>
    <w:p>
      <w:pPr>
        <w:rPr>
          <w:rFonts w:hint="eastAsia" w:ascii="宋体" w:hAnsi="宋体" w:cs="宋体"/>
          <w:color w:val="000000"/>
          <w:szCs w:val="21"/>
        </w:rPr>
      </w:pPr>
      <w:r>
        <w:rPr>
          <w:rFonts w:hint="eastAsia" w:ascii="宋体" w:hAnsi="宋体" w:cs="宋体"/>
          <w:color w:val="000000"/>
          <w:szCs w:val="21"/>
        </w:rPr>
        <w:t xml:space="preserve">            </w:t>
      </w:r>
    </w:p>
    <w:p>
      <w:pPr>
        <w:jc w:val="right"/>
        <w:rPr>
          <w:rFonts w:hint="eastAsia" w:ascii="宋体" w:hAnsi="宋体" w:cs="宋体"/>
          <w:color w:val="000000"/>
          <w:sz w:val="28"/>
          <w:szCs w:val="28"/>
        </w:rPr>
      </w:pPr>
      <w:r>
        <w:rPr>
          <w:rFonts w:hint="eastAsia" w:ascii="宋体" w:hAnsi="宋体" w:cs="宋体"/>
          <w:color w:val="000000"/>
          <w:szCs w:val="21"/>
        </w:rPr>
        <w:t xml:space="preserve"> 年  月   日  </w:t>
      </w:r>
    </w:p>
    <w:p>
      <w:pPr>
        <w:widowControl/>
        <w:spacing w:line="340" w:lineRule="exact"/>
        <w:rPr>
          <w:rFonts w:hint="eastAsia" w:ascii="宋体" w:hAnsi="宋体" w:cs="宋体"/>
          <w:color w:val="000000"/>
          <w:szCs w:val="21"/>
        </w:rPr>
      </w:pPr>
    </w:p>
    <w:p>
      <w:pPr>
        <w:widowControl/>
        <w:spacing w:line="340" w:lineRule="exact"/>
        <w:rPr>
          <w:rFonts w:hint="eastAsia" w:ascii="宋体" w:hAnsi="宋体" w:cs="宋体"/>
          <w:color w:val="000000"/>
          <w:szCs w:val="21"/>
        </w:rPr>
      </w:pPr>
    </w:p>
    <w:p>
      <w:pPr>
        <w:pStyle w:val="2"/>
        <w:rPr>
          <w:rFonts w:hint="eastAsia" w:ascii="宋体" w:hAnsi="宋体" w:cs="宋体"/>
          <w:color w:val="000000"/>
          <w:szCs w:val="21"/>
        </w:rPr>
      </w:pPr>
    </w:p>
    <w:p>
      <w:pPr>
        <w:pStyle w:val="2"/>
        <w:rPr>
          <w:rFonts w:hint="eastAsia" w:ascii="宋体" w:hAnsi="宋体" w:cs="宋体"/>
          <w:color w:val="000000"/>
          <w:szCs w:val="21"/>
        </w:rPr>
      </w:pPr>
    </w:p>
    <w:p>
      <w:pPr>
        <w:pStyle w:val="2"/>
        <w:rPr>
          <w:rFonts w:hint="eastAsia" w:ascii="宋体" w:hAnsi="宋体" w:cs="宋体"/>
          <w:color w:val="000000"/>
          <w:szCs w:val="21"/>
        </w:rPr>
      </w:pPr>
    </w:p>
    <w:p>
      <w:pPr>
        <w:pStyle w:val="2"/>
        <w:rPr>
          <w:rFonts w:hint="eastAsia" w:ascii="宋体" w:hAnsi="宋体" w:cs="宋体"/>
          <w:color w:val="000000"/>
          <w:szCs w:val="21"/>
        </w:rPr>
      </w:pPr>
    </w:p>
    <w:p>
      <w:pPr>
        <w:pStyle w:val="2"/>
        <w:rPr>
          <w:rFonts w:hint="eastAsia" w:ascii="宋体" w:hAnsi="宋体" w:cs="宋体"/>
          <w:color w:val="000000"/>
          <w:szCs w:val="21"/>
        </w:rPr>
      </w:pPr>
    </w:p>
    <w:p>
      <w:pPr>
        <w:pStyle w:val="2"/>
        <w:rPr>
          <w:rFonts w:hint="eastAsia" w:ascii="宋体" w:hAnsi="宋体" w:cs="宋体"/>
          <w:color w:val="000000"/>
          <w:szCs w:val="21"/>
        </w:rPr>
      </w:pPr>
    </w:p>
    <w:p>
      <w:pPr>
        <w:spacing w:line="360" w:lineRule="auto"/>
        <w:jc w:val="center"/>
        <w:rPr>
          <w:rFonts w:hint="eastAsia" w:ascii="宋体" w:hAnsi="宋体" w:cs="宋体"/>
          <w:b/>
          <w:color w:val="000000"/>
          <w:sz w:val="24"/>
        </w:rPr>
      </w:pPr>
      <w:r>
        <w:rPr>
          <w:rFonts w:hint="eastAsia" w:ascii="宋体" w:hAnsi="宋体" w:cs="宋体"/>
          <w:b/>
          <w:color w:val="000000"/>
          <w:sz w:val="24"/>
        </w:rPr>
        <w:t>子包二商务技术评分标准（兼评委打分表）</w:t>
      </w:r>
    </w:p>
    <w:tbl>
      <w:tblPr>
        <w:tblStyle w:val="47"/>
        <w:tblW w:w="10234"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55"/>
        <w:gridCol w:w="7781"/>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blHeader/>
        </w:trPr>
        <w:tc>
          <w:tcPr>
            <w:tcW w:w="9656" w:type="dxa"/>
            <w:gridSpan w:val="3"/>
            <w:tcBorders>
              <w:top w:val="double" w:color="auto" w:sz="4" w:space="0"/>
              <w:left w:val="double" w:color="auto" w:sz="4" w:space="0"/>
              <w:bottom w:val="single" w:color="auto" w:sz="4" w:space="0"/>
              <w:right w:val="single" w:color="auto" w:sz="4" w:space="0"/>
              <w:tl2br w:val="single" w:color="000000" w:sz="4" w:space="0"/>
            </w:tcBorders>
            <w:noWrap w:val="0"/>
            <w:vAlign w:val="top"/>
          </w:tcPr>
          <w:p>
            <w:pPr>
              <w:ind w:right="420"/>
              <w:jc w:val="right"/>
              <w:rPr>
                <w:rFonts w:ascii="宋体" w:hAnsi="宋体"/>
                <w:color w:val="000000"/>
                <w:szCs w:val="21"/>
              </w:rPr>
            </w:pPr>
            <w:r>
              <w:rPr>
                <w:rFonts w:hint="eastAsia" w:ascii="宋体" w:hAnsi="宋体"/>
                <w:color w:val="000000"/>
                <w:szCs w:val="21"/>
              </w:rPr>
              <w:t>供应商</w:t>
            </w:r>
          </w:p>
          <w:p>
            <w:pPr>
              <w:ind w:firstLine="945" w:firstLineChars="450"/>
              <w:rPr>
                <w:rFonts w:ascii="宋体" w:hAnsi="宋体"/>
                <w:color w:val="000000"/>
                <w:szCs w:val="21"/>
                <w:lang w:val="ru-RU"/>
              </w:rPr>
            </w:pPr>
            <w:r>
              <w:rPr>
                <w:rFonts w:hint="eastAsia" w:ascii="宋体" w:hAnsi="宋体"/>
                <w:color w:val="000000"/>
                <w:szCs w:val="21"/>
              </w:rPr>
              <w:t>分值</w:t>
            </w:r>
          </w:p>
        </w:tc>
        <w:tc>
          <w:tcPr>
            <w:tcW w:w="578" w:type="dxa"/>
            <w:tcBorders>
              <w:top w:val="double" w:color="auto" w:sz="4" w:space="0"/>
              <w:left w:val="single" w:color="auto" w:sz="4" w:space="0"/>
              <w:bottom w:val="single" w:color="auto" w:sz="4" w:space="0"/>
              <w:right w:val="double" w:color="auto" w:sz="4" w:space="0"/>
            </w:tcBorders>
            <w:noWrap w:val="0"/>
            <w:vAlign w:val="center"/>
          </w:tcPr>
          <w:p>
            <w:pPr>
              <w:spacing w:line="400" w:lineRule="exact"/>
              <w:jc w:val="center"/>
              <w:rPr>
                <w:rFonts w:ascii="宋体" w:hAnsi="宋体"/>
                <w:color w:val="000000"/>
                <w:szCs w:val="21"/>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20" w:type="dxa"/>
            <w:vMerge w:val="restart"/>
            <w:tcBorders>
              <w:top w:val="single" w:color="auto" w:sz="4" w:space="0"/>
              <w:left w:val="double" w:color="auto" w:sz="4" w:space="0"/>
              <w:right w:val="single" w:color="auto" w:sz="4" w:space="0"/>
            </w:tcBorders>
            <w:noWrap w:val="0"/>
            <w:vAlign w:val="center"/>
          </w:tcPr>
          <w:p>
            <w:pPr>
              <w:spacing w:line="400" w:lineRule="exact"/>
              <w:jc w:val="center"/>
              <w:rPr>
                <w:rFonts w:hint="eastAsia" w:ascii="宋体" w:hAnsi="宋体"/>
                <w:b/>
                <w:color w:val="000000"/>
                <w:szCs w:val="21"/>
              </w:rPr>
            </w:pPr>
            <w:r>
              <w:rPr>
                <w:rFonts w:hint="eastAsia" w:ascii="宋体" w:hAnsi="宋体"/>
                <w:b/>
                <w:color w:val="000000"/>
                <w:szCs w:val="21"/>
              </w:rPr>
              <w:t>商务技术分</w:t>
            </w:r>
          </w:p>
          <w:p>
            <w:pPr>
              <w:spacing w:line="360" w:lineRule="exact"/>
              <w:jc w:val="center"/>
              <w:rPr>
                <w:rFonts w:hint="eastAsia" w:ascii="宋体" w:hAnsi="宋体"/>
                <w:color w:val="000000"/>
                <w:szCs w:val="21"/>
              </w:rPr>
            </w:pPr>
            <w:r>
              <w:rPr>
                <w:rFonts w:hint="eastAsia" w:ascii="宋体" w:hAnsi="宋体"/>
                <w:b/>
                <w:color w:val="000000"/>
                <w:szCs w:val="21"/>
              </w:rPr>
              <w:t>70分</w:t>
            </w:r>
          </w:p>
        </w:tc>
        <w:tc>
          <w:tcPr>
            <w:tcW w:w="893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000000"/>
                <w:szCs w:val="21"/>
              </w:rPr>
            </w:pPr>
            <w:r>
              <w:rPr>
                <w:rFonts w:hint="eastAsia" w:ascii="宋体" w:hAnsi="宋体" w:eastAsia="宋体" w:cs="宋体"/>
                <w:bCs/>
                <w:color w:val="000000"/>
                <w:szCs w:val="21"/>
              </w:rPr>
              <w:t>产品业绩：</w:t>
            </w:r>
            <w:r>
              <w:rPr>
                <w:rFonts w:hint="eastAsia" w:ascii="宋体" w:hAnsi="宋体" w:eastAsia="宋体" w:cs="宋体"/>
                <w:bCs/>
                <w:color w:val="000000"/>
                <w:szCs w:val="21"/>
                <w:lang w:bidi="ar"/>
              </w:rPr>
              <w:t>供应商自2017年1月1日（含）（中标通知书及合同均需满足）起至今承接过类似</w:t>
            </w:r>
            <w:r>
              <w:rPr>
                <w:rFonts w:hint="eastAsia" w:ascii="宋体" w:hAnsi="宋体" w:eastAsia="宋体" w:cs="宋体"/>
                <w:bCs/>
                <w:color w:val="000000"/>
                <w:szCs w:val="21"/>
                <w:u w:val="single"/>
                <w:lang w:bidi="ar"/>
              </w:rPr>
              <w:t>教育类系统集成项目</w:t>
            </w:r>
            <w:r>
              <w:rPr>
                <w:rFonts w:hint="eastAsia" w:ascii="宋体" w:hAnsi="宋体" w:eastAsia="宋体" w:cs="宋体"/>
                <w:bCs/>
                <w:color w:val="000000"/>
                <w:szCs w:val="21"/>
                <w:lang w:bidi="ar"/>
              </w:rPr>
              <w:t>的，每提供一个合同得1分，最高得2分（投标文件中同时提供中标通知书和合同复印件加盖供应商公章，中标通知书、采购合同原件于投标截止时间前递交，未按要求提供原件或原件与复印件不一致的不得分）。</w:t>
            </w:r>
          </w:p>
        </w:tc>
        <w:tc>
          <w:tcPr>
            <w:tcW w:w="578" w:type="dxa"/>
            <w:tcBorders>
              <w:top w:val="single" w:color="auto" w:sz="4" w:space="0"/>
              <w:left w:val="single" w:color="auto" w:sz="4" w:space="0"/>
              <w:bottom w:val="single" w:color="auto" w:sz="4" w:space="0"/>
              <w:right w:val="double" w:color="auto" w:sz="4" w:space="0"/>
            </w:tcBorders>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20" w:type="dxa"/>
            <w:vMerge w:val="continue"/>
            <w:tcBorders>
              <w:left w:val="double" w:color="auto" w:sz="4" w:space="0"/>
              <w:right w:val="single" w:color="auto" w:sz="4" w:space="0"/>
            </w:tcBorders>
            <w:noWrap w:val="0"/>
            <w:vAlign w:val="center"/>
          </w:tcPr>
          <w:p>
            <w:pPr>
              <w:spacing w:line="360" w:lineRule="exact"/>
              <w:jc w:val="center"/>
              <w:rPr>
                <w:rFonts w:hint="eastAsia" w:ascii="宋体" w:hAnsi="宋体"/>
                <w:color w:val="000000"/>
                <w:szCs w:val="21"/>
              </w:rPr>
            </w:pPr>
          </w:p>
        </w:tc>
        <w:tc>
          <w:tcPr>
            <w:tcW w:w="893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000000"/>
                <w:szCs w:val="21"/>
              </w:rPr>
            </w:pPr>
            <w:r>
              <w:rPr>
                <w:rFonts w:hint="eastAsia" w:ascii="宋体" w:hAnsi="宋体" w:eastAsia="宋体" w:cs="宋体"/>
                <w:bCs/>
                <w:color w:val="000000"/>
                <w:szCs w:val="21"/>
              </w:rPr>
              <w:t>项目实施人员情况：</w:t>
            </w:r>
            <w:r>
              <w:rPr>
                <w:rFonts w:hint="eastAsia" w:ascii="宋体" w:hAnsi="宋体" w:eastAsia="宋体" w:cs="宋体"/>
                <w:color w:val="000000"/>
                <w:szCs w:val="21"/>
                <w:lang w:bidi="ar"/>
              </w:rPr>
              <w:t>供应商拟派的项目经理具有智能化系统集成项目经理证书的得2分（投标文件中提供人员证书复印件并加盖公章以及社保部门出具的由供应商为其缴纳的</w:t>
            </w:r>
            <w:r>
              <w:rPr>
                <w:rFonts w:hint="eastAsia" w:ascii="宋体" w:hAnsi="宋体" w:eastAsia="宋体" w:cs="宋体"/>
                <w:color w:val="000000"/>
                <w:szCs w:val="21"/>
                <w:lang w:eastAsia="zh-CN" w:bidi="ar"/>
              </w:rPr>
              <w:t>2019年11月-2020年4月内</w:t>
            </w:r>
            <w:r>
              <w:rPr>
                <w:rFonts w:hint="eastAsia" w:ascii="宋体" w:hAnsi="宋体" w:eastAsia="宋体" w:cs="宋体"/>
                <w:color w:val="000000"/>
                <w:szCs w:val="21"/>
                <w:lang w:bidi="ar"/>
              </w:rPr>
              <w:t>任意连续3个月的社保缴纳证明材料复印件加盖公章，</w:t>
            </w:r>
            <w:r>
              <w:rPr>
                <w:rFonts w:hint="eastAsia" w:ascii="宋体" w:hAnsi="宋体" w:eastAsia="宋体" w:cs="宋体"/>
                <w:bCs/>
                <w:color w:val="000000"/>
                <w:szCs w:val="21"/>
                <w:lang w:bidi="ar"/>
              </w:rPr>
              <w:t>投标截止时间前提供相应原件，未按要求提供原件或原件与复印件不一致的不得分</w:t>
            </w:r>
            <w:r>
              <w:rPr>
                <w:rFonts w:hint="eastAsia" w:ascii="宋体" w:hAnsi="宋体" w:eastAsia="宋体" w:cs="宋体"/>
                <w:color w:val="000000"/>
                <w:szCs w:val="21"/>
                <w:lang w:bidi="ar"/>
              </w:rPr>
              <w:t>）</w:t>
            </w:r>
          </w:p>
        </w:tc>
        <w:tc>
          <w:tcPr>
            <w:tcW w:w="578" w:type="dxa"/>
            <w:tcBorders>
              <w:top w:val="single" w:color="auto" w:sz="4" w:space="0"/>
              <w:left w:val="single" w:color="auto" w:sz="4" w:space="0"/>
              <w:bottom w:val="single" w:color="auto" w:sz="4" w:space="0"/>
              <w:right w:val="double" w:color="auto" w:sz="4" w:space="0"/>
            </w:tcBorders>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20" w:type="dxa"/>
            <w:vMerge w:val="continue"/>
            <w:tcBorders>
              <w:left w:val="double" w:color="auto" w:sz="4" w:space="0"/>
              <w:right w:val="single" w:color="auto" w:sz="4" w:space="0"/>
            </w:tcBorders>
            <w:noWrap w:val="0"/>
            <w:vAlign w:val="center"/>
          </w:tcPr>
          <w:p>
            <w:pPr>
              <w:spacing w:line="360" w:lineRule="exact"/>
              <w:jc w:val="center"/>
              <w:rPr>
                <w:rFonts w:hint="eastAsia" w:ascii="宋体" w:hAnsi="宋体"/>
                <w:color w:val="000000"/>
                <w:szCs w:val="21"/>
              </w:rPr>
            </w:pPr>
          </w:p>
        </w:tc>
        <w:tc>
          <w:tcPr>
            <w:tcW w:w="893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color w:val="000000"/>
                <w:szCs w:val="21"/>
              </w:rPr>
            </w:pPr>
            <w:r>
              <w:rPr>
                <w:rFonts w:hint="eastAsia" w:ascii="宋体" w:hAnsi="宋体" w:eastAsia="宋体" w:cs="宋体"/>
                <w:bCs/>
                <w:color w:val="000000"/>
                <w:szCs w:val="21"/>
              </w:rPr>
              <w:t>政策性因素加分（1分）：</w:t>
            </w:r>
            <w:r>
              <w:rPr>
                <w:rFonts w:hint="eastAsia" w:ascii="宋体" w:hAnsi="宋体" w:eastAsia="宋体" w:cs="宋体"/>
                <w:color w:val="000000"/>
                <w:szCs w:val="21"/>
              </w:rPr>
              <w:t>投标产品为节能产品，提供有效期内节能产品认证证书的加0.5分；</w:t>
            </w:r>
          </w:p>
          <w:p>
            <w:pPr>
              <w:spacing w:line="280" w:lineRule="exact"/>
              <w:rPr>
                <w:rFonts w:hint="eastAsia" w:ascii="宋体" w:hAnsi="宋体" w:eastAsia="宋体" w:cs="宋体"/>
                <w:color w:val="000000"/>
                <w:szCs w:val="21"/>
              </w:rPr>
            </w:pPr>
            <w:r>
              <w:rPr>
                <w:rFonts w:hint="eastAsia" w:ascii="宋体" w:hAnsi="宋体" w:eastAsia="宋体" w:cs="宋体"/>
                <w:color w:val="000000"/>
                <w:szCs w:val="21"/>
              </w:rPr>
              <w:t>投标产品为环境标志产品，提供有效期内环境标志产品认证证书的加0.5分。（提供上述有效证书复印件加盖供应商公章）</w:t>
            </w:r>
          </w:p>
        </w:tc>
        <w:tc>
          <w:tcPr>
            <w:tcW w:w="578" w:type="dxa"/>
            <w:tcBorders>
              <w:top w:val="single" w:color="auto" w:sz="4" w:space="0"/>
              <w:left w:val="single" w:color="auto" w:sz="4" w:space="0"/>
              <w:bottom w:val="single" w:color="auto" w:sz="4" w:space="0"/>
              <w:right w:val="double" w:color="auto" w:sz="4" w:space="0"/>
            </w:tcBorders>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20" w:type="dxa"/>
            <w:vMerge w:val="continue"/>
            <w:tcBorders>
              <w:left w:val="double" w:color="auto" w:sz="4" w:space="0"/>
              <w:right w:val="single" w:color="auto" w:sz="4" w:space="0"/>
            </w:tcBorders>
            <w:noWrap w:val="0"/>
            <w:vAlign w:val="center"/>
          </w:tcPr>
          <w:p>
            <w:pPr>
              <w:spacing w:line="360" w:lineRule="exact"/>
              <w:jc w:val="center"/>
              <w:rPr>
                <w:rFonts w:hint="eastAsia" w:ascii="宋体" w:hAnsi="宋体"/>
                <w:color w:val="000000"/>
                <w:szCs w:val="21"/>
              </w:rPr>
            </w:pPr>
          </w:p>
        </w:tc>
        <w:tc>
          <w:tcPr>
            <w:tcW w:w="893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color w:val="000000"/>
              </w:rPr>
            </w:pPr>
            <w:r>
              <w:rPr>
                <w:rFonts w:hint="eastAsia"/>
                <w:color w:val="000000"/>
              </w:rPr>
              <w:t>供应商提供所投软硬件要求的相关证明资料，本</w:t>
            </w:r>
            <w:r>
              <w:rPr>
                <w:rFonts w:hint="eastAsia" w:ascii="宋体" w:hAnsi="宋体" w:eastAsia="宋体" w:cs="宋体"/>
                <w:color w:val="000000"/>
              </w:rPr>
              <w:t>项满分13分：</w:t>
            </w:r>
          </w:p>
          <w:p>
            <w:pPr>
              <w:spacing w:line="280" w:lineRule="exact"/>
              <w:rPr>
                <w:rFonts w:hint="eastAsia" w:ascii="宋体" w:hAnsi="宋体" w:eastAsia="宋体" w:cs="宋体"/>
                <w:color w:val="000000"/>
                <w:szCs w:val="21"/>
              </w:rPr>
            </w:pPr>
            <w:r>
              <w:rPr>
                <w:rFonts w:hint="eastAsia" w:ascii="宋体" w:hAnsi="宋体" w:eastAsia="宋体" w:cs="宋体"/>
                <w:color w:val="000000"/>
                <w:szCs w:val="21"/>
              </w:rPr>
              <w:t>1、供应商所投照明智控终端具有以下扩展功能且能提供所投产品通过</w:t>
            </w:r>
            <w:r>
              <w:rPr>
                <w:rFonts w:hint="eastAsia" w:ascii="宋体" w:hAnsi="宋体" w:eastAsia="宋体" w:cs="宋体"/>
                <w:color w:val="000000"/>
                <w:kern w:val="0"/>
                <w:szCs w:val="21"/>
              </w:rPr>
              <w:t>省级及以上</w:t>
            </w:r>
            <w:r>
              <w:rPr>
                <w:rFonts w:ascii="宋体" w:hAnsi="宋体" w:eastAsia="宋体" w:cs="宋体"/>
                <w:color w:val="000000"/>
                <w:kern w:val="0"/>
                <w:szCs w:val="21"/>
              </w:rPr>
              <w:t>具有电器安全质量监督检验</w:t>
            </w:r>
            <w:r>
              <w:rPr>
                <w:rFonts w:hint="eastAsia" w:ascii="宋体" w:hAnsi="宋体" w:eastAsia="宋体" w:cs="宋体"/>
                <w:color w:val="000000"/>
                <w:kern w:val="0"/>
                <w:szCs w:val="21"/>
              </w:rPr>
              <w:t>资质的检测机构</w:t>
            </w:r>
            <w:r>
              <w:rPr>
                <w:rFonts w:hint="eastAsia" w:ascii="宋体" w:hAnsi="宋体" w:eastAsia="宋体" w:cs="宋体"/>
                <w:color w:val="000000"/>
                <w:szCs w:val="21"/>
              </w:rPr>
              <w:t xml:space="preserve">出具的质量检验认证合格的检测报告证明的，每满足一项得2分，最高得8分： </w:t>
            </w:r>
          </w:p>
          <w:p>
            <w:pPr>
              <w:spacing w:line="280" w:lineRule="exact"/>
              <w:rPr>
                <w:rFonts w:hint="eastAsia" w:ascii="宋体" w:hAnsi="宋体" w:eastAsia="宋体" w:cs="宋体"/>
                <w:color w:val="000000"/>
                <w:szCs w:val="21"/>
              </w:rPr>
            </w:pPr>
            <w:r>
              <w:rPr>
                <w:rFonts w:hint="eastAsia" w:ascii="宋体" w:hAnsi="宋体" w:eastAsia="宋体" w:cs="宋体"/>
                <w:color w:val="000000"/>
                <w:szCs w:val="21"/>
              </w:rPr>
              <w:t>1.1满足至少四路继电器开关，每路最大负载不小于400W，负载电压最大250VAC；</w:t>
            </w:r>
          </w:p>
          <w:p>
            <w:pPr>
              <w:spacing w:line="280" w:lineRule="exact"/>
              <w:rPr>
                <w:rFonts w:hint="eastAsia" w:ascii="宋体" w:hAnsi="宋体" w:eastAsia="宋体" w:cs="宋体"/>
                <w:color w:val="000000"/>
                <w:szCs w:val="21"/>
              </w:rPr>
            </w:pPr>
            <w:r>
              <w:rPr>
                <w:rFonts w:hint="eastAsia" w:ascii="宋体" w:hAnsi="宋体" w:eastAsia="宋体" w:cs="宋体"/>
                <w:color w:val="000000"/>
                <w:szCs w:val="21"/>
              </w:rPr>
              <w:t>1.2满足支持Zigbee无线通讯、支持MESH自组网；满足支持平台远程控制功能，如开和关；满1.3满足支持移动设备（手机）设备APP控制，如开和关；</w:t>
            </w:r>
          </w:p>
          <w:p>
            <w:pPr>
              <w:spacing w:line="280" w:lineRule="exact"/>
              <w:rPr>
                <w:rFonts w:hint="eastAsia" w:ascii="宋体" w:hAnsi="宋体" w:eastAsia="宋体" w:cs="宋体"/>
                <w:color w:val="000000"/>
                <w:szCs w:val="21"/>
              </w:rPr>
            </w:pPr>
            <w:r>
              <w:rPr>
                <w:rFonts w:hint="eastAsia" w:ascii="宋体" w:hAnsi="宋体" w:eastAsia="宋体" w:cs="宋体"/>
                <w:color w:val="000000"/>
                <w:szCs w:val="21"/>
              </w:rPr>
              <w:t>1.4满足支持4路照明设备控制，每一路照明设备可独立控制，满足分区照明的需求。</w:t>
            </w:r>
          </w:p>
          <w:p>
            <w:pPr>
              <w:spacing w:line="280" w:lineRule="exact"/>
              <w:rPr>
                <w:rFonts w:hint="eastAsia"/>
                <w:color w:val="000000"/>
              </w:rPr>
            </w:pPr>
            <w:r>
              <w:rPr>
                <w:rFonts w:hint="eastAsia" w:ascii="宋体" w:hAnsi="宋体" w:eastAsia="宋体" w:cs="宋体"/>
                <w:color w:val="000000"/>
                <w:szCs w:val="21"/>
              </w:rPr>
              <w:t>2、供应商提供的防火墙支持缓存安卓和iOS文件，文件形式不限于视频、APP、文本文件等，并支持自学习性缓存，设备可自动缓存特定服务器的所有终端应用的，得5分（提供相关功能证明材料</w:t>
            </w:r>
            <w:r>
              <w:rPr>
                <w:rFonts w:hint="eastAsia" w:ascii="宋体" w:hAnsi="宋体" w:eastAsia="宋体" w:cs="宋体"/>
                <w:color w:val="000000"/>
                <w:szCs w:val="21"/>
                <w:lang w:val="zh-CN"/>
              </w:rPr>
              <w:t>加盖供应商公章，否则不得分</w:t>
            </w:r>
            <w:r>
              <w:rPr>
                <w:rFonts w:hint="eastAsia" w:ascii="宋体" w:hAnsi="宋体" w:eastAsia="宋体" w:cs="宋体"/>
                <w:color w:val="000000"/>
                <w:szCs w:val="21"/>
              </w:rPr>
              <w:t>）</w:t>
            </w:r>
          </w:p>
        </w:tc>
        <w:tc>
          <w:tcPr>
            <w:tcW w:w="578"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hAnsi="宋体" w:eastAsia="宋体" w:cs="宋体"/>
                <w:color w:val="000000"/>
                <w:szCs w:val="21"/>
              </w:rPr>
            </w:pPr>
            <w:r>
              <w:rPr>
                <w:rFonts w:hint="eastAsia" w:ascii="宋体" w:hAnsi="宋体" w:eastAsia="宋体" w:cs="宋体"/>
                <w:color w:val="00000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20" w:type="dxa"/>
            <w:vMerge w:val="continue"/>
            <w:tcBorders>
              <w:left w:val="double" w:color="auto" w:sz="4" w:space="0"/>
              <w:right w:val="single" w:color="auto" w:sz="4" w:space="0"/>
            </w:tcBorders>
            <w:noWrap w:val="0"/>
            <w:vAlign w:val="center"/>
          </w:tcPr>
          <w:p>
            <w:pPr>
              <w:spacing w:line="360" w:lineRule="exact"/>
              <w:jc w:val="center"/>
              <w:rPr>
                <w:rFonts w:hint="eastAsia" w:ascii="宋体" w:hAnsi="宋体"/>
                <w:color w:val="000000"/>
                <w:szCs w:val="21"/>
              </w:rPr>
            </w:pPr>
          </w:p>
        </w:tc>
        <w:tc>
          <w:tcPr>
            <w:tcW w:w="893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color w:val="000000"/>
                <w:szCs w:val="21"/>
              </w:rPr>
            </w:pPr>
            <w:r>
              <w:rPr>
                <w:rFonts w:hint="eastAsia" w:ascii="宋体" w:hAnsi="宋体" w:eastAsia="宋体" w:cs="宋体"/>
                <w:b/>
                <w:color w:val="000000"/>
                <w:szCs w:val="21"/>
              </w:rPr>
              <w:t>技术参数响应情况：</w:t>
            </w:r>
            <w:r>
              <w:rPr>
                <w:rFonts w:hint="eastAsia" w:ascii="宋体" w:hAnsi="宋体" w:eastAsia="宋体" w:cs="宋体"/>
                <w:color w:val="000000"/>
                <w:szCs w:val="21"/>
                <w:lang w:bidi="ar"/>
              </w:rPr>
              <w:t>评委根据供应商所提供的产品技术参数响应情况进行评审，产品技术参数和功能完全符合 “主要设备技术指标”的得满分2</w:t>
            </w:r>
            <w:r>
              <w:rPr>
                <w:rFonts w:hint="eastAsia" w:ascii="宋体" w:hAnsi="宋体" w:eastAsia="宋体" w:cs="宋体"/>
                <w:color w:val="000000"/>
                <w:szCs w:val="21"/>
                <w:lang w:val="en-US" w:eastAsia="zh-CN" w:bidi="ar"/>
              </w:rPr>
              <w:t>2</w:t>
            </w:r>
            <w:r>
              <w:rPr>
                <w:rFonts w:hint="eastAsia" w:ascii="宋体" w:hAnsi="宋体" w:eastAsia="宋体" w:cs="宋体"/>
                <w:color w:val="000000"/>
                <w:szCs w:val="21"/>
                <w:lang w:bidi="ar"/>
              </w:rPr>
              <w:t>分。其中对于“★”条款的负偏离，每负偏离一条扣1</w:t>
            </w:r>
            <w:r>
              <w:rPr>
                <w:rFonts w:hint="eastAsia" w:ascii="宋体" w:hAnsi="宋体" w:eastAsia="宋体" w:cs="宋体"/>
                <w:color w:val="000000"/>
                <w:szCs w:val="21"/>
                <w:lang w:val="en-US" w:eastAsia="zh-CN" w:bidi="ar"/>
              </w:rPr>
              <w:t>.5</w:t>
            </w:r>
            <w:r>
              <w:rPr>
                <w:rFonts w:hint="eastAsia" w:ascii="宋体" w:hAnsi="宋体" w:eastAsia="宋体" w:cs="宋体"/>
                <w:color w:val="000000"/>
                <w:szCs w:val="21"/>
                <w:lang w:bidi="ar"/>
              </w:rPr>
              <w:t>分,其余条款每负偏离一条扣0.5分.本项最多22分扣完为止。注：“项目需求”中需要提供的资料却未提供的，视为负偏离，按本项评分标准进行扣分。如有弄虚作假或者故意修改实际参数来进行投标，一经发现将被视为无效标。</w:t>
            </w:r>
          </w:p>
        </w:tc>
        <w:tc>
          <w:tcPr>
            <w:tcW w:w="578" w:type="dxa"/>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20" w:type="dxa"/>
            <w:vMerge w:val="continue"/>
            <w:tcBorders>
              <w:left w:val="double" w:color="auto" w:sz="4" w:space="0"/>
              <w:right w:val="single" w:color="auto" w:sz="4" w:space="0"/>
            </w:tcBorders>
            <w:noWrap w:val="0"/>
            <w:vAlign w:val="center"/>
          </w:tcPr>
          <w:p>
            <w:pPr>
              <w:spacing w:line="360" w:lineRule="exact"/>
              <w:jc w:val="center"/>
              <w:rPr>
                <w:rFonts w:hint="eastAsia" w:ascii="宋体" w:hAnsi="宋体"/>
                <w:color w:val="000000"/>
                <w:szCs w:val="21"/>
              </w:rPr>
            </w:pPr>
          </w:p>
        </w:tc>
        <w:tc>
          <w:tcPr>
            <w:tcW w:w="893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b/>
                <w:color w:val="000000"/>
                <w:szCs w:val="21"/>
              </w:rPr>
            </w:pPr>
            <w:r>
              <w:rPr>
                <w:rFonts w:hint="eastAsia" w:ascii="宋体" w:hAnsi="宋体" w:cs="宋体"/>
                <w:color w:val="000000"/>
                <w:szCs w:val="21"/>
                <w:lang w:bidi="ar"/>
              </w:rPr>
              <w:t>评委根据供应商提供的投标文件，对其针对本项目制定的安装、调试的方案和措施内容的科学性、有效性以及优劣程度进行评审，安装、调试和措施内容科学、合理，拟派人员经验丰富、技术能力强的得5-3分，安装、调试和措施内容基本合理，拟派人员具有一定的技术能力的得3-1，安装、调试和措施内容及人员安排情况较差或未描述完整的得1-0分。</w:t>
            </w:r>
          </w:p>
        </w:tc>
        <w:tc>
          <w:tcPr>
            <w:tcW w:w="578" w:type="dxa"/>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000000"/>
                <w:szCs w:val="21"/>
              </w:rPr>
            </w:pPr>
            <w:r>
              <w:rPr>
                <w:rFonts w:hint="eastAsia"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720" w:type="dxa"/>
            <w:vMerge w:val="continue"/>
            <w:tcBorders>
              <w:left w:val="double" w:color="auto" w:sz="4" w:space="0"/>
              <w:right w:val="single" w:color="auto" w:sz="4" w:space="0"/>
            </w:tcBorders>
            <w:noWrap w:val="0"/>
            <w:vAlign w:val="center"/>
          </w:tcPr>
          <w:p>
            <w:pPr>
              <w:spacing w:line="360" w:lineRule="exact"/>
              <w:jc w:val="center"/>
              <w:rPr>
                <w:rFonts w:hint="eastAsia" w:ascii="宋体" w:hAnsi="宋体"/>
                <w:color w:val="000000"/>
                <w:szCs w:val="21"/>
              </w:rPr>
            </w:pPr>
          </w:p>
        </w:tc>
        <w:tc>
          <w:tcPr>
            <w:tcW w:w="893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评标委员会对供应商提供的设备的教学功能适用性进行评议，所投设备完全满足教学要求的得5-3分，所投设备基本满足教学要求的得3-1分，所投设备</w:t>
            </w:r>
            <w:r>
              <w:rPr>
                <w:rFonts w:hint="eastAsia" w:ascii="宋体" w:hAnsi="宋体" w:eastAsia="宋体" w:cs="宋体"/>
                <w:color w:val="000000"/>
                <w:szCs w:val="21"/>
                <w:lang w:eastAsia="zh-CN"/>
              </w:rPr>
              <w:t>适用性偏离</w:t>
            </w:r>
            <w:r>
              <w:rPr>
                <w:rFonts w:hint="eastAsia" w:ascii="宋体" w:hAnsi="宋体" w:eastAsia="宋体" w:cs="宋体"/>
                <w:color w:val="000000"/>
                <w:szCs w:val="21"/>
              </w:rPr>
              <w:t>教学要求的得1-0分。</w:t>
            </w:r>
          </w:p>
        </w:tc>
        <w:tc>
          <w:tcPr>
            <w:tcW w:w="578" w:type="dxa"/>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720" w:type="dxa"/>
            <w:vMerge w:val="continue"/>
            <w:tcBorders>
              <w:left w:val="double" w:color="auto" w:sz="4" w:space="0"/>
              <w:right w:val="single" w:color="auto" w:sz="4" w:space="0"/>
            </w:tcBorders>
            <w:noWrap w:val="0"/>
            <w:vAlign w:val="center"/>
          </w:tcPr>
          <w:p>
            <w:pPr>
              <w:spacing w:line="360" w:lineRule="exact"/>
              <w:jc w:val="center"/>
              <w:rPr>
                <w:rFonts w:hint="eastAsia" w:ascii="宋体" w:hAnsi="宋体"/>
                <w:color w:val="000000"/>
                <w:szCs w:val="21"/>
              </w:rPr>
            </w:pPr>
          </w:p>
        </w:tc>
        <w:tc>
          <w:tcPr>
            <w:tcW w:w="893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color w:val="000000"/>
                <w:szCs w:val="21"/>
              </w:rPr>
            </w:pPr>
            <w:r>
              <w:rPr>
                <w:rFonts w:hint="eastAsia" w:ascii="宋体" w:hAnsi="宋体" w:eastAsia="宋体" w:cs="宋体"/>
                <w:bCs/>
                <w:color w:val="000000"/>
                <w:szCs w:val="21"/>
              </w:rPr>
              <w:t>评标委员会对供应商提供的售后服务方案进行评议（包括本地化服务能力、服务计划等）：</w:t>
            </w:r>
            <w:r>
              <w:rPr>
                <w:rFonts w:hint="eastAsia" w:ascii="宋体" w:hAnsi="宋体" w:eastAsia="宋体" w:cs="宋体"/>
                <w:bCs/>
                <w:color w:val="000000"/>
                <w:szCs w:val="21"/>
                <w:lang w:eastAsia="zh-CN"/>
              </w:rPr>
              <w:t>方案完全满足本项目采购要求的</w:t>
            </w:r>
            <w:r>
              <w:rPr>
                <w:rFonts w:hint="eastAsia" w:ascii="宋体" w:hAnsi="宋体" w:eastAsia="宋体" w:cs="宋体"/>
                <w:bCs/>
                <w:color w:val="000000"/>
                <w:szCs w:val="21"/>
              </w:rPr>
              <w:t>得5-</w:t>
            </w:r>
            <w:r>
              <w:rPr>
                <w:rFonts w:hint="eastAsia" w:ascii="宋体" w:hAnsi="宋体" w:eastAsia="宋体" w:cs="宋体"/>
                <w:bCs/>
                <w:color w:val="000000"/>
                <w:szCs w:val="21"/>
                <w:lang w:val="en-US" w:eastAsia="zh-CN"/>
              </w:rPr>
              <w:t>3</w:t>
            </w:r>
            <w:r>
              <w:rPr>
                <w:rFonts w:hint="eastAsia" w:ascii="宋体" w:hAnsi="宋体" w:eastAsia="宋体" w:cs="宋体"/>
                <w:bCs/>
                <w:color w:val="000000"/>
                <w:szCs w:val="21"/>
              </w:rPr>
              <w:t>分，</w:t>
            </w:r>
            <w:r>
              <w:rPr>
                <w:rFonts w:hint="eastAsia" w:ascii="宋体" w:hAnsi="宋体" w:eastAsia="宋体" w:cs="宋体"/>
                <w:bCs/>
                <w:color w:val="000000"/>
                <w:szCs w:val="21"/>
                <w:lang w:eastAsia="zh-CN"/>
              </w:rPr>
              <w:t>方案基本满足本项目采购要求的</w:t>
            </w:r>
            <w:r>
              <w:rPr>
                <w:rFonts w:hint="eastAsia" w:ascii="宋体" w:hAnsi="宋体" w:eastAsia="宋体" w:cs="宋体"/>
                <w:bCs/>
                <w:color w:val="000000"/>
                <w:szCs w:val="21"/>
              </w:rPr>
              <w:t>的得3-</w:t>
            </w:r>
            <w:r>
              <w:rPr>
                <w:rFonts w:hint="eastAsia" w:ascii="宋体" w:hAnsi="宋体" w:eastAsia="宋体" w:cs="宋体"/>
                <w:bCs/>
                <w:color w:val="000000"/>
                <w:szCs w:val="21"/>
                <w:lang w:val="en-US" w:eastAsia="zh-CN"/>
              </w:rPr>
              <w:t>1</w:t>
            </w:r>
            <w:r>
              <w:rPr>
                <w:rFonts w:hint="eastAsia" w:ascii="宋体" w:hAnsi="宋体" w:eastAsia="宋体" w:cs="宋体"/>
                <w:bCs/>
                <w:color w:val="000000"/>
                <w:szCs w:val="21"/>
              </w:rPr>
              <w:t>分，</w:t>
            </w:r>
            <w:r>
              <w:rPr>
                <w:rFonts w:hint="eastAsia" w:ascii="宋体" w:hAnsi="宋体" w:eastAsia="宋体" w:cs="宋体"/>
                <w:bCs/>
                <w:color w:val="000000"/>
                <w:szCs w:val="21"/>
                <w:lang w:eastAsia="zh-CN"/>
              </w:rPr>
              <w:t>方案偏离本项目采购要求的</w:t>
            </w:r>
            <w:r>
              <w:rPr>
                <w:rFonts w:hint="eastAsia" w:ascii="宋体" w:hAnsi="宋体" w:eastAsia="宋体" w:cs="宋体"/>
                <w:bCs/>
                <w:color w:val="000000"/>
                <w:szCs w:val="21"/>
              </w:rPr>
              <w:t>得1-0分。</w:t>
            </w:r>
          </w:p>
        </w:tc>
        <w:tc>
          <w:tcPr>
            <w:tcW w:w="578" w:type="dxa"/>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720" w:type="dxa"/>
            <w:vMerge w:val="continue"/>
            <w:tcBorders>
              <w:left w:val="double" w:color="auto" w:sz="4" w:space="0"/>
              <w:right w:val="single" w:color="auto" w:sz="4" w:space="0"/>
            </w:tcBorders>
            <w:noWrap w:val="0"/>
            <w:vAlign w:val="center"/>
          </w:tcPr>
          <w:p>
            <w:pPr>
              <w:spacing w:line="360" w:lineRule="exact"/>
              <w:jc w:val="center"/>
              <w:rPr>
                <w:rFonts w:hint="eastAsia" w:ascii="宋体" w:hAnsi="宋体"/>
                <w:color w:val="000000"/>
                <w:szCs w:val="21"/>
              </w:rPr>
            </w:pPr>
          </w:p>
        </w:tc>
        <w:tc>
          <w:tcPr>
            <w:tcW w:w="1155"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szCs w:val="21"/>
              </w:rPr>
            </w:pPr>
            <w:r>
              <w:rPr>
                <w:rFonts w:hint="eastAsia" w:ascii="宋体" w:hAnsi="宋体" w:eastAsia="宋体" w:cs="宋体"/>
                <w:b/>
                <w:color w:val="000000"/>
                <w:szCs w:val="21"/>
              </w:rPr>
              <w:t>设备演示：智慧校园管理平台演示，评标委员会根据供应商对以下各项演示内容的完成情况酌情打分</w:t>
            </w:r>
          </w:p>
        </w:tc>
        <w:tc>
          <w:tcPr>
            <w:tcW w:w="778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1、演示统一认证管理系统，要求能够实现至少三个核心子系统（演示统一认证管理系统，演示单点登录到选课子系统；演示单点登录到通知公告子系统；演示单点登录到日程计划子系统）的单点登录认证演示,评标委员会根据演示内容的完成情况酌情打分，得1-0分；</w:t>
            </w:r>
          </w:p>
        </w:tc>
        <w:tc>
          <w:tcPr>
            <w:tcW w:w="578" w:type="dxa"/>
            <w:tcBorders>
              <w:top w:val="single" w:color="auto" w:sz="4" w:space="0"/>
              <w:left w:val="single" w:color="auto" w:sz="4" w:space="0"/>
              <w:right w:val="doub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720" w:type="dxa"/>
            <w:vMerge w:val="continue"/>
            <w:tcBorders>
              <w:left w:val="double" w:color="auto" w:sz="4" w:space="0"/>
              <w:right w:val="single" w:color="auto" w:sz="4" w:space="0"/>
            </w:tcBorders>
            <w:noWrap w:val="0"/>
            <w:vAlign w:val="center"/>
          </w:tcPr>
          <w:p>
            <w:pPr>
              <w:rPr>
                <w:color w:val="000000"/>
              </w:rPr>
            </w:pPr>
          </w:p>
        </w:tc>
        <w:tc>
          <w:tcPr>
            <w:tcW w:w="1155" w:type="dxa"/>
            <w:vMerge w:val="continue"/>
            <w:tcBorders>
              <w:left w:val="single" w:color="auto" w:sz="4" w:space="0"/>
              <w:right w:val="single" w:color="auto" w:sz="4" w:space="0"/>
            </w:tcBorders>
            <w:noWrap w:val="0"/>
            <w:vAlign w:val="center"/>
          </w:tcPr>
          <w:p>
            <w:pPr>
              <w:rPr>
                <w:rFonts w:hint="eastAsia" w:ascii="宋体" w:hAnsi="宋体" w:eastAsia="宋体" w:cs="宋体"/>
                <w:color w:val="000000"/>
                <w:szCs w:val="21"/>
              </w:rPr>
            </w:pPr>
          </w:p>
        </w:tc>
        <w:tc>
          <w:tcPr>
            <w:tcW w:w="778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2、通过企业微信、微信、QQ扫码登录，同一个账号连续输入密码错误3次后账号自动冻结,评标委员会根据演示内容的完成情况酌情打分，得1-0分；</w:t>
            </w:r>
          </w:p>
        </w:tc>
        <w:tc>
          <w:tcPr>
            <w:tcW w:w="578" w:type="dxa"/>
            <w:tcBorders>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0" w:hRule="atLeast"/>
        </w:trPr>
        <w:tc>
          <w:tcPr>
            <w:tcW w:w="720" w:type="dxa"/>
            <w:vMerge w:val="continue"/>
            <w:tcBorders>
              <w:left w:val="double" w:color="auto" w:sz="4" w:space="0"/>
              <w:right w:val="single" w:color="auto" w:sz="4" w:space="0"/>
            </w:tcBorders>
            <w:noWrap w:val="0"/>
            <w:vAlign w:val="center"/>
          </w:tcPr>
          <w:p>
            <w:pPr>
              <w:spacing w:line="360" w:lineRule="exact"/>
              <w:jc w:val="center"/>
              <w:rPr>
                <w:rFonts w:hint="eastAsia" w:ascii="宋体" w:hAnsi="宋体"/>
                <w:color w:val="000000"/>
                <w:szCs w:val="21"/>
              </w:rPr>
            </w:pPr>
          </w:p>
        </w:tc>
        <w:tc>
          <w:tcPr>
            <w:tcW w:w="1155" w:type="dxa"/>
            <w:vMerge w:val="continue"/>
            <w:tcBorders>
              <w:left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szCs w:val="21"/>
              </w:rPr>
            </w:pPr>
          </w:p>
        </w:tc>
        <w:tc>
          <w:tcPr>
            <w:tcW w:w="778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3、演示通知公告系统：</w:t>
            </w:r>
          </w:p>
          <w:p>
            <w:pPr>
              <w:spacing w:line="300" w:lineRule="exact"/>
              <w:rPr>
                <w:rFonts w:hint="eastAsia" w:ascii="宋体" w:hAnsi="宋体" w:eastAsia="宋体" w:cs="宋体"/>
                <w:i/>
                <w:color w:val="000000"/>
                <w:szCs w:val="21"/>
              </w:rPr>
            </w:pPr>
            <w:r>
              <w:rPr>
                <w:rFonts w:hint="eastAsia" w:ascii="宋体" w:hAnsi="宋体" w:eastAsia="宋体" w:cs="宋体"/>
                <w:color w:val="000000"/>
                <w:szCs w:val="21"/>
              </w:rPr>
              <w:t>演示通知发布人查阅通知阅读率功能,评标委员会根据演示内容的完成情况酌情打分，得1-0分；演示通知发布人对未阅读人员进行提醒功能,评标委员会根据演示内容的完成情况酌情打分，得1-0分；演示管理员按照发布量统计、阅读率统计进行数据统计,评标委员会根据演示内容的完成情况酌情打分，得1-0分；演示系统通过消息中心给用户提醒阅读功能,评标委员会根据演示内容的完成情况酌情打分，得1-0分；演示能按照“通知类型”定义发布权限、审核权限及访问权限,评标委员会根据演示内容的完成情况酌情打分，得1-0分。</w:t>
            </w:r>
          </w:p>
        </w:tc>
        <w:tc>
          <w:tcPr>
            <w:tcW w:w="578" w:type="dxa"/>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720" w:type="dxa"/>
            <w:vMerge w:val="continue"/>
            <w:tcBorders>
              <w:left w:val="double" w:color="auto" w:sz="4" w:space="0"/>
              <w:right w:val="single" w:color="auto" w:sz="4" w:space="0"/>
            </w:tcBorders>
            <w:noWrap w:val="0"/>
            <w:vAlign w:val="center"/>
          </w:tcPr>
          <w:p>
            <w:pPr>
              <w:spacing w:line="360" w:lineRule="exact"/>
              <w:jc w:val="center"/>
              <w:rPr>
                <w:rFonts w:hint="eastAsia" w:ascii="宋体" w:hAnsi="宋体"/>
                <w:color w:val="000000"/>
                <w:szCs w:val="21"/>
              </w:rPr>
            </w:pPr>
          </w:p>
        </w:tc>
        <w:tc>
          <w:tcPr>
            <w:tcW w:w="1155" w:type="dxa"/>
            <w:vMerge w:val="continue"/>
            <w:tcBorders>
              <w:left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szCs w:val="21"/>
              </w:rPr>
            </w:pPr>
          </w:p>
        </w:tc>
        <w:tc>
          <w:tcPr>
            <w:tcW w:w="7781"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tabs>
                <w:tab w:val="left" w:pos="425"/>
              </w:tabs>
              <w:spacing w:line="300" w:lineRule="exact"/>
              <w:jc w:val="left"/>
              <w:rPr>
                <w:rFonts w:hint="eastAsia" w:ascii="宋体" w:hAnsi="宋体" w:eastAsia="宋体" w:cs="宋体"/>
                <w:color w:val="000000"/>
                <w:szCs w:val="21"/>
              </w:rPr>
            </w:pPr>
            <w:r>
              <w:rPr>
                <w:rFonts w:hint="eastAsia" w:ascii="宋体" w:hAnsi="宋体" w:eastAsia="宋体" w:cs="宋体"/>
                <w:color w:val="000000"/>
                <w:szCs w:val="21"/>
              </w:rPr>
              <w:t>演示日程计划系统：演示日程展示按日视图、周视图、月视图查看,评标委员会根据演示内容的完成情况酌情打分，得1-0分；演示将学校日程、部门日程推送到个人日程中,评标委员会根据演示内容的完成情况酌情打分，得1-0分；演示根据日程执行情况填写日志功能,评标委员会根据演示内容的完成情况酌情打分，得1-0分；演示学校校历批量导入功能,评标委员会根据演示内容的完成情况酌情打分，得1-0分。</w:t>
            </w:r>
          </w:p>
        </w:tc>
        <w:tc>
          <w:tcPr>
            <w:tcW w:w="578" w:type="dxa"/>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720" w:type="dxa"/>
            <w:vMerge w:val="continue"/>
            <w:tcBorders>
              <w:left w:val="double" w:color="auto" w:sz="4" w:space="0"/>
              <w:right w:val="single" w:color="auto" w:sz="4" w:space="0"/>
            </w:tcBorders>
            <w:noWrap w:val="0"/>
            <w:vAlign w:val="center"/>
          </w:tcPr>
          <w:p>
            <w:pPr>
              <w:spacing w:line="360" w:lineRule="exact"/>
              <w:jc w:val="center"/>
              <w:rPr>
                <w:rFonts w:hint="eastAsia" w:ascii="宋体" w:hAnsi="宋体"/>
                <w:color w:val="000000"/>
                <w:szCs w:val="21"/>
              </w:rPr>
            </w:pPr>
          </w:p>
        </w:tc>
        <w:tc>
          <w:tcPr>
            <w:tcW w:w="1155" w:type="dxa"/>
            <w:vMerge w:val="continue"/>
            <w:tcBorders>
              <w:left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szCs w:val="21"/>
              </w:rPr>
            </w:pPr>
          </w:p>
        </w:tc>
        <w:tc>
          <w:tcPr>
            <w:tcW w:w="778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5、演示移动端功能：通过学校微信公众号查询个人日程、部门日程,评标委员会根据演示内容的完成情况酌情打分，得1-0分；</w:t>
            </w:r>
          </w:p>
        </w:tc>
        <w:tc>
          <w:tcPr>
            <w:tcW w:w="578" w:type="dxa"/>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trPr>
        <w:tc>
          <w:tcPr>
            <w:tcW w:w="720" w:type="dxa"/>
            <w:vMerge w:val="continue"/>
            <w:tcBorders>
              <w:left w:val="double" w:color="auto" w:sz="4" w:space="0"/>
              <w:right w:val="single" w:color="auto" w:sz="4" w:space="0"/>
            </w:tcBorders>
            <w:noWrap w:val="0"/>
            <w:vAlign w:val="center"/>
          </w:tcPr>
          <w:p>
            <w:pPr>
              <w:spacing w:line="360" w:lineRule="exact"/>
              <w:jc w:val="center"/>
              <w:rPr>
                <w:rFonts w:hint="eastAsia" w:ascii="宋体" w:hAnsi="宋体"/>
                <w:color w:val="000000"/>
                <w:szCs w:val="21"/>
              </w:rPr>
            </w:pPr>
          </w:p>
        </w:tc>
        <w:tc>
          <w:tcPr>
            <w:tcW w:w="1155" w:type="dxa"/>
            <w:vMerge w:val="continue"/>
            <w:tcBorders>
              <w:left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szCs w:val="21"/>
              </w:rPr>
            </w:pPr>
          </w:p>
        </w:tc>
        <w:tc>
          <w:tcPr>
            <w:tcW w:w="778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color w:val="000000"/>
                <w:szCs w:val="21"/>
              </w:rPr>
            </w:pPr>
            <w:r>
              <w:rPr>
                <w:rFonts w:hint="eastAsia" w:ascii="宋体" w:hAnsi="宋体" w:eastAsia="宋体" w:cs="宋体"/>
                <w:color w:val="000000"/>
                <w:szCs w:val="21"/>
              </w:rPr>
              <w:t>6、演示电子资料室系统功能：演示权限分配功能，能按照上传权限、阅读权限、下载权限分别控制,评标委员会根据演示内容的完成情况酌情打分，得1-0分；演示在电子资料室里面在线打开文档类文件、在线播放视频类文件、在线查看图片类文件和在线播放音频类文件,评标委员会根据演示内容的完成情况酌情打分，得1-0分；演示我的文件柜具有上传记录、下载记录、收藏、订阅、分享等功能的,评标委员会根据演示内容的完成情况酌情打分，得1-0分；</w:t>
            </w:r>
          </w:p>
        </w:tc>
        <w:tc>
          <w:tcPr>
            <w:tcW w:w="578" w:type="dxa"/>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56" w:type="dxa"/>
            <w:gridSpan w:val="3"/>
            <w:tcBorders>
              <w:top w:val="single" w:color="auto" w:sz="4" w:space="0"/>
              <w:left w:val="double" w:color="auto" w:sz="4" w:space="0"/>
              <w:bottom w:val="double" w:color="auto" w:sz="4" w:space="0"/>
              <w:right w:val="single" w:color="auto" w:sz="4" w:space="0"/>
            </w:tcBorders>
            <w:noWrap w:val="0"/>
            <w:vAlign w:val="center"/>
          </w:tcPr>
          <w:p>
            <w:pPr>
              <w:spacing w:line="400" w:lineRule="exact"/>
              <w:jc w:val="center"/>
              <w:rPr>
                <w:rFonts w:ascii="宋体" w:hAnsi="宋体"/>
                <w:color w:val="000000"/>
                <w:szCs w:val="21"/>
              </w:rPr>
            </w:pPr>
            <w:r>
              <w:rPr>
                <w:rFonts w:hint="eastAsia" w:ascii="宋体" w:hAnsi="宋体"/>
                <w:b/>
                <w:color w:val="000000"/>
                <w:szCs w:val="21"/>
              </w:rPr>
              <w:t>总分70分</w:t>
            </w:r>
          </w:p>
        </w:tc>
        <w:tc>
          <w:tcPr>
            <w:tcW w:w="578" w:type="dxa"/>
            <w:tcBorders>
              <w:top w:val="single" w:color="auto" w:sz="4" w:space="0"/>
              <w:left w:val="single" w:color="auto" w:sz="4" w:space="0"/>
              <w:bottom w:val="double" w:color="auto" w:sz="4" w:space="0"/>
              <w:right w:val="double" w:color="auto" w:sz="4" w:space="0"/>
            </w:tcBorders>
            <w:noWrap w:val="0"/>
            <w:vAlign w:val="center"/>
          </w:tcPr>
          <w:p>
            <w:pPr>
              <w:spacing w:line="400" w:lineRule="exact"/>
              <w:jc w:val="center"/>
              <w:rPr>
                <w:rFonts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=SUM(ABOVE) </w:instrText>
            </w:r>
            <w:r>
              <w:rPr>
                <w:rFonts w:ascii="宋体" w:hAnsi="宋体"/>
                <w:color w:val="000000"/>
                <w:szCs w:val="21"/>
              </w:rPr>
              <w:fldChar w:fldCharType="separate"/>
            </w:r>
            <w:r>
              <w:rPr>
                <w:rFonts w:hint="eastAsia" w:ascii="宋体" w:hAnsi="宋体"/>
                <w:color w:val="000000"/>
                <w:szCs w:val="21"/>
              </w:rPr>
              <w:t>7</w:t>
            </w:r>
            <w:r>
              <w:rPr>
                <w:rFonts w:ascii="宋体" w:hAnsi="宋体"/>
                <w:color w:val="000000"/>
                <w:szCs w:val="21"/>
              </w:rPr>
              <w:t>0</w:t>
            </w:r>
            <w:r>
              <w:rPr>
                <w:rFonts w:ascii="宋体" w:hAnsi="宋体"/>
                <w:color w:val="000000"/>
                <w:szCs w:val="21"/>
              </w:rPr>
              <w:fldChar w:fldCharType="end"/>
            </w:r>
          </w:p>
        </w:tc>
      </w:tr>
    </w:tbl>
    <w:p>
      <w:pPr>
        <w:rPr>
          <w:rFonts w:hint="eastAsia" w:ascii="宋体" w:hAnsi="宋体" w:cs="宋体"/>
          <w:color w:val="000000"/>
          <w:szCs w:val="21"/>
        </w:rPr>
      </w:pPr>
      <w:r>
        <w:rPr>
          <w:rFonts w:hint="eastAsia" w:ascii="宋体" w:hAnsi="宋体" w:cs="宋体"/>
          <w:color w:val="000000"/>
          <w:szCs w:val="21"/>
        </w:rPr>
        <w:t>注：1、各评委成员自行按以上参考分值评分，小数点后保留一位数。</w:t>
      </w:r>
    </w:p>
    <w:p>
      <w:pPr>
        <w:ind w:left="420" w:leftChars="200"/>
        <w:rPr>
          <w:rFonts w:hint="eastAsia" w:ascii="宋体" w:hAnsi="宋体" w:cs="宋体"/>
          <w:color w:val="000000"/>
          <w:szCs w:val="21"/>
        </w:rPr>
      </w:pPr>
      <w:r>
        <w:rPr>
          <w:rFonts w:hint="eastAsia" w:ascii="宋体" w:hAnsi="宋体" w:cs="宋体"/>
          <w:color w:val="000000"/>
          <w:szCs w:val="21"/>
        </w:rPr>
        <w:t>2、以上分值重复的地方，下限不含，上限含。</w:t>
      </w:r>
    </w:p>
    <w:p>
      <w:pPr>
        <w:ind w:left="420" w:leftChars="200"/>
        <w:rPr>
          <w:rFonts w:hint="eastAsia" w:ascii="宋体" w:hAnsi="宋体" w:cs="宋体"/>
          <w:color w:val="000000"/>
          <w:szCs w:val="21"/>
        </w:rPr>
      </w:pPr>
      <w:r>
        <w:rPr>
          <w:rFonts w:hint="eastAsia" w:ascii="宋体" w:hAnsi="宋体" w:cs="宋体"/>
          <w:color w:val="000000"/>
          <w:szCs w:val="21"/>
        </w:rPr>
        <w:t>3、评委需查询原件的，供应商未携带原件备查或原件与复印件不一致的，均不得分。</w:t>
      </w:r>
    </w:p>
    <w:p>
      <w:pPr>
        <w:rPr>
          <w:rFonts w:hint="eastAsia" w:ascii="宋体" w:hAnsi="宋体" w:cs="宋体"/>
          <w:color w:val="000000"/>
          <w:szCs w:val="21"/>
        </w:rPr>
      </w:pPr>
      <w:r>
        <w:rPr>
          <w:rFonts w:hint="eastAsia" w:ascii="宋体" w:hAnsi="宋体" w:cs="宋体"/>
          <w:color w:val="000000"/>
          <w:szCs w:val="21"/>
        </w:rPr>
        <w:t xml:space="preserve">评委签名：                                                          </w:t>
      </w:r>
    </w:p>
    <w:p>
      <w:pPr>
        <w:rPr>
          <w:rFonts w:hint="eastAsia" w:ascii="宋体" w:hAnsi="宋体" w:cs="宋体"/>
          <w:color w:val="000000"/>
          <w:szCs w:val="21"/>
        </w:rPr>
      </w:pPr>
      <w:r>
        <w:rPr>
          <w:rFonts w:hint="eastAsia" w:ascii="宋体" w:hAnsi="宋体" w:cs="宋体"/>
          <w:color w:val="000000"/>
          <w:szCs w:val="21"/>
        </w:rPr>
        <w:t xml:space="preserve">            </w:t>
      </w:r>
    </w:p>
    <w:p>
      <w:pPr>
        <w:jc w:val="right"/>
        <w:rPr>
          <w:rFonts w:hint="eastAsia" w:ascii="宋体" w:hAnsi="宋体" w:cs="宋体"/>
          <w:color w:val="000000"/>
          <w:sz w:val="28"/>
          <w:szCs w:val="28"/>
        </w:rPr>
      </w:pPr>
      <w:r>
        <w:rPr>
          <w:rFonts w:hint="eastAsia" w:ascii="宋体" w:hAnsi="宋体" w:cs="宋体"/>
          <w:color w:val="000000"/>
          <w:szCs w:val="21"/>
        </w:rPr>
        <w:t xml:space="preserve"> 年  月   日  </w:t>
      </w:r>
    </w:p>
    <w:p>
      <w:pPr>
        <w:pStyle w:val="2"/>
        <w:rPr>
          <w:rFonts w:hint="eastAsia" w:ascii="宋体" w:hAnsi="宋体" w:cs="宋体"/>
          <w:b/>
          <w:color w:val="000000"/>
          <w:sz w:val="24"/>
        </w:rPr>
      </w:pPr>
    </w:p>
    <w:p>
      <w:pPr>
        <w:pStyle w:val="2"/>
        <w:rPr>
          <w:rFonts w:hint="eastAsia" w:ascii="宋体" w:hAnsi="宋体" w:cs="宋体"/>
          <w:b/>
          <w:color w:val="000000"/>
          <w:sz w:val="24"/>
        </w:rPr>
      </w:pPr>
    </w:p>
    <w:p>
      <w:pPr>
        <w:pStyle w:val="2"/>
        <w:rPr>
          <w:rFonts w:hint="eastAsia" w:ascii="宋体" w:hAnsi="宋体" w:cs="宋体"/>
          <w:b/>
          <w:color w:val="000000"/>
          <w:sz w:val="24"/>
        </w:rPr>
      </w:pPr>
    </w:p>
    <w:p>
      <w:pPr>
        <w:pStyle w:val="2"/>
        <w:rPr>
          <w:rFonts w:hint="eastAsia" w:ascii="宋体" w:hAnsi="宋体" w:cs="宋体"/>
          <w:b/>
          <w:color w:val="000000"/>
          <w:sz w:val="24"/>
        </w:rPr>
      </w:pPr>
    </w:p>
    <w:p>
      <w:pPr>
        <w:pStyle w:val="2"/>
        <w:rPr>
          <w:rFonts w:hint="eastAsia" w:ascii="宋体" w:hAnsi="宋体" w:cs="宋体"/>
          <w:b/>
          <w:color w:val="000000"/>
          <w:sz w:val="24"/>
        </w:rPr>
      </w:pPr>
    </w:p>
    <w:p>
      <w:pPr>
        <w:pStyle w:val="2"/>
        <w:rPr>
          <w:rFonts w:hint="eastAsia" w:ascii="宋体" w:hAnsi="宋体" w:cs="宋体"/>
          <w:b/>
          <w:color w:val="000000"/>
          <w:sz w:val="24"/>
        </w:rPr>
      </w:pPr>
    </w:p>
    <w:p>
      <w:pPr>
        <w:pStyle w:val="2"/>
        <w:rPr>
          <w:rFonts w:hint="eastAsia" w:ascii="宋体" w:hAnsi="宋体" w:cs="宋体"/>
          <w:b/>
          <w:color w:val="000000"/>
          <w:sz w:val="24"/>
        </w:rPr>
      </w:pPr>
    </w:p>
    <w:p>
      <w:pPr>
        <w:pStyle w:val="2"/>
        <w:rPr>
          <w:rFonts w:hint="eastAsia" w:ascii="宋体" w:hAnsi="宋体" w:cs="宋体"/>
          <w:b/>
          <w:color w:val="000000"/>
          <w:sz w:val="24"/>
        </w:rPr>
      </w:pPr>
    </w:p>
    <w:p>
      <w:pPr>
        <w:pStyle w:val="2"/>
        <w:rPr>
          <w:rFonts w:hint="eastAsia" w:ascii="宋体" w:hAnsi="宋体" w:cs="宋体"/>
          <w:b/>
          <w:color w:val="000000"/>
          <w:sz w:val="24"/>
        </w:rPr>
      </w:pPr>
    </w:p>
    <w:p>
      <w:pPr>
        <w:pStyle w:val="2"/>
        <w:rPr>
          <w:rFonts w:hint="eastAsia" w:ascii="宋体" w:hAnsi="宋体" w:cs="宋体"/>
          <w:b/>
          <w:color w:val="000000"/>
          <w:sz w:val="24"/>
        </w:rPr>
      </w:pPr>
    </w:p>
    <w:p>
      <w:pPr>
        <w:pStyle w:val="2"/>
        <w:rPr>
          <w:rFonts w:hint="eastAsia" w:ascii="宋体" w:hAnsi="宋体" w:cs="宋体"/>
          <w:b/>
          <w:color w:val="000000"/>
          <w:sz w:val="24"/>
        </w:rPr>
      </w:pPr>
    </w:p>
    <w:p>
      <w:pPr>
        <w:pStyle w:val="2"/>
        <w:rPr>
          <w:rFonts w:hint="eastAsia" w:ascii="宋体" w:hAnsi="宋体" w:cs="宋体"/>
          <w:b/>
          <w:color w:val="000000"/>
          <w:sz w:val="24"/>
        </w:rPr>
      </w:pPr>
    </w:p>
    <w:p>
      <w:pPr>
        <w:pStyle w:val="2"/>
        <w:rPr>
          <w:rFonts w:hint="eastAsia" w:ascii="宋体" w:hAnsi="宋体" w:cs="宋体"/>
          <w:b/>
          <w:color w:val="000000"/>
          <w:sz w:val="24"/>
        </w:rPr>
      </w:pPr>
    </w:p>
    <w:p>
      <w:pPr>
        <w:pStyle w:val="2"/>
        <w:rPr>
          <w:rFonts w:hint="eastAsia" w:ascii="宋体" w:hAnsi="宋体" w:cs="宋体"/>
          <w:b/>
          <w:color w:val="000000"/>
          <w:sz w:val="24"/>
        </w:rPr>
      </w:pPr>
    </w:p>
    <w:p>
      <w:pPr>
        <w:widowControl/>
        <w:spacing w:line="340" w:lineRule="exact"/>
        <w:rPr>
          <w:rFonts w:hint="eastAsia" w:ascii="宋体" w:hAnsi="宋体" w:cs="宋体"/>
          <w:color w:val="000000"/>
          <w:szCs w:val="21"/>
        </w:rPr>
      </w:pPr>
      <w:r>
        <w:rPr>
          <w:rFonts w:hint="eastAsia" w:ascii="宋体" w:hAnsi="宋体" w:cs="宋体"/>
          <w:color w:val="000000"/>
          <w:szCs w:val="21"/>
        </w:rPr>
        <w:t>附表4</w:t>
      </w:r>
    </w:p>
    <w:p>
      <w:pPr>
        <w:jc w:val="center"/>
        <w:rPr>
          <w:rFonts w:hint="eastAsia" w:ascii="宋体" w:hAnsi="宋体" w:cs="宋体"/>
          <w:b/>
          <w:color w:val="000000"/>
          <w:szCs w:val="21"/>
        </w:rPr>
      </w:pPr>
      <w:r>
        <w:rPr>
          <w:rFonts w:hint="eastAsia" w:ascii="宋体" w:hAnsi="宋体" w:cs="宋体"/>
          <w:b/>
          <w:color w:val="000000"/>
          <w:szCs w:val="21"/>
        </w:rPr>
        <w:t>子包一报价文件初步审查表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12"/>
        <w:gridCol w:w="5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top"/>
          </w:tcPr>
          <w:p>
            <w:pPr>
              <w:spacing w:line="400" w:lineRule="exact"/>
              <w:jc w:val="center"/>
              <w:rPr>
                <w:rFonts w:hint="eastAsia" w:ascii="宋体" w:hAnsi="宋体" w:cs="宋体"/>
                <w:b/>
                <w:color w:val="000000"/>
                <w:szCs w:val="21"/>
              </w:rPr>
            </w:pPr>
            <w:r>
              <w:rPr>
                <w:rFonts w:hint="eastAsia" w:ascii="宋体" w:hAnsi="宋体" w:cs="宋体"/>
                <w:b/>
                <w:color w:val="000000"/>
                <w:szCs w:val="21"/>
              </w:rPr>
              <w:t>序号</w:t>
            </w:r>
          </w:p>
        </w:tc>
        <w:tc>
          <w:tcPr>
            <w:tcW w:w="2712" w:type="dxa"/>
            <w:noWrap w:val="0"/>
            <w:vAlign w:val="top"/>
          </w:tcPr>
          <w:p>
            <w:pPr>
              <w:spacing w:line="400" w:lineRule="exact"/>
              <w:jc w:val="center"/>
              <w:rPr>
                <w:rFonts w:hint="eastAsia" w:ascii="宋体" w:hAnsi="宋体" w:cs="宋体"/>
                <w:b/>
                <w:color w:val="000000"/>
                <w:szCs w:val="21"/>
              </w:rPr>
            </w:pPr>
            <w:r>
              <w:rPr>
                <w:rFonts w:hint="eastAsia" w:ascii="宋体" w:hAnsi="宋体" w:cs="宋体"/>
                <w:b/>
                <w:color w:val="000000"/>
                <w:szCs w:val="21"/>
              </w:rPr>
              <w:t>审查项目</w:t>
            </w:r>
          </w:p>
        </w:tc>
        <w:tc>
          <w:tcPr>
            <w:tcW w:w="5983" w:type="dxa"/>
            <w:noWrap w:val="0"/>
            <w:vAlign w:val="top"/>
          </w:tcPr>
          <w:p>
            <w:pPr>
              <w:spacing w:line="400" w:lineRule="exact"/>
              <w:jc w:val="center"/>
              <w:rPr>
                <w:rFonts w:hint="eastAsia" w:ascii="宋体" w:hAnsi="宋体" w:cs="宋体"/>
                <w:b/>
                <w:color w:val="000000"/>
                <w:szCs w:val="21"/>
              </w:rPr>
            </w:pPr>
            <w:r>
              <w:rPr>
                <w:rFonts w:hint="eastAsia" w:ascii="宋体" w:hAnsi="宋体" w:cs="宋体"/>
                <w:b/>
                <w:color w:val="00000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2712"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供应商名称</w:t>
            </w:r>
          </w:p>
        </w:tc>
        <w:tc>
          <w:tcPr>
            <w:tcW w:w="5983" w:type="dxa"/>
            <w:noWrap w:val="0"/>
            <w:vAlign w:val="top"/>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与营业执照副本一致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7" w:hRule="atLeast"/>
          <w:jc w:val="center"/>
        </w:trPr>
        <w:tc>
          <w:tcPr>
            <w:tcW w:w="7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2712"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投标报价</w:t>
            </w:r>
          </w:p>
        </w:tc>
        <w:tc>
          <w:tcPr>
            <w:tcW w:w="5983" w:type="dxa"/>
            <w:noWrap w:val="0"/>
            <w:vAlign w:val="center"/>
          </w:tcPr>
          <w:p>
            <w:pPr>
              <w:jc w:val="left"/>
              <w:rPr>
                <w:rFonts w:hint="eastAsia" w:ascii="宋体" w:hAnsi="宋体" w:eastAsia="宋体"/>
                <w:color w:val="000000"/>
                <w:szCs w:val="21"/>
              </w:rPr>
            </w:pPr>
            <w:r>
              <w:rPr>
                <w:rFonts w:hint="eastAsia" w:ascii="宋体" w:hAnsi="宋体" w:eastAsia="宋体"/>
                <w:color w:val="000000"/>
                <w:szCs w:val="21"/>
              </w:rPr>
              <w:t>1</w:t>
            </w:r>
            <w:r>
              <w:rPr>
                <w:rFonts w:hint="eastAsia" w:ascii="宋体" w:hAnsi="宋体" w:eastAsia="宋体" w:cs="宋体"/>
                <w:color w:val="000000"/>
                <w:szCs w:val="21"/>
              </w:rPr>
              <w:t>、本子包设有</w:t>
            </w:r>
            <w:r>
              <w:rPr>
                <w:rFonts w:hint="eastAsia" w:ascii="宋体" w:hAnsi="宋体" w:cs="宋体"/>
                <w:b/>
                <w:color w:val="000000"/>
                <w:szCs w:val="21"/>
                <w:lang w:bidi="ar"/>
              </w:rPr>
              <w:t>预算价</w:t>
            </w:r>
            <w:r>
              <w:rPr>
                <w:rFonts w:hint="eastAsia" w:ascii="宋体" w:hAnsi="宋体" w:cs="宋体"/>
                <w:b/>
                <w:color w:val="000000"/>
                <w:szCs w:val="21"/>
                <w:u w:val="single"/>
                <w:lang w:bidi="ar"/>
              </w:rPr>
              <w:t>422.74</w:t>
            </w:r>
            <w:r>
              <w:rPr>
                <w:rFonts w:hint="eastAsia" w:ascii="宋体" w:hAnsi="宋体" w:cs="宋体"/>
                <w:b/>
                <w:color w:val="000000"/>
                <w:szCs w:val="21"/>
                <w:lang w:bidi="ar"/>
              </w:rPr>
              <w:t>万元，最高限价</w:t>
            </w:r>
            <w:r>
              <w:rPr>
                <w:rFonts w:hint="eastAsia" w:ascii="宋体" w:hAnsi="宋体" w:cs="宋体"/>
                <w:b/>
                <w:color w:val="000000"/>
                <w:szCs w:val="21"/>
                <w:u w:val="single"/>
                <w:lang w:bidi="ar"/>
              </w:rPr>
              <w:t>412.0238</w:t>
            </w:r>
            <w:r>
              <w:rPr>
                <w:rFonts w:hint="eastAsia" w:ascii="宋体" w:hAnsi="宋体" w:cs="宋体"/>
                <w:b/>
                <w:color w:val="000000"/>
                <w:szCs w:val="21"/>
                <w:lang w:bidi="ar"/>
              </w:rPr>
              <w:t>万元</w:t>
            </w:r>
            <w:r>
              <w:rPr>
                <w:rFonts w:hint="eastAsia" w:ascii="宋体" w:hAnsi="宋体" w:eastAsia="宋体" w:cs="宋体"/>
                <w:color w:val="000000"/>
                <w:szCs w:val="21"/>
              </w:rPr>
              <w:t>，投标报价超出</w:t>
            </w:r>
            <w:r>
              <w:rPr>
                <w:rFonts w:hint="eastAsia" w:ascii="宋体" w:hAnsi="宋体" w:cs="宋体"/>
                <w:b/>
                <w:color w:val="000000"/>
                <w:szCs w:val="21"/>
                <w:lang w:bidi="ar"/>
              </w:rPr>
              <w:t>最高限价</w:t>
            </w:r>
            <w:r>
              <w:rPr>
                <w:rFonts w:hint="eastAsia" w:ascii="宋体" w:hAnsi="宋体" w:eastAsia="宋体" w:cs="宋体"/>
                <w:color w:val="000000"/>
                <w:szCs w:val="21"/>
              </w:rPr>
              <w:t>的，作无效标处理。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2712"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投标文件的签署盖章</w:t>
            </w:r>
          </w:p>
        </w:tc>
        <w:tc>
          <w:tcPr>
            <w:tcW w:w="5983"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符合第二章“投标须知”第八、1条的要求。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vMerge w:val="restart"/>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2712" w:type="dxa"/>
            <w:vMerge w:val="restart"/>
            <w:noWrap w:val="0"/>
            <w:vAlign w:val="center"/>
          </w:tcPr>
          <w:p>
            <w:pPr>
              <w:numPr>
                <w:ilvl w:val="0"/>
                <w:numId w:val="7"/>
              </w:numPr>
              <w:spacing w:line="400" w:lineRule="exact"/>
              <w:rPr>
                <w:rFonts w:hint="eastAsia" w:ascii="宋体" w:hAnsi="宋体" w:eastAsia="宋体"/>
                <w:color w:val="000000"/>
                <w:szCs w:val="22"/>
              </w:rPr>
            </w:pPr>
            <w:r>
              <w:rPr>
                <w:rFonts w:hint="eastAsia" w:ascii="宋体" w:hAnsi="宋体" w:eastAsia="宋体"/>
                <w:color w:val="000000"/>
                <w:szCs w:val="22"/>
              </w:rPr>
              <w:t>其他</w:t>
            </w:r>
          </w:p>
        </w:tc>
        <w:tc>
          <w:tcPr>
            <w:tcW w:w="5983" w:type="dxa"/>
            <w:noWrap w:val="0"/>
            <w:vAlign w:val="center"/>
          </w:tcPr>
          <w:p>
            <w:pPr>
              <w:spacing w:line="400" w:lineRule="exact"/>
              <w:rPr>
                <w:rFonts w:hint="eastAsia" w:ascii="宋体" w:hAnsi="宋体" w:eastAsia="宋体"/>
                <w:color w:val="000000"/>
                <w:szCs w:val="21"/>
              </w:rPr>
            </w:pPr>
            <w:r>
              <w:rPr>
                <w:rFonts w:hint="eastAsia" w:ascii="宋体" w:hAnsi="宋体" w:eastAsia="宋体"/>
                <w:color w:val="000000"/>
                <w:szCs w:val="21"/>
              </w:rPr>
              <w:t>1、评标委员会认为供应商的报价明显低于其他通过第一阶段评审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720" w:type="dxa"/>
            <w:vMerge w:val="continue"/>
            <w:noWrap w:val="0"/>
            <w:vAlign w:val="center"/>
          </w:tcPr>
          <w:p>
            <w:pPr>
              <w:spacing w:line="400" w:lineRule="exact"/>
              <w:jc w:val="center"/>
              <w:rPr>
                <w:rFonts w:hint="eastAsia" w:ascii="宋体" w:hAnsi="宋体" w:eastAsia="宋体" w:cs="宋体"/>
                <w:color w:val="000000"/>
                <w:szCs w:val="21"/>
              </w:rPr>
            </w:pPr>
          </w:p>
        </w:tc>
        <w:tc>
          <w:tcPr>
            <w:tcW w:w="2712" w:type="dxa"/>
            <w:vMerge w:val="continue"/>
            <w:noWrap w:val="0"/>
            <w:vAlign w:val="center"/>
          </w:tcPr>
          <w:p>
            <w:pPr>
              <w:spacing w:line="400" w:lineRule="exact"/>
              <w:rPr>
                <w:rFonts w:hint="eastAsia" w:ascii="宋体" w:hAnsi="宋体" w:eastAsia="宋体" w:cs="宋体"/>
                <w:color w:val="000000"/>
                <w:szCs w:val="21"/>
              </w:rPr>
            </w:pPr>
          </w:p>
        </w:tc>
        <w:tc>
          <w:tcPr>
            <w:tcW w:w="5983"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符合法律、法规和招标文件中规定的其他实质性要求（实质性要求招标文件中“▲”标记）。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3432" w:type="dxa"/>
            <w:gridSpan w:val="2"/>
            <w:noWrap w:val="0"/>
            <w:vAlign w:val="center"/>
          </w:tcPr>
          <w:p>
            <w:pPr>
              <w:spacing w:line="400" w:lineRule="exact"/>
              <w:jc w:val="center"/>
              <w:rPr>
                <w:rFonts w:hint="eastAsia" w:ascii="宋体" w:hAnsi="宋体" w:cs="宋体"/>
                <w:color w:val="000000"/>
                <w:szCs w:val="21"/>
              </w:rPr>
            </w:pPr>
            <w:r>
              <w:rPr>
                <w:rFonts w:hint="eastAsia" w:ascii="宋体" w:hAnsi="宋体" w:cs="宋体"/>
                <w:b/>
                <w:color w:val="000000"/>
                <w:szCs w:val="21"/>
              </w:rPr>
              <w:t>初步审查结论</w:t>
            </w:r>
          </w:p>
        </w:tc>
        <w:tc>
          <w:tcPr>
            <w:tcW w:w="5983" w:type="dxa"/>
            <w:noWrap w:val="0"/>
            <w:vAlign w:val="center"/>
          </w:tcPr>
          <w:p>
            <w:pPr>
              <w:spacing w:line="400" w:lineRule="exact"/>
              <w:rPr>
                <w:rFonts w:hint="eastAsia" w:ascii="宋体" w:hAnsi="宋体" w:cs="宋体"/>
                <w:color w:val="000000"/>
                <w:szCs w:val="21"/>
              </w:rPr>
            </w:pPr>
          </w:p>
        </w:tc>
      </w:tr>
    </w:tbl>
    <w:p>
      <w:pPr>
        <w:spacing w:line="400" w:lineRule="exact"/>
        <w:rPr>
          <w:rFonts w:hint="eastAsia" w:ascii="宋体" w:hAnsi="宋体" w:cs="宋体"/>
          <w:color w:val="000000"/>
          <w:szCs w:val="21"/>
        </w:rPr>
      </w:pPr>
      <w:r>
        <w:rPr>
          <w:rFonts w:hint="eastAsia" w:ascii="宋体" w:hAnsi="宋体" w:cs="宋体"/>
          <w:b/>
          <w:color w:val="000000"/>
        </w:rPr>
        <w:t>注：1、上述审查项目中，任意一项不符合的，初步审查不合格。</w:t>
      </w:r>
    </w:p>
    <w:p>
      <w:pPr>
        <w:spacing w:line="360" w:lineRule="exact"/>
        <w:ind w:right="-1226" w:rightChars="-584"/>
        <w:rPr>
          <w:rFonts w:hint="eastAsia" w:ascii="宋体" w:hAnsi="宋体" w:cs="宋体"/>
          <w:color w:val="000000"/>
          <w:sz w:val="28"/>
          <w:szCs w:val="28"/>
        </w:rPr>
      </w:pPr>
    </w:p>
    <w:p>
      <w:pPr>
        <w:jc w:val="center"/>
        <w:rPr>
          <w:rFonts w:hint="eastAsia" w:ascii="宋体" w:hAnsi="宋体" w:cs="宋体"/>
          <w:b/>
          <w:color w:val="000000"/>
          <w:szCs w:val="21"/>
        </w:rPr>
      </w:pPr>
      <w:r>
        <w:rPr>
          <w:rFonts w:hint="eastAsia" w:ascii="宋体" w:hAnsi="宋体" w:cs="宋体"/>
          <w:b/>
          <w:color w:val="000000"/>
          <w:szCs w:val="21"/>
        </w:rPr>
        <w:t>子包二报价文件初步审查表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12"/>
        <w:gridCol w:w="5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top"/>
          </w:tcPr>
          <w:p>
            <w:pPr>
              <w:spacing w:line="400" w:lineRule="exact"/>
              <w:jc w:val="center"/>
              <w:rPr>
                <w:rFonts w:hint="eastAsia" w:ascii="宋体" w:hAnsi="宋体" w:cs="宋体"/>
                <w:b/>
                <w:color w:val="000000"/>
                <w:szCs w:val="21"/>
              </w:rPr>
            </w:pPr>
            <w:r>
              <w:rPr>
                <w:rFonts w:hint="eastAsia" w:ascii="宋体" w:hAnsi="宋体" w:cs="宋体"/>
                <w:b/>
                <w:color w:val="000000"/>
                <w:szCs w:val="21"/>
              </w:rPr>
              <w:t>序号</w:t>
            </w:r>
          </w:p>
        </w:tc>
        <w:tc>
          <w:tcPr>
            <w:tcW w:w="2712" w:type="dxa"/>
            <w:noWrap w:val="0"/>
            <w:vAlign w:val="top"/>
          </w:tcPr>
          <w:p>
            <w:pPr>
              <w:spacing w:line="400" w:lineRule="exact"/>
              <w:jc w:val="center"/>
              <w:rPr>
                <w:rFonts w:hint="eastAsia" w:ascii="宋体" w:hAnsi="宋体" w:cs="宋体"/>
                <w:b/>
                <w:color w:val="000000"/>
                <w:szCs w:val="21"/>
              </w:rPr>
            </w:pPr>
            <w:r>
              <w:rPr>
                <w:rFonts w:hint="eastAsia" w:ascii="宋体" w:hAnsi="宋体" w:cs="宋体"/>
                <w:b/>
                <w:color w:val="000000"/>
                <w:szCs w:val="21"/>
              </w:rPr>
              <w:t>审查项目</w:t>
            </w:r>
          </w:p>
        </w:tc>
        <w:tc>
          <w:tcPr>
            <w:tcW w:w="5983" w:type="dxa"/>
            <w:noWrap w:val="0"/>
            <w:vAlign w:val="top"/>
          </w:tcPr>
          <w:p>
            <w:pPr>
              <w:spacing w:line="400" w:lineRule="exact"/>
              <w:jc w:val="center"/>
              <w:rPr>
                <w:rFonts w:hint="eastAsia" w:ascii="宋体" w:hAnsi="宋体" w:cs="宋体"/>
                <w:b/>
                <w:color w:val="000000"/>
                <w:szCs w:val="21"/>
              </w:rPr>
            </w:pPr>
            <w:r>
              <w:rPr>
                <w:rFonts w:hint="eastAsia" w:ascii="宋体" w:hAnsi="宋体" w:cs="宋体"/>
                <w:b/>
                <w:color w:val="00000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2712"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供应商名称</w:t>
            </w:r>
          </w:p>
        </w:tc>
        <w:tc>
          <w:tcPr>
            <w:tcW w:w="5983" w:type="dxa"/>
            <w:noWrap w:val="0"/>
            <w:vAlign w:val="top"/>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与营业执照副本一致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2712"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投标报价</w:t>
            </w:r>
          </w:p>
        </w:tc>
        <w:tc>
          <w:tcPr>
            <w:tcW w:w="5983" w:type="dxa"/>
            <w:noWrap w:val="0"/>
            <w:vAlign w:val="center"/>
          </w:tcPr>
          <w:p>
            <w:pPr>
              <w:jc w:val="left"/>
              <w:rPr>
                <w:rFonts w:hint="eastAsia" w:ascii="宋体" w:hAnsi="宋体" w:eastAsia="宋体"/>
                <w:color w:val="000000"/>
                <w:szCs w:val="21"/>
              </w:rPr>
            </w:pPr>
            <w:r>
              <w:rPr>
                <w:rFonts w:hint="eastAsia" w:ascii="宋体" w:hAnsi="宋体" w:eastAsia="宋体"/>
                <w:color w:val="000000"/>
                <w:szCs w:val="21"/>
              </w:rPr>
              <w:t>1</w:t>
            </w:r>
            <w:r>
              <w:rPr>
                <w:rFonts w:hint="eastAsia" w:ascii="宋体" w:hAnsi="宋体" w:eastAsia="宋体" w:cs="宋体"/>
                <w:color w:val="000000"/>
                <w:szCs w:val="21"/>
              </w:rPr>
              <w:t>、本子包设有预算价：人民币</w:t>
            </w:r>
            <w:r>
              <w:rPr>
                <w:rFonts w:hint="eastAsia" w:ascii="宋体" w:hAnsi="宋体" w:eastAsia="宋体" w:cs="宋体"/>
                <w:color w:val="000000"/>
                <w:kern w:val="0"/>
                <w:szCs w:val="21"/>
              </w:rPr>
              <w:t>49.57</w:t>
            </w:r>
            <w:r>
              <w:rPr>
                <w:rFonts w:hint="eastAsia" w:ascii="宋体" w:hAnsi="宋体" w:eastAsia="宋体"/>
                <w:color w:val="000000"/>
                <w:szCs w:val="21"/>
              </w:rPr>
              <w:t>万</w:t>
            </w:r>
            <w:r>
              <w:rPr>
                <w:rFonts w:hint="eastAsia" w:ascii="宋体" w:hAnsi="宋体" w:eastAsia="宋体" w:cs="宋体"/>
                <w:color w:val="000000"/>
                <w:szCs w:val="21"/>
              </w:rPr>
              <w:t>元，投标报价超出预算价的，作无效标处理。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2712"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投标文件的签署盖章</w:t>
            </w:r>
          </w:p>
        </w:tc>
        <w:tc>
          <w:tcPr>
            <w:tcW w:w="5983"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符合第二章“投标须知”第八、1条的要求。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restart"/>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2712" w:type="dxa"/>
            <w:vMerge w:val="restart"/>
            <w:noWrap w:val="0"/>
            <w:vAlign w:val="center"/>
          </w:tcPr>
          <w:p>
            <w:pPr>
              <w:numPr>
                <w:ilvl w:val="0"/>
                <w:numId w:val="7"/>
              </w:numPr>
              <w:spacing w:line="400" w:lineRule="exact"/>
              <w:rPr>
                <w:rFonts w:hint="eastAsia" w:ascii="宋体" w:hAnsi="宋体" w:eastAsia="宋体"/>
                <w:color w:val="000000"/>
                <w:szCs w:val="22"/>
              </w:rPr>
            </w:pPr>
            <w:r>
              <w:rPr>
                <w:rFonts w:hint="eastAsia" w:ascii="宋体" w:hAnsi="宋体" w:eastAsia="宋体"/>
                <w:color w:val="000000"/>
                <w:szCs w:val="22"/>
              </w:rPr>
              <w:t>其他</w:t>
            </w:r>
          </w:p>
        </w:tc>
        <w:tc>
          <w:tcPr>
            <w:tcW w:w="5983" w:type="dxa"/>
            <w:noWrap w:val="0"/>
            <w:vAlign w:val="center"/>
          </w:tcPr>
          <w:p>
            <w:pPr>
              <w:spacing w:line="400" w:lineRule="exact"/>
              <w:rPr>
                <w:rFonts w:hint="eastAsia" w:ascii="宋体" w:hAnsi="宋体" w:eastAsia="宋体"/>
                <w:color w:val="000000"/>
                <w:szCs w:val="21"/>
              </w:rPr>
            </w:pPr>
            <w:r>
              <w:rPr>
                <w:rFonts w:hint="eastAsia" w:ascii="宋体" w:hAnsi="宋体" w:eastAsia="宋体"/>
                <w:color w:val="000000"/>
                <w:szCs w:val="21"/>
              </w:rPr>
              <w:t>1、评标委员会认为供应商的报价明显低于其他通过第一阶段评审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noWrap w:val="0"/>
            <w:vAlign w:val="center"/>
          </w:tcPr>
          <w:p>
            <w:pPr>
              <w:spacing w:line="400" w:lineRule="exact"/>
              <w:jc w:val="center"/>
              <w:rPr>
                <w:rFonts w:hint="eastAsia" w:ascii="宋体" w:hAnsi="宋体" w:eastAsia="宋体" w:cs="宋体"/>
                <w:color w:val="000000"/>
                <w:szCs w:val="21"/>
              </w:rPr>
            </w:pPr>
          </w:p>
        </w:tc>
        <w:tc>
          <w:tcPr>
            <w:tcW w:w="2712" w:type="dxa"/>
            <w:vMerge w:val="continue"/>
            <w:noWrap w:val="0"/>
            <w:vAlign w:val="center"/>
          </w:tcPr>
          <w:p>
            <w:pPr>
              <w:spacing w:line="400" w:lineRule="exact"/>
              <w:rPr>
                <w:rFonts w:hint="eastAsia" w:ascii="宋体" w:hAnsi="宋体" w:eastAsia="宋体" w:cs="宋体"/>
                <w:color w:val="000000"/>
                <w:szCs w:val="21"/>
              </w:rPr>
            </w:pPr>
          </w:p>
        </w:tc>
        <w:tc>
          <w:tcPr>
            <w:tcW w:w="5983"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符合法律、法规和招标文件中规定的其他实质性要求（实质性要求招标文件中“▲”标记）。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32" w:type="dxa"/>
            <w:gridSpan w:val="2"/>
            <w:noWrap w:val="0"/>
            <w:vAlign w:val="center"/>
          </w:tcPr>
          <w:p>
            <w:pPr>
              <w:spacing w:line="400" w:lineRule="exact"/>
              <w:jc w:val="center"/>
              <w:rPr>
                <w:rFonts w:hint="eastAsia" w:ascii="宋体" w:hAnsi="宋体" w:cs="宋体"/>
                <w:color w:val="000000"/>
                <w:szCs w:val="21"/>
              </w:rPr>
            </w:pPr>
            <w:r>
              <w:rPr>
                <w:rFonts w:hint="eastAsia" w:ascii="宋体" w:hAnsi="宋体" w:cs="宋体"/>
                <w:b/>
                <w:color w:val="000000"/>
                <w:szCs w:val="21"/>
              </w:rPr>
              <w:t>初步审查结论</w:t>
            </w:r>
          </w:p>
        </w:tc>
        <w:tc>
          <w:tcPr>
            <w:tcW w:w="5983" w:type="dxa"/>
            <w:noWrap w:val="0"/>
            <w:vAlign w:val="center"/>
          </w:tcPr>
          <w:p>
            <w:pPr>
              <w:spacing w:line="400" w:lineRule="exact"/>
              <w:rPr>
                <w:rFonts w:hint="eastAsia" w:ascii="宋体" w:hAnsi="宋体" w:cs="宋体"/>
                <w:color w:val="000000"/>
                <w:szCs w:val="21"/>
              </w:rPr>
            </w:pPr>
          </w:p>
        </w:tc>
      </w:tr>
    </w:tbl>
    <w:p>
      <w:pPr>
        <w:spacing w:line="400" w:lineRule="exact"/>
        <w:rPr>
          <w:rFonts w:hint="eastAsia" w:ascii="宋体" w:hAnsi="宋体" w:cs="宋体"/>
          <w:color w:val="000000"/>
          <w:szCs w:val="21"/>
        </w:rPr>
      </w:pPr>
      <w:r>
        <w:rPr>
          <w:rFonts w:hint="eastAsia" w:ascii="宋体" w:hAnsi="宋体" w:cs="宋体"/>
          <w:b/>
          <w:color w:val="000000"/>
        </w:rPr>
        <w:t>注：1、上述审查项目中，任意一项不符合的，初步审查不合格。</w:t>
      </w:r>
    </w:p>
    <w:p>
      <w:pPr>
        <w:spacing w:line="360" w:lineRule="exact"/>
        <w:ind w:right="-1226" w:rightChars="-584"/>
        <w:rPr>
          <w:rFonts w:hint="eastAsia" w:ascii="宋体" w:hAnsi="宋体" w:cs="宋体"/>
          <w:color w:val="000000"/>
          <w:sz w:val="28"/>
          <w:szCs w:val="28"/>
        </w:rPr>
      </w:pPr>
    </w:p>
    <w:p>
      <w:pPr>
        <w:spacing w:line="360" w:lineRule="exact"/>
        <w:ind w:right="-1226" w:rightChars="-584"/>
        <w:rPr>
          <w:rFonts w:hint="eastAsia" w:ascii="宋体" w:hAnsi="宋体" w:cs="宋体"/>
          <w:color w:val="000000"/>
          <w:sz w:val="28"/>
          <w:szCs w:val="28"/>
        </w:rPr>
      </w:pPr>
    </w:p>
    <w:p>
      <w:pPr>
        <w:spacing w:line="360" w:lineRule="exact"/>
        <w:ind w:right="-1226" w:rightChars="-584"/>
        <w:rPr>
          <w:rFonts w:hint="eastAsia" w:ascii="宋体" w:hAnsi="宋体" w:cs="宋体"/>
          <w:color w:val="000000"/>
          <w:sz w:val="28"/>
          <w:szCs w:val="28"/>
        </w:rPr>
      </w:pPr>
    </w:p>
    <w:p>
      <w:pPr>
        <w:rPr>
          <w:rFonts w:hint="eastAsia" w:ascii="宋体" w:hAnsi="宋体" w:cs="宋体"/>
          <w:color w:val="000000"/>
          <w:szCs w:val="21"/>
        </w:rPr>
      </w:pPr>
      <w:r>
        <w:rPr>
          <w:rFonts w:hint="eastAsia" w:ascii="宋体" w:hAnsi="宋体" w:cs="宋体"/>
          <w:color w:val="000000"/>
          <w:szCs w:val="21"/>
        </w:rPr>
        <w:t>附表5</w:t>
      </w:r>
    </w:p>
    <w:p>
      <w:pPr>
        <w:spacing w:line="320" w:lineRule="exact"/>
        <w:jc w:val="center"/>
        <w:rPr>
          <w:rFonts w:hint="eastAsia" w:ascii="宋体" w:hAnsi="宋体" w:cs="宋体"/>
          <w:b/>
          <w:color w:val="000000"/>
          <w:szCs w:val="21"/>
        </w:rPr>
      </w:pPr>
      <w:r>
        <w:rPr>
          <w:rFonts w:hint="eastAsia" w:ascii="宋体" w:hAnsi="宋体" w:cs="宋体"/>
          <w:b/>
          <w:color w:val="000000"/>
          <w:szCs w:val="21"/>
        </w:rPr>
        <w:t>子包一价格评分表</w:t>
      </w:r>
    </w:p>
    <w:tbl>
      <w:tblPr>
        <w:tblStyle w:val="47"/>
        <w:tblpPr w:leftFromText="180" w:rightFromText="180" w:vertAnchor="text" w:horzAnchor="page" w:tblpX="1480" w:tblpY="3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4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8279" w:type="dxa"/>
            <w:gridSpan w:val="2"/>
            <w:tcBorders>
              <w:top w:val="single" w:color="auto" w:sz="4" w:space="0"/>
              <w:left w:val="single" w:color="auto" w:sz="4" w:space="0"/>
              <w:right w:val="single" w:color="auto" w:sz="4" w:space="0"/>
              <w:tl2br w:val="single" w:color="000000" w:sz="4" w:space="0"/>
            </w:tcBorders>
            <w:noWrap w:val="0"/>
            <w:vAlign w:val="top"/>
          </w:tcPr>
          <w:p>
            <w:pPr>
              <w:spacing w:line="320" w:lineRule="exact"/>
              <w:ind w:right="420" w:firstLine="4410" w:firstLineChars="2100"/>
              <w:rPr>
                <w:rFonts w:hint="eastAsia" w:ascii="宋体" w:hAnsi="宋体" w:cs="宋体"/>
                <w:color w:val="000000"/>
                <w:szCs w:val="21"/>
              </w:rPr>
            </w:pPr>
            <w:r>
              <w:rPr>
                <w:rFonts w:hint="eastAsia" w:ascii="宋体" w:hAnsi="宋体" w:cs="宋体"/>
                <w:color w:val="000000"/>
                <w:szCs w:val="21"/>
              </w:rPr>
              <w:t xml:space="preserve">                        投标商</w:t>
            </w:r>
          </w:p>
          <w:p>
            <w:pPr>
              <w:spacing w:line="320" w:lineRule="exact"/>
              <w:ind w:firstLine="945" w:firstLineChars="450"/>
              <w:rPr>
                <w:rFonts w:hint="eastAsia" w:ascii="宋体" w:hAnsi="宋体" w:cs="宋体"/>
                <w:color w:val="000000"/>
                <w:szCs w:val="21"/>
                <w:lang w:val="ru-RU"/>
              </w:rPr>
            </w:pPr>
            <w:r>
              <w:rPr>
                <w:rFonts w:hint="eastAsia" w:ascii="宋体" w:hAnsi="宋体" w:cs="宋体"/>
                <w:color w:val="000000"/>
                <w:szCs w:val="21"/>
              </w:rPr>
              <w:t>分值</w:t>
            </w:r>
          </w:p>
        </w:tc>
        <w:tc>
          <w:tcPr>
            <w:tcW w:w="1077"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cs="宋体"/>
                <w:color w:val="000000"/>
                <w:szCs w:val="21"/>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802" w:type="dxa"/>
            <w:tcBorders>
              <w:left w:val="single" w:color="auto" w:sz="4" w:space="0"/>
              <w:right w:val="single" w:color="auto" w:sz="4" w:space="0"/>
            </w:tcBorders>
            <w:noWrap w:val="0"/>
            <w:vAlign w:val="center"/>
          </w:tcPr>
          <w:p>
            <w:pPr>
              <w:spacing w:line="340" w:lineRule="exact"/>
              <w:jc w:val="center"/>
              <w:rPr>
                <w:rFonts w:hint="eastAsia" w:ascii="宋体" w:hAnsi="宋体" w:cs="宋体"/>
                <w:color w:val="000000"/>
                <w:szCs w:val="21"/>
              </w:rPr>
            </w:pPr>
            <w:r>
              <w:rPr>
                <w:rFonts w:hint="eastAsia" w:ascii="宋体" w:hAnsi="宋体" w:cs="宋体"/>
                <w:color w:val="000000"/>
                <w:szCs w:val="21"/>
              </w:rPr>
              <w:t>价格分</w:t>
            </w:r>
            <w:r>
              <w:rPr>
                <w:rFonts w:hint="eastAsia" w:ascii="宋体" w:hAnsi="宋体" w:eastAsia="宋体" w:cs="宋体"/>
                <w:color w:val="000000"/>
                <w:szCs w:val="21"/>
              </w:rPr>
              <w:t>30</w:t>
            </w:r>
            <w:r>
              <w:rPr>
                <w:rFonts w:hint="eastAsia" w:ascii="宋体" w:hAnsi="宋体" w:cs="宋体"/>
                <w:color w:val="000000"/>
                <w:szCs w:val="21"/>
              </w:rPr>
              <w:t>分</w:t>
            </w:r>
          </w:p>
        </w:tc>
        <w:tc>
          <w:tcPr>
            <w:tcW w:w="7477" w:type="dxa"/>
            <w:tcBorders>
              <w:left w:val="single" w:color="auto" w:sz="4" w:space="0"/>
            </w:tcBorders>
            <w:noWrap w:val="0"/>
            <w:vAlign w:val="center"/>
          </w:tcPr>
          <w:p>
            <w:pPr>
              <w:spacing w:line="240" w:lineRule="exact"/>
              <w:jc w:val="left"/>
              <w:rPr>
                <w:rFonts w:ascii="宋体" w:hAnsi="宋体"/>
                <w:color w:val="000000"/>
                <w:szCs w:val="21"/>
              </w:rPr>
            </w:pPr>
            <w:r>
              <w:rPr>
                <w:rFonts w:hint="eastAsia" w:ascii="宋体" w:hAnsi="宋体"/>
                <w:color w:val="000000"/>
                <w:szCs w:val="21"/>
              </w:rPr>
              <w:t>参与评审的价格=评标价-小微企业价格扣除优惠值（6%）</w:t>
            </w:r>
          </w:p>
          <w:p>
            <w:pPr>
              <w:spacing w:line="240" w:lineRule="exact"/>
              <w:jc w:val="left"/>
              <w:rPr>
                <w:rFonts w:ascii="宋体" w:hAnsi="宋体"/>
                <w:color w:val="000000"/>
                <w:szCs w:val="21"/>
              </w:rPr>
            </w:pPr>
            <w:r>
              <w:rPr>
                <w:rFonts w:hint="eastAsia" w:ascii="宋体" w:hAnsi="宋体"/>
                <w:color w:val="000000"/>
                <w:szCs w:val="21"/>
              </w:rPr>
              <w:t>评标基准价=满足招标文件要求且“参与评审的价格”中最低的价格</w:t>
            </w:r>
          </w:p>
          <w:p>
            <w:pPr>
              <w:spacing w:line="240" w:lineRule="exact"/>
              <w:jc w:val="left"/>
              <w:rPr>
                <w:rFonts w:ascii="宋体" w:hAnsi="宋体"/>
                <w:color w:val="000000"/>
                <w:szCs w:val="21"/>
              </w:rPr>
            </w:pPr>
            <w:r>
              <w:rPr>
                <w:rFonts w:hint="eastAsia" w:ascii="宋体" w:hAnsi="宋体"/>
                <w:color w:val="000000"/>
                <w:szCs w:val="21"/>
              </w:rPr>
              <w:t>基准价得分为满分30分，其他投标报价得分计算公式如下：</w:t>
            </w:r>
          </w:p>
          <w:p>
            <w:pPr>
              <w:widowControl/>
              <w:jc w:val="left"/>
              <w:rPr>
                <w:rFonts w:hint="eastAsia" w:ascii="宋体" w:hAnsi="宋体" w:cs="宋体"/>
                <w:color w:val="000000"/>
                <w:szCs w:val="21"/>
              </w:rPr>
            </w:pPr>
            <w:r>
              <w:rPr>
                <w:rFonts w:hint="eastAsia" w:ascii="宋体" w:hAnsi="宋体"/>
                <w:color w:val="000000"/>
                <w:szCs w:val="21"/>
              </w:rPr>
              <w:t>投标报价得分=（评标基准价/参与评审的价格）×30%×100</w:t>
            </w:r>
          </w:p>
        </w:tc>
        <w:tc>
          <w:tcPr>
            <w:tcW w:w="1077" w:type="dxa"/>
            <w:tcBorders>
              <w:right w:val="single" w:color="auto" w:sz="4" w:space="0"/>
            </w:tcBorders>
            <w:noWrap w:val="0"/>
            <w:vAlign w:val="center"/>
          </w:tcPr>
          <w:p>
            <w:pPr>
              <w:spacing w:line="320" w:lineRule="exact"/>
              <w:jc w:val="center"/>
              <w:rPr>
                <w:rFonts w:hint="eastAsia" w:ascii="宋体" w:hAnsi="宋体" w:cs="宋体"/>
                <w:color w:val="000000"/>
                <w:szCs w:val="21"/>
              </w:rPr>
            </w:pPr>
            <w:r>
              <w:rPr>
                <w:rFonts w:hint="eastAsia" w:ascii="宋体" w:hAnsi="宋体" w:eastAsia="宋体" w:cs="宋体"/>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79" w:type="dxa"/>
            <w:gridSpan w:val="2"/>
            <w:tcBorders>
              <w:left w:val="single" w:color="auto" w:sz="4" w:space="0"/>
              <w:bottom w:val="single" w:color="auto" w:sz="4" w:space="0"/>
            </w:tcBorders>
            <w:noWrap w:val="0"/>
            <w:vAlign w:val="center"/>
          </w:tcPr>
          <w:p>
            <w:pPr>
              <w:spacing w:line="320" w:lineRule="exact"/>
              <w:jc w:val="center"/>
              <w:rPr>
                <w:rFonts w:hint="eastAsia" w:ascii="宋体" w:hAnsi="宋体" w:cs="宋体"/>
                <w:color w:val="000000"/>
                <w:szCs w:val="21"/>
              </w:rPr>
            </w:pPr>
            <w:r>
              <w:rPr>
                <w:rFonts w:hint="eastAsia" w:ascii="宋体" w:hAnsi="宋体" w:cs="宋体"/>
                <w:b/>
                <w:color w:val="000000"/>
                <w:sz w:val="22"/>
                <w:szCs w:val="18"/>
              </w:rPr>
              <w:t>报价得分（30分）</w:t>
            </w:r>
          </w:p>
        </w:tc>
        <w:tc>
          <w:tcPr>
            <w:tcW w:w="1077" w:type="dxa"/>
            <w:tcBorders>
              <w:bottom w:val="single" w:color="auto" w:sz="4" w:space="0"/>
              <w:right w:val="single" w:color="auto" w:sz="4" w:space="0"/>
            </w:tcBorders>
            <w:noWrap w:val="0"/>
            <w:vAlign w:val="center"/>
          </w:tcPr>
          <w:p>
            <w:pPr>
              <w:spacing w:line="320" w:lineRule="exact"/>
              <w:jc w:val="center"/>
              <w:rPr>
                <w:rFonts w:hint="eastAsia" w:ascii="宋体" w:hAnsi="宋体" w:cs="宋体"/>
                <w:color w:val="000000"/>
                <w:szCs w:val="21"/>
              </w:rPr>
            </w:pPr>
          </w:p>
        </w:tc>
      </w:tr>
    </w:tbl>
    <w:p>
      <w:pPr>
        <w:spacing w:line="320" w:lineRule="exact"/>
        <w:rPr>
          <w:rFonts w:hint="eastAsia" w:ascii="宋体" w:hAnsi="宋体" w:cs="宋体"/>
          <w:b/>
          <w:color w:val="000000"/>
          <w:szCs w:val="21"/>
        </w:rPr>
      </w:pPr>
      <w:r>
        <w:rPr>
          <w:rFonts w:hint="eastAsia" w:ascii="宋体" w:hAnsi="宋体" w:cs="宋体"/>
          <w:b/>
          <w:bCs/>
          <w:color w:val="000000"/>
          <w:szCs w:val="21"/>
        </w:rPr>
        <w:t xml:space="preserve"> </w:t>
      </w:r>
      <w:r>
        <w:rPr>
          <w:rFonts w:hint="eastAsia" w:ascii="宋体" w:hAnsi="宋体" w:cs="宋体"/>
          <w:b/>
          <w:color w:val="000000"/>
          <w:szCs w:val="21"/>
        </w:rPr>
        <w:t xml:space="preserve">                                         </w:t>
      </w:r>
    </w:p>
    <w:p>
      <w:pPr>
        <w:spacing w:line="360" w:lineRule="exact"/>
        <w:ind w:right="-1226" w:rightChars="-584"/>
        <w:rPr>
          <w:rFonts w:hint="eastAsia" w:ascii="宋体" w:hAnsi="宋体" w:cs="宋体"/>
          <w:color w:val="000000"/>
          <w:sz w:val="28"/>
          <w:szCs w:val="28"/>
        </w:rPr>
      </w:pPr>
    </w:p>
    <w:p>
      <w:pPr>
        <w:pStyle w:val="2"/>
        <w:rPr>
          <w:rFonts w:hint="eastAsia" w:ascii="宋体" w:hAnsi="宋体" w:cs="宋体"/>
          <w:color w:val="000000"/>
          <w:sz w:val="28"/>
          <w:szCs w:val="28"/>
        </w:rPr>
      </w:pPr>
    </w:p>
    <w:p>
      <w:pPr>
        <w:pStyle w:val="2"/>
        <w:rPr>
          <w:rFonts w:hint="eastAsia" w:ascii="宋体" w:hAnsi="宋体" w:cs="宋体"/>
          <w:color w:val="000000"/>
          <w:sz w:val="28"/>
          <w:szCs w:val="28"/>
        </w:rPr>
      </w:pPr>
    </w:p>
    <w:p>
      <w:pPr>
        <w:spacing w:line="320" w:lineRule="exact"/>
        <w:jc w:val="center"/>
        <w:rPr>
          <w:rFonts w:hint="eastAsia" w:ascii="宋体" w:hAnsi="宋体" w:cs="宋体"/>
          <w:b/>
          <w:color w:val="000000"/>
          <w:szCs w:val="21"/>
        </w:rPr>
      </w:pPr>
      <w:r>
        <w:rPr>
          <w:rFonts w:hint="eastAsia" w:ascii="宋体" w:hAnsi="宋体" w:cs="宋体"/>
          <w:b/>
          <w:color w:val="000000"/>
          <w:szCs w:val="21"/>
        </w:rPr>
        <w:t>子包二价格评分表</w:t>
      </w:r>
    </w:p>
    <w:tbl>
      <w:tblPr>
        <w:tblStyle w:val="47"/>
        <w:tblpPr w:leftFromText="180" w:rightFromText="180" w:vertAnchor="text" w:horzAnchor="page" w:tblpX="1480" w:tblpY="3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4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1" w:hRule="atLeast"/>
        </w:trPr>
        <w:tc>
          <w:tcPr>
            <w:tcW w:w="8279" w:type="dxa"/>
            <w:gridSpan w:val="2"/>
            <w:tcBorders>
              <w:top w:val="single" w:color="auto" w:sz="4" w:space="0"/>
              <w:left w:val="single" w:color="auto" w:sz="4" w:space="0"/>
              <w:right w:val="single" w:color="auto" w:sz="4" w:space="0"/>
              <w:tl2br w:val="single" w:color="000000" w:sz="4" w:space="0"/>
            </w:tcBorders>
            <w:noWrap w:val="0"/>
            <w:vAlign w:val="top"/>
          </w:tcPr>
          <w:p>
            <w:pPr>
              <w:spacing w:line="320" w:lineRule="exact"/>
              <w:ind w:right="420" w:firstLine="4410" w:firstLineChars="2100"/>
              <w:rPr>
                <w:rFonts w:hint="eastAsia" w:ascii="宋体" w:hAnsi="宋体" w:cs="宋体"/>
                <w:color w:val="000000"/>
                <w:szCs w:val="21"/>
              </w:rPr>
            </w:pPr>
            <w:r>
              <w:rPr>
                <w:rFonts w:hint="eastAsia" w:ascii="宋体" w:hAnsi="宋体" w:cs="宋体"/>
                <w:color w:val="000000"/>
                <w:szCs w:val="21"/>
              </w:rPr>
              <w:t xml:space="preserve">                        投标商</w:t>
            </w:r>
          </w:p>
          <w:p>
            <w:pPr>
              <w:spacing w:line="320" w:lineRule="exact"/>
              <w:ind w:firstLine="945" w:firstLineChars="450"/>
              <w:rPr>
                <w:rFonts w:hint="eastAsia" w:ascii="宋体" w:hAnsi="宋体" w:cs="宋体"/>
                <w:color w:val="000000"/>
                <w:szCs w:val="21"/>
                <w:lang w:val="ru-RU"/>
              </w:rPr>
            </w:pPr>
            <w:r>
              <w:rPr>
                <w:rFonts w:hint="eastAsia" w:ascii="宋体" w:hAnsi="宋体" w:cs="宋体"/>
                <w:color w:val="000000"/>
                <w:szCs w:val="21"/>
              </w:rPr>
              <w:t>分值</w:t>
            </w:r>
          </w:p>
        </w:tc>
        <w:tc>
          <w:tcPr>
            <w:tcW w:w="1077"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cs="宋体"/>
                <w:color w:val="000000"/>
                <w:szCs w:val="21"/>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802" w:type="dxa"/>
            <w:tcBorders>
              <w:left w:val="single" w:color="auto" w:sz="4" w:space="0"/>
              <w:right w:val="single" w:color="auto" w:sz="4" w:space="0"/>
            </w:tcBorders>
            <w:noWrap w:val="0"/>
            <w:vAlign w:val="center"/>
          </w:tcPr>
          <w:p>
            <w:pPr>
              <w:spacing w:line="340" w:lineRule="exact"/>
              <w:jc w:val="center"/>
              <w:rPr>
                <w:rFonts w:hint="eastAsia" w:ascii="宋体" w:hAnsi="宋体" w:cs="宋体"/>
                <w:color w:val="000000"/>
                <w:szCs w:val="21"/>
              </w:rPr>
            </w:pPr>
            <w:r>
              <w:rPr>
                <w:rFonts w:hint="eastAsia" w:ascii="宋体" w:hAnsi="宋体" w:cs="宋体"/>
                <w:color w:val="000000"/>
                <w:szCs w:val="21"/>
              </w:rPr>
              <w:t>价格分</w:t>
            </w:r>
            <w:r>
              <w:rPr>
                <w:rFonts w:hint="eastAsia" w:ascii="宋体" w:hAnsi="宋体" w:eastAsia="宋体" w:cs="宋体"/>
                <w:color w:val="000000"/>
                <w:szCs w:val="21"/>
              </w:rPr>
              <w:t>30</w:t>
            </w:r>
            <w:r>
              <w:rPr>
                <w:rFonts w:hint="eastAsia" w:ascii="宋体" w:hAnsi="宋体" w:cs="宋体"/>
                <w:color w:val="000000"/>
                <w:szCs w:val="21"/>
              </w:rPr>
              <w:t>分</w:t>
            </w:r>
          </w:p>
        </w:tc>
        <w:tc>
          <w:tcPr>
            <w:tcW w:w="7477" w:type="dxa"/>
            <w:tcBorders>
              <w:left w:val="single" w:color="auto" w:sz="4" w:space="0"/>
            </w:tcBorders>
            <w:noWrap w:val="0"/>
            <w:vAlign w:val="center"/>
          </w:tcPr>
          <w:p>
            <w:pPr>
              <w:spacing w:line="240" w:lineRule="exact"/>
              <w:jc w:val="left"/>
              <w:rPr>
                <w:rFonts w:ascii="宋体" w:hAnsi="宋体"/>
                <w:color w:val="000000"/>
                <w:szCs w:val="21"/>
              </w:rPr>
            </w:pPr>
            <w:r>
              <w:rPr>
                <w:rFonts w:hint="eastAsia" w:ascii="宋体" w:hAnsi="宋体"/>
                <w:color w:val="000000"/>
                <w:szCs w:val="21"/>
              </w:rPr>
              <w:t>参与评审的价格=评标价-小微企业价格扣除优惠值（6%）</w:t>
            </w:r>
          </w:p>
          <w:p>
            <w:pPr>
              <w:spacing w:line="240" w:lineRule="exact"/>
              <w:jc w:val="left"/>
              <w:rPr>
                <w:rFonts w:ascii="宋体" w:hAnsi="宋体"/>
                <w:color w:val="000000"/>
                <w:szCs w:val="21"/>
              </w:rPr>
            </w:pPr>
            <w:r>
              <w:rPr>
                <w:rFonts w:hint="eastAsia" w:ascii="宋体" w:hAnsi="宋体"/>
                <w:color w:val="000000"/>
                <w:szCs w:val="21"/>
              </w:rPr>
              <w:t>评标基准价=满足招标文件要求且“参与评审的价格”中最低的价格</w:t>
            </w:r>
          </w:p>
          <w:p>
            <w:pPr>
              <w:spacing w:line="240" w:lineRule="exact"/>
              <w:jc w:val="left"/>
              <w:rPr>
                <w:rFonts w:ascii="宋体" w:hAnsi="宋体"/>
                <w:color w:val="000000"/>
                <w:szCs w:val="21"/>
              </w:rPr>
            </w:pPr>
            <w:r>
              <w:rPr>
                <w:rFonts w:hint="eastAsia" w:ascii="宋体" w:hAnsi="宋体"/>
                <w:color w:val="000000"/>
                <w:szCs w:val="21"/>
              </w:rPr>
              <w:t>基准价得分为满分30分，其他投标报价得分计算公式如下：</w:t>
            </w:r>
          </w:p>
          <w:p>
            <w:pPr>
              <w:widowControl/>
              <w:jc w:val="left"/>
              <w:rPr>
                <w:rFonts w:hint="eastAsia" w:ascii="宋体" w:hAnsi="宋体" w:cs="宋体"/>
                <w:color w:val="000000"/>
                <w:szCs w:val="21"/>
              </w:rPr>
            </w:pPr>
            <w:r>
              <w:rPr>
                <w:rFonts w:hint="eastAsia" w:ascii="宋体" w:hAnsi="宋体"/>
                <w:color w:val="000000"/>
                <w:szCs w:val="21"/>
              </w:rPr>
              <w:t>投标报价得分=（评标基准价/参与评审的价格）×30%×100</w:t>
            </w:r>
          </w:p>
        </w:tc>
        <w:tc>
          <w:tcPr>
            <w:tcW w:w="1077" w:type="dxa"/>
            <w:tcBorders>
              <w:right w:val="single" w:color="auto" w:sz="4" w:space="0"/>
            </w:tcBorders>
            <w:noWrap w:val="0"/>
            <w:vAlign w:val="center"/>
          </w:tcPr>
          <w:p>
            <w:pPr>
              <w:spacing w:line="320" w:lineRule="exact"/>
              <w:jc w:val="center"/>
              <w:rPr>
                <w:rFonts w:hint="eastAsia" w:ascii="宋体" w:hAnsi="宋体" w:cs="宋体"/>
                <w:color w:val="000000"/>
                <w:szCs w:val="21"/>
              </w:rPr>
            </w:pPr>
            <w:r>
              <w:rPr>
                <w:rFonts w:hint="eastAsia" w:ascii="宋体" w:hAnsi="宋体" w:eastAsia="宋体" w:cs="宋体"/>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79" w:type="dxa"/>
            <w:gridSpan w:val="2"/>
            <w:tcBorders>
              <w:left w:val="single" w:color="auto" w:sz="4" w:space="0"/>
              <w:bottom w:val="single" w:color="auto" w:sz="4" w:space="0"/>
            </w:tcBorders>
            <w:noWrap w:val="0"/>
            <w:vAlign w:val="center"/>
          </w:tcPr>
          <w:p>
            <w:pPr>
              <w:spacing w:line="320" w:lineRule="exact"/>
              <w:jc w:val="center"/>
              <w:rPr>
                <w:rFonts w:hint="eastAsia" w:ascii="宋体" w:hAnsi="宋体" w:cs="宋体"/>
                <w:color w:val="000000"/>
                <w:szCs w:val="21"/>
              </w:rPr>
            </w:pPr>
            <w:r>
              <w:rPr>
                <w:rFonts w:hint="eastAsia" w:ascii="宋体" w:hAnsi="宋体" w:cs="宋体"/>
                <w:b/>
                <w:color w:val="000000"/>
                <w:sz w:val="22"/>
                <w:szCs w:val="18"/>
              </w:rPr>
              <w:t>报价得分（30分）</w:t>
            </w:r>
          </w:p>
        </w:tc>
        <w:tc>
          <w:tcPr>
            <w:tcW w:w="1077" w:type="dxa"/>
            <w:tcBorders>
              <w:bottom w:val="single" w:color="auto" w:sz="4" w:space="0"/>
              <w:right w:val="single" w:color="auto" w:sz="4" w:space="0"/>
            </w:tcBorders>
            <w:noWrap w:val="0"/>
            <w:vAlign w:val="center"/>
          </w:tcPr>
          <w:p>
            <w:pPr>
              <w:spacing w:line="320" w:lineRule="exact"/>
              <w:jc w:val="center"/>
              <w:rPr>
                <w:rFonts w:hint="eastAsia" w:ascii="宋体" w:hAnsi="宋体" w:cs="宋体"/>
                <w:color w:val="000000"/>
                <w:szCs w:val="21"/>
              </w:rPr>
            </w:pPr>
          </w:p>
        </w:tc>
      </w:tr>
    </w:tbl>
    <w:p>
      <w:pPr>
        <w:spacing w:line="320" w:lineRule="exact"/>
        <w:rPr>
          <w:rFonts w:hint="eastAsia" w:ascii="宋体" w:hAnsi="宋体" w:cs="宋体"/>
          <w:b/>
          <w:color w:val="000000"/>
          <w:szCs w:val="21"/>
        </w:rPr>
      </w:pPr>
      <w:r>
        <w:rPr>
          <w:rFonts w:hint="eastAsia" w:ascii="宋体" w:hAnsi="宋体" w:cs="宋体"/>
          <w:b/>
          <w:bCs/>
          <w:color w:val="000000"/>
          <w:szCs w:val="21"/>
        </w:rPr>
        <w:t xml:space="preserve"> </w:t>
      </w:r>
      <w:r>
        <w:rPr>
          <w:rFonts w:hint="eastAsia" w:ascii="宋体" w:hAnsi="宋体" w:cs="宋体"/>
          <w:b/>
          <w:color w:val="000000"/>
          <w:szCs w:val="21"/>
        </w:rPr>
        <w:t xml:space="preserve">                                         </w:t>
      </w:r>
    </w:p>
    <w:p>
      <w:pPr>
        <w:spacing w:line="360" w:lineRule="exact"/>
        <w:ind w:right="-1226" w:rightChars="-584"/>
        <w:rPr>
          <w:rFonts w:hint="eastAsia" w:ascii="宋体" w:hAnsi="宋体" w:cs="宋体"/>
          <w:color w:val="000000"/>
          <w:sz w:val="28"/>
          <w:szCs w:val="28"/>
        </w:rPr>
        <w:sectPr>
          <w:headerReference r:id="rId10" w:type="default"/>
          <w:footerReference r:id="rId11" w:type="default"/>
          <w:type w:val="nextColumn"/>
          <w:pgSz w:w="11907" w:h="16840"/>
          <w:pgMar w:top="1418" w:right="1134" w:bottom="1418" w:left="1134" w:header="285" w:footer="616" w:gutter="0"/>
          <w:cols w:space="720" w:num="1"/>
          <w:docGrid w:linePitch="285" w:charSpace="0"/>
        </w:sectPr>
      </w:pPr>
    </w:p>
    <w:p>
      <w:pPr>
        <w:spacing w:line="400" w:lineRule="exact"/>
        <w:jc w:val="center"/>
        <w:outlineLvl w:val="0"/>
        <w:rPr>
          <w:rFonts w:hint="eastAsia" w:ascii="宋体" w:hAnsi="宋体" w:cs="宋体"/>
          <w:b/>
          <w:color w:val="000000"/>
          <w:sz w:val="32"/>
        </w:rPr>
      </w:pPr>
      <w:bookmarkStart w:id="111" w:name="_Toc16469"/>
      <w:r>
        <w:rPr>
          <w:rFonts w:hint="eastAsia" w:ascii="宋体" w:hAnsi="宋体" w:cs="宋体"/>
          <w:b/>
          <w:color w:val="000000"/>
          <w:sz w:val="32"/>
        </w:rPr>
        <w:t>第四章  合同样本</w:t>
      </w:r>
      <w:bookmarkEnd w:id="111"/>
    </w:p>
    <w:p>
      <w:pPr>
        <w:pStyle w:val="23"/>
        <w:snapToGrid w:val="0"/>
        <w:spacing w:line="400" w:lineRule="exact"/>
        <w:jc w:val="center"/>
        <w:rPr>
          <w:rFonts w:hint="eastAsia"/>
          <w:b/>
          <w:color w:val="000000"/>
          <w:sz w:val="21"/>
          <w:szCs w:val="21"/>
        </w:rPr>
      </w:pPr>
      <w:r>
        <w:rPr>
          <w:rFonts w:hint="eastAsia"/>
          <w:b/>
          <w:color w:val="000000"/>
          <w:sz w:val="21"/>
          <w:szCs w:val="21"/>
        </w:rPr>
        <w:t>（本合同为合同样稿，最终稿由甲乙双方协商后确定）</w:t>
      </w:r>
    </w:p>
    <w:p>
      <w:pPr>
        <w:adjustRightInd w:val="0"/>
        <w:snapToGrid w:val="0"/>
        <w:spacing w:line="400" w:lineRule="exact"/>
        <w:rPr>
          <w:rFonts w:hint="eastAsia" w:ascii="宋体" w:hAnsi="宋体" w:cs="宋体"/>
          <w:color w:val="000000"/>
          <w:szCs w:val="21"/>
        </w:rPr>
      </w:pPr>
      <w:bookmarkStart w:id="112" w:name="_Toc216662965"/>
      <w:r>
        <w:rPr>
          <w:rFonts w:hint="eastAsia" w:ascii="宋体" w:hAnsi="宋体" w:cs="宋体"/>
          <w:color w:val="000000"/>
          <w:szCs w:val="21"/>
        </w:rPr>
        <w:t>项目名称：                                     项目编号：</w:t>
      </w:r>
    </w:p>
    <w:p>
      <w:pPr>
        <w:pStyle w:val="2"/>
        <w:rPr>
          <w:rFonts w:hint="eastAsia" w:ascii="宋体" w:hAnsi="宋体" w:cs="宋体"/>
          <w:i w:val="0"/>
          <w:color w:val="000000"/>
          <w:sz w:val="21"/>
          <w:szCs w:val="21"/>
        </w:rPr>
      </w:pPr>
      <w:r>
        <w:rPr>
          <w:rFonts w:hint="eastAsia" w:ascii="宋体" w:hAnsi="宋体" w:cs="宋体"/>
          <w:i w:val="0"/>
          <w:color w:val="000000"/>
          <w:sz w:val="21"/>
          <w:szCs w:val="21"/>
        </w:rPr>
        <w:t>子包号：</w:t>
      </w:r>
    </w:p>
    <w:p>
      <w:pPr>
        <w:adjustRightInd w:val="0"/>
        <w:snapToGrid w:val="0"/>
        <w:spacing w:line="400" w:lineRule="exact"/>
        <w:rPr>
          <w:rFonts w:hint="eastAsia" w:ascii="宋体" w:hAnsi="宋体" w:cs="宋体"/>
          <w:color w:val="000000"/>
          <w:szCs w:val="21"/>
        </w:rPr>
      </w:pPr>
      <w:r>
        <w:rPr>
          <w:rFonts w:hint="eastAsia" w:ascii="宋体" w:hAnsi="宋体" w:cs="宋体"/>
          <w:color w:val="000000"/>
          <w:szCs w:val="21"/>
        </w:rPr>
        <w:t>甲方：宁波杭州湾新区教育发展中心</w:t>
      </w:r>
    </w:p>
    <w:p>
      <w:pPr>
        <w:adjustRightInd w:val="0"/>
        <w:snapToGrid w:val="0"/>
        <w:spacing w:line="400" w:lineRule="exact"/>
        <w:rPr>
          <w:rFonts w:hint="eastAsia" w:ascii="宋体" w:hAnsi="宋体" w:cs="宋体"/>
          <w:color w:val="000000"/>
          <w:szCs w:val="21"/>
        </w:rPr>
      </w:pPr>
      <w:r>
        <w:rPr>
          <w:rFonts w:hint="eastAsia" w:ascii="宋体" w:hAnsi="宋体" w:cs="宋体"/>
          <w:color w:val="000000"/>
          <w:szCs w:val="21"/>
        </w:rPr>
        <w:t>乙方：</w:t>
      </w:r>
    </w:p>
    <w:p>
      <w:pPr>
        <w:adjustRightInd w:val="0"/>
        <w:snapToGrid w:val="0"/>
        <w:spacing w:line="400" w:lineRule="exact"/>
        <w:rPr>
          <w:rFonts w:hint="eastAsia" w:ascii="宋体" w:hAnsi="宋体" w:cs="宋体"/>
          <w:color w:val="000000"/>
          <w:szCs w:val="21"/>
        </w:rPr>
      </w:pPr>
      <w:r>
        <w:rPr>
          <w:rFonts w:hint="eastAsia" w:ascii="宋体" w:hAnsi="宋体" w:cs="宋体"/>
          <w:color w:val="000000"/>
          <w:szCs w:val="21"/>
        </w:rPr>
        <w:t>甲、乙双方根据</w:t>
      </w:r>
      <w:r>
        <w:rPr>
          <w:rFonts w:hint="eastAsia" w:ascii="宋体" w:hAnsi="宋体" w:cs="宋体"/>
          <w:color w:val="000000"/>
          <w:szCs w:val="21"/>
          <w:u w:val="single"/>
        </w:rPr>
        <w:t xml:space="preserve">                       项目名称             </w:t>
      </w:r>
      <w:r>
        <w:rPr>
          <w:rFonts w:hint="eastAsia" w:ascii="宋体" w:hAnsi="宋体" w:cs="宋体"/>
          <w:color w:val="000000"/>
          <w:szCs w:val="21"/>
        </w:rPr>
        <w:t>的结果，签署本合同。</w:t>
      </w:r>
      <w:bookmarkStart w:id="113" w:name="_Toc216662969"/>
    </w:p>
    <w:bookmarkEnd w:id="113"/>
    <w:p>
      <w:pPr>
        <w:adjustRightInd w:val="0"/>
        <w:snapToGrid w:val="0"/>
        <w:spacing w:line="400" w:lineRule="exact"/>
        <w:rPr>
          <w:rFonts w:hint="eastAsia" w:ascii="宋体" w:hAnsi="宋体" w:cs="宋体"/>
          <w:color w:val="000000"/>
          <w:szCs w:val="21"/>
        </w:rPr>
      </w:pPr>
      <w:r>
        <w:rPr>
          <w:rFonts w:hint="eastAsia" w:ascii="宋体" w:hAnsi="宋体" w:cs="宋体"/>
          <w:b/>
          <w:bCs/>
          <w:color w:val="000000"/>
          <w:szCs w:val="21"/>
        </w:rPr>
        <w:t xml:space="preserve">一、采购商品清单及合同价格 </w:t>
      </w:r>
      <w:r>
        <w:rPr>
          <w:rFonts w:hint="eastAsia" w:ascii="宋体" w:hAnsi="宋体" w:cs="宋体"/>
          <w:color w:val="000000"/>
          <w:szCs w:val="21"/>
        </w:rPr>
        <w:t xml:space="preserve"> </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60"/>
        <w:gridCol w:w="2509"/>
        <w:gridCol w:w="900"/>
        <w:gridCol w:w="1802"/>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440" w:type="dxa"/>
            <w:noWrap w:val="0"/>
            <w:vAlign w:val="center"/>
          </w:tcPr>
          <w:p>
            <w:pPr>
              <w:pStyle w:val="23"/>
              <w:snapToGrid w:val="0"/>
              <w:spacing w:line="400" w:lineRule="exact"/>
              <w:jc w:val="center"/>
              <w:rPr>
                <w:rFonts w:hint="eastAsia"/>
                <w:color w:val="000000"/>
                <w:sz w:val="21"/>
                <w:szCs w:val="21"/>
              </w:rPr>
            </w:pPr>
            <w:r>
              <w:rPr>
                <w:rFonts w:hint="eastAsia"/>
                <w:color w:val="000000"/>
                <w:sz w:val="21"/>
                <w:szCs w:val="21"/>
              </w:rPr>
              <w:t>使用单位</w:t>
            </w:r>
          </w:p>
        </w:tc>
        <w:tc>
          <w:tcPr>
            <w:tcW w:w="1260" w:type="dxa"/>
            <w:noWrap w:val="0"/>
            <w:vAlign w:val="center"/>
          </w:tcPr>
          <w:p>
            <w:pPr>
              <w:pStyle w:val="23"/>
              <w:snapToGrid w:val="0"/>
              <w:spacing w:line="400" w:lineRule="exact"/>
              <w:jc w:val="center"/>
              <w:rPr>
                <w:rFonts w:hint="eastAsia"/>
                <w:color w:val="000000"/>
                <w:sz w:val="21"/>
                <w:szCs w:val="21"/>
              </w:rPr>
            </w:pPr>
            <w:r>
              <w:rPr>
                <w:rFonts w:hint="eastAsia"/>
                <w:color w:val="000000"/>
                <w:sz w:val="21"/>
                <w:szCs w:val="21"/>
              </w:rPr>
              <w:t>名称</w:t>
            </w:r>
          </w:p>
        </w:tc>
        <w:tc>
          <w:tcPr>
            <w:tcW w:w="2509" w:type="dxa"/>
            <w:noWrap w:val="0"/>
            <w:vAlign w:val="center"/>
          </w:tcPr>
          <w:p>
            <w:pPr>
              <w:pStyle w:val="23"/>
              <w:snapToGrid w:val="0"/>
              <w:spacing w:line="400" w:lineRule="exact"/>
              <w:jc w:val="center"/>
              <w:rPr>
                <w:rFonts w:hint="eastAsia"/>
                <w:color w:val="000000"/>
                <w:sz w:val="21"/>
                <w:szCs w:val="21"/>
              </w:rPr>
            </w:pPr>
            <w:r>
              <w:rPr>
                <w:rFonts w:hint="eastAsia"/>
                <w:color w:val="000000"/>
                <w:sz w:val="21"/>
                <w:szCs w:val="21"/>
              </w:rPr>
              <w:t>货物要求</w:t>
            </w:r>
          </w:p>
        </w:tc>
        <w:tc>
          <w:tcPr>
            <w:tcW w:w="900" w:type="dxa"/>
            <w:noWrap w:val="0"/>
            <w:vAlign w:val="center"/>
          </w:tcPr>
          <w:p>
            <w:pPr>
              <w:pStyle w:val="23"/>
              <w:snapToGrid w:val="0"/>
              <w:spacing w:line="400" w:lineRule="exact"/>
              <w:jc w:val="center"/>
              <w:rPr>
                <w:rFonts w:hint="eastAsia"/>
                <w:color w:val="000000"/>
                <w:sz w:val="21"/>
                <w:szCs w:val="21"/>
              </w:rPr>
            </w:pPr>
            <w:r>
              <w:rPr>
                <w:rFonts w:hint="eastAsia"/>
                <w:color w:val="000000"/>
                <w:sz w:val="21"/>
                <w:szCs w:val="21"/>
              </w:rPr>
              <w:t>数量</w:t>
            </w:r>
          </w:p>
        </w:tc>
        <w:tc>
          <w:tcPr>
            <w:tcW w:w="1802" w:type="dxa"/>
            <w:noWrap w:val="0"/>
            <w:vAlign w:val="center"/>
          </w:tcPr>
          <w:p>
            <w:pPr>
              <w:pStyle w:val="23"/>
              <w:snapToGrid w:val="0"/>
              <w:spacing w:line="400" w:lineRule="exact"/>
              <w:jc w:val="center"/>
              <w:rPr>
                <w:rFonts w:hint="eastAsia"/>
                <w:color w:val="000000"/>
                <w:sz w:val="21"/>
                <w:szCs w:val="21"/>
              </w:rPr>
            </w:pPr>
            <w:r>
              <w:rPr>
                <w:rFonts w:hint="eastAsia"/>
                <w:color w:val="000000"/>
                <w:sz w:val="21"/>
                <w:szCs w:val="21"/>
              </w:rPr>
              <w:t>分项单价（元）</w:t>
            </w:r>
          </w:p>
        </w:tc>
        <w:tc>
          <w:tcPr>
            <w:tcW w:w="1785" w:type="dxa"/>
            <w:noWrap w:val="0"/>
            <w:vAlign w:val="center"/>
          </w:tcPr>
          <w:p>
            <w:pPr>
              <w:pStyle w:val="23"/>
              <w:snapToGrid w:val="0"/>
              <w:spacing w:line="400" w:lineRule="exact"/>
              <w:jc w:val="center"/>
              <w:rPr>
                <w:rFonts w:hint="eastAsia"/>
                <w:color w:val="000000"/>
                <w:sz w:val="21"/>
                <w:szCs w:val="21"/>
              </w:rPr>
            </w:pPr>
            <w:r>
              <w:rPr>
                <w:rFonts w:hint="eastAsia"/>
                <w:color w:val="000000"/>
                <w:sz w:val="21"/>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440" w:type="dxa"/>
            <w:noWrap w:val="0"/>
            <w:vAlign w:val="center"/>
          </w:tcPr>
          <w:p>
            <w:pPr>
              <w:pStyle w:val="153"/>
              <w:spacing w:line="400" w:lineRule="exact"/>
              <w:jc w:val="center"/>
              <w:rPr>
                <w:rFonts w:hint="eastAsia" w:hAnsi="宋体" w:cs="宋体"/>
                <w:color w:val="000000"/>
                <w:sz w:val="21"/>
                <w:szCs w:val="21"/>
              </w:rPr>
            </w:pPr>
          </w:p>
        </w:tc>
        <w:tc>
          <w:tcPr>
            <w:tcW w:w="1260" w:type="dxa"/>
            <w:noWrap w:val="0"/>
            <w:vAlign w:val="center"/>
          </w:tcPr>
          <w:p>
            <w:pPr>
              <w:spacing w:line="400" w:lineRule="exact"/>
              <w:jc w:val="center"/>
              <w:rPr>
                <w:rFonts w:hint="eastAsia" w:ascii="宋体" w:hAnsi="宋体" w:cs="宋体"/>
                <w:color w:val="000000"/>
                <w:szCs w:val="21"/>
              </w:rPr>
            </w:pPr>
          </w:p>
        </w:tc>
        <w:tc>
          <w:tcPr>
            <w:tcW w:w="2509" w:type="dxa"/>
            <w:noWrap w:val="0"/>
            <w:vAlign w:val="center"/>
          </w:tcPr>
          <w:p>
            <w:pPr>
              <w:spacing w:line="400" w:lineRule="exact"/>
              <w:jc w:val="center"/>
              <w:rPr>
                <w:rFonts w:hint="eastAsia" w:ascii="宋体" w:hAnsi="宋体" w:cs="宋体"/>
                <w:color w:val="000000"/>
                <w:szCs w:val="21"/>
              </w:rPr>
            </w:pPr>
          </w:p>
        </w:tc>
        <w:tc>
          <w:tcPr>
            <w:tcW w:w="900" w:type="dxa"/>
            <w:noWrap w:val="0"/>
            <w:vAlign w:val="center"/>
          </w:tcPr>
          <w:p>
            <w:pPr>
              <w:spacing w:line="400" w:lineRule="exact"/>
              <w:ind w:firstLine="210" w:firstLineChars="100"/>
              <w:jc w:val="center"/>
              <w:rPr>
                <w:rFonts w:hint="eastAsia" w:ascii="宋体" w:hAnsi="宋体" w:cs="宋体"/>
                <w:color w:val="000000"/>
                <w:szCs w:val="21"/>
              </w:rPr>
            </w:pPr>
          </w:p>
        </w:tc>
        <w:tc>
          <w:tcPr>
            <w:tcW w:w="1802" w:type="dxa"/>
            <w:noWrap w:val="0"/>
            <w:vAlign w:val="center"/>
          </w:tcPr>
          <w:p>
            <w:pPr>
              <w:spacing w:line="400" w:lineRule="exact"/>
              <w:jc w:val="center"/>
              <w:rPr>
                <w:rFonts w:hint="eastAsia" w:ascii="宋体" w:hAnsi="宋体" w:cs="宋体"/>
                <w:color w:val="000000"/>
                <w:szCs w:val="21"/>
              </w:rPr>
            </w:pPr>
          </w:p>
        </w:tc>
        <w:tc>
          <w:tcPr>
            <w:tcW w:w="1785" w:type="dxa"/>
            <w:noWrap w:val="0"/>
            <w:vAlign w:val="center"/>
          </w:tcPr>
          <w:p>
            <w:pPr>
              <w:pStyle w:val="153"/>
              <w:spacing w:line="400" w:lineRule="exact"/>
              <w:jc w:val="center"/>
              <w:rPr>
                <w:rFonts w:hint="eastAsia"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696" w:type="dxa"/>
            <w:gridSpan w:val="6"/>
            <w:noWrap w:val="0"/>
            <w:vAlign w:val="top"/>
          </w:tcPr>
          <w:p>
            <w:pPr>
              <w:pStyle w:val="23"/>
              <w:snapToGrid w:val="0"/>
              <w:spacing w:line="400" w:lineRule="exact"/>
              <w:rPr>
                <w:rFonts w:hint="eastAsia"/>
                <w:color w:val="000000"/>
                <w:sz w:val="21"/>
                <w:szCs w:val="21"/>
              </w:rPr>
            </w:pPr>
            <w:r>
              <w:rPr>
                <w:rFonts w:hint="eastAsia"/>
                <w:color w:val="000000"/>
                <w:sz w:val="21"/>
                <w:szCs w:val="21"/>
              </w:rPr>
              <w:t>合同总价：（人民币）元整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696" w:type="dxa"/>
            <w:gridSpan w:val="6"/>
            <w:noWrap w:val="0"/>
            <w:vAlign w:val="top"/>
          </w:tcPr>
          <w:p>
            <w:pPr>
              <w:pStyle w:val="23"/>
              <w:snapToGrid w:val="0"/>
              <w:spacing w:line="400" w:lineRule="exact"/>
              <w:rPr>
                <w:rFonts w:hint="eastAsia"/>
                <w:color w:val="000000"/>
                <w:sz w:val="21"/>
                <w:szCs w:val="21"/>
              </w:rPr>
            </w:pPr>
            <w:r>
              <w:rPr>
                <w:rFonts w:hint="eastAsia"/>
                <w:color w:val="000000"/>
                <w:sz w:val="21"/>
                <w:szCs w:val="21"/>
              </w:rPr>
              <w:t>合同总价包括货物、备品备件及专用工具制造、运输、装卸、安装、调试、保险、检测、验收等交付使用前发生的所有工作，以及培训、技术服务（包括技术资料、图纸的提供）、质保期内售后服务、税金等相关费用（包括材料、货物物价上涨因素）。</w:t>
            </w:r>
          </w:p>
        </w:tc>
      </w:tr>
    </w:tbl>
    <w:p>
      <w:pPr>
        <w:adjustRightInd w:val="0"/>
        <w:snapToGrid w:val="0"/>
        <w:spacing w:line="400" w:lineRule="exact"/>
        <w:rPr>
          <w:rFonts w:hint="eastAsia" w:ascii="宋体" w:hAnsi="宋体" w:cs="宋体"/>
          <w:color w:val="000000"/>
          <w:szCs w:val="21"/>
        </w:rPr>
      </w:pPr>
    </w:p>
    <w:p>
      <w:pPr>
        <w:adjustRightInd w:val="0"/>
        <w:snapToGrid w:val="0"/>
        <w:spacing w:line="400" w:lineRule="exact"/>
        <w:rPr>
          <w:rFonts w:hint="eastAsia" w:ascii="宋体" w:hAnsi="宋体" w:cs="宋体"/>
          <w:b/>
          <w:bCs/>
          <w:color w:val="000000"/>
          <w:szCs w:val="21"/>
        </w:rPr>
      </w:pPr>
      <w:r>
        <w:rPr>
          <w:rFonts w:hint="eastAsia" w:ascii="宋体" w:hAnsi="宋体" w:cs="宋体"/>
          <w:b/>
          <w:bCs/>
          <w:color w:val="000000"/>
          <w:szCs w:val="21"/>
        </w:rPr>
        <w:t>二、合同金额</w:t>
      </w:r>
    </w:p>
    <w:p>
      <w:pPr>
        <w:adjustRightInd w:val="0"/>
        <w:snapToGrid w:val="0"/>
        <w:spacing w:line="400" w:lineRule="exact"/>
        <w:rPr>
          <w:rFonts w:hint="eastAsia" w:ascii="宋体" w:hAnsi="宋体" w:cs="宋体"/>
          <w:b/>
          <w:bCs/>
          <w:color w:val="000000"/>
          <w:szCs w:val="21"/>
        </w:rPr>
      </w:pPr>
      <w:r>
        <w:rPr>
          <w:rFonts w:hint="eastAsia" w:ascii="宋体" w:hAnsi="宋体" w:cs="宋体"/>
          <w:b/>
          <w:bCs/>
          <w:color w:val="000000"/>
          <w:szCs w:val="21"/>
        </w:rPr>
        <w:t>本合同金额为（大写）：_______________元（￥____________元）人民币。</w:t>
      </w:r>
    </w:p>
    <w:p>
      <w:pPr>
        <w:adjustRightInd w:val="0"/>
        <w:snapToGrid w:val="0"/>
        <w:spacing w:line="400" w:lineRule="exact"/>
        <w:rPr>
          <w:rFonts w:hint="eastAsia" w:ascii="宋体" w:hAnsi="宋体" w:cs="宋体"/>
          <w:b/>
          <w:bCs/>
          <w:color w:val="000000"/>
          <w:szCs w:val="21"/>
        </w:rPr>
      </w:pPr>
      <w:r>
        <w:rPr>
          <w:rFonts w:hint="eastAsia" w:ascii="宋体" w:hAnsi="宋体" w:cs="宋体"/>
          <w:b/>
          <w:bCs/>
          <w:color w:val="000000"/>
          <w:szCs w:val="21"/>
        </w:rPr>
        <w:t>三、履约保证金</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乙方签订合同前，须向甲方递交合同金额的5%作为履约保证金，履约保证金在安装并验收合格后30个工作日内无息退还。</w:t>
      </w:r>
    </w:p>
    <w:p>
      <w:pPr>
        <w:spacing w:line="400" w:lineRule="exact"/>
        <w:jc w:val="left"/>
        <w:rPr>
          <w:rFonts w:hint="eastAsia" w:ascii="宋体" w:hAnsi="宋体" w:cs="宋体"/>
          <w:color w:val="000000"/>
          <w:szCs w:val="21"/>
        </w:rPr>
      </w:pPr>
      <w:r>
        <w:rPr>
          <w:rFonts w:hint="eastAsia" w:ascii="宋体" w:hAnsi="宋体" w:cs="宋体"/>
          <w:b/>
          <w:bCs/>
          <w:color w:val="000000"/>
          <w:szCs w:val="21"/>
        </w:rPr>
        <w:t>四、付款方式</w:t>
      </w:r>
      <w:r>
        <w:rPr>
          <w:rFonts w:hint="eastAsia" w:ascii="宋体" w:hAnsi="宋体" w:cs="宋体"/>
          <w:color w:val="000000"/>
          <w:szCs w:val="21"/>
        </w:rPr>
        <w:t>：</w:t>
      </w:r>
    </w:p>
    <w:p>
      <w:pPr>
        <w:spacing w:line="400" w:lineRule="exact"/>
        <w:ind w:firstLine="420" w:firstLineChars="200"/>
        <w:jc w:val="left"/>
        <w:rPr>
          <w:rFonts w:ascii="宋体" w:hAnsi="宋体" w:cs="宋体"/>
          <w:color w:val="000000"/>
          <w:szCs w:val="21"/>
        </w:rPr>
      </w:pPr>
      <w:r>
        <w:rPr>
          <w:rFonts w:hint="eastAsia" w:ascii="宋体" w:hAnsi="宋体" w:cs="宋体"/>
          <w:color w:val="000000"/>
          <w:szCs w:val="21"/>
        </w:rPr>
        <w:t>1.在合同生效以及具备实施条件后15日内支付合同总价的30%作为预付款；</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2.安装并验收合格后15日内，乙方提交合同总价100%金额的发票（</w:t>
      </w:r>
      <w:r>
        <w:rPr>
          <w:rFonts w:hint="eastAsia" w:ascii="宋体" w:hAnsi="宋体" w:cs="宋体"/>
          <w:color w:val="000000"/>
          <w:szCs w:val="21"/>
          <w:lang w:bidi="ar"/>
        </w:rPr>
        <w:t>以甲方要求为准</w:t>
      </w:r>
      <w:r>
        <w:rPr>
          <w:rFonts w:hint="eastAsia" w:ascii="宋体" w:hAnsi="宋体" w:cs="宋体"/>
          <w:color w:val="000000"/>
          <w:szCs w:val="21"/>
        </w:rPr>
        <w:t>），甲方支付合同总价的100%。</w:t>
      </w:r>
    </w:p>
    <w:p>
      <w:pPr>
        <w:adjustRightInd w:val="0"/>
        <w:snapToGrid w:val="0"/>
        <w:spacing w:line="400" w:lineRule="exact"/>
        <w:rPr>
          <w:rFonts w:hint="eastAsia" w:ascii="宋体" w:hAnsi="宋体" w:cs="宋体"/>
          <w:b/>
          <w:bCs/>
          <w:color w:val="000000"/>
          <w:szCs w:val="21"/>
        </w:rPr>
      </w:pPr>
      <w:r>
        <w:rPr>
          <w:rFonts w:hint="eastAsia" w:ascii="宋体" w:hAnsi="宋体" w:cs="宋体"/>
          <w:b/>
          <w:bCs/>
          <w:color w:val="000000"/>
          <w:szCs w:val="21"/>
        </w:rPr>
        <w:t>五、知识产权</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乙方应保证所提供的货物或其任何一部分均不会侵犯任何第三方的知识产权。</w:t>
      </w:r>
    </w:p>
    <w:p>
      <w:pPr>
        <w:adjustRightInd w:val="0"/>
        <w:snapToGrid w:val="0"/>
        <w:spacing w:line="400" w:lineRule="exact"/>
        <w:rPr>
          <w:rFonts w:hint="eastAsia" w:ascii="宋体" w:hAnsi="宋体" w:cs="宋体"/>
          <w:b/>
          <w:bCs/>
          <w:color w:val="000000"/>
          <w:szCs w:val="21"/>
        </w:rPr>
      </w:pPr>
      <w:r>
        <w:rPr>
          <w:rFonts w:hint="eastAsia" w:ascii="宋体" w:hAnsi="宋体" w:cs="宋体"/>
          <w:b/>
          <w:bCs/>
          <w:color w:val="000000"/>
          <w:szCs w:val="21"/>
        </w:rPr>
        <w:t>六、转包或分包</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1.本合同范围的货物，应由乙方直接供应，不得转让他人供应；</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2.除非得到甲方的书面同意，乙方不得将本合同范围的货物全部或部分分包给他人供应；</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3.如有转让和未经甲方同意的分包行为，甲方有权解除合同，没收履约保证金并追究乙方的违约责任。</w:t>
      </w:r>
    </w:p>
    <w:p>
      <w:pPr>
        <w:adjustRightInd w:val="0"/>
        <w:snapToGrid w:val="0"/>
        <w:spacing w:line="400" w:lineRule="exact"/>
        <w:rPr>
          <w:rFonts w:hint="eastAsia" w:ascii="宋体" w:hAnsi="宋体" w:cs="宋体"/>
          <w:b/>
          <w:bCs/>
          <w:color w:val="000000"/>
          <w:szCs w:val="21"/>
        </w:rPr>
      </w:pPr>
      <w:r>
        <w:rPr>
          <w:rFonts w:hint="eastAsia" w:ascii="宋体" w:hAnsi="宋体" w:cs="宋体"/>
          <w:b/>
          <w:bCs/>
          <w:color w:val="000000"/>
          <w:szCs w:val="21"/>
        </w:rPr>
        <w:t>七、质保期</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质保期：</w:t>
      </w:r>
      <w:r>
        <w:rPr>
          <w:rFonts w:hint="eastAsia" w:ascii="宋体" w:hAnsi="宋体" w:cs="宋体"/>
          <w:color w:val="000000"/>
          <w:szCs w:val="21"/>
          <w:u w:val="single"/>
        </w:rPr>
        <w:t xml:space="preserve"> 2年</w:t>
      </w:r>
      <w:r>
        <w:rPr>
          <w:rFonts w:hint="eastAsia" w:ascii="宋体" w:hAnsi="宋体" w:cs="宋体"/>
          <w:color w:val="000000"/>
          <w:szCs w:val="21"/>
        </w:rPr>
        <w:t>。（自交货验收合格之日起计）</w:t>
      </w:r>
    </w:p>
    <w:p>
      <w:pPr>
        <w:adjustRightInd w:val="0"/>
        <w:snapToGrid w:val="0"/>
        <w:spacing w:line="400" w:lineRule="exact"/>
        <w:rPr>
          <w:rFonts w:hint="eastAsia" w:ascii="宋体" w:hAnsi="宋体" w:cs="宋体"/>
          <w:b/>
          <w:bCs/>
          <w:color w:val="000000"/>
          <w:szCs w:val="21"/>
        </w:rPr>
      </w:pPr>
      <w:r>
        <w:rPr>
          <w:rFonts w:hint="eastAsia" w:ascii="宋体" w:hAnsi="宋体" w:cs="宋体"/>
          <w:b/>
          <w:bCs/>
          <w:color w:val="000000"/>
          <w:szCs w:val="21"/>
        </w:rPr>
        <w:t>八、交货期、交货方式及交货地点</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1.交货期：</w:t>
      </w:r>
      <w:r>
        <w:rPr>
          <w:rFonts w:hint="eastAsia" w:ascii="宋体" w:hAnsi="宋体" w:cs="宋体"/>
          <w:color w:val="000000"/>
          <w:kern w:val="0"/>
          <w:szCs w:val="21"/>
        </w:rPr>
        <w:t>在合同签订后40个日历天内完成设备供货、安装并验收合格</w:t>
      </w:r>
      <w:r>
        <w:rPr>
          <w:rFonts w:hint="eastAsia" w:ascii="宋体" w:hAnsi="宋体" w:cs="宋体"/>
          <w:color w:val="000000"/>
          <w:szCs w:val="21"/>
        </w:rPr>
        <w:t>。</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2.交货地点：甲方指定地点。</w:t>
      </w:r>
    </w:p>
    <w:p>
      <w:pPr>
        <w:adjustRightInd w:val="0"/>
        <w:snapToGrid w:val="0"/>
        <w:spacing w:line="400" w:lineRule="exact"/>
        <w:rPr>
          <w:rFonts w:hint="eastAsia" w:ascii="宋体" w:hAnsi="宋体" w:cs="宋体"/>
          <w:b/>
          <w:bCs/>
          <w:color w:val="000000"/>
          <w:szCs w:val="21"/>
        </w:rPr>
      </w:pPr>
      <w:r>
        <w:rPr>
          <w:rFonts w:hint="eastAsia" w:ascii="宋体" w:hAnsi="宋体" w:cs="宋体"/>
          <w:b/>
          <w:bCs/>
          <w:color w:val="000000"/>
          <w:szCs w:val="21"/>
        </w:rPr>
        <w:t>九、税费</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本合同执行中相关的一切税费均由乙方负担。</w:t>
      </w:r>
    </w:p>
    <w:p>
      <w:pPr>
        <w:adjustRightInd w:val="0"/>
        <w:snapToGrid w:val="0"/>
        <w:spacing w:line="400" w:lineRule="exact"/>
        <w:rPr>
          <w:rFonts w:hint="eastAsia" w:ascii="宋体" w:hAnsi="宋体" w:cs="宋体"/>
          <w:b/>
          <w:bCs/>
          <w:color w:val="000000"/>
          <w:szCs w:val="21"/>
        </w:rPr>
      </w:pPr>
      <w:r>
        <w:rPr>
          <w:rFonts w:hint="eastAsia" w:ascii="宋体" w:hAnsi="宋体" w:cs="宋体"/>
          <w:b/>
          <w:bCs/>
          <w:color w:val="000000"/>
          <w:szCs w:val="21"/>
        </w:rPr>
        <w:t>十一、质量保证及售后服务</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 乙方应按招标文件规定的货物性能、技术要求、质量标准向甲方提供未经使用的全新产品。</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 乙方提供的货物在质保期内因货物本身的质量问题发生故障，乙方应负责免费更换。对达不到技术要求者，根据实际情况，经双方协商，可按以下办法处理：</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⑴更换：由乙方承担所发生的全部费用。</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⑵贬值处理：由甲乙双方合议定价。</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⑶退货处理：乙方应退还甲方支付的合同款，同时应承担该货物的直接费用（运输、保险、检验、货款利息及银行手续费等）。</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 如在使用过程中发生质量问题，乙方在接到甲方通知后在</w:t>
      </w:r>
      <w:r>
        <w:rPr>
          <w:rFonts w:hint="eastAsia" w:ascii="宋体" w:hAnsi="宋体" w:cs="宋体"/>
          <w:color w:val="000000"/>
          <w:szCs w:val="21"/>
          <w:u w:val="single"/>
        </w:rPr>
        <w:t>24</w:t>
      </w:r>
      <w:r>
        <w:rPr>
          <w:rFonts w:hint="eastAsia" w:ascii="宋体" w:hAnsi="宋体" w:cs="宋体"/>
          <w:color w:val="000000"/>
          <w:szCs w:val="21"/>
        </w:rPr>
        <w:t>小时内到达甲方现场。</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 在质保期内，乙方应对货物出现的质量及安全问题负责处理解决并承担一切费用。</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5.上述的货物免费保修期为（</w:t>
      </w:r>
      <w:r>
        <w:rPr>
          <w:rFonts w:hint="eastAsia" w:ascii="宋体" w:hAnsi="宋体" w:cs="宋体"/>
          <w:color w:val="000000"/>
        </w:rPr>
        <w:t>质量保证期</w:t>
      </w:r>
      <w:r>
        <w:rPr>
          <w:rFonts w:hint="eastAsia" w:ascii="宋体" w:hAnsi="宋体" w:cs="宋体"/>
          <w:color w:val="000000"/>
          <w:szCs w:val="21"/>
        </w:rPr>
        <w:t>）：</w:t>
      </w:r>
      <w:r>
        <w:rPr>
          <w:rFonts w:hint="eastAsia" w:ascii="宋体" w:hAnsi="宋体" w:cs="宋体"/>
          <w:color w:val="000000"/>
          <w:szCs w:val="21"/>
          <w:u w:val="single"/>
        </w:rPr>
        <w:t>2年</w:t>
      </w:r>
      <w:r>
        <w:rPr>
          <w:rFonts w:hint="eastAsia" w:ascii="宋体" w:hAnsi="宋体" w:cs="宋体"/>
          <w:color w:val="000000"/>
          <w:szCs w:val="21"/>
        </w:rPr>
        <w:t>，因人为因素出现的故障不在免费保修范围内。超过保修期的机器设备，终生维修，维修时只收部件成本费。</w:t>
      </w:r>
    </w:p>
    <w:p>
      <w:pPr>
        <w:adjustRightInd w:val="0"/>
        <w:snapToGrid w:val="0"/>
        <w:spacing w:line="400" w:lineRule="exact"/>
        <w:rPr>
          <w:rFonts w:hint="eastAsia" w:ascii="宋体" w:hAnsi="宋体" w:cs="宋体"/>
          <w:b/>
          <w:bCs/>
          <w:color w:val="000000"/>
          <w:szCs w:val="21"/>
        </w:rPr>
      </w:pPr>
      <w:r>
        <w:rPr>
          <w:rFonts w:hint="eastAsia" w:ascii="宋体" w:hAnsi="宋体" w:cs="宋体"/>
          <w:b/>
          <w:bCs/>
          <w:color w:val="000000"/>
          <w:szCs w:val="21"/>
        </w:rPr>
        <w:t>十二、调试和验收</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2.乙方交货前应对产品作出全面检查和对验收文件进行整理，并列出清单，作为甲方收货验收和使用的技术条件依据，检验的结果应随货物交甲方。</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3.甲方对乙方提供的货物在使用前进行调试时，乙方需负责安装并培训甲方的使用操作人员，并协助甲方一起调试，直到符合技术要求，甲方才做最终验收。</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4.验收时乙方必须在现场，验收完毕后作出验收结果报告；验收费用由乙方负责。</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5.从验收合格次日起7天内，出现非使用方人为因素造成的无法排除的故障，由乙方予以调换。</w:t>
      </w:r>
    </w:p>
    <w:p>
      <w:pPr>
        <w:adjustRightInd w:val="0"/>
        <w:snapToGrid w:val="0"/>
        <w:spacing w:line="400" w:lineRule="exact"/>
        <w:rPr>
          <w:rFonts w:hint="eastAsia" w:ascii="宋体" w:hAnsi="宋体" w:cs="宋体"/>
          <w:b/>
          <w:bCs/>
          <w:color w:val="000000"/>
          <w:szCs w:val="21"/>
        </w:rPr>
      </w:pPr>
      <w:r>
        <w:rPr>
          <w:rFonts w:hint="eastAsia" w:ascii="宋体" w:hAnsi="宋体" w:cs="宋体"/>
          <w:b/>
          <w:bCs/>
          <w:color w:val="000000"/>
          <w:szCs w:val="21"/>
        </w:rPr>
        <w:t>十三、货物包装、发运及运输</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 乙方应在货物发运前对其进行满足运输距离、防潮、防震、防锈和防破损装卸等要求包装，以保证货物安全运达甲方指定地点。</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 使用说明书、质量检验证明书、随配附件和工具以及清单一并附于货物内。</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 乙方在货物发运手续办理完毕后24小时内或货到甲方48小时前通知甲方，以准备接货。</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 货物在交付甲方前发生的风险均由乙方负责。</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5. 货物在规定的交付期限内由乙方送达甲方指定的地点视为交付，乙方同时需通知甲方货物已送达。</w:t>
      </w:r>
    </w:p>
    <w:p>
      <w:pPr>
        <w:adjustRightInd w:val="0"/>
        <w:snapToGrid w:val="0"/>
        <w:spacing w:line="400" w:lineRule="exact"/>
        <w:rPr>
          <w:rFonts w:hint="eastAsia" w:ascii="宋体" w:hAnsi="宋体" w:cs="宋体"/>
          <w:b/>
          <w:bCs/>
          <w:color w:val="000000"/>
          <w:szCs w:val="21"/>
        </w:rPr>
      </w:pPr>
      <w:r>
        <w:rPr>
          <w:rFonts w:hint="eastAsia" w:ascii="宋体" w:hAnsi="宋体" w:cs="宋体"/>
          <w:b/>
          <w:bCs/>
          <w:color w:val="000000"/>
          <w:szCs w:val="21"/>
        </w:rPr>
        <w:t>十四、违约责任</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 甲方无正当理由拒收货物的，甲方向乙方偿付拒收货款总值的百分之五违约金。</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 甲方无故逾期验收和办理货款支付手续的,甲方应按逾期付款总额每日万分之五向乙方支付违约金。</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5.乙方项目组人员与投标文件中不符的每个扣10000元整。</w:t>
      </w:r>
    </w:p>
    <w:p>
      <w:pPr>
        <w:adjustRightInd w:val="0"/>
        <w:snapToGrid w:val="0"/>
        <w:spacing w:line="400" w:lineRule="exact"/>
        <w:rPr>
          <w:rFonts w:hint="eastAsia" w:ascii="宋体" w:hAnsi="宋体" w:cs="宋体"/>
          <w:b/>
          <w:bCs/>
          <w:color w:val="000000"/>
          <w:szCs w:val="21"/>
        </w:rPr>
      </w:pPr>
      <w:r>
        <w:rPr>
          <w:rFonts w:hint="eastAsia" w:ascii="宋体" w:hAnsi="宋体" w:cs="宋体"/>
          <w:b/>
          <w:bCs/>
          <w:color w:val="000000"/>
          <w:szCs w:val="21"/>
        </w:rPr>
        <w:t>十五、不可抗力事件处理</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 在合同有效期内，任何一方因不可抗力事件导致不能履行合同，则合同履行期可延长，其延长期与不可抗力影响期相同。</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 不可抗力事件发生后，应立即通知对方，并寄送有关权威机构出具的证明。</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 不可抗力事件延续120天以上，双方应通过友好协商，确定是否继续履行合同。</w:t>
      </w:r>
    </w:p>
    <w:p>
      <w:pPr>
        <w:adjustRightInd w:val="0"/>
        <w:snapToGrid w:val="0"/>
        <w:spacing w:line="400" w:lineRule="exact"/>
        <w:rPr>
          <w:rFonts w:hint="eastAsia" w:ascii="宋体" w:hAnsi="宋体" w:cs="宋体"/>
          <w:b/>
          <w:bCs/>
          <w:color w:val="000000"/>
          <w:szCs w:val="21"/>
        </w:rPr>
      </w:pPr>
      <w:r>
        <w:rPr>
          <w:rFonts w:hint="eastAsia" w:ascii="宋体" w:hAnsi="宋体" w:cs="宋体"/>
          <w:b/>
          <w:bCs/>
          <w:color w:val="000000"/>
          <w:szCs w:val="21"/>
        </w:rPr>
        <w:t>十六、诉讼</w:t>
      </w:r>
    </w:p>
    <w:p>
      <w:pPr>
        <w:adjustRightInd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双方在执行合同中所发生的一切争议，应通过协商解决。如协商不成，可向甲方所在地法院起诉。</w:t>
      </w:r>
    </w:p>
    <w:p>
      <w:pPr>
        <w:pStyle w:val="23"/>
        <w:snapToGrid w:val="0"/>
        <w:spacing w:line="400" w:lineRule="exact"/>
        <w:rPr>
          <w:rFonts w:hint="eastAsia"/>
          <w:b/>
          <w:color w:val="000000"/>
          <w:sz w:val="21"/>
          <w:szCs w:val="21"/>
        </w:rPr>
      </w:pPr>
      <w:r>
        <w:rPr>
          <w:rFonts w:hint="eastAsia"/>
          <w:b/>
          <w:color w:val="000000"/>
          <w:sz w:val="21"/>
          <w:szCs w:val="21"/>
        </w:rPr>
        <w:t>十七、本合同一式六份，签字、盖章后有效，经宁波杭州湾新区公共资源交管办备案后，甲乙各持</w:t>
      </w:r>
      <w:r>
        <w:rPr>
          <w:rFonts w:hint="eastAsia"/>
          <w:b/>
          <w:color w:val="000000"/>
          <w:sz w:val="21"/>
          <w:szCs w:val="21"/>
          <w:u w:val="single"/>
        </w:rPr>
        <w:t xml:space="preserve"> 贰 </w:t>
      </w:r>
      <w:r>
        <w:rPr>
          <w:rFonts w:hint="eastAsia"/>
          <w:b/>
          <w:color w:val="000000"/>
          <w:sz w:val="21"/>
          <w:szCs w:val="21"/>
        </w:rPr>
        <w:t>份，交管办持</w:t>
      </w:r>
      <w:r>
        <w:rPr>
          <w:rFonts w:hint="eastAsia"/>
          <w:b/>
          <w:color w:val="000000"/>
          <w:sz w:val="21"/>
          <w:szCs w:val="21"/>
          <w:u w:val="single"/>
        </w:rPr>
        <w:t xml:space="preserve"> 壹 </w:t>
      </w:r>
      <w:r>
        <w:rPr>
          <w:rFonts w:hint="eastAsia"/>
          <w:b/>
          <w:color w:val="000000"/>
          <w:sz w:val="21"/>
          <w:szCs w:val="21"/>
        </w:rPr>
        <w:t>份，招标代理公司持</w:t>
      </w:r>
      <w:r>
        <w:rPr>
          <w:rFonts w:hint="eastAsia"/>
          <w:b/>
          <w:color w:val="000000"/>
          <w:sz w:val="21"/>
          <w:szCs w:val="21"/>
          <w:u w:val="single"/>
        </w:rPr>
        <w:t xml:space="preserve"> 壹 </w:t>
      </w:r>
      <w:r>
        <w:rPr>
          <w:rFonts w:hint="eastAsia"/>
          <w:b/>
          <w:color w:val="000000"/>
          <w:sz w:val="21"/>
          <w:szCs w:val="21"/>
        </w:rPr>
        <w:t>份，具有同等法律效力。</w:t>
      </w:r>
    </w:p>
    <w:p>
      <w:pPr>
        <w:pStyle w:val="23"/>
        <w:snapToGrid w:val="0"/>
        <w:spacing w:line="400" w:lineRule="exact"/>
        <w:rPr>
          <w:rFonts w:hint="eastAsia"/>
          <w:b/>
          <w:color w:val="000000"/>
          <w:sz w:val="21"/>
          <w:szCs w:val="21"/>
        </w:rPr>
      </w:pPr>
      <w:r>
        <w:rPr>
          <w:rFonts w:hint="eastAsia"/>
          <w:b/>
          <w:color w:val="000000"/>
          <w:sz w:val="21"/>
          <w:szCs w:val="21"/>
        </w:rPr>
        <w:t>十八、本合同未尽事宜，遵照《合同法》有关条文执行。</w:t>
      </w:r>
    </w:p>
    <w:p>
      <w:pPr>
        <w:pStyle w:val="23"/>
        <w:snapToGrid w:val="0"/>
        <w:spacing w:line="400" w:lineRule="exact"/>
        <w:rPr>
          <w:rFonts w:hint="eastAsia"/>
          <w:color w:val="000000"/>
          <w:sz w:val="21"/>
          <w:szCs w:val="21"/>
        </w:rPr>
      </w:pPr>
      <w:r>
        <w:rPr>
          <w:rFonts w:hint="eastAsia"/>
          <w:color w:val="000000"/>
          <w:sz w:val="21"/>
          <w:szCs w:val="21"/>
        </w:rPr>
        <w:t xml:space="preserve">  甲方：                                        乙方： </w:t>
      </w:r>
    </w:p>
    <w:p>
      <w:pPr>
        <w:pStyle w:val="23"/>
        <w:snapToGrid w:val="0"/>
        <w:spacing w:line="400" w:lineRule="exact"/>
        <w:rPr>
          <w:rFonts w:hint="eastAsia"/>
          <w:color w:val="000000"/>
          <w:sz w:val="21"/>
          <w:szCs w:val="21"/>
        </w:rPr>
      </w:pPr>
      <w:r>
        <w:rPr>
          <w:rFonts w:hint="eastAsia"/>
          <w:color w:val="000000"/>
          <w:sz w:val="21"/>
          <w:szCs w:val="21"/>
        </w:rPr>
        <w:t xml:space="preserve">  地址：                                        地址： </w:t>
      </w:r>
    </w:p>
    <w:p>
      <w:pPr>
        <w:pStyle w:val="23"/>
        <w:snapToGrid w:val="0"/>
        <w:spacing w:line="400" w:lineRule="exact"/>
        <w:rPr>
          <w:rFonts w:hint="eastAsia"/>
          <w:color w:val="000000"/>
          <w:sz w:val="21"/>
          <w:szCs w:val="21"/>
        </w:rPr>
      </w:pPr>
      <w:r>
        <w:rPr>
          <w:rFonts w:hint="eastAsia"/>
          <w:color w:val="000000"/>
          <w:sz w:val="21"/>
          <w:szCs w:val="21"/>
        </w:rPr>
        <w:t xml:space="preserve">  法定（授权）代表人：                          法定（授权）代表人：</w:t>
      </w:r>
    </w:p>
    <w:p>
      <w:pPr>
        <w:pStyle w:val="23"/>
        <w:snapToGrid w:val="0"/>
        <w:spacing w:line="400" w:lineRule="exact"/>
        <w:rPr>
          <w:rFonts w:hint="eastAsia"/>
          <w:color w:val="000000"/>
          <w:sz w:val="21"/>
          <w:szCs w:val="21"/>
        </w:rPr>
      </w:pPr>
      <w:r>
        <w:rPr>
          <w:rFonts w:hint="eastAsia"/>
          <w:color w:val="000000"/>
          <w:sz w:val="21"/>
          <w:szCs w:val="21"/>
        </w:rPr>
        <w:t xml:space="preserve">  签订地点：                                    签订日期：      年  月  日</w:t>
      </w:r>
    </w:p>
    <w:p>
      <w:pPr>
        <w:adjustRightInd w:val="0"/>
        <w:snapToGrid w:val="0"/>
        <w:spacing w:line="360" w:lineRule="auto"/>
        <w:rPr>
          <w:rFonts w:hint="eastAsia"/>
          <w:color w:val="000000"/>
          <w:szCs w:val="21"/>
        </w:rPr>
        <w:sectPr>
          <w:headerReference r:id="rId12" w:type="default"/>
          <w:footerReference r:id="rId13" w:type="default"/>
          <w:pgSz w:w="11906" w:h="16838"/>
          <w:pgMar w:top="1440" w:right="1080" w:bottom="1440" w:left="1080" w:header="851" w:footer="992" w:gutter="0"/>
          <w:pgBorders w:offsetFrom="page">
            <w:top w:val="none" w:sz="0" w:space="0"/>
            <w:left w:val="none" w:sz="0" w:space="0"/>
            <w:bottom w:val="none" w:sz="0" w:space="0"/>
            <w:right w:val="none" w:sz="0" w:space="0"/>
          </w:pgBorders>
          <w:cols w:space="720" w:num="1"/>
          <w:docGrid w:type="lines" w:linePitch="391" w:charSpace="0"/>
        </w:sectPr>
      </w:pPr>
    </w:p>
    <w:p>
      <w:pPr>
        <w:spacing w:line="400" w:lineRule="exact"/>
        <w:jc w:val="center"/>
        <w:outlineLvl w:val="0"/>
        <w:rPr>
          <w:rFonts w:hint="eastAsia" w:ascii="宋体" w:hAnsi="宋体" w:cs="宋体"/>
          <w:b/>
          <w:color w:val="000000"/>
          <w:sz w:val="32"/>
        </w:rPr>
      </w:pPr>
      <w:bookmarkStart w:id="114" w:name="_Toc14161"/>
      <w:r>
        <w:rPr>
          <w:rFonts w:hint="eastAsia" w:ascii="宋体" w:hAnsi="宋体" w:cs="宋体"/>
          <w:b/>
          <w:color w:val="000000"/>
          <w:sz w:val="32"/>
        </w:rPr>
        <w:t>第五章  招标内容与技术需求</w:t>
      </w:r>
      <w:bookmarkEnd w:id="114"/>
    </w:p>
    <w:p>
      <w:pPr>
        <w:spacing w:line="400" w:lineRule="exact"/>
        <w:jc w:val="center"/>
        <w:outlineLvl w:val="0"/>
        <w:rPr>
          <w:rFonts w:hint="eastAsia" w:ascii="宋体" w:hAnsi="宋体" w:cs="宋体"/>
          <w:b/>
          <w:color w:val="000000"/>
          <w:sz w:val="32"/>
        </w:rPr>
      </w:pPr>
    </w:p>
    <w:p>
      <w:pPr>
        <w:spacing w:line="360" w:lineRule="auto"/>
        <w:jc w:val="center"/>
        <w:rPr>
          <w:rFonts w:hint="eastAsia" w:ascii="宋体" w:hAnsi="宋体" w:cs="宋体"/>
          <w:b/>
          <w:color w:val="000000"/>
          <w:sz w:val="30"/>
          <w:szCs w:val="30"/>
        </w:rPr>
      </w:pPr>
      <w:r>
        <w:rPr>
          <w:rFonts w:hint="eastAsia" w:ascii="宋体" w:hAnsi="宋体" w:cs="宋体"/>
          <w:b/>
          <w:color w:val="000000"/>
          <w:sz w:val="30"/>
          <w:szCs w:val="30"/>
        </w:rPr>
        <w:t>宁波杭州湾新区智能终端产业园区配套小学、幼儿园智慧校园采购项目</w:t>
      </w:r>
    </w:p>
    <w:p>
      <w:pPr>
        <w:spacing w:line="360" w:lineRule="auto"/>
        <w:jc w:val="center"/>
        <w:rPr>
          <w:rFonts w:hint="eastAsia" w:ascii="宋体" w:hAnsi="宋体" w:cs="宋体"/>
          <w:b/>
          <w:color w:val="000000"/>
          <w:sz w:val="30"/>
          <w:szCs w:val="30"/>
        </w:rPr>
      </w:pPr>
      <w:r>
        <w:rPr>
          <w:rFonts w:hint="eastAsia" w:ascii="宋体" w:hAnsi="宋体" w:cs="宋体"/>
          <w:b/>
          <w:color w:val="000000"/>
          <w:sz w:val="30"/>
          <w:szCs w:val="30"/>
        </w:rPr>
        <w:t>子包一招标内容与技术需求</w:t>
      </w:r>
    </w:p>
    <w:p>
      <w:pPr>
        <w:pStyle w:val="157"/>
        <w:spacing w:line="400" w:lineRule="exact"/>
        <w:ind w:firstLine="0" w:firstLineChars="0"/>
        <w:jc w:val="center"/>
        <w:rPr>
          <w:rFonts w:hint="eastAsia" w:ascii="宋体" w:hAnsi="宋体" w:cs="宋体"/>
          <w:color w:val="000000"/>
          <w:sz w:val="21"/>
          <w:szCs w:val="21"/>
        </w:rPr>
      </w:pPr>
      <w:r>
        <w:rPr>
          <w:rFonts w:hint="eastAsia" w:ascii="宋体" w:hAnsi="宋体" w:cs="宋体"/>
          <w:b/>
          <w:bCs/>
          <w:color w:val="000000"/>
          <w:sz w:val="21"/>
          <w:szCs w:val="21"/>
        </w:rPr>
        <w:t>▲供应商可以选择能满足本项目技术需求且性能与本章要求相当或以上的产品进行投标，但必须在投标文件中提供所投产品详细的技术参数，并对照本章提供的技术参数逐一说明响应情况，未提供所投产品详细的技术参数或未逐一说明响应情况的，作无效标处理</w:t>
      </w:r>
    </w:p>
    <w:p>
      <w:pPr>
        <w:pStyle w:val="2"/>
        <w:rPr>
          <w:rFonts w:hint="eastAsia" w:ascii="宋体" w:hAnsi="宋体" w:cs="宋体"/>
          <w:b/>
          <w:color w:val="000000"/>
          <w:sz w:val="30"/>
          <w:szCs w:val="30"/>
        </w:rPr>
      </w:pPr>
    </w:p>
    <w:p>
      <w:pPr>
        <w:adjustRightInd w:val="0"/>
        <w:snapToGrid w:val="0"/>
        <w:spacing w:line="400" w:lineRule="exact"/>
        <w:rPr>
          <w:rFonts w:hint="eastAsia" w:ascii="宋体" w:hAnsi="宋体" w:cs="宋体"/>
          <w:b/>
          <w:bCs/>
          <w:color w:val="000000"/>
          <w:szCs w:val="21"/>
        </w:rPr>
      </w:pPr>
      <w:r>
        <w:rPr>
          <w:rFonts w:hint="eastAsia" w:ascii="宋体" w:hAnsi="宋体" w:cs="宋体"/>
          <w:b/>
          <w:bCs/>
          <w:color w:val="000000"/>
          <w:szCs w:val="21"/>
        </w:rPr>
        <w:t>一、项目建设内容及总体要求</w:t>
      </w:r>
    </w:p>
    <w:p>
      <w:pPr>
        <w:adjustRightInd w:val="0"/>
        <w:snapToGrid w:val="0"/>
        <w:spacing w:line="400" w:lineRule="exact"/>
        <w:rPr>
          <w:rFonts w:hint="eastAsia" w:ascii="宋体" w:hAnsi="宋体" w:cs="宋体"/>
          <w:b/>
          <w:bCs/>
          <w:color w:val="000000"/>
          <w:szCs w:val="21"/>
        </w:rPr>
      </w:pPr>
      <w:r>
        <w:rPr>
          <w:rFonts w:hint="eastAsia" w:ascii="宋体" w:hAnsi="宋体" w:cs="宋体"/>
          <w:color w:val="000000"/>
          <w:szCs w:val="21"/>
        </w:rPr>
        <w:t>1、建设内容</w:t>
      </w:r>
    </w:p>
    <w:tbl>
      <w:tblPr>
        <w:tblStyle w:val="47"/>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7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2" w:type="dxa"/>
            <w:shd w:val="clear" w:color="000000" w:fill="auto"/>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7965" w:type="dxa"/>
            <w:shd w:val="clear" w:color="000000" w:fill="auto"/>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2" w:type="dxa"/>
            <w:shd w:val="clear" w:color="000000" w:fill="auto"/>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7965" w:type="dxa"/>
            <w:shd w:val="clear" w:color="000000" w:fill="auto"/>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智慧班牌系统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2" w:type="dxa"/>
            <w:shd w:val="clear" w:color="000000" w:fill="FFFFFF"/>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7965" w:type="dxa"/>
            <w:shd w:val="clear" w:color="000000" w:fill="FFFFFF"/>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微格教室系统（微格教室)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2" w:type="dxa"/>
            <w:shd w:val="clear" w:color="000000" w:fill="FFFFFF"/>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7965" w:type="dxa"/>
            <w:shd w:val="clear" w:color="000000" w:fill="FFFFFF"/>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智慧教室系统(智慧灯光）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2" w:type="dxa"/>
            <w:shd w:val="clear" w:color="000000" w:fill="FFFFFF"/>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7965" w:type="dxa"/>
            <w:shd w:val="clear" w:color="000000" w:fill="FFFFFF"/>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访客管理系统+出入口管理系统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2" w:type="dxa"/>
            <w:shd w:val="clear" w:color="000000" w:fill="FFFFFF"/>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7965" w:type="dxa"/>
            <w:shd w:val="clear" w:color="000000" w:fill="FFFFFF"/>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智慧校园平台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2" w:type="dxa"/>
            <w:shd w:val="clear" w:color="000000" w:fill="FFFFFF"/>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7965" w:type="dxa"/>
            <w:shd w:val="clear" w:color="000000" w:fill="FFFFFF"/>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智慧校园平台设备支撑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2" w:type="dxa"/>
            <w:shd w:val="clear" w:color="000000" w:fill="FFFFFF"/>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7965" w:type="dxa"/>
            <w:shd w:val="clear" w:color="000000" w:fill="FFFFFF"/>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智慧互动教室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2" w:type="dxa"/>
            <w:shd w:val="clear" w:color="000000" w:fill="FFFFFF"/>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7965" w:type="dxa"/>
            <w:shd w:val="clear" w:color="000000" w:fill="FFFFFF"/>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互联网校园电视台</w:t>
            </w:r>
          </w:p>
        </w:tc>
      </w:tr>
    </w:tbl>
    <w:p>
      <w:pPr>
        <w:adjustRightInd w:val="0"/>
        <w:snapToGrid w:val="0"/>
        <w:spacing w:line="400" w:lineRule="exact"/>
        <w:rPr>
          <w:rFonts w:hint="eastAsia" w:ascii="宋体" w:hAnsi="宋体" w:cs="宋体"/>
          <w:color w:val="000000"/>
          <w:szCs w:val="21"/>
        </w:rPr>
      </w:pPr>
      <w:r>
        <w:rPr>
          <w:rFonts w:hint="eastAsia" w:ascii="宋体" w:hAnsi="宋体" w:cs="宋体"/>
          <w:color w:val="000000"/>
          <w:szCs w:val="21"/>
        </w:rPr>
        <w:t>2、总体要求</w:t>
      </w:r>
    </w:p>
    <w:p>
      <w:pPr>
        <w:pStyle w:val="157"/>
        <w:spacing w:line="400" w:lineRule="exact"/>
        <w:ind w:firstLine="420"/>
        <w:rPr>
          <w:rFonts w:hint="eastAsia" w:ascii="宋体" w:hAnsi="宋体" w:cs="宋体"/>
          <w:color w:val="000000"/>
          <w:sz w:val="21"/>
          <w:szCs w:val="21"/>
        </w:rPr>
      </w:pPr>
      <w:r>
        <w:rPr>
          <w:rFonts w:hint="eastAsia" w:ascii="宋体" w:hAnsi="宋体" w:cs="宋体"/>
          <w:color w:val="000000"/>
          <w:sz w:val="21"/>
          <w:szCs w:val="21"/>
        </w:rPr>
        <w:t>智慧校园要积极响应国家【教育信息化2.0行动计划】的要求，采用“顶层设计，分步实施”的总体思路，以面向服务的设计理念，通过现代化智能化集成管理技术，构建面向未来的现代化学校组织-----宁波杭州湾新区智能终端产业园区配套小学智慧校园系统工程。功能上能够进行学校基础数据的统一存储和关键应用的支撑，满足学校管理信息化和教学信息化的高可用性及个性化扩展应用的要求。宁波杭州湾新区智能终端产业园区配套小学智慧校园系统设计要体现出个性化服务及可扩展性、可管理性的应用特点，采用分布式微服务的技术架构，实现建立一个安全、舒适、通信便捷，环境优雅的数字化、网络化、智能化的校园环境。</w:t>
      </w:r>
    </w:p>
    <w:p>
      <w:pPr>
        <w:adjustRightInd w:val="0"/>
        <w:snapToGrid w:val="0"/>
        <w:spacing w:line="400" w:lineRule="exact"/>
        <w:rPr>
          <w:rFonts w:hint="eastAsia" w:ascii="宋体" w:hAnsi="宋体" w:cs="宋体"/>
          <w:color w:val="000000"/>
          <w:szCs w:val="21"/>
        </w:rPr>
      </w:pPr>
      <w:r>
        <w:rPr>
          <w:rFonts w:hint="eastAsia" w:ascii="宋体" w:hAnsi="宋体" w:cs="宋体"/>
          <w:color w:val="000000"/>
          <w:szCs w:val="21"/>
        </w:rPr>
        <w:t>3、交货期：在合同签订后40个日历天内完成设备供货、安装并验收合格。</w:t>
      </w:r>
    </w:p>
    <w:p>
      <w:pPr>
        <w:adjustRightInd w:val="0"/>
        <w:snapToGrid w:val="0"/>
        <w:spacing w:line="400" w:lineRule="exact"/>
        <w:rPr>
          <w:rFonts w:hint="eastAsia" w:ascii="宋体" w:hAnsi="宋体" w:cs="宋体"/>
          <w:color w:val="000000"/>
          <w:szCs w:val="21"/>
        </w:rPr>
      </w:pPr>
      <w:r>
        <w:rPr>
          <w:rFonts w:hint="eastAsia" w:ascii="宋体" w:hAnsi="宋体" w:cs="宋体"/>
          <w:color w:val="000000"/>
          <w:szCs w:val="21"/>
        </w:rPr>
        <w:t>4、技术要求提供检测报告、相关证书的各项技术参数，供应商应当提供相应资料佐证，否则对应的技术参数视为负偏离。</w:t>
      </w:r>
    </w:p>
    <w:p>
      <w:pPr>
        <w:pStyle w:val="2"/>
        <w:rPr>
          <w:rFonts w:hint="eastAsia" w:ascii="宋体" w:hAnsi="宋体" w:cs="宋体"/>
          <w:i w:val="0"/>
          <w:color w:val="000000"/>
          <w:sz w:val="21"/>
          <w:szCs w:val="21"/>
        </w:rPr>
      </w:pPr>
      <w:r>
        <w:rPr>
          <w:rFonts w:hint="eastAsia" w:ascii="宋体" w:hAnsi="宋体" w:cs="宋体"/>
          <w:i w:val="0"/>
          <w:color w:val="000000"/>
          <w:sz w:val="21"/>
          <w:szCs w:val="21"/>
        </w:rPr>
        <w:t>5、建设内容清单：</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591"/>
        <w:gridCol w:w="2190"/>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设备名称</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单位</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72" w:type="dxa"/>
            <w:gridSpan w:val="4"/>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（一）智慧班牌系统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智慧班牌</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智慧班牌系统软件</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72" w:type="dxa"/>
            <w:gridSpan w:val="4"/>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（二）微格教室系统（微格教室)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vMerge w:val="restart"/>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基础管理平台</w:t>
            </w:r>
          </w:p>
        </w:tc>
        <w:tc>
          <w:tcPr>
            <w:tcW w:w="2190" w:type="dxa"/>
            <w:vMerge w:val="restart"/>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vMerge w:val="restart"/>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vMerge w:val="continue"/>
            <w:noWrap w:val="0"/>
            <w:vAlign w:val="center"/>
          </w:tcPr>
          <w:p>
            <w:pPr>
              <w:spacing w:line="400" w:lineRule="exact"/>
              <w:jc w:val="center"/>
              <w:rPr>
                <w:rFonts w:hint="eastAsia" w:ascii="宋体" w:hAnsi="宋体" w:eastAsia="宋体" w:cs="宋体"/>
                <w:color w:val="000000"/>
                <w:szCs w:val="21"/>
              </w:rPr>
            </w:pP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个人空间管理平台</w:t>
            </w:r>
          </w:p>
        </w:tc>
        <w:tc>
          <w:tcPr>
            <w:tcW w:w="2190" w:type="dxa"/>
            <w:vMerge w:val="continue"/>
            <w:noWrap w:val="0"/>
            <w:vAlign w:val="center"/>
          </w:tcPr>
          <w:p>
            <w:pPr>
              <w:spacing w:line="400" w:lineRule="exact"/>
              <w:jc w:val="center"/>
              <w:rPr>
                <w:rFonts w:hint="eastAsia" w:ascii="宋体" w:hAnsi="宋体" w:eastAsia="宋体" w:cs="宋体"/>
                <w:color w:val="000000"/>
                <w:szCs w:val="21"/>
              </w:rPr>
            </w:pPr>
          </w:p>
        </w:tc>
        <w:tc>
          <w:tcPr>
            <w:tcW w:w="4048" w:type="dxa"/>
            <w:vMerge w:val="continue"/>
            <w:noWrap w:val="0"/>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vMerge w:val="continue"/>
            <w:noWrap w:val="0"/>
            <w:vAlign w:val="center"/>
          </w:tcPr>
          <w:p>
            <w:pPr>
              <w:spacing w:line="400" w:lineRule="exact"/>
              <w:jc w:val="center"/>
              <w:rPr>
                <w:rFonts w:hint="eastAsia" w:ascii="宋体" w:hAnsi="宋体" w:eastAsia="宋体" w:cs="宋体"/>
                <w:color w:val="000000"/>
                <w:szCs w:val="21"/>
              </w:rPr>
            </w:pP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资源管理系统</w:t>
            </w:r>
          </w:p>
        </w:tc>
        <w:tc>
          <w:tcPr>
            <w:tcW w:w="2190" w:type="dxa"/>
            <w:vMerge w:val="continue"/>
            <w:noWrap w:val="0"/>
            <w:vAlign w:val="center"/>
          </w:tcPr>
          <w:p>
            <w:pPr>
              <w:spacing w:line="400" w:lineRule="exact"/>
              <w:jc w:val="center"/>
              <w:rPr>
                <w:rFonts w:hint="eastAsia" w:ascii="宋体" w:hAnsi="宋体" w:eastAsia="宋体" w:cs="宋体"/>
                <w:color w:val="000000"/>
                <w:szCs w:val="21"/>
              </w:rPr>
            </w:pPr>
          </w:p>
        </w:tc>
        <w:tc>
          <w:tcPr>
            <w:tcW w:w="4048" w:type="dxa"/>
            <w:vMerge w:val="continue"/>
            <w:noWrap w:val="0"/>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vMerge w:val="continue"/>
            <w:noWrap w:val="0"/>
            <w:vAlign w:val="center"/>
          </w:tcPr>
          <w:p>
            <w:pPr>
              <w:spacing w:line="400" w:lineRule="exact"/>
              <w:jc w:val="center"/>
              <w:rPr>
                <w:rFonts w:hint="eastAsia" w:ascii="宋体" w:hAnsi="宋体" w:eastAsia="宋体" w:cs="宋体"/>
                <w:color w:val="000000"/>
                <w:szCs w:val="21"/>
              </w:rPr>
            </w:pP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智播</w:t>
            </w:r>
          </w:p>
        </w:tc>
        <w:tc>
          <w:tcPr>
            <w:tcW w:w="2190" w:type="dxa"/>
            <w:vMerge w:val="continue"/>
            <w:noWrap w:val="0"/>
            <w:vAlign w:val="center"/>
          </w:tcPr>
          <w:p>
            <w:pPr>
              <w:spacing w:line="400" w:lineRule="exact"/>
              <w:jc w:val="center"/>
              <w:rPr>
                <w:rFonts w:hint="eastAsia" w:ascii="宋体" w:hAnsi="宋体" w:eastAsia="宋体" w:cs="宋体"/>
                <w:color w:val="000000"/>
                <w:szCs w:val="21"/>
              </w:rPr>
            </w:pPr>
          </w:p>
        </w:tc>
        <w:tc>
          <w:tcPr>
            <w:tcW w:w="4048" w:type="dxa"/>
            <w:vMerge w:val="continue"/>
            <w:noWrap w:val="0"/>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2.2</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b/>
                <w:bCs/>
                <w:color w:val="000000"/>
                <w:szCs w:val="21"/>
              </w:rPr>
              <w:t>录播工作站</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2.3</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全高清录播系统</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2.4</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智能跟踪系统软件</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2.5</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b/>
                <w:bCs/>
                <w:color w:val="000000"/>
                <w:szCs w:val="21"/>
              </w:rPr>
              <w:t>跟踪主机</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2.6</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图像探测器（教师）</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2.7</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图像探测器（学生）</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2.8</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b/>
                <w:bCs/>
                <w:color w:val="000000"/>
                <w:szCs w:val="21"/>
              </w:rPr>
              <w:t>导播控制台</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2.9</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智能导播系统软件</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 xml:space="preserve"> 2.10</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b/>
                <w:bCs/>
                <w:color w:val="000000"/>
                <w:szCs w:val="21"/>
              </w:rPr>
              <w:t>高清摄像机</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2.11</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摄像机支架</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2.12</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b/>
                <w:bCs/>
                <w:color w:val="000000"/>
                <w:szCs w:val="21"/>
              </w:rPr>
              <w:t>吊装话筒</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2.13</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话筒吊架</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2.14</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嵌入式网络中控</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2.15</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b/>
                <w:bCs/>
                <w:color w:val="000000"/>
                <w:szCs w:val="21"/>
              </w:rPr>
              <w:t>全自动智能调音台</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2.16</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b/>
                <w:bCs/>
                <w:color w:val="000000"/>
                <w:szCs w:val="21"/>
              </w:rPr>
              <w:t>双通道数字功放</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2.17</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线阵列音箱</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只</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2.18</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录播机柜</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2.19</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控制面板</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2.20</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讲台</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张</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2.21</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智慧黑板</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2.22</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线材及辅材</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批</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2.23</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智慧教室互动教学系统</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2.24</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智慧助教系统</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2.25</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教师反馈器</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2.26</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学生即时反馈器</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4048" w:type="dxa"/>
            <w:noWrap w:val="0"/>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2.27</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智慧学伴系统</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2.28</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反馈系统接收器</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2.29</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资源管理应用服务器</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72" w:type="dxa"/>
            <w:gridSpan w:val="4"/>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（三）智慧教室系统(智慧灯光）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3.1</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智慧护眼黑板灯</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盏</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3.2</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智慧护眼教室灯</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盏</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3.3</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照明智控终端</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3.4</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护眼黑板灯</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盏</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3.5</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护眼教室灯</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盏</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3.6</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照明物联终端</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3.7</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智能物联网网关</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3.8</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智能物联平台应用软件</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3.9</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智慧物联平台管理软件</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3.10</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Android  平台 APP</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3.11</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Ios平台APP</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72" w:type="dxa"/>
            <w:gridSpan w:val="4"/>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（四）访客管理系统+出入口管理系统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4.1</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访客管理系统</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4.2</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人脸识别终端</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ind w:firstLine="210" w:firstLineChars="100"/>
              <w:rPr>
                <w:rFonts w:hint="eastAsia" w:ascii="宋体" w:hAnsi="宋体" w:eastAsia="宋体" w:cs="宋体"/>
                <w:color w:val="000000"/>
                <w:szCs w:val="21"/>
              </w:rPr>
            </w:pPr>
            <w:r>
              <w:rPr>
                <w:rFonts w:hint="eastAsia" w:ascii="宋体" w:hAnsi="宋体" w:eastAsia="宋体" w:cs="宋体"/>
                <w:color w:val="000000"/>
                <w:szCs w:val="21"/>
              </w:rPr>
              <w:t>4.3</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出入口人脸摆闸</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4.4</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家长接送管理平台</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ind w:firstLine="210" w:firstLineChars="100"/>
              <w:rPr>
                <w:rFonts w:hint="eastAsia" w:ascii="宋体" w:hAnsi="宋体" w:eastAsia="宋体" w:cs="宋体"/>
                <w:color w:val="000000"/>
                <w:szCs w:val="21"/>
              </w:rPr>
            </w:pPr>
            <w:r>
              <w:rPr>
                <w:rFonts w:hint="eastAsia" w:ascii="宋体" w:hAnsi="宋体" w:eastAsia="宋体" w:cs="宋体"/>
                <w:color w:val="000000"/>
                <w:szCs w:val="21"/>
              </w:rPr>
              <w:t>4.5</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出入口车辆识别系统</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ind w:firstLine="210" w:firstLineChars="100"/>
              <w:rPr>
                <w:rFonts w:hint="eastAsia" w:ascii="宋体" w:hAnsi="宋体" w:eastAsia="宋体" w:cs="宋体"/>
                <w:color w:val="000000"/>
                <w:szCs w:val="21"/>
              </w:rPr>
            </w:pPr>
            <w:r>
              <w:rPr>
                <w:rFonts w:hint="eastAsia" w:ascii="宋体" w:hAnsi="宋体" w:eastAsia="宋体" w:cs="宋体"/>
                <w:color w:val="000000"/>
                <w:szCs w:val="21"/>
              </w:rPr>
              <w:t>4.6</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双400万全局摄像机</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ind w:firstLine="210" w:firstLineChars="100"/>
              <w:rPr>
                <w:rFonts w:hint="eastAsia" w:ascii="宋体" w:hAnsi="宋体" w:eastAsia="宋体" w:cs="宋体"/>
                <w:color w:val="000000"/>
                <w:szCs w:val="21"/>
              </w:rPr>
            </w:pPr>
            <w:r>
              <w:rPr>
                <w:rFonts w:hint="eastAsia" w:ascii="宋体" w:hAnsi="宋体" w:eastAsia="宋体" w:cs="宋体"/>
                <w:color w:val="000000"/>
                <w:szCs w:val="21"/>
              </w:rPr>
              <w:t>4.7</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人脸比对</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72" w:type="dxa"/>
            <w:gridSpan w:val="4"/>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（五）智慧校园平台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5.1</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校园办公（OA）软件</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5.2</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教务管理系统</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p>
            <w:pPr>
              <w:spacing w:line="400" w:lineRule="exact"/>
              <w:jc w:val="center"/>
              <w:rPr>
                <w:rFonts w:hint="eastAsia" w:ascii="宋体" w:hAnsi="宋体" w:eastAsia="宋体" w:cs="宋体"/>
                <w:color w:val="000000"/>
                <w:szCs w:val="21"/>
              </w:rPr>
            </w:pP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vMerge w:val="restart"/>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5.3</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统一门户中心</w:t>
            </w:r>
          </w:p>
        </w:tc>
        <w:tc>
          <w:tcPr>
            <w:tcW w:w="2190" w:type="dxa"/>
            <w:vMerge w:val="restart"/>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vMerge w:val="restart"/>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vMerge w:val="continue"/>
            <w:noWrap w:val="0"/>
            <w:vAlign w:val="center"/>
          </w:tcPr>
          <w:p>
            <w:pPr>
              <w:spacing w:line="400" w:lineRule="exact"/>
              <w:jc w:val="center"/>
              <w:rPr>
                <w:rFonts w:hint="eastAsia" w:ascii="宋体" w:hAnsi="宋体" w:eastAsia="宋体" w:cs="宋体"/>
                <w:color w:val="000000"/>
                <w:szCs w:val="21"/>
              </w:rPr>
            </w:pP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统一数据中心</w:t>
            </w:r>
          </w:p>
        </w:tc>
        <w:tc>
          <w:tcPr>
            <w:tcW w:w="2190" w:type="dxa"/>
            <w:vMerge w:val="continue"/>
            <w:noWrap w:val="0"/>
            <w:vAlign w:val="center"/>
          </w:tcPr>
          <w:p>
            <w:pPr>
              <w:spacing w:line="400" w:lineRule="exact"/>
              <w:jc w:val="center"/>
              <w:rPr>
                <w:rFonts w:hint="eastAsia" w:ascii="宋体" w:hAnsi="宋体" w:eastAsia="宋体" w:cs="宋体"/>
                <w:color w:val="000000"/>
                <w:szCs w:val="21"/>
              </w:rPr>
            </w:pPr>
          </w:p>
        </w:tc>
        <w:tc>
          <w:tcPr>
            <w:tcW w:w="4048" w:type="dxa"/>
            <w:vMerge w:val="continue"/>
            <w:noWrap w:val="0"/>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vMerge w:val="continue"/>
            <w:noWrap w:val="0"/>
            <w:vAlign w:val="center"/>
          </w:tcPr>
          <w:p>
            <w:pPr>
              <w:spacing w:line="400" w:lineRule="exact"/>
              <w:jc w:val="center"/>
              <w:rPr>
                <w:rFonts w:hint="eastAsia" w:ascii="宋体" w:hAnsi="宋体" w:eastAsia="宋体" w:cs="宋体"/>
                <w:color w:val="000000"/>
                <w:szCs w:val="21"/>
              </w:rPr>
            </w:pP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统一认证管理系统</w:t>
            </w:r>
          </w:p>
        </w:tc>
        <w:tc>
          <w:tcPr>
            <w:tcW w:w="2190" w:type="dxa"/>
            <w:vMerge w:val="continue"/>
            <w:noWrap w:val="0"/>
            <w:vAlign w:val="center"/>
          </w:tcPr>
          <w:p>
            <w:pPr>
              <w:spacing w:line="400" w:lineRule="exact"/>
              <w:jc w:val="center"/>
              <w:rPr>
                <w:rFonts w:hint="eastAsia" w:ascii="宋体" w:hAnsi="宋体" w:eastAsia="宋体" w:cs="宋体"/>
                <w:color w:val="000000"/>
                <w:szCs w:val="21"/>
              </w:rPr>
            </w:pPr>
          </w:p>
        </w:tc>
        <w:tc>
          <w:tcPr>
            <w:tcW w:w="4048" w:type="dxa"/>
            <w:vMerge w:val="continue"/>
            <w:noWrap w:val="0"/>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5.4</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微信公众号</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5.5</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信息发布系统</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5.6</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智慧班牌系统</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5.7</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安全教育VR体验系统</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pStyle w:val="2"/>
              <w:spacing w:line="400" w:lineRule="exact"/>
              <w:jc w:val="center"/>
              <w:rPr>
                <w:rFonts w:ascii="宋体" w:hAnsi="宋体" w:eastAsia="宋体" w:cs="宋体"/>
                <w:i w:val="0"/>
                <w:color w:val="000000"/>
                <w:sz w:val="21"/>
                <w:szCs w:val="21"/>
              </w:rPr>
            </w:pPr>
            <w:r>
              <w:rPr>
                <w:rFonts w:hint="eastAsia" w:ascii="宋体" w:hAnsi="宋体" w:eastAsia="宋体" w:cs="宋体"/>
                <w:i w:val="0"/>
                <w:color w:val="000000"/>
                <w:sz w:val="21"/>
                <w:szCs w:val="21"/>
              </w:rPr>
              <w:t>5.8</w:t>
            </w:r>
          </w:p>
          <w:p>
            <w:pPr>
              <w:pStyle w:val="2"/>
              <w:spacing w:line="400" w:lineRule="exact"/>
              <w:jc w:val="center"/>
              <w:rPr>
                <w:rFonts w:hint="eastAsia" w:ascii="宋体" w:hAnsi="宋体" w:eastAsia="宋体" w:cs="宋体"/>
                <w:i w:val="0"/>
                <w:color w:val="000000"/>
                <w:sz w:val="21"/>
                <w:szCs w:val="21"/>
              </w:rPr>
            </w:pPr>
            <w:r>
              <w:rPr>
                <w:rFonts w:hint="eastAsia" w:ascii="宋体" w:hAnsi="宋体" w:eastAsia="宋体" w:cs="宋体"/>
                <w:i w:val="0"/>
                <w:color w:val="000000"/>
                <w:sz w:val="21"/>
                <w:szCs w:val="21"/>
              </w:rPr>
              <w:t>5.8</w:t>
            </w:r>
          </w:p>
          <w:p>
            <w:pPr>
              <w:pStyle w:val="2"/>
              <w:spacing w:line="400" w:lineRule="exact"/>
              <w:jc w:val="center"/>
              <w:rPr>
                <w:rFonts w:hint="eastAsia" w:ascii="宋体" w:hAnsi="宋体" w:eastAsia="宋体" w:cs="宋体"/>
                <w:i w:val="0"/>
                <w:color w:val="000000"/>
                <w:sz w:val="21"/>
                <w:szCs w:val="21"/>
              </w:rPr>
            </w:pP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安全体检测评系统</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5.9</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数字图书借阅系统</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5.10</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教育云盘及媒资管理系统</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72" w:type="dxa"/>
            <w:gridSpan w:val="4"/>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（六）智慧校园平台设备支撑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6.1</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私有云盘一体机</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6.2</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超融合服务器一体机</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p>
            <w:pPr>
              <w:spacing w:line="400" w:lineRule="exact"/>
              <w:jc w:val="center"/>
              <w:rPr>
                <w:rFonts w:hint="eastAsia" w:ascii="宋体" w:hAnsi="宋体" w:eastAsia="宋体" w:cs="宋体"/>
                <w:color w:val="000000"/>
                <w:szCs w:val="21"/>
              </w:rPr>
            </w:pP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6.3</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云平台计算虚拟化软件（按CPU数量算）</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6.4</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云平台存储虚拟化软件（按CPU数量授权）</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6.5</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云平台网络虚拟化模块（按CPU数量授权）</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6.6</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云平台管理平台（按CPU数量授权）</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6.7</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云终端</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6.8</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云桌面虚拟化软件</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6.9</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电子教室软件</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6.10</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键盘鼠标</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6.11</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教室终端台式机</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6.12</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接入交换机</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6.13</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桌面云服务一体机</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6.14</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WEB应用防火墙</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6.15</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上网行为管理</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72" w:type="dxa"/>
            <w:gridSpan w:val="4"/>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（七）智慧互动教室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7.1</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智慧课堂教学系统</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7.2</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互动终端主机</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7.3</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全方位高清课堂互动终端（学生）</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7.4</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全方位高清课堂互动终端（教师）</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7.5</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充电柜</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7.6</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9.7寸墨水瓶阅读器（不带笔））</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72" w:type="dxa"/>
            <w:gridSpan w:val="4"/>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（八）互联网校园电视台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8.1</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双机位虚拟演播室</w:t>
            </w:r>
          </w:p>
        </w:tc>
        <w:tc>
          <w:tcPr>
            <w:tcW w:w="2190" w:type="dxa"/>
            <w:noWrap w:val="0"/>
            <w:vAlign w:val="center"/>
          </w:tcPr>
          <w:p>
            <w:pPr>
              <w:spacing w:line="400" w:lineRule="exact"/>
              <w:ind w:firstLine="840" w:firstLineChars="400"/>
              <w:rPr>
                <w:rFonts w:hint="eastAsia" w:ascii="宋体" w:hAnsi="宋体" w:eastAsia="宋体" w:cs="宋体"/>
                <w:color w:val="000000"/>
                <w:szCs w:val="21"/>
              </w:rPr>
            </w:pPr>
            <w:r>
              <w:rPr>
                <w:rFonts w:hint="eastAsia" w:ascii="宋体" w:hAnsi="宋体" w:eastAsia="宋体" w:cs="宋体"/>
                <w:color w:val="000000"/>
                <w:kern w:val="0"/>
                <w:szCs w:val="21"/>
              </w:rPr>
              <w:t>台</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8.2</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专业操作面板</w:t>
            </w:r>
          </w:p>
        </w:tc>
        <w:tc>
          <w:tcPr>
            <w:tcW w:w="2190"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p>
            <w:pPr>
              <w:spacing w:line="400" w:lineRule="exact"/>
              <w:jc w:val="center"/>
              <w:rPr>
                <w:rFonts w:hint="eastAsia" w:ascii="宋体" w:hAnsi="宋体" w:eastAsia="宋体" w:cs="宋体"/>
                <w:color w:val="000000"/>
                <w:szCs w:val="21"/>
              </w:rPr>
            </w:pP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8.3</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23寸LED背光液晶显示器</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8.4</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广播级4K专业摄像机</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8.5</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铝合金三脚架</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8.6</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三脚架滑轮轴组</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8.7</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便携式机位移动及虚拟演播室</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8.8</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HD/SDI移动录播工作站</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8.9</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落地电视移动和支架</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8.10</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便携题词套装</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8.11</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10路调音台</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8.12</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主持人无线领夹话筒</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8.13</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监听音箱</w:t>
            </w:r>
          </w:p>
        </w:tc>
        <w:tc>
          <w:tcPr>
            <w:tcW w:w="2190" w:type="dxa"/>
            <w:noWrap w:val="0"/>
            <w:vAlign w:val="center"/>
          </w:tcPr>
          <w:p>
            <w:pPr>
              <w:spacing w:line="400" w:lineRule="exact"/>
              <w:ind w:firstLine="840" w:firstLineChars="400"/>
              <w:rPr>
                <w:rFonts w:hint="eastAsia" w:ascii="宋体" w:hAnsi="宋体" w:eastAsia="宋体" w:cs="宋体"/>
                <w:color w:val="000000"/>
                <w:szCs w:val="21"/>
              </w:rPr>
            </w:pPr>
            <w:r>
              <w:rPr>
                <w:rFonts w:hint="eastAsia" w:ascii="宋体" w:hAnsi="宋体" w:eastAsia="宋体" w:cs="宋体"/>
                <w:color w:val="000000"/>
                <w:kern w:val="0"/>
                <w:szCs w:val="21"/>
              </w:rPr>
              <w:t>台</w:t>
            </w:r>
          </w:p>
        </w:tc>
        <w:tc>
          <w:tcPr>
            <w:tcW w:w="4048" w:type="dxa"/>
            <w:noWrap w:val="0"/>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8.14</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立体声监听耳机</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8.15</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30米SDI线</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条</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8.16</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10米HDMI线材</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条</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8.17</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HDMI音频解嵌器</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个</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8.18</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HDMI分配器一分四</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个</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pStyle w:val="2"/>
              <w:spacing w:line="400" w:lineRule="exact"/>
              <w:jc w:val="center"/>
              <w:rPr>
                <w:rFonts w:hint="eastAsia" w:ascii="宋体" w:hAnsi="宋体" w:eastAsia="宋体" w:cs="宋体"/>
                <w:color w:val="000000"/>
                <w:sz w:val="21"/>
                <w:szCs w:val="21"/>
              </w:rPr>
            </w:pPr>
            <w:r>
              <w:rPr>
                <w:rFonts w:hint="eastAsia" w:ascii="宋体" w:hAnsi="宋体" w:eastAsia="宋体" w:cs="宋体"/>
                <w:i w:val="0"/>
                <w:color w:val="000000"/>
                <w:kern w:val="0"/>
                <w:sz w:val="21"/>
                <w:szCs w:val="21"/>
              </w:rPr>
              <w:t>8.19</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直播盒子</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个</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pStyle w:val="2"/>
              <w:spacing w:line="400" w:lineRule="exact"/>
              <w:jc w:val="center"/>
              <w:rPr>
                <w:rFonts w:hint="eastAsia" w:ascii="宋体" w:hAnsi="宋体" w:eastAsia="宋体" w:cs="宋体"/>
                <w:color w:val="000000"/>
                <w:sz w:val="21"/>
                <w:szCs w:val="21"/>
              </w:rPr>
            </w:pPr>
            <w:r>
              <w:rPr>
                <w:rFonts w:hint="eastAsia" w:ascii="宋体" w:hAnsi="宋体" w:eastAsia="宋体" w:cs="宋体"/>
                <w:i w:val="0"/>
                <w:color w:val="000000"/>
                <w:kern w:val="0"/>
                <w:sz w:val="21"/>
                <w:szCs w:val="21"/>
              </w:rPr>
              <w:t>8.20</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虚拟绿箱侧光用平板式光灯</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盏</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pStyle w:val="2"/>
              <w:spacing w:line="400" w:lineRule="exact"/>
              <w:jc w:val="center"/>
              <w:rPr>
                <w:rFonts w:hint="eastAsia" w:ascii="宋体" w:hAnsi="宋体" w:eastAsia="宋体" w:cs="宋体"/>
                <w:color w:val="000000"/>
                <w:sz w:val="21"/>
                <w:szCs w:val="21"/>
              </w:rPr>
            </w:pPr>
            <w:r>
              <w:rPr>
                <w:rFonts w:hint="eastAsia" w:ascii="宋体" w:hAnsi="宋体" w:eastAsia="宋体" w:cs="宋体"/>
                <w:i w:val="0"/>
                <w:color w:val="000000"/>
                <w:kern w:val="0"/>
                <w:sz w:val="21"/>
                <w:szCs w:val="21"/>
              </w:rPr>
              <w:t>8.21</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虚拟绿箱顶光用平板式光灯</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盏</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pStyle w:val="2"/>
              <w:spacing w:line="400" w:lineRule="exact"/>
              <w:jc w:val="center"/>
              <w:rPr>
                <w:rFonts w:hint="eastAsia" w:ascii="宋体" w:hAnsi="宋体" w:eastAsia="宋体" w:cs="宋体"/>
                <w:color w:val="000000"/>
                <w:sz w:val="21"/>
                <w:szCs w:val="21"/>
              </w:rPr>
            </w:pPr>
            <w:r>
              <w:rPr>
                <w:rFonts w:hint="eastAsia" w:ascii="宋体" w:hAnsi="宋体" w:eastAsia="宋体" w:cs="宋体"/>
                <w:i w:val="0"/>
                <w:color w:val="000000"/>
                <w:kern w:val="0"/>
                <w:sz w:val="21"/>
                <w:szCs w:val="21"/>
              </w:rPr>
              <w:t>8.22</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虚拟绿箱面光用平板式光灯</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盏</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pStyle w:val="2"/>
              <w:spacing w:line="400" w:lineRule="exact"/>
              <w:jc w:val="center"/>
              <w:rPr>
                <w:rFonts w:hint="eastAsia" w:ascii="宋体" w:hAnsi="宋体" w:eastAsia="宋体" w:cs="宋体"/>
                <w:color w:val="000000"/>
                <w:sz w:val="21"/>
                <w:szCs w:val="21"/>
              </w:rPr>
            </w:pPr>
            <w:r>
              <w:rPr>
                <w:rFonts w:hint="eastAsia" w:ascii="宋体" w:hAnsi="宋体" w:eastAsia="宋体" w:cs="宋体"/>
                <w:i w:val="0"/>
                <w:color w:val="000000"/>
                <w:kern w:val="0"/>
                <w:sz w:val="21"/>
                <w:szCs w:val="21"/>
              </w:rPr>
              <w:t>8.23</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轮廓光用LED螺纹透镜聚光灯</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盏</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pStyle w:val="2"/>
              <w:spacing w:line="400" w:lineRule="exact"/>
              <w:jc w:val="center"/>
              <w:rPr>
                <w:rFonts w:hint="eastAsia" w:ascii="宋体" w:hAnsi="宋体" w:eastAsia="宋体" w:cs="宋体"/>
                <w:color w:val="000000"/>
                <w:sz w:val="21"/>
                <w:szCs w:val="21"/>
              </w:rPr>
            </w:pPr>
            <w:r>
              <w:rPr>
                <w:rFonts w:hint="eastAsia" w:ascii="宋体" w:hAnsi="宋体" w:eastAsia="宋体" w:cs="宋体"/>
                <w:i w:val="0"/>
                <w:color w:val="000000"/>
                <w:kern w:val="0"/>
                <w:sz w:val="21"/>
                <w:szCs w:val="21"/>
              </w:rPr>
              <w:t>8.24</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遥控器</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个</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pStyle w:val="2"/>
              <w:spacing w:line="400" w:lineRule="exact"/>
              <w:jc w:val="center"/>
              <w:rPr>
                <w:rFonts w:hint="eastAsia" w:ascii="宋体" w:hAnsi="宋体" w:eastAsia="宋体" w:cs="宋体"/>
                <w:color w:val="000000"/>
                <w:sz w:val="21"/>
                <w:szCs w:val="21"/>
              </w:rPr>
            </w:pPr>
            <w:r>
              <w:rPr>
                <w:rFonts w:hint="eastAsia" w:ascii="宋体" w:hAnsi="宋体" w:eastAsia="宋体" w:cs="宋体"/>
                <w:i w:val="0"/>
                <w:color w:val="000000"/>
                <w:kern w:val="0"/>
                <w:sz w:val="21"/>
                <w:szCs w:val="21"/>
              </w:rPr>
              <w:t>8.25</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L型绿箱</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个</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pStyle w:val="2"/>
              <w:spacing w:line="400" w:lineRule="exact"/>
              <w:jc w:val="center"/>
              <w:rPr>
                <w:rFonts w:hint="eastAsia" w:ascii="宋体" w:hAnsi="宋体" w:eastAsia="宋体" w:cs="宋体"/>
                <w:color w:val="000000"/>
                <w:sz w:val="21"/>
                <w:szCs w:val="21"/>
              </w:rPr>
            </w:pPr>
            <w:r>
              <w:rPr>
                <w:rFonts w:hint="eastAsia" w:ascii="宋体" w:hAnsi="宋体" w:eastAsia="宋体" w:cs="宋体"/>
                <w:i w:val="0"/>
                <w:color w:val="000000"/>
                <w:kern w:val="0"/>
                <w:sz w:val="21"/>
                <w:szCs w:val="21"/>
              </w:rPr>
              <w:t>8.26</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轨道式灯光悬挂系统</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个</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pStyle w:val="2"/>
              <w:spacing w:line="400" w:lineRule="exact"/>
              <w:jc w:val="center"/>
              <w:rPr>
                <w:rFonts w:hint="eastAsia" w:ascii="宋体" w:hAnsi="宋体" w:eastAsia="宋体" w:cs="宋体"/>
                <w:color w:val="000000"/>
                <w:sz w:val="21"/>
                <w:szCs w:val="21"/>
              </w:rPr>
            </w:pPr>
            <w:r>
              <w:rPr>
                <w:rFonts w:hint="eastAsia" w:ascii="宋体" w:hAnsi="宋体" w:eastAsia="宋体" w:cs="宋体"/>
                <w:i w:val="0"/>
                <w:color w:val="000000"/>
                <w:kern w:val="0"/>
                <w:sz w:val="21"/>
                <w:szCs w:val="21"/>
              </w:rPr>
              <w:t>8.27</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导播操作台</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台</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kern w:val="0"/>
                <w:szCs w:val="21"/>
              </w:rPr>
              <w:t>1</w:t>
            </w:r>
          </w:p>
        </w:tc>
      </w:tr>
    </w:tbl>
    <w:p>
      <w:pPr>
        <w:pStyle w:val="157"/>
        <w:numPr>
          <w:ilvl w:val="0"/>
          <w:numId w:val="8"/>
        </w:numPr>
        <w:spacing w:line="400" w:lineRule="exact"/>
        <w:ind w:firstLine="0" w:firstLineChars="0"/>
        <w:jc w:val="both"/>
        <w:rPr>
          <w:rFonts w:hint="eastAsia" w:ascii="宋体" w:hAnsi="宋体" w:cs="宋体"/>
          <w:color w:val="000000"/>
          <w:sz w:val="21"/>
          <w:szCs w:val="21"/>
        </w:rPr>
      </w:pPr>
      <w:r>
        <w:rPr>
          <w:rFonts w:hint="eastAsia" w:ascii="宋体" w:hAnsi="宋体" w:cs="宋体"/>
          <w:color w:val="000000"/>
          <w:sz w:val="21"/>
          <w:szCs w:val="21"/>
        </w:rPr>
        <w:t>各子项目建设需求、建设内容、技术要求</w:t>
      </w:r>
    </w:p>
    <w:p>
      <w:pPr>
        <w:pStyle w:val="157"/>
        <w:spacing w:line="400" w:lineRule="exact"/>
        <w:ind w:firstLine="0" w:firstLineChars="0"/>
        <w:jc w:val="both"/>
        <w:rPr>
          <w:rFonts w:hint="eastAsia" w:ascii="宋体" w:hAnsi="宋体" w:cs="宋体"/>
          <w:b/>
          <w:bCs/>
          <w:color w:val="000000"/>
          <w:sz w:val="30"/>
          <w:szCs w:val="30"/>
        </w:rPr>
      </w:pPr>
    </w:p>
    <w:p>
      <w:pPr>
        <w:pStyle w:val="157"/>
        <w:spacing w:line="400" w:lineRule="exact"/>
        <w:ind w:firstLine="0" w:firstLineChars="0"/>
        <w:jc w:val="center"/>
        <w:rPr>
          <w:rFonts w:hint="eastAsia" w:ascii="宋体" w:hAnsi="宋体" w:cs="宋体"/>
          <w:b/>
          <w:bCs/>
          <w:color w:val="000000"/>
          <w:sz w:val="30"/>
          <w:szCs w:val="30"/>
        </w:rPr>
      </w:pPr>
    </w:p>
    <w:p>
      <w:pPr>
        <w:pStyle w:val="157"/>
        <w:spacing w:line="400" w:lineRule="exact"/>
        <w:ind w:firstLine="0" w:firstLineChars="0"/>
        <w:jc w:val="center"/>
        <w:rPr>
          <w:rFonts w:hint="eastAsia" w:ascii="宋体" w:hAnsi="宋体" w:cs="宋体"/>
          <w:b/>
          <w:bCs/>
          <w:color w:val="000000"/>
          <w:sz w:val="30"/>
          <w:szCs w:val="30"/>
        </w:rPr>
      </w:pPr>
      <w:r>
        <w:rPr>
          <w:rFonts w:hint="eastAsia" w:ascii="宋体" w:hAnsi="宋体" w:cs="宋体"/>
          <w:b/>
          <w:bCs/>
          <w:color w:val="000000"/>
          <w:sz w:val="30"/>
          <w:szCs w:val="30"/>
        </w:rPr>
        <w:t>（一）智慧班牌系统</w:t>
      </w:r>
    </w:p>
    <w:p>
      <w:pPr>
        <w:pStyle w:val="157"/>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运用新媒体改进和智慧校园信息传递载体，不再受限于以传统静态文字或图片张贴公告等单向传递的方式，以视频网页动画音频等多媒体交互形式传播丰富的信息。为全方位培育和打造校园文化环境提供一个优质的载体，符合现代智能化校园建设需求和氛围。为满足国家对校园文化建设及班班通的需求，以先进现代化技术为基础，建立一套包含视频、音频、文章、图片等内容播放终端为载体的简洁化系统。</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591"/>
        <w:gridCol w:w="2190"/>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设备名称</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单位</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智慧班牌</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智慧班牌系统软件</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bl>
    <w:p>
      <w:pPr>
        <w:spacing w:line="400" w:lineRule="exact"/>
        <w:rPr>
          <w:rFonts w:hint="eastAsia" w:ascii="宋体" w:hAnsi="宋体" w:cs="宋体"/>
          <w:color w:val="000000"/>
          <w:szCs w:val="21"/>
        </w:rPr>
      </w:pPr>
    </w:p>
    <w:p>
      <w:pPr>
        <w:spacing w:line="400" w:lineRule="exact"/>
        <w:rPr>
          <w:rFonts w:hint="eastAsia" w:ascii="宋体" w:hAnsi="宋体" w:cs="宋体"/>
          <w:color w:val="000000"/>
          <w:szCs w:val="21"/>
        </w:rPr>
      </w:pPr>
      <w:r>
        <w:rPr>
          <w:rFonts w:hint="eastAsia" w:ascii="宋体" w:hAnsi="宋体" w:cs="宋体"/>
          <w:color w:val="000000"/>
          <w:szCs w:val="21"/>
        </w:rPr>
        <w:t>详细参数：</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01" w:type="dxa"/>
            <w:noWrap w:val="0"/>
            <w:vAlign w:val="center"/>
          </w:tcPr>
          <w:p>
            <w:pPr>
              <w:spacing w:line="400" w:lineRule="exact"/>
              <w:jc w:val="center"/>
              <w:rPr>
                <w:rFonts w:hint="eastAsia" w:ascii="宋体" w:hAnsi="宋体" w:cs="宋体"/>
                <w:color w:val="000000"/>
                <w:szCs w:val="21"/>
              </w:rPr>
            </w:pPr>
            <w:r>
              <w:rPr>
                <w:rFonts w:hint="eastAsia" w:ascii="宋体" w:hAnsi="宋体" w:eastAsia="宋体" w:cs="宋体"/>
                <w:color w:val="000000"/>
                <w:szCs w:val="21"/>
              </w:rPr>
              <w:t>智慧班牌</w:t>
            </w:r>
          </w:p>
        </w:tc>
        <w:tc>
          <w:tcPr>
            <w:tcW w:w="8754" w:type="dxa"/>
            <w:noWrap w:val="0"/>
            <w:vAlign w:val="top"/>
          </w:tcPr>
          <w:p>
            <w:pPr>
              <w:spacing w:line="400" w:lineRule="exact"/>
              <w:rPr>
                <w:rFonts w:hint="eastAsia" w:ascii="宋体" w:hAnsi="宋体" w:cs="宋体"/>
                <w:color w:val="000000"/>
                <w:szCs w:val="21"/>
              </w:rPr>
            </w:pPr>
            <w:r>
              <w:rPr>
                <w:rFonts w:hint="eastAsia" w:ascii="宋体" w:hAnsi="宋体" w:cs="宋体"/>
                <w:color w:val="000000"/>
                <w:szCs w:val="21"/>
              </w:rPr>
              <w:t>基本配置：21.5英寸1080P高清屏/10点电容触摸屏/RK3368八核64位Cortex-A53,频率高达1.5G/内存2G/闪存8G/WIFI/内置喇叭/内置电源/壁挂/读卡器。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01" w:type="dxa"/>
            <w:noWrap w:val="0"/>
            <w:vAlign w:val="center"/>
          </w:tcPr>
          <w:p>
            <w:pPr>
              <w:spacing w:line="400" w:lineRule="exact"/>
              <w:jc w:val="center"/>
              <w:rPr>
                <w:rFonts w:hint="eastAsia" w:ascii="宋体" w:hAnsi="宋体" w:cs="宋体"/>
                <w:color w:val="000000"/>
                <w:szCs w:val="21"/>
              </w:rPr>
            </w:pPr>
            <w:r>
              <w:rPr>
                <w:rFonts w:hint="eastAsia" w:ascii="宋体" w:hAnsi="宋体" w:eastAsia="宋体" w:cs="宋体"/>
                <w:color w:val="000000"/>
                <w:szCs w:val="21"/>
              </w:rPr>
              <w:t>智慧班牌系统软件</w:t>
            </w:r>
          </w:p>
        </w:tc>
        <w:tc>
          <w:tcPr>
            <w:tcW w:w="8754" w:type="dxa"/>
            <w:noWrap w:val="0"/>
            <w:vAlign w:val="top"/>
          </w:tcPr>
          <w:p>
            <w:pPr>
              <w:spacing w:line="400" w:lineRule="exact"/>
              <w:rPr>
                <w:rFonts w:hint="eastAsia" w:ascii="宋体" w:hAnsi="宋体" w:cs="宋体"/>
                <w:color w:val="000000"/>
                <w:szCs w:val="21"/>
              </w:rPr>
            </w:pPr>
            <w:r>
              <w:rPr>
                <w:rFonts w:hint="eastAsia" w:ascii="宋体" w:hAnsi="宋体" w:cs="宋体"/>
                <w:color w:val="000000"/>
                <w:szCs w:val="21"/>
              </w:rPr>
              <w:t>班级信息</w:t>
            </w:r>
          </w:p>
          <w:p>
            <w:pPr>
              <w:spacing w:line="400" w:lineRule="exact"/>
              <w:rPr>
                <w:rFonts w:hint="eastAsia" w:ascii="宋体" w:hAnsi="宋体" w:cs="宋体"/>
                <w:color w:val="000000"/>
                <w:szCs w:val="21"/>
              </w:rPr>
            </w:pPr>
            <w:r>
              <w:rPr>
                <w:rFonts w:hint="eastAsia" w:ascii="宋体" w:hAnsi="宋体" w:cs="宋体"/>
                <w:color w:val="000000"/>
                <w:szCs w:val="21"/>
              </w:rPr>
              <w:t>班级信息显示：展示了班级名称、班级宣言、集体照、班主任、任课老师等基础信息；可以让观看者一目了然的了解班级；</w:t>
            </w:r>
          </w:p>
          <w:p>
            <w:pPr>
              <w:spacing w:line="400" w:lineRule="exact"/>
              <w:rPr>
                <w:rFonts w:hint="eastAsia" w:ascii="宋体" w:hAnsi="宋体" w:cs="宋体"/>
                <w:color w:val="000000"/>
                <w:szCs w:val="21"/>
              </w:rPr>
            </w:pPr>
            <w:r>
              <w:rPr>
                <w:rFonts w:hint="eastAsia" w:ascii="宋体" w:hAnsi="宋体" w:cs="宋体"/>
                <w:color w:val="000000"/>
                <w:szCs w:val="21"/>
              </w:rPr>
              <w:t>班级荣誉：可以通过拍摄纸质奖状，或制作电子勋章等方式，由学校统一颁发给获奖班级；</w:t>
            </w:r>
          </w:p>
          <w:p>
            <w:pPr>
              <w:spacing w:line="400" w:lineRule="exact"/>
              <w:rPr>
                <w:rFonts w:hint="eastAsia" w:ascii="宋体" w:hAnsi="宋体" w:cs="宋体"/>
                <w:color w:val="000000"/>
                <w:szCs w:val="21"/>
              </w:rPr>
            </w:pPr>
            <w:r>
              <w:rPr>
                <w:rFonts w:hint="eastAsia" w:ascii="宋体" w:hAnsi="宋体" w:cs="宋体"/>
                <w:color w:val="000000"/>
                <w:szCs w:val="21"/>
              </w:rPr>
              <w:t>班级相册：任何有关班级师生的照片，都可以通过建立不同的相册来分类保存，例如：班队活动、春游、运动会、节佳日庆典等等，并可设置为展示的照片内容；</w:t>
            </w:r>
          </w:p>
          <w:p>
            <w:pPr>
              <w:spacing w:line="400" w:lineRule="exact"/>
              <w:rPr>
                <w:rFonts w:hint="eastAsia" w:ascii="宋体" w:hAnsi="宋体" w:cs="宋体"/>
                <w:color w:val="000000"/>
                <w:szCs w:val="21"/>
              </w:rPr>
            </w:pPr>
            <w:r>
              <w:rPr>
                <w:rFonts w:hint="eastAsia" w:ascii="宋体" w:hAnsi="宋体" w:cs="宋体"/>
                <w:color w:val="000000"/>
                <w:szCs w:val="21"/>
              </w:rPr>
              <w:t>今日班况：实时反映班级的学生出勤状况。</w:t>
            </w:r>
          </w:p>
          <w:p>
            <w:pPr>
              <w:spacing w:line="400" w:lineRule="exact"/>
              <w:rPr>
                <w:rFonts w:hint="eastAsia" w:ascii="宋体" w:hAnsi="宋体" w:cs="宋体"/>
                <w:color w:val="000000"/>
                <w:szCs w:val="21"/>
              </w:rPr>
            </w:pPr>
            <w:r>
              <w:rPr>
                <w:rFonts w:hint="eastAsia" w:ascii="宋体" w:hAnsi="宋体" w:cs="宋体"/>
                <w:color w:val="000000"/>
                <w:szCs w:val="21"/>
              </w:rPr>
              <w:t>课表显示</w:t>
            </w:r>
          </w:p>
          <w:p>
            <w:pPr>
              <w:spacing w:line="400" w:lineRule="exact"/>
              <w:rPr>
                <w:rFonts w:hint="eastAsia" w:ascii="宋体" w:hAnsi="宋体" w:cs="宋体"/>
                <w:color w:val="000000"/>
                <w:szCs w:val="21"/>
              </w:rPr>
            </w:pPr>
            <w:r>
              <w:rPr>
                <w:rFonts w:hint="eastAsia" w:ascii="宋体" w:hAnsi="宋体" w:cs="宋体"/>
                <w:color w:val="000000"/>
                <w:szCs w:val="21"/>
              </w:rPr>
              <w:t>当前课程：显示当前课时的上课信息，包括课程名、教师名、上课时间、上课进度等；</w:t>
            </w:r>
          </w:p>
          <w:p>
            <w:pPr>
              <w:spacing w:line="400" w:lineRule="exact"/>
              <w:rPr>
                <w:rFonts w:hint="eastAsia" w:ascii="宋体" w:hAnsi="宋体" w:cs="宋体"/>
                <w:color w:val="000000"/>
                <w:szCs w:val="21"/>
              </w:rPr>
            </w:pPr>
            <w:r>
              <w:rPr>
                <w:rFonts w:hint="eastAsia" w:ascii="宋体" w:hAnsi="宋体" w:cs="宋体"/>
                <w:color w:val="000000"/>
                <w:szCs w:val="21"/>
              </w:rPr>
              <w:t>今日课程：显示当日所有课程信息，第几节课、课程名、教师名等；</w:t>
            </w:r>
          </w:p>
          <w:p>
            <w:pPr>
              <w:spacing w:line="400" w:lineRule="exact"/>
              <w:rPr>
                <w:rFonts w:hint="eastAsia" w:ascii="宋体" w:hAnsi="宋体" w:cs="宋体"/>
                <w:color w:val="000000"/>
                <w:szCs w:val="21"/>
              </w:rPr>
            </w:pPr>
            <w:r>
              <w:rPr>
                <w:rFonts w:hint="eastAsia" w:ascii="宋体" w:hAnsi="宋体" w:cs="宋体"/>
                <w:color w:val="000000"/>
                <w:szCs w:val="21"/>
              </w:rPr>
              <w:t>明日课程：显示明日所有课程信息，第几节课、课程名、教师名等；</w:t>
            </w:r>
          </w:p>
          <w:p>
            <w:pPr>
              <w:spacing w:line="400" w:lineRule="exact"/>
              <w:rPr>
                <w:rFonts w:hint="eastAsia" w:ascii="宋体" w:hAnsi="宋体" w:cs="宋体"/>
                <w:color w:val="000000"/>
                <w:szCs w:val="21"/>
              </w:rPr>
            </w:pPr>
            <w:r>
              <w:rPr>
                <w:rFonts w:hint="eastAsia" w:ascii="宋体" w:hAnsi="宋体" w:cs="宋体"/>
                <w:color w:val="000000"/>
                <w:szCs w:val="21"/>
              </w:rPr>
              <w:t>本周课表：显示一周每天所有课程信息，第几节课、课程名、教师名等。</w:t>
            </w:r>
          </w:p>
          <w:p>
            <w:pPr>
              <w:spacing w:line="400" w:lineRule="exact"/>
              <w:rPr>
                <w:rFonts w:hint="eastAsia" w:ascii="宋体" w:hAnsi="宋体" w:cs="宋体"/>
                <w:color w:val="000000"/>
                <w:szCs w:val="21"/>
              </w:rPr>
            </w:pPr>
            <w:r>
              <w:rPr>
                <w:rFonts w:hint="eastAsia" w:ascii="宋体" w:hAnsi="宋体" w:cs="宋体"/>
                <w:color w:val="000000"/>
                <w:szCs w:val="21"/>
              </w:rPr>
              <w:t>日常信息显示</w:t>
            </w:r>
          </w:p>
          <w:p>
            <w:pPr>
              <w:spacing w:line="400" w:lineRule="exact"/>
              <w:rPr>
                <w:rFonts w:hint="eastAsia" w:ascii="宋体" w:hAnsi="宋体" w:cs="宋体"/>
                <w:color w:val="000000"/>
                <w:szCs w:val="21"/>
              </w:rPr>
            </w:pPr>
            <w:r>
              <w:rPr>
                <w:rFonts w:hint="eastAsia" w:ascii="宋体" w:hAnsi="宋体" w:cs="宋体"/>
                <w:color w:val="000000"/>
                <w:szCs w:val="21"/>
              </w:rPr>
              <w:t>时间显示：支持阳历日期、农历日期、星期、时间等；</w:t>
            </w:r>
          </w:p>
          <w:p>
            <w:pPr>
              <w:spacing w:line="400" w:lineRule="exact"/>
              <w:rPr>
                <w:rFonts w:hint="eastAsia" w:ascii="宋体" w:hAnsi="宋体" w:cs="宋体"/>
                <w:color w:val="000000"/>
                <w:szCs w:val="21"/>
              </w:rPr>
            </w:pPr>
            <w:r>
              <w:rPr>
                <w:rFonts w:hint="eastAsia" w:ascii="宋体" w:hAnsi="宋体" w:cs="宋体"/>
                <w:color w:val="000000"/>
                <w:szCs w:val="21"/>
              </w:rPr>
              <w:t>天气环境显示：当天天气数据，包括天气图、温度、湿度、天气状况、风况、PM2.5值等。</w:t>
            </w:r>
          </w:p>
          <w:p>
            <w:pPr>
              <w:spacing w:line="400" w:lineRule="exact"/>
              <w:rPr>
                <w:rFonts w:hint="eastAsia" w:ascii="宋体" w:hAnsi="宋体" w:cs="宋体"/>
                <w:color w:val="000000"/>
                <w:szCs w:val="21"/>
              </w:rPr>
            </w:pPr>
            <w:r>
              <w:rPr>
                <w:rFonts w:hint="eastAsia" w:ascii="宋体" w:hAnsi="宋体" w:cs="宋体"/>
                <w:color w:val="000000"/>
                <w:szCs w:val="21"/>
              </w:rPr>
              <w:t>考勤签到功能</w:t>
            </w:r>
          </w:p>
          <w:p>
            <w:pPr>
              <w:spacing w:line="400" w:lineRule="exact"/>
              <w:rPr>
                <w:rFonts w:hint="eastAsia" w:ascii="宋体" w:hAnsi="宋体" w:cs="宋体"/>
                <w:color w:val="000000"/>
                <w:szCs w:val="21"/>
              </w:rPr>
            </w:pPr>
            <w:r>
              <w:rPr>
                <w:rFonts w:hint="eastAsia" w:ascii="宋体" w:hAnsi="宋体" w:cs="宋体"/>
                <w:color w:val="000000"/>
                <w:szCs w:val="21"/>
              </w:rPr>
              <w:t>记录学生刷卡记录，显示刷卡学生基本信息，同步数据以及数据分析统计。</w:t>
            </w:r>
          </w:p>
          <w:p>
            <w:pPr>
              <w:spacing w:line="400" w:lineRule="exact"/>
              <w:rPr>
                <w:rFonts w:hint="eastAsia" w:ascii="宋体" w:hAnsi="宋体" w:cs="宋体"/>
                <w:color w:val="000000"/>
                <w:szCs w:val="21"/>
              </w:rPr>
            </w:pPr>
            <w:r>
              <w:rPr>
                <w:rFonts w:hint="eastAsia" w:ascii="宋体" w:hAnsi="宋体" w:cs="宋体"/>
                <w:color w:val="000000"/>
                <w:szCs w:val="21"/>
              </w:rPr>
              <w:t>通知公告</w:t>
            </w:r>
          </w:p>
          <w:p>
            <w:pPr>
              <w:spacing w:line="400" w:lineRule="exact"/>
              <w:rPr>
                <w:rFonts w:hint="eastAsia" w:ascii="宋体" w:hAnsi="宋体" w:cs="宋体"/>
                <w:color w:val="000000"/>
                <w:szCs w:val="21"/>
              </w:rPr>
            </w:pPr>
            <w:r>
              <w:rPr>
                <w:rFonts w:hint="eastAsia" w:ascii="宋体" w:hAnsi="宋体" w:cs="宋体"/>
                <w:color w:val="000000"/>
                <w:szCs w:val="21"/>
              </w:rPr>
              <w:t>显示学校发布的校级通知公告，或班级发布的班级公告。</w:t>
            </w:r>
          </w:p>
          <w:p>
            <w:pPr>
              <w:spacing w:line="400" w:lineRule="exact"/>
              <w:rPr>
                <w:rFonts w:hint="eastAsia" w:ascii="宋体" w:hAnsi="宋体" w:cs="宋体"/>
                <w:color w:val="000000"/>
                <w:szCs w:val="21"/>
              </w:rPr>
            </w:pPr>
            <w:r>
              <w:rPr>
                <w:rFonts w:hint="eastAsia" w:ascii="宋体" w:hAnsi="宋体" w:cs="宋体"/>
                <w:color w:val="000000"/>
                <w:szCs w:val="21"/>
              </w:rPr>
              <w:t>多模式显示</w:t>
            </w:r>
          </w:p>
          <w:p>
            <w:pPr>
              <w:spacing w:line="400" w:lineRule="exact"/>
              <w:rPr>
                <w:rFonts w:hint="eastAsia" w:ascii="宋体" w:hAnsi="宋体" w:cs="宋体"/>
                <w:color w:val="000000"/>
                <w:szCs w:val="21"/>
              </w:rPr>
            </w:pPr>
            <w:r>
              <w:rPr>
                <w:rFonts w:hint="eastAsia" w:ascii="宋体" w:hAnsi="宋体" w:cs="宋体"/>
                <w:color w:val="000000"/>
                <w:szCs w:val="21"/>
              </w:rPr>
              <w:t>可以根据设定的时间，班牌自动或手动切换屏显状态，有紧急通知模式、上课模式、考勤模式以及常规模式。</w:t>
            </w:r>
          </w:p>
          <w:p>
            <w:pPr>
              <w:spacing w:line="400" w:lineRule="exact"/>
              <w:rPr>
                <w:rFonts w:hint="eastAsia" w:ascii="宋体" w:hAnsi="宋体" w:cs="宋体"/>
                <w:color w:val="000000"/>
                <w:szCs w:val="21"/>
              </w:rPr>
            </w:pPr>
            <w:r>
              <w:rPr>
                <w:rFonts w:hint="eastAsia" w:ascii="宋体" w:hAnsi="宋体" w:cs="宋体"/>
                <w:color w:val="000000"/>
                <w:szCs w:val="21"/>
              </w:rPr>
              <w:t>紧急通知模式</w:t>
            </w:r>
          </w:p>
          <w:p>
            <w:pPr>
              <w:spacing w:line="400" w:lineRule="exact"/>
              <w:rPr>
                <w:rFonts w:hint="eastAsia" w:ascii="宋体" w:hAnsi="宋体" w:cs="宋体"/>
                <w:color w:val="000000"/>
                <w:szCs w:val="21"/>
              </w:rPr>
            </w:pPr>
            <w:r>
              <w:rPr>
                <w:rFonts w:hint="eastAsia" w:ascii="宋体" w:hAnsi="宋体" w:cs="宋体"/>
                <w:color w:val="000000"/>
                <w:szCs w:val="21"/>
              </w:rPr>
              <w:t>管理员可以通过管理平台，指定部分或全部班牌显示图文和视频内容，例如领导视察、紧急事件等，提升通知效率。</w:t>
            </w:r>
          </w:p>
          <w:p>
            <w:pPr>
              <w:spacing w:line="400" w:lineRule="exact"/>
              <w:rPr>
                <w:rFonts w:hint="eastAsia" w:ascii="宋体" w:hAnsi="宋体" w:cs="宋体"/>
                <w:color w:val="000000"/>
                <w:szCs w:val="21"/>
              </w:rPr>
            </w:pPr>
            <w:r>
              <w:rPr>
                <w:rFonts w:hint="eastAsia" w:ascii="宋体" w:hAnsi="宋体" w:cs="宋体"/>
                <w:color w:val="000000"/>
                <w:szCs w:val="21"/>
              </w:rPr>
              <w:t>上课模式</w:t>
            </w:r>
          </w:p>
          <w:p>
            <w:pPr>
              <w:spacing w:line="400" w:lineRule="exact"/>
              <w:rPr>
                <w:rFonts w:hint="eastAsia" w:ascii="宋体" w:hAnsi="宋体" w:cs="宋体"/>
                <w:color w:val="000000"/>
                <w:szCs w:val="21"/>
              </w:rPr>
            </w:pPr>
            <w:r>
              <w:rPr>
                <w:rFonts w:hint="eastAsia" w:ascii="宋体" w:hAnsi="宋体" w:cs="宋体"/>
                <w:color w:val="000000"/>
                <w:szCs w:val="21"/>
              </w:rPr>
              <w:t>班牌会自动根据课程表时间，来显示当前课时的上课信息，包括教师姓名、班级人数、课程信息及进度。</w:t>
            </w:r>
          </w:p>
          <w:p>
            <w:pPr>
              <w:spacing w:line="400" w:lineRule="exact"/>
              <w:rPr>
                <w:rFonts w:hint="eastAsia" w:ascii="宋体" w:hAnsi="宋体" w:cs="宋体"/>
                <w:color w:val="000000"/>
                <w:szCs w:val="21"/>
              </w:rPr>
            </w:pPr>
            <w:r>
              <w:rPr>
                <w:rFonts w:hint="eastAsia" w:ascii="宋体" w:hAnsi="宋体" w:cs="宋体"/>
                <w:color w:val="000000"/>
                <w:szCs w:val="21"/>
              </w:rPr>
              <w:t>考勤模式</w:t>
            </w:r>
          </w:p>
          <w:p>
            <w:pPr>
              <w:spacing w:line="400" w:lineRule="exact"/>
              <w:rPr>
                <w:rFonts w:hint="eastAsia" w:ascii="宋体" w:hAnsi="宋体" w:cs="宋体"/>
                <w:color w:val="000000"/>
                <w:szCs w:val="21"/>
              </w:rPr>
            </w:pPr>
            <w:r>
              <w:rPr>
                <w:rFonts w:hint="eastAsia" w:ascii="宋体" w:hAnsi="宋体" w:cs="宋体"/>
                <w:color w:val="000000"/>
                <w:szCs w:val="21"/>
              </w:rPr>
              <w:t>在到达设置的时间段后，班牌将自动切换成学生考勤界面，供学生刷卡考勤，并将数据进行同步和分析统计。</w:t>
            </w:r>
          </w:p>
          <w:p>
            <w:pPr>
              <w:spacing w:line="400" w:lineRule="exact"/>
              <w:rPr>
                <w:rFonts w:hint="eastAsia" w:ascii="宋体" w:hAnsi="宋体" w:cs="宋体"/>
                <w:color w:val="000000"/>
                <w:szCs w:val="21"/>
              </w:rPr>
            </w:pPr>
            <w:r>
              <w:rPr>
                <w:rFonts w:hint="eastAsia" w:ascii="宋体" w:hAnsi="宋体" w:cs="宋体"/>
                <w:color w:val="000000"/>
                <w:szCs w:val="21"/>
              </w:rPr>
              <w:t>常规模式</w:t>
            </w:r>
          </w:p>
          <w:p>
            <w:pPr>
              <w:spacing w:line="400" w:lineRule="exact"/>
              <w:rPr>
                <w:rFonts w:hint="eastAsia" w:ascii="宋体" w:hAnsi="宋体" w:cs="宋体"/>
                <w:color w:val="000000"/>
                <w:szCs w:val="21"/>
              </w:rPr>
            </w:pPr>
            <w:r>
              <w:rPr>
                <w:rFonts w:hint="eastAsia" w:ascii="宋体" w:hAnsi="宋体" w:cs="宋体"/>
                <w:color w:val="000000"/>
                <w:szCs w:val="21"/>
              </w:rPr>
              <w:t>即显示除了以上模式外的其他功能，是日常学校生活中学生进行查阅信息、互动操作等方式来参与智慧校园生活的主要方面。</w:t>
            </w:r>
          </w:p>
        </w:tc>
      </w:tr>
    </w:tbl>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spacing w:line="400" w:lineRule="exact"/>
        <w:jc w:val="center"/>
        <w:rPr>
          <w:rFonts w:hint="eastAsia" w:ascii="宋体" w:hAnsi="宋体" w:cs="宋体"/>
          <w:b/>
          <w:bCs/>
          <w:color w:val="000000"/>
          <w:sz w:val="30"/>
          <w:szCs w:val="30"/>
        </w:rPr>
      </w:pPr>
      <w:r>
        <w:rPr>
          <w:rFonts w:hint="eastAsia" w:ascii="宋体" w:hAnsi="宋体" w:cs="宋体"/>
          <w:b/>
          <w:bCs/>
          <w:color w:val="000000"/>
          <w:sz w:val="30"/>
          <w:szCs w:val="30"/>
        </w:rPr>
        <w:t>（二）微格教室系统（微格教室）</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全自动课程精品录播教室在学校具有极高的应用价值，对于学校而言是一个积累资源的手段，其主要体现在以下三个方面：</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1、及时的把学校的课堂资源通过录播系统真实的记录下来。通过系统根据不同的需求是现场直播还是录完以后再播出，帮助学校实现优质的资源网络共享，解决了学校与学校之间的交流；</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2、通过录播系统使教师在教学过程的研究教学当中可以及时的重放，更深一步当中的内容、进行反思。比如我们分析教师是怎样教的，学生是怎样学的，怎样突出教学的重点，突破教学的难点，提高学生学习的效果，就解决了教师的教研和科研深入开展的问题；</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3、通过录播系统我们录成了教学资源，可以给学生也可以给家长看，让学生在课后进行自主的学习，家长可以作为家庭辅导，作为参考，解决了学生自主学习和家长辅导的需求。</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可见，全自动高清精品录播系统对于学校建设校本教学资源库，建设学校常态教研模式，推进学校教育教学信息化具有强大的推进作用。</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全自动高清精品录播教室建设主要包括教室硬件设施建设与教育资源管理及应用云平台两大部分。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教室硬件设施建设包含图像系统、声音系统与控制系统三大系统。主要内容如下：</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图像系统由全高清录播工作站与高清摄像机组成。全高清录播工作站是高性能录播工作站，结合当前最先进的编码芯片、编码技术、流媒体技术、网络技术，采用模块化设计理念，具有高性能、高稳定性以及高扩展性的特点。摄像机支持1080P的全高清效果，支持H.264/H.265编码技术，可输出SDI或HDMI高清信号，配合全高清录播工作站使用，采集教学过程并录制为高清课程视频文件。</w:t>
      </w:r>
    </w:p>
    <w:p>
      <w:pPr>
        <w:spacing w:line="400" w:lineRule="exact"/>
        <w:ind w:right="238" w:firstLine="315" w:firstLineChars="150"/>
        <w:rPr>
          <w:rFonts w:hint="eastAsia" w:ascii="宋体" w:hAnsi="宋体" w:cs="宋体"/>
          <w:color w:val="000000"/>
          <w:szCs w:val="21"/>
        </w:rPr>
      </w:pPr>
      <w:r>
        <w:rPr>
          <w:rFonts w:hint="eastAsia" w:ascii="宋体" w:hAnsi="宋体" w:cs="宋体"/>
          <w:color w:val="000000"/>
          <w:szCs w:val="21"/>
        </w:rPr>
        <w:t>声音系统由全场景智能调音台、指向话筒、双通道数字功放与线阵列音箱组成。在录播过程中，优先采集教师声音，保证声音的清晰度并能自动增益。功放及音箱则多用于互动教学场景，对声效输出要求比较严格，保证声音清晰、无啸叫。</w:t>
      </w:r>
    </w:p>
    <w:p>
      <w:pPr>
        <w:spacing w:line="400" w:lineRule="exact"/>
        <w:ind w:right="238" w:firstLine="315" w:firstLineChars="150"/>
        <w:rPr>
          <w:rFonts w:hint="eastAsia" w:ascii="宋体" w:hAnsi="宋体" w:cs="宋体"/>
          <w:color w:val="000000"/>
          <w:szCs w:val="21"/>
        </w:rPr>
      </w:pPr>
      <w:r>
        <w:rPr>
          <w:rFonts w:hint="eastAsia" w:ascii="宋体" w:hAnsi="宋体" w:cs="宋体"/>
          <w:color w:val="000000"/>
          <w:szCs w:val="21"/>
        </w:rPr>
        <w:t>控制系统由自动跟踪主机、图像探测器、导播台构成。系统一方面提供全自动跟踪技术与跟踪策略，另一方面提供给老师进行导播控制的手段。跟踪主机是录播系统自动拍摄的核心设备，具有多种控制模式与跟踪策略，在录播过程中负责接收图像探测器的数据并进行分析，根据分析结果指挥摄像机进行镜头跟踪拍摄；考虑到精品录播的建设需求，本项目采用硬件跟踪主机建设模式，以期实现最佳的录播效果。</w:t>
      </w:r>
    </w:p>
    <w:p>
      <w:pPr>
        <w:spacing w:line="400" w:lineRule="exact"/>
        <w:ind w:right="238" w:firstLine="315" w:firstLineChars="150"/>
        <w:rPr>
          <w:rFonts w:hint="eastAsia" w:ascii="宋体" w:hAnsi="宋体" w:cs="宋体"/>
          <w:color w:val="000000"/>
          <w:szCs w:val="21"/>
        </w:rPr>
      </w:pPr>
      <w:r>
        <w:rPr>
          <w:rFonts w:hint="eastAsia" w:ascii="宋体" w:hAnsi="宋体" w:cs="宋体"/>
          <w:color w:val="000000"/>
          <w:szCs w:val="21"/>
        </w:rPr>
        <w:t>录制完成的课程将自动上传至教育资源管理及应用云平台，通过平台进行管理及使用，实现视频资源的“采集、存储、管理、推送、应用”；积淀形成学校的校本教学资源库。</w:t>
      </w:r>
    </w:p>
    <w:p>
      <w:pPr>
        <w:spacing w:line="400" w:lineRule="exact"/>
        <w:ind w:right="240" w:firstLine="315" w:firstLineChars="150"/>
        <w:rPr>
          <w:rFonts w:hint="eastAsia" w:ascii="宋体" w:hAnsi="宋体" w:cs="宋体"/>
          <w:color w:val="000000"/>
          <w:szCs w:val="21"/>
        </w:rPr>
      </w:pPr>
      <w:r>
        <w:rPr>
          <w:rFonts w:hint="eastAsia" w:ascii="宋体" w:hAnsi="宋体" w:cs="宋体"/>
          <w:color w:val="000000"/>
          <w:szCs w:val="21"/>
        </w:rPr>
        <w:t>云平台通过提供多种契合教学实际的应用，不仅可以满足课程资源的集中管理，还可以满足师生课程资源的点播、直播、测评、互动交流等在线学习应用；满足教研人员基于平台发起教研评比活动，实现优质课程的在线评比；可以开展课堂直播，满足不在课堂的师生可以通过网络观看到课堂实时教学情况；可以满足教学管理者查看任意一间录播教室的授课场景，实现教学督导。平台提供移动端应用，满足IOS和Android系统用户通过移动终端访问平台，在校园内随时随地进行课程学习。</w:t>
      </w:r>
    </w:p>
    <w:p>
      <w:pPr>
        <w:spacing w:line="400" w:lineRule="exact"/>
        <w:ind w:right="240" w:firstLine="315" w:firstLineChars="150"/>
        <w:rPr>
          <w:rFonts w:hint="eastAsia" w:ascii="宋体" w:hAnsi="宋体" w:cs="宋体"/>
          <w:color w:val="000000"/>
          <w:szCs w:val="21"/>
        </w:rPr>
      </w:pPr>
      <w:r>
        <w:rPr>
          <w:rFonts w:hint="eastAsia" w:ascii="宋体" w:hAnsi="宋体" w:cs="宋体"/>
          <w:color w:val="000000"/>
          <w:szCs w:val="21"/>
        </w:rPr>
        <w:t>通过建设资源管理及应用云平台，才能真正的将全自动高清精品录播教室价值发挥到最大效用，使得学校的教学资源从产生到采集、汇聚、推送和再应用成为可能，形成一个循环的教学资源生态圈，真正使得信息化建设成果服务于教育教学改革。</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4780"/>
        <w:gridCol w:w="2070"/>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47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设备名称</w:t>
            </w:r>
          </w:p>
        </w:tc>
        <w:tc>
          <w:tcPr>
            <w:tcW w:w="207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单位</w:t>
            </w:r>
          </w:p>
        </w:tc>
        <w:tc>
          <w:tcPr>
            <w:tcW w:w="193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Merge w:val="restart"/>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w:t>
            </w:r>
          </w:p>
        </w:tc>
        <w:tc>
          <w:tcPr>
            <w:tcW w:w="47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基础管理平台</w:t>
            </w:r>
          </w:p>
        </w:tc>
        <w:tc>
          <w:tcPr>
            <w:tcW w:w="2070" w:type="dxa"/>
            <w:vMerge w:val="restart"/>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935" w:type="dxa"/>
            <w:vMerge w:val="restart"/>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Merge w:val="continue"/>
            <w:noWrap w:val="0"/>
            <w:vAlign w:val="center"/>
          </w:tcPr>
          <w:p>
            <w:pPr>
              <w:spacing w:line="400" w:lineRule="exact"/>
              <w:jc w:val="center"/>
              <w:rPr>
                <w:rFonts w:hint="eastAsia" w:ascii="宋体" w:hAnsi="宋体" w:eastAsia="宋体" w:cs="宋体"/>
                <w:color w:val="000000"/>
                <w:szCs w:val="21"/>
              </w:rPr>
            </w:pPr>
          </w:p>
        </w:tc>
        <w:tc>
          <w:tcPr>
            <w:tcW w:w="47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个人空间管理平台</w:t>
            </w:r>
          </w:p>
        </w:tc>
        <w:tc>
          <w:tcPr>
            <w:tcW w:w="2070" w:type="dxa"/>
            <w:vMerge w:val="continue"/>
            <w:noWrap w:val="0"/>
            <w:vAlign w:val="center"/>
          </w:tcPr>
          <w:p>
            <w:pPr>
              <w:spacing w:line="400" w:lineRule="exact"/>
              <w:jc w:val="center"/>
              <w:rPr>
                <w:rFonts w:hint="eastAsia" w:ascii="宋体" w:hAnsi="宋体" w:eastAsia="宋体" w:cs="宋体"/>
                <w:color w:val="000000"/>
                <w:szCs w:val="21"/>
              </w:rPr>
            </w:pPr>
          </w:p>
        </w:tc>
        <w:tc>
          <w:tcPr>
            <w:tcW w:w="1935" w:type="dxa"/>
            <w:vMerge w:val="continue"/>
            <w:noWrap w:val="0"/>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Merge w:val="continue"/>
            <w:noWrap w:val="0"/>
            <w:vAlign w:val="center"/>
          </w:tcPr>
          <w:p>
            <w:pPr>
              <w:spacing w:line="400" w:lineRule="exact"/>
              <w:jc w:val="center"/>
              <w:rPr>
                <w:rFonts w:hint="eastAsia" w:ascii="宋体" w:hAnsi="宋体" w:eastAsia="宋体" w:cs="宋体"/>
                <w:color w:val="000000"/>
                <w:szCs w:val="21"/>
              </w:rPr>
            </w:pPr>
          </w:p>
        </w:tc>
        <w:tc>
          <w:tcPr>
            <w:tcW w:w="47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资源管理系统</w:t>
            </w:r>
          </w:p>
        </w:tc>
        <w:tc>
          <w:tcPr>
            <w:tcW w:w="2070" w:type="dxa"/>
            <w:vMerge w:val="continue"/>
            <w:noWrap w:val="0"/>
            <w:vAlign w:val="center"/>
          </w:tcPr>
          <w:p>
            <w:pPr>
              <w:spacing w:line="400" w:lineRule="exact"/>
              <w:jc w:val="center"/>
              <w:rPr>
                <w:rFonts w:hint="eastAsia" w:ascii="宋体" w:hAnsi="宋体" w:eastAsia="宋体" w:cs="宋体"/>
                <w:color w:val="000000"/>
                <w:szCs w:val="21"/>
              </w:rPr>
            </w:pPr>
          </w:p>
        </w:tc>
        <w:tc>
          <w:tcPr>
            <w:tcW w:w="1935" w:type="dxa"/>
            <w:vMerge w:val="continue"/>
            <w:noWrap w:val="0"/>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Merge w:val="continue"/>
            <w:noWrap w:val="0"/>
            <w:vAlign w:val="center"/>
          </w:tcPr>
          <w:p>
            <w:pPr>
              <w:spacing w:line="400" w:lineRule="exact"/>
              <w:jc w:val="center"/>
              <w:rPr>
                <w:rFonts w:hint="eastAsia" w:ascii="宋体" w:hAnsi="宋体" w:eastAsia="宋体" w:cs="宋体"/>
                <w:color w:val="000000"/>
                <w:szCs w:val="21"/>
              </w:rPr>
            </w:pPr>
          </w:p>
        </w:tc>
        <w:tc>
          <w:tcPr>
            <w:tcW w:w="47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智播</w:t>
            </w:r>
          </w:p>
        </w:tc>
        <w:tc>
          <w:tcPr>
            <w:tcW w:w="2070" w:type="dxa"/>
            <w:vMerge w:val="continue"/>
            <w:noWrap w:val="0"/>
            <w:vAlign w:val="center"/>
          </w:tcPr>
          <w:p>
            <w:pPr>
              <w:spacing w:line="400" w:lineRule="exact"/>
              <w:jc w:val="center"/>
              <w:rPr>
                <w:rFonts w:hint="eastAsia" w:ascii="宋体" w:hAnsi="宋体" w:eastAsia="宋体" w:cs="宋体"/>
                <w:color w:val="000000"/>
                <w:szCs w:val="21"/>
              </w:rPr>
            </w:pPr>
          </w:p>
        </w:tc>
        <w:tc>
          <w:tcPr>
            <w:tcW w:w="1935" w:type="dxa"/>
            <w:vMerge w:val="continue"/>
            <w:noWrap w:val="0"/>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2.2</w:t>
            </w:r>
          </w:p>
        </w:tc>
        <w:tc>
          <w:tcPr>
            <w:tcW w:w="47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录播工作站</w:t>
            </w:r>
          </w:p>
        </w:tc>
        <w:tc>
          <w:tcPr>
            <w:tcW w:w="207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93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2.3</w:t>
            </w:r>
          </w:p>
        </w:tc>
        <w:tc>
          <w:tcPr>
            <w:tcW w:w="47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全高清录播系统</w:t>
            </w:r>
          </w:p>
        </w:tc>
        <w:tc>
          <w:tcPr>
            <w:tcW w:w="207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93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2.4</w:t>
            </w:r>
          </w:p>
        </w:tc>
        <w:tc>
          <w:tcPr>
            <w:tcW w:w="47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智能跟踪系统软件</w:t>
            </w:r>
          </w:p>
        </w:tc>
        <w:tc>
          <w:tcPr>
            <w:tcW w:w="207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93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2.5</w:t>
            </w:r>
          </w:p>
        </w:tc>
        <w:tc>
          <w:tcPr>
            <w:tcW w:w="47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跟踪主机</w:t>
            </w:r>
          </w:p>
        </w:tc>
        <w:tc>
          <w:tcPr>
            <w:tcW w:w="207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93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2.6</w:t>
            </w:r>
          </w:p>
        </w:tc>
        <w:tc>
          <w:tcPr>
            <w:tcW w:w="47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图像探测器（教师）</w:t>
            </w:r>
          </w:p>
        </w:tc>
        <w:tc>
          <w:tcPr>
            <w:tcW w:w="207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93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2.7</w:t>
            </w:r>
          </w:p>
        </w:tc>
        <w:tc>
          <w:tcPr>
            <w:tcW w:w="47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图像探测器（学生）</w:t>
            </w:r>
          </w:p>
        </w:tc>
        <w:tc>
          <w:tcPr>
            <w:tcW w:w="207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93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2.8</w:t>
            </w:r>
          </w:p>
        </w:tc>
        <w:tc>
          <w:tcPr>
            <w:tcW w:w="47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导播控制台</w:t>
            </w:r>
          </w:p>
        </w:tc>
        <w:tc>
          <w:tcPr>
            <w:tcW w:w="207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93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2.9</w:t>
            </w:r>
          </w:p>
        </w:tc>
        <w:tc>
          <w:tcPr>
            <w:tcW w:w="47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智能导播系统软件</w:t>
            </w:r>
          </w:p>
        </w:tc>
        <w:tc>
          <w:tcPr>
            <w:tcW w:w="207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93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 xml:space="preserve"> 2.10</w:t>
            </w:r>
          </w:p>
        </w:tc>
        <w:tc>
          <w:tcPr>
            <w:tcW w:w="47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高清摄像机</w:t>
            </w:r>
          </w:p>
        </w:tc>
        <w:tc>
          <w:tcPr>
            <w:tcW w:w="207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193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2.11</w:t>
            </w:r>
          </w:p>
        </w:tc>
        <w:tc>
          <w:tcPr>
            <w:tcW w:w="47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摄像机支架</w:t>
            </w:r>
          </w:p>
        </w:tc>
        <w:tc>
          <w:tcPr>
            <w:tcW w:w="207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93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2.12</w:t>
            </w:r>
          </w:p>
        </w:tc>
        <w:tc>
          <w:tcPr>
            <w:tcW w:w="47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吊装话筒</w:t>
            </w:r>
          </w:p>
        </w:tc>
        <w:tc>
          <w:tcPr>
            <w:tcW w:w="207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93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2.13</w:t>
            </w:r>
          </w:p>
        </w:tc>
        <w:tc>
          <w:tcPr>
            <w:tcW w:w="47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话筒吊架</w:t>
            </w:r>
          </w:p>
        </w:tc>
        <w:tc>
          <w:tcPr>
            <w:tcW w:w="207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93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2.14</w:t>
            </w:r>
          </w:p>
        </w:tc>
        <w:tc>
          <w:tcPr>
            <w:tcW w:w="47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嵌入式网络中控</w:t>
            </w:r>
          </w:p>
        </w:tc>
        <w:tc>
          <w:tcPr>
            <w:tcW w:w="207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93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2.15</w:t>
            </w:r>
          </w:p>
        </w:tc>
        <w:tc>
          <w:tcPr>
            <w:tcW w:w="47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全自动智能调音台</w:t>
            </w:r>
          </w:p>
        </w:tc>
        <w:tc>
          <w:tcPr>
            <w:tcW w:w="207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93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2.16</w:t>
            </w:r>
          </w:p>
        </w:tc>
        <w:tc>
          <w:tcPr>
            <w:tcW w:w="47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双通道数字功放</w:t>
            </w:r>
          </w:p>
        </w:tc>
        <w:tc>
          <w:tcPr>
            <w:tcW w:w="207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93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2.17</w:t>
            </w:r>
          </w:p>
        </w:tc>
        <w:tc>
          <w:tcPr>
            <w:tcW w:w="47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线阵列音箱</w:t>
            </w:r>
          </w:p>
        </w:tc>
        <w:tc>
          <w:tcPr>
            <w:tcW w:w="207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只</w:t>
            </w:r>
          </w:p>
        </w:tc>
        <w:tc>
          <w:tcPr>
            <w:tcW w:w="193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2.18</w:t>
            </w:r>
          </w:p>
        </w:tc>
        <w:tc>
          <w:tcPr>
            <w:tcW w:w="47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录播机柜</w:t>
            </w:r>
          </w:p>
        </w:tc>
        <w:tc>
          <w:tcPr>
            <w:tcW w:w="207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93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2.19</w:t>
            </w:r>
          </w:p>
        </w:tc>
        <w:tc>
          <w:tcPr>
            <w:tcW w:w="47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控制面板</w:t>
            </w:r>
          </w:p>
        </w:tc>
        <w:tc>
          <w:tcPr>
            <w:tcW w:w="207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93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2.20</w:t>
            </w:r>
          </w:p>
        </w:tc>
        <w:tc>
          <w:tcPr>
            <w:tcW w:w="47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讲台</w:t>
            </w:r>
          </w:p>
        </w:tc>
        <w:tc>
          <w:tcPr>
            <w:tcW w:w="207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张</w:t>
            </w:r>
          </w:p>
        </w:tc>
        <w:tc>
          <w:tcPr>
            <w:tcW w:w="193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2.21</w:t>
            </w:r>
          </w:p>
        </w:tc>
        <w:tc>
          <w:tcPr>
            <w:tcW w:w="47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智慧黑板</w:t>
            </w:r>
          </w:p>
        </w:tc>
        <w:tc>
          <w:tcPr>
            <w:tcW w:w="207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93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2.22</w:t>
            </w:r>
          </w:p>
        </w:tc>
        <w:tc>
          <w:tcPr>
            <w:tcW w:w="47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线材及辅材</w:t>
            </w:r>
          </w:p>
        </w:tc>
        <w:tc>
          <w:tcPr>
            <w:tcW w:w="207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批</w:t>
            </w:r>
          </w:p>
        </w:tc>
        <w:tc>
          <w:tcPr>
            <w:tcW w:w="193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2.23</w:t>
            </w:r>
          </w:p>
        </w:tc>
        <w:tc>
          <w:tcPr>
            <w:tcW w:w="47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智慧教室互动教学系统</w:t>
            </w:r>
          </w:p>
        </w:tc>
        <w:tc>
          <w:tcPr>
            <w:tcW w:w="207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93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2.24</w:t>
            </w:r>
          </w:p>
        </w:tc>
        <w:tc>
          <w:tcPr>
            <w:tcW w:w="47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智慧助教系统</w:t>
            </w:r>
          </w:p>
        </w:tc>
        <w:tc>
          <w:tcPr>
            <w:tcW w:w="207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93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2.25</w:t>
            </w:r>
          </w:p>
        </w:tc>
        <w:tc>
          <w:tcPr>
            <w:tcW w:w="47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教师反馈器</w:t>
            </w:r>
          </w:p>
        </w:tc>
        <w:tc>
          <w:tcPr>
            <w:tcW w:w="207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193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2.26</w:t>
            </w:r>
          </w:p>
        </w:tc>
        <w:tc>
          <w:tcPr>
            <w:tcW w:w="47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学生即时反馈器</w:t>
            </w:r>
          </w:p>
        </w:tc>
        <w:tc>
          <w:tcPr>
            <w:tcW w:w="207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1935" w:type="dxa"/>
            <w:noWrap w:val="0"/>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2.27</w:t>
            </w:r>
          </w:p>
        </w:tc>
        <w:tc>
          <w:tcPr>
            <w:tcW w:w="47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智慧学伴系统</w:t>
            </w:r>
          </w:p>
        </w:tc>
        <w:tc>
          <w:tcPr>
            <w:tcW w:w="207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935" w:type="dxa"/>
            <w:noWrap w:val="0"/>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2.28</w:t>
            </w:r>
          </w:p>
        </w:tc>
        <w:tc>
          <w:tcPr>
            <w:tcW w:w="47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反馈系统接收器</w:t>
            </w:r>
          </w:p>
        </w:tc>
        <w:tc>
          <w:tcPr>
            <w:tcW w:w="207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93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2.29</w:t>
            </w:r>
          </w:p>
        </w:tc>
        <w:tc>
          <w:tcPr>
            <w:tcW w:w="47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资源管理应用服务器</w:t>
            </w:r>
          </w:p>
        </w:tc>
        <w:tc>
          <w:tcPr>
            <w:tcW w:w="207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93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bl>
    <w:p>
      <w:pPr>
        <w:pStyle w:val="2"/>
        <w:spacing w:line="400" w:lineRule="exact"/>
        <w:rPr>
          <w:rFonts w:hint="eastAsia" w:ascii="宋体" w:hAnsi="宋体" w:cs="宋体"/>
          <w:i w:val="0"/>
          <w:iCs/>
          <w:color w:val="000000"/>
          <w:sz w:val="21"/>
          <w:szCs w:val="21"/>
        </w:rPr>
      </w:pPr>
      <w:r>
        <w:rPr>
          <w:rFonts w:hint="eastAsia" w:ascii="宋体" w:hAnsi="宋体" w:cs="宋体"/>
          <w:i w:val="0"/>
          <w:iCs/>
          <w:color w:val="000000"/>
          <w:sz w:val="21"/>
          <w:szCs w:val="21"/>
        </w:rPr>
        <w:t>详细技术要求：</w:t>
      </w:r>
    </w:p>
    <w:tbl>
      <w:tblPr>
        <w:tblStyle w:val="47"/>
        <w:tblW w:w="9643" w:type="dxa"/>
        <w:tblInd w:w="108" w:type="dxa"/>
        <w:tblLayout w:type="fixed"/>
        <w:tblCellMar>
          <w:top w:w="0" w:type="dxa"/>
          <w:left w:w="108" w:type="dxa"/>
          <w:bottom w:w="0" w:type="dxa"/>
          <w:right w:w="108" w:type="dxa"/>
        </w:tblCellMar>
      </w:tblPr>
      <w:tblGrid>
        <w:gridCol w:w="1293"/>
        <w:gridCol w:w="8350"/>
      </w:tblGrid>
      <w:tr>
        <w:tblPrEx>
          <w:tblCellMar>
            <w:top w:w="0" w:type="dxa"/>
            <w:left w:w="108" w:type="dxa"/>
            <w:bottom w:w="0" w:type="dxa"/>
            <w:right w:w="108" w:type="dxa"/>
          </w:tblCellMar>
        </w:tblPrEx>
        <w:trPr>
          <w:trHeight w:val="2745"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基础管理平台</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基础管理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1、★录播管理：支持把录播设备接入平台，实现自动转码、无缝直播点播，并具备多画面直播和点播功能。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2、用户管理：支持用户的初始化导入、用户组管理、用户权限管理，为教师、学生提供注册、个人信息管理等服务，提供注册审核机制、班级管理，可查看相关班级的学生和查看课表等功能。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3、数据存储：要求平台采用引用计数和垃圾回收技术，实现一个物理文件可多级平台共同使用，该文件被某处删除不影响其他用户使用。系统自动判断当每级平台都不需要此资源时再自动删除。</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4、运行支持：支持定义当前站点的服务器配置参数，维护使用手册,方便下载使用等。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5、基础数据：支持对学科、学段、年级、目录等相关的维护，用于门户面资源目录的筛选，减轻用户手动修改目录等工作。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6、教室管理：支持对当前平台的教室进行管理、以及相关设备的查看。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7、一键置灰：国家重大事件发生时，可一键将平台设置为灰色风格。</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8、平台信息设置：中英文名称、平台logo等相关配置。</w:t>
            </w:r>
          </w:p>
        </w:tc>
      </w:tr>
      <w:tr>
        <w:tblPrEx>
          <w:tblCellMar>
            <w:top w:w="0" w:type="dxa"/>
            <w:left w:w="108" w:type="dxa"/>
            <w:bottom w:w="0" w:type="dxa"/>
            <w:right w:w="108" w:type="dxa"/>
          </w:tblCellMar>
        </w:tblPrEx>
        <w:trPr>
          <w:trHeight w:val="3000"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个人空间管理平台</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1、个人信息服务：支持用户对个人资料、登录密码进行编辑管理。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2、消息服务：支持消息的自动发送和接收，并要求系统自动区分消息的来源如系统消息，便于分类管理。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3、资源服务：支持用户在个人空间上传、管理及搜索自己的资源。支持用户对资源进行收藏，将课件、教案等资源与课堂录像进行关联。</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4、★录播预约：支持教师通过课表对录播教室进行预约，并可设置是否直播。设置为直播后，首页会显示直播预告。预约成功后，课堂录像将自动上传至主讲人个人空间。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5、★在线编辑：对原视频进行裁剪，自由拼接、生成新视频并发布；要求提供文字轨道、视频轨道、台标等编辑功能。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6、我的课表：支持我的课表查询、课表约课和自主约课等功能；我的班级：授课班级，并且可以查看授课班级的学生、编辑、训练模型等操作。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7、我的教研：支持查看听课任务，以及记录听课进度等；我申请的优课评选，以及得奖的课程；创建/编辑磨课组，并添加课例等功能；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8、我的评审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1）我的评审：汇总我的评审任务，包含优课评选评审、听课评审和磨课等；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2）我的被评：汇总了我被评的课程，包含优课评选、听课评审和磨课等；</w:t>
            </w:r>
          </w:p>
        </w:tc>
      </w:tr>
      <w:tr>
        <w:tblPrEx>
          <w:tblCellMar>
            <w:top w:w="0" w:type="dxa"/>
            <w:left w:w="108" w:type="dxa"/>
            <w:bottom w:w="0" w:type="dxa"/>
            <w:right w:w="108" w:type="dxa"/>
          </w:tblCellMar>
        </w:tblPrEx>
        <w:trPr>
          <w:trHeight w:val="2165"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资源管理系统</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1、资源目录：要求资源目录按照要求版本学科册章节分类预制，减轻管理员工作量，用户可根据实际需求手动修改目录。</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2、★资源统计：要求统计区域下属学校的资源数量及排行，以及按学科统计平台的资源情况及学科资源数排行。</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3、文档预览：支持对教案、课件、习题等文档及图片作为附件进行在线预览，类似百度文库的展示效果。</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4、资源应用：1）用户可对资源进行收藏、下载、分享等操作，支持用户对资源进行评论和在线交流。2）量表评分：支持用户在点播观看的视频可以通过系统提供的量表进行在线打分评价。3）★打点和片段评议：支持用户在点播观看课程录像的同时可以对精彩的教学环节点和片段进行在线打点记录。4）扫码观看：支持通过使用移动端的设备进行扫码分享和手机观看。</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5、标签管理：资源发布时，用户可以选择手动填写标签，为资源的搜索提供便利。</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6、资源搜索：支持多种搜索条件进行组合搜索，同时也支持用户可通过标题、主讲人、标签的文本快速搜索资源。</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7、★资源评估：支持用户对课堂视频录像进行量化评估，可根据实际的教学评估要求设置多套评估标准，每套评估标准可设置不同的总分，可设置多项评估项目，每项评估项目可设置多项评估子项，可满足不同的评估要求。</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视频资源特性：1）flash播放器：支持基于flash播放器视频播放，用户不需要再额外安装其它播放器等。2）无缓冲播放：支持视频直接拖拽播放，不需缓冲。3）资源模式：支持多画面资源模式点播，如以三分屏的方式同步播放教师画面、学生画面、课件画面。4）台标：播放器可以加台标,台标格式支持PNG图片格式文件。5）视频索引：支持平台按照PPT索引，自动或手动生成知识点片段视频，知识点标识内嵌于视频播放口界面，观看视频时可以通过点击索引自动播放相应时间点视频片段。6）★多码率支持：要求转码时支持标清、高清、超清等多种清晰度设置，播放时可在播放器窗口进行切换。</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视频直播：</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课程视图：除支持直播协议、直播预约、检索等通用直播功能外，还要求平台具有教育行业特性1）★S-T分析：平台根据直播课堂实况，自动分析本节课的课堂行为，教师、学生、及互动行为占比并自动画出行为曲线；根据数据自动分析本节课的课堂类型，给教师提供参考。2）直播互动：支持直播过程中，同时在线的用户之间进行在线探讨，类似QQ群聊的互动效果，支持量表打分。3）直播反馈：直播结束后系统会将视频和评论记录自动上传到教师的个人空间，供教师进行课后反思。4）直播分享：直播过程中，用户可分享所观看的直播，系统会自动生成二维码和链接地址。5）匿名观看：支持匿名用户可以观看直播的权限，满足不同区域、学校的需求。6）上推下达：区域内各个学校预约的直播信息可以直接推送到区平台中显示，实现子站直播预告信息的父站推送显示。便于区领导随时进入直播进行观看。7）自定义预约时间：支持用户可以自选直播的开始时间和结束时间，不局限于只能按课表预约，方便用户灵活使用。8）量表评分：支持为直播设置评分量表，在看直播时对课程进行量表打分。9）★直播时移：直播开始后，支持拖动播放器的时间轴，回放直播。</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2、预约直播时可设置观看密码，看直播时需要输入正确的密码才能看。</w:t>
            </w:r>
          </w:p>
        </w:tc>
      </w:tr>
      <w:tr>
        <w:tblPrEx>
          <w:tblCellMar>
            <w:top w:w="0" w:type="dxa"/>
            <w:left w:w="108" w:type="dxa"/>
            <w:bottom w:w="0" w:type="dxa"/>
            <w:right w:w="108" w:type="dxa"/>
          </w:tblCellMar>
        </w:tblPrEx>
        <w:trPr>
          <w:trHeight w:val="2160"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智播</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1、★支持通过ios和android移动设备如：手机的摄像头将正在进行的活动实况画面推送至平台实现现场直播，用户可以随时随地的登陆平台观看，并且这种直播方式不需要借助录播设备即可开展。</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2、用户可在web端观看移动端推送的直播流，并支持在线讨论。</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3、支持在线查看优课、微课、专辑、名师、精品推荐等课程。</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4、支持对视频的点赞、收藏、分享等操作。</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5、支持查看平台以及手机相关直播，支持点赞，评论等。</w:t>
            </w:r>
          </w:p>
        </w:tc>
      </w:tr>
      <w:tr>
        <w:tblPrEx>
          <w:tblCellMar>
            <w:top w:w="0" w:type="dxa"/>
            <w:left w:w="108" w:type="dxa"/>
            <w:bottom w:w="0" w:type="dxa"/>
            <w:right w:w="108" w:type="dxa"/>
          </w:tblCellMar>
        </w:tblPrEx>
        <w:trPr>
          <w:trHeight w:val="2030"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录播工作站</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 专业一体化嵌入式设计，1U机箱，ARM 双核处理器 Linux系统 ，内置2T硬盘，最大可扩展4T；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具备前置≥2.2寸LED彩色液晶屏，配合前置按键可直接设置主机的IP地址、导出录像文件，可以查看主机的系统信息、基本信息、通道信息、云平台信息等；前置开始、暂停、停止按键，控制录制进程并有相应LED灯显示当前工作状态；前置4个USB端口（USB3.0*1，USB2.0*3），插入USB存储设备后可导出录像资源；前置音频监听输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 ★视频模块：支持5路HD-SDI输入，1路DVI-I输入，2路HDMI输入，支持1路VGA输出，1路HDMI输出，一路DVI环出输出，1路SDI输出；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 视频采集方式：硬件采集、编码；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5) 视频编码类型：H.264；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 输入3G/HD-SDI视频格式：1920*1080p/1280*720p@60/50/30/25fps，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1920*1080i@60/50fps、1280*720p@60/50/30/25fps；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 输入HDMI/VGA格式：支持1024*768p@60到1920x1080p@60；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 视频编码帧率：25fps 5/10/15/20/25/30可选；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 视频编码分辨率：最高1920 x 1080；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 视频编码码率：256k~8M可调；主码流（录制）1M~8Mbps，副码流（直播）256K~1Mbps；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 ★音频模块：录播工作站内置音频采集模块，话筒输入（48V幻象）*6、MIC输入*1话筒，频响 100hz-10Khz  -3db；1路线路输入，线路频响 20hz-19khz  ±1db；信噪比 ＞65db，失真度＜0.1%，音频编码类型：AAC，音频采样率32KHz ，1路音频监听（前面板），具有自动增益功能：控制范围≥40db ，起控点-30db，自带增益时间常数 ＜1秒；</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 ★控制模块：6路RS232可外接跟踪机、控制面板、摄像机云台等、1路RS422或RS485可控制摄像机等外部设备；</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 网络模块：具备2个10/100/1000Mbps自适应网口；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 直播协议支持标准的RTMP协议，支持RTSP实时协议流；网络协议支持TCP、UDP、RTMP、RTSP、FTP协议等；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 ★支持本地导播方式，插上显示屏，鼠标键盘就可以完成本地无延迟导播，可扩展硬件导播台；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 ★设备支持POC供电，实现高清视频、同轴等信号与供电电源复合一起，在一根同轴线上传输为摄像机供电；</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17) ★支持EPTZ电子云台，在采用两台4K高清摄像机的情况下，可实现教师全景、教师特写、学生全景、学生特写四个画面的拍摄；</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18) 互动功能：支持设备之间点对点互动功能，实现1拖3教学互动；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19) ★支持扩展AI功能，实现对课堂教学行为的分析；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20) 直接采用DC 24V电源供电。</w:t>
            </w:r>
          </w:p>
        </w:tc>
      </w:tr>
      <w:tr>
        <w:tblPrEx>
          <w:tblCellMar>
            <w:top w:w="0" w:type="dxa"/>
            <w:left w:w="108" w:type="dxa"/>
            <w:bottom w:w="0" w:type="dxa"/>
            <w:right w:w="108" w:type="dxa"/>
          </w:tblCellMar>
        </w:tblPrEx>
        <w:trPr>
          <w:trHeight w:val="4070"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全高清录播系统</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 ★支持对设备的录制编码、帧率、IP地址、内置时间、视频输出、互动功能等参数进行设置；</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 支持本地导播和web远程导播两种导播方式，两种导播方式中设置操作及相关信息一致；支持云台控制、画中画设置、特效切换、台标字幕及片头片尾设置、录播开始、暂停、停止等设置操作；</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3) ★支持电影模式、资源模式及“电影+资源”模式三种直播模式，其中资源模式最多支持6路视频图像，“电影+资源”模式最多支持7路视频图像，包含6路资源模式视频图像及1路电影模式视频图像；直播是采用Flash Player进行播放，支持多用户操作；支持标准的RTMP直播协议，可推送到FMS服务器进行大规模的直播观看；</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4) 支持单流单画面的电影模式、多流多画面的资源模式以及单流多画面的“电影+资源”模式，可以单独录制也可以同时录制；支持在同一设备完成6路视频同时录制，所生成文件在同一文件夹。</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5) ★具备独立的页面可以显示系统当前的录像模式、录像状态、录像时间、直播状态、磁盘空间信息、视频源是否启用等信息，此页面亦包含电影模式画面、VGA信号及4路SDI视频信号的分辨率、录制编码、录制帧率、I帧间隔及直播地址等信息，满足管理人员基于一个页面即可查询到上述信息。(提供相对应的软件截图并提供具有同时通过CMA、CNAS认证的第三方检测机构出具的检测报告复印件)；</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6) 支持在电影画面中添加台标、字幕，可以插入片头、片尾；支持台标更换及台标位置选择；支持图片、视频等格式文件的片头片尾，支持片头片尾时间选择：1-5s；</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7) 可以提供多种画中画模式，支持提供15种已设定好的画中画模式，如大小、左右、平铺、三分屏、四分屏、全景等画中画模式，支持交换功能，方便画面快速对调；</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8) ★支持直切、擦除、覆盖、推拉模式的特效，每种模式提供8种特效；系统亦具备提供4种不同上述方式的特效，所有特效为系统自带，无须手动定义；特效的过渡时间支持设定为0.5S、0.8S、1.0S、1.2S。(提供相对应的软件截图并提供具有同时通过CMA、CNAS认证的第三方检测机构出具的检测报告复印件)；</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9) 可以提供预编辑录制窗口（PVW）和录制窗口（PGM），录制时辅助人员可在预编辑窗口完成对视频的编辑，如添加字幕、台标、设置画中画等，设置完成后可直接推送到直播/电影模式窗口，进行录制及直播。</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 只需要一根VGA或HDMI线缆即可完成教师机画面采集与侦测，无需安装辅助软件；11) 录像文件支持设置对应的学年学期、课程名称、学校院系、授课地点、学校代码、学科名称、授课教师、开课时间、授课年级、授课课时及课程描述等教学信息；</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12) 具备录像管理功能，支持显示已有文件的列表，并进行点播、下载、修改属性、删除等操作；录制后的视频可支持自动上传云平台个人空间且自动删除本地文件；支持磁盘格式化、磁盘满载后不录制或覆盖；</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13) 支持4路摄像机云台控制，可对摄像机进行上下左右、变倍、聚焦、光圈控制，系统针对每路摄像机均提供5种固定位变焦，用户可以直接调用，无需手动调节；每个摄像机可设置8个预置位；摄像机光圈和聚焦设置提供手动和自动设置按钮；</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14) 跟踪功能支持自动、手动及半自动三种跟踪模式；</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15) ★具备POC供电功能是否启用的总开关和5路摄像机的POC供电功能的独立开关设置；</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16) ★具备互动设置功能，可以实现录播工作站之间直接进行教学互动，支持1台录播工作站同时和3台录播工作站进行互动；</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17) 具备公网互动设置窗口，可以设定本机ID、本地端口、服务器IP及服务器端口；可以手动增加本地互动用户信息，可以实现本地用户列表的导入导出；系统可以保存常用互动用户的列表，用户可以任意选择在线的用户进行教学互动；(提供相对应的软件截图并提供具有同时通过CMA、CNAS认证的第三方检测机构出具的检测报告复印件)；</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18) ★可以设置互动时采用单屏显示或是双屏显示，具备本地显示设置功能；互动时主讲端和听讲端的画面可以从设备输入的摄像机画面或VGA画面中自定义选择。</w:t>
            </w:r>
          </w:p>
        </w:tc>
      </w:tr>
      <w:tr>
        <w:tblPrEx>
          <w:tblCellMar>
            <w:top w:w="0" w:type="dxa"/>
            <w:left w:w="108" w:type="dxa"/>
            <w:bottom w:w="0" w:type="dxa"/>
            <w:right w:w="108" w:type="dxa"/>
          </w:tblCellMar>
        </w:tblPrEx>
        <w:trPr>
          <w:trHeight w:val="1320"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智能跟踪系统软件</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智能图像识别，结合具体的场合能够实现多个活动的过程的识别跟踪，直接对录制视频图像进行分析，无需在教室安装任何定位设备,完全实现常态化教学。(含板书跟踪、鼠标移动侦测)；抗干扰能力：采用领先的防抖动人体特征跟踪算法，图像识别系统完全不受光线、声音、电磁等外在的环境影响；系统结构：设计合理，结构简单，实现全自动的跟踪识别；定位与实时：自动识别目标位置、实时控制摄像头精确定位，并且能够特写模式拍摄。</w:t>
            </w:r>
          </w:p>
        </w:tc>
      </w:tr>
      <w:tr>
        <w:tblPrEx>
          <w:tblCellMar>
            <w:top w:w="0" w:type="dxa"/>
            <w:left w:w="108" w:type="dxa"/>
            <w:bottom w:w="0" w:type="dxa"/>
            <w:right w:w="108" w:type="dxa"/>
          </w:tblCellMar>
        </w:tblPrEx>
        <w:trPr>
          <w:trHeight w:val="1260"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跟踪主机</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 嵌入式硬件结构，ARM处理器，Linux系统；1U，19英寸标准机架式设计；</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 ★具备前置2.2寸LCD彩色液晶屏，具备电源开关键，上、下、左、右导航键，确认、取消键，开始、暂停及停止键，配合前置按键可以查看跟踪主机的系统信息，包括：设备型号、主板版本、面板版本、跟踪策略及算法版本；可以查看设备基本信息，包括：温度、运行时间、探测流路数及机位选择；可以进行网络设置，包括跟踪主机和同步时间服务器的IP信息；可以进行跟踪主机的串口设置，可以进行系统重启和恢复出厂设置等；开始、暂停、停止键带有LED灯，可以直观呈现跟踪状态；</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3) 具备4个DB9串口，3个串口支持连接教师、学生和板书摄像机进行云台控制，1个串口支持与录播工作站连接，实现通讯和状态同步；</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4) 具备6个RJ45的232串口，4个串口支持连接教师、学生、全景和板书摄像机进行云台控制，1个串口支持与录播工作站连接，实现通讯和状态同步；1个串口支持连控制面板，控制跟踪主机开始、暂停和结束；</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5) ★具备1路VGA输出，1路HDMI输出，可输出图像探测器画面；具备1路USB2.0接口，用于U盘升级程序；</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6) 具备6个POE供电网口，可以连接POE摄像机或图像探测器；</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7) 具备1路Console调试口，１个地线接口；</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8) ★主机背板有三孔电源接口直接采用交流220V供电，不接受电源适配器直流供电。</w:t>
            </w:r>
          </w:p>
        </w:tc>
      </w:tr>
      <w:tr>
        <w:tblPrEx>
          <w:tblCellMar>
            <w:top w:w="0" w:type="dxa"/>
            <w:left w:w="108" w:type="dxa"/>
            <w:bottom w:w="0" w:type="dxa"/>
            <w:right w:w="108" w:type="dxa"/>
          </w:tblCellMar>
        </w:tblPrEx>
        <w:trPr>
          <w:trHeight w:val="2340"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图像探测器（教师）</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 成像器件：1/3"高清CMOS；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有效像素：1920(H)X1080(V),2 mega pixel；</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 信噪比：≥50db(AGC OFF)；</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 网络接口：10/100M网络自适应，RJ45适配器，POE供电；</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 视频编码：H.264 Main Profile, Baseline 编码 MJPEG编码；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 电源：DC 12V、POE供电；</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 协议支持：TCP/IP,UDP,RTP,RTSP；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 设备功率：2W，(5W  IR)；</w:t>
            </w:r>
          </w:p>
        </w:tc>
      </w:tr>
      <w:tr>
        <w:tblPrEx>
          <w:tblCellMar>
            <w:top w:w="0" w:type="dxa"/>
            <w:left w:w="108" w:type="dxa"/>
            <w:bottom w:w="0" w:type="dxa"/>
            <w:right w:w="108" w:type="dxa"/>
          </w:tblCellMar>
        </w:tblPrEx>
        <w:trPr>
          <w:trHeight w:val="455"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图像探测器（学生）</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 为了避免设备被破坏，只接受采用86盒式嵌入墙壁安装的图像探测器，不接受凸出墙壁安装的半球样式的图像探测器；（提供图像探测器的外观图片）</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成像器件：1/3"高清CMOS；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 有效像素：1920(H)X1080(V),2 mega pixel；</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 信噪比：≥50db(AGC OFF)；</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 网络接口：10/100M网络自适应，RJ45适配器；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 视频编码：H.264 Main Profile, Baseline 编码 MJPEG编码；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 电源：DC 12V 、POE供电；</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 协议支持：TCP/IP,UDP,RTP,RTSP；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 设备功率：2W，(5W  IR)；</w:t>
            </w:r>
          </w:p>
        </w:tc>
      </w:tr>
      <w:tr>
        <w:tblPrEx>
          <w:tblCellMar>
            <w:top w:w="0" w:type="dxa"/>
            <w:left w:w="108" w:type="dxa"/>
            <w:bottom w:w="0" w:type="dxa"/>
            <w:right w:w="108" w:type="dxa"/>
          </w:tblCellMar>
        </w:tblPrEx>
        <w:trPr>
          <w:trHeight w:val="2295"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导播控制台</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 ★支持对5路摄像机的云台控制，实现“上下翻转、左右翻转、放大缩小翻转”等操控，操控期间镜头变化的速度可自行调整，可为每个摄像机设定不少于7个 预置位，完成快速定位功能；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支持对主、副各6路视频画面的切换控制，完成各种画中画模式的开启与关闭、画中画副画面的切换、主副画面的切换等功能，可完成简单特技的添加和去除；</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 ★可与自动跟踪设备联动，具备手动、自动切换功能，可控制录像的开始、暂停、停止，在无需键盘鼠标配合下，即可完成操作；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 2路DB9标准RS232用于录播机及跟踪机控制，1路DB15专用接口可接5路摄像机控制，5路RJ45摄像机控制口（串口），1路USB 2.0，可提供供电；</w:t>
            </w:r>
          </w:p>
        </w:tc>
      </w:tr>
      <w:tr>
        <w:tblPrEx>
          <w:tblCellMar>
            <w:top w:w="0" w:type="dxa"/>
            <w:left w:w="108" w:type="dxa"/>
            <w:bottom w:w="0" w:type="dxa"/>
            <w:right w:w="108" w:type="dxa"/>
          </w:tblCellMar>
        </w:tblPrEx>
        <w:trPr>
          <w:trHeight w:val="2730"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智能导播系统软件</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1）提供所有接入摄像机画面和1路教师电脑画面预览窗口，支持视频画面任意切换。</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2）多场景录制编辑：系统可实现教师、学生、全景、板书和多媒体设备等多个场景之间，依据动作、声音或其它因素自动切换，进行全过程、全场景的无人值守自动录制和自动编辑。</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3）VGA信号自动切换：自动录播时，展台、台式或笔记本教学电脑只需一条标准VGA信号线与录播工作站相连，无需任何其它检测线路或侦测软件，就可实现敲击键盘、移动鼠标、触控白板（液晶屏）、使用展台、播放课件等操作时，自动切换VGA信号为录制主画面。</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4）远程导播：支持通过IE、360、谷歌等浏览器进行远程导播操作。</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5）黑板板书录制：由板书跟踪摄像机负责录制，当教师在板书时，切换板书跟踪摄像机画面为录播主面画，黑板上8×8的字体能清晰的被录制下来。在保证字迹清晰的前提下，跟踪拍摄教师板书，最大限度保证对黑板内容阅读的连续性；支持板书长度不小于普通教室的黑板宽度。</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6）提供流媒体导播软件著作权证书复印件。</w:t>
            </w:r>
          </w:p>
        </w:tc>
      </w:tr>
      <w:tr>
        <w:tblPrEx>
          <w:tblCellMar>
            <w:top w:w="0" w:type="dxa"/>
            <w:left w:w="108" w:type="dxa"/>
            <w:bottom w:w="0" w:type="dxa"/>
            <w:right w:w="108" w:type="dxa"/>
          </w:tblCellMar>
        </w:tblPrEx>
        <w:trPr>
          <w:trHeight w:val="3245"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高清摄像机</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 信号系统：HD: 1080P60/50/30/25, 1080i60/50,720P60/50/30/25,SD: 480i, 576i；</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成像器件：1/2.7英寸 CMOS；有效像素：207万；</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 扫描方式：逐行；</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 镜头：12x, f3.5mm ~ 42.3mm, F1.8 ~ F2.8，32x数字变焦(可选)；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 最低照度：0.5Lux @ (F1.8, AGC ON)；</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 快门：1/30s ~ 1/10000s；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 白平衡：自动, 3000K/室内, 4000K, 5000K/室外, 6500K_1, 6500K_2, 6500K_3, 一键式, 手动；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 背光补偿：支持；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 数字降噪：2D&amp;3D数字降噪；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 信噪比：≥55Db；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 水平转动范围：±170°，水平转动速度范围：1.7° ~ 100°/s；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 垂直转动范围：-30° ~ +90°，垂直转动速度范围：1.7° ~ 69.9°/s；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 图像冻结：支持；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 本地存储：支持；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 预置位数量：255；</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 视频编码：H.265/H.264/MJEPG；</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17) 视频码流：主码流，辅码流；主码流分辨率支持1920x1080, 1280x720, 1024x576，辅码流分辨率支持720x576, 720x480, 320x240；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18) 视频码率及控制：128Kbps ~ 8192Kbps， 支持可变码率, 固定码率；</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19) 帧率：50Hz: 1fps ~ 50fps, 60Hz: 1fps ~ 60fps；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20) 音频压缩标准及码率：AAC，码率支持96Kbps, 128Kbps, 256Kbps可调；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21) 支持协议：TCP/IP, HTTP, RTSP, RTMP, Onvif, DHCP, 组播等；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22) 视频输出：1路3G-SDI、HDMI、RJ45网络，三路接口可同时输出，支持1路CVBS输出；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23) 音频输出：1路 Line In, 3.5mm 音频接口；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24) 1路USB 2.0, A型插座；1路RS232输入和输出，1路RS485；</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25) 电源：DC12V</w:t>
            </w:r>
          </w:p>
        </w:tc>
      </w:tr>
      <w:tr>
        <w:tblPrEx>
          <w:tblCellMar>
            <w:top w:w="0" w:type="dxa"/>
            <w:left w:w="108" w:type="dxa"/>
            <w:bottom w:w="0" w:type="dxa"/>
            <w:right w:w="108" w:type="dxa"/>
          </w:tblCellMar>
        </w:tblPrEx>
        <w:trPr>
          <w:trHeight w:val="855"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摄像机支架</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1）可吊装可壁挂摄像机支架；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2）钢制L型底座，高清摄像机支架。</w:t>
            </w:r>
          </w:p>
        </w:tc>
      </w:tr>
      <w:tr>
        <w:tblPrEx>
          <w:tblCellMar>
            <w:top w:w="0" w:type="dxa"/>
            <w:left w:w="108" w:type="dxa"/>
            <w:bottom w:w="0" w:type="dxa"/>
            <w:right w:w="108" w:type="dxa"/>
          </w:tblCellMar>
        </w:tblPrEx>
        <w:trPr>
          <w:trHeight w:val="1416"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吊装话筒</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 频率范围：100—18000 Hz</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 灵敏度：-30B（@1kHz）</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3) 指向性：超窄指向</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4) 拾音角度：100°</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5) 最大声压级：</w:t>
            </w:r>
            <w:r>
              <w:rPr>
                <w:rFonts w:hint="eastAsia" w:ascii="宋体" w:hAnsi="宋体" w:eastAsia="宋体" w:cs="宋体"/>
                <w:color w:val="000000"/>
                <w:kern w:val="0"/>
                <w:szCs w:val="21"/>
              </w:rPr>
              <w:fldChar w:fldCharType="begin"/>
            </w:r>
            <w:r>
              <w:rPr>
                <w:rFonts w:hint="eastAsia" w:ascii="宋体" w:hAnsi="宋体" w:eastAsia="宋体" w:cs="宋体"/>
                <w:color w:val="000000"/>
                <w:kern w:val="0"/>
                <w:szCs w:val="21"/>
              </w:rPr>
              <w:instrText xml:space="preserve"> HYPERLINK "mailto:132(@THD≤0.5%,1KHz)" </w:instrText>
            </w:r>
            <w:r>
              <w:rPr>
                <w:rFonts w:hint="eastAsia" w:ascii="宋体" w:hAnsi="宋体" w:eastAsia="宋体" w:cs="宋体"/>
                <w:color w:val="000000"/>
                <w:kern w:val="0"/>
                <w:szCs w:val="21"/>
              </w:rPr>
              <w:fldChar w:fldCharType="separate"/>
            </w:r>
            <w:r>
              <w:rPr>
                <w:rStyle w:val="55"/>
                <w:rFonts w:hint="eastAsia" w:ascii="宋体" w:hAnsi="宋体" w:eastAsia="宋体" w:cs="宋体"/>
                <w:color w:val="000000"/>
                <w:kern w:val="0"/>
                <w:szCs w:val="21"/>
              </w:rPr>
              <w:t>132(@THD≤0.5%,1KHz)</w:t>
            </w:r>
            <w:r>
              <w:rPr>
                <w:rFonts w:hint="eastAsia" w:ascii="宋体" w:hAnsi="宋体" w:eastAsia="宋体" w:cs="宋体"/>
                <w:color w:val="000000"/>
                <w:kern w:val="0"/>
                <w:szCs w:val="21"/>
              </w:rPr>
              <w:fldChar w:fldCharType="end"/>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6) 阻抗：200Ω</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7) 工作电压： 48V</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8) 信噪比≥70dB</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9) 等效噪声级：26dB-A10) 话筒直径：8.24mm，话筒长度（不含插头）：210mm，话筒插头（带锁紧）：3.5mm</w:t>
            </w:r>
          </w:p>
        </w:tc>
      </w:tr>
      <w:tr>
        <w:tblPrEx>
          <w:tblCellMar>
            <w:top w:w="0" w:type="dxa"/>
            <w:left w:w="108" w:type="dxa"/>
            <w:bottom w:w="0" w:type="dxa"/>
            <w:right w:w="108" w:type="dxa"/>
          </w:tblCellMar>
        </w:tblPrEx>
        <w:trPr>
          <w:trHeight w:val="849"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话筒吊架</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主要用于在全自动录播系统吊装话筒的安装。吊架长度可选：60-120cm；80-160cm。</w:t>
            </w:r>
          </w:p>
        </w:tc>
      </w:tr>
      <w:tr>
        <w:tblPrEx>
          <w:tblCellMar>
            <w:top w:w="0" w:type="dxa"/>
            <w:left w:w="108" w:type="dxa"/>
            <w:bottom w:w="0" w:type="dxa"/>
            <w:right w:w="108" w:type="dxa"/>
          </w:tblCellMar>
        </w:tblPrEx>
        <w:trPr>
          <w:trHeight w:val="2010"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嵌入式网络中控</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基于ARM、Linux嵌入式系统，集成4口100M交换机，4*2VGA矩阵，8路I/O，多路扩展槽，支持Web方式的管理配置平台，实现对中控端口、基本控制命令、组合控制命令、状态、模式等自主定义。一键上下课、直接控制外围设备电源管理和信号切换。质保3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为方便使用，全高清录播系统、嵌入式网络中控须为同一品牌产品。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提供中控软件著作权证书.</w:t>
            </w:r>
          </w:p>
        </w:tc>
      </w:tr>
      <w:tr>
        <w:tblPrEx>
          <w:tblCellMar>
            <w:top w:w="0" w:type="dxa"/>
            <w:left w:w="108" w:type="dxa"/>
            <w:bottom w:w="0" w:type="dxa"/>
            <w:right w:w="108" w:type="dxa"/>
          </w:tblCellMar>
        </w:tblPrEx>
        <w:trPr>
          <w:trHeight w:val="2425"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全自动智能调音台</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功能描述：用于采集现场的声音，并将采集到的声音传输给录播工作站进行录制。</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 每一路话筒都有语音滤波器（线路除外），保留充分的语音频谱范围，使声音清晰干净；</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 每一路都能自动控制音量，在 0.3 到 1.5 米之间，确保声音大小一致；</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3) 声音开关电路采用无痕进入和退出技术，不会因话筒的接入与关闭产生噪音；</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4) 设有开启单路或双路话筒的选择；</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5) 话筒开启显示；最大话筒音量话筒的峰值电平显示；</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6) 控制室与教室对讲功能；</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7) 话筒开启位置信息，可通过 RS232 串口输出到外设备；</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8) 设有专用功放输出接口，它没有现场话筒的声音，是专为教室功放提供的音频信号；9) 接 口：12 路话筒平衡输入（自带 48V 幻象供电）、3 路立体声（0Db）输入、1 路无线话筒（-20Db）输入、2+1 路（立体声）输出 1 为至功放 0dB 电平、1 路耳机监听、1 路远程控制 232 接口；10) 结构参数： 话筒输入：输入电平：-40dB； 输出电平：-1dB； 输出阻抗：2KΩ； 话筒频响：250Hz～14KHzdb； 线路频响：20Hz～20KHz±1dB； 失真度：＜0.1% (1KHz)； 信噪比：大于 65dB（无计权）； 自动增益控制范围：≥40dB，起控点＜-30db，自动增益时间常数：＜1 秒； 话筒自动开启：选频、峰值对比只开1路或2路可选；</w:t>
            </w:r>
          </w:p>
        </w:tc>
      </w:tr>
      <w:tr>
        <w:tblPrEx>
          <w:tblCellMar>
            <w:top w:w="0" w:type="dxa"/>
            <w:left w:w="108" w:type="dxa"/>
            <w:bottom w:w="0" w:type="dxa"/>
            <w:right w:w="108" w:type="dxa"/>
          </w:tblCellMar>
        </w:tblPrEx>
        <w:trPr>
          <w:trHeight w:val="515"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双通道数字功放</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 参数说明：电源 ～220V ±10%  2A</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总功率（额定）: 300W   ( 2x100W +2x50W)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3) 信噪比（A计权）: 90db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 频响（-3dB）:   20H～20KHz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 声道系统:  2.0 +2.0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 输入线路输入（左右声道）  0dB 10K 各1路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 输出功率输出（左右声道）  2路 2x4～8Ω + 2路 2x4～8Ω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 1U机箱，总功率（额定） 2x100W +2x50W；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9) 失真度 1000Hz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 双风道 双风扇；专为录播教室设计，支持两个房间即听课室和观摩室。</w:t>
            </w:r>
          </w:p>
        </w:tc>
      </w:tr>
      <w:tr>
        <w:tblPrEx>
          <w:tblCellMar>
            <w:top w:w="0" w:type="dxa"/>
            <w:left w:w="108" w:type="dxa"/>
            <w:bottom w:w="0" w:type="dxa"/>
            <w:right w:w="108" w:type="dxa"/>
          </w:tblCellMar>
        </w:tblPrEx>
        <w:trPr>
          <w:trHeight w:val="2055"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线阵列音箱</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极佳的方向性和强大的功率输出，可以轻松应对大中型（混响）室内环境，特别是对声效有着严格要求的环境。 参数说明：</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 最大功率60 W、额定功率30 W；声压级：1 W（1 kHz，1 米）时，92 dB (SPL)，有效频率范围(-10 dB)，190 Hz 至 18 kHz；</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 开放角度1 kHz / 4 kHz (-6 dB)，水平210°/132°，垂直50°/22°，额定阻抗6 欧姆；</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3） 机械指标：尺寸（高 x 宽 x 深） 800 x 80 x 90 毫米，重量6.4 千克（14.1 磅）；4） 环境要求：操作温度-25°C 至 +55°C（-13°F 至 +131°F）存储温度-40 ºC 至 +70 ºC（-40 ºF 至 +158 ºF）相对湿度&lt;95%。</w:t>
            </w:r>
          </w:p>
        </w:tc>
      </w:tr>
      <w:tr>
        <w:tblPrEx>
          <w:tblCellMar>
            <w:top w:w="0" w:type="dxa"/>
            <w:left w:w="108" w:type="dxa"/>
            <w:bottom w:w="0" w:type="dxa"/>
            <w:right w:w="108" w:type="dxa"/>
          </w:tblCellMar>
        </w:tblPrEx>
        <w:trPr>
          <w:trHeight w:val="480"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录播机柜</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widowControl/>
              <w:spacing w:after="240"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★品牌配套专用机柜：1.定制高*宽*深=1000MM*545MM*580MM；标准:符合ANSI/EIA RS-310-D、IEC297-2、DIN41491; PART1、DIN41494; PART7、 GB/T3047.2- 92标准;兼容ETSI标准；承载:静载500KG；防护等级:IP20；主要材料:SPCC优质冷扎钢板制作；厚度：方孔条2.0mm,其他1.2mm；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表面处理:脱脂、酸洗、磷化、静电喷塑；其它：配可调节支撑行走脚轮4只；外形美观,全框架结构,方便实用；采用旋转式散热风口，散热良好。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为便于机柜内设备的管理，要求内置电源模块并配有安全保险措施，要求3PIN不低于5A保险220V输入，要求电源总开关最大负载电流不低于16A；要求提供不少于9路220V交流电输出，6路12V直流电输出，要求提供不少于3路220V交流电单独开关控制，要求不少于4路12V直流电单独开关控制；内置5口千兆自适应交换机（10M/100M/1000M自适应）；内置1进2出VGA分配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为便于设备的管理、维护，要求必须保证设备的一体性，要求将录播主机显示模块、键鼠控制模块、导播控制模块完全集成到机柜中，设备之间连线干净整洁。导播模块可支持对4路摄像机的同时控制，可与自动跟踪设备联动；导播台设备至少要具备手自动切换、录像的开始、暂停、停止，播出画面选择、各种画中画模式的开启与关闭、画中画副画面的切换、主副画面的切换等按键；要求设备可为每个摄像机设定不少于7个预置位，便于快速定位；控制台可对云台进行控制，实现“上下翻转、左右翻转、放大缩小翻转”等操控，镜头变化的速度可自行调整；可完成简单特技的添加和去除；在无需键盘鼠标配合下，即可完成操作，可随时在手动、自动的模式下相互切换工作。1）必须提供技术参数函原件；2）</w:t>
            </w:r>
            <w:r>
              <w:rPr>
                <w:rFonts w:hint="eastAsia" w:ascii="宋体" w:hAnsi="宋体" w:eastAsia="宋体" w:cs="宋体"/>
                <w:color w:val="000000"/>
                <w:kern w:val="0"/>
                <w:szCs w:val="21"/>
                <w:lang w:eastAsia="zh-CN"/>
              </w:rPr>
              <w:t>承诺中标后</w:t>
            </w:r>
            <w:r>
              <w:rPr>
                <w:rFonts w:hint="eastAsia" w:ascii="宋体" w:hAnsi="宋体" w:eastAsia="宋体" w:cs="宋体"/>
                <w:color w:val="000000"/>
                <w:kern w:val="0"/>
                <w:szCs w:val="21"/>
              </w:rPr>
              <w:t>提供测试样机</w:t>
            </w:r>
          </w:p>
        </w:tc>
      </w:tr>
      <w:tr>
        <w:tblPrEx>
          <w:tblCellMar>
            <w:top w:w="0" w:type="dxa"/>
            <w:left w:w="108" w:type="dxa"/>
            <w:bottom w:w="0" w:type="dxa"/>
            <w:right w:w="108" w:type="dxa"/>
          </w:tblCellMar>
        </w:tblPrEx>
        <w:trPr>
          <w:trHeight w:val="1260"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控制面板</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1）安装于控制台上，与跟踪主机连接，实现自动录播的开始、暂停、停止的操作；RJ45端口，配套RJ45转PS2线缆。</w:t>
            </w:r>
          </w:p>
        </w:tc>
      </w:tr>
      <w:tr>
        <w:tblPrEx>
          <w:tblCellMar>
            <w:top w:w="0" w:type="dxa"/>
            <w:left w:w="108" w:type="dxa"/>
            <w:bottom w:w="0" w:type="dxa"/>
            <w:right w:w="108" w:type="dxa"/>
          </w:tblCellMar>
        </w:tblPrEx>
        <w:trPr>
          <w:trHeight w:val="499"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讲台</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全封闭讲台，讲台闭合状态尺寸为：讲台闭合状态外部尺寸为：1150长*1000高*750mm宽；开启状态尺寸为：2200长*1000高*1000mm宽，讲台整体采用优质1.2-1.5mm冷轧板，讲台棱角采用圆弧过渡，更显人性化，木质台面，扶手等体现出大方典雅；提供彩色样图。</w:t>
            </w:r>
          </w:p>
        </w:tc>
      </w:tr>
      <w:tr>
        <w:tblPrEx>
          <w:tblCellMar>
            <w:top w:w="0" w:type="dxa"/>
            <w:left w:w="108" w:type="dxa"/>
            <w:bottom w:w="0" w:type="dxa"/>
            <w:right w:w="108" w:type="dxa"/>
          </w:tblCellMar>
        </w:tblPrEx>
        <w:trPr>
          <w:trHeight w:val="3225"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智慧黑板</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86寸整机采用一体化设计，无明显拼接痕迹，外观简洁。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整机中间区域为LED屏幕，可显示视频内容，进行交互触控操作等。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整机前侧面板均可书写板书，包含中间区域及两侧区域，便于老师完整书写教学内容。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中间区域屏幕采用86英寸 LED 液晶屏，显示比例16:9，具备防眩光效果。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中间区域屏幕采用钢化玻璃，使用1.kg或更大质量钢球，在不小于2m处自由落体撞击整机液晶显示屏幕的钢化玻璃，产品无损伤破裂，功能无异常。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辐射满足国标GB/T9254-2008 Class B等级要求，无需采取任何辐射防护措施。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主屏与副屏的板书区域均支持普通粉笔、液体粉笔、水溶性粉笔书写。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整机经过产品可靠性检验，MTBF大于80000小时。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整机只需连接一根网线，即可实现Windows及Android系统同时联网。</w:t>
            </w:r>
          </w:p>
        </w:tc>
      </w:tr>
      <w:tr>
        <w:tblPrEx>
          <w:tblCellMar>
            <w:top w:w="0" w:type="dxa"/>
            <w:left w:w="108" w:type="dxa"/>
            <w:bottom w:w="0" w:type="dxa"/>
            <w:right w:w="108" w:type="dxa"/>
          </w:tblCellMar>
        </w:tblPrEx>
        <w:trPr>
          <w:trHeight w:val="1560"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线材及辅料</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摄像机吊架，支架，高清传输线缆，标准辅料。含各类信号切换设备含各类RGBHV线缆、网线、音视频线、电源线及线管。</w:t>
            </w:r>
          </w:p>
        </w:tc>
      </w:tr>
      <w:tr>
        <w:tblPrEx>
          <w:tblCellMar>
            <w:top w:w="0" w:type="dxa"/>
            <w:left w:w="108" w:type="dxa"/>
            <w:bottom w:w="0" w:type="dxa"/>
            <w:right w:w="108" w:type="dxa"/>
          </w:tblCellMar>
        </w:tblPrEx>
        <w:trPr>
          <w:trHeight w:val="849"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智慧教室互动教学系统</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1、提供小组记分，随机挑人功能，随机挑人功能可一次挑选多名学生作答；</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2、提供教室班级管理系统，可新增、修改、删除教室，学生，班级资料，并可加入学生照片；</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3、自动储存与调阅，以科目、时间顺序储存活动记录，可随时调阅查看学生各题详细作答记录和每题作答人数统计资料，并方便老师检阅；</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4、可直接打印各项记录的统计资料，各项报表可输出.xls、.xlsx、.CSV格式，供老师自行弹性处理；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★5、显示各题通过率，各题各选项的选择数量，在每题施测后马上统计显示，图表以柱状图或饼图呈现答对或答错比例；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6、自动统计课堂中所有学生作答情况，并按照得分进行排序；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7、自动统计学生作答情况以长条图或圆饼图呈现，也能翻牌显示每位学生的答案，各选项的所有学生作答统计情况等，每次的图表可以立即捕获到白板页面上，作为老师讲解或再次作答的参考。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老师可对学生个人或小组进行加分，对学生加分时学生平板会有祝贺动画显示，教师可使用既有的PPT，Word，实物试卷等课件或网页，无需做任何修改，即可当场即时截屏选取当前屏幕内容作为检测题发送给全班学生作答并即时生成评测反馈数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9、使用互动模式时，可以导入PPT、PDF、CSV等档案，进行教学活动，课堂间所有的批注、评量活动等资料纪录将会被完整保留，互动模式包括即问即答、评量、抢答、抢权、票选统计等活动；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10、淘汰赛模式能与即时反馈系统紧密结合，在提高学习专注力的同时亦能有效检测学生学习状况；</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11、在编辑模式下可用来编辑教材档案，利用内建的材料库或自行新增多媒体课件进行课件编辑，且支持RTF、视频、Flash、图片、音效等格式；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12、手画线条可依形状自动变成三角形、矩形、多边形、圆形或椭圆形等；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13、手写辨识功能，手写任意文字可自动转化成电脑输入的字体；</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14、特殊遮掩类别：具有聚光灯强调功能，及拉幕遮掩效果，使用者可调整遮掩范围；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15、画面与书写的笔迹可以被录制成影片，教师可自行录制、暂停、停止视频录制，以便回放教学过程。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16、系统可自动记录每页的画面与书写内容，自动分页与显示页次保存，可随时调用任何一页，并可汇出成PDF、PPT、图片等格式电子笔记；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17、具有抢答竞赛、淘汰竞赛、即问即答、挑人作答、匿名作答、票选统计等多元互动模式；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★18、可与云端学习平台连接，调取和保存在课堂中产生的各种教学数据。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★19、支持与云平台连接，教师可查看学生课前学习进度、回复信息等，也可将教师端电子笔记自动上传至云平台。</w:t>
            </w:r>
          </w:p>
        </w:tc>
      </w:tr>
      <w:tr>
        <w:tblPrEx>
          <w:tblCellMar>
            <w:top w:w="0" w:type="dxa"/>
            <w:left w:w="108" w:type="dxa"/>
            <w:bottom w:w="0" w:type="dxa"/>
            <w:right w:w="108" w:type="dxa"/>
          </w:tblCellMar>
        </w:tblPrEx>
        <w:trPr>
          <w:trHeight w:val="2595"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智慧助教系统</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1、系统支持Android、IOS操作系统的智能手机、平板电脑安装操作；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2、可实现移动展台功能，随时拍摄课堂活动，挑选教材照片或拍摄微视频传回一体机，即时图像分享功能。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3、一次性拍摄多张学生作品，进行多作品同屏比较；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4、无线控制操作具有即时反馈、挑人、页面推送等功能；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5、无线操作PPT翻页；</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6、可进行翻牌操作，查看学生作答选择情况。</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★7、支持及时影像投屏、微视频录制，同时可及时将录制影片上传至教学系统屏幕端。</w:t>
            </w:r>
          </w:p>
        </w:tc>
      </w:tr>
      <w:tr>
        <w:tblPrEx>
          <w:tblCellMar>
            <w:top w:w="0" w:type="dxa"/>
            <w:left w:w="108" w:type="dxa"/>
            <w:bottom w:w="0" w:type="dxa"/>
            <w:right w:w="108" w:type="dxa"/>
          </w:tblCellMar>
        </w:tblPrEx>
        <w:trPr>
          <w:trHeight w:val="517"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教师反馈器</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一、主要功能</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 可控制电子白板页面切换上/下页丶视窗/白板页面切换。</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 控制显示互动作答统计图表丶翻牌丶重新作答丶重设答案等功能。</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3. 控制单键启动实物摄影功能丶作答功能丶挑人。</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二硬件规格</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 通讯技术：双向射频RF 2.4G </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 按钮：15个(含)以上薄膜印刷面板按钮</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3. 灯号：2个LED (信号, 按钮)</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4. 识别码数：千万个</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5. 频道/场合数：251</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6. 信号冲突处理：智慧型避免与自动传送</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7. 按钮传送模式：单键马上击发</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8. 电源：2个CR2032电池</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9. 省电设计：免电源钮设计, 按钮自动唤醒, 传送完毕後自动深度睡眠</w:t>
            </w:r>
          </w:p>
        </w:tc>
      </w:tr>
      <w:tr>
        <w:tblPrEx>
          <w:tblCellMar>
            <w:top w:w="0" w:type="dxa"/>
            <w:left w:w="108" w:type="dxa"/>
            <w:bottom w:w="0" w:type="dxa"/>
            <w:right w:w="108" w:type="dxa"/>
          </w:tblCellMar>
        </w:tblPrEx>
        <w:trPr>
          <w:trHeight w:val="3960"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学生即时反馈器</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1.具有0～9数字按键，同一套每台反馈器需有唯一编码，以识别使用的学生</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2.学生即时反馈器可以经由软件内建功能的设定，暂时代替教师即时反馈器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3.硬件规格</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3.1 通讯技术：双向射频RF 2.4G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3.2 按钮：15个薄膜印刷面板按钮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3.3 灯号：2个LED (信号, 按钮)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3.4 识别码数：千万个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3.5 频道/场合数：251</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3.6 信号冲突处理：智慧型避免与自动传送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3.7 按钮传送模式：单键马上击发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3.8 电源：2个CR2032电池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3.9 省电设计：免电源钮设计，按钮自动唤醒，传送完毕后自动深度睡眠</w:t>
            </w:r>
          </w:p>
        </w:tc>
      </w:tr>
      <w:tr>
        <w:tblPrEx>
          <w:tblCellMar>
            <w:top w:w="0" w:type="dxa"/>
            <w:left w:w="108" w:type="dxa"/>
            <w:bottom w:w="0" w:type="dxa"/>
            <w:right w:w="108" w:type="dxa"/>
          </w:tblCellMar>
        </w:tblPrEx>
        <w:trPr>
          <w:trHeight w:val="3105"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智慧学伴系统</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1、用户搭配智慧学伴使用，App支持iOS，Android系统；同时也支持台式机、笔记本B/S模式；</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2、动态获取诊断补救平台发布的电子笔记、评量记录、学习影片、诊断报告等讯息；</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3、查看课堂教学过程电子笔记内容；</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4、查看学习评量资料、答题明细、诊断分析报告等资讯；</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5、结合录播系统，将学生课堂中视频标记的重难点自动产生标签，帮助学生针对性的课后补救学习；</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6、翻转课堂学习任务随时提醒，自学课程项目及完成进度查阅，线上自我检测及作业提交，具备讨论区功能，可查看同学、教师针对该自学课程的提问及反馈信息。</w:t>
            </w:r>
          </w:p>
        </w:tc>
      </w:tr>
      <w:tr>
        <w:tblPrEx>
          <w:tblCellMar>
            <w:top w:w="0" w:type="dxa"/>
            <w:left w:w="108" w:type="dxa"/>
            <w:bottom w:w="0" w:type="dxa"/>
            <w:right w:w="108" w:type="dxa"/>
          </w:tblCellMar>
        </w:tblPrEx>
        <w:trPr>
          <w:trHeight w:val="425"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反馈系统接收器</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 可接收并识别教师即时反馈器所发出的2.4G射频信号，透过USB通信介面传送讯号给电脑主机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通讯距离内360度无向接收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 硬件规格如下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3.1. 通讯技术：双向射频RF 2.4G</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3.2. 识别码数：千万个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3.3. 頻道/場合数：251</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3.4. PC介面：USB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3.5. 电源：USB供电</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3.6. 设定：PC端软体控制</w:t>
            </w:r>
          </w:p>
        </w:tc>
      </w:tr>
      <w:tr>
        <w:tblPrEx>
          <w:tblCellMar>
            <w:top w:w="0" w:type="dxa"/>
            <w:left w:w="108" w:type="dxa"/>
            <w:bottom w:w="0" w:type="dxa"/>
            <w:right w:w="108" w:type="dxa"/>
          </w:tblCellMar>
        </w:tblPrEx>
        <w:trPr>
          <w:trHeight w:val="2040"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资源管理应用平台服务器</w:t>
            </w:r>
          </w:p>
        </w:tc>
        <w:tc>
          <w:tcPr>
            <w:tcW w:w="835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E5-2620V3/32G DDR4/3*4T SATA/H330/DVDRW/导轨/单电源(三年服务)  </w:t>
            </w:r>
          </w:p>
        </w:tc>
      </w:tr>
    </w:tbl>
    <w:p>
      <w:pPr>
        <w:pStyle w:val="2"/>
        <w:spacing w:line="400" w:lineRule="exact"/>
        <w:jc w:val="center"/>
        <w:rPr>
          <w:rFonts w:hint="eastAsia" w:ascii="宋体" w:hAnsi="宋体" w:cs="宋体"/>
          <w:b/>
          <w:bCs/>
          <w:i w:val="0"/>
          <w:color w:val="000000"/>
          <w:sz w:val="30"/>
          <w:szCs w:val="30"/>
        </w:rPr>
      </w:pPr>
    </w:p>
    <w:p>
      <w:pPr>
        <w:pStyle w:val="2"/>
        <w:spacing w:line="400" w:lineRule="exact"/>
        <w:jc w:val="center"/>
        <w:rPr>
          <w:rFonts w:hint="eastAsia" w:ascii="宋体" w:hAnsi="宋体" w:cs="宋体"/>
          <w:b/>
          <w:bCs/>
          <w:i w:val="0"/>
          <w:color w:val="000000"/>
          <w:sz w:val="30"/>
          <w:szCs w:val="30"/>
        </w:rPr>
      </w:pPr>
    </w:p>
    <w:p>
      <w:pPr>
        <w:pStyle w:val="2"/>
        <w:spacing w:line="400" w:lineRule="exact"/>
        <w:jc w:val="center"/>
        <w:rPr>
          <w:rFonts w:hint="eastAsia" w:ascii="宋体" w:hAnsi="宋体" w:cs="宋体"/>
          <w:b/>
          <w:bCs/>
          <w:i w:val="0"/>
          <w:color w:val="000000"/>
          <w:sz w:val="30"/>
          <w:szCs w:val="30"/>
        </w:rPr>
      </w:pPr>
    </w:p>
    <w:p>
      <w:pPr>
        <w:pStyle w:val="2"/>
        <w:spacing w:line="400" w:lineRule="exact"/>
        <w:jc w:val="center"/>
        <w:rPr>
          <w:rFonts w:hint="eastAsia" w:ascii="宋体" w:hAnsi="宋体" w:cs="宋体"/>
          <w:b/>
          <w:bCs/>
          <w:i w:val="0"/>
          <w:color w:val="000000"/>
          <w:sz w:val="30"/>
          <w:szCs w:val="30"/>
        </w:rPr>
      </w:pPr>
    </w:p>
    <w:p>
      <w:pPr>
        <w:pStyle w:val="2"/>
        <w:spacing w:line="400" w:lineRule="exact"/>
        <w:jc w:val="center"/>
        <w:rPr>
          <w:rFonts w:hint="eastAsia" w:ascii="宋体" w:hAnsi="宋体" w:cs="宋体"/>
          <w:b/>
          <w:bCs/>
          <w:i w:val="0"/>
          <w:color w:val="000000"/>
          <w:sz w:val="30"/>
          <w:szCs w:val="30"/>
        </w:rPr>
      </w:pPr>
    </w:p>
    <w:p>
      <w:pPr>
        <w:pStyle w:val="2"/>
        <w:spacing w:line="400" w:lineRule="exact"/>
        <w:jc w:val="center"/>
        <w:rPr>
          <w:rFonts w:hint="eastAsia" w:ascii="宋体" w:hAnsi="宋体" w:cs="宋体"/>
          <w:b/>
          <w:bCs/>
          <w:i w:val="0"/>
          <w:color w:val="000000"/>
          <w:sz w:val="30"/>
          <w:szCs w:val="30"/>
        </w:rPr>
      </w:pPr>
    </w:p>
    <w:p>
      <w:pPr>
        <w:pStyle w:val="2"/>
        <w:spacing w:line="400" w:lineRule="exact"/>
        <w:jc w:val="center"/>
        <w:rPr>
          <w:rFonts w:hint="eastAsia" w:ascii="宋体" w:hAnsi="宋体" w:cs="宋体"/>
          <w:b/>
          <w:bCs/>
          <w:i w:val="0"/>
          <w:color w:val="000000"/>
          <w:sz w:val="30"/>
          <w:szCs w:val="30"/>
        </w:rPr>
      </w:pPr>
    </w:p>
    <w:p>
      <w:pPr>
        <w:pStyle w:val="2"/>
        <w:spacing w:line="400" w:lineRule="exact"/>
        <w:jc w:val="center"/>
        <w:rPr>
          <w:rFonts w:hint="eastAsia" w:ascii="宋体" w:hAnsi="宋体" w:cs="宋体"/>
          <w:b/>
          <w:bCs/>
          <w:i w:val="0"/>
          <w:color w:val="000000"/>
          <w:sz w:val="30"/>
          <w:szCs w:val="30"/>
        </w:rPr>
      </w:pPr>
    </w:p>
    <w:p>
      <w:pPr>
        <w:pStyle w:val="2"/>
        <w:spacing w:line="400" w:lineRule="exact"/>
        <w:jc w:val="center"/>
        <w:rPr>
          <w:rFonts w:hint="eastAsia" w:ascii="宋体" w:hAnsi="宋体" w:cs="宋体"/>
          <w:b/>
          <w:bCs/>
          <w:i w:val="0"/>
          <w:color w:val="000000"/>
          <w:sz w:val="30"/>
          <w:szCs w:val="30"/>
        </w:rPr>
      </w:pPr>
    </w:p>
    <w:p>
      <w:pPr>
        <w:pStyle w:val="2"/>
        <w:spacing w:line="400" w:lineRule="exact"/>
        <w:jc w:val="center"/>
        <w:rPr>
          <w:rFonts w:hint="eastAsia" w:ascii="宋体" w:hAnsi="宋体" w:cs="宋体"/>
          <w:b/>
          <w:bCs/>
          <w:i w:val="0"/>
          <w:color w:val="000000"/>
          <w:sz w:val="30"/>
          <w:szCs w:val="30"/>
        </w:rPr>
      </w:pPr>
    </w:p>
    <w:p>
      <w:pPr>
        <w:pStyle w:val="2"/>
        <w:spacing w:line="400" w:lineRule="exact"/>
        <w:jc w:val="center"/>
        <w:rPr>
          <w:rFonts w:hint="eastAsia" w:ascii="宋体" w:hAnsi="宋体" w:cs="宋体"/>
          <w:b/>
          <w:bCs/>
          <w:i w:val="0"/>
          <w:color w:val="000000"/>
          <w:sz w:val="30"/>
          <w:szCs w:val="30"/>
        </w:rPr>
      </w:pPr>
    </w:p>
    <w:p>
      <w:pPr>
        <w:pStyle w:val="2"/>
        <w:spacing w:line="400" w:lineRule="exact"/>
        <w:jc w:val="center"/>
        <w:rPr>
          <w:rFonts w:hint="eastAsia" w:ascii="宋体" w:hAnsi="宋体" w:cs="宋体"/>
          <w:b/>
          <w:bCs/>
          <w:i w:val="0"/>
          <w:color w:val="000000"/>
          <w:sz w:val="30"/>
          <w:szCs w:val="30"/>
        </w:rPr>
      </w:pPr>
    </w:p>
    <w:p>
      <w:pPr>
        <w:pStyle w:val="2"/>
        <w:spacing w:line="400" w:lineRule="exact"/>
        <w:jc w:val="center"/>
        <w:rPr>
          <w:rFonts w:hint="eastAsia" w:ascii="宋体" w:hAnsi="宋体" w:cs="宋体"/>
          <w:b/>
          <w:bCs/>
          <w:i w:val="0"/>
          <w:color w:val="000000"/>
          <w:sz w:val="30"/>
          <w:szCs w:val="30"/>
        </w:rPr>
      </w:pPr>
    </w:p>
    <w:p>
      <w:pPr>
        <w:pStyle w:val="2"/>
        <w:spacing w:line="400" w:lineRule="exact"/>
        <w:jc w:val="center"/>
        <w:rPr>
          <w:rFonts w:hint="eastAsia" w:ascii="宋体" w:hAnsi="宋体" w:cs="宋体"/>
          <w:b/>
          <w:bCs/>
          <w:i w:val="0"/>
          <w:color w:val="000000"/>
          <w:sz w:val="30"/>
          <w:szCs w:val="30"/>
        </w:rPr>
      </w:pPr>
    </w:p>
    <w:p>
      <w:pPr>
        <w:pStyle w:val="2"/>
        <w:spacing w:line="400" w:lineRule="exact"/>
        <w:jc w:val="center"/>
        <w:rPr>
          <w:rFonts w:hint="eastAsia" w:ascii="宋体" w:hAnsi="宋体" w:cs="宋体"/>
          <w:b/>
          <w:bCs/>
          <w:i w:val="0"/>
          <w:color w:val="000000"/>
          <w:sz w:val="30"/>
          <w:szCs w:val="30"/>
        </w:rPr>
      </w:pPr>
    </w:p>
    <w:p>
      <w:pPr>
        <w:pStyle w:val="2"/>
        <w:spacing w:line="400" w:lineRule="exact"/>
        <w:jc w:val="center"/>
        <w:rPr>
          <w:rFonts w:hint="eastAsia" w:ascii="宋体" w:hAnsi="宋体" w:cs="宋体"/>
          <w:b/>
          <w:bCs/>
          <w:i w:val="0"/>
          <w:color w:val="000000"/>
          <w:sz w:val="30"/>
          <w:szCs w:val="30"/>
        </w:rPr>
      </w:pPr>
    </w:p>
    <w:p>
      <w:pPr>
        <w:pStyle w:val="2"/>
        <w:spacing w:line="400" w:lineRule="exact"/>
        <w:jc w:val="center"/>
        <w:rPr>
          <w:rFonts w:hint="eastAsia" w:ascii="宋体" w:hAnsi="宋体" w:cs="宋体"/>
          <w:b/>
          <w:bCs/>
          <w:i w:val="0"/>
          <w:color w:val="000000"/>
          <w:sz w:val="30"/>
          <w:szCs w:val="30"/>
        </w:rPr>
      </w:pPr>
    </w:p>
    <w:p>
      <w:pPr>
        <w:pStyle w:val="2"/>
        <w:spacing w:line="400" w:lineRule="exact"/>
        <w:jc w:val="center"/>
        <w:rPr>
          <w:rFonts w:hint="eastAsia" w:ascii="宋体" w:hAnsi="宋体" w:cs="宋体"/>
          <w:b/>
          <w:bCs/>
          <w:i w:val="0"/>
          <w:color w:val="000000"/>
          <w:sz w:val="30"/>
          <w:szCs w:val="30"/>
        </w:rPr>
      </w:pPr>
    </w:p>
    <w:p>
      <w:pPr>
        <w:pStyle w:val="2"/>
        <w:spacing w:line="400" w:lineRule="exact"/>
        <w:jc w:val="center"/>
        <w:rPr>
          <w:rFonts w:hint="eastAsia" w:ascii="宋体" w:hAnsi="宋体" w:cs="宋体"/>
          <w:b/>
          <w:bCs/>
          <w:i w:val="0"/>
          <w:color w:val="000000"/>
          <w:sz w:val="30"/>
          <w:szCs w:val="30"/>
        </w:rPr>
      </w:pPr>
    </w:p>
    <w:p>
      <w:pPr>
        <w:pStyle w:val="2"/>
        <w:spacing w:line="400" w:lineRule="exact"/>
        <w:jc w:val="center"/>
        <w:rPr>
          <w:rFonts w:hint="eastAsia" w:ascii="宋体" w:hAnsi="宋体" w:cs="宋体"/>
          <w:b/>
          <w:bCs/>
          <w:i w:val="0"/>
          <w:color w:val="000000"/>
          <w:sz w:val="30"/>
          <w:szCs w:val="30"/>
        </w:rPr>
      </w:pPr>
    </w:p>
    <w:p>
      <w:pPr>
        <w:pStyle w:val="2"/>
        <w:spacing w:line="400" w:lineRule="exact"/>
        <w:jc w:val="center"/>
        <w:rPr>
          <w:rFonts w:hint="eastAsia" w:ascii="宋体" w:hAnsi="宋体" w:cs="宋体"/>
          <w:b/>
          <w:bCs/>
          <w:i w:val="0"/>
          <w:color w:val="000000"/>
          <w:sz w:val="30"/>
          <w:szCs w:val="30"/>
        </w:rPr>
      </w:pPr>
    </w:p>
    <w:p>
      <w:pPr>
        <w:pStyle w:val="2"/>
        <w:spacing w:line="400" w:lineRule="exact"/>
        <w:jc w:val="center"/>
        <w:rPr>
          <w:rFonts w:hint="eastAsia" w:ascii="宋体" w:hAnsi="宋体" w:cs="宋体"/>
          <w:b/>
          <w:bCs/>
          <w:i w:val="0"/>
          <w:color w:val="000000"/>
          <w:sz w:val="30"/>
          <w:szCs w:val="30"/>
        </w:rPr>
      </w:pPr>
    </w:p>
    <w:p>
      <w:pPr>
        <w:pStyle w:val="2"/>
        <w:spacing w:line="400" w:lineRule="exact"/>
        <w:jc w:val="center"/>
        <w:rPr>
          <w:rFonts w:hint="eastAsia" w:ascii="宋体" w:hAnsi="宋体" w:cs="宋体"/>
          <w:b/>
          <w:bCs/>
          <w:i w:val="0"/>
          <w:color w:val="000000"/>
          <w:sz w:val="30"/>
          <w:szCs w:val="30"/>
        </w:rPr>
      </w:pPr>
    </w:p>
    <w:p>
      <w:pPr>
        <w:pStyle w:val="2"/>
        <w:spacing w:line="400" w:lineRule="exact"/>
        <w:jc w:val="center"/>
        <w:rPr>
          <w:rFonts w:hint="eastAsia" w:ascii="宋体" w:hAnsi="宋体" w:cs="宋体"/>
          <w:b/>
          <w:bCs/>
          <w:i w:val="0"/>
          <w:color w:val="000000"/>
          <w:sz w:val="30"/>
          <w:szCs w:val="30"/>
        </w:rPr>
      </w:pPr>
    </w:p>
    <w:p>
      <w:pPr>
        <w:pStyle w:val="2"/>
        <w:spacing w:line="400" w:lineRule="exact"/>
        <w:jc w:val="center"/>
        <w:rPr>
          <w:rFonts w:hint="eastAsia" w:ascii="宋体" w:hAnsi="宋体" w:cs="宋体"/>
          <w:b/>
          <w:bCs/>
          <w:i w:val="0"/>
          <w:color w:val="000000"/>
          <w:sz w:val="30"/>
          <w:szCs w:val="30"/>
        </w:rPr>
      </w:pPr>
    </w:p>
    <w:p>
      <w:pPr>
        <w:pStyle w:val="2"/>
        <w:spacing w:line="400" w:lineRule="exact"/>
        <w:jc w:val="center"/>
        <w:rPr>
          <w:rFonts w:hint="eastAsia" w:ascii="宋体" w:hAnsi="宋体" w:cs="宋体"/>
          <w:b/>
          <w:bCs/>
          <w:i w:val="0"/>
          <w:color w:val="000000"/>
          <w:sz w:val="30"/>
          <w:szCs w:val="30"/>
        </w:rPr>
      </w:pPr>
    </w:p>
    <w:p>
      <w:pPr>
        <w:pStyle w:val="2"/>
        <w:spacing w:line="400" w:lineRule="exact"/>
        <w:jc w:val="center"/>
        <w:rPr>
          <w:rFonts w:hint="eastAsia" w:ascii="宋体" w:hAnsi="宋体" w:cs="宋体"/>
          <w:b/>
          <w:bCs/>
          <w:i w:val="0"/>
          <w:color w:val="000000"/>
          <w:sz w:val="30"/>
          <w:szCs w:val="30"/>
        </w:rPr>
      </w:pPr>
    </w:p>
    <w:p>
      <w:pPr>
        <w:pStyle w:val="2"/>
        <w:spacing w:line="400" w:lineRule="exact"/>
        <w:jc w:val="center"/>
        <w:rPr>
          <w:rFonts w:hint="eastAsia" w:ascii="宋体" w:hAnsi="宋体" w:cs="宋体"/>
          <w:b/>
          <w:bCs/>
          <w:i w:val="0"/>
          <w:color w:val="000000"/>
          <w:sz w:val="30"/>
          <w:szCs w:val="30"/>
        </w:rPr>
      </w:pPr>
    </w:p>
    <w:p>
      <w:pPr>
        <w:pStyle w:val="2"/>
        <w:spacing w:line="400" w:lineRule="exact"/>
        <w:jc w:val="center"/>
        <w:rPr>
          <w:rFonts w:hint="eastAsia" w:ascii="宋体" w:hAnsi="宋体" w:cs="宋体"/>
          <w:b/>
          <w:bCs/>
          <w:i w:val="0"/>
          <w:color w:val="000000"/>
          <w:sz w:val="30"/>
          <w:szCs w:val="30"/>
        </w:rPr>
      </w:pPr>
    </w:p>
    <w:p>
      <w:pPr>
        <w:pStyle w:val="2"/>
        <w:spacing w:line="400" w:lineRule="exact"/>
        <w:jc w:val="center"/>
        <w:rPr>
          <w:rFonts w:hint="eastAsia" w:ascii="宋体" w:hAnsi="宋体" w:cs="宋体"/>
          <w:b/>
          <w:bCs/>
          <w:i w:val="0"/>
          <w:color w:val="000000"/>
          <w:sz w:val="30"/>
          <w:szCs w:val="30"/>
        </w:rPr>
      </w:pPr>
      <w:r>
        <w:rPr>
          <w:rFonts w:hint="eastAsia" w:ascii="宋体" w:hAnsi="宋体" w:cs="宋体"/>
          <w:b/>
          <w:bCs/>
          <w:i w:val="0"/>
          <w:color w:val="000000"/>
          <w:sz w:val="30"/>
          <w:szCs w:val="30"/>
        </w:rPr>
        <w:t>（三）智慧教室系统（智慧灯光）</w:t>
      </w:r>
    </w:p>
    <w:p>
      <w:pPr>
        <w:spacing w:line="400" w:lineRule="exact"/>
        <w:ind w:firstLine="422" w:firstLineChars="200"/>
        <w:jc w:val="left"/>
        <w:rPr>
          <w:rFonts w:hint="eastAsia" w:ascii="宋体" w:hAnsi="宋体" w:cs="宋体"/>
          <w:b/>
          <w:color w:val="000000"/>
          <w:szCs w:val="21"/>
          <w:u w:val="single"/>
        </w:rPr>
      </w:pPr>
    </w:p>
    <w:p>
      <w:pPr>
        <w:spacing w:line="400" w:lineRule="exact"/>
        <w:ind w:firstLine="422" w:firstLineChars="200"/>
        <w:jc w:val="left"/>
        <w:rPr>
          <w:rFonts w:hint="eastAsia" w:ascii="宋体" w:hAnsi="宋体" w:cs="宋体"/>
          <w:color w:val="000000"/>
          <w:szCs w:val="21"/>
        </w:rPr>
      </w:pPr>
      <w:r>
        <w:rPr>
          <w:rFonts w:hint="eastAsia" w:ascii="宋体" w:hAnsi="宋体" w:cs="宋体"/>
          <w:b/>
          <w:color w:val="000000"/>
          <w:szCs w:val="21"/>
          <w:u w:val="single"/>
        </w:rPr>
        <w:t>习总书记在2018年8月28日也作出重要批示：</w:t>
      </w:r>
      <w:r>
        <w:rPr>
          <w:rFonts w:hint="eastAsia" w:ascii="宋体" w:hAnsi="宋体" w:cs="宋体"/>
          <w:color w:val="000000"/>
          <w:szCs w:val="21"/>
        </w:rPr>
        <w:t>我国学生近视呈现高发、低龄化趋势，严重影响学生们的身心健康，这是一个关系国家和民族未来的大问题，必须高度重视，不能任其发展。并强调，全社会都要行动起来，共同呵护好学生的眼睛，让他们拥有一个光明的未来。同时，国家教育部、国家卫生健康委员会、国家体育总局、财政部、人力资源和社会保障部、国家市场监督管理总局、国家新闻出版署以及国家广播电视总局联合下发了关于《综合防控儿童青少年近视实施方案》的通知。</w:t>
      </w:r>
    </w:p>
    <w:p>
      <w:pPr>
        <w:pStyle w:val="2"/>
        <w:spacing w:line="400" w:lineRule="exact"/>
        <w:ind w:left="360"/>
        <w:jc w:val="center"/>
        <w:rPr>
          <w:rFonts w:hint="eastAsia" w:ascii="宋体" w:hAnsi="宋体" w:cs="宋体"/>
          <w:color w:val="000000"/>
          <w:sz w:val="21"/>
          <w:szCs w:val="21"/>
        </w:rPr>
      </w:pPr>
      <w:r>
        <w:rPr>
          <w:rFonts w:hint="eastAsia" w:ascii="宋体" w:hAnsi="宋体" w:cs="宋体"/>
          <w:color w:val="000000"/>
          <w:sz w:val="21"/>
          <w:szCs w:val="21"/>
        </w:rPr>
        <w:drawing>
          <wp:anchor distT="0" distB="0" distL="114300" distR="114300" simplePos="0" relativeHeight="251662336" behindDoc="0" locked="0" layoutInCell="1" allowOverlap="1">
            <wp:simplePos x="0" y="0"/>
            <wp:positionH relativeFrom="page">
              <wp:posOffset>1472565</wp:posOffset>
            </wp:positionH>
            <wp:positionV relativeFrom="page">
              <wp:posOffset>5799455</wp:posOffset>
            </wp:positionV>
            <wp:extent cx="4652010" cy="3619500"/>
            <wp:effectExtent l="0" t="0" r="15240" b="0"/>
            <wp:wrapTopAndBottom/>
            <wp:docPr id="3" name="图片 18" descr="近视百分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8" descr="近视百分比"/>
                    <pic:cNvPicPr>
                      <a:picLocks noChangeAspect="1"/>
                    </pic:cNvPicPr>
                  </pic:nvPicPr>
                  <pic:blipFill>
                    <a:blip r:embed="rId20"/>
                    <a:stretch>
                      <a:fillRect/>
                    </a:stretch>
                  </pic:blipFill>
                  <pic:spPr>
                    <a:xfrm>
                      <a:off x="0" y="0"/>
                      <a:ext cx="4652010" cy="3619500"/>
                    </a:xfrm>
                    <a:prstGeom prst="rect">
                      <a:avLst/>
                    </a:prstGeom>
                    <a:noFill/>
                    <a:ln>
                      <a:noFill/>
                    </a:ln>
                  </pic:spPr>
                </pic:pic>
              </a:graphicData>
            </a:graphic>
          </wp:anchor>
        </w:drawing>
      </w:r>
      <w:r>
        <w:rPr>
          <w:rFonts w:hint="eastAsia" w:ascii="宋体" w:hAnsi="宋体" w:cs="宋体"/>
          <w:color w:val="000000"/>
          <w:sz w:val="21"/>
          <w:szCs w:val="21"/>
        </w:rPr>
        <w:drawing>
          <wp:anchor distT="0" distB="0" distL="114300" distR="114300" simplePos="0" relativeHeight="251661312" behindDoc="0" locked="0" layoutInCell="1" allowOverlap="1">
            <wp:simplePos x="0" y="0"/>
            <wp:positionH relativeFrom="page">
              <wp:posOffset>1653540</wp:posOffset>
            </wp:positionH>
            <wp:positionV relativeFrom="page">
              <wp:posOffset>2883535</wp:posOffset>
            </wp:positionV>
            <wp:extent cx="4253865" cy="3140710"/>
            <wp:effectExtent l="0" t="0" r="13335" b="2540"/>
            <wp:wrapTopAndBottom/>
            <wp:docPr id="2"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4"/>
                    <pic:cNvPicPr>
                      <a:picLocks noChangeAspect="1"/>
                    </pic:cNvPicPr>
                  </pic:nvPicPr>
                  <pic:blipFill>
                    <a:blip r:embed="rId21"/>
                    <a:stretch>
                      <a:fillRect/>
                    </a:stretch>
                  </pic:blipFill>
                  <pic:spPr>
                    <a:xfrm>
                      <a:off x="0" y="0"/>
                      <a:ext cx="4253865" cy="3140710"/>
                    </a:xfrm>
                    <a:prstGeom prst="rect">
                      <a:avLst/>
                    </a:prstGeom>
                    <a:noFill/>
                    <a:ln>
                      <a:noFill/>
                    </a:ln>
                  </pic:spPr>
                </pic:pic>
              </a:graphicData>
            </a:graphic>
          </wp:anchor>
        </w:drawing>
      </w:r>
    </w:p>
    <w:p>
      <w:pPr>
        <w:spacing w:after="120" w:afterLines="50" w:line="400" w:lineRule="exact"/>
        <w:ind w:left="210" w:leftChars="100" w:firstLine="420" w:firstLineChars="200"/>
        <w:rPr>
          <w:rFonts w:hint="eastAsia" w:ascii="宋体" w:hAnsi="宋体" w:cs="宋体"/>
          <w:color w:val="000000"/>
          <w:szCs w:val="21"/>
        </w:rPr>
      </w:pPr>
      <w:r>
        <w:rPr>
          <w:rFonts w:hint="eastAsia" w:ascii="宋体" w:hAnsi="宋体" w:cs="宋体"/>
          <w:color w:val="000000"/>
          <w:szCs w:val="21"/>
        </w:rPr>
        <w:t>据相关权威部门调查显示，目前我国城镇学校的教室照明基本以荧光灯为主，部分采用普通LED灯。学习环境下的灯光照度不够、频闪、眩光、存在有害蓝光等问题仍在持续损害我们孩子们的视力健康。早在2011年国家就颁布了教室照明相应的国家标准，对于教室、黑板的照明度、均匀度，显色指数、色温值等均有明确的执行标准。由于当时的技术不足以支撑，导致教室照明标准很难被贯彻执行。随着科技的发展，越来越多先进的教学设施进入了教室，通过技术手段完全可以达到国家标准的要求。因此，对于教室照明的优化也越来越被大。</w:t>
      </w:r>
    </w:p>
    <w:p>
      <w:pPr>
        <w:spacing w:after="120" w:afterLines="50" w:line="400" w:lineRule="exact"/>
        <w:ind w:left="210" w:leftChars="100" w:firstLine="420" w:firstLineChars="200"/>
        <w:rPr>
          <w:rFonts w:hint="eastAsia" w:ascii="宋体" w:hAnsi="宋体" w:cs="宋体"/>
          <w:color w:val="000000"/>
          <w:szCs w:val="21"/>
        </w:rPr>
      </w:pPr>
      <w:r>
        <w:rPr>
          <w:rFonts w:hint="eastAsia" w:ascii="宋体" w:hAnsi="宋体" w:cs="宋体"/>
          <w:color w:val="000000"/>
          <w:szCs w:val="21"/>
        </w:rPr>
        <w:t>综上所述本项目在提供健康优质光源的基础上，以“将普通教室光环境建设成智慧护眼光环境”为出发点，另外引入先进的物联网、智慧传感等技术，打造出一套真正健康护眼的综合系统。</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4795"/>
        <w:gridCol w:w="198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479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设备名称</w:t>
            </w:r>
          </w:p>
        </w:tc>
        <w:tc>
          <w:tcPr>
            <w:tcW w:w="19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单位</w:t>
            </w:r>
          </w:p>
        </w:tc>
        <w:tc>
          <w:tcPr>
            <w:tcW w:w="199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3.1</w:t>
            </w:r>
          </w:p>
        </w:tc>
        <w:tc>
          <w:tcPr>
            <w:tcW w:w="479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智慧护眼黑板灯</w:t>
            </w:r>
          </w:p>
        </w:tc>
        <w:tc>
          <w:tcPr>
            <w:tcW w:w="19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盏</w:t>
            </w:r>
          </w:p>
        </w:tc>
        <w:tc>
          <w:tcPr>
            <w:tcW w:w="199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3.2</w:t>
            </w:r>
          </w:p>
        </w:tc>
        <w:tc>
          <w:tcPr>
            <w:tcW w:w="479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智慧护眼教室灯</w:t>
            </w:r>
          </w:p>
        </w:tc>
        <w:tc>
          <w:tcPr>
            <w:tcW w:w="19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盏</w:t>
            </w:r>
          </w:p>
        </w:tc>
        <w:tc>
          <w:tcPr>
            <w:tcW w:w="199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3.3</w:t>
            </w:r>
          </w:p>
        </w:tc>
        <w:tc>
          <w:tcPr>
            <w:tcW w:w="479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照明智控终端</w:t>
            </w:r>
          </w:p>
        </w:tc>
        <w:tc>
          <w:tcPr>
            <w:tcW w:w="19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99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3.4</w:t>
            </w:r>
          </w:p>
        </w:tc>
        <w:tc>
          <w:tcPr>
            <w:tcW w:w="479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护眼黑板灯</w:t>
            </w:r>
          </w:p>
        </w:tc>
        <w:tc>
          <w:tcPr>
            <w:tcW w:w="19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盏</w:t>
            </w:r>
          </w:p>
        </w:tc>
        <w:tc>
          <w:tcPr>
            <w:tcW w:w="199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ind w:firstLine="210" w:firstLineChars="100"/>
              <w:rPr>
                <w:rFonts w:hint="eastAsia" w:ascii="宋体" w:hAnsi="宋体" w:eastAsia="宋体" w:cs="宋体"/>
                <w:color w:val="000000"/>
                <w:szCs w:val="21"/>
              </w:rPr>
            </w:pPr>
            <w:r>
              <w:rPr>
                <w:rFonts w:hint="eastAsia" w:ascii="宋体" w:hAnsi="宋体" w:eastAsia="宋体" w:cs="宋体"/>
                <w:color w:val="000000"/>
                <w:szCs w:val="21"/>
              </w:rPr>
              <w:t>3.5</w:t>
            </w:r>
          </w:p>
        </w:tc>
        <w:tc>
          <w:tcPr>
            <w:tcW w:w="479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护眼教室灯</w:t>
            </w:r>
          </w:p>
        </w:tc>
        <w:tc>
          <w:tcPr>
            <w:tcW w:w="19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盏</w:t>
            </w:r>
          </w:p>
        </w:tc>
        <w:tc>
          <w:tcPr>
            <w:tcW w:w="199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 xml:space="preserve"> 3.6</w:t>
            </w:r>
          </w:p>
        </w:tc>
        <w:tc>
          <w:tcPr>
            <w:tcW w:w="479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照明物联终端</w:t>
            </w:r>
          </w:p>
        </w:tc>
        <w:tc>
          <w:tcPr>
            <w:tcW w:w="19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99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3.7</w:t>
            </w:r>
          </w:p>
        </w:tc>
        <w:tc>
          <w:tcPr>
            <w:tcW w:w="479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智能物联网网关</w:t>
            </w:r>
          </w:p>
        </w:tc>
        <w:tc>
          <w:tcPr>
            <w:tcW w:w="19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99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3.8</w:t>
            </w:r>
          </w:p>
        </w:tc>
        <w:tc>
          <w:tcPr>
            <w:tcW w:w="479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智能物联平台应用软件</w:t>
            </w:r>
          </w:p>
        </w:tc>
        <w:tc>
          <w:tcPr>
            <w:tcW w:w="19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99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3.9</w:t>
            </w:r>
          </w:p>
        </w:tc>
        <w:tc>
          <w:tcPr>
            <w:tcW w:w="479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智慧物联平台管理软件</w:t>
            </w:r>
          </w:p>
        </w:tc>
        <w:tc>
          <w:tcPr>
            <w:tcW w:w="19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99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3.10</w:t>
            </w:r>
          </w:p>
        </w:tc>
        <w:tc>
          <w:tcPr>
            <w:tcW w:w="479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Android  平台 APP</w:t>
            </w:r>
          </w:p>
        </w:tc>
        <w:tc>
          <w:tcPr>
            <w:tcW w:w="19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99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3.11</w:t>
            </w:r>
          </w:p>
        </w:tc>
        <w:tc>
          <w:tcPr>
            <w:tcW w:w="479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Ios平台APP</w:t>
            </w:r>
          </w:p>
        </w:tc>
        <w:tc>
          <w:tcPr>
            <w:tcW w:w="19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99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bl>
    <w:p>
      <w:pPr>
        <w:pStyle w:val="2"/>
        <w:spacing w:line="400" w:lineRule="exact"/>
        <w:rPr>
          <w:rFonts w:hint="eastAsia" w:ascii="宋体" w:hAnsi="宋体" w:cs="宋体"/>
          <w:i w:val="0"/>
          <w:iCs/>
          <w:color w:val="000000"/>
          <w:sz w:val="21"/>
          <w:szCs w:val="21"/>
        </w:rPr>
      </w:pPr>
      <w:r>
        <w:rPr>
          <w:rFonts w:hint="eastAsia" w:ascii="宋体" w:hAnsi="宋体" w:cs="宋体"/>
          <w:i w:val="0"/>
          <w:iCs/>
          <w:color w:val="000000"/>
          <w:sz w:val="21"/>
          <w:szCs w:val="21"/>
        </w:rPr>
        <w:t>详细参数如下：</w:t>
      </w:r>
    </w:p>
    <w:tbl>
      <w:tblPr>
        <w:tblStyle w:val="47"/>
        <w:tblW w:w="10065" w:type="dxa"/>
        <w:tblInd w:w="108" w:type="dxa"/>
        <w:tblLayout w:type="fixed"/>
        <w:tblCellMar>
          <w:top w:w="0" w:type="dxa"/>
          <w:left w:w="108" w:type="dxa"/>
          <w:bottom w:w="0" w:type="dxa"/>
          <w:right w:w="108" w:type="dxa"/>
        </w:tblCellMar>
      </w:tblPr>
      <w:tblGrid>
        <w:gridCol w:w="1293"/>
        <w:gridCol w:w="8772"/>
      </w:tblGrid>
      <w:tr>
        <w:tblPrEx>
          <w:tblCellMar>
            <w:top w:w="0" w:type="dxa"/>
            <w:left w:w="108" w:type="dxa"/>
            <w:bottom w:w="0" w:type="dxa"/>
            <w:right w:w="108" w:type="dxa"/>
          </w:tblCellMar>
        </w:tblPrEx>
        <w:trPr>
          <w:trHeight w:val="7305"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智慧护眼黑板灯</w:t>
            </w:r>
          </w:p>
        </w:tc>
        <w:tc>
          <w:tcPr>
            <w:tcW w:w="84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 采用优质光源；</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 额定功率：45W；</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3. 功率因素：&gt;0.95；</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4. 色温：4750K-5250K；</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5. 显色指数：&gt;90(R9&gt;60)；</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6. 光通量：大于3300lm；</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7. 要求采用高精度、低纹波恒流技术供电；</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8. 要求驱动装置无频闪（或波动深度小于0.3%）；需提供参照IEC PAR 1789-2013 LED照明闪烁的潜在健康影响的标准检测，并具有同时通过CMA、CAL、ILAC-MRA、CNAS认证的第三方检测机构出具的检测报告复印件；</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9.★杜绝蓝光危害（等级为无危险类或RG0）；</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 黑板工作面维持平均照度：&gt;500Lx；</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11. 黑板照度均匀度：&gt;0.8；</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12. 需为一体式LED灯具，专门遮光设计，正常教学情况下，学生区域不会受到黑板灯光源直射的影响；</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13. 根据教学场景专门设计，出光面采用自由曲面投光技术结合反射原理来实现，光能量不过于集中，光源不外露，出光柔和，舒缓，直视光源眼部无明显不适；4.3米以下黑板使用不超过两盏黑板灯即可满足要求；</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14. ★每盏灯有独立的感光部件，感光部件与灯具为一体化结构，拒绝单独外加，感光部件能实时检测黑板照度，每盏灯之间状态相互关联协作，实现整个光环境的整体联动。</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15. 黑板灯会根据识别多媒体开启情况自动调节，并可结合推拉黑板的运动情况进行识别，确保黑板灯不会影响多媒体的观看效果；</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16. 采用刚性金属伸缩杆来固定，方便根据黑板高度，调节灯具高度；</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17. 灯顶部预留灯杆滑动模块，位置可左右移动，方便调节灯具的左右位置；</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18. ★灯具与灯具及控制设备之间无线组网、无线通讯，无需改造线路，升级改造简单易行，需提供CMA、CAL认证的检测机构出具的无线组网和无线通讯的检测报告复印件；</w:t>
            </w:r>
          </w:p>
        </w:tc>
      </w:tr>
      <w:tr>
        <w:tblPrEx>
          <w:tblCellMar>
            <w:top w:w="0" w:type="dxa"/>
            <w:left w:w="108" w:type="dxa"/>
            <w:bottom w:w="0" w:type="dxa"/>
            <w:right w:w="108" w:type="dxa"/>
          </w:tblCellMar>
        </w:tblPrEx>
        <w:trPr>
          <w:trHeight w:val="838"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智慧护眼教室灯</w:t>
            </w:r>
          </w:p>
        </w:tc>
        <w:tc>
          <w:tcPr>
            <w:tcW w:w="84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 采用优质光源；</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 ★教室灯应为一体式灯具，采用侧发光漫反射技术的平板灯；</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3. 额定功率：45W；</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4. 功率因素：&gt; 0.95；</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5. 色温：4750K-5250K；</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6. 显色指数：&gt;90(R9&gt;60)；</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7. 光通量：&gt;3000lm；</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8. 要求采用高精度、低纹波恒流技术供电；</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9. 要求驱动装置无频闪（或波动深度小于0.3%）；需提供参照IEC PAR 1789-2013 LED照明闪烁的潜在健康影响的标准检测，并具有同时通过CMA、CAL、ILAC-MRA、CNAS认证的第三方检测机构出具的检测报告复印件；</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 杜绝蓝光危害（等级为无危险类或RG0）；</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11. 教室维持平均照度：&gt;300Lx；</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12. 整体教室照度均匀度：&gt;0.75；</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13. 整体教室实测眩光值UGR：≤16；</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14. 照明功率密度：≤7.5(W/m²)；</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15. 教室灯外壳采用阻燃ABS材质，顶部设有专门针对电源控制部分的独立空间，方便维修替换，灯顶部预留灯杆滑动模块，位置可前后移动；教室灯框材料应采用铝型材增强散热，灯具边框采用无缝焊接，不漏光，易于清洁维护；</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16. ★光源灯珠数量不少于240颗，采用双出光的设计，保证光源的均匀性；</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17. 灯顶部预留灯杆滑动模块，位置可左右移动，方便调节灯具的左右位置；</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18. 灯具吊装时需选用金属吊杆安装（直径不小于14mm），不得采用吊链、吊绳等软体材料，以确保灯具安装固定牢靠；</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19. ★每盏灯有独立的感光部件，感光部件与灯具为一体化结构，拒绝单独外加，感光部件能实时检测学生桌面照度，每盏灯之间状态相互关联协作，实现整个光环境的整体联动。</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20. ★灯具与灯具及控制设备之间无线组网、无线通讯，无需改造线路，升级改造简单易行，需提供CMA、CAL认证的第三方检测机构出具的无线组网和无线通讯的检测报告复印件；</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21. ★支持多种工作模式，满足不同教学场景需要：（1）全自动模式（2）多媒体模式（照度可根据需要配置）（3）自习模式（4）关闭，任意模式可以根据需求进行自定义修改；</w:t>
            </w:r>
          </w:p>
        </w:tc>
      </w:tr>
      <w:tr>
        <w:tblPrEx>
          <w:tblCellMar>
            <w:top w:w="0" w:type="dxa"/>
            <w:left w:w="108" w:type="dxa"/>
            <w:bottom w:w="0" w:type="dxa"/>
            <w:right w:w="108" w:type="dxa"/>
          </w:tblCellMar>
        </w:tblPrEx>
        <w:trPr>
          <w:trHeight w:val="485"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照明智控终端</w:t>
            </w:r>
          </w:p>
        </w:tc>
        <w:tc>
          <w:tcPr>
            <w:tcW w:w="84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 ★需与智慧黑板灯、智慧教室灯同一品牌，确保良好兼容性；</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 电源要求：AC220V，50Hz；</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3. 采用标准86盒设计；采用玻璃电容式触控面板，不小于4个按钮，背光指示灯清晰提示工作状态，美观安全；</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4. 与照明设备（灯具）之间采用无线通讯方式传输工作指令，工作频率2.4GHz，支持MESH自组网；</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5. 支持多种工作模式，满足不同教学场景需要；（1）全自动模式：教室灯与黑板灯均能实现根据不同时间、天气下的器具表面光照度的自动调节。（2）多媒体模式：默认教室灯统一下调至50%功率，且可根据需求对教室灯的输出功率进行个性化配置；（3）自习模式：默认黑板灯关闭，教室灯工作模式与全自动模式相仿；（4）考试模式：所有灯具关闭自动调光模式，输出功率100%；（5）以上模式均可以根据需求进行自定义配置；</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6. 支持通过无线通讯，支持多路窗帘在任意照明模式联动开合及独立控制开合；</w:t>
            </w:r>
          </w:p>
        </w:tc>
      </w:tr>
      <w:tr>
        <w:tblPrEx>
          <w:tblCellMar>
            <w:top w:w="0" w:type="dxa"/>
            <w:left w:w="108" w:type="dxa"/>
            <w:bottom w:w="0" w:type="dxa"/>
            <w:right w:w="108" w:type="dxa"/>
          </w:tblCellMar>
        </w:tblPrEx>
        <w:trPr>
          <w:trHeight w:val="140"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护眼黑板灯</w:t>
            </w:r>
          </w:p>
        </w:tc>
        <w:tc>
          <w:tcPr>
            <w:tcW w:w="84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1.采用优质光源；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2.额定功率：45W；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3.功率因素：&gt;0.95；</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4.色温：4750K-5250K；</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5.显色指数：&gt;90(R9&gt;60)；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6.光通量：大于3300lm；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7.要求采用高精度、低纹波恒流技术供电；</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8.要求驱动装置频闪无显著影响（或波动深度小于1%）；需提供参照IEC PAR 1789-2013 LED照明闪烁的潜在健康影响的标准检测，并具有同时通过CMA、CAL、ILAC-MRA、CNAS认证的第三方检测机构出具的检测报告复印件；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9.杜绝蓝光危害（等级为无危险类或RG0）；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10.黑板工作面维持平均照度：&gt;500Lx；</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11.黑板照度均匀度：&gt;0.8；</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12.需为一体式LED灯具，专门遮光设计，正常教学情况下，学生区域不会受到黑板灯光源直射的影响；</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根据教学场景专门设计，出光面采用自由曲面投光技术结合反射原理来实现，光能量不过于集中，光源不外露，出光柔和，舒缓，直视光源眼部无明显不适；4.3米以下黑板使用不超过两盏黑板灯即可满足要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14.采用刚性金属伸缩杆来固定，方便根据黑板高度，调节灯具高度；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15.灯顶部预留灯杆滑动模块，位置可左右移动，方便调节灯具的左右位置。</w:t>
            </w:r>
          </w:p>
        </w:tc>
      </w:tr>
      <w:tr>
        <w:tblPrEx>
          <w:tblCellMar>
            <w:top w:w="0" w:type="dxa"/>
            <w:left w:w="108" w:type="dxa"/>
            <w:bottom w:w="0" w:type="dxa"/>
            <w:right w:w="108" w:type="dxa"/>
          </w:tblCellMar>
        </w:tblPrEx>
        <w:trPr>
          <w:trHeight w:val="539"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护眼教室灯</w:t>
            </w:r>
          </w:p>
        </w:tc>
        <w:tc>
          <w:tcPr>
            <w:tcW w:w="84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1.采用优质光源；</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2.★教室灯应为一体式灯具，采用侧发光漫反射技术的平板灯</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3.额定功率：45W；</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4.功率因素：&gt; 0.95；</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5.色温：4750K-5250K；</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6.显色指数：&gt;90(R9&gt;60)；</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7.光通量：&gt;3300lm；</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8.要求采用高精度、低纹波恒流技术供电；</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9.要求驱动装置频闪无显著影响（或波动深度小于1%）；</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10.杜绝蓝光危害（等级为无危险类或RG0）；</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11.教室维持平均照度：&gt;300Lx；</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12.整体教室照度均匀度：&gt;0.75；</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13.整体教室实测眩光值UGR：≤16；</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14.照明功率密度：≤7.5(W/m²)；</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15.灯具边框采用无缝焊接，不漏光，易于清洁维护；</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16.灯具驱动要求紧密固定在灯具上，方便更换同时防止脱落；</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17.★光源灯珠数量不少于240颗，采用双出光的设计，保证光源的均匀性；</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18.灯顶部预留灯杆滑动模块，位置可左右移动，方便调节灯具的左右位置。</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19.★灯具吊装时需选用金属吊杆安装（直径不小于14mm），不得采用吊链、吊绳等软体材料，以确保灯具安装固定牢靠；</w:t>
            </w:r>
          </w:p>
        </w:tc>
      </w:tr>
      <w:tr>
        <w:tblPrEx>
          <w:tblCellMar>
            <w:top w:w="0" w:type="dxa"/>
            <w:left w:w="108" w:type="dxa"/>
            <w:bottom w:w="0" w:type="dxa"/>
            <w:right w:w="108" w:type="dxa"/>
          </w:tblCellMar>
        </w:tblPrEx>
        <w:trPr>
          <w:trHeight w:val="2625"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照明物联终端</w:t>
            </w:r>
          </w:p>
        </w:tc>
        <w:tc>
          <w:tcPr>
            <w:tcW w:w="84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1.★需与教室灯、黑板灯同一品牌，确保良好兼容性；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2.采用标准86盒设计，方便现场安装和维护；</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3.触控面板采用钢化玻璃触控面板材质，不小于四个按钮，清晰提示工作状态，美观安全；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4.触摸控制面板，无电源直接接触，安全可靠；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5.额定供电：AC220V，额定频率：50Hz；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6.带有双路继电器开关，每路最大负载1600W，负载电压最大250VAC；</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7.支持通过无线通讯，控制支持2路窗帘的独立开合控制；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以上2、6、7需提供</w:t>
            </w:r>
            <w:r>
              <w:rPr>
                <w:rFonts w:hint="eastAsia" w:ascii="宋体" w:hAnsi="宋体" w:cs="宋体"/>
                <w:color w:val="000000"/>
                <w:kern w:val="0"/>
                <w:szCs w:val="21"/>
              </w:rPr>
              <w:t>省级及以上</w:t>
            </w:r>
            <w:r>
              <w:rPr>
                <w:rFonts w:ascii="宋体" w:hAnsi="宋体" w:cs="宋体"/>
                <w:color w:val="000000"/>
                <w:kern w:val="0"/>
                <w:szCs w:val="21"/>
              </w:rPr>
              <w:t>具有电器安全质量监督检验</w:t>
            </w:r>
            <w:r>
              <w:rPr>
                <w:rFonts w:hint="eastAsia" w:ascii="宋体" w:hAnsi="宋体" w:cs="宋体"/>
                <w:color w:val="000000"/>
                <w:kern w:val="0"/>
                <w:szCs w:val="21"/>
              </w:rPr>
              <w:t>的检测机构</w:t>
            </w:r>
            <w:r>
              <w:rPr>
                <w:rFonts w:hint="eastAsia" w:ascii="宋体" w:hAnsi="宋体" w:eastAsia="宋体" w:cs="宋体"/>
                <w:color w:val="000000"/>
                <w:kern w:val="0"/>
                <w:szCs w:val="21"/>
              </w:rPr>
              <w:t>出具的检测报告复印件。</w:t>
            </w:r>
          </w:p>
        </w:tc>
      </w:tr>
      <w:tr>
        <w:tblPrEx>
          <w:tblCellMar>
            <w:top w:w="0" w:type="dxa"/>
            <w:left w:w="108" w:type="dxa"/>
            <w:bottom w:w="0" w:type="dxa"/>
            <w:right w:w="108" w:type="dxa"/>
          </w:tblCellMar>
        </w:tblPrEx>
        <w:trPr>
          <w:trHeight w:val="2520"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智能物联网网关</w:t>
            </w:r>
          </w:p>
        </w:tc>
        <w:tc>
          <w:tcPr>
            <w:tcW w:w="84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 需与教室灯、黑板灯同一品牌，确保良好兼容性；</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 标准86盒设计，额定供电AC 220V,额定频率50Hz,支持墙面安装；</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3. 玻璃面板，背光三路指示灯，清晰提示网络、运行工作状态等信息；</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4. 支持物联网设备通过WiFi等无线通路高效、安全接入TCP/IP网络；</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5. 支持与物联网端设备无线通讯，无线自组网；</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6. WiFi无线协议标准：IEEE 802.11 b/g/n；</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7. 安全机制：WEP/WPA-PSK/WAP2-PSK；</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8. 加密类型：WEP64/WEP128/TKIP/AES。</w:t>
            </w:r>
          </w:p>
        </w:tc>
      </w:tr>
      <w:tr>
        <w:tblPrEx>
          <w:tblCellMar>
            <w:top w:w="0" w:type="dxa"/>
            <w:left w:w="108" w:type="dxa"/>
            <w:bottom w:w="0" w:type="dxa"/>
            <w:right w:w="108" w:type="dxa"/>
          </w:tblCellMar>
        </w:tblPrEx>
        <w:trPr>
          <w:trHeight w:val="1830"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智慧物联平台应用软件</w:t>
            </w:r>
          </w:p>
        </w:tc>
        <w:tc>
          <w:tcPr>
            <w:tcW w:w="84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1.基于web架构设计的物联网数据中心平台；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2.支持可以本地部署，亦可云端部署；</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3.支持现场环境数据海量数据接入；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4.支持数据存储及对象存储；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5.支持远程移动端设备基于权限开展数据接入；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6.支持用户认证及权限管理，并基于权限给出控制范围</w:t>
            </w:r>
          </w:p>
        </w:tc>
      </w:tr>
      <w:tr>
        <w:tblPrEx>
          <w:tblCellMar>
            <w:top w:w="0" w:type="dxa"/>
            <w:left w:w="108" w:type="dxa"/>
            <w:bottom w:w="0" w:type="dxa"/>
            <w:right w:w="108" w:type="dxa"/>
          </w:tblCellMar>
        </w:tblPrEx>
        <w:trPr>
          <w:trHeight w:val="1355"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智慧物联平台管理软件</w:t>
            </w:r>
          </w:p>
        </w:tc>
        <w:tc>
          <w:tcPr>
            <w:tcW w:w="84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1.支持用户本地或者远程添加、删除用户、学校、楼栋、班级、设备类型、设备属性等；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2.支持远程用户权限管理及管理范围分配；</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3.支持远程设备信息使用情况统计（功率、开关状态、故障信息、使用寿命预测等）、报表等</w:t>
            </w:r>
          </w:p>
        </w:tc>
      </w:tr>
      <w:tr>
        <w:tblPrEx>
          <w:tblCellMar>
            <w:top w:w="0" w:type="dxa"/>
            <w:left w:w="108" w:type="dxa"/>
            <w:bottom w:w="0" w:type="dxa"/>
            <w:right w:w="108" w:type="dxa"/>
          </w:tblCellMar>
        </w:tblPrEx>
        <w:trPr>
          <w:trHeight w:val="600"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android平台App</w:t>
            </w:r>
          </w:p>
        </w:tc>
        <w:tc>
          <w:tcPr>
            <w:tcW w:w="84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1.支持灯光环境、温湿度环境、空气质量环境、多媒体设备等的远程管控；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2.支持账号、密码等分权限管理；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3.可以分校区、楼栋、班级等按权限管理校园环境；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4.支持设备全开、全关、单开、单关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5.支持灯寿命预测统计、状态统计、故障统计；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6.支持灯级、教室级、楼栋级别的设备管理及功率统计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7.可以远程查看教室设备工作情况、空调工作情况、空气净化器、多媒体设备等工作情况以及相关的环境参数。</w:t>
            </w:r>
          </w:p>
        </w:tc>
      </w:tr>
      <w:tr>
        <w:tblPrEx>
          <w:tblCellMar>
            <w:top w:w="0" w:type="dxa"/>
            <w:left w:w="108" w:type="dxa"/>
            <w:bottom w:w="0" w:type="dxa"/>
            <w:right w:w="108" w:type="dxa"/>
          </w:tblCellMar>
        </w:tblPrEx>
        <w:trPr>
          <w:trHeight w:val="600"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ios平台App</w:t>
            </w:r>
          </w:p>
        </w:tc>
        <w:tc>
          <w:tcPr>
            <w:tcW w:w="84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1.支持灯光环境、温湿度环境、空气质量环境、多媒体设备等的远程管控；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2.支持账号、密码等分权限管理；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3.可以分校区、楼栋、班级等按权限管理校园环境；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4.支持设备全开、全关、单开、单关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5.支持灯寿命预测统计、状态统计、故障统计；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6.支持灯级、教室级、楼栋级别的设备管理及功率统计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7.可以远程查看教室设备工作情况、空调工作情况、空气净化器、多媒体设备等的工作情况以及相关的环境参数；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8、支持APPLE APPSTROE直接下载安装。</w:t>
            </w:r>
          </w:p>
        </w:tc>
      </w:tr>
    </w:tbl>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r>
        <w:rPr>
          <w:rFonts w:hint="eastAsia" w:ascii="宋体" w:hAnsi="宋体" w:cs="宋体"/>
          <w:b/>
          <w:bCs/>
          <w:i w:val="0"/>
          <w:color w:val="000000"/>
          <w:kern w:val="0"/>
          <w:sz w:val="30"/>
          <w:szCs w:val="30"/>
        </w:rPr>
        <w:t>（四）访客管理系统+出入口管理系统</w:t>
      </w:r>
    </w:p>
    <w:p>
      <w:pPr>
        <w:spacing w:line="40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为增强学校师生的安全防护，给学生构筑安全、和谐的学习环境。我们通过现代化的信息手段，运用大数据、AI智能等技术应用，为学校安全防护提供有力支撑。</w:t>
      </w:r>
    </w:p>
    <w:p>
      <w:pPr>
        <w:pStyle w:val="2"/>
        <w:spacing w:line="400" w:lineRule="exact"/>
        <w:rPr>
          <w:rFonts w:hint="eastAsia" w:ascii="宋体" w:hAnsi="宋体" w:cs="宋体"/>
          <w:i w:val="0"/>
          <w:color w:val="000000"/>
          <w:kern w:val="0"/>
          <w:sz w:val="21"/>
          <w:szCs w:val="21"/>
        </w:rPr>
      </w:pPr>
      <w:r>
        <w:rPr>
          <w:rFonts w:hint="eastAsia" w:ascii="宋体" w:hAnsi="宋体" w:cs="宋体"/>
          <w:i w:val="0"/>
          <w:color w:val="000000"/>
          <w:kern w:val="0"/>
          <w:sz w:val="21"/>
          <w:szCs w:val="21"/>
        </w:rPr>
        <w:t>访客系统包含完整的访客预约、访客登记、认证比对、访客签离、访客人脸授权等功能，通过宁波市公安局校园智能防控平台和省公安厅情报中心高危人员数据比对，对来访人员通过认证比对进行身份确定，并反馈属地***与校方。</w:t>
      </w:r>
    </w:p>
    <w:tbl>
      <w:tblPr>
        <w:tblStyle w:val="47"/>
        <w:tblpPr w:leftFromText="180" w:rightFromText="180" w:vertAnchor="text" w:horzAnchor="page" w:tblpX="1276" w:tblpY="3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591"/>
        <w:gridCol w:w="2190"/>
        <w:gridCol w:w="4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43"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序号</w:t>
            </w:r>
          </w:p>
        </w:tc>
        <w:tc>
          <w:tcPr>
            <w:tcW w:w="2591"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设备名称</w:t>
            </w:r>
          </w:p>
        </w:tc>
        <w:tc>
          <w:tcPr>
            <w:tcW w:w="2190"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单位</w:t>
            </w:r>
          </w:p>
        </w:tc>
        <w:tc>
          <w:tcPr>
            <w:tcW w:w="4016"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4.1</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访客管理系统</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16"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4.2</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人脸识别终端</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16"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ind w:firstLine="210" w:firstLineChars="100"/>
              <w:rPr>
                <w:rFonts w:hint="eastAsia" w:ascii="宋体" w:hAnsi="宋体" w:eastAsia="宋体" w:cs="宋体"/>
                <w:color w:val="000000"/>
                <w:szCs w:val="21"/>
              </w:rPr>
            </w:pPr>
            <w:r>
              <w:rPr>
                <w:rFonts w:hint="eastAsia" w:ascii="宋体" w:hAnsi="宋体" w:eastAsia="宋体" w:cs="宋体"/>
                <w:color w:val="000000"/>
                <w:szCs w:val="21"/>
              </w:rPr>
              <w:t>4.3</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出入口人脸摆闸</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16"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4.4</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家长接送管理平台</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16"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ind w:firstLine="210" w:firstLineChars="100"/>
              <w:rPr>
                <w:rFonts w:hint="eastAsia" w:ascii="宋体" w:hAnsi="宋体" w:eastAsia="宋体" w:cs="宋体"/>
                <w:color w:val="000000"/>
                <w:szCs w:val="21"/>
              </w:rPr>
            </w:pPr>
            <w:r>
              <w:rPr>
                <w:rFonts w:hint="eastAsia" w:ascii="宋体" w:hAnsi="宋体" w:eastAsia="宋体" w:cs="宋体"/>
                <w:color w:val="000000"/>
                <w:szCs w:val="21"/>
              </w:rPr>
              <w:t>4.5</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出入口车辆识别系统</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16"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ind w:firstLine="210" w:firstLineChars="100"/>
              <w:rPr>
                <w:rFonts w:hint="eastAsia" w:ascii="宋体" w:hAnsi="宋体" w:eastAsia="宋体" w:cs="宋体"/>
                <w:color w:val="000000"/>
                <w:szCs w:val="21"/>
              </w:rPr>
            </w:pPr>
            <w:r>
              <w:rPr>
                <w:rFonts w:hint="eastAsia" w:ascii="宋体" w:hAnsi="宋体" w:eastAsia="宋体" w:cs="宋体"/>
                <w:color w:val="000000"/>
                <w:szCs w:val="21"/>
              </w:rPr>
              <w:t>4.6</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双400万全局摄像机</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4016"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ind w:firstLine="210" w:firstLineChars="100"/>
              <w:rPr>
                <w:rFonts w:hint="eastAsia" w:ascii="宋体" w:hAnsi="宋体" w:eastAsia="宋体" w:cs="宋体"/>
                <w:color w:val="000000"/>
                <w:szCs w:val="21"/>
              </w:rPr>
            </w:pPr>
            <w:r>
              <w:rPr>
                <w:rFonts w:hint="eastAsia" w:ascii="宋体" w:hAnsi="宋体" w:eastAsia="宋体" w:cs="宋体"/>
                <w:color w:val="000000"/>
                <w:szCs w:val="21"/>
              </w:rPr>
              <w:t>4.7</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人脸比对</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4016"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bl>
    <w:p>
      <w:pPr>
        <w:pStyle w:val="2"/>
        <w:spacing w:line="400" w:lineRule="exact"/>
        <w:rPr>
          <w:rFonts w:hint="eastAsia" w:ascii="宋体" w:hAnsi="宋体" w:cs="宋体"/>
          <w:i w:val="0"/>
          <w:color w:val="000000"/>
          <w:sz w:val="21"/>
          <w:szCs w:val="21"/>
        </w:rPr>
      </w:pPr>
    </w:p>
    <w:p>
      <w:pPr>
        <w:pStyle w:val="2"/>
        <w:spacing w:line="400" w:lineRule="exact"/>
        <w:rPr>
          <w:rFonts w:hint="eastAsia" w:ascii="宋体" w:hAnsi="宋体" w:cs="宋体"/>
          <w:i w:val="0"/>
          <w:color w:val="000000"/>
          <w:sz w:val="21"/>
          <w:szCs w:val="21"/>
        </w:rPr>
      </w:pPr>
      <w:r>
        <w:rPr>
          <w:rFonts w:hint="eastAsia" w:ascii="宋体" w:hAnsi="宋体" w:cs="宋体"/>
          <w:i w:val="0"/>
          <w:color w:val="000000"/>
          <w:sz w:val="21"/>
          <w:szCs w:val="21"/>
        </w:rPr>
        <w:t>详细参数：</w:t>
      </w:r>
    </w:p>
    <w:tbl>
      <w:tblPr>
        <w:tblStyle w:val="47"/>
        <w:tblW w:w="10065" w:type="dxa"/>
        <w:tblInd w:w="108" w:type="dxa"/>
        <w:tblLayout w:type="fixed"/>
        <w:tblCellMar>
          <w:top w:w="0" w:type="dxa"/>
          <w:left w:w="108" w:type="dxa"/>
          <w:bottom w:w="0" w:type="dxa"/>
          <w:right w:w="108" w:type="dxa"/>
        </w:tblCellMar>
      </w:tblPr>
      <w:tblGrid>
        <w:gridCol w:w="1293"/>
        <w:gridCol w:w="8772"/>
      </w:tblGrid>
      <w:tr>
        <w:tblPrEx>
          <w:tblCellMar>
            <w:top w:w="0" w:type="dxa"/>
            <w:left w:w="108" w:type="dxa"/>
            <w:bottom w:w="0" w:type="dxa"/>
            <w:right w:w="108" w:type="dxa"/>
          </w:tblCellMar>
        </w:tblPrEx>
        <w:trPr>
          <w:trHeight w:val="980"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访客管理系统</w:t>
            </w:r>
          </w:p>
        </w:tc>
        <w:tc>
          <w:tcPr>
            <w:tcW w:w="84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color w:val="000000"/>
              </w:rPr>
            </w:pPr>
            <w:r>
              <w:rPr>
                <w:rFonts w:hint="eastAsia"/>
                <w:color w:val="000000"/>
              </w:rPr>
              <w:t>Android7.1内存2G存储8G/最大支持128G/显示屏11.6寸 广视角、高亮IPS屏、 G+G10点触摸，带COF电容屏/内置1080P高清双目摄像头，带补光灯，面部识别距离0.2-1.8m，人脸验证准确率≥99%，身份证阅读模块经公安部认证，符合GA 450-2013标准，读取时间≤1S，读卡距离0~3cm，扫描模块支持扫描一维码和二维码。具有快速登记：一体化设备，数秒内即可完成访客信息登记、确认、核查。</w:t>
            </w:r>
          </w:p>
          <w:p>
            <w:pPr>
              <w:spacing w:line="400" w:lineRule="exact"/>
              <w:jc w:val="left"/>
              <w:rPr>
                <w:rFonts w:hint="eastAsia"/>
                <w:color w:val="000000"/>
              </w:rPr>
            </w:pPr>
            <w:r>
              <w:rPr>
                <w:rFonts w:hint="eastAsia"/>
                <w:color w:val="000000"/>
              </w:rPr>
              <w:t>访客信息登记</w:t>
            </w:r>
            <w:r>
              <w:rPr>
                <w:rFonts w:hint="eastAsia"/>
                <w:color w:val="000000"/>
              </w:rPr>
              <w:tab/>
            </w:r>
            <w:r>
              <w:rPr>
                <w:rFonts w:hint="eastAsia"/>
                <w:color w:val="000000"/>
              </w:rPr>
              <w:t>刷身份证自动获取身份信息或手动输入身份证信息。</w:t>
            </w:r>
          </w:p>
          <w:p>
            <w:pPr>
              <w:spacing w:line="400" w:lineRule="exact"/>
              <w:jc w:val="left"/>
              <w:rPr>
                <w:rFonts w:hint="eastAsia"/>
                <w:color w:val="000000"/>
              </w:rPr>
            </w:pPr>
            <w:r>
              <w:rPr>
                <w:rFonts w:hint="eastAsia"/>
                <w:color w:val="000000"/>
              </w:rPr>
              <w:t>被访人选择登记</w:t>
            </w:r>
            <w:r>
              <w:rPr>
                <w:rFonts w:hint="eastAsia"/>
                <w:color w:val="000000"/>
              </w:rPr>
              <w:tab/>
            </w:r>
            <w:r>
              <w:rPr>
                <w:rFonts w:hint="eastAsia"/>
                <w:color w:val="000000"/>
              </w:rPr>
              <w:t>支持被访人信息预录入，现场可手动选择或手动录入。</w:t>
            </w:r>
          </w:p>
          <w:p>
            <w:pPr>
              <w:spacing w:line="400" w:lineRule="exact"/>
              <w:jc w:val="left"/>
              <w:rPr>
                <w:rFonts w:hint="eastAsia"/>
                <w:color w:val="000000"/>
              </w:rPr>
            </w:pPr>
            <w:r>
              <w:rPr>
                <w:rFonts w:hint="eastAsia"/>
                <w:color w:val="000000"/>
              </w:rPr>
              <w:t>风险评估：★</w:t>
            </w:r>
            <w:r>
              <w:rPr>
                <w:rFonts w:hint="eastAsia"/>
                <w:color w:val="000000"/>
              </w:rPr>
              <w:tab/>
            </w:r>
            <w:r>
              <w:rPr>
                <w:rFonts w:hint="eastAsia"/>
                <w:color w:val="000000"/>
              </w:rPr>
              <w:t>实时联网对访客身份信息进行智能风险评估，按系统智能分析提醒风险级别（以红橙黄蓝显示）。</w:t>
            </w:r>
          </w:p>
          <w:p>
            <w:pPr>
              <w:spacing w:line="400" w:lineRule="exact"/>
              <w:jc w:val="left"/>
              <w:rPr>
                <w:rFonts w:hint="eastAsia"/>
                <w:color w:val="000000"/>
              </w:rPr>
            </w:pPr>
            <w:r>
              <w:rPr>
                <w:rFonts w:hint="eastAsia"/>
                <w:color w:val="000000"/>
              </w:rPr>
              <w:t>现场人像采集</w:t>
            </w:r>
            <w:r>
              <w:rPr>
                <w:rFonts w:hint="eastAsia"/>
                <w:color w:val="000000"/>
              </w:rPr>
              <w:tab/>
            </w:r>
            <w:r>
              <w:rPr>
                <w:rFonts w:hint="eastAsia"/>
                <w:color w:val="000000"/>
              </w:rPr>
              <w:t>系统可拍摄现场人员照片、介绍信等证明材料。</w:t>
            </w:r>
          </w:p>
          <w:p>
            <w:pPr>
              <w:spacing w:line="400" w:lineRule="exact"/>
              <w:jc w:val="left"/>
              <w:rPr>
                <w:rFonts w:hint="eastAsia"/>
                <w:color w:val="000000"/>
              </w:rPr>
            </w:pPr>
            <w:r>
              <w:rPr>
                <w:rFonts w:hint="eastAsia"/>
                <w:color w:val="000000"/>
              </w:rPr>
              <w:t>访单留存</w:t>
            </w:r>
            <w:r>
              <w:rPr>
                <w:rFonts w:hint="eastAsia"/>
                <w:color w:val="000000"/>
              </w:rPr>
              <w:tab/>
            </w:r>
            <w:r>
              <w:rPr>
                <w:rFonts w:hint="eastAsia"/>
                <w:color w:val="000000"/>
              </w:rPr>
              <w:t>系统支持访单打印，访客凭单出入。</w:t>
            </w:r>
          </w:p>
          <w:p>
            <w:pPr>
              <w:spacing w:line="400" w:lineRule="exact"/>
              <w:jc w:val="left"/>
              <w:rPr>
                <w:rFonts w:hint="eastAsia"/>
                <w:color w:val="000000"/>
              </w:rPr>
            </w:pPr>
            <w:r>
              <w:rPr>
                <w:rFonts w:hint="eastAsia"/>
                <w:color w:val="000000"/>
              </w:rPr>
              <w:t>访客签离</w:t>
            </w:r>
            <w:r>
              <w:rPr>
                <w:rFonts w:hint="eastAsia"/>
                <w:color w:val="000000"/>
              </w:rPr>
              <w:tab/>
            </w:r>
            <w:r>
              <w:rPr>
                <w:rFonts w:hint="eastAsia"/>
                <w:color w:val="000000"/>
              </w:rPr>
              <w:t>支持访客单扫码签离、身份证刷卡签离、手动勾选签离。</w:t>
            </w:r>
          </w:p>
          <w:p>
            <w:pPr>
              <w:spacing w:line="400" w:lineRule="exact"/>
              <w:jc w:val="left"/>
              <w:rPr>
                <w:rFonts w:hint="eastAsia"/>
                <w:color w:val="000000"/>
              </w:rPr>
            </w:pPr>
            <w:r>
              <w:rPr>
                <w:rFonts w:hint="eastAsia"/>
                <w:color w:val="000000"/>
              </w:rPr>
              <w:t>出入跟踪</w:t>
            </w:r>
            <w:r>
              <w:rPr>
                <w:rFonts w:hint="eastAsia"/>
                <w:color w:val="000000"/>
              </w:rPr>
              <w:tab/>
            </w:r>
            <w:r>
              <w:rPr>
                <w:rFonts w:hint="eastAsia"/>
                <w:color w:val="000000"/>
              </w:rPr>
              <w:t>各门卫系统互联、互通，管理员可通过客户端远程调阅访客实况。</w:t>
            </w:r>
          </w:p>
          <w:p>
            <w:pPr>
              <w:spacing w:line="400" w:lineRule="exact"/>
              <w:jc w:val="left"/>
              <w:rPr>
                <w:rFonts w:hint="eastAsia"/>
                <w:color w:val="000000"/>
              </w:rPr>
            </w:pPr>
            <w:r>
              <w:rPr>
                <w:rFonts w:hint="eastAsia"/>
                <w:color w:val="000000"/>
              </w:rPr>
              <w:t>★可信认证：支持无证人员可信身份核验，认证数据源自公安部一所统一标准的全国库资源。★对接浙江省公安厅★</w:t>
            </w:r>
            <w:r>
              <w:rPr>
                <w:rFonts w:hint="eastAsia"/>
                <w:color w:val="000000"/>
              </w:rPr>
              <w:tab/>
            </w:r>
            <w:r>
              <w:rPr>
                <w:rFonts w:hint="eastAsia"/>
                <w:color w:val="000000"/>
              </w:rPr>
              <w:t>自动实时对接省公安厅情报中心重点人员库。</w:t>
            </w:r>
          </w:p>
          <w:p>
            <w:pPr>
              <w:spacing w:line="400" w:lineRule="exact"/>
              <w:jc w:val="left"/>
              <w:rPr>
                <w:rFonts w:hint="eastAsia"/>
                <w:color w:val="000000"/>
              </w:rPr>
            </w:pPr>
            <w:r>
              <w:rPr>
                <w:rFonts w:hint="eastAsia"/>
                <w:color w:val="000000"/>
              </w:rPr>
              <w:t>联动报警★系统智能评估的高危人员一旦进入单位，系统第一时间发送预警信息至安全保障部门</w:t>
            </w:r>
            <w:r>
              <w:rPr>
                <w:rFonts w:hint="eastAsia"/>
                <w:color w:val="000000"/>
                <w:lang w:eastAsia="zh-CN"/>
              </w:rPr>
              <w:t>及</w:t>
            </w:r>
            <w:r>
              <w:rPr>
                <w:rFonts w:hint="eastAsia"/>
                <w:color w:val="000000"/>
              </w:rPr>
              <w:t>辖区***，便于及时出动警力，减小危害损失。</w:t>
            </w:r>
          </w:p>
          <w:p>
            <w:pPr>
              <w:spacing w:line="400" w:lineRule="exact"/>
              <w:jc w:val="left"/>
              <w:rPr>
                <w:rFonts w:hint="eastAsia"/>
                <w:color w:val="000000"/>
              </w:rPr>
            </w:pPr>
            <w:r>
              <w:rPr>
                <w:rFonts w:hint="eastAsia"/>
                <w:color w:val="000000"/>
              </w:rPr>
              <w:t>留档追溯</w:t>
            </w:r>
            <w:r>
              <w:rPr>
                <w:rFonts w:hint="eastAsia"/>
                <w:color w:val="000000"/>
              </w:rPr>
              <w:tab/>
            </w:r>
            <w:r>
              <w:rPr>
                <w:rFonts w:hint="eastAsia"/>
                <w:color w:val="000000"/>
              </w:rPr>
              <w:t>系统记录来访者身份信息、相貌特征、滞留时间，并永久存档，可为异常情况的追溯核查提供信息支持。</w:t>
            </w:r>
          </w:p>
          <w:p>
            <w:pPr>
              <w:spacing w:line="400" w:lineRule="exact"/>
              <w:jc w:val="left"/>
              <w:rPr>
                <w:rFonts w:hint="eastAsia"/>
                <w:color w:val="000000"/>
              </w:rPr>
            </w:pPr>
            <w:r>
              <w:rPr>
                <w:rFonts w:hint="eastAsia"/>
                <w:color w:val="000000"/>
              </w:rPr>
              <w:t>断网备份</w:t>
            </w:r>
            <w:r>
              <w:rPr>
                <w:rFonts w:hint="eastAsia"/>
                <w:color w:val="000000"/>
              </w:rPr>
              <w:tab/>
            </w:r>
            <w:r>
              <w:rPr>
                <w:rFonts w:hint="eastAsia"/>
                <w:color w:val="000000"/>
              </w:rPr>
              <w:t>断网情况下保持单机登记功能并独立备份，联网后自动上传同步备份信息。</w:t>
            </w:r>
          </w:p>
          <w:p>
            <w:pPr>
              <w:spacing w:line="400" w:lineRule="exact"/>
              <w:jc w:val="left"/>
              <w:rPr>
                <w:rFonts w:hint="eastAsia" w:eastAsia="宋体"/>
                <w:color w:val="000000"/>
              </w:rPr>
            </w:pPr>
            <w:r>
              <w:rPr>
                <w:rFonts w:hint="eastAsia"/>
                <w:color w:val="000000"/>
                <w:szCs w:val="22"/>
              </w:rPr>
              <w:t>手写输入功能</w:t>
            </w:r>
            <w:r>
              <w:rPr>
                <w:rFonts w:hint="eastAsia"/>
                <w:color w:val="000000"/>
                <w:szCs w:val="22"/>
              </w:rPr>
              <w:tab/>
            </w:r>
            <w:r>
              <w:rPr>
                <w:rFonts w:hint="eastAsia"/>
                <w:color w:val="000000"/>
                <w:szCs w:val="22"/>
              </w:rPr>
              <w:t>触摸屏支持手写输入功能。</w:t>
            </w:r>
          </w:p>
        </w:tc>
      </w:tr>
      <w:tr>
        <w:tblPrEx>
          <w:tblCellMar>
            <w:top w:w="0" w:type="dxa"/>
            <w:left w:w="108" w:type="dxa"/>
            <w:bottom w:w="0" w:type="dxa"/>
            <w:right w:w="108" w:type="dxa"/>
          </w:tblCellMar>
        </w:tblPrEx>
        <w:trPr>
          <w:trHeight w:val="940"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人脸识别终端 </w:t>
            </w:r>
          </w:p>
        </w:tc>
        <w:tc>
          <w:tcPr>
            <w:tcW w:w="84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 设备应具有不低于IP65的外壳防护等级(提供公安部检测机构产品专业认证检测报告）</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 配置1个I/O 输出，2个100Mbps网口、支持串接，1个韦根输出、1个韦根输入，1个RS485、1个RS232；</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3. 在1:N的模式,识别终端本地人脸模板存储数量≥30000个；本地结构化及照片记录≥80000条存储（提供公安部权威机构检测报告复印件并加盖供应商公章）；</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4. 识别终端图像参数配置，支持曝光、白平衡、昼夜模式、图像增强可调等；</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5. 支持识别终端与外接网络断开状态下，进行30000人脸实时识别(提供公安部检测机构产品专业认证检测报告）；</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6. 支持识别距离在0.3m~2m范围内可调节(提供公安部检测机构产品专业认证检测报告）；</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7. 在安装高度1.5米，1米识别距离下，识别身高至少在1.4m～2.2m范围内人员进行实时人脸识别(提供公安部检测机构产品专业认证检测报告）；</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8. 设备支持快速人脸识别，人脸识别平均响应时间不长于148.9ms(提供公安部检测机构产品专业认证检测报告）；</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9. 人脸识别终端人脸识别准确率≥99.8%(提供公安部检测机构产品专业认证检测报告）；</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 具备防假体攻击功能，包括防照片欺骗，防视频欺骗功能；</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11. 要求断网条件下，抓拍记录及照片本地缓存，缓存大小应≥8GB，当网络恢复时，应能将本地缓存抓拍记录及照片上传至视频管理平台；</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12. 设备具备双网口，支持多个设备串联无交换机组网(提供公安部检测机构产品专业认证检测报告）；</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13. ★人脸识别终端支持断电逃生功能，多终端串联组网时，当一个或多个设备掉电，该终端两侧设备网络通信不受影响(提供公安部检测机构产品专业认证检测报告）；</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14. 设备支持低照度人脸识别，在环境光为0.1lux下可正常检测并识别人脸（提供公安部检测机构产品专业认证测试报告）；</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15. 支持作为监控摄像机添加到第三方平台；</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16. 设备自带显示屏，显示屏亮度不低于320cd/㎡，能自适应强光环境（提供公安部检测机构产品专业认证检测报告）；</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17. 识别终端应能将识别日志存储于人脸识别单元内，包括时间、注册图像和现场截图；</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18. 设备核验开门方式包含：人证核验开门、刷脸核验开门、人证核验+刷卡核验开门、刷卡+刷脸核验开门；</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19. 设备支持检测到人脸直接开门，无需进行核验；</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20. 识别终端应能支持人脸测光，在强背光场景可以根据人脸亮度自动调整曝光参数；</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21. 设备支持未注册人员检测，并上报未注册人员照片信息到管理服务；</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22. 支持单个人员导入最多6张底库照片；</w:t>
            </w:r>
          </w:p>
          <w:p>
            <w:pPr>
              <w:spacing w:line="400" w:lineRule="exact"/>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23. 支持黑名单人员布控，当识别到黑名单人员时，速通门后台管理系统弹出窗口发布告警；24. 支持在后台系统中进行远程开门</w:t>
            </w:r>
            <w:r>
              <w:rPr>
                <w:rFonts w:hint="eastAsia" w:ascii="宋体" w:hAnsi="宋体" w:eastAsia="宋体" w:cs="宋体"/>
                <w:color w:val="000000"/>
                <w:kern w:val="0"/>
                <w:szCs w:val="21"/>
                <w:lang w:eastAsia="zh-CN"/>
              </w:rPr>
              <w:t>；</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25. 支持-40℃~+80℃宽温设计。</w:t>
            </w:r>
          </w:p>
        </w:tc>
      </w:tr>
      <w:tr>
        <w:tblPrEx>
          <w:tblCellMar>
            <w:top w:w="0" w:type="dxa"/>
            <w:left w:w="108" w:type="dxa"/>
            <w:bottom w:w="0" w:type="dxa"/>
            <w:right w:w="108" w:type="dxa"/>
          </w:tblCellMar>
        </w:tblPrEx>
        <w:trPr>
          <w:trHeight w:val="2160"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出入口人行摆闸</w:t>
            </w:r>
          </w:p>
        </w:tc>
        <w:tc>
          <w:tcPr>
            <w:tcW w:w="84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电机 直流无刷伺服电机 机箱材质 国标1.5mm厚+304不锈钢拉丝 门翼材质 10mm有机玻璃/不锈钢管 无故障运行次数 &gt;200万次 使用寿命 1000万次 工作电压 220V输入；24VDC、12VDC 输出 功耗 单摆闸运行功耗&lt;280W 重量 60kg（单机芯） 尺寸(长*宽*高) 1700mm*200mm*1000mm 语音功能 内置功放和扬声器 通道宽度 650mm～1100mm 关门精度 ≤1度 工作环境 -20℃-60℃；工作湿度:5%--80%</w:t>
            </w:r>
          </w:p>
        </w:tc>
      </w:tr>
      <w:tr>
        <w:tblPrEx>
          <w:tblCellMar>
            <w:top w:w="0" w:type="dxa"/>
            <w:left w:w="108" w:type="dxa"/>
            <w:bottom w:w="0" w:type="dxa"/>
            <w:right w:w="108" w:type="dxa"/>
          </w:tblCellMar>
        </w:tblPrEx>
        <w:trPr>
          <w:trHeight w:val="639"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家长接送管理平台</w:t>
            </w:r>
          </w:p>
        </w:tc>
        <w:tc>
          <w:tcPr>
            <w:tcW w:w="84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 设备应具备对多台人脸识别终端的统一管理能力；</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 设备支持人脸白名单库的同步，同步时间不高于2s；</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3. 设备支持未注册人员出现频次分析，并支持添加至白名单；</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4. 应能存储1000万条出入记录，信息包含通过时间、姓名、人员编号、人员类型、区域地点，其中500万条出入记录包含抓取图片；</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5. 支持刷脸记录查询，可按照分组、时间等条件检索过滤；</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6. 支持对每名员工进行考勤统计，根据该人员当天最早、最晚刷脸记录自动统计考勤区间；</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7. ★支持人员多底库识别，单个人员可导入最多6张底库照片（提供公安部检测机构产品专业认证测试报告）；</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8. 具备出入记录异常检查功能，对于只出不进和只进不出人员进行统计，可自动形成报表进行查询；</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9. 速通门人脸识别服务器支持远程监看识别终端在线状态，识别终端可通过人机界面监看被在线管理状态；</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 支持黑名单人员布控，当识别到黑名单人员时，速通门后台管理系统弹出窗口发布告警；</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11. ★支持通过接入多识别终端，依靠多终端进行人脸照片分布式提取特征值（提供公安部检测机构产品专业认证测试报告）； </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12. 支持在后台系统中进行远程开门，通行记录中开门方式应能显示为远程开门。</w:t>
            </w:r>
          </w:p>
        </w:tc>
      </w:tr>
      <w:tr>
        <w:tblPrEx>
          <w:tblCellMar>
            <w:top w:w="0" w:type="dxa"/>
            <w:left w:w="108" w:type="dxa"/>
            <w:bottom w:w="0" w:type="dxa"/>
            <w:right w:w="108" w:type="dxa"/>
          </w:tblCellMar>
        </w:tblPrEx>
        <w:trPr>
          <w:trHeight w:val="4800"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出入口车辆识别系统</w:t>
            </w:r>
          </w:p>
        </w:tc>
        <w:tc>
          <w:tcPr>
            <w:tcW w:w="84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200万车牌识别一体机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补光灯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摄像机固定立柱</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四行LED显示屏语音一体箱</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开关电源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10%～90%，无结露 工作电源：AC  220V</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功    耗：小于3W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电感量自调谐范围：80—500μH</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频率范围：50KHz—250KHz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灵 敏 度：三级可调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信号保持时间：不受限制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反应时间：100ms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引线长度：线圈连接线最长5米，每米至少绞合20次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环境补偿：自动飘移补偿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工作温度：-20℃到+70℃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储存温度：-40℃到+85℃</w:t>
            </w:r>
          </w:p>
        </w:tc>
      </w:tr>
      <w:tr>
        <w:tblPrEx>
          <w:tblCellMar>
            <w:top w:w="0" w:type="dxa"/>
            <w:left w:w="108" w:type="dxa"/>
            <w:bottom w:w="0" w:type="dxa"/>
            <w:right w:w="108" w:type="dxa"/>
          </w:tblCellMar>
        </w:tblPrEx>
        <w:trPr>
          <w:trHeight w:val="90"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双400万全局摄像机</w:t>
            </w:r>
          </w:p>
        </w:tc>
        <w:tc>
          <w:tcPr>
            <w:tcW w:w="84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1、内置神经网络处理器，支持AI智能化功能，有效提升检测准确率 </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2、支持人脸检测、人脸属性提取和人脸识别，支持多种人脸抠图方案设置，包括人脸/单寸照/半身/全身</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3、支持目标检测：包括人脸、人体和车辆的检测及抓拍，支持人体属性提取</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4、支持视频结构化功能：支持机动车抓拍、机动车属性提取，支持非机动车抓拍、非机动车属性提取，支持人体抓拍、人体属性提取，支持人脸抓拍、人脸属性提取，支持人脸识别</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5、支持绊线入侵、区域入侵、穿越围栏、徘徊检测、物品遗留、物品搬移、快速移动、停车检测、人员聚集多种行为检测</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6、枪球一体化设计，兼顾全景与细节，达到单个产品既能看全也能看清的优势</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7、星光级超低照设计</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8、支持集中布控功能</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9、支持软件集成的开放式API，支持标准协议(Onvif、CGI、GB/T28181)、支持大华SDK 和第三方管理平台接入、支持PSIA、支持乐橙云</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10、细节相机支持4倍光学变倍，16倍数字变倍</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11、全景相机支持超星光级超低照度，0.0006Lux/F1.0（彩色），0.0006Lux/F1.0（黑白）</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12、支持H.265编码，实现超低码流传输 </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13、细节相机内置100米红外灯补光，采用倍率与红外灯功率匹配算法，补光效果更均匀</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14、水平方向0~250°连续旋转，垂直方向-25°～90°连续翻转</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15、支持300个预置位，8条巡航路径，5条巡迹路径</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16、内置2路报警输入和1路报警输出，支持报警联动功能</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17、支持IP66防护等级，8000V防雷、防浪涌和防突波保护</w:t>
            </w:r>
          </w:p>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18、支持AC24V±25%宽电压输入</w:t>
            </w:r>
          </w:p>
        </w:tc>
      </w:tr>
      <w:tr>
        <w:tblPrEx>
          <w:tblCellMar>
            <w:top w:w="0" w:type="dxa"/>
            <w:left w:w="108" w:type="dxa"/>
            <w:bottom w:w="0" w:type="dxa"/>
            <w:right w:w="108" w:type="dxa"/>
          </w:tblCellMar>
        </w:tblPrEx>
        <w:trPr>
          <w:trHeight w:val="4818"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人脸比对</w:t>
            </w:r>
          </w:p>
        </w:tc>
        <w:tc>
          <w:tcPr>
            <w:tcW w:w="84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8个内置SATA接口，单盘容量支持10T，可配置成单盘，支持RAID0、RAID1、RAID5、RAID6、RAID10、JBOD等存储方式，支持一键Raid5配置支持音频1路输入，支持音频2路输出支持16路报警输入、8路报警输出，支持开关量输入输出模式支持4个USB接口（2个前置USB2.0接口、2个后置USB3.0接口）支持4个千兆以太网口，支持4个不同段IP地址的IPC设备接入，支持将双网口设置同一个IP地址，实现数据链路冗余支持预览通道拖动保存、自定义布局（双目、三目、四目枪机接入）支持机箱温度智能检测自适应调整风扇转速支持6路人脸识别（视频流）或20路人脸识别（图片流）比对报警，支持年龄，性别，表情，口罩，帽子，眼镜，面具，胡子人脸属性检测支持普通/陌生人糢式：当相似度达到/未达到预设阈值时，在客户端软件给出报警提示、蜂鸣、抓图、录像及日志记录支持按通道及时间、结构化属性条件高级检索相关图片，可关联录像回放支持以图搜图，最多10张目标人脸进行相似图片搜索，并设置相似度阈值检索支持人脸库，可通过U盘、客户端软件，并为图片编辑姓名、性别、生 日、省份、城市、证件类型、证件编号，最大创建20个人脸库（黑白名单），共导入10万张人脸图片，单库10万人脸实时布控支持IPC/SD/DVR/NVR等IP设备级联管理、运维管理支持创建2级视图组，每级视图组最大可创建100个子视图组，每级视图组最大可创建100个视图支持样机可在视频画面叠加智能面板，智能面板内容数量可随视频画面大小自动调整， 并随目标消失而消失 支持4路人脸识别（视频流）或10路人脸识别（图片流）比对报警，人员年龄段、性别、 年龄层、是否戴眼镜、是否戴口罩等信息普通/陌生人糢式：当相似度达到/未达到预设阈值时，在客户端软件给出报警提示、蜂鸣、抓图、录像及日志记录支持智能面板显示，显示内容包含事件名称，事件触发时间，人脸抓图，针对人脸比对模式同时支持相似度，人脸库名称支持回放双轴控制/游标拖动/时间轴拖动/鼠标单击进行快速录像定位可配套PC端、移动端大华平台软件组成方案，同时支持第三方平台接入。</w:t>
            </w:r>
          </w:p>
        </w:tc>
      </w:tr>
    </w:tbl>
    <w:p>
      <w:pPr>
        <w:spacing w:line="400" w:lineRule="exact"/>
        <w:ind w:firstLine="420" w:firstLineChars="200"/>
        <w:jc w:val="left"/>
        <w:rPr>
          <w:rFonts w:hint="eastAsia" w:ascii="宋体" w:hAnsi="宋体" w:cs="宋体"/>
          <w:color w:val="000000"/>
          <w:kern w:val="0"/>
          <w:szCs w:val="21"/>
        </w:rPr>
      </w:pPr>
    </w:p>
    <w:p>
      <w:pPr>
        <w:pStyle w:val="2"/>
        <w:rPr>
          <w:rFonts w:hint="eastAsia" w:ascii="宋体" w:hAnsi="宋体" w:cs="宋体"/>
          <w:color w:val="000000"/>
          <w:kern w:val="0"/>
          <w:sz w:val="21"/>
          <w:szCs w:val="21"/>
        </w:rPr>
      </w:pPr>
    </w:p>
    <w:p>
      <w:pPr>
        <w:pStyle w:val="2"/>
        <w:rPr>
          <w:rFonts w:hint="eastAsia" w:ascii="宋体" w:hAnsi="宋体" w:cs="宋体"/>
          <w:color w:val="000000"/>
          <w:kern w:val="0"/>
          <w:sz w:val="21"/>
          <w:szCs w:val="21"/>
        </w:rPr>
      </w:pPr>
    </w:p>
    <w:p>
      <w:pPr>
        <w:pStyle w:val="2"/>
        <w:rPr>
          <w:rFonts w:hint="eastAsia" w:ascii="宋体" w:hAnsi="宋体" w:cs="宋体"/>
          <w:color w:val="000000"/>
          <w:kern w:val="0"/>
          <w:sz w:val="21"/>
          <w:szCs w:val="21"/>
        </w:rPr>
      </w:pPr>
    </w:p>
    <w:p>
      <w:pPr>
        <w:pStyle w:val="2"/>
        <w:rPr>
          <w:rFonts w:hint="eastAsia" w:ascii="宋体" w:hAnsi="宋体" w:cs="宋体"/>
          <w:color w:val="000000"/>
          <w:kern w:val="0"/>
          <w:sz w:val="21"/>
          <w:szCs w:val="21"/>
        </w:rPr>
      </w:pPr>
    </w:p>
    <w:p>
      <w:pPr>
        <w:pStyle w:val="2"/>
        <w:rPr>
          <w:rFonts w:hint="eastAsia" w:ascii="宋体" w:hAnsi="宋体" w:cs="宋体"/>
          <w:color w:val="000000"/>
          <w:kern w:val="0"/>
          <w:sz w:val="21"/>
          <w:szCs w:val="21"/>
        </w:rPr>
      </w:pPr>
    </w:p>
    <w:p>
      <w:pPr>
        <w:pStyle w:val="2"/>
        <w:rPr>
          <w:rFonts w:hint="eastAsia" w:ascii="宋体" w:hAnsi="宋体" w:cs="宋体"/>
          <w:color w:val="000000"/>
          <w:kern w:val="0"/>
          <w:sz w:val="21"/>
          <w:szCs w:val="21"/>
        </w:rPr>
      </w:pPr>
    </w:p>
    <w:p>
      <w:pPr>
        <w:pStyle w:val="2"/>
        <w:rPr>
          <w:rFonts w:hint="eastAsia" w:ascii="宋体" w:hAnsi="宋体" w:cs="宋体"/>
          <w:color w:val="000000"/>
          <w:kern w:val="0"/>
          <w:sz w:val="21"/>
          <w:szCs w:val="21"/>
        </w:rPr>
      </w:pPr>
    </w:p>
    <w:p>
      <w:pPr>
        <w:pStyle w:val="2"/>
        <w:rPr>
          <w:rFonts w:hint="eastAsia" w:ascii="宋体" w:hAnsi="宋体" w:cs="宋体"/>
          <w:color w:val="000000"/>
          <w:kern w:val="0"/>
          <w:sz w:val="21"/>
          <w:szCs w:val="21"/>
        </w:rPr>
      </w:pPr>
    </w:p>
    <w:p>
      <w:pPr>
        <w:pStyle w:val="2"/>
        <w:rPr>
          <w:rFonts w:hint="eastAsia" w:ascii="宋体" w:hAnsi="宋体" w:cs="宋体"/>
          <w:color w:val="000000"/>
          <w:kern w:val="0"/>
          <w:sz w:val="21"/>
          <w:szCs w:val="21"/>
        </w:rPr>
      </w:pPr>
    </w:p>
    <w:p>
      <w:pPr>
        <w:pStyle w:val="2"/>
        <w:rPr>
          <w:rFonts w:hint="eastAsia" w:ascii="宋体" w:hAnsi="宋体" w:cs="宋体"/>
          <w:color w:val="000000"/>
          <w:kern w:val="0"/>
          <w:sz w:val="21"/>
          <w:szCs w:val="21"/>
        </w:rPr>
      </w:pPr>
    </w:p>
    <w:p>
      <w:pPr>
        <w:pStyle w:val="2"/>
        <w:rPr>
          <w:rFonts w:hint="eastAsia" w:ascii="宋体" w:hAnsi="宋体" w:cs="宋体"/>
          <w:color w:val="000000"/>
          <w:kern w:val="0"/>
          <w:sz w:val="21"/>
          <w:szCs w:val="21"/>
        </w:rPr>
      </w:pPr>
    </w:p>
    <w:p>
      <w:pPr>
        <w:pStyle w:val="2"/>
        <w:rPr>
          <w:rFonts w:hint="eastAsia" w:ascii="宋体" w:hAnsi="宋体" w:cs="宋体"/>
          <w:color w:val="000000"/>
          <w:kern w:val="0"/>
          <w:sz w:val="21"/>
          <w:szCs w:val="21"/>
        </w:rPr>
      </w:pPr>
    </w:p>
    <w:p>
      <w:pPr>
        <w:spacing w:line="400" w:lineRule="exact"/>
        <w:ind w:firstLine="602" w:firstLineChars="200"/>
        <w:jc w:val="center"/>
        <w:rPr>
          <w:rFonts w:hint="eastAsia" w:ascii="宋体" w:hAnsi="宋体" w:cs="宋体"/>
          <w:b/>
          <w:bCs/>
          <w:color w:val="000000"/>
          <w:kern w:val="0"/>
          <w:sz w:val="30"/>
          <w:szCs w:val="30"/>
        </w:rPr>
      </w:pPr>
      <w:r>
        <w:rPr>
          <w:rFonts w:hint="eastAsia" w:ascii="宋体" w:hAnsi="宋体" w:cs="宋体"/>
          <w:b/>
          <w:bCs/>
          <w:color w:val="000000"/>
          <w:kern w:val="0"/>
          <w:sz w:val="30"/>
          <w:szCs w:val="30"/>
        </w:rPr>
        <w:t>（五）智慧校园平台</w:t>
      </w:r>
    </w:p>
    <w:p>
      <w:pPr>
        <w:spacing w:line="40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智慧校园建成后，为学校行政办公、教职工管理、教务管理、教学学习、教研科研、学生成长以及总务后勤提供一站式工作平台。在教育管理方面，实现校园运行状态实时监测与管理、行政、人事、总务办公自动化，为学校各级管理部门提供决策依据；在教学学习方面，在不影响学校线下正常授课计划的同时提供强大的线上自适应学习平台，实现线上线下互为补充，促进教与学方法、内容、手段的现代化，促进学校教学质量的快速提升。</w:t>
      </w:r>
    </w:p>
    <w:p>
      <w:pPr>
        <w:spacing w:line="40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同时通过融合创新，全面采用中国文化元素，以创新的思维构建具有中国特色的现代化校园。既推动教育现代化的发展，又弘扬中国传统文化。让文化自信战略在学校落地生根。</w:t>
      </w:r>
    </w:p>
    <w:tbl>
      <w:tblPr>
        <w:tblStyle w:val="47"/>
        <w:tblpPr w:leftFromText="180" w:rightFromText="180" w:vertAnchor="text" w:horzAnchor="page" w:tblpX="1276" w:tblpY="3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591"/>
        <w:gridCol w:w="2190"/>
        <w:gridCol w:w="3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43"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序号</w:t>
            </w:r>
          </w:p>
        </w:tc>
        <w:tc>
          <w:tcPr>
            <w:tcW w:w="2591"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设备名称</w:t>
            </w:r>
          </w:p>
        </w:tc>
        <w:tc>
          <w:tcPr>
            <w:tcW w:w="2190"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单位</w:t>
            </w:r>
          </w:p>
        </w:tc>
        <w:tc>
          <w:tcPr>
            <w:tcW w:w="3986"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5.1</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校园办公（OA）软件</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3986"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5.2</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教务管理系统</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3986"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Merge w:val="restart"/>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5.3</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统一门户中心</w:t>
            </w:r>
          </w:p>
        </w:tc>
        <w:tc>
          <w:tcPr>
            <w:tcW w:w="2190" w:type="dxa"/>
            <w:vMerge w:val="restart"/>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3986" w:type="dxa"/>
            <w:vMerge w:val="restart"/>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Merge w:val="continue"/>
            <w:noWrap w:val="0"/>
            <w:vAlign w:val="center"/>
          </w:tcPr>
          <w:p>
            <w:pPr>
              <w:spacing w:line="400" w:lineRule="exact"/>
              <w:jc w:val="center"/>
              <w:rPr>
                <w:rFonts w:hint="eastAsia" w:ascii="宋体" w:hAnsi="宋体" w:eastAsia="宋体" w:cs="宋体"/>
                <w:color w:val="000000"/>
                <w:szCs w:val="21"/>
              </w:rPr>
            </w:pP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统一数据中心</w:t>
            </w:r>
          </w:p>
        </w:tc>
        <w:tc>
          <w:tcPr>
            <w:tcW w:w="2190" w:type="dxa"/>
            <w:vMerge w:val="continue"/>
            <w:noWrap w:val="0"/>
            <w:vAlign w:val="center"/>
          </w:tcPr>
          <w:p>
            <w:pPr>
              <w:spacing w:line="400" w:lineRule="exact"/>
              <w:jc w:val="center"/>
              <w:rPr>
                <w:rFonts w:hint="eastAsia" w:ascii="宋体" w:hAnsi="宋体" w:eastAsia="宋体" w:cs="宋体"/>
                <w:color w:val="000000"/>
                <w:szCs w:val="21"/>
              </w:rPr>
            </w:pPr>
          </w:p>
        </w:tc>
        <w:tc>
          <w:tcPr>
            <w:tcW w:w="3986" w:type="dxa"/>
            <w:vMerge w:val="continue"/>
            <w:noWrap w:val="0"/>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Merge w:val="continue"/>
            <w:noWrap w:val="0"/>
            <w:vAlign w:val="center"/>
          </w:tcPr>
          <w:p>
            <w:pPr>
              <w:spacing w:line="400" w:lineRule="exact"/>
              <w:jc w:val="center"/>
              <w:rPr>
                <w:rFonts w:hint="eastAsia" w:ascii="宋体" w:hAnsi="宋体" w:eastAsia="宋体" w:cs="宋体"/>
                <w:color w:val="000000"/>
                <w:szCs w:val="21"/>
              </w:rPr>
            </w:pP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统一认证管理系统</w:t>
            </w:r>
          </w:p>
        </w:tc>
        <w:tc>
          <w:tcPr>
            <w:tcW w:w="2190" w:type="dxa"/>
            <w:vMerge w:val="continue"/>
            <w:noWrap w:val="0"/>
            <w:vAlign w:val="center"/>
          </w:tcPr>
          <w:p>
            <w:pPr>
              <w:spacing w:line="400" w:lineRule="exact"/>
              <w:jc w:val="center"/>
              <w:rPr>
                <w:rFonts w:hint="eastAsia" w:ascii="宋体" w:hAnsi="宋体" w:eastAsia="宋体" w:cs="宋体"/>
                <w:color w:val="000000"/>
                <w:szCs w:val="21"/>
              </w:rPr>
            </w:pPr>
          </w:p>
        </w:tc>
        <w:tc>
          <w:tcPr>
            <w:tcW w:w="3986" w:type="dxa"/>
            <w:vMerge w:val="continue"/>
            <w:noWrap w:val="0"/>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5.4</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微信公众号</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3986"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5.5</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信息发布系统</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3986"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5.6</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智慧班牌系统</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3986"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5.7</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安全教育VR体验系统</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3986"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pStyle w:val="2"/>
              <w:spacing w:line="400" w:lineRule="exact"/>
              <w:jc w:val="center"/>
              <w:rPr>
                <w:rFonts w:hint="eastAsia" w:ascii="宋体" w:hAnsi="宋体" w:eastAsia="宋体" w:cs="宋体"/>
                <w:i w:val="0"/>
                <w:color w:val="000000"/>
                <w:sz w:val="21"/>
                <w:szCs w:val="21"/>
              </w:rPr>
            </w:pPr>
          </w:p>
          <w:p>
            <w:pPr>
              <w:pStyle w:val="2"/>
              <w:spacing w:line="400" w:lineRule="exact"/>
              <w:jc w:val="center"/>
              <w:rPr>
                <w:rFonts w:hint="eastAsia" w:ascii="宋体" w:hAnsi="宋体" w:eastAsia="宋体" w:cs="宋体"/>
                <w:i w:val="0"/>
                <w:color w:val="000000"/>
                <w:sz w:val="21"/>
                <w:szCs w:val="21"/>
              </w:rPr>
            </w:pPr>
            <w:r>
              <w:rPr>
                <w:rFonts w:hint="eastAsia" w:ascii="宋体" w:hAnsi="宋体" w:eastAsia="宋体" w:cs="宋体"/>
                <w:i w:val="0"/>
                <w:color w:val="000000"/>
                <w:sz w:val="21"/>
                <w:szCs w:val="21"/>
              </w:rPr>
              <w:t>5.8</w:t>
            </w:r>
          </w:p>
          <w:p>
            <w:pPr>
              <w:pStyle w:val="2"/>
              <w:spacing w:line="400" w:lineRule="exact"/>
              <w:jc w:val="center"/>
              <w:rPr>
                <w:rFonts w:hint="eastAsia" w:ascii="宋体" w:hAnsi="宋体" w:eastAsia="宋体" w:cs="宋体"/>
                <w:i w:val="0"/>
                <w:color w:val="000000"/>
                <w:sz w:val="21"/>
                <w:szCs w:val="21"/>
              </w:rPr>
            </w:pP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安全体检测评系统</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3986"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5.9</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数字图书借阅系统</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3986"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5.10</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教育云盘及媒资管理系统</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3986"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bl>
    <w:p>
      <w:pPr>
        <w:pStyle w:val="2"/>
        <w:spacing w:line="400" w:lineRule="exact"/>
        <w:ind w:left="360"/>
        <w:jc w:val="left"/>
        <w:rPr>
          <w:rFonts w:hint="eastAsia" w:ascii="宋体" w:hAnsi="宋体" w:cs="宋体"/>
          <w:b/>
          <w:bCs/>
          <w:color w:val="000000"/>
          <w:sz w:val="21"/>
          <w:szCs w:val="21"/>
        </w:rPr>
      </w:pPr>
    </w:p>
    <w:p>
      <w:pPr>
        <w:pStyle w:val="2"/>
        <w:spacing w:line="400" w:lineRule="exact"/>
        <w:ind w:left="360"/>
        <w:jc w:val="left"/>
        <w:rPr>
          <w:rFonts w:hint="eastAsia" w:ascii="宋体" w:hAnsi="宋体" w:cs="宋体"/>
          <w:b/>
          <w:bCs/>
          <w:color w:val="000000"/>
          <w:sz w:val="21"/>
          <w:szCs w:val="21"/>
        </w:rPr>
      </w:pPr>
    </w:p>
    <w:p>
      <w:pPr>
        <w:pStyle w:val="2"/>
        <w:spacing w:line="400" w:lineRule="exact"/>
        <w:ind w:left="360"/>
        <w:jc w:val="left"/>
        <w:rPr>
          <w:rFonts w:hint="eastAsia" w:ascii="宋体" w:hAnsi="宋体" w:cs="宋体"/>
          <w:b/>
          <w:bCs/>
          <w:color w:val="000000"/>
          <w:sz w:val="21"/>
          <w:szCs w:val="21"/>
        </w:rPr>
      </w:pPr>
    </w:p>
    <w:p>
      <w:pPr>
        <w:pStyle w:val="2"/>
        <w:spacing w:line="400" w:lineRule="exact"/>
        <w:ind w:left="360"/>
        <w:jc w:val="left"/>
        <w:rPr>
          <w:rFonts w:hint="eastAsia" w:ascii="宋体" w:hAnsi="宋体" w:cs="宋体"/>
          <w:b/>
          <w:bCs/>
          <w:color w:val="000000"/>
          <w:sz w:val="21"/>
          <w:szCs w:val="21"/>
        </w:rPr>
      </w:pPr>
    </w:p>
    <w:p>
      <w:pPr>
        <w:pStyle w:val="2"/>
        <w:spacing w:line="400" w:lineRule="exact"/>
        <w:rPr>
          <w:rFonts w:hint="eastAsia" w:ascii="宋体" w:hAnsi="宋体" w:cs="宋体"/>
          <w:i w:val="0"/>
          <w:iCs/>
          <w:color w:val="000000"/>
          <w:sz w:val="21"/>
          <w:szCs w:val="21"/>
        </w:rPr>
      </w:pPr>
    </w:p>
    <w:p>
      <w:pPr>
        <w:pStyle w:val="2"/>
        <w:spacing w:line="400" w:lineRule="exact"/>
        <w:rPr>
          <w:rFonts w:hint="eastAsia" w:ascii="宋体" w:hAnsi="宋体" w:cs="宋体"/>
          <w:i w:val="0"/>
          <w:iCs/>
          <w:color w:val="000000"/>
          <w:sz w:val="21"/>
          <w:szCs w:val="21"/>
        </w:rPr>
      </w:pPr>
      <w:r>
        <w:rPr>
          <w:rFonts w:hint="eastAsia" w:ascii="宋体" w:hAnsi="宋体" w:cs="宋体"/>
          <w:i w:val="0"/>
          <w:iCs/>
          <w:color w:val="000000"/>
          <w:sz w:val="21"/>
          <w:szCs w:val="21"/>
        </w:rPr>
        <w:t>详细参数：</w:t>
      </w:r>
    </w:p>
    <w:tbl>
      <w:tblPr>
        <w:tblStyle w:val="47"/>
        <w:tblW w:w="9583" w:type="dxa"/>
        <w:tblInd w:w="108" w:type="dxa"/>
        <w:tblLayout w:type="fixed"/>
        <w:tblCellMar>
          <w:top w:w="0" w:type="dxa"/>
          <w:left w:w="108" w:type="dxa"/>
          <w:bottom w:w="0" w:type="dxa"/>
          <w:right w:w="108" w:type="dxa"/>
        </w:tblCellMar>
      </w:tblPr>
      <w:tblGrid>
        <w:gridCol w:w="568"/>
        <w:gridCol w:w="1088"/>
        <w:gridCol w:w="2674"/>
        <w:gridCol w:w="5253"/>
      </w:tblGrid>
      <w:tr>
        <w:tblPrEx>
          <w:tblCellMar>
            <w:top w:w="0" w:type="dxa"/>
            <w:left w:w="108" w:type="dxa"/>
            <w:bottom w:w="0" w:type="dxa"/>
            <w:right w:w="108" w:type="dxa"/>
          </w:tblCellMar>
        </w:tblPrEx>
        <w:trPr>
          <w:trHeight w:val="845" w:hRule="atLeast"/>
        </w:trPr>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校园办公（OA）软件</w:t>
            </w:r>
          </w:p>
        </w:tc>
        <w:tc>
          <w:tcPr>
            <w:tcW w:w="792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szCs w:val="22"/>
              </w:rPr>
            </w:pPr>
            <w:r>
              <w:rPr>
                <w:rFonts w:hint="eastAsia" w:ascii="宋体" w:hAnsi="宋体" w:eastAsia="宋体" w:cs="宋体"/>
                <w:color w:val="000000"/>
                <w:szCs w:val="22"/>
              </w:rPr>
              <w:t>通知公告：</w:t>
            </w:r>
          </w:p>
          <w:p>
            <w:pPr>
              <w:widowControl/>
              <w:spacing w:line="400" w:lineRule="exact"/>
              <w:jc w:val="left"/>
              <w:rPr>
                <w:rFonts w:hint="eastAsia" w:ascii="宋体" w:hAnsi="宋体" w:eastAsia="宋体" w:cs="宋体"/>
                <w:color w:val="000000"/>
                <w:szCs w:val="22"/>
              </w:rPr>
            </w:pPr>
            <w:r>
              <w:rPr>
                <w:rFonts w:hint="eastAsia" w:ascii="宋体" w:hAnsi="宋体" w:eastAsia="宋体" w:cs="宋体"/>
                <w:color w:val="000000"/>
                <w:szCs w:val="22"/>
              </w:rPr>
              <w:t>1)普通用户只能接收通知，可在线预览附件、下载附件，并打印、归档通知；</w:t>
            </w:r>
          </w:p>
          <w:p>
            <w:pPr>
              <w:widowControl/>
              <w:spacing w:line="400" w:lineRule="exact"/>
              <w:jc w:val="left"/>
              <w:rPr>
                <w:rFonts w:hint="eastAsia" w:ascii="宋体" w:hAnsi="宋体" w:eastAsia="宋体" w:cs="宋体"/>
                <w:color w:val="000000"/>
                <w:szCs w:val="22"/>
              </w:rPr>
            </w:pPr>
            <w:r>
              <w:rPr>
                <w:rFonts w:hint="eastAsia" w:ascii="宋体" w:hAnsi="宋体" w:eastAsia="宋体" w:cs="宋体"/>
                <w:color w:val="000000"/>
                <w:szCs w:val="22"/>
              </w:rPr>
              <w:t>2)未读通知必须用加粗字体醒目标注，并统计有几份未读通知；</w:t>
            </w:r>
          </w:p>
          <w:p>
            <w:pPr>
              <w:widowControl/>
              <w:spacing w:line="400" w:lineRule="exact"/>
              <w:jc w:val="left"/>
              <w:rPr>
                <w:rFonts w:hint="eastAsia" w:ascii="宋体" w:hAnsi="宋体" w:eastAsia="宋体" w:cs="宋体"/>
                <w:color w:val="000000"/>
                <w:szCs w:val="22"/>
              </w:rPr>
            </w:pPr>
            <w:r>
              <w:rPr>
                <w:rFonts w:hint="eastAsia" w:ascii="宋体" w:hAnsi="宋体" w:eastAsia="宋体" w:cs="宋体"/>
                <w:color w:val="000000"/>
                <w:szCs w:val="22"/>
              </w:rPr>
              <w:t>3)信息审核人员、发布人员可以查阅通知的阅读率；</w:t>
            </w:r>
          </w:p>
          <w:p>
            <w:pPr>
              <w:widowControl/>
              <w:spacing w:line="400" w:lineRule="exact"/>
              <w:jc w:val="left"/>
              <w:rPr>
                <w:rFonts w:hint="eastAsia" w:ascii="宋体" w:hAnsi="宋体" w:eastAsia="宋体" w:cs="宋体"/>
                <w:color w:val="000000"/>
                <w:szCs w:val="22"/>
              </w:rPr>
            </w:pPr>
            <w:r>
              <w:rPr>
                <w:rFonts w:hint="eastAsia" w:ascii="宋体" w:hAnsi="宋体" w:eastAsia="宋体" w:cs="宋体"/>
                <w:color w:val="000000"/>
                <w:szCs w:val="22"/>
              </w:rPr>
              <w:t>4)★发布的通知根据通知的性质，可划分标准、重要、紧急，在未读通知内做醒目标志；发布通知可选择发布的用户、添加附件，选择生效日期、终止日期、同步网站、及通知是否公开、是否置顶，并选择置顶截止日期；</w:t>
            </w:r>
          </w:p>
          <w:p>
            <w:pPr>
              <w:widowControl/>
              <w:spacing w:line="400" w:lineRule="exact"/>
              <w:jc w:val="left"/>
              <w:rPr>
                <w:rFonts w:hint="eastAsia" w:ascii="宋体" w:hAnsi="宋体" w:eastAsia="宋体" w:cs="宋体"/>
                <w:color w:val="000000"/>
                <w:szCs w:val="22"/>
              </w:rPr>
            </w:pPr>
            <w:r>
              <w:rPr>
                <w:rFonts w:hint="eastAsia" w:ascii="宋体" w:hAnsi="宋体" w:eastAsia="宋体" w:cs="宋体"/>
                <w:color w:val="000000"/>
                <w:szCs w:val="22"/>
              </w:rPr>
              <w:t>5)待审核的通知可实现批量审核，对于不通过的通知可添加退回理由；</w:t>
            </w:r>
          </w:p>
          <w:p>
            <w:pPr>
              <w:widowControl/>
              <w:spacing w:line="400" w:lineRule="exact"/>
              <w:jc w:val="left"/>
              <w:rPr>
                <w:rFonts w:hint="eastAsia" w:ascii="宋体" w:hAnsi="宋体" w:eastAsia="宋体" w:cs="宋体"/>
                <w:color w:val="000000"/>
                <w:szCs w:val="22"/>
              </w:rPr>
            </w:pPr>
            <w:r>
              <w:rPr>
                <w:rFonts w:hint="eastAsia" w:ascii="宋体" w:hAnsi="宋体" w:eastAsia="宋体" w:cs="宋体"/>
                <w:color w:val="000000"/>
                <w:szCs w:val="22"/>
              </w:rPr>
              <w:t>6)已审核的信息管理人员，有权限调整信息的状态：生效/终止；</w:t>
            </w:r>
          </w:p>
          <w:p>
            <w:pPr>
              <w:widowControl/>
              <w:spacing w:line="400" w:lineRule="exact"/>
              <w:jc w:val="left"/>
              <w:rPr>
                <w:rFonts w:hint="eastAsia" w:ascii="宋体" w:hAnsi="宋体" w:eastAsia="宋体" w:cs="宋体"/>
                <w:color w:val="000000"/>
                <w:szCs w:val="22"/>
              </w:rPr>
            </w:pPr>
            <w:r>
              <w:rPr>
                <w:rFonts w:hint="eastAsia" w:ascii="宋体" w:hAnsi="宋体" w:eastAsia="宋体" w:cs="宋体"/>
                <w:color w:val="000000"/>
                <w:szCs w:val="22"/>
              </w:rPr>
              <w:t>7)对未编辑完成的信息可存放在草稿箱，便于下次编辑；</w:t>
            </w:r>
          </w:p>
          <w:p>
            <w:pPr>
              <w:widowControl/>
              <w:spacing w:line="400" w:lineRule="exact"/>
              <w:jc w:val="left"/>
              <w:rPr>
                <w:rFonts w:hint="eastAsia" w:ascii="宋体" w:hAnsi="宋体" w:eastAsia="宋体" w:cs="宋体"/>
                <w:color w:val="000000"/>
                <w:szCs w:val="22"/>
              </w:rPr>
            </w:pPr>
            <w:r>
              <w:rPr>
                <w:rFonts w:hint="eastAsia" w:ascii="宋体" w:hAnsi="宋体" w:eastAsia="宋体" w:cs="宋体"/>
                <w:color w:val="000000"/>
                <w:szCs w:val="22"/>
              </w:rPr>
              <w:t>8)★收到通知、已发通知、草稿箱在传统关键字搜索的基础上，必须具有高级搜索功能，从标题、发布用户、部门、接受用户、审核状态、紧急程度、通知类型等实现搜索；</w:t>
            </w:r>
          </w:p>
          <w:p>
            <w:pPr>
              <w:widowControl/>
              <w:spacing w:line="400" w:lineRule="exact"/>
              <w:jc w:val="left"/>
              <w:rPr>
                <w:rFonts w:hint="eastAsia" w:ascii="宋体" w:hAnsi="宋体" w:eastAsia="宋体" w:cs="宋体"/>
                <w:color w:val="000000"/>
                <w:szCs w:val="22"/>
              </w:rPr>
            </w:pPr>
            <w:r>
              <w:rPr>
                <w:rFonts w:hint="eastAsia" w:ascii="宋体" w:hAnsi="宋体" w:eastAsia="宋体" w:cs="宋体"/>
                <w:color w:val="000000"/>
                <w:szCs w:val="22"/>
              </w:rPr>
              <w:t>9)通知统计可实现发布量统计、阅读率统计；</w:t>
            </w:r>
          </w:p>
          <w:p>
            <w:pPr>
              <w:widowControl/>
              <w:spacing w:line="400" w:lineRule="exact"/>
              <w:jc w:val="left"/>
              <w:rPr>
                <w:rFonts w:hint="eastAsia" w:ascii="宋体" w:hAnsi="宋体" w:eastAsia="宋体" w:cs="宋体"/>
                <w:color w:val="000000"/>
                <w:szCs w:val="22"/>
              </w:rPr>
            </w:pPr>
            <w:r>
              <w:rPr>
                <w:rFonts w:hint="eastAsia" w:ascii="宋体" w:hAnsi="宋体" w:eastAsia="宋体" w:cs="宋体"/>
                <w:color w:val="000000"/>
                <w:szCs w:val="22"/>
              </w:rPr>
              <w:t>10)★系统默认学校公告、校内通知等通知类型，同时学校可根据具体情况，通知审批流程，自定义添加、修改通知公告类型；可设置通知发布用户、审核用户、是否开启审核、统计阅读率、开启同步网站、设置访问限定、统计限定；★必须具有移动端通知公告，并与pc端实现数据同步；</w:t>
            </w:r>
          </w:p>
          <w:p>
            <w:pPr>
              <w:widowControl/>
              <w:spacing w:line="400" w:lineRule="exact"/>
              <w:jc w:val="left"/>
              <w:rPr>
                <w:rFonts w:hint="eastAsia" w:ascii="宋体" w:hAnsi="宋体" w:eastAsia="宋体" w:cs="宋体"/>
                <w:color w:val="000000"/>
                <w:szCs w:val="22"/>
              </w:rPr>
            </w:pPr>
            <w:r>
              <w:rPr>
                <w:rFonts w:hint="eastAsia" w:ascii="宋体" w:hAnsi="宋体" w:eastAsia="宋体" w:cs="宋体"/>
                <w:color w:val="000000"/>
                <w:szCs w:val="22"/>
              </w:rPr>
              <w:t>日程计划：</w:t>
            </w:r>
          </w:p>
          <w:p>
            <w:pPr>
              <w:widowControl/>
              <w:spacing w:line="400" w:lineRule="exact"/>
              <w:jc w:val="left"/>
              <w:rPr>
                <w:rFonts w:hint="eastAsia" w:ascii="宋体" w:hAnsi="宋体" w:eastAsia="宋体" w:cs="宋体"/>
                <w:color w:val="000000"/>
                <w:szCs w:val="22"/>
              </w:rPr>
            </w:pPr>
            <w:r>
              <w:rPr>
                <w:rFonts w:hint="eastAsia" w:ascii="宋体" w:hAnsi="宋体" w:eastAsia="宋体" w:cs="宋体"/>
                <w:color w:val="000000"/>
                <w:szCs w:val="22"/>
              </w:rPr>
              <w:t>1)系统可以按日、周、月制定日程，人性化的管理界面，用户可以直接定位到某个时间点安排自己的日程；</w:t>
            </w:r>
          </w:p>
          <w:p>
            <w:pPr>
              <w:widowControl/>
              <w:spacing w:line="400" w:lineRule="exact"/>
              <w:jc w:val="left"/>
              <w:rPr>
                <w:rFonts w:hint="eastAsia" w:ascii="宋体" w:hAnsi="宋体" w:eastAsia="宋体" w:cs="宋体"/>
                <w:color w:val="000000"/>
                <w:szCs w:val="22"/>
              </w:rPr>
            </w:pPr>
            <w:r>
              <w:rPr>
                <w:rFonts w:hint="eastAsia" w:ascii="宋体" w:hAnsi="宋体" w:eastAsia="宋体" w:cs="宋体"/>
                <w:color w:val="000000"/>
                <w:szCs w:val="22"/>
              </w:rPr>
              <w:t>2)要求学校日程部门日程可以推送到个人日程中；</w:t>
            </w:r>
          </w:p>
          <w:p>
            <w:pPr>
              <w:widowControl/>
              <w:spacing w:line="400" w:lineRule="exact"/>
              <w:jc w:val="left"/>
              <w:rPr>
                <w:rFonts w:hint="eastAsia" w:ascii="宋体" w:hAnsi="宋体" w:eastAsia="宋体" w:cs="宋体"/>
                <w:color w:val="000000"/>
                <w:szCs w:val="22"/>
              </w:rPr>
            </w:pPr>
            <w:r>
              <w:rPr>
                <w:rFonts w:hint="eastAsia" w:ascii="宋体" w:hAnsi="宋体" w:eastAsia="宋体" w:cs="宋体"/>
                <w:color w:val="000000"/>
                <w:szCs w:val="22"/>
              </w:rPr>
              <w:t>3)★学校日程，部门日程有颜色区分；</w:t>
            </w:r>
          </w:p>
          <w:p>
            <w:pPr>
              <w:widowControl/>
              <w:spacing w:line="400" w:lineRule="exact"/>
              <w:jc w:val="left"/>
              <w:rPr>
                <w:rFonts w:hint="eastAsia" w:ascii="宋体" w:hAnsi="宋体" w:eastAsia="宋体" w:cs="宋体"/>
                <w:color w:val="000000"/>
                <w:szCs w:val="22"/>
              </w:rPr>
            </w:pPr>
            <w:r>
              <w:rPr>
                <w:rFonts w:hint="eastAsia" w:ascii="宋体" w:hAnsi="宋体" w:eastAsia="宋体" w:cs="宋体"/>
                <w:color w:val="000000"/>
                <w:szCs w:val="22"/>
              </w:rPr>
              <w:t>4)可以设置日程的紧急程度。</w:t>
            </w:r>
          </w:p>
          <w:p>
            <w:pPr>
              <w:widowControl/>
              <w:spacing w:line="400" w:lineRule="exact"/>
              <w:jc w:val="left"/>
              <w:rPr>
                <w:rFonts w:hint="eastAsia" w:ascii="宋体" w:hAnsi="宋体" w:eastAsia="宋体" w:cs="宋体"/>
                <w:color w:val="000000"/>
                <w:szCs w:val="22"/>
              </w:rPr>
            </w:pPr>
            <w:r>
              <w:rPr>
                <w:rFonts w:hint="eastAsia" w:ascii="宋体" w:hAnsi="宋体" w:eastAsia="宋体" w:cs="宋体"/>
                <w:color w:val="000000"/>
                <w:szCs w:val="22"/>
              </w:rPr>
              <w:t>5)可以设置日程提醒方式，提醒时间以及重复规则；</w:t>
            </w:r>
          </w:p>
          <w:p>
            <w:pPr>
              <w:widowControl/>
              <w:spacing w:line="400" w:lineRule="exact"/>
              <w:jc w:val="left"/>
              <w:rPr>
                <w:rFonts w:hint="eastAsia" w:ascii="宋体" w:hAnsi="宋体" w:eastAsia="宋体" w:cs="宋体"/>
                <w:color w:val="000000"/>
                <w:szCs w:val="22"/>
              </w:rPr>
            </w:pPr>
            <w:r>
              <w:rPr>
                <w:rFonts w:hint="eastAsia" w:ascii="宋体" w:hAnsi="宋体" w:eastAsia="宋体" w:cs="宋体"/>
                <w:color w:val="000000"/>
                <w:szCs w:val="22"/>
              </w:rPr>
              <w:t>6)个人日程可设置是否公开；</w:t>
            </w:r>
          </w:p>
          <w:p>
            <w:pPr>
              <w:widowControl/>
              <w:spacing w:line="400" w:lineRule="exact"/>
              <w:jc w:val="left"/>
              <w:rPr>
                <w:rFonts w:hint="eastAsia" w:ascii="宋体" w:hAnsi="宋体" w:eastAsia="宋体" w:cs="宋体"/>
                <w:color w:val="000000"/>
                <w:szCs w:val="22"/>
              </w:rPr>
            </w:pPr>
            <w:r>
              <w:rPr>
                <w:rFonts w:hint="eastAsia" w:ascii="宋体" w:hAnsi="宋体" w:eastAsia="宋体" w:cs="宋体"/>
                <w:color w:val="000000"/>
                <w:szCs w:val="22"/>
              </w:rPr>
              <w:t>7)可标记日程的完成情况；</w:t>
            </w:r>
          </w:p>
          <w:p>
            <w:pPr>
              <w:widowControl/>
              <w:spacing w:line="400" w:lineRule="exact"/>
              <w:jc w:val="left"/>
              <w:rPr>
                <w:rFonts w:hint="eastAsia" w:ascii="宋体" w:hAnsi="宋体" w:eastAsia="宋体" w:cs="宋体"/>
                <w:color w:val="000000"/>
                <w:szCs w:val="22"/>
              </w:rPr>
            </w:pPr>
            <w:r>
              <w:rPr>
                <w:rFonts w:hint="eastAsia" w:ascii="宋体" w:hAnsi="宋体" w:eastAsia="宋体" w:cs="宋体"/>
                <w:color w:val="000000"/>
                <w:szCs w:val="22"/>
              </w:rPr>
              <w:t>8)在部门日程、学校日程下可以搜索成员查看成员的日程安排；</w:t>
            </w:r>
          </w:p>
          <w:p>
            <w:pPr>
              <w:widowControl/>
              <w:spacing w:line="400" w:lineRule="exact"/>
              <w:jc w:val="left"/>
              <w:rPr>
                <w:rFonts w:hint="eastAsia" w:ascii="宋体" w:hAnsi="宋体" w:eastAsia="宋体" w:cs="宋体"/>
                <w:color w:val="000000"/>
                <w:szCs w:val="22"/>
              </w:rPr>
            </w:pPr>
            <w:r>
              <w:rPr>
                <w:rFonts w:hint="eastAsia" w:ascii="宋体" w:hAnsi="宋体" w:eastAsia="宋体" w:cs="宋体"/>
                <w:color w:val="000000"/>
                <w:szCs w:val="22"/>
              </w:rPr>
              <w:t>9)学校日程支持批量导入功能；</w:t>
            </w:r>
          </w:p>
          <w:p>
            <w:pPr>
              <w:widowControl/>
              <w:spacing w:line="400" w:lineRule="exact"/>
              <w:jc w:val="left"/>
              <w:rPr>
                <w:rFonts w:hint="eastAsia" w:ascii="宋体" w:hAnsi="宋体" w:eastAsia="宋体" w:cs="宋体"/>
                <w:color w:val="000000"/>
                <w:szCs w:val="22"/>
              </w:rPr>
            </w:pPr>
            <w:r>
              <w:rPr>
                <w:rFonts w:hint="eastAsia" w:ascii="宋体" w:hAnsi="宋体" w:eastAsia="宋体" w:cs="宋体"/>
                <w:color w:val="000000"/>
                <w:szCs w:val="22"/>
              </w:rPr>
              <w:t>10)所有人完成日程后可填写日志；</w:t>
            </w:r>
          </w:p>
          <w:p>
            <w:pPr>
              <w:widowControl/>
              <w:spacing w:line="400" w:lineRule="exact"/>
              <w:jc w:val="left"/>
              <w:rPr>
                <w:rFonts w:hint="eastAsia" w:ascii="宋体" w:hAnsi="宋体" w:eastAsia="宋体" w:cs="宋体"/>
                <w:color w:val="000000"/>
                <w:szCs w:val="22"/>
              </w:rPr>
            </w:pPr>
            <w:r>
              <w:rPr>
                <w:rFonts w:hint="eastAsia" w:ascii="宋体" w:hAnsi="宋体" w:eastAsia="宋体" w:cs="宋体"/>
                <w:color w:val="000000"/>
                <w:szCs w:val="22"/>
              </w:rPr>
              <w:t>11)学校校历支持批量导入功能；</w:t>
            </w:r>
          </w:p>
          <w:p>
            <w:pPr>
              <w:widowControl/>
              <w:spacing w:line="400" w:lineRule="exact"/>
              <w:jc w:val="left"/>
              <w:rPr>
                <w:rFonts w:hint="eastAsia" w:ascii="宋体" w:hAnsi="宋体" w:eastAsia="宋体" w:cs="宋体"/>
                <w:color w:val="000000"/>
                <w:szCs w:val="22"/>
              </w:rPr>
            </w:pPr>
            <w:r>
              <w:rPr>
                <w:rFonts w:hint="eastAsia" w:ascii="宋体" w:hAnsi="宋体" w:eastAsia="宋体" w:cs="宋体"/>
                <w:color w:val="000000"/>
                <w:szCs w:val="22"/>
              </w:rPr>
              <w:t>12)可以对日程进行权限化管理，管理员可按资源、按组织、按角色、按个人进行授权，管理员具有分配权限的功能；</w:t>
            </w:r>
          </w:p>
          <w:p>
            <w:pPr>
              <w:widowControl/>
              <w:spacing w:line="400" w:lineRule="exact"/>
              <w:jc w:val="left"/>
              <w:rPr>
                <w:rFonts w:hint="eastAsia" w:ascii="宋体" w:hAnsi="宋体" w:eastAsia="宋体" w:cs="宋体"/>
                <w:color w:val="000000"/>
                <w:szCs w:val="22"/>
              </w:rPr>
            </w:pPr>
            <w:r>
              <w:rPr>
                <w:rFonts w:hint="eastAsia" w:ascii="宋体" w:hAnsi="宋体" w:eastAsia="宋体" w:cs="宋体"/>
                <w:color w:val="000000"/>
                <w:szCs w:val="22"/>
              </w:rPr>
              <w:t>13)可以对日程类型进行信息维护；</w:t>
            </w:r>
          </w:p>
          <w:p>
            <w:pPr>
              <w:widowControl/>
              <w:spacing w:line="400" w:lineRule="exact"/>
              <w:jc w:val="left"/>
              <w:rPr>
                <w:rFonts w:hint="eastAsia"/>
                <w:color w:val="000000"/>
              </w:rPr>
            </w:pPr>
            <w:r>
              <w:rPr>
                <w:rFonts w:hint="eastAsia" w:ascii="宋体" w:hAnsi="宋体" w:eastAsia="宋体" w:cs="宋体"/>
                <w:color w:val="000000"/>
                <w:szCs w:val="22"/>
              </w:rPr>
              <w:t>14)所有日程以及校历支持打印和下载功能；</w:t>
            </w:r>
          </w:p>
        </w:tc>
      </w:tr>
      <w:tr>
        <w:tblPrEx>
          <w:tblCellMar>
            <w:top w:w="0" w:type="dxa"/>
            <w:left w:w="108" w:type="dxa"/>
            <w:bottom w:w="0" w:type="dxa"/>
            <w:right w:w="108" w:type="dxa"/>
          </w:tblCellMar>
        </w:tblPrEx>
        <w:trPr>
          <w:trHeight w:val="486" w:hRule="atLeast"/>
        </w:trPr>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教务管理系统</w:t>
            </w:r>
          </w:p>
        </w:tc>
        <w:tc>
          <w:tcPr>
            <w:tcW w:w="792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校本选课系统 1. 选课系统应具备良好的业务流程，总体流程应满足“管理员设置选课时间--教师申报课程---管理员审核课程--学生选课--数据统计”的业务流程；2. 选课系统应具有课程库功能，即允许任课教师随时上传课程到课程库，应将课程与选课限制信息独立；3. 选课系统应具有选课规则库，满足学校不同的选课规则需求；4. 选课规则库至少需要具备：是否开启进阶课程、是否开启长短课、是否开启男女生限制、是否开启年级班级人数限选限制、是否开启学习领域限制、是否开启分批选课、是否开启全学段学习领域限制；5. 选课应具备默认选课规则：①　同一课程不可重复选学生选了某一个课程之后则不可再选；②　同一节次的课程不可选 例如：小杨同学选了周三第七节课的课程，那小杨同学则不能再选周三第七节课的其他课程；③　课程数达到上限不可选 例如：选课规则要求每个学生最多选2个课程，选满2个课程之后就不能再选其他课程，如要选其他课程，只能先退选已选课程；④　课时数达到上限不可选 例如：选课规则要求每个学生最多选2个课时，选满2个课时之后就不能再选其他课程，如要选其他课程，只能先退选已选课程；⑤　招生人数达到上限不可选。6. 要求选课系统能满足学校总体规划上的限制条件设置，按照不同年级和不同班级分别设置选课的规则；7. 要求能提供选课信息批量导入功能，至少包含：“长短课，“计划招生数”，“男女生限制”，“上课课位”，“上课地点”；8. 要求能对学生选课数量、课时量进行条件限制的设置，要能对同一学习领域的选课数量进行限制设置；9. 要求网络选课系统具有至少4个统计报表：系统要能根据学生的参与选课的数量，系统自动调节服务器资源，完美的解决学生选课的并发问题，这样就不会出现因为参与学生过多而导致学生选不了课程的问题。智能排课及课表查询 1. 排课方案：支持多个排课方案并存、可转交排课方案给其他用户；2. 统一数据：与基础支撑平台共享班级、科目、教师、场地数据；3. 课务安排需具备年级统一课安排、班级私有课、合班课、单双周课、固定课的安排；4. 须具备多种排课规则：可按照学科组、班级组、教师组分别设置排课限制规则；5. 须具备课程组互斥、多教师互斥和场地唯一性互斥设置；6. 须支持连堂课设置；7. 须具备综合全部要素的自动排课：8. 须支持课表导出到word版，能自定义课表模板；9. 须支持课表网上查询；10. 须支持随时调整任教、课时数、各种排课规则等排课元素；11. 须支持拖放式手工调整：即时辅助、并行操作；12. 课表查询可提供个人课表查询、班级课表、教师课表、学生课表、场地课表、组合查询进行；13. 班级课表可按日课表、周课表、总课表查询；14. 教师课表可按日课表、周课表、总课表查询；15. 组合课表可将任意多个教师放在一起进行组合对比；16. 提供调课代课功能，任课教师能在线发起调课申请、教务管理人员可实现实时调课审批。</w:t>
            </w:r>
          </w:p>
        </w:tc>
      </w:tr>
      <w:tr>
        <w:tblPrEx>
          <w:tblCellMar>
            <w:top w:w="0" w:type="dxa"/>
            <w:left w:w="108" w:type="dxa"/>
            <w:bottom w:w="0" w:type="dxa"/>
            <w:right w:w="108" w:type="dxa"/>
          </w:tblCellMar>
        </w:tblPrEx>
        <w:trPr>
          <w:trHeight w:val="840" w:hRule="atLeast"/>
        </w:trPr>
        <w:tc>
          <w:tcPr>
            <w:tcW w:w="5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统一门户中心</w:t>
            </w:r>
          </w:p>
        </w:tc>
        <w:tc>
          <w:tcPr>
            <w:tcW w:w="2674"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eastAsia="宋体" w:cs="宋体"/>
                <w:color w:val="000000"/>
                <w:szCs w:val="22"/>
              </w:rPr>
              <w:t>★</w:t>
            </w:r>
            <w:r>
              <w:rPr>
                <w:rFonts w:hint="eastAsia" w:ascii="宋体" w:hAnsi="宋体" w:eastAsia="宋体" w:cs="宋体"/>
                <w:color w:val="000000"/>
                <w:kern w:val="0"/>
                <w:szCs w:val="21"/>
              </w:rPr>
              <w:t>升级后的基础支撑平台应基于Spring-cloud微服务的架构开发，使用Eureka Server技术发布机制、采用Html5前端开发语言、Vue.Js前台框架技术进行开发，可满足学校构建Saas私有云服务。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(2)基础支撑平台作为整个智慧校园的基础，包括了数据中心、注册中心、认证中心、安全中心、日志中心、个性化桌面等核心模块。其中每个模块都应采用独立的云服务架构。</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(3)具有统一认证中心，并实现如下功能：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①通过账号、邮箱、身份证、手机号码加密码的方式可以进行授权登录到系统中；</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②同一个账号和IP，连续输入密码错误5次后账号自动冻结，确保安全，管理员具有解锁功能；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③具有标准化的接口API,能通过授权机制对第三方应用系统进行统一认证；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④应具有3种以上密码找回功能，如：手机验证码、邮箱找回、密保问题；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(4)基础支撑平台应该具有单位管理、年度学期管理、部门管理、用户管理、教务管理、日志查询、角色权限等功能；</w:t>
            </w:r>
          </w:p>
          <w:p>
            <w:pPr>
              <w:widowControl/>
              <w:spacing w:line="400" w:lineRule="exact"/>
              <w:jc w:val="left"/>
              <w:rPr>
                <w:rFonts w:hint="eastAsia" w:ascii="宋体" w:hAnsi="宋体" w:eastAsia="宋体" w:cs="宋体"/>
                <w:color w:val="000000"/>
                <w:kern w:val="0"/>
                <w:szCs w:val="21"/>
              </w:rPr>
            </w:pPr>
          </w:p>
        </w:tc>
        <w:tc>
          <w:tcPr>
            <w:tcW w:w="525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 用户可以单独设置主题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用户可以设置自己的布局</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 管理员可以分用户类型设置默认的布局风格</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 各个模块的信息需要能够展示到统一门户中心，可以设置显示的条数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 支持中英文版及中国风风格</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 可以提醒各个模块中待处理的事宜，并且点击可以查看详细信息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 可以设置自己的信息以及第三方登录微信和QQ的信息</w:t>
            </w:r>
          </w:p>
        </w:tc>
      </w:tr>
      <w:tr>
        <w:tblPrEx>
          <w:tblCellMar>
            <w:top w:w="0" w:type="dxa"/>
            <w:left w:w="108" w:type="dxa"/>
            <w:bottom w:w="0" w:type="dxa"/>
            <w:right w:w="108" w:type="dxa"/>
          </w:tblCellMar>
        </w:tblPrEx>
        <w:trPr>
          <w:trHeight w:val="1665" w:hRule="atLeast"/>
        </w:trPr>
        <w:tc>
          <w:tcPr>
            <w:tcW w:w="5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统一数据中心</w:t>
            </w:r>
          </w:p>
        </w:tc>
        <w:tc>
          <w:tcPr>
            <w:tcW w:w="2674" w:type="dxa"/>
            <w:vMerge w:val="continue"/>
            <w:tcBorders>
              <w:left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p>
        </w:tc>
        <w:tc>
          <w:tcPr>
            <w:tcW w:w="525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 基础支撑平台应基于Spring-cloud微服务的架构开发，使用Eureka  Server技术发布机制、采用Html5前端开发语言、Vue.Js前台框架技术进行开发，可满足学校构建Saas私有云服务。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基础支撑平台作为整个智慧校园的基础，包括了数据中心、注册中心、认证中心、安全中心、日志中心、个性化桌面等核心模块。其中每个模块都应采用独立的云服务架构。</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 应具有3种以上密码找回功能，如：手机验证码、邮箱找回、密保问题；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 具有多层级单位结构，并且每个单位都可以设置自己单位的管理员。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 可以维护自己学校的年度学期信息，并且年度学期的时间到了以后就会自动升级到下一学年或者下一学期。</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  部门可以分层级进行管理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 应具有批量导入用户功能，支持对用户基本信息的维护及按用户直接授权相关权限。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 可以按角色、按部门进行授权，并且权限的力度细化到每个菜单以及按钮，配置灵活。</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 可以修改Logo、背景图、页脚等信息，并可以实时预览。</w:t>
            </w:r>
          </w:p>
        </w:tc>
      </w:tr>
      <w:tr>
        <w:tblPrEx>
          <w:tblCellMar>
            <w:top w:w="0" w:type="dxa"/>
            <w:left w:w="108" w:type="dxa"/>
            <w:bottom w:w="0" w:type="dxa"/>
            <w:right w:w="108" w:type="dxa"/>
          </w:tblCellMar>
        </w:tblPrEx>
        <w:trPr>
          <w:trHeight w:val="2445" w:hRule="atLeast"/>
        </w:trPr>
        <w:tc>
          <w:tcPr>
            <w:tcW w:w="5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统一认证管理系统</w:t>
            </w:r>
          </w:p>
        </w:tc>
        <w:tc>
          <w:tcPr>
            <w:tcW w:w="2674"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p>
        </w:tc>
        <w:tc>
          <w:tcPr>
            <w:tcW w:w="525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 具有统一认证中心，并实现如下功能：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通过账号、邮箱、手机号码加密码的方式可以进行授权登录到系统中；</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 通过微信、QQ扫码登录。</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 同一个账号和IP，连续输入密码错误3次后账号自动冻结，确保安全，管理员具有解锁功能；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 具有标准化的接口API,能通过授权机制对第三方应用系统进行统一认证；</w:t>
            </w:r>
          </w:p>
        </w:tc>
      </w:tr>
      <w:tr>
        <w:tblPrEx>
          <w:tblCellMar>
            <w:top w:w="0" w:type="dxa"/>
            <w:left w:w="108" w:type="dxa"/>
            <w:bottom w:w="0" w:type="dxa"/>
            <w:right w:w="108" w:type="dxa"/>
          </w:tblCellMar>
        </w:tblPrEx>
        <w:trPr>
          <w:trHeight w:val="2775" w:hRule="atLeast"/>
        </w:trPr>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微信公众号</w:t>
            </w:r>
          </w:p>
        </w:tc>
        <w:tc>
          <w:tcPr>
            <w:tcW w:w="792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1、通过学校微信公众号能满足查收学校通知；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2、通过学校微信公众号实现各类功能提醒，方便广大教师、学生、家长的工作；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3、通过学校微信公众号实现家长查询自己孩子的学业成绩；</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4、通过学校微信公众号教师可以制定和查询个人日程、部门日程、学校日程；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5、通过学校微信公众号教师可以实现设备报修工作；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6、通过学校微信公众号教师可以实现资料印制申请和查询；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7、通过学校微信公众号教师可以实现会议查询；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8、通过学校微信公众号教师可以实现工资查询；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9、通过学校微信公众号教师可以实现教师评价；</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10、通过学校微信公众号教师可以实现电子资料室的功能；</w:t>
            </w:r>
          </w:p>
        </w:tc>
      </w:tr>
      <w:tr>
        <w:tblPrEx>
          <w:tblCellMar>
            <w:top w:w="0" w:type="dxa"/>
            <w:left w:w="108" w:type="dxa"/>
            <w:bottom w:w="0" w:type="dxa"/>
            <w:right w:w="108" w:type="dxa"/>
          </w:tblCellMar>
        </w:tblPrEx>
        <w:trPr>
          <w:trHeight w:val="1380" w:hRule="atLeast"/>
        </w:trPr>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信息发布系统</w:t>
            </w:r>
          </w:p>
        </w:tc>
        <w:tc>
          <w:tcPr>
            <w:tcW w:w="792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1、通过信息发布系统可以实现给学校智慧大屏发布系统；</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2、通过信息发布系统可以实现给班牌系统推送数据；</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3、通过信息发布系统可以实现给学校网站推送数据；</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4、通过信息发布系统可以实现给学校通知公告系统推送数据；</w:t>
            </w:r>
          </w:p>
        </w:tc>
      </w:tr>
      <w:tr>
        <w:tblPrEx>
          <w:tblCellMar>
            <w:top w:w="0" w:type="dxa"/>
            <w:left w:w="108" w:type="dxa"/>
            <w:bottom w:w="0" w:type="dxa"/>
            <w:right w:w="108" w:type="dxa"/>
          </w:tblCellMar>
        </w:tblPrEx>
        <w:trPr>
          <w:trHeight w:val="5235" w:hRule="atLeast"/>
        </w:trPr>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智慧班牌系统</w:t>
            </w:r>
          </w:p>
        </w:tc>
        <w:tc>
          <w:tcPr>
            <w:tcW w:w="792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电子班牌管理系统（BS后台）:</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 能创建班牌并根据班牌的地点绑定班牌设备ID。</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班牌列表展示，查看所有班牌的运行情况，包含年级班级、地点、设备id、自动开关时段、开关机命令接收状态、当前班牌管理员、设备状态等信息。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 选择班牌模板：为各班的电子班牌选择配置模板，系统至少具备三个模板，分别时：水墨版、丹青版、扁平化（颜色可以自选）；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 配置模块：校园新闻、班级荣誉、班级活动、学生作品选择栏目，通知公告在通知公告系统里面发消息，德育信息在德育系统里面录分，班级课表在排课系统导入课表。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 值日生：选择值日时间，每天的值日人员，填入值日内容。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 班牌统计：查看所有班牌的运行情况，包含年级班级、地点、设备id、自动开关时段、开关机命令接收状态、当前班牌管理员、设备状态等信息。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 系统设置：基础设置包含导入设备ID,设置自动开关机时间段，设置定时开关机周期，设置单个文件上传大小限制，设置是否允许在班牌上考勤，设置是否允许班主任管理班牌；</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 密码管理：对客户端的设置进行加密管理，防止不正当使用，可更改密码，可查看历史记录。</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电子班牌App(运行在电子班牌硬件里面）:1. 班级名称显示：能显示年级班级和班级徽标。</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公共信息显示：能显示年月日时间和当地的天气预报。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 班级风采展示：能显示班级活动、师生风采、学生作品、班级荣誉。要求能与学校班级网站进行数据对接；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 班级课表展示：能显示当前班牌的班级课表，并能实时显示调课信息。要求能与学校已有的课表系统实现数据对接；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 学校通知展示：能显示学校发布的各类通知，如活动通知、会议通知等。要求能与学校已有的通知公告系统实现数据对接；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 班级德育展示：能显示全校班级常规检查的活动信息，能显示班级得分及排名。要求能与学校已有的德育管理系统实现数据对接；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7. 考场公示：当学校进行统一考试时，电子班牌能显示考场信息，包含考场名称、考试科目、考号、考试时间、监考老师、考场注意事项等。要求能与学校已有的考务管理系统实现数据对接；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 互动触摸展示：学生可以通过触摸交互的方式对班牌中的内容进行查阅浏览，增加学生的集体荣誉感和学习积极性。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 学生考勤：显示班级学生考勤情况，包含迟到人数、缺勤人数。</w:t>
            </w:r>
          </w:p>
        </w:tc>
      </w:tr>
      <w:tr>
        <w:tblPrEx>
          <w:tblCellMar>
            <w:top w:w="0" w:type="dxa"/>
            <w:left w:w="108" w:type="dxa"/>
            <w:bottom w:w="0" w:type="dxa"/>
            <w:right w:w="108" w:type="dxa"/>
          </w:tblCellMar>
        </w:tblPrEx>
        <w:trPr>
          <w:trHeight w:val="2125" w:hRule="atLeast"/>
        </w:trPr>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安全教育VR体验系统</w:t>
            </w:r>
          </w:p>
        </w:tc>
        <w:tc>
          <w:tcPr>
            <w:tcW w:w="792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1.基于安卓系统开发、可以在安卓系统6自由度（6Dof)VR一体机上流畅运行。</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2.★为避免软件被误操作、攻击篡改，影响稳定使用，软件需要进行加密保护，通过授权码激活使用。（提供软件运行截图） </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一体机VR版详细内容：</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一、火灾</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3.火场逃生：模拟自主操控手柄移动逃离火场的过程，需包含如下交互过程：室内着火、响起火灾警报、拿湿毛巾捂鼻、弯腰行进、禁乘电梯、按手报报警、沿疏散指示向消防通道逃生。</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4.★灭火实训：需有不少于5种不同火源的灭火训练，可模拟的灭火工具包括灭火器、灭火毯，以及生活中常见的水、土、锅盖等，并可以使用错误的工具尝试灭火，感受其危险后果。</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5.消防常识：包含火警电话，消防标志图解，消防工具的展示，火灾数据的分析等知识，并提供学校、写字楼、酒店、超市和家中不少于5种场景，供体验者可以入内排查隐患。</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6.逃生测试：提供被困自救、灭火逃出、烟道迷宫、解题逃出等4种不同逃生方式，让学生灵活运用所学的知识与技能。 </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二、地震</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7.地震逃生：模拟室内发生地震时的逃生过程，过程需包含：出现地震征兆、寻找安全区进行躲避、贴墙行进撤离、禁乘电梯、走安全通道逃生。</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8.★避震训练：避震训练包括收集地震应急物品，识别承重梁柱、承重墙、坚固家具/卫生间小跨度空间等可形成三角区的空间，到避震模拟台练习避震技巧。</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9.地震科普：包含地震成因、地震征兆、地震危害、地震救援等知识展示，并提供学校、酒店、超市、步行街、野外等不少于5种场景，学生可以排查安全隐患，体验地震带来的落石、滑坡、海啸、建筑倒塌等情境。 </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三、交通</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10.★巴士逃生：提供公交车和校车的逃生的交互模拟实训，学生可以操作的逃生方式包括：打开应急开关、安全锤砸车窗、打开安全门等。</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11.安全过马路：VR模拟各种交通路口的路况，引导用户识别交通信号系统，观察车辆，自主安全过马路。</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12.交通隐患：VR模拟各种行人参与交通的行为，学生可自主在马路上巡逻，发现并判断良好行为和危险行为，识别各种安全隐患，从而提高交通安全意识。 </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四、防诱骗</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13.校园安全：通过VR情景案例，展现校园欺凌、性侵、校园恐袭、诱拐诱骗等情境，让学生识别和判断风险，提高安全意识。</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14.社会安全：通过VR情景案例，展现绑架、拐卖、性威胁、人身伤害等危险，让学生认识到可能存在的危险提高安全意识。</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15.网络安全：通过VR情景案例，展现网络诈骗、网络涉黄、网络诱骗、游戏沉迷的潜在危害，让学生提高防范意识，树立文明上网的观念。 </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五、急救</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16.意外救护：包括外伤、骨折和中暑等不少于三种意外情况的模拟，让学生拿取急救物品进行紧急救护，锻炼急救技能。</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17.溺水：介绍各种具有溺水隐患的场景，使学生直观的感受到危险水域的特点，并掌握预防溺水的常识。学生可以拾取操作各种工具演练溺水救援练方法。</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18.心肺复苏：全景演示心肺复苏的操作过程，并让学生通过交互参与协助救援的过程，从而了解心肺复苏的操作方法。操作过程需符合心肺复苏2015年国际新标准操作流程（CPR）。</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19. 每一个主题及子内容模块均需支持学生与虚拟场景互动，在虚拟空间中自由移动，与虚拟场景中的物体、物品、UI交互，实现学生在危机情况下的行为训练目的。20.★所有体验内容应具有操作过程记录与总结评价功能，在关卡结束后能显示学习者的关卡成绩、正确/错误操作的操作（得分、失分明细）。以强化正确措施，纠正错误行为。</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21.★所有安全VR内容应成体系，集合在一套软件内，有序编排，支持重新开始、下一关、返回目录等功能，方便教学使用。</w:t>
            </w:r>
          </w:p>
        </w:tc>
      </w:tr>
      <w:tr>
        <w:tblPrEx>
          <w:tblCellMar>
            <w:top w:w="0" w:type="dxa"/>
            <w:left w:w="108" w:type="dxa"/>
            <w:bottom w:w="0" w:type="dxa"/>
            <w:right w:w="108" w:type="dxa"/>
          </w:tblCellMar>
        </w:tblPrEx>
        <w:trPr>
          <w:trHeight w:val="7060" w:hRule="atLeast"/>
        </w:trPr>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安全体检测评系统</w:t>
            </w:r>
          </w:p>
        </w:tc>
        <w:tc>
          <w:tcPr>
            <w:tcW w:w="792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整机硬件：1、显示屏采用42寸LED高清屏，显示比例16:9；</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2、触控屏采用17寸多点电容触控屏；</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3、内置I5/4G/128G电脑；</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4、内置6自由度VR一体机；</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5、★支持成绩打印功能，内置58MM安卓嵌入式热敏打印机；</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6、★具有紫外线消毒功能；</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7、采用金属电磁锁电子锁、刷卡自动开门；</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8、具有电子摄像头功能；</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9、最大消耗功率：≤150W；</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10、机柜：钢质金属箱体，外表面烤漆，全流线型设计。内置安全测评系统：</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11、青少年专用安全能力测评系统软件，含安全训练（安全答题、VR实训）、安全体检（快速摸底、专项体检）、安全视频、排行榜、统计分析等功能；</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12、测评过程包括安全意识评估、安全知识考核、VR技能测试等环节；</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13、★测评报告二维码打印功能：安全体检结束后能打印二维码，扫码可查看成绩明细、能力分析、改进方案等；</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14、统计分析：含答题统计和VR统计信息，可统计答题数量、答题人数、各模块答题准确率，错题排行。VR实训可统计使用人数、累计使用时长、平均时长、各关卡正确率、错误行为排行等；</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15、★分屏功能：下方触控屏进行操控时，上屏将配合进行分屏显示，便于展示和分享教学；</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16、VR一键投屏功能，无需连线，可一键将VR一体机内画面投屏至机器上屏，便于展示。</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17、智能读题功能，能自动语音读题；</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18、具有云端后台功能，能管理维护学校班级、导入\删除学生名单，新增\修改\删除试题等；</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19、★具有拍照功能，测评结束能拍照保存，并呈现在测评报告中；</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20、软件系统具有自动更新功能，能检测最新版本并提示更新。</w:t>
            </w:r>
          </w:p>
        </w:tc>
      </w:tr>
      <w:tr>
        <w:tblPrEx>
          <w:tblCellMar>
            <w:top w:w="0" w:type="dxa"/>
            <w:left w:w="108" w:type="dxa"/>
            <w:bottom w:w="0" w:type="dxa"/>
            <w:right w:w="108" w:type="dxa"/>
          </w:tblCellMar>
        </w:tblPrEx>
        <w:trPr>
          <w:trHeight w:val="6090" w:hRule="atLeast"/>
        </w:trPr>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9</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数字图书借阅机系统</w:t>
            </w:r>
          </w:p>
        </w:tc>
        <w:tc>
          <w:tcPr>
            <w:tcW w:w="79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kern w:val="0"/>
                <w:szCs w:val="21"/>
              </w:rPr>
              <w:t>一、硬件要求</w:t>
            </w:r>
            <w:r>
              <w:rPr>
                <w:rFonts w:hint="eastAsia" w:ascii="宋体" w:hAnsi="宋体" w:eastAsia="宋体" w:cs="宋体"/>
                <w:color w:val="000000"/>
                <w:szCs w:val="21"/>
              </w:rPr>
              <w:t>1、触摸屏：43寸LED，红外识别≥2点触摸，1920*1080高清分辨率，显示屏颜色16.7M；采用手指、笔或非透明物体触摸方式，反应时间&lt;12毫秒，有效识别范围&gt;5毫米，全速免驱USB通讯方。2、★CPU主流I3及以上、双核，≥4G主机内存，120G固态硬盘+1T大容量机械硬盘，板载集成声卡、显卡、网卡，配备高速USB接口≥2个。3、其他：整机采用落地式设计，安全、稳定。外观无明显棱角，采用圆滑设计方式。电源、USB接口等设有暗盒，以保护设备正常运转。整机高度适合小学生阅读需要，显示屏与地面有一定倾斜角度，设备自带滚轮，方便移动设备；同时滚轮带锁死功能。</w:t>
            </w:r>
          </w:p>
          <w:p>
            <w:pPr>
              <w:spacing w:line="400" w:lineRule="exact"/>
              <w:rPr>
                <w:rFonts w:hint="eastAsia" w:ascii="宋体" w:hAnsi="宋体" w:eastAsia="宋体" w:cs="宋体"/>
                <w:color w:val="000000"/>
                <w:szCs w:val="21"/>
              </w:rPr>
            </w:pPr>
            <w:r>
              <w:rPr>
                <w:rFonts w:hint="eastAsia" w:ascii="宋体" w:hAnsi="宋体" w:eastAsia="宋体" w:cs="宋体"/>
                <w:color w:val="000000"/>
                <w:kern w:val="0"/>
                <w:szCs w:val="21"/>
              </w:rPr>
              <w:t>二、系统要求</w:t>
            </w:r>
            <w:r>
              <w:rPr>
                <w:rFonts w:hint="eastAsia" w:ascii="宋体" w:hAnsi="宋体" w:eastAsia="宋体" w:cs="宋体"/>
                <w:color w:val="000000"/>
                <w:szCs w:val="21"/>
              </w:rPr>
              <w:t>1、系统采用触摸系统，可与移动客户端配合使用。</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2、必须具备手机客户端应用，移动客户端是校园阅读设备配套的程序，且可与学校图书馆正在使用的移动客户端联机使用。</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3、使用移动客户端软件可以直接扫描校园阅读设备上的图书二维码下载图书到手机、pad等终端中阅读。移动客户端软件需同时支持iOS、android系统。</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4、基于1920*1080大屏触摸一体机研发。客户端支持不同浏览器分辨率的自动识别和支持功能，可根据不同分辨率自动调整显示效果，适应高清分辨率（1920*1080）和常用分辨率（1366*768）等多种不同分辨率。</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5、支持远程定时更新，支持一键更新，减少管理成本。</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6、数字图书借阅机系统内置不少于3000种正版授权的EPUB、PDF等格式电子图书且与原版图书保持原貌一致，如相关图片、目录等，且每月定时更新不少于150种热门电子图书。支持新书、热门图书标记功能，供读者参考。</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7、图书分类支持定制：用户可根据需求自行推荐相关电子书。通过后台上传至借阅机中使用。</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8、可提供信息发布功能，用户可根据需要展示相关信息；支持本地天气预报，支持至少3天以后的天气预报信息的显示。</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9、可提供视频模块，精选优质学术视频，支持在线播放。</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10、可提供用于触屏应用的模块扩展功能，内置模块不少于7个。</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11、支持音量调节功能，可在平台客户端直接调整音量大小、设置静音等操作。</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12、借阅机系统软件支持自动升级功能，设备联网后，可自动下载升级包，实现无人值守的自动升级功能。</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13、支持浏览器模式打开任意网址功能，方便系统扩展应用。</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14、对图书的文本文字内容，可实现机器自动语音朗读。</w:t>
            </w:r>
          </w:p>
          <w:p>
            <w:pPr>
              <w:spacing w:line="40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三、资源要求</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1、提供不少于3000本适合中小学使用的高清电子图书，图书内容定期更新，每月更新量不少于150本。</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2、图书资源针对小学、初中、高中提供不同的版本，分别针对三种不同年龄阶段，学生、家长、老师三个身份设定了不同的图书分类方式，能更精准的引导阅读。</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3、图书提供二维码，扫码后可直接在线阅读原版文本全文，下载的图书可永久保存在移动终端。</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4、提供新课标要求小学生必备古诗多媒体资源，古诗数量不少于70个；所有古诗内容要具有可交互性，要求以色彩丰富、能吸引小学生使用的动画形式展示；古诗配图要符合诗词所在朝代风格；古诗动画效果和画面能表达出古诗意境；古诗资源内容包含适合小学生理解和学习的字词注释；每首古诗都必须要包含作者简介、诗词大意、名句欣赏等内容；每首古诗都要有诗词的动画配音朗读和让学生根据背景音乐提示诵读古诗功能。</w:t>
            </w:r>
          </w:p>
          <w:p>
            <w:pPr>
              <w:spacing w:line="400" w:lineRule="exact"/>
              <w:rPr>
                <w:rFonts w:hint="eastAsia" w:ascii="宋体" w:hAnsi="宋体" w:eastAsia="宋体" w:cs="宋体"/>
                <w:color w:val="000000"/>
                <w:kern w:val="0"/>
                <w:szCs w:val="21"/>
              </w:rPr>
            </w:pPr>
            <w:r>
              <w:rPr>
                <w:rFonts w:hint="eastAsia" w:ascii="宋体" w:hAnsi="宋体" w:eastAsia="宋体" w:cs="宋体"/>
                <w:color w:val="000000"/>
                <w:szCs w:val="21"/>
              </w:rPr>
              <w:t>5、提供新课标要求常用汉字动画资源，数量不少于3000个；所有汉子动画资源都要求依据现行教材开发，与新课标教材内容同步；识字资源展示形式要求风格活泼可爱，趣味性强；所有识字内容都要有可交互性动画实现；识字内容包含汉字的读音、笔顺、图例、字义扩展等模块；词语解释包含英语对照和扩展汉语注音和解释；识字笔顺动画要包含每个汉字的一笔一划书写动画演示，且具备暂停功能。</w:t>
            </w:r>
          </w:p>
        </w:tc>
      </w:tr>
      <w:tr>
        <w:tblPrEx>
          <w:tblCellMar>
            <w:top w:w="0" w:type="dxa"/>
            <w:left w:w="108" w:type="dxa"/>
            <w:bottom w:w="0" w:type="dxa"/>
            <w:right w:w="108" w:type="dxa"/>
          </w:tblCellMar>
        </w:tblPrEx>
        <w:trPr>
          <w:trHeight w:val="90" w:hRule="atLeast"/>
        </w:trPr>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教育云盘及媒资管理系统</w:t>
            </w:r>
          </w:p>
        </w:tc>
        <w:tc>
          <w:tcPr>
            <w:tcW w:w="792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系统要求以B-S架构实现web页面管理方式，支持所有计算机格式文件以缩略图和列表方式的管理与检索，支持文件的在线预览，对常见文件格式要求有预览图，直观显示文件内容和相关信息。常见文件格式要求至少但不限于：图片类型：jpg、jpeg、bmp、gif、png、tif、tiff、psd、ico；文档类型：txt、doc、ppt、xls、pdf、docx、pptx、xlsx；音视频类型：avi、asf、swf、mpeg、mp3、mp4、rmvb、wmv、flv；2、文件的搜索方式要求灵活多样：a) 只要输入关键词，即可完成资源的搜索。高级搜索：提供复杂搜索的功能，通过组合搜索条件，如所在专栏，资源格式，用户，时间等，完成精确搜索的功能。b)高级搜索：提供复杂搜索的功能，通过组合搜索条件，如所在专栏，资源格式，上传着，时间等，完成精确搜索的功能。c)全文检索： 支持对Word、TXT、PDF等多种主流文档格式内容中的关键字进行检索，并提供文档格式的全文检索；d)标签检索：通过标签的检索快速定位资源3、系统上传功能直接上传：系统通过普通浏览器即可实现多个文件的批量上传功能。4、人机交互设计要求简单快捷，实现以拖拽方式进行文件及文件夹的选择、复制、粘贴、移动等操作；系统要求支持鼠标右键菜单，针对不同的对象可以有不同的右键菜单；系统要求支持键盘快捷键的操作，普通的选择、复制、粘贴、移动等操作要求可以采用(Ctrl+A、Ctrl+C、Ctrl+V、Ctrl+X)等通用快捷键方式实现；文件预览实现上下翻页，所有操作尽量在同一页面实现；系统要求采用捕捉鼠标轨迹技术，实现鼠标在云盘管理系统里操作如同操作本地硬盘一样，完全符合windows使用习惯。★5、系统后台要求实时监视并统计文件的数量，类型比例，空间使用比例，所有用户的操作日志等信息，个人上传资源列表等信息；日志要分为系统日志及文件操作日志，及权限更改记录等不同角度的监控数据，确能导出exl报表。★6、统计功能：云盘提供按盘符统计，可选时间段，按分组等生成排行榜；也支持每个文件夹统计排行榜，可导出报表；便于学校考评使用。7、软件系统要求实现至少三级以上的用户分组，用户管理要灵活，可对任意用户或分组进行管理，对过期或非法用户可冻结账号，要求删除用户同时即实现用户所有文件的删除；但用户上传到公共网盘的资源保留，同时系统支持用户账号的Excel文件批量导入，导出。8、用户分组及角色功能：可以实现一个用户属于多个组，也可以用户属于角色，好处就是按组授权会非常精准，按角色授权能实现自动授权功能，大大减少网管工作量。★9、文件权限管理设计要求严谨可靠，权限管理以网盘为基本单位，也可以以盘符下文件夹为单位实现用户对公共盘符的“新建目录，删除目录，修改文件，设置标签，上传文件，删除文件，修改文件，下载文件，查看文件”，等九大权限灵活访问组合。★10、查看功能：查看权限又细分了三种，①看自己、②不能看、③查看（适合交材料的时候，只能看见自己上传的文件、别人的文件看不见、能看见所有人上传的文件）。11、网盘授权功能：总的管理员可以授权某个账号具备管理某个盘符的功能，被授权的账号即增加了网盘设置功能，他可以针对此网盘再次赋权的功能。★12、盘柜授权功能：如果该盘柜下面有一个盘符就是按上面的盘符授权模式，如果有2个以上盘符，系统自动按盘柜授权模式，系统自动切换系统支持无限极盘柜授权模式。★13、资源审核功能：系统管理里需要可以方便设置某个盘上传的资源是否需要审核，对于设置需要审核的网盘，如果普通教师要往公共盘符里面放一些资料，这需要具有对此盘符的具备审核的权限的人，审核通过后才可以在公共盘符里面被找到此资源，普通用户上传的资源要得到利用，必须经过超级管理员或者二级管理员，审核后才能在公共网盘系统中显示。★14、系统提供IP限制，可以设置多 个账号，只能在有效ip地址访问，确保系统更安全。15、为了增加系统的安全性，系统要求能设置危险文件限制，管理员可以添加危险的文件类型，以及对添加的文件进行设置，如，禁止上传，某种文件，解除某一种格式文件的上传，以及删除等操作。★16、PC无痕客户端 可以把整个盘符（私有盘，公共盘）的文件信息推送到该pc客户端，与window系统融为一体，并且可以方便的进行文件及文件夹的拖拽式上传及下载。并针对大文件及文件夹上传，PC客户端可以批量与灵活的上传，最大支持70G以上文件上传。系统提供文件及文件夹拖拽式，及黏贴复制等操作，同时显示进度、时间等更贴心用户体验；秒传功能：不管哪个用户上传过的文件，系统会采用MD5加密算法进行判断，如果服务器里有这个相同文件就会秒传成功。★17、PC客户端自动备份可以设定时本地电脑自动上传具备权限的相应盘符，最多支持64路自动备份上传功能。18、PC客户端自动下载老师让学生把作业都提交到公共盘上，通过云盘客户端可以批量下载学生作业，节省了大量时间，最多支持64路自动下载功能。19、PC客户端快捷键针对私有盘，公共盘，本地电脑之间可以实现右键菜单；支持键盘快捷键的操作，普通的选择、复制、粘贴、移动等操采用(Ctrl+A、Ctrl+C、Ctrl+V、Ctrl+X)等通用快捷键方式实现。★20、群组功能群组功能：超级管理员可以某些帐号具备群组功能，开通群组功能的帐号，可以随时拉群，群成员，可以选择退出，等各种操作.★21、移动客户端支持安卓端、苹果端的客户端，客户端要求能自动适应各种分辨率的手机屏幕，客户端均能通过3G网络或者无线Wi-Fi高速快捷地上网和连接、访问、上传、下载，等功能，并可以根据该帐号的权限控制访问共享资源。★22、提供网盘的网络教研功能，即指定一个网盘为教研资源，按学科分类，然后按每一册分类，放在教研网盘上的资源自动形成教研网页形式，并且可以形成资源库，和微课页面，电子相册页面，通过网页可以进行检索、下载、资源的评论等，并且可以按照甲方的需求定制页面。23、文档资源swf预览文件柜资源管理系统中的文档资源，全部转化swf格式预览，师生不需要下载，就可以直接判断文档质量，支持N台服务器同时转码，以提高前端显示效率。★24、云端课程同步教材资源，约17万条优质课件。25、投标时需提供产品计算机软件产品登记证书或计算机软件著作权登记证书，★提供软件功能操作界面截图。</w:t>
            </w:r>
          </w:p>
        </w:tc>
      </w:tr>
    </w:tbl>
    <w:p>
      <w:pPr>
        <w:pStyle w:val="2"/>
        <w:spacing w:line="400" w:lineRule="exact"/>
        <w:rPr>
          <w:rFonts w:hint="eastAsia" w:ascii="宋体" w:hAnsi="宋体" w:cs="宋体"/>
          <w:i w:val="0"/>
          <w:color w:val="000000"/>
          <w:kern w:val="0"/>
          <w:sz w:val="21"/>
          <w:szCs w:val="21"/>
        </w:rPr>
      </w:pPr>
    </w:p>
    <w:p>
      <w:pPr>
        <w:pStyle w:val="2"/>
        <w:spacing w:line="400" w:lineRule="exact"/>
        <w:rPr>
          <w:rFonts w:hint="eastAsia" w:ascii="宋体" w:hAnsi="宋体" w:cs="宋体"/>
          <w:i w:val="0"/>
          <w:color w:val="000000"/>
          <w:kern w:val="0"/>
          <w:sz w:val="21"/>
          <w:szCs w:val="21"/>
        </w:rPr>
      </w:pPr>
    </w:p>
    <w:p>
      <w:pPr>
        <w:pStyle w:val="2"/>
        <w:spacing w:line="400" w:lineRule="exact"/>
        <w:rPr>
          <w:rFonts w:hint="eastAsia" w:ascii="宋体" w:hAnsi="宋体" w:cs="宋体"/>
          <w:i w:val="0"/>
          <w:color w:val="000000"/>
          <w:kern w:val="0"/>
          <w:sz w:val="21"/>
          <w:szCs w:val="21"/>
        </w:rPr>
      </w:pPr>
    </w:p>
    <w:p>
      <w:pPr>
        <w:pStyle w:val="2"/>
        <w:spacing w:line="400" w:lineRule="exact"/>
        <w:rPr>
          <w:rFonts w:hint="eastAsia" w:ascii="宋体" w:hAnsi="宋体" w:cs="宋体"/>
          <w:i w:val="0"/>
          <w:color w:val="000000"/>
          <w:kern w:val="0"/>
          <w:sz w:val="21"/>
          <w:szCs w:val="21"/>
        </w:rPr>
      </w:pPr>
    </w:p>
    <w:p>
      <w:pPr>
        <w:pStyle w:val="2"/>
        <w:spacing w:line="400" w:lineRule="exact"/>
        <w:rPr>
          <w:rFonts w:hint="eastAsia" w:ascii="宋体" w:hAnsi="宋体" w:cs="宋体"/>
          <w:i w:val="0"/>
          <w:color w:val="000000"/>
          <w:kern w:val="0"/>
          <w:sz w:val="21"/>
          <w:szCs w:val="21"/>
        </w:rPr>
      </w:pPr>
    </w:p>
    <w:p>
      <w:pPr>
        <w:pStyle w:val="2"/>
        <w:spacing w:line="400" w:lineRule="exact"/>
        <w:rPr>
          <w:rFonts w:hint="eastAsia" w:ascii="宋体" w:hAnsi="宋体" w:cs="宋体"/>
          <w:i w:val="0"/>
          <w:color w:val="000000"/>
          <w:kern w:val="0"/>
          <w:sz w:val="21"/>
          <w:szCs w:val="21"/>
        </w:rPr>
      </w:pPr>
    </w:p>
    <w:p>
      <w:pPr>
        <w:pStyle w:val="2"/>
        <w:spacing w:line="400" w:lineRule="exact"/>
        <w:rPr>
          <w:rFonts w:hint="eastAsia" w:ascii="宋体" w:hAnsi="宋体" w:cs="宋体"/>
          <w:i w:val="0"/>
          <w:color w:val="000000"/>
          <w:kern w:val="0"/>
          <w:sz w:val="21"/>
          <w:szCs w:val="21"/>
        </w:rPr>
      </w:pPr>
    </w:p>
    <w:p>
      <w:pPr>
        <w:pStyle w:val="2"/>
        <w:spacing w:line="400" w:lineRule="exact"/>
        <w:rPr>
          <w:rFonts w:hint="eastAsia" w:ascii="宋体" w:hAnsi="宋体" w:cs="宋体"/>
          <w:i w:val="0"/>
          <w:color w:val="000000"/>
          <w:kern w:val="0"/>
          <w:sz w:val="21"/>
          <w:szCs w:val="21"/>
        </w:rPr>
      </w:pPr>
    </w:p>
    <w:p>
      <w:pPr>
        <w:pStyle w:val="2"/>
        <w:spacing w:line="400" w:lineRule="exact"/>
        <w:rPr>
          <w:rFonts w:hint="eastAsia" w:ascii="宋体" w:hAnsi="宋体" w:cs="宋体"/>
          <w:i w:val="0"/>
          <w:color w:val="000000"/>
          <w:kern w:val="0"/>
          <w:sz w:val="21"/>
          <w:szCs w:val="21"/>
        </w:rPr>
      </w:pPr>
    </w:p>
    <w:p>
      <w:pPr>
        <w:pStyle w:val="2"/>
        <w:spacing w:line="400" w:lineRule="exact"/>
        <w:rPr>
          <w:rFonts w:hint="eastAsia" w:ascii="宋体" w:hAnsi="宋体" w:cs="宋体"/>
          <w:i w:val="0"/>
          <w:color w:val="000000"/>
          <w:kern w:val="0"/>
          <w:sz w:val="21"/>
          <w:szCs w:val="21"/>
        </w:rPr>
      </w:pPr>
    </w:p>
    <w:p>
      <w:pPr>
        <w:pStyle w:val="2"/>
        <w:spacing w:line="400" w:lineRule="exact"/>
        <w:rPr>
          <w:rFonts w:hint="eastAsia" w:ascii="宋体" w:hAnsi="宋体" w:cs="宋体"/>
          <w:i w:val="0"/>
          <w:color w:val="000000"/>
          <w:kern w:val="0"/>
          <w:sz w:val="21"/>
          <w:szCs w:val="21"/>
        </w:rPr>
      </w:pPr>
    </w:p>
    <w:p>
      <w:pPr>
        <w:pStyle w:val="2"/>
        <w:spacing w:line="400" w:lineRule="exact"/>
        <w:rPr>
          <w:rFonts w:hint="eastAsia" w:ascii="宋体" w:hAnsi="宋体" w:cs="宋体"/>
          <w:i w:val="0"/>
          <w:color w:val="000000"/>
          <w:kern w:val="0"/>
          <w:sz w:val="21"/>
          <w:szCs w:val="21"/>
        </w:rPr>
      </w:pPr>
    </w:p>
    <w:p>
      <w:pPr>
        <w:pStyle w:val="2"/>
        <w:spacing w:line="400" w:lineRule="exact"/>
        <w:rPr>
          <w:rFonts w:hint="eastAsia" w:ascii="宋体" w:hAnsi="宋体" w:cs="宋体"/>
          <w:i w:val="0"/>
          <w:color w:val="000000"/>
          <w:kern w:val="0"/>
          <w:sz w:val="21"/>
          <w:szCs w:val="21"/>
        </w:rPr>
      </w:pPr>
    </w:p>
    <w:p>
      <w:pPr>
        <w:pStyle w:val="2"/>
        <w:spacing w:line="400" w:lineRule="exact"/>
        <w:rPr>
          <w:rFonts w:hint="eastAsia" w:ascii="宋体" w:hAnsi="宋体" w:cs="宋体"/>
          <w:i w:val="0"/>
          <w:color w:val="000000"/>
          <w:kern w:val="0"/>
          <w:sz w:val="21"/>
          <w:szCs w:val="21"/>
        </w:rPr>
      </w:pPr>
    </w:p>
    <w:p>
      <w:pPr>
        <w:pStyle w:val="2"/>
        <w:spacing w:line="400" w:lineRule="exact"/>
        <w:rPr>
          <w:rFonts w:hint="eastAsia" w:ascii="宋体" w:hAnsi="宋体" w:cs="宋体"/>
          <w:i w:val="0"/>
          <w:color w:val="000000"/>
          <w:kern w:val="0"/>
          <w:sz w:val="21"/>
          <w:szCs w:val="21"/>
        </w:rPr>
      </w:pPr>
    </w:p>
    <w:p>
      <w:pPr>
        <w:pStyle w:val="2"/>
        <w:spacing w:line="400" w:lineRule="exact"/>
        <w:rPr>
          <w:rFonts w:hint="eastAsia" w:ascii="宋体" w:hAnsi="宋体" w:cs="宋体"/>
          <w:i w:val="0"/>
          <w:color w:val="000000"/>
          <w:kern w:val="0"/>
          <w:sz w:val="21"/>
          <w:szCs w:val="21"/>
        </w:rPr>
      </w:pPr>
    </w:p>
    <w:p>
      <w:pPr>
        <w:pStyle w:val="2"/>
        <w:spacing w:line="400" w:lineRule="exact"/>
        <w:rPr>
          <w:rFonts w:hint="eastAsia" w:ascii="宋体" w:hAnsi="宋体" w:cs="宋体"/>
          <w:i w:val="0"/>
          <w:color w:val="000000"/>
          <w:kern w:val="0"/>
          <w:sz w:val="21"/>
          <w:szCs w:val="21"/>
        </w:rPr>
      </w:pPr>
    </w:p>
    <w:p>
      <w:pPr>
        <w:pStyle w:val="2"/>
        <w:spacing w:line="400" w:lineRule="exact"/>
        <w:rPr>
          <w:rFonts w:hint="eastAsia" w:ascii="宋体" w:hAnsi="宋体" w:cs="宋体"/>
          <w:i w:val="0"/>
          <w:color w:val="000000"/>
          <w:kern w:val="0"/>
          <w:sz w:val="21"/>
          <w:szCs w:val="21"/>
        </w:rPr>
      </w:pPr>
    </w:p>
    <w:p>
      <w:pPr>
        <w:pStyle w:val="2"/>
        <w:spacing w:line="400" w:lineRule="exact"/>
        <w:rPr>
          <w:rFonts w:hint="eastAsia" w:ascii="宋体" w:hAnsi="宋体" w:cs="宋体"/>
          <w:i w:val="0"/>
          <w:color w:val="000000"/>
          <w:kern w:val="0"/>
          <w:sz w:val="21"/>
          <w:szCs w:val="21"/>
        </w:rPr>
      </w:pPr>
    </w:p>
    <w:p>
      <w:pPr>
        <w:pStyle w:val="2"/>
        <w:spacing w:line="400" w:lineRule="exact"/>
        <w:jc w:val="center"/>
        <w:rPr>
          <w:rFonts w:hint="eastAsia" w:ascii="宋体" w:hAnsi="宋体" w:cs="宋体"/>
          <w:b/>
          <w:bCs/>
          <w:i w:val="0"/>
          <w:color w:val="000000"/>
          <w:kern w:val="0"/>
          <w:sz w:val="30"/>
          <w:szCs w:val="30"/>
        </w:rPr>
      </w:pPr>
      <w:r>
        <w:rPr>
          <w:rFonts w:hint="eastAsia" w:ascii="宋体" w:hAnsi="宋体" w:cs="宋体"/>
          <w:b/>
          <w:bCs/>
          <w:i w:val="0"/>
          <w:color w:val="000000"/>
          <w:kern w:val="0"/>
          <w:sz w:val="30"/>
          <w:szCs w:val="30"/>
        </w:rPr>
        <w:t>（六）智慧校园平台设备支撑</w:t>
      </w:r>
    </w:p>
    <w:p>
      <w:pPr>
        <w:pStyle w:val="193"/>
        <w:spacing w:line="400" w:lineRule="exact"/>
        <w:ind w:firstLine="422"/>
        <w:rPr>
          <w:rFonts w:hint="eastAsia" w:ascii="宋体" w:hAnsi="宋体" w:eastAsia="宋体" w:cs="宋体"/>
          <w:color w:val="000000"/>
          <w:sz w:val="21"/>
          <w:szCs w:val="21"/>
        </w:rPr>
      </w:pPr>
      <w:r>
        <w:rPr>
          <w:rFonts w:hint="eastAsia" w:ascii="宋体" w:hAnsi="宋体" w:eastAsia="宋体" w:cs="宋体"/>
          <w:b/>
          <w:bCs/>
          <w:color w:val="000000"/>
          <w:sz w:val="21"/>
          <w:szCs w:val="21"/>
        </w:rPr>
        <w:t xml:space="preserve">   </w:t>
      </w:r>
      <w:r>
        <w:rPr>
          <w:rFonts w:hint="eastAsia" w:ascii="宋体" w:hAnsi="宋体" w:eastAsia="宋体" w:cs="宋体"/>
          <w:color w:val="000000"/>
          <w:sz w:val="21"/>
          <w:szCs w:val="21"/>
        </w:rPr>
        <w:t>本方案的总体目标是使用最新的云计算虚拟化技术，打造宁波杭州湾新区智能终端配套小学的虚拟化私有云，实现IT终端的云端管理。在学校内使用云教室方案代替传统PC机，充分利用主机计算能力、存储空间，进行集中管控。终端使用免维护，功耗更低的云教室终端交付学生上课使用的教学桌面，提升在校师生的上课用机体验。通过云教室集中管理平台对所有云主机，虚拟桌面，用户，终端进行统一管理，使用云教室多媒教学管理组件控制学生教学桌面，从而大大降低运维难度，降低TCO，节能减排，促进教育信息化发展。通过虚拟化技术生成大量虚拟教学桌面，利用远程桌面协议，通过网络将桌面发送给云教室终端设备访问，同时管理员可通过浏览器访问服务器管理平台，对所有服务器，虚拟桌面，用户，终端进行集中管理维护。</w:t>
      </w:r>
    </w:p>
    <w:tbl>
      <w:tblPr>
        <w:tblStyle w:val="47"/>
        <w:tblpPr w:leftFromText="180" w:rightFromText="180" w:vertAnchor="text" w:horzAnchor="page" w:tblpX="1211" w:tblpY="15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5400"/>
        <w:gridCol w:w="157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21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540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设备名称</w:t>
            </w:r>
          </w:p>
        </w:tc>
        <w:tc>
          <w:tcPr>
            <w:tcW w:w="157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单位</w:t>
            </w:r>
          </w:p>
        </w:tc>
        <w:tc>
          <w:tcPr>
            <w:tcW w:w="16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21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6.1</w:t>
            </w:r>
          </w:p>
        </w:tc>
        <w:tc>
          <w:tcPr>
            <w:tcW w:w="540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私有云盘一体机</w:t>
            </w:r>
          </w:p>
        </w:tc>
        <w:tc>
          <w:tcPr>
            <w:tcW w:w="157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16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6.2</w:t>
            </w:r>
          </w:p>
        </w:tc>
        <w:tc>
          <w:tcPr>
            <w:tcW w:w="540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超融合服务器一体机</w:t>
            </w:r>
          </w:p>
        </w:tc>
        <w:tc>
          <w:tcPr>
            <w:tcW w:w="157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p>
            <w:pPr>
              <w:spacing w:line="400" w:lineRule="exact"/>
              <w:jc w:val="center"/>
              <w:rPr>
                <w:rFonts w:hint="eastAsia" w:ascii="宋体" w:hAnsi="宋体" w:eastAsia="宋体" w:cs="宋体"/>
                <w:color w:val="000000"/>
                <w:szCs w:val="21"/>
              </w:rPr>
            </w:pPr>
          </w:p>
        </w:tc>
        <w:tc>
          <w:tcPr>
            <w:tcW w:w="16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6.3</w:t>
            </w:r>
          </w:p>
        </w:tc>
        <w:tc>
          <w:tcPr>
            <w:tcW w:w="540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云平台计算虚拟化软件（按CPU数量算）</w:t>
            </w:r>
          </w:p>
        </w:tc>
        <w:tc>
          <w:tcPr>
            <w:tcW w:w="157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6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6.4</w:t>
            </w:r>
          </w:p>
        </w:tc>
        <w:tc>
          <w:tcPr>
            <w:tcW w:w="540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云平台存储虚拟化软件（按CPU数量授权）</w:t>
            </w:r>
          </w:p>
        </w:tc>
        <w:tc>
          <w:tcPr>
            <w:tcW w:w="157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6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6.5</w:t>
            </w:r>
          </w:p>
        </w:tc>
        <w:tc>
          <w:tcPr>
            <w:tcW w:w="540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云平台网络虚拟化模块（按CPU数量授权）</w:t>
            </w:r>
          </w:p>
        </w:tc>
        <w:tc>
          <w:tcPr>
            <w:tcW w:w="157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6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6.6</w:t>
            </w:r>
          </w:p>
        </w:tc>
        <w:tc>
          <w:tcPr>
            <w:tcW w:w="540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云平台管理平台（按CPU数量授权）</w:t>
            </w:r>
          </w:p>
        </w:tc>
        <w:tc>
          <w:tcPr>
            <w:tcW w:w="157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6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6.7</w:t>
            </w:r>
          </w:p>
        </w:tc>
        <w:tc>
          <w:tcPr>
            <w:tcW w:w="540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云终端</w:t>
            </w:r>
          </w:p>
        </w:tc>
        <w:tc>
          <w:tcPr>
            <w:tcW w:w="157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6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6.8</w:t>
            </w:r>
          </w:p>
        </w:tc>
        <w:tc>
          <w:tcPr>
            <w:tcW w:w="540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云桌面虚拟化软件</w:t>
            </w:r>
          </w:p>
        </w:tc>
        <w:tc>
          <w:tcPr>
            <w:tcW w:w="157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6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6.9</w:t>
            </w:r>
          </w:p>
        </w:tc>
        <w:tc>
          <w:tcPr>
            <w:tcW w:w="540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电子教室软件</w:t>
            </w:r>
          </w:p>
        </w:tc>
        <w:tc>
          <w:tcPr>
            <w:tcW w:w="157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6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6.10</w:t>
            </w:r>
          </w:p>
        </w:tc>
        <w:tc>
          <w:tcPr>
            <w:tcW w:w="540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键盘鼠标</w:t>
            </w:r>
          </w:p>
        </w:tc>
        <w:tc>
          <w:tcPr>
            <w:tcW w:w="157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6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6.11</w:t>
            </w:r>
          </w:p>
        </w:tc>
        <w:tc>
          <w:tcPr>
            <w:tcW w:w="540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教室终端台式机</w:t>
            </w:r>
          </w:p>
        </w:tc>
        <w:tc>
          <w:tcPr>
            <w:tcW w:w="157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6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6.12</w:t>
            </w:r>
          </w:p>
        </w:tc>
        <w:tc>
          <w:tcPr>
            <w:tcW w:w="540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接入交换机</w:t>
            </w:r>
          </w:p>
        </w:tc>
        <w:tc>
          <w:tcPr>
            <w:tcW w:w="157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6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6.13</w:t>
            </w:r>
          </w:p>
        </w:tc>
        <w:tc>
          <w:tcPr>
            <w:tcW w:w="540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桌面云服务一体机</w:t>
            </w:r>
          </w:p>
        </w:tc>
        <w:tc>
          <w:tcPr>
            <w:tcW w:w="157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16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6.14</w:t>
            </w:r>
          </w:p>
        </w:tc>
        <w:tc>
          <w:tcPr>
            <w:tcW w:w="540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WEB应用防火墙</w:t>
            </w:r>
          </w:p>
        </w:tc>
        <w:tc>
          <w:tcPr>
            <w:tcW w:w="157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6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6.15</w:t>
            </w:r>
          </w:p>
        </w:tc>
        <w:tc>
          <w:tcPr>
            <w:tcW w:w="540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上网行为管理</w:t>
            </w:r>
          </w:p>
        </w:tc>
        <w:tc>
          <w:tcPr>
            <w:tcW w:w="157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6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bl>
    <w:p>
      <w:pPr>
        <w:pStyle w:val="2"/>
        <w:spacing w:line="400" w:lineRule="exact"/>
        <w:rPr>
          <w:rFonts w:hint="eastAsia" w:ascii="宋体" w:hAnsi="宋体" w:cs="宋体"/>
          <w:i w:val="0"/>
          <w:iCs/>
          <w:color w:val="000000"/>
          <w:sz w:val="21"/>
          <w:szCs w:val="21"/>
        </w:rPr>
      </w:pPr>
      <w:r>
        <w:rPr>
          <w:rFonts w:hint="eastAsia" w:ascii="宋体" w:hAnsi="宋体" w:cs="宋体"/>
          <w:i w:val="0"/>
          <w:iCs/>
          <w:color w:val="000000"/>
          <w:sz w:val="21"/>
          <w:szCs w:val="21"/>
        </w:rPr>
        <w:t>详细参数：</w:t>
      </w:r>
    </w:p>
    <w:tbl>
      <w:tblPr>
        <w:tblStyle w:val="47"/>
        <w:tblW w:w="9628" w:type="dxa"/>
        <w:tblInd w:w="108" w:type="dxa"/>
        <w:tblLayout w:type="fixed"/>
        <w:tblCellMar>
          <w:top w:w="0" w:type="dxa"/>
          <w:left w:w="108" w:type="dxa"/>
          <w:bottom w:w="0" w:type="dxa"/>
          <w:right w:w="108" w:type="dxa"/>
        </w:tblCellMar>
      </w:tblPr>
      <w:tblGrid>
        <w:gridCol w:w="1293"/>
        <w:gridCol w:w="8335"/>
      </w:tblGrid>
      <w:tr>
        <w:tblPrEx>
          <w:tblCellMar>
            <w:top w:w="0" w:type="dxa"/>
            <w:left w:w="108" w:type="dxa"/>
            <w:bottom w:w="0" w:type="dxa"/>
            <w:right w:w="108" w:type="dxa"/>
          </w:tblCellMar>
        </w:tblPrEx>
        <w:trPr>
          <w:trHeight w:val="2694"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私有云盘一体机</w:t>
            </w:r>
          </w:p>
        </w:tc>
        <w:tc>
          <w:tcPr>
            <w:tcW w:w="83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所投产品为软硬件一体设备，包含硬件和软件两部分。外形规格为1U机架式，精致小巧，方便移动和放置，单节点支持110用户并发，可创建用户数无限制，可用容量为8T，后期根据需要还可以再扩展容量，部署在单位内部，构建私有云存储，为企业级的文档共享平台。支持多节点构建云盘超融合集群，采用两副本或三副本冗余备份，节点或磁盘故障，数据不丢失，不影响业务使用。在线添加节点到集群中，用户并发数和容量大小可同步线性扩展；</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2、★支持与云桌面联动登录，通过云终端进入云桌面时,无需输入云盘账号密码即可自动登录云盘；（提供功能界面截图，）；</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3、支持半同步模式，在半同步模式下，会在文件管理器中自动挂载一个类似D盘的云盘盘符，使用该盘符时，不改变用户的使用习惯，操作体验与D盘一致。由于半同步时只同步目录结构，文件实际在云端存储，资料边访问边下载，加快访问速度，同时，在半同步盘中新增、更改文件将自动同步至云端。（提供功能界面截图，）；</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4、半同步盘支持以分组方式显示资料库，可通过半同步盘直接将资料分享给其它用户和群组，分享上传、下载链接，以及查看文件操作历史、在浏览器查看；（提供功能界面截图，）；</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5、支持文件夹的上传链接分享，文件和文件夹的下载链接分享，分享时可设置密码保护和自动过期日期；（提供功能界面截图，）；</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6、支持将个人资料库、文件夹分享给指定用户或群组，并设置读写权限；（提供功能界面截图，）；</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7、★二维码分享：创建上传下载链接用户分享时，可生成对应的二维码，并设置密码保护和自动过期日期；可直接分享文件夹二维码，并设置读写权限，用户扫描成功即将文件夹存入自己云盘中（提供功能界面截图，）；</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8、支持查看已分享的资料库和文件夹，并对分享的权限重新编辑以及取消分享；支持查看已分享的上传链接和下载链接，并统计总访问次数、重新分享以及删除分享。（提供功能界面截图，）；</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9、为保证个人数据安全，设备需支持对个人资料库设置密码保护，加密后管理员也无法查看；（提供功能界面截图，）；</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10、★为方便文件资料的权限交接管理，支持将个人资料库的所有权转让给其它用户；（提供功能界面截图，）；</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11、支持将常用的文件或重要的文件收藏（提供功能界面截图）；</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12、以防数据误删误改，支持保留资料库中文件夹和文件的所有操作历史，也可设置保留一段时间的历史，当出现误操作时，可还原到某个节点状态之前；</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13、回收站功能：文件被删除后会自动放至回收站，可对回收站内的所有文件按一周内、一月内呈现，可对文件一键还原；</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14、支持群组功能：用户可新建群组、可申请加入他人创建的群组成为群组成员，可退出群组，可新建群组资料库，并设置资料库的读写权限和加密。群组成员均可查看群组中的资料库，可搜索群组资料库中的内容；群组管理员可解散、重命名、转让群组，修改群组头像，可添加新管理员，批量新增、删除群组成员；</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15、支持群组内发起话题讨论，并且支持在讨论时上传文件；（提供功能界面截图，）；</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16、支持通讯录功能：对所有群组、用户进行搜索和展示，方便用户找到自己想要加入的群组，申请加入，方便用户找到相关人员，查看个人信息；</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17、消息提醒：系统可向用户发送消息提醒，当用户收到新的分享、新的群组讨论、新的入群申请、新的通知、转让资料库等情况时，用户在网页端、PC客户端、微信端均会收到消息通知；（提供功能界面截图，）；</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18、全盘检索：支持对资料库中的所有资料检索，包括个人资料库和他人分享的资料，方便文件快速定位。支持关键词、文件类型检索；</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19、★支持与微信扫码绑定，通过微信服务号即可直接访问云盘资料，并且获取云盘中的消息通知；（提供功能界面截图，）；</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20、PC客户端功能：支持对文件和文件夹批量拖拽上传下载，支持在客户端列表内拖动剪切文件，支持下载文件时断点续传，支持接收消息通知；</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21、视频标签功能：视频播放时，用户可对视频的某个时间节点添加标签，标签信息以列表形式排列，用户可根据关键字搜索到某个标签节点，从而快速定位所需视频的位置（提供功能演示视频）；</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22、要求提供云盘彩页及规格；</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23、云盘必须为成熟产品，提供云盘系统的计算机软件著作权登记证书，要求在中国版权保护中心网站可查询；</w:t>
            </w:r>
          </w:p>
        </w:tc>
      </w:tr>
      <w:tr>
        <w:tblPrEx>
          <w:tblCellMar>
            <w:top w:w="0" w:type="dxa"/>
            <w:left w:w="108" w:type="dxa"/>
            <w:bottom w:w="0" w:type="dxa"/>
            <w:right w:w="108" w:type="dxa"/>
          </w:tblCellMar>
        </w:tblPrEx>
        <w:trPr>
          <w:trHeight w:val="6944"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超融合服务器一体机</w:t>
            </w:r>
          </w:p>
        </w:tc>
        <w:tc>
          <w:tcPr>
            <w:tcW w:w="83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硬件要求：1.规格：19英寸工业标准2U机架式服务器2.CPU：2颗Intel Xeon E5或Sliver系列12核心 主频2.23.内存：4*32G DDR44.系统盘：1*240GB SSD5．缓存盘：2*240GB SSD6.数据盘：4*4TB SATA盘7.网口：2*GE千兆网口、2*10GE 万兆网口（含光模块）功能要求：1.在同一物理服务器上可以同时运行异构操作系统平台的虚拟机；支持32bit 和64bit操作系统的虚拟机。2.通过同一管理平台界面，能够提供性能监控功能，对服务器的CPU、网络、磁盘使用率等指标的实时数据统计，并且对服务器硬件进行维护和诊断，包括RAID配置，系统安装等。（提供配置界面截图，）3.服务器虚拟化平台支持代理上网功能，虚拟机通过服务器网卡连接外网，简化网络部署。（提供配置界面截图，）4.服务器虚拟化平台集成共享空间功能，无需借助第三方软件的前提下，在共享空间中上传的内容可以在每个虚拟机内访问。（提供配置界面截图，）三、超融合平台高可用要求1、 支持一键式安装部署，添加存储节点；支持一键添加数据存储磁盘或缓存磁盘，且支持一次添加一块或多块磁盘；（提供配置界面截图，）2、集群支持资源负载、虚拟机数量等多种负载均衡策略。支持数据配置多副本（两副本/三副本）存储，跨磁盘、跨节点、跨机架存储；（提供配置界面截图，）3、支持以图形化界面显示各个数据盘和缓存盘的状态、信息、容量使用情况等。（提供配置界面截图，）4、支持以图形化界面展示虚拟存储在一段时间内（1小时、1天、一周、一个月内）的IOPS、吞吐量、时延的平均值信息。（提供配置界面截图，）5、支持对节点、磁盘、网络产生的相关故障进行告警。其中磁盘故障报警能准确到具体节点的某块磁盘，网络报警能够准确到具体节点的管理网络或数据网络。（提供以上所有故障告警界面截图，）6、★支持服务器故障后，关机和运行状态的虚拟机动态迁移，故障HA切换；（提供配置界面截图，）7、 支持在B/S架构的管理界面上查询运行日志，日志内容需体现操作日期，对应节点名称，日志级别及具体内容；（提供配置界面截图，）10、支持基于SSD盘/PCIe-SSD卡的分布式读写缓存加速。（提供配置界面截图，）11、支持硬盘慢盘检测；（提供配置界面截图，）12、支持数据自愈功能，新磁盘替换故障的旧磁盘，可通过备份数据自动重建。（提供配置界面截图，）13、★超融合平台可与UPS设备联动，自动感知外部的突然断电情况，并在设定的时间内关闭服务器系统，确保在UPS供电期间服务器温暖下线，避免异常断电造成的数据丢失，提高虚拟化平台的可靠性。（提供配置界面截图，）14、★超融合平台支持关机计划，可以设置在某个时间点服务器定时关机。节省能源消耗。（提供配置界面截图，）</w:t>
            </w:r>
          </w:p>
        </w:tc>
      </w:tr>
      <w:tr>
        <w:tblPrEx>
          <w:tblCellMar>
            <w:top w:w="0" w:type="dxa"/>
            <w:left w:w="108" w:type="dxa"/>
            <w:bottom w:w="0" w:type="dxa"/>
            <w:right w:w="108" w:type="dxa"/>
          </w:tblCellMar>
        </w:tblPrEx>
        <w:trPr>
          <w:trHeight w:val="4095"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云平台计算虚拟化软件（按CPU数量授权）</w:t>
            </w:r>
          </w:p>
        </w:tc>
        <w:tc>
          <w:tcPr>
            <w:tcW w:w="83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实现虚拟机全生命周期管理，包括创建、开机、重启、关机、删除、快照、备份等。支持通过镜像文件及硬件模板快速创建。1.可将各类业务系统部署在云平台上的云主机上，实现业务上云。2.支持自定义配置云主机资源，包括CPU核心数、内存、硬盘、系统镜像等。 3.支持对虚拟主机实现全生命周期管理，包括创建、启动、重启、关闭、删除、快照、备份等。4.支持对云主机进行分组管理，支持通过关键字快速检索到所要查询的云主机。5.云主机创建时，支持手动选择挂载到某台宿主物理服务器上，也支持由系统根据集群负载情况自动选择宿主物理服务器。（提供配置界面截图，）6.★支持对云主机进行快照及备份两种运行保障策略，其中快照支持快速回滚，备份可自主选择全量备份及增量备份两种备份模式。（提供配置界面截图，）7.★支持手动上传系统镜像，上传系统镜像时可确定此系统镜像被调用的权限，公有镜像为全部人员都可见并可调用，私有镜像则只对上传者可见。（提供配置界面截图，）8.支持设定云主机计算规格的模板，并对计算规格模板进行命名，在创建云主机时可快速调用计算规格模板完成创建。 9. ★虚拟化平台可与UPS设备联动，自动感知外部的突然断电情况，并在设定的时间内关闭服务器系统，确保在UPS供电期间服务器温暖下线，避免异常断电造成的数据丢失，提高虚拟化平台的可靠性。（提供配置界面截图，）                                      </w:t>
            </w:r>
          </w:p>
        </w:tc>
      </w:tr>
      <w:tr>
        <w:tblPrEx>
          <w:tblCellMar>
            <w:top w:w="0" w:type="dxa"/>
            <w:left w:w="108" w:type="dxa"/>
            <w:bottom w:w="0" w:type="dxa"/>
            <w:right w:w="108" w:type="dxa"/>
          </w:tblCellMar>
        </w:tblPrEx>
        <w:trPr>
          <w:trHeight w:val="2775"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云平台存储虚拟化软件（按CPU数量授权）</w:t>
            </w:r>
          </w:p>
        </w:tc>
        <w:tc>
          <w:tcPr>
            <w:tcW w:w="83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跨磁盘、跨服务器的分布式存储策略，支持数据双副本、三副本存储。1.支持一键式安装部署，添加存储节点；支持一键添加数据存储磁盘或缓存磁盘，且支持一次添加一块或多块磁盘；（提供配置界面截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2.集群支持资源负载、虚拟机数量等多种负载均衡策略。支持数据配置多副本（两副本/三副本）存储，跨磁盘、跨节点、跨机架存储；（提供配置界面截图，）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3.★支持以图形化界面显示各个数据盘和缓存盘的状态、信息、容量使用情况等。（提供配置界面截图，）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4.支持对节点、磁盘、网络产生的相关故障进行告警。其中磁盘故障报警能准确到具体节点的某块磁盘，网络报警能够准确到具体节点的管理网络或数据网络。（提供以上所有故障告警界面截图，）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5.★支持服务器故障后，运行状态的虚拟机在线迁移，故障HA切换；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6.支持基于SSD盘/PCIe-SSD卡的分布式读写缓存加速。（提供配置界面截图，）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7.支持硬盘慢盘检测；（提供配置界面截图，）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8.支持数据自愈功能，新磁盘替换故障的旧磁盘，可通过备份数据自动重建。（提供配置界面截图，）</w:t>
            </w:r>
          </w:p>
        </w:tc>
      </w:tr>
      <w:tr>
        <w:tblPrEx>
          <w:tblCellMar>
            <w:top w:w="0" w:type="dxa"/>
            <w:left w:w="108" w:type="dxa"/>
            <w:bottom w:w="0" w:type="dxa"/>
            <w:right w:w="108" w:type="dxa"/>
          </w:tblCellMar>
        </w:tblPrEx>
        <w:trPr>
          <w:trHeight w:val="2445"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云平台网络虚拟化模块（按CPU数量授权）</w:t>
            </w:r>
          </w:p>
        </w:tc>
        <w:tc>
          <w:tcPr>
            <w:tcW w:w="83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 ★支持自定义全局网络拓扑，采用所画即所得的虚拟网络部署方式。需在自定义网络拓扑操作界面上提供云主机、物理网络、私有网络、路由器多个可拖拽组件进行组网。（提供配置界面截图，）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 ★支持对拖拽至编辑区域的多个组件采用自动布局或手动连线布局两种虚拟网络部署模式。（提供配置界面截图，）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 对于已组建完毕的虚拟网络，支持一键将虚拟网络拓扑图下载为图片存放在本地。（提供配置界面截图，）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 ★支持创建虚拟防火墙，并配置IP过滤规则，减少云平台受到的恶意攻击。（提供配置界面截图，）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 支持设置弹性IP，实现云主机内外网下的互通或隔离。（提供配置界面截图，）</w:t>
            </w:r>
          </w:p>
        </w:tc>
      </w:tr>
      <w:tr>
        <w:tblPrEx>
          <w:tblCellMar>
            <w:top w:w="0" w:type="dxa"/>
            <w:left w:w="108" w:type="dxa"/>
            <w:bottom w:w="0" w:type="dxa"/>
            <w:right w:w="108" w:type="dxa"/>
          </w:tblCellMar>
        </w:tblPrEx>
        <w:trPr>
          <w:trHeight w:val="4560"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云平台管理平台软件（按CPU数量授权）</w:t>
            </w:r>
          </w:p>
        </w:tc>
        <w:tc>
          <w:tcPr>
            <w:tcW w:w="83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一、基础功能1. 支持对云平台集群内vCPU、内存、存储使用情况以图表形式进行实时展示；2. 在同一个界面上显示整个云平台集群内物理主机、云主机、系统镜像、虚拟存储节点、物理网络、私有网络、虚拟网络的数量，便于对云平台概况进行快速认知；3. 支持指定集群内某台物理服务器做为时间同步服务器，确保集群内所有节点保持时间同步；4. 支持监控告警，用户可自定义配置监控告警策略，包括选择告警名称、监控周期、监控的云主机、CPU利用率、告警通知到的管理员等；（提供配置界面截图，）5. 创建管理员时支持设定管理员的手机及邮箱，便于异常告警时直接将告警信息发送至管理员手机或邮箱。（提供配置界面截图，）6. 支持对管理员进行权限划分，可设定管理员对资源调配及系统界面可见等权限。7. ★支持纳管VDI管理平台，实现对虚拟桌面进行管理，管理功能至少包括。（提供配置界面截图，）8. 支持纳管第三方主流虚拟化平台，支持对VMware平台上的虚拟机进行管理。（提供配置界面截图，） 二、迁移功能1.管理平台需内置同一品牌的P2V/V2V迁移工具，实现快速将原有物理服务器上的业务系统迁移至云主机。迁移过程中原宿主机不需要关机或重启。（提供配置界面截图，）2.★提供无需启动介质整机全场景自动重建恢复功能，可在迁移系统的Web控制台上为目标机做差异硬件驱动配置、系统IP/路由配置和脚本配置等各种必要的配置，实现任意品牌/技术的X86服务器、虚拟机和云主机之间的异构自动化迁移重建。（提供配置界面截图，）3.★迁移过程中，支持对目标主机的硬件环境进行检测及驱动配置，包括检测目标主机是否为异构平台，并从本地驱动库中自动匹配相应驱动。本地驱动库中无法完全匹配硬件驱动时，支持自动在“在线驱动库”查询对应的驱动程序。（提供配置界面截图，）4.★支持快速迁移技术，无须等待所有数据迁移到目标主机，只需要迁移关键热数据之后即可成功完成业务系统重建。（提供配置界面截图，）  </w:t>
            </w:r>
          </w:p>
        </w:tc>
      </w:tr>
      <w:tr>
        <w:tblPrEx>
          <w:tblCellMar>
            <w:top w:w="0" w:type="dxa"/>
            <w:left w:w="108" w:type="dxa"/>
            <w:bottom w:w="0" w:type="dxa"/>
            <w:right w:w="108" w:type="dxa"/>
          </w:tblCellMar>
        </w:tblPrEx>
        <w:trPr>
          <w:trHeight w:val="10735"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云终端</w:t>
            </w:r>
          </w:p>
        </w:tc>
        <w:tc>
          <w:tcPr>
            <w:tcW w:w="83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云终端管理设备要求：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1、CPU≥ARM 4核 1.6GHz，RAM≥1GB DOM≥8GB  Flash</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2、USB口≥4个，网卡：≥1个RJ45百兆以太网口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3、显示接口及个数≥1个VGA接口，≥1个HDMI接口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4、音频接口：音频输入/输出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5、TF卡接口≥1个（提供主机系统恢复功能，当主机系统故障可通过TF卡内数据恢复系统）。(投标时必须提供此功能现场演示视频)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6、电源输入交流≥100-240V,50/60H，输出直流≥ 5V 2A</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客户机上需要有≥3个状态指示灯，指示灯的闪烁和亮灭状态分别用以显示用户与虚拟桌面的连通情况，设备通电情况，有线网络情况和用户体验反馈。客户机本身不进行数据的计算,所有应用的执行和操作均在服务器端,本地不保留任何数据。(投标时必须提供此功能现场演示视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8、云终端必须支持通过接入U盘，读取U盘中的终端配置文件，完成云终端的用户名，密码，网络，认证服务器地址等配置的自动配置。方便管理员进行快速部署及提高管理维护的效率。</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9、必须支持用户和云终端一对一绑定，绑定后用户只能在所绑定的云终端上登陆，管理员可以在管理平台上解除绑定，加强云桌面的安全性(投标时必须提供此功能现场演示视频)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10、云终端可以设置编号，与物理位置对应，可通过终端管理平台修改，实现该编号自动同步显示在云桌面的桌面背景上；替换云桌面模板后，编号不改变 (投标时必须提供此功能现场演示视频)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11、开机logo，为便于资产管理，要求设置云终端开机logo显示专项采购专用字样“XX学校教学专用设备”</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其他要求：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需要提供云终端操作系统的计算机软件著作权登记证书。</w:t>
            </w:r>
          </w:p>
        </w:tc>
      </w:tr>
      <w:tr>
        <w:tblPrEx>
          <w:tblCellMar>
            <w:top w:w="0" w:type="dxa"/>
            <w:left w:w="108" w:type="dxa"/>
            <w:bottom w:w="0" w:type="dxa"/>
            <w:right w:w="108" w:type="dxa"/>
          </w:tblCellMar>
        </w:tblPrEx>
        <w:trPr>
          <w:trHeight w:val="6094"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云桌面虚拟化系统</w:t>
            </w:r>
          </w:p>
        </w:tc>
        <w:tc>
          <w:tcPr>
            <w:tcW w:w="83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基本配置要求1、持模板属性配置，至少可配置模板名称、信息描述、网络、CPU和内存资源2、连接服务器支持Linux环境下安装，支持虚拟机批量操作，例如批量创建、批量关联、批量修改。3、支持桌面池创建时可以指定起始IP，为虚拟机批量修改IP地址。4、★支持资源空闲回收功能，当个人桌面断开连接一定时间后（该时间可在管理平台设置）可实现自然关机或挂起，释放占用资源；(投标时必须提供此功能现场演示视频)5、控制台不需要安装任何客户端程序，直接通过浏览器以WEB形式访问，如在手机，IPAD上均能实现对虚拟化平台的管理。6、★可通过终端管理软件对终端客户端软件进行单台或批量更新操作，软件更新后，无需再次重复配置云终端、云桌面参数（服务器连接地址、编号等）；7、支持视频重定向，以提升播放流畅度及性能，本项目要求播放1080P高清视频，播放器CPU利用率必须低于15%，从而降低服务器资源消耗，提升虚拟机部署密度。8、支持远程协助功能，管理员在云桌面控制台中可以直接向需要协助的用户发起远程协助，用户桌面无需安装任何辅助软件。9、★云桌面要求支持微信扫码登陆，以提供更深维度的身份认证；管理员可以通过管理平台直接下发配置帮助虚机用户重置windows密码，方便维护。(投标时必须提供此功能现场演示视频)10、云桌面windows客户端必须支持从物理机系统直接拖拽文件到虚拟机中，必须支持从物理机复制文件文本内容并直接粘贴到虚拟机的文件中。 11、提供联动关机设置策略，可实现虚拟桌面正常关机时，终端设备自动关机；终端设备按电源键时虚拟桌面自动关机，终端异常断电时可根据策略实现虚拟机自动关机或挂起；12、支持VDI随机桌面池模式，随机桌面池模式在用户登录时能自动识别可用的虚拟机，且无需将用户与虚拟机绑定，实现桌面级别冗余；13、大小屏互动：云桌面必须支持同一用户、同一时间在云终端和移动终端上面登陆使用，在云终端和移动终端上面的操作实时同步。(投标时必须提供此功能现场演示视频)14、★支持虚拟化平台加入云服务中心，加入云服务中心后，可实现对多个虚拟化平台的集中管理、运行状态监控及使用情况大数据分析。(提供配置界面截图)15、用户在使用虚拟机管理平台时，遇到无法解决的问题，可以点击界面上的技术支持按钮，获取技术人员的在线帮助。★16、虚拟桌面能够识别不少于18类的USB设备，针对不同类型的USB设备能够精确的识别并控制使用权限，管理员可以自定义USB设备类型并控制使用权限。(投标时必须提供此功能现场演示视频)</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★其他要求：</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1、提供桌面虚拟化的计算机软件著作权登记证书，服务器虚拟化的计算机软件著作权登记证书；</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2、虚拟化平台集中管理的计算机软件著作权登记证书复印件。提供云桌面系统ISO14001、ISO18001、OHSAS18001认证证书复印件。</w:t>
            </w:r>
          </w:p>
        </w:tc>
      </w:tr>
      <w:tr>
        <w:tblPrEx>
          <w:tblCellMar>
            <w:top w:w="0" w:type="dxa"/>
            <w:left w:w="108" w:type="dxa"/>
            <w:bottom w:w="0" w:type="dxa"/>
            <w:right w:w="108" w:type="dxa"/>
          </w:tblCellMar>
        </w:tblPrEx>
        <w:trPr>
          <w:trHeight w:val="6878"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电子教室软件</w:t>
            </w:r>
          </w:p>
        </w:tc>
        <w:tc>
          <w:tcPr>
            <w:tcW w:w="83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1.电子教室软件正版授权通过U-key方式认证，支持Windows10， Windows 7操作系统，C/S模式，并且可无缝兼容其它教学软件。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2.屏幕广播：电子教室软件需具备屏幕广播功能，开启屏幕广播时默认同时开启教师机本机声音广播，在屏幕广播时也可取消本机声音广播；屏幕广播时学生机屏幕及键鼠被锁定，无法进行其他操作。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离线广播：为保障教学广播的高可用，减少教学事故的发生，电子教室软件需支持离线广播功能，在断网或网络环境较差情况下，服务器宕机，云终端无法登录云桌面的状态下，教师端可直接对学生端进行屏幕广播及语音广播。</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4.电子教室软件教师端支持为学生端统一加载指定课程模板，并且支持切换课程，并完成学生端远程开关机操作。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5.电子教室软件教师端支持点名签到功能，可设置签到时间，时间截止自动停止签到；学生端签到信息支持以表格形式导出，便于教师掌握学生到勤信息；签到完成后，对学生端进行统一的座位号+姓名命名。</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6.电子教室软件教师端支持统一关闭虚拟机，及统一关闭虚拟机及学生终端。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7.电子教室软件教师端支持将文件下发给学生端，可显示对每个学生端下发过程状态；因网络问题造成的文件下发失败，可单独对学生端进行重发操作。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8.电子教室软件教师端未开启提交作业权限时，学生端不可提交作业。开启作业提交权限时，学生端方可可自主提交作业；学生端提交的作业文件可以座位号+姓名命名保存在指定文件夹中。</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9.电子软件教师端可对所有、部分、单个学生进行禁网、锁屏操作。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 电子软件教师端可对学生端桌面进行屏幕监控，学生桌面以缩略图的形式展示在教师端主界面上，定时刷新。</w:t>
            </w:r>
          </w:p>
        </w:tc>
      </w:tr>
      <w:tr>
        <w:tblPrEx>
          <w:tblCellMar>
            <w:top w:w="0" w:type="dxa"/>
            <w:left w:w="108" w:type="dxa"/>
            <w:bottom w:w="0" w:type="dxa"/>
            <w:right w:w="108" w:type="dxa"/>
          </w:tblCellMar>
        </w:tblPrEx>
        <w:trPr>
          <w:trHeight w:val="810"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键盘鼠标</w:t>
            </w:r>
          </w:p>
        </w:tc>
        <w:tc>
          <w:tcPr>
            <w:tcW w:w="83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19寸LED显示器，1440*900+USB口键盘鼠标套装</w:t>
            </w:r>
          </w:p>
        </w:tc>
      </w:tr>
      <w:tr>
        <w:tblPrEx>
          <w:tblCellMar>
            <w:top w:w="0" w:type="dxa"/>
            <w:left w:w="108" w:type="dxa"/>
            <w:bottom w:w="0" w:type="dxa"/>
            <w:right w:w="108" w:type="dxa"/>
          </w:tblCellMar>
        </w:tblPrEx>
        <w:trPr>
          <w:trHeight w:val="2190"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教室终端台式机</w:t>
            </w:r>
          </w:p>
        </w:tc>
        <w:tc>
          <w:tcPr>
            <w:tcW w:w="83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CPU:Intel core i5-7500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内存：8GB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硬盘：256GB SSD，1TB SATA</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USB接口：3*USB 3.0+3*USB 2.0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显示接口：1*HDMI+1*VGA</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音频接口：输入/输出接口各1个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网口：RJ45千兆*1</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电源：19V 2.1A</w:t>
            </w:r>
          </w:p>
        </w:tc>
      </w:tr>
      <w:tr>
        <w:tblPrEx>
          <w:tblCellMar>
            <w:top w:w="0" w:type="dxa"/>
            <w:left w:w="108" w:type="dxa"/>
            <w:bottom w:w="0" w:type="dxa"/>
            <w:right w:w="108" w:type="dxa"/>
          </w:tblCellMar>
        </w:tblPrEx>
        <w:trPr>
          <w:trHeight w:val="645"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接入交换机</w:t>
            </w:r>
          </w:p>
        </w:tc>
        <w:tc>
          <w:tcPr>
            <w:tcW w:w="83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接入交换机  背板带宽大于等于256Gbps   转发包大于85Mbps</w:t>
            </w:r>
          </w:p>
        </w:tc>
      </w:tr>
      <w:tr>
        <w:tblPrEx>
          <w:tblCellMar>
            <w:top w:w="0" w:type="dxa"/>
            <w:left w:w="108" w:type="dxa"/>
            <w:bottom w:w="0" w:type="dxa"/>
            <w:right w:w="108" w:type="dxa"/>
          </w:tblCellMar>
        </w:tblPrEx>
        <w:trPr>
          <w:trHeight w:val="4995"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桌面云服务器一体机</w:t>
            </w:r>
          </w:p>
        </w:tc>
        <w:tc>
          <w:tcPr>
            <w:tcW w:w="83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★技术参数要求：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1.规格：19英寸工业标准2U机架式服务器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2.CUP ：≥2颗Intel Xeon E5或Sliver系列12核心 主频2.2</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3.内存：≥128GB DDR4内存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4.硬盘：≥1块480G SSD硬盘 和1块4T SATA 硬盘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5.网卡：≥4个千兆以太网控制器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云管理平台软件功能要求：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云主机断电保护功能：虚拟化平台可与UPS设备联动，自动感知外部的突然断电情况，并在设定的时间内关闭云主机系统，确保在UPS供电期间云主机温暖下线，避免异常断电造成的数据丢失，提高虚拟化平台的可靠性。(此功能中标单位需在验收的时候演示，如果不能演示出来，中标单位做虚假应标处理，并承担相关责任)</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2.虚拟化平台支持关机计划，可以设置在某个时间点云主机定时关机，节省能源消耗。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必须支持在共享存储或无存储两种架构下，多台云主机可以组成HA群集环境，以保障整个平台的高可用性，支撑持续的用户服务（无存储架构下，要求不同云主机之间，模板数据支持同步备份，满足迁移需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4.系统备份还原：中文版备份还原软件，，支持windows/Linux操作系统的本地及网络备份还原功能；支持USB移动硬盘、光盘备份设备，可实现一次进行多个磁盘或分区的备份。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 通过同一管理平台界面，能够提供性能监控功能，对云主机的CPU、网络、磁盘使用率等指标的实时数据统计，并且对云主机硬件进行维护和诊断，包括RAID配置，系统安装等。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 云管理平台集成共享空间功能，无需借助第三方软件的前提下，在共享空间中上传的内容可以让每个用户内访问。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7.提供服务器虚拟化的计算机软件著作权复印件</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8.★与云桌面系统同一品牌。</w:t>
            </w:r>
          </w:p>
        </w:tc>
      </w:tr>
      <w:tr>
        <w:tblPrEx>
          <w:tblCellMar>
            <w:top w:w="0" w:type="dxa"/>
            <w:left w:w="108" w:type="dxa"/>
            <w:bottom w:w="0" w:type="dxa"/>
            <w:right w:w="108" w:type="dxa"/>
          </w:tblCellMar>
        </w:tblPrEx>
        <w:trPr>
          <w:trHeight w:val="1565"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WEB应用防火墙</w:t>
            </w:r>
          </w:p>
        </w:tc>
        <w:tc>
          <w:tcPr>
            <w:tcW w:w="83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单交流电源；含10*GE电口，2*combo口，500G硬盘；网络吞吐性能2Gbps；最大并发连接数大于100万，每秒新建HTTP连接数大于3.5万。（默认combo接口不带光模块）。IPSEC VPN功能，攻击防护，访问控制功能，用户认证功能，链路负载均衡功能、流量控制功能。关键字过滤和基于超过2000万域名的URL数据库可以帮助管理员轻松设置禁止访问的网页，控制对不良网站的访问。支持大病毒文件的扫描，实时病毒连接阻断，病毒事件记录，支持常见病毒传输协议HTTP、FTP及各种邮件协议扫描。基于状态、精准的高性能攻击检测和防御，实时攻击源阻断、IP 屏蔽、攻击事件记录，支持针对多种协议和应用的攻击检测和防御，支持SQL注入和XSS防御、外链防护和Web访问控制，IPS性能（256byte）大于914Mbps。1、云端威胁情报订阅模块：提供威胁情报离线库并支持更新。2、提供攻击主机、僵尸网络、病毒木马、恶意软件、APT情报、恶意邮件等情报的活跃时间、可信度、家族分类，可应用于本产品的实时分析；3、设备支持在线查询与溯源：云端提供对IoC威胁类型、多源情报、WHOIS、开放端口、SSL证书等多维度的溯源分析；4、云端服务：支持订阅高级威胁分析情报，云端提供最新APT入侵、0day漏洞预警、病毒变种情况等分析报告订阅。</w:t>
            </w:r>
          </w:p>
        </w:tc>
      </w:tr>
      <w:tr>
        <w:tblPrEx>
          <w:tblCellMar>
            <w:top w:w="0" w:type="dxa"/>
            <w:left w:w="108" w:type="dxa"/>
            <w:bottom w:w="0" w:type="dxa"/>
            <w:right w:w="108" w:type="dxa"/>
          </w:tblCellMar>
        </w:tblPrEx>
        <w:trPr>
          <w:trHeight w:val="960"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上网行为管理</w:t>
            </w:r>
          </w:p>
        </w:tc>
        <w:tc>
          <w:tcPr>
            <w:tcW w:w="83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标准1U设备，4个千兆电口，带宽性能≥100Mb，支持用户数≥800人，2个USB2.0，1个RJ45串口，支持故障时Bypass。其中包含上网认证、终端检查、访问控制、行为监控、外发管理、带宽管理等一系列功能</w:t>
            </w:r>
          </w:p>
        </w:tc>
      </w:tr>
    </w:tbl>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jc w:val="center"/>
        <w:rPr>
          <w:rFonts w:hint="eastAsia" w:ascii="宋体" w:hAnsi="宋体" w:cs="宋体"/>
          <w:b/>
          <w:bCs/>
          <w:i w:val="0"/>
          <w:iCs/>
          <w:color w:val="000000"/>
          <w:sz w:val="21"/>
          <w:szCs w:val="21"/>
        </w:rPr>
      </w:pPr>
      <w:r>
        <w:rPr>
          <w:rFonts w:hint="eastAsia" w:ascii="宋体" w:hAnsi="宋体" w:cs="宋体"/>
          <w:b/>
          <w:bCs/>
          <w:i w:val="0"/>
          <w:iCs/>
          <w:color w:val="000000"/>
          <w:sz w:val="30"/>
          <w:szCs w:val="30"/>
        </w:rPr>
        <w:t>（七）智慧互动教室</w:t>
      </w:r>
    </w:p>
    <w:tbl>
      <w:tblPr>
        <w:tblStyle w:val="47"/>
        <w:tblpPr w:leftFromText="180" w:rightFromText="180" w:vertAnchor="text" w:horzAnchor="page" w:tblpX="1316" w:tblpY="2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591"/>
        <w:gridCol w:w="2190"/>
        <w:gridCol w:w="4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设备名称</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单位</w:t>
            </w:r>
          </w:p>
        </w:tc>
        <w:tc>
          <w:tcPr>
            <w:tcW w:w="4036"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7.1</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智慧课堂教学系统</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36"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7.2</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互动终端主机</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4036"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7.3</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全方位高清课堂互动终端（学生）</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36"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7.4</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全方位高清课堂互动终端（教师）</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36"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7.5</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充电柜</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36"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7.6</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9.7寸墨水瓶阅读器（不带笔））</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36"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w:t>
            </w:r>
          </w:p>
        </w:tc>
      </w:tr>
    </w:tbl>
    <w:p>
      <w:pPr>
        <w:pStyle w:val="2"/>
        <w:spacing w:line="400" w:lineRule="exact"/>
        <w:rPr>
          <w:rFonts w:hint="eastAsia" w:ascii="宋体" w:hAnsi="宋体" w:cs="宋体"/>
          <w:b/>
          <w:bCs/>
          <w:color w:val="000000"/>
          <w:sz w:val="21"/>
          <w:szCs w:val="21"/>
        </w:rPr>
      </w:pPr>
      <w:r>
        <w:rPr>
          <w:rFonts w:hint="eastAsia" w:ascii="宋体" w:hAnsi="宋体" w:cs="宋体"/>
          <w:b/>
          <w:bCs/>
          <w:i w:val="0"/>
          <w:iCs/>
          <w:color w:val="000000"/>
          <w:sz w:val="21"/>
          <w:szCs w:val="21"/>
        </w:rPr>
        <w:t>详细参数</w:t>
      </w:r>
    </w:p>
    <w:p>
      <w:pPr>
        <w:pStyle w:val="2"/>
        <w:spacing w:line="400" w:lineRule="exact"/>
        <w:rPr>
          <w:rFonts w:hint="eastAsia" w:ascii="宋体" w:hAnsi="宋体" w:cs="宋体"/>
          <w:b/>
          <w:bCs/>
          <w:color w:val="000000"/>
          <w:sz w:val="21"/>
          <w:szCs w:val="21"/>
        </w:rPr>
      </w:pPr>
    </w:p>
    <w:tbl>
      <w:tblPr>
        <w:tblStyle w:val="47"/>
        <w:tblW w:w="97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9" w:hRule="atLeast"/>
        </w:trPr>
        <w:tc>
          <w:tcPr>
            <w:tcW w:w="1293" w:type="dxa"/>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智慧课堂教学系统</w:t>
            </w:r>
          </w:p>
        </w:tc>
        <w:tc>
          <w:tcPr>
            <w:tcW w:w="8410" w:type="dxa"/>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和一体机、电子白板等教学多媒体显示设备无线连接，实时展示学生学习的视频画面，同时无线互动终端连接设备数量不低于25个，无线传输距离可达50米。2、教师可以随时调用任何一位学生的学习画面（包含解题过程，书写过程，绘画过程，弹奏过程，手工过程，实验过程，阅读过程中的所有细节）,同步显现到大屏幕，进行互动教学。3、支持电子白板讲解批注功能，可以画线、手写、黑板刷可鼠标滚动缩放，可以随时拍照、录像、对展示和批注内容保存。4、支持分屏对比教学功能，支持双画面同屏展示进行对比教学，对比内容支持即时拍照、调用外部图像和视频文件，在每一个对比窗口都可以调用任意一个学生或者小组学习画面。★5、支持电脑屏幕、实物展示的视频录制,支持一键切换桌面和实物展示画面录制成同一视频文件，视频格式MP4，无须二次转换。6、课堂管理支持点名功能，用于学生签到，点名成功后，设备端会显示当前学生名字及课堂管理页面在对应座位上显示已点名的学生名字。7、具有按键投屏功能，老师开放抢答功能，学生无线互动终端可以显示抢答开始，抢答完毕，第一个抢答到的学生学习桌面的画面会直接显示在大屏。8、具有课堂抢答功能，该功能可以直接打开教师无线互动终端，拍摄需要抢答的题目画面，老师点击“开始”按钮，设备进入抢答状态，学生开始抢答，同时左上角计时器开始计时；在有学生抢答后，计时器停止计时，当前抢答学生名字高亮，系统进入课堂抢答的答题环节。★9、课堂抢答的答题环节时，无线互动终端的LED屏幕上，会显示“抢答”字样，抢答成功的学生只需要按确定键即可进行抢答。★10、具有课堂测验功能，该功能可以直接打开教师无线互动终端拍摄题目画面，老师可以根据题型，选择是判断题还是选择题，选择题型确认开始，计时器开始计时，所有学生开始答题，系统进入课堂测验答题环节。11、在课堂测验答题环节，无线互动终端的LED屏幕上，会显示“选择题”或“判断题”字样，学生只需要按学生无线互动终端上的“ABCD”选项按钮或者“对”“错”进行选择，然后按确认键，即可提交答案。对已提交过答案的学生在软件上名字高亮显示。在所有学生答题结束后，老师按“结束答题”，系统进入课堂测验的结束答题环节。★12、在课堂测验的结束答题环节，系统提示老师选择该题正确答案，在老师选择正确答案后，系统自动显示当前学生答题的正确率、错误率等答题统计图表。13、每次结束答题后，当前题目和学生的答题情况会自动上传到云端，进行数据分析；14、具有大数据分析模块，可以即时显示分析结果15、具有题目总数量统计功能，可以统计该老师出过的题目总数量16、具有课程总数量统计功能，可以分析该老师上过的课程总数量17、具有班级列表管理功能 ，可以列出该老师已加入的所有班级18、统计答题总人数的功能，分析参与答题的学生总人次。19、统计答对总人数的功能，分析所有答题正确的学生总人次。20、统计答错总人数的功能，分析所有答题错误的学生总人次。21、统计答题总平均时间的功能，分析所有答题学生平均每道题用时时长。22、统计答题总正确率的功能，可以分析所有学生的答题正确率。23、可以根据题目，分析学生的答题情况。以直方图、饼图形式呈现统计结果，也有表格显示详细分析报表。★28.支持一键生成错题本功能29.须与课堂互动终端（教师机）及课堂互动终端（学生机）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293" w:type="dxa"/>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互动终端主机</w:t>
            </w:r>
          </w:p>
        </w:tc>
        <w:tc>
          <w:tcPr>
            <w:tcW w:w="8410" w:type="dxa"/>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支持课堂无线互动终端学生机和老师机同时自动连接，支持连接数量可达25台。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1293" w:type="dxa"/>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全方位高级课堂互动终端（学生） </w:t>
            </w:r>
          </w:p>
        </w:tc>
        <w:tc>
          <w:tcPr>
            <w:tcW w:w="8410" w:type="dxa"/>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1.像素：800万自动对焦(分辨率3264*2448)</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2.帧数：无线720P和1080P不低于30帧/秒；3.最大拍摄幅面：A2幅面，图像色彩 RGB24位真彩，拍摄速度≤1秒；</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4.万向软管式设计，任意方向可调。可以微距显示（拍摄清楚线路板IC型号）也可以拍摄超大A2幅面(拍摄大场面实训，创客场景）；</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5.插拔式底座双用，底座和机身可分离，分离后产品可以夹于桌边。</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6.图片格式JPG，视频格式MP4；</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7. 连接方式：支持无线WIFI多点连接，无线传输频率300M/S；</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8.底座带有A，B，C，D,对，错，确认，取消，八个机械按键；</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9.底座带有可以和教学电脑一体机互动显示的LED显示屏；</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10.内置可以读取学生卡的读卡装置</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11. 确认按键可以在特定状态显示为抢答投屏的功能</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12. 对错按键可以在特定状态，转换为E,F的功能</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13.光源：自然光、LED灯补光 。</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★14.与智慧课堂教学系统及平台同一品牌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1293" w:type="dxa"/>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全方位高级课堂互动终端（教师） </w:t>
            </w:r>
          </w:p>
        </w:tc>
        <w:tc>
          <w:tcPr>
            <w:tcW w:w="8410" w:type="dxa"/>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1.像素：800万自动对焦（分辨率3264*2448）；</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2.帧数：无线720P和1080P不低于30帧/秒；</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3.最大拍摄幅面：最大拍摄幅面A2，最短拍摄距离8cm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★4.万向软管式设计，任意方向可调。可以微距显示（拍摄清楚线路板IC型号）也可以拍摄超大A2幅面(拍摄大场面实训，创客场景）。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★5.插拔式底座双用，底座和机身可分离，分离后产品可以夹于桌边。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6.图片格式JPG,视频格式MP4</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 连接方式：无线传输频率300M/S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8.光源：自然光、LED灯补光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9.同时连接多媒体显示设备（一体机，电子白板，纳米黑板）最大连接数为60台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10.需支持在视频采集服务器的课堂互动软件中选取任意互动终端展示实时教学、作业、书写、实验等实时视频。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11、与智慧课堂教学系统及平台同一品牌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293" w:type="dxa"/>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充电柜</w:t>
            </w:r>
          </w:p>
        </w:tc>
        <w:tc>
          <w:tcPr>
            <w:tcW w:w="8410" w:type="dxa"/>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充电设备：全方位高级课堂互动终端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充电数量：10台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输入电压：110-250V  220W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充电电压：5V/44A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293" w:type="dxa"/>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9.7寸墨水屏阅读器（不带笔）</w:t>
            </w:r>
          </w:p>
        </w:tc>
        <w:tc>
          <w:tcPr>
            <w:tcW w:w="8410" w:type="dxa"/>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一、硬件要求1、屏幕：9.7" E ink Carta，屏体分辨率：1200x825(150ppi)，灰度：16级，对比度：12:1，多点触摸：支持2点触控，触摸方式：电容触控，书写屏表面硬度：3H2、CPU: Cortex-A9 四核 主频1.6G Hz。运行内存：1G DDR3L；内置存储：16G。操作系统：Android 4.0。电池类型：2800mAh Polymer Li-on。网络：WiFi (802.11b/g/n)。数据传输：Micro usb 2.03、适配器：5.0V，1A。机身尺寸：249*177*8mm。产品颜色：黑色。重量：≤ 355g二、资源与功能1、提供不少于6000本适合中小学使用的高清电子图书，图书资源针对小学、初中、高中提供不同的版本，并按照学生、成人（家长、老师）身份设定了不同的图书分类方式；图书内容定期更新，每月更新量不少于150本。2、通过在线书城下载，可直接阅读原版文本全文。★3、提供不少于500套适合中小学学生的图书测评题库，根据图书内容进行测评，可在线答题，在线获得测评结果。4、可提供学生用户个人阅读能力雷达图、阅读图书数量、阅读图书类别、测评通过正确率等数据。5、支持成人用户、学生用户账号切换，学生用户支持图书下载、图书阅读、图书测评、读后感写作、数据统计等功能；成人用户支持学习通账号关联、图书推送、图书下载、图书阅读、数据统计等功能。6、支持PDF, EPUB , TXT, DJVU, HTML, RTF, FB2, DOC, MOBI, CHM 等格式本地图书导入阅读；支持PNG, JPG,TIFF ,BMP等格式图片导入显示；支持MP3等音频格式文件导入播放。7、支持图书字体切换、文字批注、字典、复制粘贴、书签等阅读功能。★8、支持机构定制资源库配置。★9、可对接校园阅读系统，实现账号、资源、数据打通，支持教师发布阅读任务，学生接收阅读任务，教师接收阅读任务反馈的阅读任务管理流程。★10、可对接智慧课堂系统，实现账号、资源、数据打通，支持教师发布签到、投票、选人、讨论等课堂互动任务及课堂资料，学生接收互动任务及课堂资料，教师回收任务反馈的智慧课堂管理流程。</w:t>
            </w:r>
          </w:p>
        </w:tc>
      </w:tr>
    </w:tbl>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jc w:val="center"/>
        <w:rPr>
          <w:rFonts w:hint="eastAsia" w:ascii="宋体" w:hAnsi="宋体" w:cs="宋体"/>
          <w:b/>
          <w:bCs/>
          <w:i w:val="0"/>
          <w:iCs/>
          <w:color w:val="000000"/>
          <w:kern w:val="0"/>
          <w:sz w:val="30"/>
          <w:szCs w:val="30"/>
        </w:rPr>
      </w:pPr>
      <w:r>
        <w:rPr>
          <w:rFonts w:hint="eastAsia" w:ascii="宋体" w:hAnsi="宋体" w:cs="宋体"/>
          <w:b/>
          <w:bCs/>
          <w:i w:val="0"/>
          <w:iCs/>
          <w:color w:val="000000"/>
          <w:sz w:val="30"/>
          <w:szCs w:val="30"/>
        </w:rPr>
        <w:t>（八）</w:t>
      </w:r>
      <w:r>
        <w:rPr>
          <w:rFonts w:hint="eastAsia" w:ascii="宋体" w:hAnsi="宋体" w:cs="宋体"/>
          <w:b/>
          <w:bCs/>
          <w:i w:val="0"/>
          <w:iCs/>
          <w:color w:val="000000"/>
          <w:kern w:val="0"/>
          <w:sz w:val="30"/>
          <w:szCs w:val="30"/>
        </w:rPr>
        <w:t>互联网校园电视台</w:t>
      </w:r>
    </w:p>
    <w:p>
      <w:pPr>
        <w:spacing w:line="4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 xml:space="preserve">   本方案的设计是根据我校教育信息化建设的现状以及实际需求定位，遵循“先进性、实用性、开放性、标准化、可靠性、稳定性、可扩展性、易升级性、安全性、保密性、易维护性、可管理性”设计原则。</w:t>
      </w:r>
    </w:p>
    <w:p>
      <w:pPr>
        <w:spacing w:line="4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先进性原则：校园电视台建设采用先进的思想、成熟的技术与设计方法，符合当前潮流与未来发展趋势，以便跟上信息技术的发展，具有较强的生命力，具有长期使用价值。</w:t>
      </w:r>
    </w:p>
    <w:p>
      <w:pPr>
        <w:spacing w:line="4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 xml:space="preserve">开放性原则：校园电视台建设具有良好的开放性和兼容性。采用面向服务的公共管理平台，通过信息门户、统一身份认证和公共数据交换，整合、集成各类应用系统和各种信息资源，以尊重历史、满足现状、适应发展。 </w:t>
      </w:r>
    </w:p>
    <w:p>
      <w:pPr>
        <w:spacing w:line="4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标准化原则：校园电视台建设符合国家及地方教育信息化建设标准以及业界主流标准、规范，包括基础架构与各个应用系统，包括系统集成与数据整合，均遵循标准化原则，不依赖特定的网络、系统软件与硬件，能够部署并运行在各种主流的软硬件环境中。</w:t>
      </w:r>
    </w:p>
    <w:p>
      <w:pPr>
        <w:spacing w:line="4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 xml:space="preserve">可靠性原则：校园电视台建设支撑着整个学校的日常管理，必须具有高可靠性、高容错性和强大的数据处理能力。使用成熟的热备份技术和集群技术，以确保不间断运行、确保局部出错不影响整体、确保快速响应。 </w:t>
      </w:r>
    </w:p>
    <w:p>
      <w:pPr>
        <w:spacing w:line="4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稳定性原则：校园电视台建设必须具有良好的稳定性，保证持续运行时间长、故障间隔大、无故障时间长。</w:t>
      </w:r>
    </w:p>
    <w:p>
      <w:pPr>
        <w:spacing w:line="4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可扩展性原则：校园电视台建设必须具有良好的可扩展性，对于管理模式的变化、组织机构职能的调整、业务流程的改变等，能够通过规则引擎简便配置即可快速适应变化、满足需求。</w:t>
      </w:r>
    </w:p>
    <w:p>
      <w:pPr>
        <w:spacing w:line="4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易升级性原则：校园电视台建设采用独创的版本控制机制与更新包技术，能够简便快捷地完成平台整体或部分的版本升级。</w:t>
      </w:r>
    </w:p>
    <w:tbl>
      <w:tblPr>
        <w:tblStyle w:val="47"/>
        <w:tblpPr w:leftFromText="180" w:rightFromText="180" w:vertAnchor="text" w:horzAnchor="page" w:tblpX="1316" w:tblpY="2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591"/>
        <w:gridCol w:w="2190"/>
        <w:gridCol w:w="4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序号</w:t>
            </w:r>
          </w:p>
        </w:tc>
        <w:tc>
          <w:tcPr>
            <w:tcW w:w="2591"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设备名称</w:t>
            </w:r>
          </w:p>
        </w:tc>
        <w:tc>
          <w:tcPr>
            <w:tcW w:w="2190"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单位</w:t>
            </w:r>
          </w:p>
        </w:tc>
        <w:tc>
          <w:tcPr>
            <w:tcW w:w="4006"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8.1</w:t>
            </w:r>
          </w:p>
        </w:tc>
        <w:tc>
          <w:tcPr>
            <w:tcW w:w="2591"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双机位虚拟演播室</w:t>
            </w:r>
          </w:p>
        </w:tc>
        <w:tc>
          <w:tcPr>
            <w:tcW w:w="2190" w:type="dxa"/>
            <w:noWrap w:val="0"/>
            <w:vAlign w:val="center"/>
          </w:tcPr>
          <w:p>
            <w:pPr>
              <w:spacing w:line="400" w:lineRule="exact"/>
              <w:ind w:firstLine="840" w:firstLineChars="400"/>
              <w:rPr>
                <w:rFonts w:hint="eastAsia" w:ascii="宋体" w:hAnsi="宋体" w:eastAsia="宋体" w:cs="宋体"/>
                <w:color w:val="000000"/>
                <w:kern w:val="0"/>
                <w:szCs w:val="21"/>
              </w:rPr>
            </w:pPr>
            <w:r>
              <w:rPr>
                <w:rFonts w:hint="eastAsia" w:ascii="宋体" w:hAnsi="宋体" w:eastAsia="宋体" w:cs="宋体"/>
                <w:color w:val="000000"/>
                <w:kern w:val="0"/>
                <w:szCs w:val="21"/>
              </w:rPr>
              <w:t>台</w:t>
            </w:r>
          </w:p>
        </w:tc>
        <w:tc>
          <w:tcPr>
            <w:tcW w:w="4006"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8.2</w:t>
            </w:r>
          </w:p>
        </w:tc>
        <w:tc>
          <w:tcPr>
            <w:tcW w:w="2591"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专业操作面板</w:t>
            </w:r>
          </w:p>
        </w:tc>
        <w:tc>
          <w:tcPr>
            <w:tcW w:w="2190"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tc>
        <w:tc>
          <w:tcPr>
            <w:tcW w:w="4006"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8.3</w:t>
            </w:r>
          </w:p>
        </w:tc>
        <w:tc>
          <w:tcPr>
            <w:tcW w:w="2591"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23寸LED背光液晶显示器</w:t>
            </w:r>
          </w:p>
        </w:tc>
        <w:tc>
          <w:tcPr>
            <w:tcW w:w="2190"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tc>
        <w:tc>
          <w:tcPr>
            <w:tcW w:w="4006"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8.4</w:t>
            </w:r>
          </w:p>
        </w:tc>
        <w:tc>
          <w:tcPr>
            <w:tcW w:w="2591"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广播级4K专业摄像机</w:t>
            </w:r>
          </w:p>
        </w:tc>
        <w:tc>
          <w:tcPr>
            <w:tcW w:w="2190"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tc>
        <w:tc>
          <w:tcPr>
            <w:tcW w:w="4006"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8.5</w:t>
            </w:r>
          </w:p>
        </w:tc>
        <w:tc>
          <w:tcPr>
            <w:tcW w:w="2591"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铝合金三脚架</w:t>
            </w:r>
          </w:p>
        </w:tc>
        <w:tc>
          <w:tcPr>
            <w:tcW w:w="2190"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tc>
        <w:tc>
          <w:tcPr>
            <w:tcW w:w="4006"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8.6</w:t>
            </w:r>
          </w:p>
        </w:tc>
        <w:tc>
          <w:tcPr>
            <w:tcW w:w="2591"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三脚架滑轮轴组</w:t>
            </w:r>
          </w:p>
        </w:tc>
        <w:tc>
          <w:tcPr>
            <w:tcW w:w="2190"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tc>
        <w:tc>
          <w:tcPr>
            <w:tcW w:w="4006"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exact"/>
        </w:trPr>
        <w:tc>
          <w:tcPr>
            <w:tcW w:w="843"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8.7</w:t>
            </w:r>
          </w:p>
        </w:tc>
        <w:tc>
          <w:tcPr>
            <w:tcW w:w="2591"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便携式机位移动及虚拟演播室</w:t>
            </w:r>
          </w:p>
        </w:tc>
        <w:tc>
          <w:tcPr>
            <w:tcW w:w="2190"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tc>
        <w:tc>
          <w:tcPr>
            <w:tcW w:w="4006"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8.8</w:t>
            </w:r>
          </w:p>
        </w:tc>
        <w:tc>
          <w:tcPr>
            <w:tcW w:w="2591"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HD/SDI移动录播工作站</w:t>
            </w:r>
          </w:p>
        </w:tc>
        <w:tc>
          <w:tcPr>
            <w:tcW w:w="2190"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tc>
        <w:tc>
          <w:tcPr>
            <w:tcW w:w="4006"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8.9</w:t>
            </w:r>
          </w:p>
        </w:tc>
        <w:tc>
          <w:tcPr>
            <w:tcW w:w="2591"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落地电视移动和支架</w:t>
            </w:r>
          </w:p>
        </w:tc>
        <w:tc>
          <w:tcPr>
            <w:tcW w:w="2190"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tc>
        <w:tc>
          <w:tcPr>
            <w:tcW w:w="4006"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8.10</w:t>
            </w:r>
          </w:p>
        </w:tc>
        <w:tc>
          <w:tcPr>
            <w:tcW w:w="2591"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便携题词套装</w:t>
            </w:r>
          </w:p>
        </w:tc>
        <w:tc>
          <w:tcPr>
            <w:tcW w:w="2190"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tc>
        <w:tc>
          <w:tcPr>
            <w:tcW w:w="4006"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8.11</w:t>
            </w:r>
          </w:p>
        </w:tc>
        <w:tc>
          <w:tcPr>
            <w:tcW w:w="2591"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10路调音台</w:t>
            </w:r>
          </w:p>
        </w:tc>
        <w:tc>
          <w:tcPr>
            <w:tcW w:w="2190"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台</w:t>
            </w:r>
          </w:p>
        </w:tc>
        <w:tc>
          <w:tcPr>
            <w:tcW w:w="4006"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8.12</w:t>
            </w:r>
          </w:p>
        </w:tc>
        <w:tc>
          <w:tcPr>
            <w:tcW w:w="2591"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主持人无线领夹话筒</w:t>
            </w:r>
          </w:p>
        </w:tc>
        <w:tc>
          <w:tcPr>
            <w:tcW w:w="2190"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tc>
        <w:tc>
          <w:tcPr>
            <w:tcW w:w="4006"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8.13</w:t>
            </w:r>
          </w:p>
        </w:tc>
        <w:tc>
          <w:tcPr>
            <w:tcW w:w="2591"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监听音箱</w:t>
            </w:r>
          </w:p>
        </w:tc>
        <w:tc>
          <w:tcPr>
            <w:tcW w:w="2190" w:type="dxa"/>
            <w:noWrap w:val="0"/>
            <w:vAlign w:val="center"/>
          </w:tcPr>
          <w:p>
            <w:pPr>
              <w:spacing w:line="400" w:lineRule="exact"/>
              <w:ind w:firstLine="840" w:firstLineChars="400"/>
              <w:rPr>
                <w:rFonts w:hint="eastAsia" w:ascii="宋体" w:hAnsi="宋体" w:eastAsia="宋体" w:cs="宋体"/>
                <w:color w:val="000000"/>
                <w:kern w:val="0"/>
                <w:szCs w:val="21"/>
              </w:rPr>
            </w:pPr>
            <w:r>
              <w:rPr>
                <w:rFonts w:hint="eastAsia" w:ascii="宋体" w:hAnsi="宋体" w:eastAsia="宋体" w:cs="宋体"/>
                <w:color w:val="000000"/>
                <w:kern w:val="0"/>
                <w:szCs w:val="21"/>
              </w:rPr>
              <w:t>台</w:t>
            </w:r>
          </w:p>
        </w:tc>
        <w:tc>
          <w:tcPr>
            <w:tcW w:w="4006"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8.14</w:t>
            </w:r>
          </w:p>
        </w:tc>
        <w:tc>
          <w:tcPr>
            <w:tcW w:w="2591"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立体声监听耳机</w:t>
            </w:r>
          </w:p>
        </w:tc>
        <w:tc>
          <w:tcPr>
            <w:tcW w:w="2190"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tc>
        <w:tc>
          <w:tcPr>
            <w:tcW w:w="4006"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8.15</w:t>
            </w:r>
          </w:p>
        </w:tc>
        <w:tc>
          <w:tcPr>
            <w:tcW w:w="2591"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30米SDI线</w:t>
            </w:r>
          </w:p>
        </w:tc>
        <w:tc>
          <w:tcPr>
            <w:tcW w:w="2190"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条</w:t>
            </w:r>
          </w:p>
        </w:tc>
        <w:tc>
          <w:tcPr>
            <w:tcW w:w="4006"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8.16</w:t>
            </w:r>
          </w:p>
        </w:tc>
        <w:tc>
          <w:tcPr>
            <w:tcW w:w="2591"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10米HDMI线材</w:t>
            </w:r>
          </w:p>
        </w:tc>
        <w:tc>
          <w:tcPr>
            <w:tcW w:w="2190"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条</w:t>
            </w:r>
          </w:p>
        </w:tc>
        <w:tc>
          <w:tcPr>
            <w:tcW w:w="4006"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8.17</w:t>
            </w:r>
          </w:p>
        </w:tc>
        <w:tc>
          <w:tcPr>
            <w:tcW w:w="2591"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HDMI音频解嵌器</w:t>
            </w:r>
          </w:p>
        </w:tc>
        <w:tc>
          <w:tcPr>
            <w:tcW w:w="2190"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个</w:t>
            </w:r>
          </w:p>
        </w:tc>
        <w:tc>
          <w:tcPr>
            <w:tcW w:w="4006"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8.18</w:t>
            </w:r>
          </w:p>
        </w:tc>
        <w:tc>
          <w:tcPr>
            <w:tcW w:w="2591"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HDMI分配器一分四</w:t>
            </w:r>
          </w:p>
        </w:tc>
        <w:tc>
          <w:tcPr>
            <w:tcW w:w="2190"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个</w:t>
            </w:r>
          </w:p>
        </w:tc>
        <w:tc>
          <w:tcPr>
            <w:tcW w:w="4006"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pStyle w:val="2"/>
              <w:spacing w:line="400" w:lineRule="exact"/>
              <w:jc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rPr>
              <w:t>8.19</w:t>
            </w:r>
          </w:p>
        </w:tc>
        <w:tc>
          <w:tcPr>
            <w:tcW w:w="2591"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直播盒子</w:t>
            </w:r>
          </w:p>
        </w:tc>
        <w:tc>
          <w:tcPr>
            <w:tcW w:w="2190"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个</w:t>
            </w:r>
          </w:p>
        </w:tc>
        <w:tc>
          <w:tcPr>
            <w:tcW w:w="4006"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pStyle w:val="2"/>
              <w:spacing w:line="400" w:lineRule="exact"/>
              <w:jc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rPr>
              <w:t>8.20</w:t>
            </w:r>
          </w:p>
        </w:tc>
        <w:tc>
          <w:tcPr>
            <w:tcW w:w="2591"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虚拟绿箱侧光用平板式光灯</w:t>
            </w:r>
          </w:p>
        </w:tc>
        <w:tc>
          <w:tcPr>
            <w:tcW w:w="2190"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盏</w:t>
            </w:r>
          </w:p>
        </w:tc>
        <w:tc>
          <w:tcPr>
            <w:tcW w:w="4006"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pStyle w:val="2"/>
              <w:spacing w:line="400" w:lineRule="exact"/>
              <w:jc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rPr>
              <w:t>8.21</w:t>
            </w:r>
          </w:p>
        </w:tc>
        <w:tc>
          <w:tcPr>
            <w:tcW w:w="2591"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虚拟绿箱顶光用平板式光灯</w:t>
            </w:r>
          </w:p>
        </w:tc>
        <w:tc>
          <w:tcPr>
            <w:tcW w:w="2190"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盏</w:t>
            </w:r>
          </w:p>
        </w:tc>
        <w:tc>
          <w:tcPr>
            <w:tcW w:w="4006"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pStyle w:val="2"/>
              <w:spacing w:line="400" w:lineRule="exact"/>
              <w:jc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rPr>
              <w:t>8.22</w:t>
            </w:r>
          </w:p>
        </w:tc>
        <w:tc>
          <w:tcPr>
            <w:tcW w:w="2591"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虚拟绿箱面光用平板式光灯</w:t>
            </w:r>
          </w:p>
        </w:tc>
        <w:tc>
          <w:tcPr>
            <w:tcW w:w="2190"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盏</w:t>
            </w:r>
          </w:p>
        </w:tc>
        <w:tc>
          <w:tcPr>
            <w:tcW w:w="4006"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pStyle w:val="2"/>
              <w:spacing w:line="400" w:lineRule="exact"/>
              <w:jc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rPr>
              <w:t>8.23</w:t>
            </w:r>
          </w:p>
        </w:tc>
        <w:tc>
          <w:tcPr>
            <w:tcW w:w="2591"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轮廓光用LED螺纹透镜聚光灯</w:t>
            </w:r>
          </w:p>
        </w:tc>
        <w:tc>
          <w:tcPr>
            <w:tcW w:w="2190"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盏</w:t>
            </w:r>
          </w:p>
        </w:tc>
        <w:tc>
          <w:tcPr>
            <w:tcW w:w="4006"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pStyle w:val="2"/>
              <w:spacing w:line="400" w:lineRule="exact"/>
              <w:jc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rPr>
              <w:t>8.24</w:t>
            </w:r>
          </w:p>
        </w:tc>
        <w:tc>
          <w:tcPr>
            <w:tcW w:w="2591"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遥控器</w:t>
            </w:r>
          </w:p>
        </w:tc>
        <w:tc>
          <w:tcPr>
            <w:tcW w:w="2190"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个</w:t>
            </w:r>
          </w:p>
        </w:tc>
        <w:tc>
          <w:tcPr>
            <w:tcW w:w="4006"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pStyle w:val="2"/>
              <w:spacing w:line="400" w:lineRule="exact"/>
              <w:jc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rPr>
              <w:t>8.25</w:t>
            </w:r>
          </w:p>
        </w:tc>
        <w:tc>
          <w:tcPr>
            <w:tcW w:w="2591"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L型绿箱</w:t>
            </w:r>
          </w:p>
        </w:tc>
        <w:tc>
          <w:tcPr>
            <w:tcW w:w="2190"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个</w:t>
            </w:r>
          </w:p>
        </w:tc>
        <w:tc>
          <w:tcPr>
            <w:tcW w:w="4006"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pStyle w:val="2"/>
              <w:spacing w:line="400" w:lineRule="exact"/>
              <w:jc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rPr>
              <w:t>8.26</w:t>
            </w:r>
          </w:p>
        </w:tc>
        <w:tc>
          <w:tcPr>
            <w:tcW w:w="2591"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轨道式灯光悬挂系统</w:t>
            </w:r>
          </w:p>
        </w:tc>
        <w:tc>
          <w:tcPr>
            <w:tcW w:w="2190"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个</w:t>
            </w:r>
          </w:p>
        </w:tc>
        <w:tc>
          <w:tcPr>
            <w:tcW w:w="4006"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pStyle w:val="2"/>
              <w:spacing w:line="400" w:lineRule="exact"/>
              <w:jc w:val="center"/>
              <w:rPr>
                <w:rFonts w:hint="eastAsia" w:ascii="宋体" w:hAnsi="宋体" w:eastAsia="宋体" w:cs="宋体"/>
                <w:i w:val="0"/>
                <w:color w:val="000000"/>
                <w:kern w:val="0"/>
                <w:sz w:val="21"/>
                <w:szCs w:val="21"/>
              </w:rPr>
            </w:pPr>
            <w:r>
              <w:rPr>
                <w:rFonts w:hint="eastAsia" w:ascii="宋体" w:hAnsi="宋体" w:eastAsia="宋体" w:cs="宋体"/>
                <w:i w:val="0"/>
                <w:color w:val="000000"/>
                <w:kern w:val="0"/>
                <w:sz w:val="21"/>
                <w:szCs w:val="21"/>
              </w:rPr>
              <w:t>8.27</w:t>
            </w:r>
          </w:p>
        </w:tc>
        <w:tc>
          <w:tcPr>
            <w:tcW w:w="2591"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导播操作台</w:t>
            </w:r>
          </w:p>
        </w:tc>
        <w:tc>
          <w:tcPr>
            <w:tcW w:w="2190"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台</w:t>
            </w:r>
          </w:p>
        </w:tc>
        <w:tc>
          <w:tcPr>
            <w:tcW w:w="4006"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r>
    </w:tbl>
    <w:p>
      <w:pPr>
        <w:pStyle w:val="2"/>
        <w:spacing w:line="400" w:lineRule="exact"/>
        <w:rPr>
          <w:rFonts w:hint="eastAsia" w:ascii="宋体" w:hAnsi="宋体" w:cs="宋体"/>
          <w:color w:val="000000"/>
          <w:sz w:val="21"/>
          <w:szCs w:val="21"/>
        </w:rPr>
      </w:pPr>
      <w:r>
        <w:rPr>
          <w:rFonts w:hint="eastAsia" w:ascii="宋体" w:hAnsi="宋体" w:cs="宋体"/>
          <w:i w:val="0"/>
          <w:color w:val="000000"/>
          <w:kern w:val="0"/>
          <w:sz w:val="21"/>
          <w:szCs w:val="21"/>
        </w:rPr>
        <w:t>详细参数：</w:t>
      </w:r>
    </w:p>
    <w:tbl>
      <w:tblPr>
        <w:tblStyle w:val="47"/>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9" w:hRule="atLeast"/>
        </w:trPr>
        <w:tc>
          <w:tcPr>
            <w:tcW w:w="123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双机位虚拟演播室</w:t>
            </w:r>
          </w:p>
        </w:tc>
        <w:tc>
          <w:tcPr>
            <w:tcW w:w="840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★1. 虚拟演播，切换，字幕，录像，网络直播五合一系统；</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★2. 2路SDI摄像机输入，即可模拟4机位虚拟演播室；</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3. 4机位虚拟摄像机，皆可拥有极真实推拉摇移运镜效果；</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4. 支持Mini phone jack音频输入，音频与PGM视频加嵌HDMI输出；</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5. 两组DSK，轻易做出字幕与动画效果；</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6. 背景可随时置换不同视频，让虚拟背景更加真实；</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7. 抠像调整带有向导功能，简单做出完美的效果；</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8. 赠送专属的操控面板，使用起来更得心应手。可设置10组快捷键，大幅提高操作效率；</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9. 视频输入接口: SDI x 2 +AUX-HDMI*1；</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10. 视频输出接口: SDI x 2，HDMI*1；</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11. 支持视频格式:a) 1080 30P/29.97P/25Pb) 1080 60i/59.94i/50ic) 720 50P/59.94P；</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12. 音频输入接口: Mini Phone Jack x 2；</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13. 提供简易好用的调音操作界面， 处理外部及内部的音频，更为直播及录像功能独立音频音量调整，让视频及音频都经过专业处理；</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14. 下游键: 2路；</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15. 支持视频播放: 2路 (DDR)；</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★16. 免费3D场景编辑软件，一分钟制作虚拟场景，没有3D软件基础也可以轻松使用。制作完成的虚拟场景，可一键导入系统使用；</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★17. 提供免费多角度虚拟场景不少于200套，动画及物件，并有专属的虚拟背景网站，随时下载您需要的背景及素材，并提供持续更新服务；</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18. 支持静态照片: 2路；</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19. 支持静态字幕: 2路；</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20. 内嵌静态字幕系统，不需额外准备字幕机，随时导入制作完成的字幕文件，并可进行字幕修改；</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21. 内部视频录制格式: H.264及MPEG-2可自选录制码流，视频录制到抽取式硬盘中，携带文件容易；</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22. 流媒体发布: Adobe Flash media/Ustream/ Live Stream，可直接传送流媒体，无需使用第三方外置设备，一键搞定，简单易用；</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23. 系统硬盘：1TB24. 支持三个监看视频，分别为操作界面、素材展示区及PGM或PVW**原厂授权  **售后服务承诺书  **厂商ISO认证  **CE及FCC认证 **软件著作权证书（外部实时视频调用软件、虚拟软件、虚拟场景内部推拉摇移软件、虚拟调音台合成输出软件、3D小画家）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123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专用操作面板</w:t>
            </w:r>
          </w:p>
        </w:tc>
        <w:tc>
          <w:tcPr>
            <w:tcW w:w="840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1、为了保障操作的便捷及系统的完整性需和虚拟演播系统同一品牌</w:t>
            </w:r>
            <w:r>
              <w:rPr>
                <w:rFonts w:hint="eastAsia" w:ascii="宋体" w:hAnsi="宋体" w:eastAsia="宋体" w:cs="宋体"/>
                <w:color w:val="000000"/>
                <w:szCs w:val="21"/>
              </w:rPr>
              <w:br w:type="textWrapping"/>
            </w:r>
            <w:r>
              <w:rPr>
                <w:rFonts w:hint="eastAsia" w:ascii="宋体" w:hAnsi="宋体" w:eastAsia="宋体" w:cs="宋体"/>
                <w:color w:val="000000"/>
                <w:szCs w:val="21"/>
              </w:rPr>
              <w:t>2、2*10路直切键，包含2路视频信号、4路预置虚拟场景、2路DDR信号、2路素材，通过按键可直接切换节目母线、预置母线、虚拟场景源信号；</w:t>
            </w:r>
            <w:r>
              <w:rPr>
                <w:rFonts w:hint="eastAsia" w:ascii="宋体" w:hAnsi="宋体" w:eastAsia="宋体" w:cs="宋体"/>
                <w:color w:val="000000"/>
                <w:szCs w:val="21"/>
              </w:rPr>
              <w:br w:type="textWrapping"/>
            </w:r>
            <w:r>
              <w:rPr>
                <w:rFonts w:hint="eastAsia" w:ascii="宋体" w:hAnsi="宋体" w:eastAsia="宋体" w:cs="宋体"/>
                <w:color w:val="000000"/>
                <w:szCs w:val="21"/>
              </w:rPr>
              <w:t>3、配置CROSS DISSOLVE(带转场效果)、TAKE（直切）和T-Bar操纵杆的推拉实现节目母线、预置母线和特技的切换；</w:t>
            </w:r>
            <w:r>
              <w:rPr>
                <w:rFonts w:hint="eastAsia" w:ascii="宋体" w:hAnsi="宋体" w:eastAsia="宋体" w:cs="宋体"/>
                <w:color w:val="000000"/>
                <w:szCs w:val="21"/>
              </w:rPr>
              <w:br w:type="textWrapping"/>
            </w:r>
            <w:r>
              <w:rPr>
                <w:rFonts w:hint="eastAsia" w:ascii="宋体" w:hAnsi="宋体" w:eastAsia="宋体" w:cs="宋体"/>
                <w:color w:val="000000"/>
                <w:szCs w:val="21"/>
              </w:rPr>
              <w:t>4、可实时叠加2路DSK下游键；</w:t>
            </w:r>
            <w:r>
              <w:rPr>
                <w:rFonts w:hint="eastAsia" w:ascii="宋体" w:hAnsi="宋体" w:eastAsia="宋体" w:cs="宋体"/>
                <w:color w:val="000000"/>
                <w:szCs w:val="21"/>
              </w:rPr>
              <w:br w:type="textWrapping"/>
            </w:r>
            <w:r>
              <w:rPr>
                <w:rFonts w:hint="eastAsia" w:ascii="宋体" w:hAnsi="宋体" w:eastAsia="宋体" w:cs="宋体"/>
                <w:color w:val="000000"/>
                <w:szCs w:val="21"/>
              </w:rPr>
              <w:t>5、配置10个虚拟叠加设置键，可进行下游键等素材快速调用。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trPr>
        <w:tc>
          <w:tcPr>
            <w:tcW w:w="123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23英寸LED背光液晶显示器</w:t>
            </w:r>
          </w:p>
        </w:tc>
        <w:tc>
          <w:tcPr>
            <w:tcW w:w="840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面板尺寸:23英寸宽屏:宽屏屏幕比例:16:9最佳分辨率:1920×1080刷新率:60Hz响应时间:6ms点距:0.2652(H)mmx0.2652(V)mm色数:16.7M亮度:250cd/m2对比度:20000000：1(动态）可视角度:178°/178°(CR≥10)LED背光:是接口VGA:1个HDMI:1个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123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广播级4K专业摄像机</w:t>
            </w:r>
          </w:p>
        </w:tc>
        <w:tc>
          <w:tcPr>
            <w:tcW w:w="840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传感器类型:CMOS</w:t>
            </w:r>
            <w:r>
              <w:rPr>
                <w:rFonts w:hint="eastAsia" w:ascii="宋体" w:hAnsi="宋体" w:eastAsia="宋体" w:cs="宋体"/>
                <w:color w:val="000000"/>
                <w:szCs w:val="21"/>
              </w:rPr>
              <w:br w:type="textWrapping"/>
            </w:r>
            <w:r>
              <w:rPr>
                <w:rFonts w:hint="eastAsia" w:ascii="宋体" w:hAnsi="宋体" w:eastAsia="宋体" w:cs="宋体"/>
                <w:color w:val="000000"/>
                <w:szCs w:val="21"/>
              </w:rPr>
              <w:t>对焦:自动</w:t>
            </w:r>
            <w:r>
              <w:rPr>
                <w:rFonts w:hint="eastAsia" w:ascii="宋体" w:hAnsi="宋体" w:eastAsia="宋体" w:cs="宋体"/>
                <w:color w:val="000000"/>
                <w:szCs w:val="21"/>
              </w:rPr>
              <w:br w:type="textWrapping"/>
            </w:r>
            <w:r>
              <w:rPr>
                <w:rFonts w:hint="eastAsia" w:ascii="宋体" w:hAnsi="宋体" w:eastAsia="宋体" w:cs="宋体"/>
                <w:color w:val="000000"/>
                <w:szCs w:val="21"/>
              </w:rPr>
              <w:t>液晶屏像素:8.8cm（3.5 英寸） 约 1.56M 像素</w:t>
            </w:r>
            <w:r>
              <w:rPr>
                <w:rFonts w:hint="eastAsia" w:ascii="宋体" w:hAnsi="宋体" w:eastAsia="宋体" w:cs="宋体"/>
                <w:color w:val="000000"/>
                <w:szCs w:val="21"/>
              </w:rPr>
              <w:br w:type="textWrapping"/>
            </w:r>
            <w:r>
              <w:rPr>
                <w:rFonts w:hint="eastAsia" w:ascii="宋体" w:hAnsi="宋体" w:eastAsia="宋体" w:cs="宋体"/>
                <w:color w:val="000000"/>
                <w:szCs w:val="21"/>
              </w:rPr>
              <w:t>液晶屏尺寸:3.5英寸（16：9）</w:t>
            </w:r>
            <w:r>
              <w:rPr>
                <w:rFonts w:hint="eastAsia" w:ascii="宋体" w:hAnsi="宋体" w:eastAsia="宋体" w:cs="宋体"/>
                <w:color w:val="000000"/>
                <w:szCs w:val="21"/>
              </w:rPr>
              <w:br w:type="textWrapping"/>
            </w:r>
            <w:r>
              <w:rPr>
                <w:rFonts w:hint="eastAsia" w:ascii="宋体" w:hAnsi="宋体" w:eastAsia="宋体" w:cs="宋体"/>
                <w:color w:val="000000"/>
                <w:szCs w:val="21"/>
              </w:rPr>
              <w:t>音效</w:t>
            </w:r>
            <w:r>
              <w:rPr>
                <w:rFonts w:hint="eastAsia" w:ascii="宋体" w:hAnsi="宋体" w:eastAsia="宋体" w:cs="宋体"/>
                <w:color w:val="000000"/>
                <w:szCs w:val="21"/>
              </w:rPr>
              <w:br w:type="textWrapping"/>
            </w:r>
            <w:r>
              <w:rPr>
                <w:rFonts w:hint="eastAsia" w:ascii="宋体" w:hAnsi="宋体" w:eastAsia="宋体" w:cs="宋体"/>
                <w:color w:val="000000"/>
                <w:szCs w:val="21"/>
              </w:rPr>
              <w:t>内置麦克风:支持</w:t>
            </w:r>
            <w:r>
              <w:rPr>
                <w:rFonts w:hint="eastAsia" w:ascii="宋体" w:hAnsi="宋体" w:eastAsia="宋体" w:cs="宋体"/>
                <w:color w:val="000000"/>
                <w:szCs w:val="21"/>
              </w:rPr>
              <w:br w:type="textWrapping"/>
            </w:r>
            <w:r>
              <w:rPr>
                <w:rFonts w:hint="eastAsia" w:ascii="宋体" w:hAnsi="宋体" w:eastAsia="宋体" w:cs="宋体"/>
                <w:color w:val="000000"/>
                <w:szCs w:val="21"/>
              </w:rPr>
              <w:t>内存</w:t>
            </w:r>
            <w:r>
              <w:rPr>
                <w:rFonts w:hint="eastAsia" w:ascii="宋体" w:hAnsi="宋体" w:eastAsia="宋体" w:cs="宋体"/>
                <w:color w:val="000000"/>
                <w:szCs w:val="21"/>
              </w:rPr>
              <w:br w:type="textWrapping"/>
            </w:r>
            <w:r>
              <w:rPr>
                <w:rFonts w:hint="eastAsia" w:ascii="宋体" w:hAnsi="宋体" w:eastAsia="宋体" w:cs="宋体"/>
                <w:color w:val="000000"/>
                <w:szCs w:val="21"/>
              </w:rPr>
              <w:t>存储方式:闪存</w:t>
            </w:r>
            <w:r>
              <w:rPr>
                <w:rFonts w:hint="eastAsia" w:ascii="宋体" w:hAnsi="宋体" w:eastAsia="宋体" w:cs="宋体"/>
                <w:color w:val="000000"/>
                <w:szCs w:val="21"/>
              </w:rPr>
              <w:br w:type="textWrapping"/>
            </w:r>
            <w:r>
              <w:rPr>
                <w:rFonts w:hint="eastAsia" w:ascii="宋体" w:hAnsi="宋体" w:eastAsia="宋体" w:cs="宋体"/>
                <w:color w:val="000000"/>
                <w:szCs w:val="21"/>
              </w:rPr>
              <w:t>HDD跌落保护功能:支持</w:t>
            </w:r>
            <w:r>
              <w:rPr>
                <w:rFonts w:hint="eastAsia" w:ascii="宋体" w:hAnsi="宋体" w:eastAsia="宋体" w:cs="宋体"/>
                <w:color w:val="000000"/>
                <w:szCs w:val="21"/>
              </w:rPr>
              <w:br w:type="textWrapping"/>
            </w:r>
            <w:r>
              <w:rPr>
                <w:rFonts w:hint="eastAsia" w:ascii="宋体" w:hAnsi="宋体" w:eastAsia="宋体" w:cs="宋体"/>
                <w:color w:val="000000"/>
                <w:szCs w:val="21"/>
              </w:rPr>
              <w:t>镜头</w:t>
            </w:r>
            <w:r>
              <w:rPr>
                <w:rFonts w:hint="eastAsia" w:ascii="宋体" w:hAnsi="宋体" w:eastAsia="宋体" w:cs="宋体"/>
                <w:color w:val="000000"/>
                <w:szCs w:val="21"/>
              </w:rPr>
              <w:br w:type="textWrapping"/>
            </w:r>
            <w:r>
              <w:rPr>
                <w:rFonts w:hint="eastAsia" w:ascii="宋体" w:hAnsi="宋体" w:eastAsia="宋体" w:cs="宋体"/>
                <w:color w:val="000000"/>
                <w:szCs w:val="21"/>
              </w:rPr>
              <w:t>光圈（F）值:F2.8 - F4.5 自动/手动可选</w:t>
            </w:r>
            <w:r>
              <w:rPr>
                <w:rFonts w:hint="eastAsia" w:ascii="宋体" w:hAnsi="宋体" w:eastAsia="宋体" w:cs="宋体"/>
                <w:color w:val="000000"/>
                <w:szCs w:val="21"/>
              </w:rPr>
              <w:br w:type="textWrapping"/>
            </w:r>
            <w:r>
              <w:rPr>
                <w:rFonts w:hint="eastAsia" w:ascii="宋体" w:hAnsi="宋体" w:eastAsia="宋体" w:cs="宋体"/>
                <w:color w:val="000000"/>
                <w:szCs w:val="21"/>
              </w:rPr>
              <w:t>焦距:12倍光学变焦</w:t>
            </w:r>
            <w:r>
              <w:rPr>
                <w:rFonts w:hint="eastAsia" w:ascii="宋体" w:hAnsi="宋体" w:eastAsia="宋体" w:cs="宋体"/>
                <w:color w:val="000000"/>
                <w:szCs w:val="21"/>
              </w:rPr>
              <w:br w:type="textWrapping"/>
            </w:r>
            <w:r>
              <w:rPr>
                <w:rFonts w:hint="eastAsia" w:ascii="宋体" w:hAnsi="宋体" w:eastAsia="宋体" w:cs="宋体"/>
                <w:color w:val="000000"/>
                <w:szCs w:val="21"/>
              </w:rPr>
              <w:t>滤镜直径:M62 mm</w:t>
            </w:r>
            <w:r>
              <w:rPr>
                <w:rFonts w:hint="eastAsia" w:ascii="宋体" w:hAnsi="宋体" w:eastAsia="宋体" w:cs="宋体"/>
                <w:color w:val="000000"/>
                <w:szCs w:val="21"/>
              </w:rPr>
              <w:br w:type="textWrapping"/>
            </w:r>
            <w:r>
              <w:rPr>
                <w:rFonts w:hint="eastAsia" w:ascii="宋体" w:hAnsi="宋体" w:eastAsia="宋体" w:cs="宋体"/>
                <w:color w:val="000000"/>
                <w:szCs w:val="21"/>
              </w:rPr>
              <w:t>基本参数</w:t>
            </w:r>
            <w:r>
              <w:rPr>
                <w:rFonts w:hint="eastAsia" w:ascii="宋体" w:hAnsi="宋体" w:eastAsia="宋体" w:cs="宋体"/>
                <w:color w:val="000000"/>
                <w:szCs w:val="21"/>
              </w:rPr>
              <w:br w:type="textWrapping"/>
            </w:r>
            <w:r>
              <w:rPr>
                <w:rFonts w:hint="eastAsia" w:ascii="宋体" w:hAnsi="宋体" w:eastAsia="宋体" w:cs="宋体"/>
                <w:color w:val="000000"/>
                <w:szCs w:val="21"/>
              </w:rPr>
              <w:t>影像处理器:1.0 英寸 (13.2mm x 8.8mm) 背照式 Exmor RS CMOS 成像器</w:t>
            </w:r>
            <w:r>
              <w:rPr>
                <w:rFonts w:hint="eastAsia" w:ascii="宋体" w:hAnsi="宋体" w:eastAsia="宋体" w:cs="宋体"/>
                <w:color w:val="000000"/>
                <w:szCs w:val="21"/>
              </w:rPr>
              <w:br w:type="textWrapping"/>
            </w:r>
            <w:r>
              <w:rPr>
                <w:rFonts w:hint="eastAsia" w:ascii="宋体" w:hAnsi="宋体" w:eastAsia="宋体" w:cs="宋体"/>
                <w:color w:val="000000"/>
                <w:szCs w:val="21"/>
              </w:rPr>
              <w:t>画幅:1.0 英寸 (13.2mm x 8.8mm) 背照式 Exmor RS CMOS 成像器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23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铝合金三脚架</w:t>
            </w:r>
          </w:p>
        </w:tc>
        <w:tc>
          <w:tcPr>
            <w:tcW w:w="840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脚管节数：3节最大管径：17.5mm最小管径：14.5mm折合高度：840mm最低工作高度：820mm最高工作高度：1880mm脚管锁类型：旋钮式云台类型：液压云台螺丝尺寸：1/4;3/8螺丝承重：6-8KG自重：5KG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123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三脚架滑轮组</w:t>
            </w:r>
          </w:p>
        </w:tc>
        <w:tc>
          <w:tcPr>
            <w:tcW w:w="840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材质：铝合金</w:t>
            </w:r>
            <w:r>
              <w:rPr>
                <w:rFonts w:hint="eastAsia" w:ascii="宋体" w:hAnsi="宋体" w:eastAsia="宋体" w:cs="宋体"/>
                <w:color w:val="000000"/>
                <w:szCs w:val="21"/>
              </w:rPr>
              <w:br w:type="textWrapping"/>
            </w:r>
            <w:r>
              <w:rPr>
                <w:rFonts w:hint="eastAsia" w:ascii="宋体" w:hAnsi="宋体" w:eastAsia="宋体" w:cs="宋体"/>
                <w:color w:val="000000"/>
                <w:szCs w:val="21"/>
              </w:rPr>
              <w:t>颜色：黑色</w:t>
            </w:r>
            <w:r>
              <w:rPr>
                <w:rFonts w:hint="eastAsia" w:ascii="宋体" w:hAnsi="宋体" w:eastAsia="宋体" w:cs="宋体"/>
                <w:color w:val="000000"/>
                <w:szCs w:val="21"/>
              </w:rPr>
              <w:br w:type="textWrapping"/>
            </w:r>
            <w:r>
              <w:rPr>
                <w:rFonts w:hint="eastAsia" w:ascii="宋体" w:hAnsi="宋体" w:eastAsia="宋体" w:cs="宋体"/>
                <w:color w:val="000000"/>
                <w:szCs w:val="21"/>
              </w:rPr>
              <w:t>脚管节数:2节</w:t>
            </w:r>
            <w:r>
              <w:rPr>
                <w:rFonts w:hint="eastAsia" w:ascii="宋体" w:hAnsi="宋体" w:eastAsia="宋体" w:cs="宋体"/>
                <w:color w:val="000000"/>
                <w:szCs w:val="21"/>
              </w:rPr>
              <w:br w:type="textWrapping"/>
            </w:r>
            <w:r>
              <w:rPr>
                <w:rFonts w:hint="eastAsia" w:ascii="宋体" w:hAnsi="宋体" w:eastAsia="宋体" w:cs="宋体"/>
                <w:color w:val="000000"/>
                <w:szCs w:val="21"/>
              </w:rPr>
              <w:t>脚管锁类型:扳扣式</w:t>
            </w:r>
            <w:r>
              <w:rPr>
                <w:rFonts w:hint="eastAsia" w:ascii="宋体" w:hAnsi="宋体" w:eastAsia="宋体" w:cs="宋体"/>
                <w:color w:val="000000"/>
                <w:szCs w:val="21"/>
              </w:rPr>
              <w:br w:type="textWrapping"/>
            </w:r>
            <w:r>
              <w:rPr>
                <w:rFonts w:hint="eastAsia" w:ascii="宋体" w:hAnsi="宋体" w:eastAsia="宋体" w:cs="宋体"/>
                <w:color w:val="000000"/>
                <w:szCs w:val="21"/>
              </w:rPr>
              <w:t>承重:30KG</w:t>
            </w:r>
            <w:r>
              <w:rPr>
                <w:rFonts w:hint="eastAsia" w:ascii="宋体" w:hAnsi="宋体" w:eastAsia="宋体" w:cs="宋体"/>
                <w:color w:val="000000"/>
                <w:szCs w:val="21"/>
              </w:rPr>
              <w:br w:type="textWrapping"/>
            </w:r>
            <w:r>
              <w:rPr>
                <w:rFonts w:hint="eastAsia" w:ascii="宋体" w:hAnsi="宋体" w:eastAsia="宋体" w:cs="宋体"/>
                <w:color w:val="000000"/>
                <w:szCs w:val="21"/>
              </w:rPr>
              <w:t>自重:3KG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1" w:hRule="atLeast"/>
        </w:trPr>
        <w:tc>
          <w:tcPr>
            <w:tcW w:w="123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便携式多机位移动及虚拟演播室</w:t>
            </w:r>
          </w:p>
        </w:tc>
        <w:tc>
          <w:tcPr>
            <w:tcW w:w="840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1. 一体化硬件设计，开机速度快，低功耗，能够长时间稳定工作，发热量小，噪音低2. 集切换、监看、录制、推流、虚拟、移动于一体3. 一体化纯硬件设计，非PC机架构（不能内置PC/X86/X64架构天然存在的计算可靠性和准确性缺陷以及设备运行不稳定问题），即开即用4. 视频系统：a) 提供6路视频输入：4路HD-SDI+2路HD-HDMIb) 兼容1920x1080i视频信号c) 提供5路视频输岀：2路SDI + 3路HDMI视频输出d) 可任意设定AUX、PGM、PVW或Clean PGM视频输出e) 1路KEY信号，可设定DSK或Luma Key功能执行字幕效果f) 2路Chroma Key功能，独立抠像与PIP抠像功能g) 2路DSK，支持Linear &amp; Luma Key 模式h) 1路PIP信号，可设定子画面的位置与大小显示i) 具备CUT、WIPE与MIX等转场特效j) 支持XPT (Cross Point Assignment)k) Tally输出l) GPI输出5. 音频系统：2路XLR输入端子，可连接外部音频嵌入SDI视频输出，音频指示器显示在多分割画面屏幕上6. 监看系统：a) 17.3寸监看屏幕，解析度为1920x1080 Dotsb) 屏幕内建灰阶显示，可检测外部的杂讯，提供视频校正c) 适用不同环境时，可设定6500K、7500K、 9300K或自我设定的色温显示d) 可显示16：9或</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4：3视频线显示，提供拍摄调整使用e) 针对编辑或字幕需求，可设定显示80%及90%安全线框7. 推流a) 串流视频编码：H.264 / AVC, Main/ High Profile；Configurable Bit-rate up to 10Mbpsb) 串流音频编码 AAC-LC：Configurable bit rate range from 32Kbps to 384Kbps，Sample rate: 48KHz，16bitc) 串流协议：TS over TCP/UDP (unicast &amp; multicast)；RTSP over HTTP/TCP/UDP (RTSP Elementary Streaming)；RTMP (Publish)8. 录制格式：MP4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5" w:hRule="atLeast"/>
        </w:trPr>
        <w:tc>
          <w:tcPr>
            <w:tcW w:w="123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HD/SD-SDI移动录像工作站</w:t>
            </w:r>
          </w:p>
        </w:tc>
        <w:tc>
          <w:tcPr>
            <w:tcW w:w="840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1. 专为EFP多机作业设计的便携式移动录像工作站，内含硬盘录像机、八寸监看屏幕与电池供电系统。2. 支持NTFS格式录像，档案不切割。3. 可采用SATA-II、III或SSD硬盘录制。4. 广播级4:2:2色彩取样，8Bit录制。5. 兼容Embedded Audio 的HD-SDI、SD-SDI视频输入，可Loop out输出。6. HD-SDI、SD-SDI与HDMI视频输出。7. 可兼容1920x1080_50i、59.94i、60i或1280x720_50P、59.94P、60P或720x576i、720x480i、1920x1080 _23.98P。8. 录像格式可设定MXF-OP1A、MOV两种。9. HD码流可选择10、25、35、50、65、100、120七种或100、125 i-frame only。10. SD码流可选择8、15、30、50四种或25、50 i-frame only。11. 八英寸屏幕可实时录像监看，可设定4:3或16:9安全线12. 可视化操作菜单，可设定显示音量表显示，掌握音量状况。13. 监视屏幕可依不同环境设定色温显示，包含9300、7500、6500与5400。14. 监看屏幕具Blue Only功能，显示视频灰阶效果。15. 具备Time Code时间码显示。16. 断电保护，断电前录像内容全保存17. 灵活的双电源配置，可接适配器，或使用电池供电18. 工作电源DC12V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123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落地电视移动支架</w:t>
            </w:r>
          </w:p>
        </w:tc>
        <w:tc>
          <w:tcPr>
            <w:tcW w:w="840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适用电视尺寸:58-70英寸；32-55英寸</w:t>
            </w:r>
            <w:r>
              <w:rPr>
                <w:rFonts w:hint="eastAsia" w:ascii="宋体" w:hAnsi="宋体" w:eastAsia="宋体" w:cs="宋体"/>
                <w:color w:val="000000"/>
                <w:szCs w:val="21"/>
              </w:rPr>
              <w:br w:type="textWrapping"/>
            </w:r>
            <w:r>
              <w:rPr>
                <w:rFonts w:hint="eastAsia" w:ascii="宋体" w:hAnsi="宋体" w:eastAsia="宋体" w:cs="宋体"/>
                <w:color w:val="000000"/>
                <w:szCs w:val="21"/>
              </w:rPr>
              <w:t>适用电视孔距:600x400范围内（横向x纵向）</w:t>
            </w:r>
            <w:r>
              <w:rPr>
                <w:rFonts w:hint="eastAsia" w:ascii="宋体" w:hAnsi="宋体" w:eastAsia="宋体" w:cs="宋体"/>
                <w:color w:val="000000"/>
                <w:szCs w:val="21"/>
              </w:rPr>
              <w:br w:type="textWrapping"/>
            </w:r>
            <w:r>
              <w:rPr>
                <w:rFonts w:hint="eastAsia" w:ascii="宋体" w:hAnsi="宋体" w:eastAsia="宋体" w:cs="宋体"/>
                <w:color w:val="000000"/>
                <w:szCs w:val="21"/>
              </w:rPr>
              <w:t>适用单屏重量（kg）:45.5</w:t>
            </w:r>
            <w:r>
              <w:rPr>
                <w:rFonts w:hint="eastAsia" w:ascii="宋体" w:hAnsi="宋体" w:eastAsia="宋体" w:cs="宋体"/>
                <w:color w:val="000000"/>
                <w:szCs w:val="21"/>
              </w:rPr>
              <w:br w:type="textWrapping"/>
            </w:r>
            <w:r>
              <w:rPr>
                <w:rFonts w:hint="eastAsia" w:ascii="宋体" w:hAnsi="宋体" w:eastAsia="宋体" w:cs="宋体"/>
                <w:color w:val="000000"/>
                <w:szCs w:val="21"/>
              </w:rPr>
              <w:t>最大承重（kg）:45.5</w:t>
            </w:r>
            <w:r>
              <w:rPr>
                <w:rFonts w:hint="eastAsia" w:ascii="宋体" w:hAnsi="宋体" w:eastAsia="宋体" w:cs="宋体"/>
                <w:color w:val="000000"/>
                <w:szCs w:val="21"/>
              </w:rPr>
              <w:br w:type="textWrapping"/>
            </w:r>
            <w:r>
              <w:rPr>
                <w:rFonts w:hint="eastAsia" w:ascii="宋体" w:hAnsi="宋体" w:eastAsia="宋体" w:cs="宋体"/>
                <w:color w:val="000000"/>
                <w:szCs w:val="21"/>
              </w:rPr>
              <w:t>挂架材质:冷轧钢板</w:t>
            </w:r>
            <w:r>
              <w:rPr>
                <w:rFonts w:hint="eastAsia" w:ascii="宋体" w:hAnsi="宋体" w:eastAsia="宋体" w:cs="宋体"/>
                <w:color w:val="000000"/>
                <w:szCs w:val="21"/>
              </w:rPr>
              <w:br w:type="textWrapping"/>
            </w:r>
            <w:r>
              <w:rPr>
                <w:rFonts w:hint="eastAsia" w:ascii="宋体" w:hAnsi="宋体" w:eastAsia="宋体" w:cs="宋体"/>
                <w:color w:val="000000"/>
                <w:szCs w:val="21"/>
              </w:rPr>
              <w:t>上下调节度:1200-1500mm（电视机中心距地面高度）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123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便携题词器套装</w:t>
            </w:r>
          </w:p>
        </w:tc>
        <w:tc>
          <w:tcPr>
            <w:tcW w:w="840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兼容Apple IPAD与Android 2 .x以上平板计算机，字稿内容容易作业与操作。</w:t>
            </w:r>
            <w:r>
              <w:rPr>
                <w:rFonts w:hint="eastAsia" w:ascii="宋体" w:hAnsi="宋体" w:eastAsia="宋体" w:cs="宋体"/>
                <w:color w:val="000000"/>
                <w:szCs w:val="21"/>
              </w:rPr>
              <w:br w:type="textWrapping"/>
            </w:r>
            <w:r>
              <w:rPr>
                <w:rFonts w:hint="eastAsia" w:ascii="宋体" w:hAnsi="宋体" w:eastAsia="宋体" w:cs="宋体"/>
                <w:color w:val="000000"/>
                <w:szCs w:val="21"/>
              </w:rPr>
              <w:t>专用60 /40玻璃，字体反射清晰容易读取。</w:t>
            </w:r>
            <w:r>
              <w:rPr>
                <w:rFonts w:hint="eastAsia" w:ascii="宋体" w:hAnsi="宋体" w:eastAsia="宋体" w:cs="宋体"/>
                <w:color w:val="000000"/>
                <w:szCs w:val="21"/>
              </w:rPr>
              <w:br w:type="textWrapping"/>
            </w:r>
            <w:r>
              <w:rPr>
                <w:rFonts w:hint="eastAsia" w:ascii="宋体" w:hAnsi="宋体" w:eastAsia="宋体" w:cs="宋体"/>
                <w:color w:val="000000"/>
                <w:szCs w:val="21"/>
              </w:rPr>
              <w:t>机体可直接安装于肩扛摄像机镜头前，提供字稿显示及摄影双功能。</w:t>
            </w:r>
            <w:r>
              <w:rPr>
                <w:rFonts w:hint="eastAsia" w:ascii="宋体" w:hAnsi="宋体" w:eastAsia="宋体" w:cs="宋体"/>
                <w:color w:val="000000"/>
                <w:szCs w:val="21"/>
              </w:rPr>
              <w:br w:type="textWrapping"/>
            </w:r>
            <w:r>
              <w:rPr>
                <w:rFonts w:hint="eastAsia" w:ascii="宋体" w:hAnsi="宋体" w:eastAsia="宋体" w:cs="宋体"/>
                <w:color w:val="000000"/>
                <w:szCs w:val="21"/>
              </w:rPr>
              <w:t>无线方式控制字幕，提供演出人员自行控制字稿内容。</w:t>
            </w:r>
            <w:r>
              <w:rPr>
                <w:rFonts w:hint="eastAsia" w:ascii="宋体" w:hAnsi="宋体" w:eastAsia="宋体" w:cs="宋体"/>
                <w:color w:val="000000"/>
                <w:szCs w:val="21"/>
              </w:rPr>
              <w:br w:type="textWrapping"/>
            </w:r>
            <w:r>
              <w:rPr>
                <w:rFonts w:hint="eastAsia" w:ascii="宋体" w:hAnsi="宋体" w:eastAsia="宋体" w:cs="宋体"/>
                <w:color w:val="000000"/>
                <w:szCs w:val="21"/>
              </w:rPr>
              <w:t>拆卸简单轻松，不需要任何工具即可安装即拆卸。</w:t>
            </w:r>
            <w:r>
              <w:rPr>
                <w:rFonts w:hint="eastAsia" w:ascii="宋体" w:hAnsi="宋体" w:eastAsia="宋体" w:cs="宋体"/>
                <w:color w:val="000000"/>
                <w:szCs w:val="21"/>
              </w:rPr>
              <w:br w:type="textWrapping"/>
            </w:r>
            <w:r>
              <w:rPr>
                <w:rFonts w:hint="eastAsia" w:ascii="宋体" w:hAnsi="宋体" w:eastAsia="宋体" w:cs="宋体"/>
                <w:color w:val="000000"/>
                <w:szCs w:val="21"/>
              </w:rPr>
              <w:t>Dvprompter 提詞器免费软件， Apple的App Store即可以下载。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123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10路调音台</w:t>
            </w:r>
          </w:p>
        </w:tc>
        <w:tc>
          <w:tcPr>
            <w:tcW w:w="840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“D-PRE”话放，带有倒向晶体管电路。单旋钮压缩器24-bit/192kHz2进/2出USB音频功能单声道输入通道上的PAD开关+48V幻象供电XLR平衡输出金属机身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123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主持人无线领夹话筒</w:t>
            </w:r>
          </w:p>
        </w:tc>
        <w:tc>
          <w:tcPr>
            <w:tcW w:w="840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频道数：96</w:t>
            </w:r>
            <w:r>
              <w:rPr>
                <w:rFonts w:hint="eastAsia" w:ascii="宋体" w:hAnsi="宋体" w:eastAsia="宋体" w:cs="宋体"/>
                <w:color w:val="000000"/>
                <w:szCs w:val="21"/>
              </w:rPr>
              <w:br w:type="textWrapping"/>
            </w:r>
            <w:r>
              <w:rPr>
                <w:rFonts w:hint="eastAsia" w:ascii="宋体" w:hAnsi="宋体" w:eastAsia="宋体" w:cs="宋体"/>
                <w:color w:val="000000"/>
                <w:szCs w:val="21"/>
              </w:rPr>
              <w:t>载波频率：614MHz-696MHz</w:t>
            </w:r>
            <w:r>
              <w:rPr>
                <w:rFonts w:hint="eastAsia" w:ascii="宋体" w:hAnsi="宋体" w:eastAsia="宋体" w:cs="宋体"/>
                <w:color w:val="000000"/>
                <w:szCs w:val="21"/>
              </w:rPr>
              <w:br w:type="textWrapping"/>
            </w:r>
            <w:r>
              <w:rPr>
                <w:rFonts w:hint="eastAsia" w:ascii="宋体" w:hAnsi="宋体" w:eastAsia="宋体" w:cs="宋体"/>
                <w:color w:val="000000"/>
                <w:szCs w:val="21"/>
              </w:rPr>
              <w:t>信噪比：70dB以上</w:t>
            </w:r>
            <w:r>
              <w:rPr>
                <w:rFonts w:hint="eastAsia" w:ascii="宋体" w:hAnsi="宋体" w:eastAsia="宋体" w:cs="宋体"/>
                <w:color w:val="000000"/>
                <w:szCs w:val="21"/>
              </w:rPr>
              <w:br w:type="textWrapping"/>
            </w:r>
            <w:r>
              <w:rPr>
                <w:rFonts w:hint="eastAsia" w:ascii="宋体" w:hAnsi="宋体" w:eastAsia="宋体" w:cs="宋体"/>
                <w:color w:val="000000"/>
                <w:szCs w:val="21"/>
              </w:rPr>
              <w:t>声音延迟：12ms</w:t>
            </w:r>
            <w:r>
              <w:rPr>
                <w:rFonts w:hint="eastAsia" w:ascii="宋体" w:hAnsi="宋体" w:eastAsia="宋体" w:cs="宋体"/>
                <w:color w:val="000000"/>
                <w:szCs w:val="21"/>
              </w:rPr>
              <w:br w:type="textWrapping"/>
            </w:r>
            <w:r>
              <w:rPr>
                <w:rFonts w:hint="eastAsia" w:ascii="宋体" w:hAnsi="宋体" w:eastAsia="宋体" w:cs="宋体"/>
                <w:color w:val="000000"/>
                <w:szCs w:val="21"/>
              </w:rPr>
              <w:t>失真：0.5%以下</w:t>
            </w:r>
            <w:r>
              <w:rPr>
                <w:rFonts w:hint="eastAsia" w:ascii="宋体" w:hAnsi="宋体" w:eastAsia="宋体" w:cs="宋体"/>
                <w:color w:val="000000"/>
                <w:szCs w:val="21"/>
              </w:rPr>
              <w:br w:type="textWrapping"/>
            </w:r>
            <w:r>
              <w:rPr>
                <w:rFonts w:hint="eastAsia" w:ascii="宋体" w:hAnsi="宋体" w:eastAsia="宋体" w:cs="宋体"/>
                <w:color w:val="000000"/>
                <w:szCs w:val="21"/>
              </w:rPr>
              <w:t>参考音频输入电平：-60分贝</w:t>
            </w:r>
            <w:r>
              <w:rPr>
                <w:rFonts w:hint="eastAsia" w:ascii="宋体" w:hAnsi="宋体" w:eastAsia="宋体" w:cs="宋体"/>
                <w:color w:val="000000"/>
                <w:szCs w:val="21"/>
              </w:rPr>
              <w:br w:type="textWrapping"/>
            </w:r>
            <w:r>
              <w:rPr>
                <w:rFonts w:hint="eastAsia" w:ascii="宋体" w:hAnsi="宋体" w:eastAsia="宋体" w:cs="宋体"/>
                <w:color w:val="000000"/>
                <w:szCs w:val="21"/>
              </w:rPr>
              <w:t>射频输出电平：30mW/20mW/10mW可选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123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监听音箱</w:t>
            </w:r>
          </w:p>
        </w:tc>
        <w:tc>
          <w:tcPr>
            <w:tcW w:w="840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电源：220-240V</w:t>
            </w:r>
            <w:r>
              <w:rPr>
                <w:rFonts w:hint="eastAsia" w:ascii="宋体" w:hAnsi="宋体" w:eastAsia="宋体" w:cs="宋体"/>
                <w:color w:val="000000"/>
                <w:szCs w:val="21"/>
              </w:rPr>
              <w:br w:type="textWrapping"/>
            </w:r>
            <w:r>
              <w:rPr>
                <w:rFonts w:hint="eastAsia" w:ascii="宋体" w:hAnsi="宋体" w:eastAsia="宋体" w:cs="宋体"/>
                <w:color w:val="000000"/>
                <w:szCs w:val="21"/>
              </w:rPr>
              <w:t>输出功率：22W x2</w:t>
            </w:r>
            <w:r>
              <w:rPr>
                <w:rFonts w:hint="eastAsia" w:ascii="宋体" w:hAnsi="宋体" w:eastAsia="宋体" w:cs="宋体"/>
                <w:color w:val="000000"/>
                <w:szCs w:val="21"/>
              </w:rPr>
              <w:br w:type="textWrapping"/>
            </w:r>
            <w:r>
              <w:rPr>
                <w:rFonts w:hint="eastAsia" w:ascii="宋体" w:hAnsi="宋体" w:eastAsia="宋体" w:cs="宋体"/>
                <w:color w:val="000000"/>
                <w:szCs w:val="21"/>
              </w:rPr>
              <w:t>频率响应：30Hz-20KHz</w:t>
            </w:r>
            <w:r>
              <w:rPr>
                <w:rFonts w:hint="eastAsia" w:ascii="宋体" w:hAnsi="宋体" w:eastAsia="宋体" w:cs="宋体"/>
                <w:color w:val="000000"/>
                <w:szCs w:val="21"/>
              </w:rPr>
              <w:br w:type="textWrapping"/>
            </w:r>
            <w:r>
              <w:rPr>
                <w:rFonts w:hint="eastAsia" w:ascii="宋体" w:hAnsi="宋体" w:eastAsia="宋体" w:cs="宋体"/>
                <w:color w:val="000000"/>
                <w:szCs w:val="21"/>
              </w:rPr>
              <w:t>信噪比&gt;70dB</w:t>
            </w:r>
            <w:r>
              <w:rPr>
                <w:rFonts w:hint="eastAsia" w:ascii="宋体" w:hAnsi="宋体" w:eastAsia="宋体" w:cs="宋体"/>
                <w:color w:val="000000"/>
                <w:szCs w:val="21"/>
              </w:rPr>
              <w:br w:type="textWrapping"/>
            </w:r>
            <w:r>
              <w:rPr>
                <w:rFonts w:hint="eastAsia" w:ascii="宋体" w:hAnsi="宋体" w:eastAsia="宋体" w:cs="宋体"/>
                <w:color w:val="000000"/>
                <w:szCs w:val="21"/>
              </w:rPr>
              <w:t>分离度：&gt;40dB</w:t>
            </w:r>
            <w:r>
              <w:rPr>
                <w:rFonts w:hint="eastAsia" w:ascii="宋体" w:hAnsi="宋体" w:eastAsia="宋体" w:cs="宋体"/>
                <w:color w:val="000000"/>
                <w:szCs w:val="21"/>
              </w:rPr>
              <w:br w:type="textWrapping"/>
            </w:r>
            <w:r>
              <w:rPr>
                <w:rFonts w:hint="eastAsia" w:ascii="宋体" w:hAnsi="宋体" w:eastAsia="宋体" w:cs="宋体"/>
                <w:color w:val="000000"/>
                <w:szCs w:val="21"/>
              </w:rPr>
              <w:t>输入接口：一组RCA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23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立体声监听耳机</w:t>
            </w:r>
          </w:p>
        </w:tc>
        <w:tc>
          <w:tcPr>
            <w:tcW w:w="840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频响范围:15 – 20,000 Hz</w:t>
            </w:r>
            <w:r>
              <w:rPr>
                <w:rFonts w:hint="eastAsia" w:ascii="宋体" w:hAnsi="宋体" w:eastAsia="宋体" w:cs="宋体"/>
                <w:color w:val="000000"/>
                <w:szCs w:val="21"/>
              </w:rPr>
              <w:br w:type="textWrapping"/>
            </w:r>
            <w:r>
              <w:rPr>
                <w:rFonts w:hint="eastAsia" w:ascii="宋体" w:hAnsi="宋体" w:eastAsia="宋体" w:cs="宋体"/>
                <w:color w:val="000000"/>
                <w:szCs w:val="21"/>
              </w:rPr>
              <w:t>阻抗:47 ohms</w:t>
            </w:r>
            <w:r>
              <w:rPr>
                <w:rFonts w:hint="eastAsia" w:ascii="宋体" w:hAnsi="宋体" w:eastAsia="宋体" w:cs="宋体"/>
                <w:color w:val="000000"/>
                <w:szCs w:val="21"/>
              </w:rPr>
              <w:br w:type="textWrapping"/>
            </w:r>
            <w:r>
              <w:rPr>
                <w:rFonts w:hint="eastAsia" w:ascii="宋体" w:hAnsi="宋体" w:eastAsia="宋体" w:cs="宋体"/>
                <w:color w:val="000000"/>
                <w:szCs w:val="21"/>
              </w:rPr>
              <w:t>灵敏度:96 dB</w:t>
            </w:r>
            <w:r>
              <w:rPr>
                <w:rFonts w:hint="eastAsia" w:ascii="宋体" w:hAnsi="宋体" w:eastAsia="宋体" w:cs="宋体"/>
                <w:color w:val="000000"/>
                <w:szCs w:val="21"/>
              </w:rPr>
              <w:br w:type="textWrapping"/>
            </w:r>
            <w:r>
              <w:rPr>
                <w:rFonts w:hint="eastAsia" w:ascii="宋体" w:hAnsi="宋体" w:eastAsia="宋体" w:cs="宋体"/>
                <w:color w:val="000000"/>
                <w:szCs w:val="21"/>
              </w:rPr>
              <w:t>最大承载功率:700 mW at 1 kHz</w:t>
            </w:r>
            <w:r>
              <w:rPr>
                <w:rFonts w:hint="eastAsia" w:ascii="宋体" w:hAnsi="宋体" w:eastAsia="宋体" w:cs="宋体"/>
                <w:color w:val="000000"/>
                <w:szCs w:val="21"/>
              </w:rPr>
              <w:br w:type="textWrapping"/>
            </w:r>
            <w:r>
              <w:rPr>
                <w:rFonts w:hint="eastAsia" w:ascii="宋体" w:hAnsi="宋体" w:eastAsia="宋体" w:cs="宋体"/>
                <w:color w:val="000000"/>
                <w:szCs w:val="21"/>
              </w:rPr>
              <w:t>重量:190g</w:t>
            </w:r>
            <w:r>
              <w:rPr>
                <w:rFonts w:hint="eastAsia" w:ascii="宋体" w:hAnsi="宋体" w:eastAsia="宋体" w:cs="宋体"/>
                <w:color w:val="000000"/>
                <w:szCs w:val="21"/>
              </w:rPr>
              <w:br w:type="textWrapping"/>
            </w:r>
            <w:r>
              <w:rPr>
                <w:rFonts w:hint="eastAsia" w:ascii="宋体" w:hAnsi="宋体" w:eastAsia="宋体" w:cs="宋体"/>
                <w:color w:val="000000"/>
                <w:szCs w:val="21"/>
              </w:rPr>
              <w:t>驱动单元类型/直径:40mm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3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30米SDI线材</w:t>
            </w:r>
          </w:p>
        </w:tc>
        <w:tc>
          <w:tcPr>
            <w:tcW w:w="840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30米SDI高清线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3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10米HDMI线材</w:t>
            </w:r>
          </w:p>
        </w:tc>
        <w:tc>
          <w:tcPr>
            <w:tcW w:w="840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线规：26AWB</w:t>
            </w:r>
            <w:r>
              <w:rPr>
                <w:rFonts w:hint="eastAsia" w:ascii="宋体" w:hAnsi="宋体" w:eastAsia="宋体" w:cs="宋体"/>
                <w:color w:val="000000"/>
                <w:szCs w:val="21"/>
              </w:rPr>
              <w:br w:type="textWrapping"/>
            </w:r>
            <w:r>
              <w:rPr>
                <w:rFonts w:hint="eastAsia" w:ascii="宋体" w:hAnsi="宋体" w:eastAsia="宋体" w:cs="宋体"/>
                <w:color w:val="000000"/>
                <w:szCs w:val="21"/>
              </w:rPr>
              <w:t>线径：8.0MM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23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HDMI音频解嵌器</w:t>
            </w:r>
          </w:p>
        </w:tc>
        <w:tc>
          <w:tcPr>
            <w:tcW w:w="840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接口：HDMI接口3D视频线 音响5.1/7.1声道3.5耳机转换器音频输出：HDMI、左右声道、光纤输出分辨率：4K*2K/30HZ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3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HDMI 分配器一分四</w:t>
            </w:r>
          </w:p>
        </w:tc>
        <w:tc>
          <w:tcPr>
            <w:tcW w:w="840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线长：其他</w:t>
            </w:r>
            <w:r>
              <w:rPr>
                <w:rFonts w:hint="eastAsia" w:ascii="宋体" w:hAnsi="宋体" w:eastAsia="宋体" w:cs="宋体"/>
                <w:color w:val="000000"/>
                <w:szCs w:val="21"/>
              </w:rPr>
              <w:br w:type="textWrapping"/>
            </w:r>
            <w:r>
              <w:rPr>
                <w:rFonts w:hint="eastAsia" w:ascii="宋体" w:hAnsi="宋体" w:eastAsia="宋体" w:cs="宋体"/>
                <w:color w:val="000000"/>
                <w:szCs w:val="21"/>
              </w:rPr>
              <w:t>接口：HDMI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123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直播盒子</w:t>
            </w:r>
          </w:p>
        </w:tc>
        <w:tc>
          <w:tcPr>
            <w:tcW w:w="840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5寸屏幕</w:t>
            </w:r>
            <w:r>
              <w:rPr>
                <w:rFonts w:hint="eastAsia" w:ascii="宋体" w:hAnsi="宋体" w:eastAsia="宋体" w:cs="宋体"/>
                <w:color w:val="000000"/>
                <w:szCs w:val="21"/>
              </w:rPr>
              <w:br w:type="textWrapping"/>
            </w:r>
            <w:r>
              <w:rPr>
                <w:rFonts w:hint="eastAsia" w:ascii="宋体" w:hAnsi="宋体" w:eastAsia="宋体" w:cs="宋体"/>
                <w:color w:val="000000"/>
                <w:szCs w:val="21"/>
              </w:rPr>
              <w:t>3路：HDMI+USB+网络流</w:t>
            </w:r>
            <w:r>
              <w:rPr>
                <w:rFonts w:hint="eastAsia" w:ascii="宋体" w:hAnsi="宋体" w:eastAsia="宋体" w:cs="宋体"/>
                <w:color w:val="000000"/>
                <w:szCs w:val="21"/>
              </w:rPr>
              <w:br w:type="textWrapping"/>
            </w:r>
            <w:r>
              <w:rPr>
                <w:rFonts w:hint="eastAsia" w:ascii="宋体" w:hAnsi="宋体" w:eastAsia="宋体" w:cs="宋体"/>
                <w:color w:val="000000"/>
                <w:szCs w:val="21"/>
              </w:rPr>
              <w:t>画中画</w:t>
            </w:r>
            <w:r>
              <w:rPr>
                <w:rFonts w:hint="eastAsia" w:ascii="宋体" w:hAnsi="宋体" w:eastAsia="宋体" w:cs="宋体"/>
                <w:color w:val="000000"/>
                <w:szCs w:val="21"/>
              </w:rPr>
              <w:br w:type="textWrapping"/>
            </w:r>
            <w:r>
              <w:rPr>
                <w:rFonts w:hint="eastAsia" w:ascii="宋体" w:hAnsi="宋体" w:eastAsia="宋体" w:cs="宋体"/>
                <w:color w:val="000000"/>
                <w:szCs w:val="21"/>
              </w:rPr>
              <w:t>多水印，记分牌，滚动字幕</w:t>
            </w:r>
            <w:r>
              <w:rPr>
                <w:rFonts w:hint="eastAsia" w:ascii="宋体" w:hAnsi="宋体" w:eastAsia="宋体" w:cs="宋体"/>
                <w:color w:val="000000"/>
                <w:szCs w:val="21"/>
              </w:rPr>
              <w:br w:type="textWrapping"/>
            </w:r>
            <w:r>
              <w:rPr>
                <w:rFonts w:hint="eastAsia" w:ascii="宋体" w:hAnsi="宋体" w:eastAsia="宋体" w:cs="宋体"/>
                <w:color w:val="000000"/>
                <w:szCs w:val="21"/>
              </w:rPr>
              <w:t>支持1080P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123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虚拟绿箱侧光用平板式柔光灯</w:t>
            </w:r>
          </w:p>
        </w:tc>
        <w:tc>
          <w:tcPr>
            <w:tcW w:w="8409" w:type="dxa"/>
            <w:noWrap/>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输入电源：100-250V  AC  50/60Hz</w:t>
            </w:r>
            <w:r>
              <w:rPr>
                <w:rFonts w:hint="eastAsia" w:ascii="宋体" w:hAnsi="宋体" w:eastAsia="宋体" w:cs="宋体"/>
                <w:color w:val="000000"/>
                <w:szCs w:val="21"/>
              </w:rPr>
              <w:br w:type="textWrapping"/>
            </w:r>
            <w:r>
              <w:rPr>
                <w:rFonts w:hint="eastAsia" w:ascii="宋体" w:hAnsi="宋体" w:eastAsia="宋体" w:cs="宋体"/>
                <w:color w:val="000000"/>
                <w:szCs w:val="21"/>
              </w:rPr>
              <w:t>功    率：60W</w:t>
            </w:r>
            <w:r>
              <w:rPr>
                <w:rFonts w:hint="eastAsia" w:ascii="宋体" w:hAnsi="宋体" w:eastAsia="宋体" w:cs="宋体"/>
                <w:color w:val="000000"/>
                <w:szCs w:val="21"/>
              </w:rPr>
              <w:br w:type="textWrapping"/>
            </w:r>
            <w:r>
              <w:rPr>
                <w:rFonts w:hint="eastAsia" w:ascii="宋体" w:hAnsi="宋体" w:eastAsia="宋体" w:cs="宋体"/>
                <w:color w:val="000000"/>
                <w:szCs w:val="21"/>
              </w:rPr>
              <w:t>发光灯珠数量：960颗</w:t>
            </w:r>
            <w:r>
              <w:rPr>
                <w:rFonts w:hint="eastAsia" w:ascii="宋体" w:hAnsi="宋体" w:eastAsia="宋体" w:cs="宋体"/>
                <w:color w:val="000000"/>
                <w:szCs w:val="21"/>
              </w:rPr>
              <w:br w:type="textWrapping"/>
            </w:r>
            <w:r>
              <w:rPr>
                <w:rFonts w:hint="eastAsia" w:ascii="宋体" w:hAnsi="宋体" w:eastAsia="宋体" w:cs="宋体"/>
                <w:color w:val="000000"/>
                <w:szCs w:val="21"/>
              </w:rPr>
              <w:t>色    温： 5600K</w:t>
            </w:r>
            <w:r>
              <w:rPr>
                <w:rFonts w:hint="eastAsia" w:ascii="宋体" w:hAnsi="宋体" w:eastAsia="宋体" w:cs="宋体"/>
                <w:color w:val="000000"/>
                <w:szCs w:val="21"/>
              </w:rPr>
              <w:br w:type="textWrapping"/>
            </w:r>
            <w:r>
              <w:rPr>
                <w:rFonts w:hint="eastAsia" w:ascii="宋体" w:hAnsi="宋体" w:eastAsia="宋体" w:cs="宋体"/>
                <w:color w:val="000000"/>
                <w:szCs w:val="21"/>
              </w:rPr>
              <w:t>显色指数：Ra值≥90</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调光方式：1、自带旋钮数字调光，2、遥控调光。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角度调节方式：手动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噪音范围：静音 </w:t>
            </w:r>
            <w:r>
              <w:rPr>
                <w:rFonts w:hint="eastAsia" w:ascii="宋体" w:hAnsi="宋体" w:eastAsia="宋体" w:cs="宋体"/>
                <w:color w:val="000000"/>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57150"/>
                      <wp:effectExtent l="0" t="0" r="0" b="0"/>
                      <wp:wrapNone/>
                      <wp:docPr id="25398" name="矩形 25398" descr="000501c69a56$9e264150$9000a8c0@Z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57150"/>
                              </a:xfrm>
                              <a:prstGeom prst="rect">
                                <a:avLst/>
                              </a:prstGeom>
                              <a:noFill/>
                              <a:ln>
                                <a:noFill/>
                              </a:ln>
                              <a:effectLst/>
                            </wps:spPr>
                            <wps:bodyPr wrap="square"/>
                          </wps:wsp>
                        </a:graphicData>
                      </a:graphic>
                    </wp:anchor>
                  </w:drawing>
                </mc:Choice>
                <mc:Fallback>
                  <w:pict>
                    <v:rect id="_x0000_s1026" o:spid="_x0000_s1026" o:spt="1" alt="000501c69a56$9e264150$9000a8c0@ZYC" style="position:absolute;left:0pt;margin-left:0pt;margin-top:0pt;height:4.5pt;width:0.75pt;z-index:251660288;mso-width-relative:page;mso-height-relative:page;" filled="f" stroked="f" coordsize="21600,21600" o:gfxdata="UEsDBAoAAAAAAIdO4kAAAAAAAAAAAAAAAAAEAAAAZHJzL1BLAwQUAAAACACHTuJAQi1sA9IAAAAB AQAADwAAAGRycy9kb3ducmV2LnhtbE2PQUvDQBCF74L/YRnBi9jdCorGTHooiEWEYqo9T7NjEszO ptltUv+9Wy96GXi8x3vf5Iuj69TIQ2i9IMxnBhRL5W0rNcL75un6HlSIJJY6L4zwzQEWxflZTpn1 k7zxWMZapRIJGSE0MfaZ1qFq2FGY+Z4leZ9+cBSTHGptB5pSuev0jTF32lEraaGhnpcNV1/lwSFM 1Xrcbl6f9fpqu/KyX+2X5ccL4uXF3DyCinyMf2E44Sd0KBLTzh/EBtUhpEfi7z15t6B2CA8GdJHr /+TFD1BLAwQUAAAACACHTuJAmAecUfIBAADGAwAADgAAAGRycy9lMm9Eb2MueG1srVPBjtMwEL0j 8Q+WtVeatJCyjZouaKvlssBKCwe4TZ1JE5HYxuM27desxI2P4HMQv8HYTQu7XPbAJbKf7TfvvZnM L3ZdK7boqDG6kONRKgVqZcpGrwv58cPVs3MpyIMuoTUaC7lHkheLp0/mvc1xYmrTlugEk2jKe1vI 2nubJwmpGjugkbGo+bAyrgPPW7dOSgc9s3dtMknTadIbV1pnFBIxujwcyoHRPYbQVFWjcGnUpkPt D6wOW/BsierGklxEtVWFyr+vKkIv2kKyUx+/XITXq/BNFnPI1w5s3ahBAjxGwgNPHTSai56oluBB bFzzD1XXKGfIVH6kTJccjMRE2MU4fZDNbQ0WoxeOmuwpdPp/tOrd9saJpizkJHs+49Zr6Ljpv+6+ //zxTQxYiaRCZmmapWM1nUE2PZvhZPpinKVnM4bhXKWvPn+6DHH2lnJmvbU3LgRC9tqoLyS0uaxB r/E1WW4KDx6XOkLOmb5GKNnXOFAk9zjChphNrPq3pmRxsPEmhr2rXBdqcIxiF3u6P/UUd14oBmfZ JJNC8UH2kuVGesiPL60j/wZNJ8KikI6lRWbYXpMPSiA/XgmFtLlq2jbOTKvvAXzxgGAcuuH1Ufoh lZUp92yj52krJH3dgMOTW25vrDaMYpifv/cxkz+/3+I3UEsDBAoAAAAAAIdO4kAAAAAAAAAAAAAA AAAGAAAAX3JlbHMvUEsDBBQAAAAIAIdO4kCKFGY80QAAAJQBAAALAAAAX3JlbHMvLnJlbHOlkMFq wzAMhu+DvYPRfXGawxijTi+j0GvpHsDYimMaW0Yy2fr28w6DZfS2o36h7xP//vCZFrUiS6RsYNf1 oDA78jEHA++X49MLKKk2e7tQRgM3FDiMjw/7My62tiOZYxHVKFkMzLWWV63FzZisdFQwt81EnGxt IwddrLvagHro+2fNvxkwbpjq5A3wyQ+gLrfSzH/YKTomoal2jpKmaYruHlUHtmWO7sg24Ru5RrMc sBrwLBoHalnXfgR9X7/7p97TRz7jutV+h4zrj1dvuhy/AFBLAwQUAAAACACHTuJAfublIPcAAADh AQAAEwAAAFtDb250ZW50X1R5cGVzXS54bWyVkUFOwzAQRfdI3MHyFiVOu0AIJemCtEtAqBxgZE8S i2RseUxob4+TthtEkVjaM/+/J7vcHMZBTBjYOqrkKi+kQNLOWOoq+b7fZQ9ScAQyMDjCSh6R5aa+ vSn3R48sUpq4kn2M/lEp1j2OwLnzSGnSujBCTMfQKQ/6AzpU66K4V9pRRIpZnDtkXTbYwucQxfaQ rk8mAQeW4um0OLMqCd4PVkNMpmoi84OSnQl5Si473FvPd0lDql8J8+Q64Jx7SU8TrEHxCiE+w5g0 lAmsjPuigFP+d8lsOXLm2tZqzJvATYq94XSxutaOa9c4/d/y7ZK6dKvlg+pvUEsBAhQAFAAAAAgA h07iQH7m5SD3AAAA4QEAABMAAAAAAAAAAQAgAAAAXQQAAFtDb250ZW50X1R5cGVzXS54bWxQSwEC FAAKAAAAAACHTuJAAAAAAAAAAAAAAAAABgAAAAAAAAAAABAAAAA/AwAAX3JlbHMvUEsBAhQAFAAA AAgAh07iQIoUZjzRAAAAlAEAAAsAAAAAAAAAAQAgAAAAYwMAAF9yZWxzLy5yZWxzUEsBAhQACgAA AAAAh07iQAAAAAAAAAAAAAAAAAQAAAAAAAAAAAAQAAAAAAAAAGRycy9QSwECFAAUAAAACACHTuJA Qi1sA9IAAAABAQAADwAAAAAAAAABACAAAAAiAAAAZHJzL2Rvd25yZXYueG1sUEsBAhQAFAAAAAgA h07iQJgHnFHyAQAAxgMAAA4AAAAAAAAAAQAgAAAAIQEAAGRycy9lMm9Eb2MueG1sUEsFBgAAAAAG AAYAWQEAAIUFAAAAAA== ">
                      <v:fill on="f" focussize="0,0"/>
                      <v:stroke on="f"/>
                      <v:imagedata o:title=""/>
                      <o:lock v:ext="edit" aspectratio="t"/>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23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虚拟绿箱顶光用平板式柔光灯</w:t>
            </w:r>
          </w:p>
        </w:tc>
        <w:tc>
          <w:tcPr>
            <w:tcW w:w="840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输入电源：100-250V  AC  50/60Hz</w:t>
            </w:r>
            <w:r>
              <w:rPr>
                <w:rFonts w:hint="eastAsia" w:ascii="宋体" w:hAnsi="宋体" w:eastAsia="宋体" w:cs="宋体"/>
                <w:color w:val="000000"/>
                <w:szCs w:val="21"/>
              </w:rPr>
              <w:br w:type="textWrapping"/>
            </w:r>
            <w:r>
              <w:rPr>
                <w:rFonts w:hint="eastAsia" w:ascii="宋体" w:hAnsi="宋体" w:eastAsia="宋体" w:cs="宋体"/>
                <w:color w:val="000000"/>
                <w:szCs w:val="21"/>
              </w:rPr>
              <w:t>功    率：80W</w:t>
            </w:r>
            <w:r>
              <w:rPr>
                <w:rFonts w:hint="eastAsia" w:ascii="宋体" w:hAnsi="宋体" w:eastAsia="宋体" w:cs="宋体"/>
                <w:color w:val="000000"/>
                <w:szCs w:val="21"/>
              </w:rPr>
              <w:br w:type="textWrapping"/>
            </w:r>
            <w:r>
              <w:rPr>
                <w:rFonts w:hint="eastAsia" w:ascii="宋体" w:hAnsi="宋体" w:eastAsia="宋体" w:cs="宋体"/>
                <w:color w:val="000000"/>
                <w:szCs w:val="21"/>
              </w:rPr>
              <w:t>发光灯珠数量：1200颗</w:t>
            </w:r>
            <w:r>
              <w:rPr>
                <w:rFonts w:hint="eastAsia" w:ascii="宋体" w:hAnsi="宋体" w:eastAsia="宋体" w:cs="宋体"/>
                <w:color w:val="000000"/>
                <w:szCs w:val="21"/>
              </w:rPr>
              <w:br w:type="textWrapping"/>
            </w:r>
            <w:r>
              <w:rPr>
                <w:rFonts w:hint="eastAsia" w:ascii="宋体" w:hAnsi="宋体" w:eastAsia="宋体" w:cs="宋体"/>
                <w:color w:val="000000"/>
                <w:szCs w:val="21"/>
              </w:rPr>
              <w:t>色    温： 5600K</w:t>
            </w:r>
            <w:r>
              <w:rPr>
                <w:rFonts w:hint="eastAsia" w:ascii="宋体" w:hAnsi="宋体" w:eastAsia="宋体" w:cs="宋体"/>
                <w:color w:val="000000"/>
                <w:szCs w:val="21"/>
              </w:rPr>
              <w:br w:type="textWrapping"/>
            </w:r>
            <w:r>
              <w:rPr>
                <w:rFonts w:hint="eastAsia" w:ascii="宋体" w:hAnsi="宋体" w:eastAsia="宋体" w:cs="宋体"/>
                <w:color w:val="000000"/>
                <w:szCs w:val="21"/>
              </w:rPr>
              <w:t>显色指数：Ra值≥90</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调光方式：1、自带旋钮数字调光，2、遥控调光。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角度调节方式：手动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噪音范围：静音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123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虚拟绿箱面光用平板式柔光灯</w:t>
            </w:r>
          </w:p>
        </w:tc>
        <w:tc>
          <w:tcPr>
            <w:tcW w:w="840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输入电源：100-250V  AC  50/60Hz</w:t>
            </w:r>
            <w:r>
              <w:rPr>
                <w:rFonts w:hint="eastAsia" w:ascii="宋体" w:hAnsi="宋体" w:eastAsia="宋体" w:cs="宋体"/>
                <w:color w:val="000000"/>
                <w:szCs w:val="21"/>
              </w:rPr>
              <w:br w:type="textWrapping"/>
            </w:r>
            <w:r>
              <w:rPr>
                <w:rFonts w:hint="eastAsia" w:ascii="宋体" w:hAnsi="宋体" w:eastAsia="宋体" w:cs="宋体"/>
                <w:color w:val="000000"/>
                <w:szCs w:val="21"/>
              </w:rPr>
              <w:t>功    率：80W</w:t>
            </w:r>
            <w:r>
              <w:rPr>
                <w:rFonts w:hint="eastAsia" w:ascii="宋体" w:hAnsi="宋体" w:eastAsia="宋体" w:cs="宋体"/>
                <w:color w:val="000000"/>
                <w:szCs w:val="21"/>
              </w:rPr>
              <w:br w:type="textWrapping"/>
            </w:r>
            <w:r>
              <w:rPr>
                <w:rFonts w:hint="eastAsia" w:ascii="宋体" w:hAnsi="宋体" w:eastAsia="宋体" w:cs="宋体"/>
                <w:color w:val="000000"/>
                <w:szCs w:val="21"/>
              </w:rPr>
              <w:t>发光灯珠数量：1200颗</w:t>
            </w:r>
            <w:r>
              <w:rPr>
                <w:rFonts w:hint="eastAsia" w:ascii="宋体" w:hAnsi="宋体" w:eastAsia="宋体" w:cs="宋体"/>
                <w:color w:val="000000"/>
                <w:szCs w:val="21"/>
              </w:rPr>
              <w:br w:type="textWrapping"/>
            </w:r>
            <w:r>
              <w:rPr>
                <w:rFonts w:hint="eastAsia" w:ascii="宋体" w:hAnsi="宋体" w:eastAsia="宋体" w:cs="宋体"/>
                <w:color w:val="000000"/>
                <w:szCs w:val="21"/>
              </w:rPr>
              <w:t>色    温： 5600K</w:t>
            </w:r>
            <w:r>
              <w:rPr>
                <w:rFonts w:hint="eastAsia" w:ascii="宋体" w:hAnsi="宋体" w:eastAsia="宋体" w:cs="宋体"/>
                <w:color w:val="000000"/>
                <w:szCs w:val="21"/>
              </w:rPr>
              <w:br w:type="textWrapping"/>
            </w:r>
            <w:r>
              <w:rPr>
                <w:rFonts w:hint="eastAsia" w:ascii="宋体" w:hAnsi="宋体" w:eastAsia="宋体" w:cs="宋体"/>
                <w:color w:val="000000"/>
                <w:szCs w:val="21"/>
              </w:rPr>
              <w:t>显色指数：Ra值≥90</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调光方式：1、自带旋钮数字调光，2、遥控调光。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角度调节方式：手动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噪音范围：静音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23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轮廓光用LED螺纹透镜聚光灯</w:t>
            </w:r>
          </w:p>
        </w:tc>
        <w:tc>
          <w:tcPr>
            <w:tcW w:w="840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输入电源：100-250V  AC  50/60Hz</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功    率：100W</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发光灯珠数量：单颗模组发光</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色    温： 5600K</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显色指数：Ra值≥90</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调光方式：1、自带旋钮数字调光，2、遥控调光。  </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噪音范围：静音 （无风扇）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123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遥控器</w:t>
            </w:r>
          </w:p>
        </w:tc>
        <w:tc>
          <w:tcPr>
            <w:tcW w:w="840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频率： 433.92M</w:t>
            </w:r>
            <w:r>
              <w:rPr>
                <w:rFonts w:hint="eastAsia" w:ascii="宋体" w:hAnsi="宋体" w:eastAsia="宋体" w:cs="宋体"/>
                <w:color w:val="000000"/>
                <w:szCs w:val="21"/>
              </w:rPr>
              <w:br w:type="textWrapping"/>
            </w:r>
            <w:r>
              <w:rPr>
                <w:rFonts w:hint="eastAsia" w:ascii="宋体" w:hAnsi="宋体" w:eastAsia="宋体" w:cs="宋体"/>
                <w:color w:val="000000"/>
                <w:szCs w:val="21"/>
              </w:rPr>
              <w:t>发射功率：10dbm</w:t>
            </w:r>
            <w:r>
              <w:rPr>
                <w:rFonts w:hint="eastAsia" w:ascii="宋体" w:hAnsi="宋体" w:eastAsia="宋体" w:cs="宋体"/>
                <w:color w:val="000000"/>
                <w:szCs w:val="21"/>
              </w:rPr>
              <w:br w:type="textWrapping"/>
            </w:r>
            <w:r>
              <w:rPr>
                <w:rFonts w:hint="eastAsia" w:ascii="宋体" w:hAnsi="宋体" w:eastAsia="宋体" w:cs="宋体"/>
                <w:color w:val="000000"/>
                <w:szCs w:val="21"/>
              </w:rPr>
              <w:t>电源：3只AA电池</w:t>
            </w:r>
            <w:r>
              <w:rPr>
                <w:rFonts w:hint="eastAsia" w:ascii="宋体" w:hAnsi="宋体" w:eastAsia="宋体" w:cs="宋体"/>
                <w:color w:val="000000"/>
                <w:szCs w:val="21"/>
              </w:rPr>
              <w:br w:type="textWrapping"/>
            </w:r>
            <w:r>
              <w:rPr>
                <w:rFonts w:hint="eastAsia" w:ascii="宋体" w:hAnsi="宋体" w:eastAsia="宋体" w:cs="宋体"/>
                <w:color w:val="000000"/>
                <w:szCs w:val="21"/>
              </w:rPr>
              <w:t>语言：中/英文可对每只（组）灯独立调校</w:t>
            </w:r>
            <w:r>
              <w:rPr>
                <w:rFonts w:hint="eastAsia" w:ascii="宋体" w:hAnsi="宋体" w:eastAsia="宋体" w:cs="宋体"/>
                <w:color w:val="000000"/>
                <w:szCs w:val="21"/>
              </w:rPr>
              <w:br w:type="textWrapping"/>
            </w:r>
            <w:r>
              <w:rPr>
                <w:rFonts w:hint="eastAsia" w:ascii="宋体" w:hAnsi="宋体" w:eastAsia="宋体" w:cs="宋体"/>
                <w:color w:val="000000"/>
                <w:szCs w:val="21"/>
              </w:rPr>
              <w:t>控制路数多达99路;自带节能/保护模式；20秒无操作进入省电模式;能更直观的对灯具进行调节,提高工作效率,有效传输距离150M,灯与灯之间无需连接信号线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3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L型绿箱</w:t>
            </w:r>
          </w:p>
        </w:tc>
        <w:tc>
          <w:tcPr>
            <w:tcW w:w="8409" w:type="dxa"/>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长3.5米；地面延伸3米；高2.75米</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免漆拼接型蓝箱墙板、弧板、地板均为一次模压成型，三种板块均采用一种铝合金支架连接，可靠耐用、免维护。</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该产品无需采用传统的木料制作方式，避免批腻子，刷漆等费时费力繁琐工序，为工程施工节省工期90%以上，同时节省大量资金，也杜绝日常使用掉漆磨损引起的反复维修等缺点。</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铝合金底条：3M长度</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模块化、拼接式、虚拟蓝箱设计无需刷漆,可反复利用，便于安装布置，本方案涉及了四部分产品，蓝箱部分分为三种产品，墙板、弧形板、地板，铝合金底支架。墙板，弧板，地板均为数控磨具产品，一次成型，尺寸标准，颜色一致，没有批次差。地板设计防水、强度高，耐磨，不变色，结实牢固。铝合金底支架为磨具挤压型，尺寸标准，永不变形，方便实用。</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三种板块均采用一种铝合金支架连接，非常方便。</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环保型拼装蓝箱无需采用传统的木料制作方式，避免批腻子，刷漆等费时费力繁琐工序，为工程施工节省大量时间和资金。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39" w:type="dxa"/>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轨道式灯光悬挂系统</w:t>
            </w:r>
          </w:p>
        </w:tc>
        <w:tc>
          <w:tcPr>
            <w:tcW w:w="8409" w:type="dxa"/>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纵轨：12米（两根6米）  横轨：12米（4根3米）  万向滑车：8个（8轮轴承体，带刹车功能）  灯具滑车：12个（4轮轴承体，带刹车功能）  线缆滑车：2轮轴承体  轨道连接架：2个  轨道吊架：6个  轨道压片：12个  轨道堵头：12个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39" w:type="dxa"/>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导播操作台</w:t>
            </w:r>
          </w:p>
        </w:tc>
        <w:tc>
          <w:tcPr>
            <w:tcW w:w="8409" w:type="dxa"/>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双机柜带二层板非编台，柜体为优质冷轧钢板表面静电喷塑，桌面为中密度板刷环保漆。柜体为标准19英寸机架。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参考尺寸：2000MM*800MM*750MM（可定制）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总体设计：钢木结构，流线型设计，外形美观，操作方便并设有防尘及散热措施，符合人体工程学原理。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生产工艺：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产品严格按照19”国际标准设计(除非标加工外)，相关尺寸符合GB/T3047.2-92标准。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产品结构为整体牢固型，各部件和附件均为标准件，互换性和通用性强。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产品所有冷轧钢板均采用优质冷轧钢板厚度根据不同部件要求由1.2mm—2.0mm不等。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加工材料：钢制部分采用优质A3冷轧钢板，质量达到行业相关安全保护标准，木制部分为优质高密度板。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材料料厚：钢板：厚规格为：装饰件1.2mm,连接件1.5mm,承重部件2.0mm，且搭配合理，加工硬化，牢固耐用。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表面处理：钢板经脱脂、酸洗、防锈磷化处理，表面静电喷塑，耐酸碱、防绣蚀、抗静电。</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木板：台板为高密度压缩板厚度25-36mm喷嘉宝莉环保漆，表面做防火底漆处理。颜色分：闪光银，木本色,深红棕,闪光蓝,等多种可选。</w:t>
            </w:r>
          </w:p>
        </w:tc>
      </w:tr>
    </w:tbl>
    <w:p>
      <w:pPr>
        <w:rPr>
          <w:rFonts w:hint="eastAsia"/>
          <w:color w:val="000000"/>
          <w:sz w:val="24"/>
          <w:szCs w:val="24"/>
        </w:rPr>
      </w:pPr>
      <w:bookmarkStart w:id="115" w:name="_Toc11059"/>
    </w:p>
    <w:p>
      <w:pPr>
        <w:rPr>
          <w:rFonts w:hint="eastAsia"/>
          <w:color w:val="000000"/>
          <w:sz w:val="24"/>
          <w:szCs w:val="24"/>
        </w:rPr>
      </w:pPr>
    </w:p>
    <w:p>
      <w:pPr>
        <w:rPr>
          <w:rFonts w:hint="eastAsia"/>
          <w:color w:val="000000"/>
          <w:sz w:val="24"/>
          <w:szCs w:val="24"/>
        </w:rPr>
      </w:pPr>
    </w:p>
    <w:p>
      <w:pPr>
        <w:rPr>
          <w:rFonts w:hint="eastAsia"/>
          <w:color w:val="000000"/>
          <w:sz w:val="24"/>
          <w:szCs w:val="24"/>
        </w:rPr>
      </w:pPr>
    </w:p>
    <w:p>
      <w:pPr>
        <w:pStyle w:val="2"/>
        <w:rPr>
          <w:rFonts w:hint="eastAsia"/>
          <w:color w:val="000000"/>
          <w:sz w:val="24"/>
          <w:szCs w:val="24"/>
        </w:rPr>
      </w:pPr>
    </w:p>
    <w:p>
      <w:pPr>
        <w:pStyle w:val="2"/>
        <w:rPr>
          <w:rFonts w:hint="eastAsia"/>
          <w:color w:val="000000"/>
          <w:sz w:val="24"/>
          <w:szCs w:val="24"/>
        </w:rPr>
      </w:pPr>
    </w:p>
    <w:p>
      <w:pPr>
        <w:pStyle w:val="2"/>
        <w:rPr>
          <w:rFonts w:hint="eastAsia"/>
          <w:color w:val="000000"/>
          <w:sz w:val="24"/>
          <w:szCs w:val="24"/>
        </w:rPr>
      </w:pPr>
    </w:p>
    <w:p>
      <w:pPr>
        <w:pStyle w:val="2"/>
        <w:rPr>
          <w:rFonts w:hint="eastAsia"/>
          <w:color w:val="000000"/>
          <w:sz w:val="24"/>
          <w:szCs w:val="24"/>
        </w:rPr>
      </w:pPr>
    </w:p>
    <w:p>
      <w:pPr>
        <w:pStyle w:val="2"/>
        <w:rPr>
          <w:rFonts w:hint="eastAsia"/>
          <w:color w:val="000000"/>
          <w:sz w:val="24"/>
          <w:szCs w:val="24"/>
        </w:rPr>
      </w:pPr>
    </w:p>
    <w:p>
      <w:pPr>
        <w:pStyle w:val="2"/>
        <w:rPr>
          <w:rFonts w:hint="eastAsia"/>
          <w:color w:val="000000"/>
          <w:sz w:val="24"/>
          <w:szCs w:val="24"/>
        </w:rPr>
      </w:pPr>
    </w:p>
    <w:p>
      <w:pPr>
        <w:pStyle w:val="2"/>
        <w:rPr>
          <w:rFonts w:hint="eastAsia"/>
          <w:color w:val="000000"/>
          <w:sz w:val="24"/>
          <w:szCs w:val="24"/>
        </w:rPr>
      </w:pPr>
    </w:p>
    <w:p>
      <w:pPr>
        <w:pStyle w:val="2"/>
        <w:rPr>
          <w:rFonts w:hint="eastAsia"/>
          <w:color w:val="000000"/>
          <w:sz w:val="24"/>
          <w:szCs w:val="24"/>
        </w:rPr>
      </w:pPr>
    </w:p>
    <w:p>
      <w:pPr>
        <w:pStyle w:val="2"/>
        <w:rPr>
          <w:rFonts w:hint="eastAsia"/>
          <w:color w:val="000000"/>
          <w:sz w:val="24"/>
          <w:szCs w:val="24"/>
        </w:rPr>
      </w:pPr>
    </w:p>
    <w:p>
      <w:pPr>
        <w:pStyle w:val="2"/>
        <w:rPr>
          <w:rFonts w:hint="eastAsia"/>
          <w:color w:val="000000"/>
          <w:sz w:val="24"/>
          <w:szCs w:val="24"/>
        </w:rPr>
      </w:pPr>
    </w:p>
    <w:p>
      <w:pPr>
        <w:pStyle w:val="2"/>
        <w:rPr>
          <w:rFonts w:hint="eastAsia"/>
          <w:color w:val="000000"/>
          <w:sz w:val="24"/>
          <w:szCs w:val="24"/>
        </w:rPr>
      </w:pPr>
    </w:p>
    <w:p>
      <w:pPr>
        <w:pStyle w:val="2"/>
        <w:rPr>
          <w:rFonts w:hint="eastAsia"/>
          <w:color w:val="000000"/>
          <w:sz w:val="24"/>
          <w:szCs w:val="24"/>
        </w:rPr>
      </w:pPr>
    </w:p>
    <w:p>
      <w:pPr>
        <w:pStyle w:val="2"/>
        <w:rPr>
          <w:rFonts w:hint="eastAsia"/>
          <w:color w:val="000000"/>
          <w:sz w:val="24"/>
          <w:szCs w:val="24"/>
        </w:rPr>
      </w:pPr>
    </w:p>
    <w:p>
      <w:pPr>
        <w:pStyle w:val="2"/>
        <w:rPr>
          <w:rFonts w:hint="eastAsia"/>
          <w:color w:val="000000"/>
          <w:sz w:val="24"/>
          <w:szCs w:val="24"/>
        </w:rPr>
      </w:pPr>
    </w:p>
    <w:p>
      <w:pPr>
        <w:pStyle w:val="2"/>
        <w:rPr>
          <w:rFonts w:hint="eastAsia"/>
          <w:color w:val="000000"/>
          <w:sz w:val="24"/>
          <w:szCs w:val="24"/>
        </w:rPr>
      </w:pPr>
    </w:p>
    <w:p>
      <w:pPr>
        <w:pStyle w:val="2"/>
        <w:rPr>
          <w:rFonts w:hint="eastAsia"/>
          <w:color w:val="000000"/>
          <w:sz w:val="24"/>
          <w:szCs w:val="24"/>
        </w:rPr>
      </w:pPr>
    </w:p>
    <w:p>
      <w:pPr>
        <w:spacing w:line="360" w:lineRule="auto"/>
        <w:jc w:val="center"/>
        <w:rPr>
          <w:rFonts w:hint="eastAsia" w:ascii="宋体" w:hAnsi="宋体" w:cs="宋体"/>
          <w:b/>
          <w:color w:val="000000"/>
          <w:sz w:val="30"/>
          <w:szCs w:val="30"/>
        </w:rPr>
      </w:pPr>
      <w:r>
        <w:rPr>
          <w:rFonts w:hint="eastAsia" w:ascii="宋体" w:hAnsi="宋体" w:cs="宋体"/>
          <w:b/>
          <w:color w:val="000000"/>
          <w:sz w:val="30"/>
          <w:szCs w:val="30"/>
        </w:rPr>
        <w:t>宁波杭州湾新区智能终端产业园区配套小学、幼儿园智慧校园采购项目</w:t>
      </w:r>
    </w:p>
    <w:p>
      <w:pPr>
        <w:spacing w:line="360" w:lineRule="auto"/>
        <w:jc w:val="center"/>
        <w:rPr>
          <w:rFonts w:hint="eastAsia" w:ascii="宋体" w:hAnsi="宋体" w:cs="宋体"/>
          <w:b/>
          <w:color w:val="000000"/>
          <w:sz w:val="30"/>
          <w:szCs w:val="30"/>
        </w:rPr>
      </w:pPr>
      <w:r>
        <w:rPr>
          <w:rFonts w:hint="eastAsia" w:ascii="宋体" w:hAnsi="宋体" w:cs="宋体"/>
          <w:b/>
          <w:color w:val="000000"/>
          <w:sz w:val="30"/>
          <w:szCs w:val="30"/>
        </w:rPr>
        <w:t>子包二招标内容与技术需求</w:t>
      </w:r>
    </w:p>
    <w:p>
      <w:pPr>
        <w:adjustRightInd w:val="0"/>
        <w:snapToGrid w:val="0"/>
        <w:spacing w:line="400" w:lineRule="exact"/>
        <w:rPr>
          <w:rFonts w:hint="eastAsia" w:ascii="宋体" w:hAnsi="宋体" w:cs="宋体"/>
          <w:color w:val="000000"/>
          <w:szCs w:val="21"/>
        </w:rPr>
      </w:pPr>
      <w:r>
        <w:rPr>
          <w:rFonts w:hint="eastAsia" w:ascii="宋体" w:hAnsi="宋体" w:cs="宋体"/>
          <w:b/>
          <w:bCs/>
          <w:color w:val="000000"/>
          <w:szCs w:val="21"/>
        </w:rPr>
        <w:t>▲供应商可以选择能满足本项目技术需求且性能与本章要求相当或以上的产品进行投标，但必须在投标文件中提供所投产品详细的技术参数，并对照本章提供的技术参数逐一说明响应情况，未提供所投产品详细的技术参数或未逐一说明响应情况的，作无效标处理</w:t>
      </w:r>
    </w:p>
    <w:p>
      <w:pPr>
        <w:adjustRightInd w:val="0"/>
        <w:snapToGrid w:val="0"/>
        <w:spacing w:line="400" w:lineRule="exact"/>
        <w:rPr>
          <w:rFonts w:hint="eastAsia" w:ascii="宋体" w:hAnsi="宋体" w:cs="宋体"/>
          <w:b/>
          <w:bCs/>
          <w:color w:val="000000"/>
          <w:szCs w:val="21"/>
        </w:rPr>
      </w:pPr>
      <w:r>
        <w:rPr>
          <w:rFonts w:hint="eastAsia" w:ascii="宋体" w:hAnsi="宋体" w:cs="宋体"/>
          <w:b/>
          <w:bCs/>
          <w:color w:val="000000"/>
          <w:szCs w:val="21"/>
        </w:rPr>
        <w:t>一、项目建设内容及总体要求</w:t>
      </w:r>
    </w:p>
    <w:p>
      <w:pPr>
        <w:adjustRightInd w:val="0"/>
        <w:snapToGrid w:val="0"/>
        <w:spacing w:line="400" w:lineRule="exact"/>
        <w:rPr>
          <w:rFonts w:hint="eastAsia" w:ascii="宋体" w:hAnsi="宋体" w:cs="宋体"/>
          <w:b/>
          <w:bCs/>
          <w:color w:val="000000"/>
          <w:szCs w:val="21"/>
        </w:rPr>
      </w:pPr>
      <w:r>
        <w:rPr>
          <w:rFonts w:hint="eastAsia" w:ascii="宋体" w:hAnsi="宋体" w:cs="宋体"/>
          <w:color w:val="000000"/>
          <w:szCs w:val="21"/>
        </w:rPr>
        <w:t>1、建设内容</w:t>
      </w:r>
    </w:p>
    <w:tbl>
      <w:tblPr>
        <w:tblStyle w:val="47"/>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7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2" w:type="dxa"/>
            <w:shd w:val="clear" w:color="000000" w:fill="auto"/>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7965" w:type="dxa"/>
            <w:shd w:val="clear" w:color="000000" w:fill="auto"/>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2" w:type="dxa"/>
            <w:shd w:val="clear" w:color="000000" w:fill="auto"/>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7965" w:type="dxa"/>
            <w:shd w:val="clear" w:color="000000" w:fill="auto"/>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智慧班牌系统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2" w:type="dxa"/>
            <w:shd w:val="clear" w:color="000000" w:fill="FFFFFF"/>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7965" w:type="dxa"/>
            <w:shd w:val="clear" w:color="000000" w:fill="FFFFFF"/>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智慧护眼灯光系统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2" w:type="dxa"/>
            <w:shd w:val="clear" w:color="000000" w:fill="FFFFFF"/>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7965" w:type="dxa"/>
            <w:shd w:val="clear" w:color="000000" w:fill="FFFFFF"/>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访客管理系统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2" w:type="dxa"/>
            <w:shd w:val="clear" w:color="000000" w:fill="FFFFFF"/>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7965" w:type="dxa"/>
            <w:shd w:val="clear" w:color="000000" w:fill="FFFFFF"/>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智慧校园平台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2" w:type="dxa"/>
            <w:shd w:val="clear" w:color="000000" w:fill="FFFFFF"/>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7965" w:type="dxa"/>
            <w:shd w:val="clear" w:color="000000" w:fill="FFFFFF"/>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网络安全</w:t>
            </w:r>
          </w:p>
        </w:tc>
      </w:tr>
    </w:tbl>
    <w:p>
      <w:pPr>
        <w:adjustRightInd w:val="0"/>
        <w:snapToGrid w:val="0"/>
        <w:spacing w:line="400" w:lineRule="exact"/>
        <w:rPr>
          <w:rFonts w:hint="eastAsia" w:ascii="宋体" w:hAnsi="宋体" w:cs="宋体"/>
          <w:color w:val="000000"/>
          <w:szCs w:val="21"/>
        </w:rPr>
      </w:pPr>
      <w:r>
        <w:rPr>
          <w:rFonts w:hint="eastAsia" w:ascii="宋体" w:hAnsi="宋体" w:cs="宋体"/>
          <w:color w:val="000000"/>
          <w:szCs w:val="21"/>
        </w:rPr>
        <w:t>2、总体要求</w:t>
      </w:r>
    </w:p>
    <w:p>
      <w:pPr>
        <w:pStyle w:val="157"/>
        <w:spacing w:line="400" w:lineRule="exact"/>
        <w:ind w:firstLine="420"/>
        <w:rPr>
          <w:rFonts w:hint="eastAsia" w:ascii="宋体" w:hAnsi="宋体" w:cs="宋体"/>
          <w:color w:val="000000"/>
          <w:sz w:val="21"/>
          <w:szCs w:val="21"/>
        </w:rPr>
      </w:pPr>
      <w:r>
        <w:rPr>
          <w:rFonts w:hint="eastAsia" w:ascii="宋体" w:hAnsi="宋体" w:cs="宋体"/>
          <w:color w:val="000000"/>
          <w:sz w:val="21"/>
          <w:szCs w:val="21"/>
        </w:rPr>
        <w:t>智慧校园要积极响应国家【教育信息化2.0行动计划】的要求，采用“顶层设计，分步实施”的总体思路，以面向服务的设计理念，通过现代化智能化集成管理技术，构建面向未来的现代化学校组织-----宁波杭州湾新区智能终端产业园区配套幼儿园智慧校园系统工程。功能上能够进行学校基础数据的统一存储，满足学校管理信息化和教学信息化的基础性及个性化扩展应用的要求。实现建立一个安全、舒适、通信便捷，环境优雅的数字化、网络化、智能化的校园环境。</w:t>
      </w:r>
    </w:p>
    <w:p>
      <w:pPr>
        <w:adjustRightInd w:val="0"/>
        <w:snapToGrid w:val="0"/>
        <w:spacing w:line="400" w:lineRule="exact"/>
        <w:rPr>
          <w:rFonts w:hint="eastAsia" w:ascii="宋体" w:hAnsi="宋体" w:cs="宋体"/>
          <w:color w:val="000000"/>
          <w:szCs w:val="21"/>
        </w:rPr>
      </w:pPr>
      <w:r>
        <w:rPr>
          <w:rFonts w:hint="eastAsia" w:ascii="宋体" w:hAnsi="宋体" w:cs="宋体"/>
          <w:color w:val="000000"/>
          <w:szCs w:val="21"/>
        </w:rPr>
        <w:t>3、交货期：在合同签订后40个日历天内完成设备供货、安装并验收合格。</w:t>
      </w:r>
    </w:p>
    <w:p>
      <w:pPr>
        <w:adjustRightInd w:val="0"/>
        <w:snapToGrid w:val="0"/>
        <w:spacing w:line="400" w:lineRule="exact"/>
        <w:rPr>
          <w:rFonts w:hint="eastAsia" w:ascii="宋体" w:hAnsi="宋体" w:cs="宋体"/>
          <w:color w:val="000000"/>
          <w:szCs w:val="21"/>
        </w:rPr>
      </w:pPr>
      <w:r>
        <w:rPr>
          <w:rFonts w:hint="eastAsia" w:ascii="宋体" w:hAnsi="宋体" w:cs="宋体"/>
          <w:color w:val="000000"/>
          <w:szCs w:val="21"/>
        </w:rPr>
        <w:t>4、技术要求提供检测报告、相关证书的各项技术参数，供应商应当提供相应资料佐证，否则对应的技术参数视为负偏离。</w:t>
      </w:r>
    </w:p>
    <w:p>
      <w:pPr>
        <w:pStyle w:val="2"/>
        <w:rPr>
          <w:rFonts w:hint="eastAsia"/>
          <w:color w:val="000000"/>
        </w:rPr>
      </w:pPr>
    </w:p>
    <w:p>
      <w:pPr>
        <w:pStyle w:val="2"/>
        <w:numPr>
          <w:ilvl w:val="0"/>
          <w:numId w:val="6"/>
        </w:numPr>
        <w:rPr>
          <w:rFonts w:hint="eastAsia" w:ascii="宋体" w:hAnsi="宋体" w:cs="宋体"/>
          <w:i w:val="0"/>
          <w:color w:val="000000"/>
          <w:sz w:val="21"/>
          <w:szCs w:val="21"/>
        </w:rPr>
      </w:pPr>
      <w:r>
        <w:rPr>
          <w:rFonts w:hint="eastAsia" w:ascii="宋体" w:hAnsi="宋体" w:cs="宋体"/>
          <w:i w:val="0"/>
          <w:color w:val="000000"/>
          <w:sz w:val="21"/>
          <w:szCs w:val="21"/>
        </w:rPr>
        <w:t>建设内容清单：</w:t>
      </w:r>
    </w:p>
    <w:p>
      <w:pPr>
        <w:pStyle w:val="2"/>
        <w:rPr>
          <w:rFonts w:hint="eastAsia" w:ascii="宋体" w:hAnsi="宋体" w:cs="宋体"/>
          <w:i w:val="0"/>
          <w:color w:val="000000"/>
          <w:sz w:val="21"/>
          <w:szCs w:val="21"/>
        </w:rPr>
      </w:pP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591"/>
        <w:gridCol w:w="2190"/>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设备名称</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单位</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72" w:type="dxa"/>
            <w:gridSpan w:val="4"/>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（一）智慧班牌系统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智慧班牌</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智慧班牌系统软件</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72" w:type="dxa"/>
            <w:gridSpan w:val="4"/>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（二）智慧护眼灯光系统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2.1</w:t>
            </w:r>
          </w:p>
        </w:tc>
        <w:tc>
          <w:tcPr>
            <w:tcW w:w="2591"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智慧护眼教室灯</w:t>
            </w:r>
          </w:p>
          <w:p>
            <w:pPr>
              <w:jc w:val="center"/>
              <w:rPr>
                <w:rFonts w:hint="eastAsia" w:ascii="宋体" w:hAnsi="宋体" w:eastAsia="宋体" w:cs="宋体"/>
                <w:color w:val="000000"/>
                <w:szCs w:val="21"/>
              </w:rPr>
            </w:pPr>
            <w:r>
              <w:rPr>
                <w:rFonts w:hint="eastAsia" w:ascii="宋体" w:hAnsi="宋体" w:eastAsia="宋体" w:cs="宋体"/>
                <w:color w:val="000000"/>
                <w:szCs w:val="21"/>
              </w:rPr>
              <w:t>（吸顶方灯）</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盏</w:t>
            </w:r>
          </w:p>
        </w:tc>
        <w:tc>
          <w:tcPr>
            <w:tcW w:w="4048" w:type="dxa"/>
            <w:noWrap w:val="0"/>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2.2</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照明智控终端</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72" w:type="dxa"/>
            <w:gridSpan w:val="4"/>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（三）访客管理系统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3.1</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访客管理系统</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72" w:type="dxa"/>
            <w:gridSpan w:val="4"/>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（四）智慧校园平台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4.1</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校园办公（OA）软件</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vMerge w:val="restart"/>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4.2</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统一门户中心</w:t>
            </w:r>
          </w:p>
        </w:tc>
        <w:tc>
          <w:tcPr>
            <w:tcW w:w="2190" w:type="dxa"/>
            <w:vMerge w:val="restart"/>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vMerge w:val="restart"/>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vMerge w:val="continue"/>
            <w:noWrap w:val="0"/>
            <w:vAlign w:val="center"/>
          </w:tcPr>
          <w:p>
            <w:pPr>
              <w:spacing w:line="400" w:lineRule="exact"/>
              <w:jc w:val="center"/>
              <w:rPr>
                <w:rFonts w:hint="eastAsia" w:ascii="宋体" w:hAnsi="宋体" w:eastAsia="宋体" w:cs="宋体"/>
                <w:color w:val="000000"/>
                <w:szCs w:val="21"/>
              </w:rPr>
            </w:pP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统一数据中心</w:t>
            </w:r>
          </w:p>
        </w:tc>
        <w:tc>
          <w:tcPr>
            <w:tcW w:w="2190" w:type="dxa"/>
            <w:vMerge w:val="continue"/>
            <w:noWrap w:val="0"/>
            <w:vAlign w:val="center"/>
          </w:tcPr>
          <w:p>
            <w:pPr>
              <w:spacing w:line="400" w:lineRule="exact"/>
              <w:jc w:val="center"/>
              <w:rPr>
                <w:rFonts w:hint="eastAsia" w:ascii="宋体" w:hAnsi="宋体" w:eastAsia="宋体" w:cs="宋体"/>
                <w:color w:val="000000"/>
                <w:szCs w:val="21"/>
              </w:rPr>
            </w:pPr>
          </w:p>
        </w:tc>
        <w:tc>
          <w:tcPr>
            <w:tcW w:w="4048" w:type="dxa"/>
            <w:vMerge w:val="continue"/>
            <w:noWrap w:val="0"/>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vMerge w:val="continue"/>
            <w:noWrap w:val="0"/>
            <w:vAlign w:val="center"/>
          </w:tcPr>
          <w:p>
            <w:pPr>
              <w:spacing w:line="400" w:lineRule="exact"/>
              <w:jc w:val="center"/>
              <w:rPr>
                <w:rFonts w:hint="eastAsia" w:ascii="宋体" w:hAnsi="宋体" w:eastAsia="宋体" w:cs="宋体"/>
                <w:color w:val="000000"/>
                <w:szCs w:val="21"/>
              </w:rPr>
            </w:pP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统一认证管理系统</w:t>
            </w:r>
          </w:p>
        </w:tc>
        <w:tc>
          <w:tcPr>
            <w:tcW w:w="2190" w:type="dxa"/>
            <w:vMerge w:val="continue"/>
            <w:noWrap w:val="0"/>
            <w:vAlign w:val="center"/>
          </w:tcPr>
          <w:p>
            <w:pPr>
              <w:spacing w:line="400" w:lineRule="exact"/>
              <w:jc w:val="center"/>
              <w:rPr>
                <w:rFonts w:hint="eastAsia" w:ascii="宋体" w:hAnsi="宋体" w:eastAsia="宋体" w:cs="宋体"/>
                <w:color w:val="000000"/>
                <w:szCs w:val="21"/>
              </w:rPr>
            </w:pPr>
          </w:p>
        </w:tc>
        <w:tc>
          <w:tcPr>
            <w:tcW w:w="4048" w:type="dxa"/>
            <w:vMerge w:val="continue"/>
            <w:noWrap w:val="0"/>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4.3</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微信公众号</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资源管理管理服务器</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72" w:type="dxa"/>
            <w:gridSpan w:val="4"/>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（五）网络安全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5.1</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WEB应用防火墙</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bl>
    <w:p>
      <w:pPr>
        <w:pStyle w:val="2"/>
        <w:rPr>
          <w:rFonts w:hint="eastAsia" w:ascii="宋体" w:hAnsi="宋体" w:cs="宋体"/>
          <w:color w:val="000000"/>
          <w:sz w:val="21"/>
          <w:szCs w:val="21"/>
        </w:rPr>
      </w:pPr>
    </w:p>
    <w:p>
      <w:pPr>
        <w:pStyle w:val="157"/>
        <w:spacing w:line="400" w:lineRule="exact"/>
        <w:ind w:firstLine="0" w:firstLineChars="0"/>
        <w:jc w:val="both"/>
        <w:rPr>
          <w:rFonts w:hint="eastAsia" w:ascii="宋体" w:hAnsi="宋体" w:cs="宋体"/>
          <w:color w:val="000000"/>
          <w:sz w:val="21"/>
          <w:szCs w:val="21"/>
        </w:rPr>
      </w:pPr>
    </w:p>
    <w:p>
      <w:pPr>
        <w:pStyle w:val="157"/>
        <w:spacing w:line="400" w:lineRule="exact"/>
        <w:ind w:firstLine="0" w:firstLineChars="0"/>
        <w:jc w:val="both"/>
        <w:rPr>
          <w:rFonts w:hint="eastAsia" w:ascii="宋体" w:hAnsi="宋体" w:cs="宋体"/>
          <w:color w:val="000000"/>
          <w:sz w:val="21"/>
          <w:szCs w:val="21"/>
        </w:rPr>
      </w:pPr>
    </w:p>
    <w:p>
      <w:pPr>
        <w:pStyle w:val="157"/>
        <w:spacing w:line="400" w:lineRule="exact"/>
        <w:ind w:firstLine="0" w:firstLineChars="0"/>
        <w:jc w:val="both"/>
        <w:rPr>
          <w:rFonts w:hint="eastAsia" w:ascii="宋体" w:hAnsi="宋体" w:cs="宋体"/>
          <w:color w:val="000000"/>
          <w:sz w:val="21"/>
          <w:szCs w:val="21"/>
        </w:rPr>
      </w:pPr>
    </w:p>
    <w:p>
      <w:pPr>
        <w:pStyle w:val="157"/>
        <w:spacing w:line="400" w:lineRule="exact"/>
        <w:ind w:firstLine="0" w:firstLineChars="0"/>
        <w:jc w:val="both"/>
        <w:rPr>
          <w:rFonts w:hint="eastAsia" w:ascii="宋体" w:hAnsi="宋体" w:cs="宋体"/>
          <w:color w:val="000000"/>
          <w:sz w:val="21"/>
          <w:szCs w:val="21"/>
        </w:rPr>
      </w:pPr>
    </w:p>
    <w:p>
      <w:pPr>
        <w:pStyle w:val="157"/>
        <w:spacing w:line="400" w:lineRule="exact"/>
        <w:ind w:firstLine="0" w:firstLineChars="0"/>
        <w:jc w:val="both"/>
        <w:rPr>
          <w:rFonts w:hint="eastAsia" w:ascii="宋体" w:hAnsi="宋体" w:cs="宋体"/>
          <w:color w:val="000000"/>
          <w:sz w:val="21"/>
          <w:szCs w:val="21"/>
        </w:rPr>
      </w:pPr>
    </w:p>
    <w:p>
      <w:pPr>
        <w:pStyle w:val="157"/>
        <w:spacing w:line="400" w:lineRule="exact"/>
        <w:ind w:firstLine="0" w:firstLineChars="0"/>
        <w:jc w:val="both"/>
        <w:rPr>
          <w:rFonts w:hint="eastAsia" w:ascii="宋体" w:hAnsi="宋体" w:cs="宋体"/>
          <w:color w:val="000000"/>
          <w:sz w:val="21"/>
          <w:szCs w:val="21"/>
        </w:rPr>
      </w:pPr>
    </w:p>
    <w:p>
      <w:pPr>
        <w:pStyle w:val="157"/>
        <w:spacing w:line="400" w:lineRule="exact"/>
        <w:ind w:firstLine="0" w:firstLineChars="0"/>
        <w:jc w:val="both"/>
        <w:rPr>
          <w:rFonts w:hint="eastAsia" w:ascii="宋体" w:hAnsi="宋体" w:cs="宋体"/>
          <w:color w:val="000000"/>
          <w:sz w:val="21"/>
          <w:szCs w:val="21"/>
        </w:rPr>
      </w:pPr>
    </w:p>
    <w:p>
      <w:pPr>
        <w:pStyle w:val="157"/>
        <w:spacing w:line="400" w:lineRule="exact"/>
        <w:ind w:firstLine="0" w:firstLineChars="0"/>
        <w:jc w:val="both"/>
        <w:rPr>
          <w:rFonts w:hint="eastAsia" w:ascii="宋体" w:hAnsi="宋体" w:cs="宋体"/>
          <w:color w:val="000000"/>
          <w:sz w:val="21"/>
          <w:szCs w:val="21"/>
        </w:rPr>
      </w:pPr>
    </w:p>
    <w:p>
      <w:pPr>
        <w:pStyle w:val="157"/>
        <w:spacing w:line="400" w:lineRule="exact"/>
        <w:ind w:firstLine="0" w:firstLineChars="0"/>
        <w:jc w:val="both"/>
        <w:rPr>
          <w:rFonts w:hint="eastAsia" w:ascii="宋体" w:hAnsi="宋体" w:cs="宋体"/>
          <w:color w:val="000000"/>
          <w:sz w:val="21"/>
          <w:szCs w:val="21"/>
        </w:rPr>
      </w:pPr>
    </w:p>
    <w:p>
      <w:pPr>
        <w:pStyle w:val="157"/>
        <w:spacing w:line="400" w:lineRule="exact"/>
        <w:ind w:firstLine="0" w:firstLineChars="0"/>
        <w:jc w:val="both"/>
        <w:rPr>
          <w:rFonts w:hint="eastAsia" w:ascii="宋体" w:hAnsi="宋体" w:cs="宋体"/>
          <w:color w:val="000000"/>
          <w:sz w:val="21"/>
          <w:szCs w:val="21"/>
        </w:rPr>
      </w:pPr>
    </w:p>
    <w:p>
      <w:pPr>
        <w:pStyle w:val="157"/>
        <w:spacing w:line="400" w:lineRule="exact"/>
        <w:ind w:firstLine="0" w:firstLineChars="0"/>
        <w:jc w:val="both"/>
        <w:rPr>
          <w:rFonts w:hint="eastAsia" w:ascii="宋体" w:hAnsi="宋体" w:cs="宋体"/>
          <w:color w:val="000000"/>
          <w:sz w:val="21"/>
          <w:szCs w:val="21"/>
        </w:rPr>
      </w:pPr>
    </w:p>
    <w:p>
      <w:pPr>
        <w:pStyle w:val="157"/>
        <w:spacing w:line="400" w:lineRule="exact"/>
        <w:ind w:firstLine="0" w:firstLineChars="0"/>
        <w:jc w:val="both"/>
        <w:rPr>
          <w:rFonts w:hint="eastAsia" w:ascii="宋体" w:hAnsi="宋体" w:cs="宋体"/>
          <w:color w:val="000000"/>
          <w:sz w:val="21"/>
          <w:szCs w:val="21"/>
        </w:rPr>
      </w:pPr>
    </w:p>
    <w:p>
      <w:pPr>
        <w:pStyle w:val="157"/>
        <w:spacing w:line="400" w:lineRule="exact"/>
        <w:ind w:firstLine="0" w:firstLineChars="0"/>
        <w:jc w:val="both"/>
        <w:rPr>
          <w:rFonts w:hint="eastAsia" w:ascii="宋体" w:hAnsi="宋体" w:cs="宋体"/>
          <w:color w:val="000000"/>
          <w:sz w:val="21"/>
          <w:szCs w:val="21"/>
        </w:rPr>
      </w:pPr>
    </w:p>
    <w:p>
      <w:pPr>
        <w:pStyle w:val="157"/>
        <w:spacing w:line="400" w:lineRule="exact"/>
        <w:ind w:firstLine="0" w:firstLineChars="0"/>
        <w:jc w:val="both"/>
        <w:rPr>
          <w:rFonts w:hint="eastAsia" w:ascii="宋体" w:hAnsi="宋体" w:cs="宋体"/>
          <w:color w:val="000000"/>
          <w:sz w:val="21"/>
          <w:szCs w:val="21"/>
        </w:rPr>
      </w:pPr>
    </w:p>
    <w:p>
      <w:pPr>
        <w:pStyle w:val="157"/>
        <w:spacing w:line="400" w:lineRule="exact"/>
        <w:ind w:firstLine="0" w:firstLineChars="0"/>
        <w:jc w:val="both"/>
        <w:rPr>
          <w:rFonts w:hint="eastAsia" w:ascii="宋体" w:hAnsi="宋体" w:cs="宋体"/>
          <w:color w:val="000000"/>
          <w:sz w:val="21"/>
          <w:szCs w:val="21"/>
        </w:rPr>
      </w:pPr>
    </w:p>
    <w:p>
      <w:pPr>
        <w:pStyle w:val="157"/>
        <w:spacing w:line="400" w:lineRule="exact"/>
        <w:ind w:firstLine="0" w:firstLineChars="0"/>
        <w:jc w:val="both"/>
        <w:rPr>
          <w:rFonts w:hint="eastAsia" w:ascii="宋体" w:hAnsi="宋体" w:cs="宋体"/>
          <w:color w:val="000000"/>
          <w:sz w:val="21"/>
          <w:szCs w:val="21"/>
        </w:rPr>
      </w:pPr>
    </w:p>
    <w:p>
      <w:pPr>
        <w:pStyle w:val="157"/>
        <w:spacing w:line="400" w:lineRule="exact"/>
        <w:ind w:firstLine="0" w:firstLineChars="0"/>
        <w:jc w:val="both"/>
        <w:rPr>
          <w:rFonts w:hint="eastAsia" w:ascii="宋体" w:hAnsi="宋体" w:cs="宋体"/>
          <w:color w:val="000000"/>
          <w:sz w:val="21"/>
          <w:szCs w:val="21"/>
        </w:rPr>
      </w:pPr>
    </w:p>
    <w:p>
      <w:pPr>
        <w:pStyle w:val="157"/>
        <w:spacing w:line="400" w:lineRule="exact"/>
        <w:ind w:firstLine="0" w:firstLineChars="0"/>
        <w:jc w:val="both"/>
        <w:rPr>
          <w:rFonts w:hint="eastAsia" w:ascii="宋体" w:hAnsi="宋体" w:cs="宋体"/>
          <w:color w:val="000000"/>
          <w:sz w:val="21"/>
          <w:szCs w:val="21"/>
        </w:rPr>
      </w:pPr>
    </w:p>
    <w:p>
      <w:pPr>
        <w:pStyle w:val="157"/>
        <w:spacing w:line="400" w:lineRule="exact"/>
        <w:ind w:firstLine="0" w:firstLineChars="0"/>
        <w:jc w:val="both"/>
        <w:rPr>
          <w:rFonts w:hint="eastAsia" w:ascii="宋体" w:hAnsi="宋体" w:cs="宋体"/>
          <w:color w:val="000000"/>
          <w:sz w:val="21"/>
          <w:szCs w:val="21"/>
        </w:rPr>
      </w:pPr>
    </w:p>
    <w:p>
      <w:pPr>
        <w:pStyle w:val="157"/>
        <w:spacing w:line="400" w:lineRule="exact"/>
        <w:ind w:firstLine="0" w:firstLineChars="0"/>
        <w:jc w:val="both"/>
        <w:rPr>
          <w:rFonts w:hint="eastAsia" w:ascii="宋体" w:hAnsi="宋体" w:cs="宋体"/>
          <w:color w:val="000000"/>
          <w:sz w:val="21"/>
          <w:szCs w:val="21"/>
        </w:rPr>
      </w:pPr>
    </w:p>
    <w:p>
      <w:pPr>
        <w:pStyle w:val="157"/>
        <w:spacing w:line="400" w:lineRule="exact"/>
        <w:ind w:firstLine="0" w:firstLineChars="0"/>
        <w:jc w:val="both"/>
        <w:rPr>
          <w:rFonts w:hint="eastAsia" w:ascii="宋体" w:hAnsi="宋体" w:cs="宋体"/>
          <w:color w:val="000000"/>
          <w:sz w:val="21"/>
          <w:szCs w:val="21"/>
        </w:rPr>
      </w:pPr>
      <w:r>
        <w:rPr>
          <w:rFonts w:hint="eastAsia" w:ascii="宋体" w:hAnsi="宋体" w:cs="宋体"/>
          <w:color w:val="000000"/>
          <w:sz w:val="21"/>
          <w:szCs w:val="21"/>
        </w:rPr>
        <w:t>三、各子项目建设需求、建设内容、技术要求</w:t>
      </w:r>
    </w:p>
    <w:p>
      <w:pPr>
        <w:pStyle w:val="157"/>
        <w:spacing w:line="400" w:lineRule="exact"/>
        <w:ind w:firstLine="0" w:firstLineChars="0"/>
        <w:jc w:val="both"/>
        <w:rPr>
          <w:rFonts w:hint="eastAsia" w:ascii="宋体" w:hAnsi="宋体" w:cs="宋体"/>
          <w:b/>
          <w:bCs/>
          <w:color w:val="000000"/>
          <w:sz w:val="30"/>
          <w:szCs w:val="30"/>
        </w:rPr>
      </w:pPr>
    </w:p>
    <w:p>
      <w:pPr>
        <w:pStyle w:val="157"/>
        <w:spacing w:line="400" w:lineRule="exact"/>
        <w:ind w:firstLine="3915" w:firstLineChars="1300"/>
        <w:jc w:val="both"/>
        <w:rPr>
          <w:rFonts w:hint="eastAsia" w:ascii="宋体" w:hAnsi="宋体" w:cs="宋体"/>
          <w:b/>
          <w:bCs/>
          <w:color w:val="000000"/>
          <w:sz w:val="30"/>
          <w:szCs w:val="30"/>
        </w:rPr>
      </w:pPr>
      <w:r>
        <w:rPr>
          <w:rFonts w:hint="eastAsia" w:ascii="宋体" w:hAnsi="宋体" w:cs="宋体"/>
          <w:b/>
          <w:bCs/>
          <w:color w:val="000000"/>
          <w:sz w:val="30"/>
          <w:szCs w:val="30"/>
        </w:rPr>
        <w:t>（一）智慧班牌系统</w:t>
      </w:r>
    </w:p>
    <w:p>
      <w:pPr>
        <w:pStyle w:val="157"/>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运用新媒体改进和智慧校园信息传递载体，不再受限于以传统静态文字或图片张贴公告等单向传递的方式，以视频网页动画音频等多媒体交互形式传播丰富的信息。为全方位培育和打造校园文化环境提供一个优质的载体，符合现代智能化校园建设需求和氛围。为满足国家对校园文化建设及班班通的需求，以先进现代化技术为基础，建立一套包含视频、音频、文章、图片等内容播放终端为载体的简洁化系统。</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591"/>
        <w:gridCol w:w="2190"/>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设备名称</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单位</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智慧班牌</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智慧班牌系统软件</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48"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bl>
    <w:p>
      <w:pPr>
        <w:spacing w:line="400" w:lineRule="exact"/>
        <w:rPr>
          <w:rFonts w:hint="eastAsia" w:ascii="宋体" w:hAnsi="宋体" w:cs="宋体"/>
          <w:color w:val="000000"/>
          <w:szCs w:val="21"/>
        </w:rPr>
      </w:pPr>
    </w:p>
    <w:p>
      <w:pPr>
        <w:spacing w:line="400" w:lineRule="exact"/>
        <w:rPr>
          <w:rFonts w:hint="eastAsia" w:ascii="宋体" w:hAnsi="宋体" w:cs="宋体"/>
          <w:color w:val="000000"/>
          <w:szCs w:val="21"/>
        </w:rPr>
      </w:pPr>
      <w:r>
        <w:rPr>
          <w:rFonts w:hint="eastAsia" w:ascii="宋体" w:hAnsi="宋体" w:cs="宋体"/>
          <w:color w:val="000000"/>
          <w:szCs w:val="21"/>
        </w:rPr>
        <w:t>详细参数：</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智慧班牌</w:t>
            </w:r>
          </w:p>
        </w:tc>
        <w:tc>
          <w:tcPr>
            <w:tcW w:w="8790" w:type="dxa"/>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基本参数：21.5英寸1080P高清屏/10点电容触摸屏/RK3368八核64位Cortex-A53,频率高达1.5G/内存2G/闪存8G/WIFI/内置喇叭/内置电源/壁挂/读卡器。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智慧班牌系统软件</w:t>
            </w:r>
          </w:p>
        </w:tc>
        <w:tc>
          <w:tcPr>
            <w:tcW w:w="8790" w:type="dxa"/>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班级信息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班级信息显示：展示了班级名称、班级宣言、集体照、班主任、任课老师等基础信息；可以让观看者一目了然的了解班级；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班级荣誉：可以通过拍摄纸质奖状，或制作电子勋章等方式，由学校统一颁发给获奖班级；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班级相册：任何有关班级师生的照片，都可以通过建立不同的相册来分类保存，例如：班队活动、春游、运动会、节佳日庆典等等，并可设置为展示的照片内容；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今日班况：实时反映班级的学生出勤状况。</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课表显示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当前课程：显示当前课时的上课信息，包括课程名、教师名、上课时间、上课进度等；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今日课程：显示当日所有课程信息，第几节课、课程名、教师名等；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明日课程：显示明日所有课程信息，第几节课、课程名、教师名等；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本周课表：显示一周每天所有课程信息，第几节课、课程名、教师名等。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日常信息显示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时间显示：支持阳历日期、农历日期、星期、时间等；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天气环境显示：当天天气数据，包括天气图、温度、湿度、天气状况、风况、PM2.5值等。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考勤签到功能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记录学生刷卡记录，显示刷卡学生基本信息，同步数据以及数据分析统计。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通知公告</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显示学校发布的校级通知公告，或班级发布的班级公告。</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多模式显示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可以根据设定的时间，班牌自动或手动切换屏显状态，有紧急通知模式、上课模式、考勤模式以及常规模式。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紧急通知模式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管理员可以通过管理平台，指定部分或全部班牌显示图文和视频内容，例如领导视察、紧急事件等，提升通知效率。</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上课模式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班牌会自动根据课程表时间，来显示当前课时的上课信息，包括教师姓名、班级人数、课程信息及进度。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考勤模式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在到达设置的时间段后，班牌将自动切换成学生考勤界面，供学生刷卡考勤，并将数据进行同步和分析统计。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常规模式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即显示除了以上模式外的其他功能，是日常学校生活中学生进行查阅信息、互动操作等方式来参与智慧校园生活的主要方面。</w:t>
            </w:r>
          </w:p>
        </w:tc>
      </w:tr>
    </w:tbl>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spacing w:line="400" w:lineRule="exact"/>
        <w:jc w:val="center"/>
        <w:rPr>
          <w:rFonts w:hint="eastAsia" w:ascii="宋体" w:hAnsi="宋体" w:cs="宋体"/>
          <w:b/>
          <w:bCs/>
          <w:i w:val="0"/>
          <w:color w:val="000000"/>
          <w:sz w:val="30"/>
          <w:szCs w:val="30"/>
        </w:rPr>
      </w:pPr>
      <w:r>
        <w:rPr>
          <w:rFonts w:hint="eastAsia" w:ascii="宋体" w:hAnsi="宋体" w:cs="宋体"/>
          <w:b/>
          <w:bCs/>
          <w:i w:val="0"/>
          <w:color w:val="000000"/>
          <w:sz w:val="30"/>
          <w:szCs w:val="30"/>
        </w:rPr>
        <w:t>（二）护眼灯光系统</w:t>
      </w:r>
    </w:p>
    <w:p>
      <w:pPr>
        <w:spacing w:line="400" w:lineRule="exact"/>
        <w:ind w:firstLine="422" w:firstLineChars="200"/>
        <w:jc w:val="left"/>
        <w:rPr>
          <w:rFonts w:hint="eastAsia" w:ascii="宋体" w:hAnsi="宋体" w:cs="宋体"/>
          <w:b/>
          <w:color w:val="000000"/>
          <w:szCs w:val="21"/>
          <w:u w:val="single"/>
        </w:rPr>
      </w:pPr>
    </w:p>
    <w:p>
      <w:pPr>
        <w:spacing w:line="400" w:lineRule="exact"/>
        <w:ind w:firstLine="422" w:firstLineChars="200"/>
        <w:jc w:val="left"/>
        <w:rPr>
          <w:rFonts w:hint="eastAsia" w:ascii="宋体" w:hAnsi="宋体" w:cs="宋体"/>
          <w:color w:val="000000"/>
          <w:szCs w:val="21"/>
        </w:rPr>
      </w:pPr>
      <w:r>
        <w:rPr>
          <w:rFonts w:hint="eastAsia" w:ascii="宋体" w:hAnsi="宋体" w:cs="宋体"/>
          <w:b/>
          <w:color w:val="000000"/>
          <w:szCs w:val="21"/>
          <w:u w:val="single"/>
        </w:rPr>
        <w:t>习总书记在2018年8月28日也作出重要批示：</w:t>
      </w:r>
      <w:r>
        <w:rPr>
          <w:rFonts w:hint="eastAsia" w:ascii="宋体" w:hAnsi="宋体" w:cs="宋体"/>
          <w:color w:val="000000"/>
          <w:szCs w:val="21"/>
        </w:rPr>
        <w:t>我国学生近视呈现高发、低龄化趋势，严重影响学生们的身心健康，这是一个关系国家和民族未来的大问题，必须高度重视，不能任其发展。并强调，全社会都要行动起来，共同呵护好学生的眼睛，让他们拥有一个光明的未来。同时，国家教育部、国家卫生健康委员会、国家体育总局、财政部、人力资源和社会保障部、国家市场监督管理总局、国家新闻出版署以及国家广播电视总局联合下发了关于《综合防控儿童青少年近视实施方案》的通知。</w:t>
      </w:r>
    </w:p>
    <w:p>
      <w:pPr>
        <w:pStyle w:val="2"/>
        <w:spacing w:line="400" w:lineRule="exact"/>
        <w:ind w:left="360"/>
        <w:jc w:val="center"/>
        <w:rPr>
          <w:rFonts w:hint="eastAsia" w:ascii="宋体" w:hAnsi="宋体" w:cs="宋体"/>
          <w:color w:val="000000"/>
          <w:sz w:val="21"/>
          <w:szCs w:val="21"/>
        </w:rPr>
      </w:pPr>
      <w:r>
        <w:rPr>
          <w:rFonts w:hint="eastAsia" w:ascii="宋体" w:hAnsi="宋体" w:cs="宋体"/>
          <w:color w:val="000000"/>
          <w:sz w:val="21"/>
          <w:szCs w:val="21"/>
        </w:rPr>
        <w:drawing>
          <wp:anchor distT="0" distB="0" distL="114300" distR="114300" simplePos="0" relativeHeight="251664384" behindDoc="0" locked="0" layoutInCell="1" allowOverlap="1">
            <wp:simplePos x="0" y="0"/>
            <wp:positionH relativeFrom="page">
              <wp:posOffset>1472565</wp:posOffset>
            </wp:positionH>
            <wp:positionV relativeFrom="page">
              <wp:posOffset>5799455</wp:posOffset>
            </wp:positionV>
            <wp:extent cx="4652010" cy="3619500"/>
            <wp:effectExtent l="0" t="0" r="15240" b="0"/>
            <wp:wrapTopAndBottom/>
            <wp:docPr id="5" name="图片 18" descr="近视百分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8" descr="近视百分比"/>
                    <pic:cNvPicPr>
                      <a:picLocks noChangeAspect="1"/>
                    </pic:cNvPicPr>
                  </pic:nvPicPr>
                  <pic:blipFill>
                    <a:blip r:embed="rId20"/>
                    <a:stretch>
                      <a:fillRect/>
                    </a:stretch>
                  </pic:blipFill>
                  <pic:spPr>
                    <a:xfrm>
                      <a:off x="0" y="0"/>
                      <a:ext cx="4652010" cy="3619500"/>
                    </a:xfrm>
                    <a:prstGeom prst="rect">
                      <a:avLst/>
                    </a:prstGeom>
                    <a:noFill/>
                    <a:ln>
                      <a:noFill/>
                    </a:ln>
                  </pic:spPr>
                </pic:pic>
              </a:graphicData>
            </a:graphic>
          </wp:anchor>
        </w:drawing>
      </w:r>
      <w:r>
        <w:rPr>
          <w:rFonts w:hint="eastAsia" w:ascii="宋体" w:hAnsi="宋体" w:cs="宋体"/>
          <w:color w:val="000000"/>
          <w:sz w:val="21"/>
          <w:szCs w:val="21"/>
        </w:rPr>
        <w:drawing>
          <wp:anchor distT="0" distB="0" distL="114300" distR="114300" simplePos="0" relativeHeight="251663360" behindDoc="0" locked="0" layoutInCell="1" allowOverlap="1">
            <wp:simplePos x="0" y="0"/>
            <wp:positionH relativeFrom="page">
              <wp:posOffset>1653540</wp:posOffset>
            </wp:positionH>
            <wp:positionV relativeFrom="page">
              <wp:posOffset>2883535</wp:posOffset>
            </wp:positionV>
            <wp:extent cx="4253865" cy="3140710"/>
            <wp:effectExtent l="0" t="0" r="13335" b="2540"/>
            <wp:wrapTopAndBottom/>
            <wp:docPr id="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4"/>
                    <pic:cNvPicPr>
                      <a:picLocks noChangeAspect="1"/>
                    </pic:cNvPicPr>
                  </pic:nvPicPr>
                  <pic:blipFill>
                    <a:blip r:embed="rId21"/>
                    <a:stretch>
                      <a:fillRect/>
                    </a:stretch>
                  </pic:blipFill>
                  <pic:spPr>
                    <a:xfrm>
                      <a:off x="0" y="0"/>
                      <a:ext cx="4253865" cy="3140710"/>
                    </a:xfrm>
                    <a:prstGeom prst="rect">
                      <a:avLst/>
                    </a:prstGeom>
                    <a:noFill/>
                    <a:ln>
                      <a:noFill/>
                    </a:ln>
                  </pic:spPr>
                </pic:pic>
              </a:graphicData>
            </a:graphic>
          </wp:anchor>
        </w:drawing>
      </w:r>
    </w:p>
    <w:p>
      <w:pPr>
        <w:spacing w:after="120" w:afterLines="50" w:line="400" w:lineRule="exact"/>
        <w:ind w:firstLine="420" w:firstLineChars="200"/>
        <w:rPr>
          <w:rFonts w:hint="eastAsia" w:ascii="宋体" w:hAnsi="宋体" w:cs="宋体"/>
          <w:color w:val="000000"/>
          <w:szCs w:val="21"/>
        </w:rPr>
      </w:pPr>
      <w:r>
        <w:rPr>
          <w:rFonts w:hint="eastAsia" w:ascii="宋体" w:hAnsi="宋体" w:cs="宋体"/>
          <w:color w:val="000000"/>
          <w:szCs w:val="21"/>
        </w:rPr>
        <w:t>据相关权威部门调查显示，目前我国城镇学校的教室照明基本以荧光灯为主，部分采用普通LED灯。学习环境下的灯光照度不够、频闪、眩光、存在有害蓝光等问题仍在持续损害我们孩子们的视力健康。早在2011年国家就颁布了教室照明相应的国家标准，对于教室、黑板的照明度、均匀度，显色指数、色温值等均有明确的执行标准。由于当时的技术不足以支撑，导致教室照明标准很难被贯彻执行。随着科技的发展，越来越多先进的教学设施进入了教室，通过技术手段完全可以达到国家标准的要求。因此，对于教室照明的优化也越来越被大。</w:t>
      </w:r>
    </w:p>
    <w:p>
      <w:pPr>
        <w:spacing w:after="120" w:afterLines="50" w:line="400" w:lineRule="exact"/>
        <w:ind w:left="210" w:leftChars="100" w:firstLine="420" w:firstLineChars="200"/>
        <w:rPr>
          <w:rFonts w:hint="eastAsia" w:ascii="宋体" w:hAnsi="宋体" w:cs="宋体"/>
          <w:color w:val="000000"/>
          <w:szCs w:val="21"/>
        </w:rPr>
      </w:pPr>
      <w:r>
        <w:rPr>
          <w:rFonts w:hint="eastAsia" w:ascii="宋体" w:hAnsi="宋体" w:cs="宋体"/>
          <w:color w:val="000000"/>
          <w:szCs w:val="21"/>
        </w:rPr>
        <w:t>综上所述本项目在提供健康优质光源的基础上，以“将普通教室光环境建设成智慧护眼光环境”为出发点，另外引入先进的物联网、智慧传感等技术，打造出一套真正健康护眼的综合系统。</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4795"/>
        <w:gridCol w:w="198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479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设备名称</w:t>
            </w:r>
          </w:p>
        </w:tc>
        <w:tc>
          <w:tcPr>
            <w:tcW w:w="19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单位</w:t>
            </w:r>
          </w:p>
        </w:tc>
        <w:tc>
          <w:tcPr>
            <w:tcW w:w="199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ind w:firstLine="210" w:firstLineChars="100"/>
              <w:rPr>
                <w:rFonts w:hint="eastAsia" w:ascii="宋体" w:hAnsi="宋体" w:eastAsia="宋体" w:cs="宋体"/>
                <w:color w:val="000000"/>
                <w:szCs w:val="21"/>
              </w:rPr>
            </w:pPr>
            <w:r>
              <w:rPr>
                <w:rFonts w:hint="eastAsia" w:ascii="宋体" w:hAnsi="宋体" w:eastAsia="宋体" w:cs="宋体"/>
                <w:color w:val="000000"/>
                <w:szCs w:val="21"/>
              </w:rPr>
              <w:t>2.1</w:t>
            </w:r>
          </w:p>
        </w:tc>
        <w:tc>
          <w:tcPr>
            <w:tcW w:w="479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护眼教室灯</w:t>
            </w:r>
          </w:p>
        </w:tc>
        <w:tc>
          <w:tcPr>
            <w:tcW w:w="19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盏</w:t>
            </w:r>
          </w:p>
        </w:tc>
        <w:tc>
          <w:tcPr>
            <w:tcW w:w="1995" w:type="dxa"/>
            <w:noWrap w:val="0"/>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 xml:space="preserve"> 2.2</w:t>
            </w:r>
          </w:p>
        </w:tc>
        <w:tc>
          <w:tcPr>
            <w:tcW w:w="479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照明智控终端</w:t>
            </w:r>
          </w:p>
        </w:tc>
        <w:tc>
          <w:tcPr>
            <w:tcW w:w="198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99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12</w:t>
            </w:r>
          </w:p>
        </w:tc>
      </w:tr>
    </w:tbl>
    <w:p>
      <w:pPr>
        <w:pStyle w:val="2"/>
        <w:spacing w:line="400" w:lineRule="exact"/>
        <w:rPr>
          <w:rFonts w:hint="eastAsia" w:ascii="宋体" w:hAnsi="宋体" w:cs="宋体"/>
          <w:i w:val="0"/>
          <w:iCs/>
          <w:color w:val="000000"/>
          <w:sz w:val="21"/>
          <w:szCs w:val="21"/>
        </w:rPr>
      </w:pPr>
      <w:r>
        <w:rPr>
          <w:rFonts w:hint="eastAsia" w:ascii="宋体" w:hAnsi="宋体" w:cs="宋体"/>
          <w:i w:val="0"/>
          <w:iCs/>
          <w:color w:val="000000"/>
          <w:sz w:val="21"/>
          <w:szCs w:val="21"/>
        </w:rPr>
        <w:t>详细参数如下：</w:t>
      </w:r>
    </w:p>
    <w:tbl>
      <w:tblPr>
        <w:tblStyle w:val="47"/>
        <w:tblW w:w="10065" w:type="dxa"/>
        <w:tblInd w:w="108" w:type="dxa"/>
        <w:tblLayout w:type="fixed"/>
        <w:tblCellMar>
          <w:top w:w="0" w:type="dxa"/>
          <w:left w:w="108" w:type="dxa"/>
          <w:bottom w:w="0" w:type="dxa"/>
          <w:right w:w="108" w:type="dxa"/>
        </w:tblCellMar>
      </w:tblPr>
      <w:tblGrid>
        <w:gridCol w:w="1293"/>
        <w:gridCol w:w="8772"/>
      </w:tblGrid>
      <w:tr>
        <w:tblPrEx>
          <w:tblCellMar>
            <w:top w:w="0" w:type="dxa"/>
            <w:left w:w="108" w:type="dxa"/>
            <w:bottom w:w="0" w:type="dxa"/>
            <w:right w:w="108" w:type="dxa"/>
          </w:tblCellMar>
        </w:tblPrEx>
        <w:trPr>
          <w:trHeight w:val="683"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护眼教室灯</w:t>
            </w:r>
          </w:p>
        </w:tc>
        <w:tc>
          <w:tcPr>
            <w:tcW w:w="877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1.采用优质光源；</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2.★采用侧发光漫反射技术的平板灯；</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3.额定功率：45W；</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4.功率因数：&gt; 0.95；</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5.色温：4750K-5250K；</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6.显色指数：&gt;90(R9&gt;60)；</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7.光通量：&gt;3000lm；</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4-7项需提供参照IESLM-79-08及GB/T 9468-2008的标准检测，并具有同时通过CMA、CAL、ILAC-MRA、CNAS认证的第三方检测机构出具的检测报告复印件；</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8.要求采用高精度、低纹波恒流技术供电；</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9.要求驱动装置频闪无显著影响（或波动深度小于1%）；</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10.★杜绝蓝光危害（等级为无危险类或RG0）；</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11.教室维持平均照度：&gt;300Lx；</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12.整体教室照度均匀度：&gt;0.75；</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13.整体教室实测眩光值UGR：≤16；</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14.照明功率密度：≤7.5(W/m²)；</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★11-14项指标要求，需提供参照GB7793-2010与GB/T5700-2008标准检测，并具有同时通过CMA、CAL、ILAC-MRA、CNAS认证的第三方检测机构出具的检测报告复印件。</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15.教室灯框材料应采用铝型材增强散热，灯具边框采用无缝焊接，不漏光，易于清洁维护；</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16.★光源灯珠数量不少于240颗，采用双出光的设计，保证光源的均匀性；</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7</w:t>
            </w:r>
            <w:r>
              <w:rPr>
                <w:rFonts w:hint="eastAsia" w:ascii="宋体" w:hAnsi="宋体" w:eastAsia="宋体" w:cs="宋体"/>
                <w:color w:val="000000"/>
                <w:kern w:val="0"/>
                <w:szCs w:val="21"/>
              </w:rPr>
              <w:t>. 采用刚性金属伸缩杆来固定，方便根据黑板高度，调节灯具高度；</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 灯顶部预留灯杆滑动模块，位置可左右移动，方便调节灯具的左右位置；</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.★灯具与灯具及控制设备之间无线组网、无线通讯，无需改造线路，升级改造简单易行，需提供CMA、CAL认证的第三方检测机构出具的无线组网和无线通讯的检测报告复印件；</w:t>
            </w:r>
          </w:p>
        </w:tc>
      </w:tr>
      <w:tr>
        <w:trPr>
          <w:trHeight w:val="485"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照明智控终端</w:t>
            </w:r>
          </w:p>
        </w:tc>
        <w:tc>
          <w:tcPr>
            <w:tcW w:w="877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1.★需与教室灯、黑板灯同一品牌，确保良好兼容性；</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2.采用标准86盒设计，方便现场安装和维护；</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3.触控面板采用钢化玻璃触控面板材质，不小于四个按钮，清晰提示工作状态，美观安全；</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4.触摸控制面板，无电源直接接触，安全可靠；</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5.额定供电：AC220V，额定频率：50Hz；</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6.带有四路继电器开关，每路最大负载400W，负载电压最大250VAC；</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7.支持Zigbee无线通讯、支持MESH自组网；</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8.支持平台远程控制功能，如开和关；</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9.支持移动设备（手机）设备APP控制，如开和关；</w:t>
            </w:r>
          </w:p>
        </w:tc>
      </w:tr>
    </w:tbl>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ind w:left="360"/>
        <w:jc w:val="center"/>
        <w:rPr>
          <w:rFonts w:hint="eastAsia" w:ascii="宋体" w:hAnsi="宋体" w:cs="宋体"/>
          <w:b/>
          <w:bCs/>
          <w:i w:val="0"/>
          <w:color w:val="000000"/>
          <w:kern w:val="0"/>
          <w:sz w:val="30"/>
          <w:szCs w:val="30"/>
        </w:rPr>
      </w:pPr>
    </w:p>
    <w:p>
      <w:pPr>
        <w:pStyle w:val="2"/>
        <w:spacing w:line="400" w:lineRule="exact"/>
        <w:rPr>
          <w:rFonts w:hint="eastAsia" w:ascii="宋体" w:hAnsi="宋体" w:cs="宋体"/>
          <w:b/>
          <w:bCs/>
          <w:i w:val="0"/>
          <w:color w:val="000000"/>
          <w:kern w:val="0"/>
          <w:sz w:val="30"/>
          <w:szCs w:val="30"/>
        </w:rPr>
      </w:pPr>
    </w:p>
    <w:p>
      <w:pPr>
        <w:pStyle w:val="2"/>
        <w:spacing w:line="400" w:lineRule="exact"/>
        <w:jc w:val="center"/>
        <w:rPr>
          <w:rFonts w:hint="eastAsia" w:ascii="宋体" w:hAnsi="宋体" w:cs="宋体"/>
          <w:b/>
          <w:bCs/>
          <w:i w:val="0"/>
          <w:color w:val="000000"/>
          <w:kern w:val="0"/>
          <w:sz w:val="30"/>
          <w:szCs w:val="30"/>
        </w:rPr>
      </w:pPr>
      <w:r>
        <w:rPr>
          <w:rFonts w:hint="eastAsia" w:ascii="宋体" w:hAnsi="宋体" w:cs="宋体"/>
          <w:b/>
          <w:bCs/>
          <w:i w:val="0"/>
          <w:color w:val="000000"/>
          <w:kern w:val="0"/>
          <w:sz w:val="30"/>
          <w:szCs w:val="30"/>
        </w:rPr>
        <w:t>（三）访客管理系统</w:t>
      </w:r>
    </w:p>
    <w:p>
      <w:pPr>
        <w:spacing w:line="40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为增强学校师生的安全防护，给学生构筑安全、和谐的学习环境。我们通过现代化的信息手段，运用大数据、AI智能等技术应用，为学校安全防护提供有力支撑。</w:t>
      </w:r>
    </w:p>
    <w:p>
      <w:pPr>
        <w:pStyle w:val="2"/>
        <w:spacing w:line="400" w:lineRule="exact"/>
        <w:rPr>
          <w:rFonts w:hint="eastAsia" w:ascii="宋体" w:hAnsi="宋体" w:cs="宋体"/>
          <w:i w:val="0"/>
          <w:color w:val="000000"/>
          <w:kern w:val="0"/>
          <w:sz w:val="21"/>
          <w:szCs w:val="21"/>
        </w:rPr>
      </w:pPr>
      <w:r>
        <w:rPr>
          <w:rFonts w:hint="eastAsia" w:ascii="宋体" w:hAnsi="宋体" w:cs="宋体"/>
          <w:i w:val="0"/>
          <w:color w:val="000000"/>
          <w:kern w:val="0"/>
          <w:sz w:val="21"/>
          <w:szCs w:val="21"/>
        </w:rPr>
        <w:t>访客系统包含完整的访客预约、访客登记、认证比对、访客签离、访客人脸授权等功能，通过宁波市公安局校园智能防控平台和省公安厅情报中心高危人员数据比对，对来访人员通过认证比对进行身份确定，并反馈属地***与校方。</w:t>
      </w:r>
    </w:p>
    <w:tbl>
      <w:tblPr>
        <w:tblStyle w:val="47"/>
        <w:tblpPr w:leftFromText="180" w:rightFromText="180" w:vertAnchor="text" w:horzAnchor="page" w:tblpX="1276" w:tblpY="3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591"/>
        <w:gridCol w:w="2190"/>
        <w:gridCol w:w="4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43"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序号</w:t>
            </w:r>
          </w:p>
        </w:tc>
        <w:tc>
          <w:tcPr>
            <w:tcW w:w="2591"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设备名称</w:t>
            </w:r>
          </w:p>
        </w:tc>
        <w:tc>
          <w:tcPr>
            <w:tcW w:w="2190"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单位</w:t>
            </w:r>
          </w:p>
        </w:tc>
        <w:tc>
          <w:tcPr>
            <w:tcW w:w="4016"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3.1</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访客管理系统</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4016"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bl>
    <w:p>
      <w:pPr>
        <w:pStyle w:val="2"/>
        <w:spacing w:line="400" w:lineRule="exact"/>
        <w:rPr>
          <w:rFonts w:hint="eastAsia" w:ascii="宋体" w:hAnsi="宋体" w:cs="宋体"/>
          <w:i w:val="0"/>
          <w:color w:val="000000"/>
          <w:sz w:val="21"/>
          <w:szCs w:val="21"/>
        </w:rPr>
      </w:pPr>
    </w:p>
    <w:p>
      <w:pPr>
        <w:pStyle w:val="2"/>
        <w:spacing w:line="400" w:lineRule="exact"/>
        <w:rPr>
          <w:rFonts w:hint="eastAsia" w:ascii="宋体" w:hAnsi="宋体" w:cs="宋体"/>
          <w:i w:val="0"/>
          <w:color w:val="000000"/>
          <w:sz w:val="21"/>
          <w:szCs w:val="21"/>
        </w:rPr>
      </w:pPr>
      <w:r>
        <w:rPr>
          <w:rFonts w:hint="eastAsia" w:ascii="宋体" w:hAnsi="宋体" w:cs="宋体"/>
          <w:i w:val="0"/>
          <w:color w:val="000000"/>
          <w:sz w:val="21"/>
          <w:szCs w:val="21"/>
        </w:rPr>
        <w:t>详细参数：</w:t>
      </w:r>
    </w:p>
    <w:tbl>
      <w:tblPr>
        <w:tblStyle w:val="47"/>
        <w:tblW w:w="10065" w:type="dxa"/>
        <w:tblInd w:w="108" w:type="dxa"/>
        <w:tblLayout w:type="fixed"/>
        <w:tblCellMar>
          <w:top w:w="0" w:type="dxa"/>
          <w:left w:w="108" w:type="dxa"/>
          <w:bottom w:w="0" w:type="dxa"/>
          <w:right w:w="108" w:type="dxa"/>
        </w:tblCellMar>
      </w:tblPr>
      <w:tblGrid>
        <w:gridCol w:w="1293"/>
        <w:gridCol w:w="8772"/>
      </w:tblGrid>
      <w:tr>
        <w:tblPrEx>
          <w:tblCellMar>
            <w:top w:w="0" w:type="dxa"/>
            <w:left w:w="108" w:type="dxa"/>
            <w:bottom w:w="0" w:type="dxa"/>
            <w:right w:w="108" w:type="dxa"/>
          </w:tblCellMar>
        </w:tblPrEx>
        <w:trPr>
          <w:trHeight w:val="980" w:hRule="atLeast"/>
        </w:trPr>
        <w:tc>
          <w:tcPr>
            <w:tcW w:w="12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访客管理系统</w:t>
            </w:r>
          </w:p>
        </w:tc>
        <w:tc>
          <w:tcPr>
            <w:tcW w:w="84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color w:val="000000"/>
              </w:rPr>
            </w:pPr>
            <w:r>
              <w:rPr>
                <w:rFonts w:hint="eastAsia"/>
                <w:color w:val="000000"/>
              </w:rPr>
              <w:t>Android7.1内存2G存储8G/最大支持128G/显示屏11.6寸 广视角、高亮IPS屏、 G+G10点触摸，带COF电容屏/内置1080P高清双目摄像头，带补光灯，面部识别距离0.2-1.8m，人脸验证准确率≥99%，身份证阅读模块经公安部认证，符合GA 450-2013标准，读取时间≤1S，读卡距离0~3cm，扫描模块支持扫描一维码和二维码。具有快速登记：一体化设备，数秒内即可完成访客信息登记、确认、核查。</w:t>
            </w:r>
          </w:p>
          <w:p>
            <w:pPr>
              <w:spacing w:line="400" w:lineRule="exact"/>
              <w:jc w:val="left"/>
              <w:rPr>
                <w:rFonts w:hint="eastAsia"/>
                <w:color w:val="000000"/>
              </w:rPr>
            </w:pPr>
            <w:r>
              <w:rPr>
                <w:rFonts w:hint="eastAsia"/>
                <w:color w:val="000000"/>
              </w:rPr>
              <w:t>访客信息登记</w:t>
            </w:r>
            <w:r>
              <w:rPr>
                <w:rFonts w:hint="eastAsia"/>
                <w:color w:val="000000"/>
              </w:rPr>
              <w:tab/>
            </w:r>
            <w:r>
              <w:rPr>
                <w:rFonts w:hint="eastAsia"/>
                <w:color w:val="000000"/>
              </w:rPr>
              <w:t>刷身份证自动获取身份信息或手动输入身份证信息。</w:t>
            </w:r>
          </w:p>
          <w:p>
            <w:pPr>
              <w:spacing w:line="400" w:lineRule="exact"/>
              <w:jc w:val="left"/>
              <w:rPr>
                <w:rFonts w:hint="eastAsia"/>
                <w:color w:val="000000"/>
              </w:rPr>
            </w:pPr>
            <w:r>
              <w:rPr>
                <w:rFonts w:hint="eastAsia"/>
                <w:color w:val="000000"/>
              </w:rPr>
              <w:t>被访人选择登记</w:t>
            </w:r>
            <w:r>
              <w:rPr>
                <w:rFonts w:hint="eastAsia"/>
                <w:color w:val="000000"/>
              </w:rPr>
              <w:tab/>
            </w:r>
            <w:r>
              <w:rPr>
                <w:rFonts w:hint="eastAsia"/>
                <w:color w:val="000000"/>
              </w:rPr>
              <w:t>支持被访人信息预录入，现场可手动选择或手动录入。</w:t>
            </w:r>
          </w:p>
          <w:p>
            <w:pPr>
              <w:spacing w:line="400" w:lineRule="exact"/>
              <w:jc w:val="left"/>
              <w:rPr>
                <w:rFonts w:hint="eastAsia"/>
                <w:color w:val="000000"/>
              </w:rPr>
            </w:pPr>
            <w:r>
              <w:rPr>
                <w:rFonts w:hint="eastAsia"/>
                <w:color w:val="000000"/>
              </w:rPr>
              <w:t>风险评估：★实时联网对访客身份信息进行智能风险评估，按系统智能分析提醒风险级别（以红橙黄蓝显示）。</w:t>
            </w:r>
          </w:p>
          <w:p>
            <w:pPr>
              <w:spacing w:line="400" w:lineRule="exact"/>
              <w:jc w:val="left"/>
              <w:rPr>
                <w:rFonts w:hint="eastAsia"/>
                <w:color w:val="000000"/>
              </w:rPr>
            </w:pPr>
            <w:r>
              <w:rPr>
                <w:rFonts w:hint="eastAsia"/>
                <w:color w:val="000000"/>
              </w:rPr>
              <w:t>现场人像采集</w:t>
            </w:r>
            <w:r>
              <w:rPr>
                <w:rFonts w:hint="eastAsia"/>
                <w:color w:val="000000"/>
              </w:rPr>
              <w:tab/>
            </w:r>
            <w:r>
              <w:rPr>
                <w:rFonts w:hint="eastAsia"/>
                <w:color w:val="000000"/>
              </w:rPr>
              <w:t>系统可拍摄现场人员照片、介绍信等证明材料。</w:t>
            </w:r>
          </w:p>
          <w:p>
            <w:pPr>
              <w:spacing w:line="400" w:lineRule="exact"/>
              <w:jc w:val="left"/>
              <w:rPr>
                <w:rFonts w:hint="eastAsia"/>
                <w:color w:val="000000"/>
              </w:rPr>
            </w:pPr>
            <w:r>
              <w:rPr>
                <w:rFonts w:hint="eastAsia"/>
                <w:color w:val="000000"/>
              </w:rPr>
              <w:t>访单留存</w:t>
            </w:r>
            <w:r>
              <w:rPr>
                <w:rFonts w:hint="eastAsia"/>
                <w:color w:val="000000"/>
              </w:rPr>
              <w:tab/>
            </w:r>
            <w:r>
              <w:rPr>
                <w:rFonts w:hint="eastAsia"/>
                <w:color w:val="000000"/>
              </w:rPr>
              <w:t>系统支持访单打印，访客凭单出入。</w:t>
            </w:r>
          </w:p>
          <w:p>
            <w:pPr>
              <w:spacing w:line="400" w:lineRule="exact"/>
              <w:jc w:val="left"/>
              <w:rPr>
                <w:rFonts w:hint="eastAsia"/>
                <w:color w:val="000000"/>
              </w:rPr>
            </w:pPr>
            <w:r>
              <w:rPr>
                <w:rFonts w:hint="eastAsia"/>
                <w:color w:val="000000"/>
              </w:rPr>
              <w:t>访客签离</w:t>
            </w:r>
            <w:r>
              <w:rPr>
                <w:rFonts w:hint="eastAsia"/>
                <w:color w:val="000000"/>
              </w:rPr>
              <w:tab/>
            </w:r>
            <w:r>
              <w:rPr>
                <w:rFonts w:hint="eastAsia"/>
                <w:color w:val="000000"/>
              </w:rPr>
              <w:t>支持访客单扫码签离、身份证刷卡签离、手动勾选签离。</w:t>
            </w:r>
          </w:p>
          <w:p>
            <w:pPr>
              <w:spacing w:line="400" w:lineRule="exact"/>
              <w:jc w:val="left"/>
              <w:rPr>
                <w:rFonts w:hint="eastAsia"/>
                <w:color w:val="000000"/>
              </w:rPr>
            </w:pPr>
            <w:r>
              <w:rPr>
                <w:rFonts w:hint="eastAsia"/>
                <w:color w:val="000000"/>
              </w:rPr>
              <w:t>出入跟踪</w:t>
            </w:r>
            <w:r>
              <w:rPr>
                <w:rFonts w:hint="eastAsia"/>
                <w:color w:val="000000"/>
              </w:rPr>
              <w:tab/>
            </w:r>
            <w:r>
              <w:rPr>
                <w:rFonts w:hint="eastAsia"/>
                <w:color w:val="000000"/>
              </w:rPr>
              <w:t>各门卫系统互联、互通，管理员可通过客户端远程调阅访客实况。</w:t>
            </w:r>
          </w:p>
          <w:p>
            <w:pPr>
              <w:spacing w:line="400" w:lineRule="exact"/>
              <w:jc w:val="left"/>
              <w:rPr>
                <w:rFonts w:hint="eastAsia"/>
                <w:color w:val="000000"/>
              </w:rPr>
            </w:pPr>
            <w:r>
              <w:rPr>
                <w:rFonts w:hint="eastAsia"/>
                <w:color w:val="000000"/>
              </w:rPr>
              <w:t>★可信认证：支持无证人员可信身份核验，认证数据源自公安部一所统一标准的全国库资源。★对接浙江省公安厅★自动实时对接省公安厅情报中心重点人员库。</w:t>
            </w:r>
          </w:p>
          <w:p>
            <w:pPr>
              <w:spacing w:line="400" w:lineRule="exact"/>
              <w:jc w:val="left"/>
              <w:rPr>
                <w:rFonts w:hint="eastAsia"/>
                <w:color w:val="000000"/>
              </w:rPr>
            </w:pPr>
            <w:r>
              <w:rPr>
                <w:rFonts w:hint="eastAsia"/>
                <w:color w:val="000000"/>
              </w:rPr>
              <w:t>联动报警★系统智能评估的高危人员一旦进入单位，系统第一时间发送预警信息至安全保障部门</w:t>
            </w:r>
            <w:r>
              <w:rPr>
                <w:rFonts w:hint="eastAsia"/>
                <w:color w:val="000000"/>
                <w:lang w:eastAsia="zh-CN"/>
              </w:rPr>
              <w:t>及</w:t>
            </w:r>
            <w:r>
              <w:rPr>
                <w:rFonts w:hint="eastAsia"/>
                <w:color w:val="000000"/>
              </w:rPr>
              <w:t>辖区***，便于及时出动警力，减小危害损失。</w:t>
            </w:r>
          </w:p>
          <w:p>
            <w:pPr>
              <w:spacing w:line="400" w:lineRule="exact"/>
              <w:jc w:val="left"/>
              <w:rPr>
                <w:rFonts w:hint="eastAsia"/>
                <w:color w:val="000000"/>
              </w:rPr>
            </w:pPr>
            <w:r>
              <w:rPr>
                <w:rFonts w:hint="eastAsia"/>
                <w:color w:val="000000"/>
              </w:rPr>
              <w:t>留档追溯系统记录来访者身份信息、相貌特征、滞留时间，并永久存档，可为异常情况的追溯核查提供信息支持。</w:t>
            </w:r>
          </w:p>
          <w:p>
            <w:pPr>
              <w:spacing w:line="400" w:lineRule="exact"/>
              <w:jc w:val="left"/>
              <w:rPr>
                <w:rFonts w:hint="eastAsia"/>
                <w:color w:val="000000"/>
              </w:rPr>
            </w:pPr>
            <w:r>
              <w:rPr>
                <w:rFonts w:hint="eastAsia"/>
                <w:color w:val="000000"/>
              </w:rPr>
              <w:t>断网备份</w:t>
            </w:r>
            <w:r>
              <w:rPr>
                <w:rFonts w:hint="eastAsia"/>
                <w:color w:val="000000"/>
              </w:rPr>
              <w:tab/>
            </w:r>
            <w:r>
              <w:rPr>
                <w:rFonts w:hint="eastAsia"/>
                <w:color w:val="000000"/>
              </w:rPr>
              <w:t>断网情况下保持单机登记功能并独立备份，联网后自动上传同步备份信息。</w:t>
            </w:r>
          </w:p>
          <w:p>
            <w:pPr>
              <w:spacing w:line="400" w:lineRule="exact"/>
              <w:jc w:val="left"/>
              <w:rPr>
                <w:rFonts w:hint="eastAsia"/>
                <w:color w:val="000000"/>
                <w:szCs w:val="22"/>
              </w:rPr>
            </w:pPr>
            <w:r>
              <w:rPr>
                <w:rFonts w:hint="eastAsia"/>
                <w:color w:val="000000"/>
                <w:szCs w:val="22"/>
              </w:rPr>
              <w:t>手写输入功能</w:t>
            </w:r>
            <w:r>
              <w:rPr>
                <w:rFonts w:hint="eastAsia"/>
                <w:color w:val="000000"/>
                <w:szCs w:val="22"/>
              </w:rPr>
              <w:tab/>
            </w:r>
            <w:r>
              <w:rPr>
                <w:rFonts w:hint="eastAsia"/>
                <w:color w:val="000000"/>
                <w:szCs w:val="22"/>
              </w:rPr>
              <w:t>触摸屏支持手写输入功能。</w:t>
            </w:r>
          </w:p>
          <w:p>
            <w:pPr>
              <w:spacing w:line="400" w:lineRule="exact"/>
              <w:jc w:val="left"/>
              <w:rPr>
                <w:rFonts w:hint="eastAsia" w:eastAsia="宋体"/>
                <w:color w:val="000000"/>
                <w:lang w:val="en-US" w:eastAsia="zh-CN"/>
              </w:rPr>
            </w:pPr>
            <w:r>
              <w:rPr>
                <w:rFonts w:hint="eastAsia"/>
                <w:color w:val="000000"/>
                <w:szCs w:val="22"/>
                <w:lang w:val="en-US" w:eastAsia="zh-CN"/>
              </w:rPr>
              <w:t>承诺中标后提供测试样机。</w:t>
            </w:r>
          </w:p>
        </w:tc>
      </w:tr>
    </w:tbl>
    <w:p>
      <w:pPr>
        <w:spacing w:line="400" w:lineRule="exact"/>
        <w:ind w:firstLine="602" w:firstLineChars="200"/>
        <w:jc w:val="center"/>
        <w:rPr>
          <w:rFonts w:hint="eastAsia" w:ascii="宋体" w:hAnsi="宋体" w:cs="宋体"/>
          <w:b/>
          <w:bCs/>
          <w:color w:val="000000"/>
          <w:kern w:val="0"/>
          <w:sz w:val="30"/>
          <w:szCs w:val="30"/>
        </w:rPr>
      </w:pPr>
      <w:r>
        <w:rPr>
          <w:rFonts w:hint="eastAsia" w:ascii="宋体" w:hAnsi="宋体" w:cs="宋体"/>
          <w:b/>
          <w:bCs/>
          <w:color w:val="000000"/>
          <w:kern w:val="0"/>
          <w:sz w:val="30"/>
          <w:szCs w:val="30"/>
        </w:rPr>
        <w:t>（四）智慧校园平台</w:t>
      </w:r>
    </w:p>
    <w:p>
      <w:pPr>
        <w:spacing w:line="400" w:lineRule="exact"/>
        <w:ind w:firstLine="420" w:firstLineChars="200"/>
        <w:jc w:val="left"/>
        <w:rPr>
          <w:rFonts w:hint="eastAsia"/>
          <w:color w:val="000000"/>
        </w:rPr>
      </w:pPr>
      <w:r>
        <w:rPr>
          <w:rFonts w:hint="eastAsia" w:ascii="宋体" w:hAnsi="宋体" w:cs="宋体"/>
          <w:color w:val="000000"/>
          <w:kern w:val="0"/>
          <w:szCs w:val="21"/>
        </w:rPr>
        <w:t>智慧校园基础平台建成后，为学校以后行政办公、教职工管理、幼儿成长以及总务后勤提供一站式工作平台保障及扩容。在教育管理方面，实现校园运行状态实时监测与管理、行政、人事、总务办公自动化，为学校各级管理部门提供决策依据；同时通过融合创新，全面采用中国文化元素，以创新的思维构建具有中国特色的现代化校园。既推动教育现代化的发展，又弘扬中国传统文化。让文化自信战略在学校落地生根。</w:t>
      </w:r>
    </w:p>
    <w:tbl>
      <w:tblPr>
        <w:tblStyle w:val="47"/>
        <w:tblpPr w:leftFromText="180" w:rightFromText="180" w:vertAnchor="text" w:horzAnchor="page" w:tblpX="1276" w:tblpY="3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591"/>
        <w:gridCol w:w="2190"/>
        <w:gridCol w:w="3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43"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序号</w:t>
            </w:r>
          </w:p>
        </w:tc>
        <w:tc>
          <w:tcPr>
            <w:tcW w:w="2591"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设备名称</w:t>
            </w:r>
          </w:p>
        </w:tc>
        <w:tc>
          <w:tcPr>
            <w:tcW w:w="2190"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单位</w:t>
            </w:r>
          </w:p>
        </w:tc>
        <w:tc>
          <w:tcPr>
            <w:tcW w:w="3986" w:type="dxa"/>
            <w:noWrap w:val="0"/>
            <w:vAlign w:val="center"/>
          </w:tcPr>
          <w:p>
            <w:pPr>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4.1</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校园办公（OA）软件</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3986"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Merge w:val="restart"/>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4.2</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统一门户中心</w:t>
            </w:r>
          </w:p>
        </w:tc>
        <w:tc>
          <w:tcPr>
            <w:tcW w:w="2190" w:type="dxa"/>
            <w:vMerge w:val="restart"/>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3986" w:type="dxa"/>
            <w:vMerge w:val="restart"/>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Merge w:val="continue"/>
            <w:noWrap w:val="0"/>
            <w:vAlign w:val="center"/>
          </w:tcPr>
          <w:p>
            <w:pPr>
              <w:spacing w:line="400" w:lineRule="exact"/>
              <w:jc w:val="center"/>
              <w:rPr>
                <w:rFonts w:hint="eastAsia" w:ascii="宋体" w:hAnsi="宋体" w:eastAsia="宋体" w:cs="宋体"/>
                <w:color w:val="000000"/>
                <w:szCs w:val="21"/>
              </w:rPr>
            </w:pP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统一数据中心</w:t>
            </w:r>
          </w:p>
        </w:tc>
        <w:tc>
          <w:tcPr>
            <w:tcW w:w="2190" w:type="dxa"/>
            <w:vMerge w:val="continue"/>
            <w:noWrap w:val="0"/>
            <w:vAlign w:val="center"/>
          </w:tcPr>
          <w:p>
            <w:pPr>
              <w:spacing w:line="400" w:lineRule="exact"/>
              <w:jc w:val="center"/>
              <w:rPr>
                <w:rFonts w:hint="eastAsia" w:ascii="宋体" w:hAnsi="宋体" w:eastAsia="宋体" w:cs="宋体"/>
                <w:color w:val="000000"/>
                <w:szCs w:val="21"/>
              </w:rPr>
            </w:pPr>
          </w:p>
        </w:tc>
        <w:tc>
          <w:tcPr>
            <w:tcW w:w="3986" w:type="dxa"/>
            <w:vMerge w:val="continue"/>
            <w:noWrap w:val="0"/>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Merge w:val="continue"/>
            <w:noWrap w:val="0"/>
            <w:vAlign w:val="center"/>
          </w:tcPr>
          <w:p>
            <w:pPr>
              <w:spacing w:line="400" w:lineRule="exact"/>
              <w:jc w:val="center"/>
              <w:rPr>
                <w:rFonts w:hint="eastAsia" w:ascii="宋体" w:hAnsi="宋体" w:eastAsia="宋体" w:cs="宋体"/>
                <w:color w:val="000000"/>
                <w:szCs w:val="21"/>
              </w:rPr>
            </w:pP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统一认证管理系统</w:t>
            </w:r>
          </w:p>
        </w:tc>
        <w:tc>
          <w:tcPr>
            <w:tcW w:w="2190" w:type="dxa"/>
            <w:vMerge w:val="continue"/>
            <w:noWrap w:val="0"/>
            <w:vAlign w:val="center"/>
          </w:tcPr>
          <w:p>
            <w:pPr>
              <w:spacing w:line="400" w:lineRule="exact"/>
              <w:jc w:val="center"/>
              <w:rPr>
                <w:rFonts w:hint="eastAsia" w:ascii="宋体" w:hAnsi="宋体" w:eastAsia="宋体" w:cs="宋体"/>
                <w:color w:val="000000"/>
                <w:szCs w:val="21"/>
              </w:rPr>
            </w:pPr>
          </w:p>
        </w:tc>
        <w:tc>
          <w:tcPr>
            <w:tcW w:w="3986" w:type="dxa"/>
            <w:vMerge w:val="continue"/>
            <w:noWrap w:val="0"/>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4.3</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微信公众号</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3986"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noWrap w:val="0"/>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4.4</w:t>
            </w:r>
          </w:p>
        </w:tc>
        <w:tc>
          <w:tcPr>
            <w:tcW w:w="2591"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资源管理管理服务器</w:t>
            </w:r>
          </w:p>
        </w:tc>
        <w:tc>
          <w:tcPr>
            <w:tcW w:w="219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3986"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bl>
    <w:p>
      <w:pPr>
        <w:pStyle w:val="2"/>
        <w:spacing w:line="400" w:lineRule="exact"/>
        <w:rPr>
          <w:rFonts w:hint="eastAsia" w:ascii="宋体" w:hAnsi="宋体" w:cs="宋体"/>
          <w:i w:val="0"/>
          <w:iCs/>
          <w:color w:val="000000"/>
          <w:sz w:val="21"/>
          <w:szCs w:val="21"/>
        </w:rPr>
      </w:pPr>
    </w:p>
    <w:p>
      <w:pPr>
        <w:pStyle w:val="2"/>
        <w:spacing w:line="400" w:lineRule="exact"/>
        <w:rPr>
          <w:rFonts w:hint="eastAsia" w:ascii="宋体" w:hAnsi="宋体" w:cs="宋体"/>
          <w:i w:val="0"/>
          <w:iCs/>
          <w:color w:val="000000"/>
          <w:sz w:val="21"/>
          <w:szCs w:val="21"/>
        </w:rPr>
      </w:pPr>
      <w:r>
        <w:rPr>
          <w:rFonts w:hint="eastAsia" w:ascii="宋体" w:hAnsi="宋体" w:cs="宋体"/>
          <w:i w:val="0"/>
          <w:iCs/>
          <w:color w:val="000000"/>
          <w:sz w:val="21"/>
          <w:szCs w:val="21"/>
        </w:rPr>
        <w:t>详细参数：</w:t>
      </w:r>
    </w:p>
    <w:tbl>
      <w:tblPr>
        <w:tblStyle w:val="47"/>
        <w:tblW w:w="9583" w:type="dxa"/>
        <w:tblInd w:w="108" w:type="dxa"/>
        <w:tblLayout w:type="fixed"/>
        <w:tblCellMar>
          <w:top w:w="0" w:type="dxa"/>
          <w:left w:w="108" w:type="dxa"/>
          <w:bottom w:w="0" w:type="dxa"/>
          <w:right w:w="108" w:type="dxa"/>
        </w:tblCellMar>
      </w:tblPr>
      <w:tblGrid>
        <w:gridCol w:w="568"/>
        <w:gridCol w:w="1088"/>
        <w:gridCol w:w="7927"/>
      </w:tblGrid>
      <w:tr>
        <w:tblPrEx>
          <w:tblCellMar>
            <w:top w:w="0" w:type="dxa"/>
            <w:left w:w="108" w:type="dxa"/>
            <w:bottom w:w="0" w:type="dxa"/>
            <w:right w:w="108" w:type="dxa"/>
          </w:tblCellMar>
        </w:tblPrEx>
        <w:trPr>
          <w:trHeight w:val="552" w:hRule="atLeast"/>
        </w:trPr>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校园办公（OA）软件</w:t>
            </w:r>
          </w:p>
        </w:tc>
        <w:tc>
          <w:tcPr>
            <w:tcW w:w="79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通知公告系统：</w:t>
            </w:r>
          </w:p>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1、权限管理：普通用户只能接收通知，可在线预览附件、下载附件，并打印、归档通知；</w:t>
            </w:r>
          </w:p>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2、未读提醒：未读通知必须用加粗字体醒目标注，并统计有几份未读通知；</w:t>
            </w:r>
          </w:p>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3、★通知流程：通知拟稿人发布通知后，由通知审核人员进行通知的审核，审核通过之后，收件人即可收到通知信息，发布人员可以查阅通知的阅读率；</w:t>
            </w:r>
          </w:p>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4、★通知发布：根据通知的性质，可划分标准、重要、紧急，在未读通知内做醒目标志；发布通知可选择发布的用户、添加附件，选择生效日期、终止日期、同步网站、及通知是否公开、是否置顶，并选择置顶截止日期；</w:t>
            </w:r>
          </w:p>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5、待审核的通知可实现批量审核，对于不通过的通知可添加退回理由；</w:t>
            </w:r>
          </w:p>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8、★须具有高级搜索功能，从标题、发布用户、部门、接受用户、审核状态、紧急程度、通知类型等实现搜索；</w:t>
            </w:r>
          </w:p>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9、通知统计可实现发布量统计、阅读率统计；</w:t>
            </w:r>
          </w:p>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10、★通知流程设置：系统默认学校公告、校内通知等通知类型，同时学校可根据具体情况设置审批流程；</w:t>
            </w:r>
          </w:p>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11、★必须具有移动端功能，并与pc端实现数据同步；</w:t>
            </w:r>
          </w:p>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日程计划：</w:t>
            </w:r>
          </w:p>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1、日程系统须满足按日、周、月制定日程，人性化的管理界面，用户可以直接定位到某个时间点安排自己的日程；</w:t>
            </w:r>
          </w:p>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2、★要求学校日程、部门日程可以推送到个人日程中；</w:t>
            </w:r>
          </w:p>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3、能具备设置日程的紧急程度、设置日程提醒方式，提醒时间以及重复提醒规则；</w:t>
            </w:r>
          </w:p>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4、个人日程可设置是否公开，当设置为公开状态后，部门负责人可以看到个人公开的日程；</w:t>
            </w:r>
          </w:p>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7、满足用户对日程工作情况的记录；</w:t>
            </w:r>
          </w:p>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8、学校日程、校历支持批量导入功能；</w:t>
            </w:r>
          </w:p>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9、所有日程以及校历支持打印和下载功能；</w:t>
            </w:r>
          </w:p>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10、★支持pc端和移动端公众号提醒功能。</w:t>
            </w:r>
          </w:p>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个人设置：设置个人信息，系统界面风格；查看设置用户个人密码；修改用户的姓名、联系方式等基本信息。</w:t>
            </w:r>
          </w:p>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通讯录：提供组织内部人员通讯录的管理、查询、展现；系统可提供按照组织架构及自定义分组进行显示，提供多条件组合查询功能。</w:t>
            </w:r>
          </w:p>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个人邮件：提供学校内部邮件系统的使用功能，包括提供写信、回复、转发、删除等操作，并提供收件箱、草稿箱、废件箱、自定义文件夹管理等功能模块。</w:t>
            </w:r>
          </w:p>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电子资料室：</w:t>
            </w:r>
          </w:p>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1、系统需根据学校部门情况自动生成对应部门的目录，部门负责人需要能够管理自己所属部门的所有文件，部门成员可在自己部门内的目录下打开、下载、上传文件；</w:t>
            </w:r>
          </w:p>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2、系统需能够自动获取其他系统内上传的所有资源，包含资源库、办公、选课、教研备课等系统所有上传的文件，避免同一文件多次上传而浪费空间；</w:t>
            </w:r>
          </w:p>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3、需对系统内的文件进行细致化的权限分配，可以灵活的控制文件的查阅用户、下载用户和上传用户，确保重要文件的保密性；</w:t>
            </w:r>
          </w:p>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4、系统需能够在线打开文档类文件；需能够在线播放视频类文件；需能够在线查看图片类文件；需能够在线播放音频类文件；</w:t>
            </w:r>
          </w:p>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5、每个学校用户需要有一个自己的私人云盘，可存放自己私有的文件，也可管理自己下载的文件、上传的文件、收藏的文件、订阅的文件、分享的文件和分享给我的文件；</w:t>
            </w:r>
          </w:p>
        </w:tc>
      </w:tr>
      <w:tr>
        <w:tblPrEx>
          <w:tblCellMar>
            <w:top w:w="0" w:type="dxa"/>
            <w:left w:w="108" w:type="dxa"/>
            <w:bottom w:w="0" w:type="dxa"/>
            <w:right w:w="108" w:type="dxa"/>
          </w:tblCellMar>
        </w:tblPrEx>
        <w:trPr>
          <w:trHeight w:val="2536" w:hRule="atLeast"/>
        </w:trPr>
        <w:tc>
          <w:tcPr>
            <w:tcW w:w="5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统一门户中心</w:t>
            </w:r>
          </w:p>
        </w:tc>
        <w:tc>
          <w:tcPr>
            <w:tcW w:w="79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智慧校园建设最直接的展示是通过统一门户中心来体现的，门户中心把校园中松散的、异构的应用和信息资讯进行集成，通过统一的访问接口，实现各种应用系统及功能的集成。门户中心提供了丰富的插件和模板，用户可以选择自己喜欢的风格和辅助应用任意拖曳、定制页面，同时平台还为特定用户提供个性化的应用界面和功能，更好地为全校师生员工服务。</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统一门户平台通过集成各部门业务系统，实现单点登录，避免了多个应用系统地址、多套账户管理的麻烦，大量的网站地址、账户再也不用专门记录查找了，大大减轻了众多网站和应用给用户增加的记忆和操作的负担。同时为校内所有的教职员工、学生提供一个支持多样化访问的应用平台，可以随时随地按需访问校内的教务、教学等数据和相应事务处理过程。</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3、通过统一门户中心，用户可以单独设置主题风格、主题风格须包含：中国风主题、卡通主题等主要风格；</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4、通过统一门户中心，用户可以自行设置布局，可将自己关注的功能拖动到门户中心的主要工作区域；</w:t>
            </w:r>
          </w:p>
        </w:tc>
      </w:tr>
      <w:tr>
        <w:tblPrEx>
          <w:tblCellMar>
            <w:top w:w="0" w:type="dxa"/>
            <w:left w:w="108" w:type="dxa"/>
            <w:bottom w:w="0" w:type="dxa"/>
            <w:right w:w="108" w:type="dxa"/>
          </w:tblCellMar>
        </w:tblPrEx>
        <w:trPr>
          <w:trHeight w:val="5385" w:hRule="atLeast"/>
        </w:trPr>
        <w:tc>
          <w:tcPr>
            <w:tcW w:w="5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统一数据中心</w:t>
            </w:r>
          </w:p>
        </w:tc>
        <w:tc>
          <w:tcPr>
            <w:tcW w:w="79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 为多个系统的集成和各个系统之间的数据共享提供平台，保证数据的及时性、完整性和一致性，搭建一个面向应用、安全可靠、规范统一、可扩展的统一数据共享平台。平台通过数据集成工具，实现各业务系统、共享数据相互之间的数据交换和共享，为学校教学、管理提供数据管理和共享交换的服务平台，为学校的管理提供有效的数据支撑，满足学校各类人员的数据服务需求；</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2、公共服务接口：提供开放的数据公共接口，能支持接口权限控制，被授权的第三方应用可通过公共服务接口调用或回传相关数据；</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3、自定义服务：管理平台开放的数据自定义接口。自定义服务指的是用户在调用接口的过程中，需要验证调用的IP地址，只有在白名单中的合法的IP才能够调用成功。</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4、文件服务：系统提供通过一的文件存储服务，所有业务系统都根据统一编码进行文件存储、转码、切片等相关操作；</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5、数据安全：提供数据库备份和文件备份的机制，建立按天实现增量备份；在硬件设备条件允许情况下能支持异地容灾，双机容错。</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6、开发架构：应基于Spring-cloud微服务的架构开发，使用Eureka  Server技术发布机制、采用Html5前端开发语言、Vue.Js前台框架技术进行开发，可满足学校构建Saas私有云服务。</w:t>
            </w:r>
          </w:p>
        </w:tc>
      </w:tr>
      <w:tr>
        <w:tblPrEx>
          <w:tblCellMar>
            <w:top w:w="0" w:type="dxa"/>
            <w:left w:w="108" w:type="dxa"/>
            <w:bottom w:w="0" w:type="dxa"/>
            <w:right w:w="108" w:type="dxa"/>
          </w:tblCellMar>
        </w:tblPrEx>
        <w:trPr>
          <w:trHeight w:val="450" w:hRule="atLeast"/>
        </w:trPr>
        <w:tc>
          <w:tcPr>
            <w:tcW w:w="5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统一认证管理系统</w:t>
            </w:r>
          </w:p>
        </w:tc>
        <w:tc>
          <w:tcPr>
            <w:tcW w:w="79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实现全校业务系统身份数据的统一存储、统一管理，实现全校各类应用的单点登陆，以及各类访问与操作安全审计。解决各应用系统用户名和口令不统一的问题，能够提供统一的授权机制及一套方便、安全的口令认证方法，让用户只要一套用户名和口令就可以使用学校的所有业务系统。</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2、基于门户平台扩展统一身份认证，包括统一的身份服务、统一安全策略服务、统一用户认证管理、统一的用户权限管理。</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3、各子系统应不同角色的用户登录平台进入自己的门户，实现统一认证，在各自的权限范围内登录相应的系统和获取相应的资源支持，该平台支持多种权限管理方式，统一授权与分级授权。</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4、后台监测管理，系统可记录访问日志，包含访问模块、用户名、访问IP、访问日期等；记录账号认证审计日志，包含来访用户、来访用户IP、来访时间等，详细记录每次用户的登录结果，结果包含认证成功或认证失败与原因；</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5、支持实现校园办公OA等本项目所涉及的所有子平台的统一认证管理；</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6、支持通过预留邮箱、密保问题、手机号码等方式进行密码找回；</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7、支持通过、企业微信、微信、QQ扫码登录。</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8、支持账号冻结功能，在一个账号和IP在连续输入密码错误3次后账号自动冻结，确保安全，管理员具有解锁功能；</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9、具有标准化的接口API,能通过授权机制对第三方应用系统进行统一认证；</w:t>
            </w:r>
          </w:p>
        </w:tc>
      </w:tr>
      <w:tr>
        <w:tblPrEx>
          <w:tblCellMar>
            <w:top w:w="0" w:type="dxa"/>
            <w:left w:w="108" w:type="dxa"/>
            <w:bottom w:w="0" w:type="dxa"/>
            <w:right w:w="108" w:type="dxa"/>
          </w:tblCellMar>
        </w:tblPrEx>
        <w:trPr>
          <w:trHeight w:val="1518" w:hRule="atLeast"/>
        </w:trPr>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微信公众号</w:t>
            </w:r>
          </w:p>
        </w:tc>
        <w:tc>
          <w:tcPr>
            <w:tcW w:w="79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1、 通过学校微信公众号能满足查收学校通知；</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2、 通过学校微信公众号实现各类功能提醒，方便广大教师、学生、家长的工作；</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3、 通过学校微信公众号教师可以制定和查询个人日程、部门日程、学校日程；</w:t>
            </w:r>
          </w:p>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4、 通过学校微信公众号教师可以实现电子文件的查询和管理；</w:t>
            </w:r>
          </w:p>
        </w:tc>
      </w:tr>
    </w:tbl>
    <w:p>
      <w:pPr>
        <w:pStyle w:val="2"/>
        <w:spacing w:line="400" w:lineRule="exact"/>
        <w:jc w:val="center"/>
        <w:rPr>
          <w:rFonts w:hint="eastAsia" w:ascii="宋体" w:hAnsi="宋体" w:cs="宋体"/>
          <w:b/>
          <w:bCs/>
          <w:i w:val="0"/>
          <w:color w:val="000000"/>
          <w:kern w:val="0"/>
          <w:sz w:val="30"/>
          <w:szCs w:val="30"/>
        </w:rPr>
      </w:pPr>
    </w:p>
    <w:p>
      <w:pPr>
        <w:pStyle w:val="2"/>
        <w:spacing w:line="400" w:lineRule="exact"/>
        <w:jc w:val="center"/>
        <w:rPr>
          <w:rFonts w:hint="eastAsia" w:ascii="宋体" w:hAnsi="宋体" w:cs="宋体"/>
          <w:b/>
          <w:bCs/>
          <w:i w:val="0"/>
          <w:color w:val="000000"/>
          <w:kern w:val="0"/>
          <w:sz w:val="30"/>
          <w:szCs w:val="30"/>
        </w:rPr>
      </w:pPr>
    </w:p>
    <w:p>
      <w:pPr>
        <w:pStyle w:val="2"/>
        <w:spacing w:line="400" w:lineRule="exact"/>
        <w:jc w:val="center"/>
        <w:rPr>
          <w:rFonts w:hint="eastAsia" w:ascii="宋体" w:hAnsi="宋体" w:cs="宋体"/>
          <w:b/>
          <w:bCs/>
          <w:i w:val="0"/>
          <w:color w:val="000000"/>
          <w:kern w:val="0"/>
          <w:sz w:val="30"/>
          <w:szCs w:val="30"/>
        </w:rPr>
      </w:pPr>
    </w:p>
    <w:p>
      <w:pPr>
        <w:pStyle w:val="2"/>
        <w:spacing w:line="400" w:lineRule="exact"/>
        <w:jc w:val="center"/>
        <w:rPr>
          <w:rFonts w:hint="eastAsia" w:ascii="宋体" w:hAnsi="宋体" w:cs="宋体"/>
          <w:b/>
          <w:bCs/>
          <w:i w:val="0"/>
          <w:color w:val="000000"/>
          <w:kern w:val="0"/>
          <w:sz w:val="30"/>
          <w:szCs w:val="30"/>
        </w:rPr>
      </w:pPr>
    </w:p>
    <w:p>
      <w:pPr>
        <w:pStyle w:val="2"/>
        <w:spacing w:line="400" w:lineRule="exact"/>
        <w:jc w:val="center"/>
        <w:rPr>
          <w:rFonts w:hint="eastAsia" w:ascii="宋体" w:hAnsi="宋体" w:cs="宋体"/>
          <w:b/>
          <w:bCs/>
          <w:i w:val="0"/>
          <w:color w:val="000000"/>
          <w:kern w:val="0"/>
          <w:sz w:val="30"/>
          <w:szCs w:val="30"/>
        </w:rPr>
      </w:pPr>
    </w:p>
    <w:p>
      <w:pPr>
        <w:pStyle w:val="2"/>
        <w:spacing w:line="400" w:lineRule="exact"/>
        <w:jc w:val="center"/>
        <w:rPr>
          <w:rFonts w:hint="eastAsia" w:ascii="宋体" w:hAnsi="宋体" w:cs="宋体"/>
          <w:b/>
          <w:bCs/>
          <w:i w:val="0"/>
          <w:color w:val="000000"/>
          <w:kern w:val="0"/>
          <w:sz w:val="30"/>
          <w:szCs w:val="30"/>
        </w:rPr>
      </w:pPr>
    </w:p>
    <w:p>
      <w:pPr>
        <w:pStyle w:val="2"/>
        <w:spacing w:line="400" w:lineRule="exact"/>
        <w:jc w:val="center"/>
        <w:rPr>
          <w:rFonts w:hint="eastAsia" w:ascii="宋体" w:hAnsi="宋体" w:cs="宋体"/>
          <w:b/>
          <w:bCs/>
          <w:i w:val="0"/>
          <w:color w:val="000000"/>
          <w:kern w:val="0"/>
          <w:sz w:val="30"/>
          <w:szCs w:val="30"/>
        </w:rPr>
      </w:pPr>
    </w:p>
    <w:p>
      <w:pPr>
        <w:pStyle w:val="2"/>
        <w:spacing w:line="400" w:lineRule="exact"/>
        <w:jc w:val="center"/>
        <w:rPr>
          <w:rFonts w:hint="eastAsia" w:ascii="宋体" w:hAnsi="宋体" w:cs="宋体"/>
          <w:b/>
          <w:bCs/>
          <w:i w:val="0"/>
          <w:color w:val="000000"/>
          <w:kern w:val="0"/>
          <w:sz w:val="30"/>
          <w:szCs w:val="30"/>
        </w:rPr>
      </w:pPr>
    </w:p>
    <w:p>
      <w:pPr>
        <w:pStyle w:val="2"/>
        <w:spacing w:line="400" w:lineRule="exact"/>
        <w:jc w:val="center"/>
        <w:rPr>
          <w:rFonts w:hint="eastAsia" w:ascii="宋体" w:hAnsi="宋体" w:cs="宋体"/>
          <w:b/>
          <w:bCs/>
          <w:i w:val="0"/>
          <w:color w:val="000000"/>
          <w:kern w:val="0"/>
          <w:sz w:val="30"/>
          <w:szCs w:val="30"/>
        </w:rPr>
      </w:pPr>
    </w:p>
    <w:p>
      <w:pPr>
        <w:pStyle w:val="2"/>
        <w:spacing w:line="400" w:lineRule="exact"/>
        <w:jc w:val="center"/>
        <w:rPr>
          <w:rFonts w:hint="eastAsia" w:ascii="宋体" w:hAnsi="宋体" w:cs="宋体"/>
          <w:b/>
          <w:bCs/>
          <w:i w:val="0"/>
          <w:color w:val="000000"/>
          <w:kern w:val="0"/>
          <w:sz w:val="30"/>
          <w:szCs w:val="30"/>
        </w:rPr>
      </w:pPr>
    </w:p>
    <w:p>
      <w:pPr>
        <w:pStyle w:val="2"/>
        <w:spacing w:line="400" w:lineRule="exact"/>
        <w:jc w:val="center"/>
        <w:rPr>
          <w:rFonts w:hint="eastAsia" w:ascii="宋体" w:hAnsi="宋体" w:cs="宋体"/>
          <w:b/>
          <w:bCs/>
          <w:i w:val="0"/>
          <w:color w:val="000000"/>
          <w:kern w:val="0"/>
          <w:sz w:val="30"/>
          <w:szCs w:val="30"/>
        </w:rPr>
      </w:pPr>
    </w:p>
    <w:p>
      <w:pPr>
        <w:pStyle w:val="2"/>
        <w:spacing w:line="400" w:lineRule="exact"/>
        <w:jc w:val="center"/>
        <w:rPr>
          <w:rFonts w:hint="eastAsia" w:ascii="宋体" w:hAnsi="宋体" w:cs="宋体"/>
          <w:b/>
          <w:bCs/>
          <w:i w:val="0"/>
          <w:color w:val="000000"/>
          <w:kern w:val="0"/>
          <w:sz w:val="30"/>
          <w:szCs w:val="30"/>
        </w:rPr>
      </w:pPr>
    </w:p>
    <w:p>
      <w:pPr>
        <w:pStyle w:val="2"/>
        <w:spacing w:line="400" w:lineRule="exact"/>
        <w:jc w:val="center"/>
        <w:rPr>
          <w:rFonts w:hint="eastAsia" w:ascii="宋体" w:hAnsi="宋体" w:cs="宋体"/>
          <w:b/>
          <w:bCs/>
          <w:i w:val="0"/>
          <w:color w:val="000000"/>
          <w:kern w:val="0"/>
          <w:sz w:val="30"/>
          <w:szCs w:val="30"/>
        </w:rPr>
      </w:pPr>
    </w:p>
    <w:p>
      <w:pPr>
        <w:pStyle w:val="2"/>
        <w:spacing w:line="400" w:lineRule="exact"/>
        <w:jc w:val="center"/>
        <w:rPr>
          <w:rFonts w:hint="eastAsia" w:ascii="宋体" w:hAnsi="宋体" w:cs="宋体"/>
          <w:b/>
          <w:bCs/>
          <w:i w:val="0"/>
          <w:color w:val="000000"/>
          <w:kern w:val="0"/>
          <w:sz w:val="30"/>
          <w:szCs w:val="30"/>
        </w:rPr>
      </w:pPr>
    </w:p>
    <w:p>
      <w:pPr>
        <w:pStyle w:val="2"/>
        <w:spacing w:line="400" w:lineRule="exact"/>
        <w:jc w:val="center"/>
        <w:rPr>
          <w:rFonts w:hint="eastAsia" w:ascii="宋体" w:hAnsi="宋体" w:cs="宋体"/>
          <w:b/>
          <w:bCs/>
          <w:i w:val="0"/>
          <w:color w:val="000000"/>
          <w:kern w:val="0"/>
          <w:sz w:val="30"/>
          <w:szCs w:val="30"/>
        </w:rPr>
      </w:pPr>
    </w:p>
    <w:p>
      <w:pPr>
        <w:pStyle w:val="2"/>
        <w:spacing w:line="400" w:lineRule="exact"/>
        <w:jc w:val="center"/>
        <w:rPr>
          <w:rFonts w:hint="eastAsia" w:ascii="宋体" w:hAnsi="宋体" w:cs="宋体"/>
          <w:b/>
          <w:bCs/>
          <w:i w:val="0"/>
          <w:color w:val="000000"/>
          <w:kern w:val="0"/>
          <w:sz w:val="30"/>
          <w:szCs w:val="30"/>
        </w:rPr>
      </w:pPr>
    </w:p>
    <w:p>
      <w:pPr>
        <w:pStyle w:val="2"/>
        <w:spacing w:line="400" w:lineRule="exact"/>
        <w:jc w:val="center"/>
        <w:rPr>
          <w:rFonts w:hint="eastAsia" w:ascii="宋体" w:hAnsi="宋体" w:cs="宋体"/>
          <w:b/>
          <w:bCs/>
          <w:i w:val="0"/>
          <w:color w:val="000000"/>
          <w:kern w:val="0"/>
          <w:sz w:val="30"/>
          <w:szCs w:val="30"/>
        </w:rPr>
      </w:pPr>
      <w:r>
        <w:rPr>
          <w:rFonts w:hint="eastAsia" w:ascii="宋体" w:hAnsi="宋体" w:cs="宋体"/>
          <w:b/>
          <w:bCs/>
          <w:i w:val="0"/>
          <w:color w:val="000000"/>
          <w:kern w:val="0"/>
          <w:sz w:val="30"/>
          <w:szCs w:val="30"/>
        </w:rPr>
        <w:t>（五）网络安全</w:t>
      </w:r>
    </w:p>
    <w:tbl>
      <w:tblPr>
        <w:tblStyle w:val="47"/>
        <w:tblpPr w:leftFromText="180" w:rightFromText="180" w:vertAnchor="text" w:horzAnchor="page" w:tblpX="1246" w:tblpY="1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5400"/>
        <w:gridCol w:w="157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21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540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设备名称</w:t>
            </w:r>
          </w:p>
        </w:tc>
        <w:tc>
          <w:tcPr>
            <w:tcW w:w="157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单位</w:t>
            </w:r>
          </w:p>
        </w:tc>
        <w:tc>
          <w:tcPr>
            <w:tcW w:w="16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5.1</w:t>
            </w:r>
          </w:p>
        </w:tc>
        <w:tc>
          <w:tcPr>
            <w:tcW w:w="540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WEB应用防火墙</w:t>
            </w:r>
          </w:p>
        </w:tc>
        <w:tc>
          <w:tcPr>
            <w:tcW w:w="1575"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1620" w:type="dxa"/>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r>
    </w:tbl>
    <w:p>
      <w:pPr>
        <w:pStyle w:val="193"/>
        <w:spacing w:line="400" w:lineRule="exact"/>
        <w:rPr>
          <w:rFonts w:hint="eastAsia" w:ascii="宋体" w:hAnsi="宋体" w:eastAsia="宋体" w:cs="宋体"/>
          <w:color w:val="000000"/>
          <w:sz w:val="21"/>
          <w:szCs w:val="21"/>
        </w:rPr>
      </w:pPr>
    </w:p>
    <w:p>
      <w:pPr>
        <w:pStyle w:val="2"/>
        <w:spacing w:line="400" w:lineRule="exact"/>
        <w:rPr>
          <w:rFonts w:hint="eastAsia" w:ascii="宋体" w:hAnsi="宋体" w:cs="宋体"/>
          <w:i w:val="0"/>
          <w:iCs/>
          <w:color w:val="000000"/>
          <w:sz w:val="21"/>
          <w:szCs w:val="21"/>
        </w:rPr>
      </w:pPr>
      <w:r>
        <w:rPr>
          <w:rFonts w:hint="eastAsia" w:ascii="宋体" w:hAnsi="宋体" w:cs="宋体"/>
          <w:i w:val="0"/>
          <w:iCs/>
          <w:color w:val="000000"/>
          <w:sz w:val="21"/>
          <w:szCs w:val="21"/>
        </w:rPr>
        <w:t>详细参数：</w:t>
      </w:r>
    </w:p>
    <w:tbl>
      <w:tblPr>
        <w:tblStyle w:val="47"/>
        <w:tblW w:w="9628" w:type="dxa"/>
        <w:tblInd w:w="108" w:type="dxa"/>
        <w:tblLayout w:type="fixed"/>
        <w:tblCellMar>
          <w:top w:w="0" w:type="dxa"/>
          <w:left w:w="108" w:type="dxa"/>
          <w:bottom w:w="0" w:type="dxa"/>
          <w:right w:w="108" w:type="dxa"/>
        </w:tblCellMar>
      </w:tblPr>
      <w:tblGrid>
        <w:gridCol w:w="1293"/>
        <w:gridCol w:w="8335"/>
      </w:tblGrid>
      <w:tr>
        <w:tblPrEx>
          <w:tblCellMar>
            <w:top w:w="0" w:type="dxa"/>
            <w:left w:w="108" w:type="dxa"/>
            <w:bottom w:w="0" w:type="dxa"/>
            <w:right w:w="108" w:type="dxa"/>
          </w:tblCellMar>
        </w:tblPrEx>
        <w:trPr>
          <w:trHeight w:val="1565"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WEB应用防火墙</w:t>
            </w:r>
          </w:p>
        </w:tc>
        <w:tc>
          <w:tcPr>
            <w:tcW w:w="83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单交流电源；含10*GE电口，2*combo口，500G硬盘；网络吞吐性能2Gbps；最大并发连接数大于100万，每秒新建HTTP连接数大于3.5万。（默认combo接口不带光模块）。IPSEC VPN功能，攻击防护，访问控制功能，用户认证功能，链路负载均衡功能、流量控制功能。关键字过滤和基于超过2000万域名的URL数据库可以帮助管理员轻松设置禁止访问的网页，控制对不良网站的访问。支持大病毒文件的扫描，实时病毒连接阻断，病毒事件记录，支持常见病毒传输协议HTTP、FTP及各种邮件协议扫描。基于状态、精准的高性能攻击检测和防御，实时攻击源阻断、IP 屏蔽、攻击事件记录，支持针对多种协议和应用的攻击检测和防御，支持SQL注入和XSS防御、外链防护和Web访问控制，IPS性能（256byte）大于914Mbps。1、云端威胁情报订阅模块：提供威胁情报离线库并支持更新。2、提供攻击主机、僵尸网络、病毒木马、恶意软件、APT情报、恶意邮件等情报的活跃时间、可信度、家族分类，可应用于本产品的实时分析；3、设备支持在线查询与溯源：云端提供对IoC威胁类型、多源情报、WHOIS、开放端口、SSL证书等多维度的溯源分析；4、云端服务：支持订阅高级威胁分析情报，云端提供最新APT入侵、0day漏洞预警、病毒变种情况等分析报告订阅。</w:t>
            </w:r>
          </w:p>
        </w:tc>
      </w:tr>
    </w:tbl>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spacing w:line="400" w:lineRule="exact"/>
        <w:rPr>
          <w:rFonts w:hint="eastAsia" w:ascii="宋体" w:hAnsi="宋体" w:cs="宋体"/>
          <w:b/>
          <w:bCs/>
          <w:color w:val="000000"/>
          <w:sz w:val="21"/>
          <w:szCs w:val="21"/>
        </w:rPr>
      </w:pPr>
    </w:p>
    <w:p>
      <w:pPr>
        <w:pStyle w:val="2"/>
        <w:rPr>
          <w:rFonts w:hint="eastAsia"/>
          <w:color w:val="000000"/>
          <w:sz w:val="24"/>
          <w:szCs w:val="24"/>
        </w:rPr>
      </w:pPr>
    </w:p>
    <w:p>
      <w:pPr>
        <w:rPr>
          <w:rFonts w:hint="eastAsia"/>
          <w:color w:val="000000"/>
          <w:sz w:val="24"/>
          <w:szCs w:val="24"/>
        </w:rPr>
      </w:pPr>
    </w:p>
    <w:p>
      <w:pPr>
        <w:rPr>
          <w:rFonts w:hint="eastAsia"/>
          <w:color w:val="000000"/>
          <w:sz w:val="24"/>
          <w:szCs w:val="24"/>
        </w:rPr>
      </w:pPr>
    </w:p>
    <w:p>
      <w:pPr>
        <w:rPr>
          <w:rFonts w:hint="eastAsia"/>
          <w:color w:val="000000"/>
          <w:sz w:val="24"/>
          <w:szCs w:val="24"/>
        </w:rPr>
      </w:pPr>
    </w:p>
    <w:p>
      <w:pPr>
        <w:rPr>
          <w:rFonts w:hint="eastAsia"/>
          <w:color w:val="000000"/>
          <w:sz w:val="24"/>
          <w:szCs w:val="24"/>
        </w:rPr>
      </w:pPr>
    </w:p>
    <w:p>
      <w:pPr>
        <w:rPr>
          <w:rFonts w:hint="eastAsia"/>
          <w:color w:val="000000"/>
          <w:sz w:val="24"/>
          <w:szCs w:val="24"/>
        </w:rPr>
      </w:pPr>
    </w:p>
    <w:p>
      <w:pPr>
        <w:rPr>
          <w:rFonts w:hint="eastAsia"/>
          <w:color w:val="000000"/>
          <w:sz w:val="24"/>
          <w:szCs w:val="24"/>
        </w:rPr>
      </w:pPr>
    </w:p>
    <w:p>
      <w:pPr>
        <w:rPr>
          <w:rFonts w:hint="eastAsia"/>
          <w:color w:val="000000"/>
          <w:sz w:val="24"/>
          <w:szCs w:val="24"/>
        </w:rPr>
      </w:pPr>
    </w:p>
    <w:p>
      <w:pPr>
        <w:rPr>
          <w:rFonts w:hint="eastAsia"/>
          <w:color w:val="000000"/>
          <w:sz w:val="24"/>
          <w:szCs w:val="24"/>
        </w:rPr>
      </w:pPr>
    </w:p>
    <w:p>
      <w:pPr>
        <w:rPr>
          <w:rFonts w:hint="eastAsia"/>
          <w:color w:val="000000"/>
          <w:sz w:val="24"/>
          <w:szCs w:val="24"/>
        </w:rPr>
      </w:pPr>
    </w:p>
    <w:p>
      <w:pPr>
        <w:rPr>
          <w:rFonts w:hint="eastAsia"/>
          <w:color w:val="000000"/>
          <w:sz w:val="24"/>
          <w:szCs w:val="24"/>
        </w:rPr>
      </w:pPr>
    </w:p>
    <w:p>
      <w:pPr>
        <w:rPr>
          <w:rFonts w:hint="eastAsia"/>
          <w:color w:val="000000"/>
          <w:sz w:val="24"/>
          <w:szCs w:val="24"/>
        </w:rPr>
      </w:pPr>
    </w:p>
    <w:p>
      <w:pPr>
        <w:rPr>
          <w:rFonts w:hint="eastAsia"/>
          <w:color w:val="000000"/>
          <w:sz w:val="24"/>
          <w:szCs w:val="24"/>
        </w:rPr>
      </w:pPr>
    </w:p>
    <w:p>
      <w:pPr>
        <w:rPr>
          <w:rFonts w:hint="eastAsia"/>
          <w:color w:val="000000"/>
          <w:sz w:val="24"/>
          <w:szCs w:val="24"/>
        </w:rPr>
      </w:pPr>
    </w:p>
    <w:p>
      <w:pPr>
        <w:rPr>
          <w:rFonts w:hint="eastAsia"/>
          <w:color w:val="000000"/>
          <w:sz w:val="24"/>
          <w:szCs w:val="24"/>
        </w:rPr>
      </w:pPr>
    </w:p>
    <w:p>
      <w:pPr>
        <w:rPr>
          <w:rFonts w:hint="eastAsia"/>
          <w:color w:val="000000"/>
          <w:sz w:val="24"/>
          <w:szCs w:val="24"/>
        </w:rPr>
      </w:pPr>
    </w:p>
    <w:p>
      <w:pPr>
        <w:spacing w:line="400" w:lineRule="exact"/>
        <w:jc w:val="center"/>
        <w:outlineLvl w:val="0"/>
        <w:rPr>
          <w:rFonts w:hint="eastAsia" w:ascii="宋体" w:hAnsi="宋体" w:cs="宋体"/>
          <w:b/>
          <w:color w:val="000000"/>
          <w:sz w:val="32"/>
          <w:szCs w:val="22"/>
        </w:rPr>
      </w:pPr>
      <w:r>
        <w:rPr>
          <w:rFonts w:hint="eastAsia" w:ascii="宋体" w:hAnsi="宋体" w:cs="宋体"/>
          <w:b/>
          <w:color w:val="000000"/>
          <w:sz w:val="32"/>
          <w:szCs w:val="22"/>
        </w:rPr>
        <w:t>第六章  商务条款</w:t>
      </w:r>
      <w:bookmarkEnd w:id="115"/>
    </w:p>
    <w:p>
      <w:pPr>
        <w:spacing w:line="400" w:lineRule="exact"/>
        <w:jc w:val="center"/>
        <w:rPr>
          <w:rFonts w:hint="eastAsia" w:ascii="宋体" w:hAnsi="宋体" w:cs="宋体"/>
          <w:b/>
          <w:bCs/>
          <w:color w:val="000000"/>
          <w:sz w:val="28"/>
          <w:szCs w:val="28"/>
        </w:rPr>
      </w:pPr>
    </w:p>
    <w:p>
      <w:pPr>
        <w:spacing w:line="400" w:lineRule="exact"/>
        <w:jc w:val="center"/>
        <w:rPr>
          <w:rFonts w:hint="eastAsia" w:ascii="宋体" w:hAnsi="宋体" w:cs="宋体"/>
          <w:b/>
          <w:bCs/>
          <w:color w:val="000000"/>
          <w:sz w:val="28"/>
          <w:szCs w:val="28"/>
        </w:rPr>
      </w:pPr>
      <w:r>
        <w:rPr>
          <w:rFonts w:hint="eastAsia" w:ascii="宋体" w:hAnsi="宋体" w:cs="宋体"/>
          <w:b/>
          <w:bCs/>
          <w:color w:val="000000"/>
          <w:sz w:val="28"/>
          <w:szCs w:val="28"/>
        </w:rPr>
        <w:t>子包一商务条款</w:t>
      </w:r>
    </w:p>
    <w:tbl>
      <w:tblPr>
        <w:tblStyle w:val="47"/>
        <w:tblW w:w="0" w:type="auto"/>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932"/>
        <w:gridCol w:w="8297"/>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32" w:type="dxa"/>
            <w:tcBorders>
              <w:top w:val="double" w:color="auto" w:sz="2" w:space="0"/>
              <w:left w:val="double" w:color="auto" w:sz="2" w:space="0"/>
              <w:bottom w:val="double" w:color="auto" w:sz="2" w:space="0"/>
              <w:right w:val="single" w:color="auto" w:sz="4" w:space="0"/>
            </w:tcBorders>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rPr>
              <w:t>序号</w:t>
            </w:r>
          </w:p>
        </w:tc>
        <w:tc>
          <w:tcPr>
            <w:tcW w:w="8297" w:type="dxa"/>
            <w:tcBorders>
              <w:top w:val="double" w:color="auto" w:sz="2" w:space="0"/>
              <w:left w:val="single" w:color="auto" w:sz="4" w:space="0"/>
              <w:bottom w:val="double" w:color="auto" w:sz="2" w:space="0"/>
              <w:right w:val="double" w:color="auto" w:sz="2" w:space="0"/>
            </w:tcBorders>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rPr>
              <w:t>招标要求条款</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32" w:type="dxa"/>
            <w:tcBorders>
              <w:top w:val="double" w:color="auto" w:sz="2" w:space="0"/>
              <w:left w:val="double" w:color="auto" w:sz="2"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 w:val="28"/>
                <w:szCs w:val="28"/>
              </w:rPr>
              <w:t>▲</w:t>
            </w:r>
            <w:r>
              <w:rPr>
                <w:rFonts w:hint="eastAsia" w:ascii="宋体" w:hAnsi="宋体" w:eastAsia="宋体" w:cs="宋体"/>
                <w:color w:val="000000"/>
              </w:rPr>
              <w:t>1</w:t>
            </w:r>
          </w:p>
        </w:tc>
        <w:tc>
          <w:tcPr>
            <w:tcW w:w="8297" w:type="dxa"/>
            <w:tcBorders>
              <w:top w:val="double" w:color="auto" w:sz="2" w:space="0"/>
              <w:left w:val="single" w:color="auto" w:sz="4" w:space="0"/>
              <w:bottom w:val="single" w:color="auto" w:sz="4" w:space="0"/>
              <w:right w:val="double" w:color="auto" w:sz="2" w:space="0"/>
            </w:tcBorders>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rPr>
              <w:t>交货期：</w:t>
            </w:r>
            <w:r>
              <w:rPr>
                <w:rFonts w:hint="eastAsia" w:ascii="宋体" w:hAnsi="宋体" w:eastAsia="宋体" w:cs="宋体"/>
                <w:color w:val="000000"/>
                <w:kern w:val="0"/>
                <w:szCs w:val="21"/>
              </w:rPr>
              <w:t>在合同签订后40个日历天内完成设备供货、安装并验收合格</w:t>
            </w:r>
            <w:r>
              <w:rPr>
                <w:rFonts w:hint="eastAsia" w:ascii="宋体" w:hAnsi="宋体" w:eastAsia="宋体" w:cs="宋体"/>
                <w:color w:val="000000"/>
                <w:szCs w:val="21"/>
              </w:rPr>
              <w:t>。</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32" w:type="dxa"/>
            <w:tcBorders>
              <w:top w:val="single" w:color="auto" w:sz="4" w:space="0"/>
              <w:left w:val="double" w:color="auto" w:sz="2"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 w:val="28"/>
                <w:szCs w:val="28"/>
              </w:rPr>
              <w:t>▲</w:t>
            </w:r>
            <w:r>
              <w:rPr>
                <w:rFonts w:hint="eastAsia" w:ascii="宋体" w:hAnsi="宋体" w:eastAsia="宋体" w:cs="宋体"/>
                <w:color w:val="000000"/>
              </w:rPr>
              <w:t>2</w:t>
            </w:r>
          </w:p>
        </w:tc>
        <w:tc>
          <w:tcPr>
            <w:tcW w:w="8297" w:type="dxa"/>
            <w:tcBorders>
              <w:top w:val="single" w:color="auto" w:sz="4" w:space="0"/>
              <w:left w:val="single" w:color="auto" w:sz="4" w:space="0"/>
              <w:bottom w:val="single" w:color="auto" w:sz="4" w:space="0"/>
              <w:right w:val="double" w:color="auto" w:sz="2" w:space="0"/>
            </w:tcBorders>
            <w:noWrap w:val="0"/>
            <w:vAlign w:val="center"/>
          </w:tcPr>
          <w:p>
            <w:pPr>
              <w:spacing w:line="400" w:lineRule="exact"/>
              <w:rPr>
                <w:rFonts w:hint="eastAsia" w:ascii="宋体" w:hAnsi="宋体" w:eastAsia="宋体" w:cs="宋体"/>
                <w:color w:val="000000"/>
                <w:szCs w:val="22"/>
              </w:rPr>
            </w:pPr>
            <w:r>
              <w:rPr>
                <w:rFonts w:hint="eastAsia" w:ascii="宋体" w:hAnsi="宋体" w:eastAsia="宋体" w:cs="宋体"/>
                <w:color w:val="000000"/>
              </w:rPr>
              <w:t>付款方式:</w:t>
            </w:r>
            <w:r>
              <w:rPr>
                <w:rFonts w:hint="eastAsia" w:ascii="宋体" w:hAnsi="宋体" w:eastAsia="宋体" w:cs="宋体"/>
                <w:color w:val="000000"/>
                <w:szCs w:val="22"/>
              </w:rPr>
              <w:t>1.在合同生效以及具备实施条件后15日内支付合同总价的30%作为预付款；</w:t>
            </w:r>
          </w:p>
          <w:p>
            <w:pPr>
              <w:spacing w:line="400" w:lineRule="exact"/>
              <w:rPr>
                <w:rFonts w:hint="eastAsia" w:ascii="宋体" w:hAnsi="宋体" w:eastAsia="宋体" w:cs="宋体"/>
                <w:color w:val="000000"/>
                <w:szCs w:val="21"/>
                <w:lang w:val="zh-CN"/>
              </w:rPr>
            </w:pPr>
            <w:r>
              <w:rPr>
                <w:rFonts w:hint="eastAsia" w:ascii="宋体" w:hAnsi="宋体" w:eastAsia="宋体" w:cs="宋体"/>
                <w:color w:val="000000"/>
                <w:szCs w:val="22"/>
              </w:rPr>
              <w:t>2.</w:t>
            </w:r>
            <w:r>
              <w:rPr>
                <w:rFonts w:hint="eastAsia" w:ascii="宋体" w:hAnsi="宋体" w:cs="宋体"/>
                <w:color w:val="000000"/>
                <w:szCs w:val="21"/>
              </w:rPr>
              <w:t>安装并验收合格后15日内，乙方提交合同总价100%金额的发票（</w:t>
            </w:r>
            <w:r>
              <w:rPr>
                <w:rFonts w:hint="eastAsia" w:ascii="宋体" w:hAnsi="宋体" w:cs="宋体"/>
                <w:color w:val="000000"/>
                <w:szCs w:val="21"/>
                <w:lang w:bidi="ar"/>
              </w:rPr>
              <w:t>以甲方要求为准</w:t>
            </w:r>
            <w:r>
              <w:rPr>
                <w:rFonts w:hint="eastAsia" w:ascii="宋体" w:hAnsi="宋体" w:cs="宋体"/>
                <w:color w:val="000000"/>
                <w:szCs w:val="21"/>
              </w:rPr>
              <w:t>），甲方支付合同总价的100%</w:t>
            </w:r>
            <w:r>
              <w:rPr>
                <w:rFonts w:hint="eastAsia" w:ascii="宋体" w:hAnsi="宋体" w:eastAsia="宋体" w:cs="宋体"/>
                <w:color w:val="000000"/>
                <w:szCs w:val="22"/>
              </w:rPr>
              <w:t>。</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932" w:type="dxa"/>
            <w:tcBorders>
              <w:top w:val="single" w:color="auto" w:sz="4" w:space="0"/>
              <w:left w:val="double" w:color="auto" w:sz="2"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 w:val="28"/>
                <w:szCs w:val="28"/>
              </w:rPr>
              <w:t>▲</w:t>
            </w:r>
            <w:r>
              <w:rPr>
                <w:rFonts w:hint="eastAsia" w:ascii="宋体" w:hAnsi="宋体" w:eastAsia="宋体" w:cs="宋体"/>
                <w:color w:val="000000"/>
              </w:rPr>
              <w:t>3</w:t>
            </w:r>
          </w:p>
        </w:tc>
        <w:tc>
          <w:tcPr>
            <w:tcW w:w="8297" w:type="dxa"/>
            <w:tcBorders>
              <w:top w:val="single" w:color="auto" w:sz="4" w:space="0"/>
              <w:left w:val="single" w:color="auto" w:sz="4" w:space="0"/>
              <w:bottom w:val="single" w:color="auto" w:sz="4" w:space="0"/>
              <w:right w:val="double" w:color="auto" w:sz="2" w:space="0"/>
            </w:tcBorders>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rPr>
              <w:t>质量保证期：</w:t>
            </w:r>
            <w:r>
              <w:rPr>
                <w:rFonts w:hint="eastAsia" w:ascii="宋体" w:hAnsi="宋体" w:cs="宋体"/>
                <w:color w:val="000000"/>
                <w:szCs w:val="21"/>
                <w:u w:val="single"/>
              </w:rPr>
              <w:t xml:space="preserve"> 二年</w:t>
            </w:r>
            <w:r>
              <w:rPr>
                <w:rFonts w:hint="eastAsia" w:ascii="宋体" w:hAnsi="宋体" w:cs="宋体"/>
                <w:color w:val="000000"/>
                <w:szCs w:val="21"/>
              </w:rPr>
              <w:t>。（自交货验收合格之日起计）</w:t>
            </w:r>
            <w:r>
              <w:rPr>
                <w:rFonts w:hint="eastAsia" w:ascii="宋体" w:hAnsi="宋体" w:eastAsia="宋体" w:cs="宋体"/>
                <w:color w:val="000000"/>
              </w:rPr>
              <w:t>。</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32" w:type="dxa"/>
            <w:tcBorders>
              <w:top w:val="single" w:color="auto" w:sz="4" w:space="0"/>
              <w:left w:val="double" w:color="auto" w:sz="2" w:space="0"/>
              <w:bottom w:val="double" w:color="auto" w:sz="2" w:space="0"/>
              <w:right w:val="single" w:color="auto" w:sz="4" w:space="0"/>
            </w:tcBorders>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rPr>
              <w:t>4</w:t>
            </w:r>
          </w:p>
        </w:tc>
        <w:tc>
          <w:tcPr>
            <w:tcW w:w="8297" w:type="dxa"/>
            <w:tcBorders>
              <w:top w:val="single" w:color="auto" w:sz="4" w:space="0"/>
              <w:left w:val="single" w:color="auto" w:sz="4" w:space="0"/>
              <w:bottom w:val="double" w:color="auto" w:sz="2" w:space="0"/>
              <w:right w:val="double" w:color="auto" w:sz="2" w:space="0"/>
            </w:tcBorders>
            <w:noWrap w:val="0"/>
            <w:vAlign w:val="center"/>
          </w:tcPr>
          <w:p>
            <w:pPr>
              <w:autoSpaceDE w:val="0"/>
              <w:autoSpaceDN w:val="0"/>
              <w:adjustRightInd w:val="0"/>
              <w:spacing w:line="400" w:lineRule="exact"/>
              <w:rPr>
                <w:rFonts w:hint="eastAsia" w:ascii="宋体" w:hAnsi="宋体" w:eastAsia="宋体" w:cs="宋体"/>
                <w:color w:val="000000"/>
                <w:szCs w:val="21"/>
              </w:rPr>
            </w:pPr>
            <w:r>
              <w:rPr>
                <w:rFonts w:hint="eastAsia" w:ascii="宋体" w:hAnsi="宋体" w:eastAsia="宋体" w:cs="宋体"/>
                <w:color w:val="000000"/>
              </w:rPr>
              <w:t>中标人应在中标通知书发出后30天内与招标人签定政府采购合同，最迟不得过超过投标有效期。</w:t>
            </w:r>
          </w:p>
        </w:tc>
      </w:tr>
    </w:tbl>
    <w:p>
      <w:pPr>
        <w:spacing w:line="400" w:lineRule="exact"/>
        <w:jc w:val="center"/>
        <w:rPr>
          <w:rFonts w:hint="eastAsia" w:ascii="宋体" w:hAnsi="宋体" w:cs="宋体"/>
          <w:b/>
          <w:color w:val="000000"/>
          <w:sz w:val="32"/>
        </w:rPr>
      </w:pPr>
    </w:p>
    <w:p>
      <w:pPr>
        <w:spacing w:line="400" w:lineRule="exact"/>
        <w:jc w:val="center"/>
        <w:rPr>
          <w:rFonts w:hint="eastAsia" w:ascii="宋体" w:hAnsi="宋体" w:cs="宋体"/>
          <w:b/>
          <w:color w:val="000000"/>
          <w:sz w:val="32"/>
        </w:rPr>
      </w:pPr>
      <w:r>
        <w:rPr>
          <w:rFonts w:hint="eastAsia" w:ascii="宋体" w:hAnsi="宋体" w:cs="宋体"/>
          <w:b/>
          <w:bCs/>
          <w:color w:val="000000"/>
          <w:sz w:val="28"/>
          <w:szCs w:val="28"/>
        </w:rPr>
        <w:t>子包二商务条款</w:t>
      </w:r>
    </w:p>
    <w:tbl>
      <w:tblPr>
        <w:tblStyle w:val="47"/>
        <w:tblW w:w="0" w:type="auto"/>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932"/>
        <w:gridCol w:w="8297"/>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32" w:type="dxa"/>
            <w:tcBorders>
              <w:top w:val="double" w:color="auto" w:sz="2" w:space="0"/>
              <w:left w:val="double" w:color="auto" w:sz="2" w:space="0"/>
              <w:bottom w:val="double" w:color="auto" w:sz="2" w:space="0"/>
              <w:right w:val="single" w:color="auto" w:sz="4" w:space="0"/>
            </w:tcBorders>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rPr>
              <w:t>序号</w:t>
            </w:r>
          </w:p>
        </w:tc>
        <w:tc>
          <w:tcPr>
            <w:tcW w:w="8297" w:type="dxa"/>
            <w:tcBorders>
              <w:top w:val="double" w:color="auto" w:sz="2" w:space="0"/>
              <w:left w:val="single" w:color="auto" w:sz="4" w:space="0"/>
              <w:bottom w:val="double" w:color="auto" w:sz="2" w:space="0"/>
              <w:right w:val="double" w:color="auto" w:sz="2" w:space="0"/>
            </w:tcBorders>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rPr>
              <w:t>招标要求条款</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32" w:type="dxa"/>
            <w:tcBorders>
              <w:top w:val="double" w:color="auto" w:sz="2" w:space="0"/>
              <w:left w:val="double" w:color="auto" w:sz="2"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 w:val="28"/>
                <w:szCs w:val="28"/>
              </w:rPr>
              <w:t>▲</w:t>
            </w:r>
            <w:r>
              <w:rPr>
                <w:rFonts w:hint="eastAsia" w:ascii="宋体" w:hAnsi="宋体" w:eastAsia="宋体" w:cs="宋体"/>
                <w:color w:val="000000"/>
              </w:rPr>
              <w:t>1</w:t>
            </w:r>
          </w:p>
        </w:tc>
        <w:tc>
          <w:tcPr>
            <w:tcW w:w="8297" w:type="dxa"/>
            <w:tcBorders>
              <w:top w:val="double" w:color="auto" w:sz="2" w:space="0"/>
              <w:left w:val="single" w:color="auto" w:sz="4" w:space="0"/>
              <w:bottom w:val="single" w:color="auto" w:sz="4" w:space="0"/>
              <w:right w:val="double" w:color="auto" w:sz="2" w:space="0"/>
            </w:tcBorders>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rPr>
              <w:t>交货期：</w:t>
            </w:r>
            <w:r>
              <w:rPr>
                <w:rFonts w:hint="eastAsia" w:ascii="宋体" w:hAnsi="宋体" w:eastAsia="宋体" w:cs="宋体"/>
                <w:color w:val="000000"/>
                <w:kern w:val="0"/>
                <w:szCs w:val="21"/>
              </w:rPr>
              <w:t>在合同签订后40个日历天内完成设备供货、安装并验收合格</w:t>
            </w:r>
            <w:r>
              <w:rPr>
                <w:rFonts w:hint="eastAsia" w:ascii="宋体" w:hAnsi="宋体" w:eastAsia="宋体" w:cs="宋体"/>
                <w:color w:val="000000"/>
                <w:szCs w:val="21"/>
              </w:rPr>
              <w:t>。</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32" w:type="dxa"/>
            <w:tcBorders>
              <w:top w:val="single" w:color="auto" w:sz="4" w:space="0"/>
              <w:left w:val="double" w:color="auto" w:sz="2"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 w:val="28"/>
                <w:szCs w:val="28"/>
              </w:rPr>
              <w:t>▲</w:t>
            </w:r>
            <w:r>
              <w:rPr>
                <w:rFonts w:hint="eastAsia" w:ascii="宋体" w:hAnsi="宋体" w:eastAsia="宋体" w:cs="宋体"/>
                <w:color w:val="000000"/>
              </w:rPr>
              <w:t>2</w:t>
            </w:r>
          </w:p>
        </w:tc>
        <w:tc>
          <w:tcPr>
            <w:tcW w:w="8297" w:type="dxa"/>
            <w:tcBorders>
              <w:top w:val="single" w:color="auto" w:sz="4" w:space="0"/>
              <w:left w:val="single" w:color="auto" w:sz="4" w:space="0"/>
              <w:bottom w:val="single" w:color="auto" w:sz="4" w:space="0"/>
              <w:right w:val="double" w:color="auto" w:sz="2" w:space="0"/>
            </w:tcBorders>
            <w:noWrap w:val="0"/>
            <w:vAlign w:val="center"/>
          </w:tcPr>
          <w:p>
            <w:pPr>
              <w:spacing w:line="400" w:lineRule="exact"/>
              <w:rPr>
                <w:rFonts w:hint="eastAsia" w:ascii="宋体" w:hAnsi="宋体" w:eastAsia="宋体" w:cs="宋体"/>
                <w:color w:val="000000"/>
                <w:szCs w:val="22"/>
              </w:rPr>
            </w:pPr>
            <w:r>
              <w:rPr>
                <w:rFonts w:hint="eastAsia" w:ascii="宋体" w:hAnsi="宋体" w:eastAsia="宋体" w:cs="宋体"/>
                <w:color w:val="000000"/>
              </w:rPr>
              <w:t>付款方式:</w:t>
            </w:r>
            <w:r>
              <w:rPr>
                <w:rFonts w:hint="eastAsia" w:ascii="宋体" w:hAnsi="宋体" w:eastAsia="宋体" w:cs="宋体"/>
                <w:color w:val="000000"/>
                <w:szCs w:val="22"/>
              </w:rPr>
              <w:t>1.在合同生效以及具备实施条件后15日内支付合同总价的30%作为预付款；</w:t>
            </w:r>
          </w:p>
          <w:p>
            <w:pPr>
              <w:spacing w:line="400" w:lineRule="exact"/>
              <w:rPr>
                <w:rFonts w:hint="eastAsia" w:ascii="宋体" w:hAnsi="宋体" w:eastAsia="宋体" w:cs="宋体"/>
                <w:color w:val="000000"/>
                <w:szCs w:val="21"/>
                <w:lang w:val="zh-CN"/>
              </w:rPr>
            </w:pPr>
            <w:r>
              <w:rPr>
                <w:rFonts w:hint="eastAsia" w:ascii="宋体" w:hAnsi="宋体" w:eastAsia="宋体" w:cs="宋体"/>
                <w:color w:val="000000"/>
                <w:szCs w:val="22"/>
              </w:rPr>
              <w:t>2.</w:t>
            </w:r>
            <w:r>
              <w:rPr>
                <w:rFonts w:hint="eastAsia" w:ascii="宋体" w:hAnsi="宋体" w:cs="宋体"/>
                <w:color w:val="000000"/>
                <w:szCs w:val="21"/>
              </w:rPr>
              <w:t>安装并验收合格后15日内，乙方提交合同总价100%金额的发票（</w:t>
            </w:r>
            <w:r>
              <w:rPr>
                <w:rFonts w:hint="eastAsia" w:ascii="宋体" w:hAnsi="宋体" w:cs="宋体"/>
                <w:color w:val="000000"/>
                <w:szCs w:val="21"/>
                <w:lang w:bidi="ar"/>
              </w:rPr>
              <w:t>以甲方要求为准</w:t>
            </w:r>
            <w:r>
              <w:rPr>
                <w:rFonts w:hint="eastAsia" w:ascii="宋体" w:hAnsi="宋体" w:cs="宋体"/>
                <w:color w:val="000000"/>
                <w:szCs w:val="21"/>
              </w:rPr>
              <w:t>），甲方支付合同总价的100%</w:t>
            </w:r>
            <w:r>
              <w:rPr>
                <w:rFonts w:hint="eastAsia" w:ascii="宋体" w:hAnsi="宋体" w:eastAsia="宋体" w:cs="宋体"/>
                <w:color w:val="000000"/>
                <w:szCs w:val="22"/>
              </w:rPr>
              <w:t>。</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932" w:type="dxa"/>
            <w:tcBorders>
              <w:top w:val="single" w:color="auto" w:sz="4" w:space="0"/>
              <w:left w:val="double" w:color="auto" w:sz="2"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 w:val="28"/>
                <w:szCs w:val="28"/>
              </w:rPr>
              <w:t>▲</w:t>
            </w:r>
            <w:r>
              <w:rPr>
                <w:rFonts w:hint="eastAsia" w:ascii="宋体" w:hAnsi="宋体" w:eastAsia="宋体" w:cs="宋体"/>
                <w:color w:val="000000"/>
              </w:rPr>
              <w:t>3</w:t>
            </w:r>
          </w:p>
        </w:tc>
        <w:tc>
          <w:tcPr>
            <w:tcW w:w="8297" w:type="dxa"/>
            <w:tcBorders>
              <w:top w:val="single" w:color="auto" w:sz="4" w:space="0"/>
              <w:left w:val="single" w:color="auto" w:sz="4" w:space="0"/>
              <w:bottom w:val="single" w:color="auto" w:sz="4" w:space="0"/>
              <w:right w:val="double" w:color="auto" w:sz="2" w:space="0"/>
            </w:tcBorders>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rPr>
              <w:t>质量保证期：</w:t>
            </w:r>
            <w:r>
              <w:rPr>
                <w:rFonts w:hint="eastAsia" w:ascii="宋体" w:hAnsi="宋体" w:cs="宋体"/>
                <w:color w:val="000000"/>
                <w:szCs w:val="21"/>
                <w:u w:val="single"/>
              </w:rPr>
              <w:t xml:space="preserve"> 二年</w:t>
            </w:r>
            <w:r>
              <w:rPr>
                <w:rFonts w:hint="eastAsia" w:ascii="宋体" w:hAnsi="宋体" w:cs="宋体"/>
                <w:color w:val="000000"/>
                <w:szCs w:val="21"/>
              </w:rPr>
              <w:t>。（自交货验收合格之日起计）</w:t>
            </w:r>
            <w:r>
              <w:rPr>
                <w:rFonts w:hint="eastAsia" w:ascii="宋体" w:hAnsi="宋体" w:eastAsia="宋体" w:cs="宋体"/>
                <w:color w:val="000000"/>
              </w:rPr>
              <w:t>。</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32" w:type="dxa"/>
            <w:tcBorders>
              <w:top w:val="single" w:color="auto" w:sz="4" w:space="0"/>
              <w:left w:val="double" w:color="auto" w:sz="2" w:space="0"/>
              <w:bottom w:val="double" w:color="auto" w:sz="2" w:space="0"/>
              <w:right w:val="single" w:color="auto" w:sz="4" w:space="0"/>
            </w:tcBorders>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rPr>
              <w:t>4</w:t>
            </w:r>
          </w:p>
        </w:tc>
        <w:tc>
          <w:tcPr>
            <w:tcW w:w="8297" w:type="dxa"/>
            <w:tcBorders>
              <w:top w:val="single" w:color="auto" w:sz="4" w:space="0"/>
              <w:left w:val="single" w:color="auto" w:sz="4" w:space="0"/>
              <w:bottom w:val="double" w:color="auto" w:sz="2" w:space="0"/>
              <w:right w:val="double" w:color="auto" w:sz="2" w:space="0"/>
            </w:tcBorders>
            <w:noWrap w:val="0"/>
            <w:vAlign w:val="center"/>
          </w:tcPr>
          <w:p>
            <w:pPr>
              <w:autoSpaceDE w:val="0"/>
              <w:autoSpaceDN w:val="0"/>
              <w:adjustRightInd w:val="0"/>
              <w:spacing w:line="400" w:lineRule="exact"/>
              <w:rPr>
                <w:rFonts w:hint="eastAsia" w:ascii="宋体" w:hAnsi="宋体" w:eastAsia="宋体" w:cs="宋体"/>
                <w:color w:val="000000"/>
                <w:szCs w:val="21"/>
              </w:rPr>
            </w:pPr>
            <w:r>
              <w:rPr>
                <w:rFonts w:hint="eastAsia" w:ascii="宋体" w:hAnsi="宋体" w:eastAsia="宋体" w:cs="宋体"/>
                <w:color w:val="000000"/>
              </w:rPr>
              <w:t>中标人应在中标通知书发出后30天内与招标人签定政府采购合同，最迟不得过超过投标有效期。</w:t>
            </w:r>
          </w:p>
        </w:tc>
      </w:tr>
    </w:tbl>
    <w:p>
      <w:pPr>
        <w:pStyle w:val="2"/>
        <w:rPr>
          <w:rFonts w:hint="eastAsia" w:ascii="宋体" w:hAnsi="宋体" w:cs="宋体"/>
          <w:b/>
          <w:color w:val="000000"/>
          <w:sz w:val="32"/>
        </w:rPr>
        <w:sectPr>
          <w:headerReference r:id="rId14" w:type="default"/>
          <w:pgSz w:w="11907" w:h="16840"/>
          <w:pgMar w:top="1418" w:right="1134" w:bottom="1418" w:left="1134" w:header="285" w:footer="418" w:gutter="0"/>
          <w:pgBorders w:offsetFrom="page">
            <w:top w:val="none" w:sz="0" w:space="0"/>
            <w:left w:val="none" w:sz="0" w:space="0"/>
            <w:bottom w:val="none" w:sz="0" w:space="0"/>
            <w:right w:val="none" w:sz="0" w:space="0"/>
          </w:pgBorders>
          <w:cols w:space="720" w:num="1"/>
          <w:docGrid w:linePitch="285" w:charSpace="0"/>
        </w:sectPr>
      </w:pPr>
    </w:p>
    <w:bookmarkEnd w:id="112"/>
    <w:p>
      <w:pPr>
        <w:spacing w:line="400" w:lineRule="exact"/>
        <w:jc w:val="center"/>
        <w:outlineLvl w:val="0"/>
        <w:rPr>
          <w:rFonts w:hint="eastAsia" w:ascii="宋体" w:hAnsi="宋体" w:cs="宋体"/>
          <w:b/>
          <w:color w:val="000000"/>
          <w:sz w:val="32"/>
        </w:rPr>
      </w:pPr>
      <w:bookmarkStart w:id="116" w:name="_Toc762"/>
      <w:r>
        <w:rPr>
          <w:rFonts w:hint="eastAsia" w:ascii="宋体" w:hAnsi="宋体" w:cs="宋体"/>
          <w:b/>
          <w:color w:val="000000"/>
          <w:sz w:val="32"/>
        </w:rPr>
        <w:t>第七章  附件</w:t>
      </w:r>
      <w:bookmarkEnd w:id="116"/>
    </w:p>
    <w:p>
      <w:pPr>
        <w:spacing w:line="360" w:lineRule="auto"/>
        <w:rPr>
          <w:rStyle w:val="110"/>
          <w:rFonts w:hint="eastAsia" w:ascii="宋体" w:hAnsi="宋体" w:cs="宋体"/>
          <w:color w:val="000000"/>
          <w:sz w:val="21"/>
          <w:szCs w:val="21"/>
        </w:rPr>
      </w:pPr>
    </w:p>
    <w:p>
      <w:pPr>
        <w:spacing w:line="400" w:lineRule="exact"/>
        <w:rPr>
          <w:rStyle w:val="110"/>
          <w:rFonts w:hint="eastAsia" w:ascii="宋体" w:hAnsi="宋体" w:cs="宋体"/>
          <w:b w:val="0"/>
          <w:color w:val="000000"/>
          <w:spacing w:val="0"/>
          <w:sz w:val="21"/>
          <w:szCs w:val="21"/>
        </w:rPr>
      </w:pPr>
      <w:r>
        <w:rPr>
          <w:rStyle w:val="110"/>
          <w:rFonts w:hint="eastAsia" w:ascii="宋体" w:hAnsi="宋体" w:cs="宋体"/>
          <w:color w:val="000000"/>
          <w:sz w:val="21"/>
          <w:szCs w:val="21"/>
        </w:rPr>
        <w:t>封面</w:t>
      </w:r>
    </w:p>
    <w:p>
      <w:pPr>
        <w:spacing w:line="360" w:lineRule="auto"/>
        <w:ind w:firstLine="1189" w:firstLineChars="400"/>
        <w:rPr>
          <w:rFonts w:hint="eastAsia" w:ascii="宋体" w:hAnsi="宋体" w:cs="宋体"/>
          <w:b/>
          <w:color w:val="000000"/>
          <w:sz w:val="32"/>
          <w:szCs w:val="32"/>
        </w:rPr>
      </w:pPr>
      <w:r>
        <w:rPr>
          <w:rStyle w:val="110"/>
          <w:rFonts w:hint="eastAsia" w:ascii="宋体" w:hAnsi="宋体" w:cs="宋体"/>
          <w:color w:val="000000"/>
          <w:sz w:val="30"/>
          <w:szCs w:val="30"/>
        </w:rPr>
        <w:t xml:space="preserve">   </w:t>
      </w:r>
      <w:r>
        <w:rPr>
          <w:rFonts w:hint="eastAsia" w:ascii="宋体" w:hAnsi="宋体" w:cs="宋体"/>
          <w:color w:val="000000"/>
          <w:sz w:val="28"/>
        </w:rPr>
        <w:t xml:space="preserve">                                         </w:t>
      </w:r>
      <w:r>
        <w:rPr>
          <w:rFonts w:hint="eastAsia" w:ascii="宋体" w:hAnsi="宋体" w:cs="宋体"/>
          <w:b/>
          <w:color w:val="000000"/>
          <w:sz w:val="32"/>
          <w:szCs w:val="32"/>
        </w:rPr>
        <w:t>正（副）本</w:t>
      </w:r>
    </w:p>
    <w:p>
      <w:pPr>
        <w:spacing w:line="360" w:lineRule="auto"/>
        <w:rPr>
          <w:rFonts w:hint="eastAsia" w:ascii="宋体" w:hAnsi="宋体" w:cs="宋体"/>
          <w:color w:val="000000"/>
          <w:sz w:val="28"/>
          <w:szCs w:val="28"/>
        </w:rPr>
      </w:pPr>
    </w:p>
    <w:p>
      <w:pPr>
        <w:spacing w:line="360" w:lineRule="auto"/>
        <w:jc w:val="center"/>
        <w:rPr>
          <w:rFonts w:hint="eastAsia" w:ascii="宋体" w:hAnsi="宋体" w:cs="宋体"/>
          <w:b/>
          <w:color w:val="000000"/>
          <w:sz w:val="46"/>
          <w:szCs w:val="52"/>
        </w:rPr>
      </w:pPr>
      <w:r>
        <w:rPr>
          <w:rFonts w:hint="eastAsia" w:ascii="宋体" w:hAnsi="宋体" w:cs="宋体"/>
          <w:b/>
          <w:color w:val="000000"/>
          <w:sz w:val="46"/>
          <w:szCs w:val="52"/>
        </w:rPr>
        <w:t>宁波杭州湾新区智能终端产业园区配套小学、幼儿园智慧校园采购项目</w:t>
      </w:r>
    </w:p>
    <w:p>
      <w:pPr>
        <w:spacing w:line="360" w:lineRule="auto"/>
        <w:ind w:firstLine="1800" w:firstLineChars="500"/>
        <w:jc w:val="left"/>
        <w:rPr>
          <w:rFonts w:hint="eastAsia" w:ascii="宋体" w:hAnsi="宋体" w:cs="宋体"/>
          <w:color w:val="000000"/>
          <w:sz w:val="36"/>
          <w:szCs w:val="36"/>
          <w:u w:val="single"/>
        </w:rPr>
      </w:pPr>
      <w:r>
        <w:rPr>
          <w:rFonts w:hint="eastAsia" w:ascii="宋体" w:hAnsi="宋体" w:cs="宋体"/>
          <w:color w:val="000000"/>
          <w:sz w:val="36"/>
          <w:szCs w:val="36"/>
        </w:rPr>
        <w:t>采购编号：</w:t>
      </w:r>
      <w:r>
        <w:rPr>
          <w:rFonts w:hint="eastAsia" w:ascii="宋体" w:hAnsi="宋体" w:cs="宋体"/>
          <w:color w:val="000000"/>
          <w:sz w:val="36"/>
          <w:szCs w:val="36"/>
          <w:u w:val="single"/>
        </w:rPr>
        <w:t xml:space="preserve"> </w:t>
      </w:r>
    </w:p>
    <w:p>
      <w:pPr>
        <w:spacing w:line="360" w:lineRule="auto"/>
        <w:ind w:firstLine="1800" w:firstLineChars="500"/>
        <w:jc w:val="left"/>
        <w:rPr>
          <w:rFonts w:hint="eastAsia" w:ascii="宋体" w:hAnsi="宋体" w:cs="宋体"/>
          <w:color w:val="000000"/>
          <w:sz w:val="36"/>
          <w:szCs w:val="36"/>
        </w:rPr>
      </w:pPr>
      <w:r>
        <w:rPr>
          <w:rFonts w:hint="eastAsia" w:ascii="宋体" w:hAnsi="宋体" w:cs="宋体"/>
          <w:color w:val="000000"/>
          <w:sz w:val="36"/>
          <w:szCs w:val="36"/>
        </w:rPr>
        <w:t xml:space="preserve">子    包： </w:t>
      </w:r>
    </w:p>
    <w:p>
      <w:pPr>
        <w:spacing w:line="360" w:lineRule="auto"/>
        <w:jc w:val="center"/>
        <w:rPr>
          <w:rFonts w:hint="eastAsia" w:ascii="宋体" w:hAnsi="宋体" w:cs="宋体"/>
          <w:color w:val="000000"/>
          <w:sz w:val="28"/>
          <w:szCs w:val="28"/>
        </w:rPr>
      </w:pPr>
      <w:r>
        <w:rPr>
          <w:rFonts w:ascii="宋体" w:hAnsi="宋体" w:cs="宋体"/>
          <w:color w:val="000000"/>
          <w:sz w:val="36"/>
          <w:szCs w:val="36"/>
        </w:rPr>
        <w:t>（</w:t>
      </w:r>
      <w:r>
        <w:rPr>
          <w:rFonts w:hint="eastAsia" w:ascii="宋体" w:hAnsi="宋体" w:cs="宋体"/>
          <w:color w:val="000000"/>
          <w:sz w:val="36"/>
          <w:szCs w:val="36"/>
        </w:rPr>
        <w:t>商务技术文件</w:t>
      </w:r>
      <w:r>
        <w:rPr>
          <w:rFonts w:ascii="宋体" w:hAnsi="宋体" w:cs="宋体"/>
          <w:color w:val="000000"/>
          <w:sz w:val="36"/>
          <w:szCs w:val="36"/>
        </w:rPr>
        <w:t>或报价文件）</w:t>
      </w:r>
      <w:r>
        <w:rPr>
          <w:rFonts w:hint="eastAsia" w:ascii="宋体" w:hAnsi="宋体" w:cs="宋体"/>
          <w:color w:val="000000"/>
          <w:sz w:val="36"/>
          <w:szCs w:val="36"/>
          <w:u w:val="single"/>
        </w:rPr>
        <w:t xml:space="preserve">        </w:t>
      </w:r>
    </w:p>
    <w:p>
      <w:pPr>
        <w:jc w:val="center"/>
        <w:rPr>
          <w:rFonts w:hint="eastAsia" w:ascii="宋体" w:hAnsi="宋体" w:cs="宋体"/>
          <w:color w:val="000000"/>
          <w:sz w:val="28"/>
          <w:szCs w:val="28"/>
        </w:rPr>
      </w:pPr>
    </w:p>
    <w:p>
      <w:pPr>
        <w:jc w:val="center"/>
        <w:rPr>
          <w:rFonts w:hint="eastAsia" w:ascii="宋体" w:hAnsi="宋体" w:cs="宋体"/>
          <w:b/>
          <w:color w:val="000000"/>
          <w:sz w:val="72"/>
          <w:szCs w:val="72"/>
        </w:rPr>
      </w:pPr>
      <w:r>
        <w:rPr>
          <w:rFonts w:hint="eastAsia" w:ascii="宋体" w:hAnsi="宋体" w:cs="宋体"/>
          <w:b/>
          <w:color w:val="000000"/>
          <w:sz w:val="72"/>
          <w:szCs w:val="72"/>
        </w:rPr>
        <w:t>投</w:t>
      </w:r>
    </w:p>
    <w:p>
      <w:pPr>
        <w:jc w:val="center"/>
        <w:rPr>
          <w:rFonts w:hint="eastAsia" w:ascii="宋体" w:hAnsi="宋体" w:cs="宋体"/>
          <w:b/>
          <w:color w:val="000000"/>
          <w:sz w:val="72"/>
          <w:szCs w:val="72"/>
        </w:rPr>
      </w:pPr>
      <w:r>
        <w:rPr>
          <w:rFonts w:hint="eastAsia" w:ascii="宋体" w:hAnsi="宋体" w:cs="宋体"/>
          <w:b/>
          <w:color w:val="000000"/>
          <w:sz w:val="72"/>
          <w:szCs w:val="72"/>
        </w:rPr>
        <w:t>标</w:t>
      </w:r>
    </w:p>
    <w:p>
      <w:pPr>
        <w:jc w:val="center"/>
        <w:rPr>
          <w:rFonts w:hint="eastAsia" w:ascii="宋体" w:hAnsi="宋体" w:cs="宋体"/>
          <w:b/>
          <w:color w:val="000000"/>
          <w:sz w:val="72"/>
          <w:szCs w:val="72"/>
        </w:rPr>
      </w:pPr>
      <w:r>
        <w:rPr>
          <w:rFonts w:hint="eastAsia" w:ascii="宋体" w:hAnsi="宋体" w:cs="宋体"/>
          <w:b/>
          <w:color w:val="000000"/>
          <w:sz w:val="72"/>
          <w:szCs w:val="72"/>
        </w:rPr>
        <w:t>文</w:t>
      </w:r>
    </w:p>
    <w:p>
      <w:pPr>
        <w:jc w:val="center"/>
        <w:rPr>
          <w:rFonts w:hint="eastAsia" w:ascii="宋体" w:hAnsi="宋体" w:cs="宋体"/>
          <w:b/>
          <w:color w:val="000000"/>
          <w:sz w:val="72"/>
          <w:szCs w:val="72"/>
        </w:rPr>
      </w:pPr>
      <w:r>
        <w:rPr>
          <w:rFonts w:hint="eastAsia" w:ascii="宋体" w:hAnsi="宋体" w:cs="宋体"/>
          <w:b/>
          <w:color w:val="000000"/>
          <w:sz w:val="72"/>
          <w:szCs w:val="72"/>
        </w:rPr>
        <w:t>件</w:t>
      </w:r>
    </w:p>
    <w:p>
      <w:pPr>
        <w:pStyle w:val="2"/>
        <w:rPr>
          <w:rFonts w:hint="eastAsia" w:ascii="宋体" w:hAnsi="宋体" w:cs="宋体"/>
          <w:b/>
          <w:color w:val="000000"/>
          <w:sz w:val="72"/>
          <w:szCs w:val="72"/>
        </w:rPr>
      </w:pPr>
    </w:p>
    <w:p>
      <w:pPr>
        <w:pStyle w:val="2"/>
        <w:rPr>
          <w:rFonts w:hint="eastAsia" w:ascii="宋体" w:hAnsi="宋体" w:cs="宋体"/>
          <w:b/>
          <w:color w:val="000000"/>
          <w:sz w:val="72"/>
          <w:szCs w:val="72"/>
        </w:rPr>
      </w:pPr>
    </w:p>
    <w:p>
      <w:pPr>
        <w:spacing w:line="360" w:lineRule="auto"/>
        <w:jc w:val="center"/>
        <w:rPr>
          <w:rFonts w:hint="eastAsia" w:ascii="宋体" w:hAnsi="宋体" w:cs="宋体"/>
          <w:color w:val="000000"/>
          <w:sz w:val="36"/>
          <w:szCs w:val="36"/>
          <w:u w:val="single"/>
        </w:rPr>
      </w:pPr>
      <w:r>
        <w:rPr>
          <w:rFonts w:hint="eastAsia" w:ascii="宋体" w:hAnsi="宋体" w:cs="宋体"/>
          <w:color w:val="000000"/>
          <w:sz w:val="36"/>
          <w:szCs w:val="36"/>
        </w:rPr>
        <w:t>供应商全称：</w:t>
      </w:r>
      <w:r>
        <w:rPr>
          <w:rFonts w:hint="eastAsia" w:ascii="宋体" w:hAnsi="宋体" w:cs="宋体"/>
          <w:color w:val="000000"/>
          <w:sz w:val="36"/>
          <w:szCs w:val="36"/>
          <w:u w:val="single"/>
        </w:rPr>
        <w:t>（加盖单位公章）</w:t>
      </w:r>
    </w:p>
    <w:p>
      <w:pPr>
        <w:pStyle w:val="25"/>
        <w:ind w:left="101" w:leftChars="48" w:firstLine="1920" w:firstLineChars="800"/>
        <w:jc w:val="left"/>
        <w:rPr>
          <w:rFonts w:hint="eastAsia" w:hAnsi="宋体" w:cs="宋体"/>
          <w:color w:val="000000"/>
          <w:szCs w:val="28"/>
          <w:u w:val="single"/>
        </w:rPr>
      </w:pPr>
    </w:p>
    <w:p>
      <w:pPr>
        <w:spacing w:line="360" w:lineRule="auto"/>
        <w:jc w:val="center"/>
        <w:rPr>
          <w:rFonts w:hint="eastAsia" w:ascii="宋体" w:hAnsi="宋体" w:cs="宋体"/>
          <w:color w:val="000000"/>
          <w:sz w:val="36"/>
          <w:szCs w:val="36"/>
        </w:rPr>
      </w:pPr>
      <w:r>
        <w:rPr>
          <w:rFonts w:hint="eastAsia" w:ascii="宋体" w:hAnsi="宋体" w:cs="宋体"/>
          <w:color w:val="000000"/>
          <w:sz w:val="36"/>
          <w:szCs w:val="36"/>
        </w:rPr>
        <w:t>年   月   日</w:t>
      </w:r>
    </w:p>
    <w:p>
      <w:pPr>
        <w:spacing w:line="400" w:lineRule="exact"/>
        <w:jc w:val="left"/>
        <w:rPr>
          <w:rFonts w:hint="eastAsia" w:ascii="宋体" w:hAnsi="宋体" w:cs="宋体"/>
          <w:b/>
          <w:color w:val="000000"/>
          <w:szCs w:val="21"/>
        </w:rPr>
      </w:pPr>
      <w:r>
        <w:rPr>
          <w:rFonts w:hint="eastAsia" w:ascii="宋体" w:hAnsi="宋体" w:cs="宋体"/>
          <w:color w:val="000000"/>
          <w:sz w:val="36"/>
          <w:szCs w:val="36"/>
        </w:rPr>
        <w:br w:type="page"/>
      </w:r>
      <w:r>
        <w:rPr>
          <w:rFonts w:hint="eastAsia" w:ascii="宋体" w:hAnsi="宋体" w:cs="宋体"/>
          <w:b/>
          <w:color w:val="000000"/>
          <w:szCs w:val="21"/>
        </w:rPr>
        <w:t>附件一</w:t>
      </w:r>
    </w:p>
    <w:p>
      <w:pPr>
        <w:spacing w:line="400" w:lineRule="exact"/>
        <w:jc w:val="center"/>
        <w:rPr>
          <w:rFonts w:hint="eastAsia" w:ascii="宋体" w:hAnsi="宋体" w:cs="宋体"/>
          <w:b/>
          <w:color w:val="000000"/>
          <w:szCs w:val="21"/>
        </w:rPr>
      </w:pPr>
      <w:r>
        <w:rPr>
          <w:rFonts w:hint="eastAsia" w:ascii="宋体" w:hAnsi="宋体" w:cs="宋体"/>
          <w:b/>
          <w:color w:val="000000"/>
          <w:szCs w:val="21"/>
        </w:rPr>
        <w:t>投标书</w:t>
      </w:r>
    </w:p>
    <w:p>
      <w:pPr>
        <w:spacing w:line="400" w:lineRule="exact"/>
        <w:rPr>
          <w:rFonts w:hint="eastAsia" w:ascii="宋体" w:hAnsi="宋体" w:cs="宋体"/>
          <w:color w:val="000000"/>
          <w:szCs w:val="21"/>
        </w:rPr>
      </w:pPr>
      <w:r>
        <w:rPr>
          <w:rFonts w:hint="eastAsia" w:ascii="宋体" w:hAnsi="宋体" w:cs="宋体"/>
          <w:color w:val="000000"/>
          <w:szCs w:val="21"/>
        </w:rPr>
        <w:t>致：采购人</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u w:val="single"/>
        </w:rPr>
        <w:t>(供应商全称)　</w:t>
      </w:r>
      <w:r>
        <w:rPr>
          <w:rFonts w:hint="eastAsia" w:ascii="宋体" w:hAnsi="宋体" w:cs="宋体"/>
          <w:color w:val="000000"/>
          <w:szCs w:val="21"/>
        </w:rPr>
        <w:t>授权</w:t>
      </w:r>
      <w:r>
        <w:rPr>
          <w:rFonts w:hint="eastAsia" w:ascii="宋体" w:hAnsi="宋体" w:cs="宋体"/>
          <w:color w:val="000000"/>
          <w:szCs w:val="21"/>
          <w:u w:val="single"/>
        </w:rPr>
        <w:t xml:space="preserve">  （全名、职务）  </w:t>
      </w:r>
      <w:r>
        <w:rPr>
          <w:rFonts w:hint="eastAsia" w:ascii="宋体" w:hAnsi="宋体" w:cs="宋体"/>
          <w:color w:val="000000"/>
          <w:szCs w:val="21"/>
        </w:rPr>
        <w:t>为全权代表，参加贵方组织的</w:t>
      </w:r>
      <w:r>
        <w:rPr>
          <w:rFonts w:hint="eastAsia" w:ascii="宋体" w:hAnsi="宋体" w:cs="宋体"/>
          <w:color w:val="000000"/>
          <w:szCs w:val="21"/>
          <w:u w:val="single"/>
        </w:rPr>
        <w:t>宁波杭州湾新区智能终端产业园区配套小学、幼儿园智慧校园采购项目</w:t>
      </w:r>
      <w:r>
        <w:rPr>
          <w:rFonts w:hint="eastAsia" w:ascii="宋体" w:hAnsi="宋体" w:cs="宋体"/>
          <w:color w:val="000000"/>
          <w:szCs w:val="21"/>
        </w:rPr>
        <w:t>（采购编号：</w:t>
      </w:r>
      <w:r>
        <w:rPr>
          <w:rFonts w:hint="eastAsia" w:ascii="宋体" w:hAnsi="宋体" w:cs="宋体"/>
          <w:color w:val="000000"/>
          <w:szCs w:val="21"/>
          <w:u w:val="single"/>
        </w:rPr>
        <w:t xml:space="preserve">                   </w:t>
      </w:r>
      <w:r>
        <w:rPr>
          <w:rFonts w:hint="eastAsia" w:ascii="宋体" w:hAnsi="宋体" w:cs="宋体"/>
          <w:color w:val="000000"/>
          <w:szCs w:val="21"/>
        </w:rPr>
        <w:t>，子包号：</w:t>
      </w:r>
      <w:r>
        <w:rPr>
          <w:rFonts w:hint="eastAsia" w:ascii="宋体" w:hAnsi="宋体" w:cs="宋体"/>
          <w:color w:val="000000"/>
          <w:szCs w:val="21"/>
          <w:u w:val="single"/>
        </w:rPr>
        <w:t xml:space="preserve">       </w:t>
      </w:r>
      <w:r>
        <w:rPr>
          <w:rFonts w:hint="eastAsia" w:ascii="宋体" w:hAnsi="宋体" w:cs="宋体"/>
          <w:color w:val="000000"/>
          <w:szCs w:val="21"/>
        </w:rPr>
        <w:t>）招标活动并投标，为便于贵方公正、择优地确定中标供应商及其服务，我方就本次投标有关事项郑重声明如下：</w:t>
      </w:r>
    </w:p>
    <w:p>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1、我方向贵方提交的所有投标文件、资料都是准确的和真实的。如有虚假或隐瞒，我方愿意承担一切后果，并不再寻求任何旨在减轻或免除法律责任的辩解。</w:t>
      </w:r>
    </w:p>
    <w:p>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2、我方不是为本项目提供整体设计、规范编制或者项目管理、监理、检测等服务的供应商。</w:t>
      </w:r>
    </w:p>
    <w:p>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3、本项目的投标报价详见“开标一览表”。</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4、投标文件有效期为自开标之日起</w:t>
      </w:r>
      <w:r>
        <w:rPr>
          <w:rFonts w:hint="eastAsia" w:ascii="宋体" w:hAnsi="宋体" w:cs="宋体"/>
          <w:color w:val="000000"/>
          <w:szCs w:val="21"/>
          <w:u w:val="single"/>
        </w:rPr>
        <w:t xml:space="preserve"> 90 </w:t>
      </w:r>
      <w:r>
        <w:rPr>
          <w:rFonts w:hint="eastAsia" w:ascii="宋体" w:hAnsi="宋体" w:cs="宋体"/>
          <w:color w:val="000000"/>
          <w:szCs w:val="21"/>
        </w:rPr>
        <w:t>个日历日。</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5、若中标，我方将按招标文件规定履行相应的合同责任和义务。</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6、与本投标有关的一切正式来往通讯请寄：</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r>
        <w:rPr>
          <w:rFonts w:hint="eastAsia" w:ascii="宋体" w:hAnsi="宋体" w:cs="宋体"/>
          <w:color w:val="000000"/>
          <w:szCs w:val="21"/>
        </w:rPr>
        <w:t>邮编：</w:t>
      </w:r>
      <w:r>
        <w:rPr>
          <w:rFonts w:hint="eastAsia" w:ascii="宋体" w:hAnsi="宋体" w:cs="宋体"/>
          <w:color w:val="000000"/>
          <w:szCs w:val="21"/>
          <w:u w:val="single"/>
        </w:rPr>
        <w:t xml:space="preserve">                 </w:t>
      </w:r>
    </w:p>
    <w:p>
      <w:pPr>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电话：</w:t>
      </w:r>
      <w:r>
        <w:rPr>
          <w:rFonts w:hint="eastAsia" w:ascii="宋体" w:hAnsi="宋体" w:cs="宋体"/>
          <w:color w:val="000000"/>
          <w:szCs w:val="21"/>
          <w:u w:val="single"/>
        </w:rPr>
        <w:t xml:space="preserve">                    </w:t>
      </w:r>
      <w:r>
        <w:rPr>
          <w:rFonts w:hint="eastAsia" w:ascii="宋体" w:hAnsi="宋体" w:cs="宋体"/>
          <w:color w:val="000000"/>
          <w:szCs w:val="21"/>
        </w:rPr>
        <w:t>传真：</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400" w:lineRule="exact"/>
        <w:ind w:left="540" w:firstLine="30"/>
        <w:jc w:val="left"/>
        <w:rPr>
          <w:rFonts w:hint="eastAsia" w:ascii="宋体" w:hAnsi="宋体" w:cs="宋体"/>
          <w:color w:val="000000"/>
          <w:szCs w:val="21"/>
        </w:rPr>
      </w:pPr>
    </w:p>
    <w:p>
      <w:pPr>
        <w:spacing w:line="400" w:lineRule="exact"/>
        <w:ind w:left="540" w:firstLine="30"/>
        <w:jc w:val="left"/>
        <w:rPr>
          <w:rFonts w:hint="eastAsia" w:ascii="宋体" w:hAnsi="宋体" w:cs="宋体"/>
          <w:color w:val="000000"/>
          <w:szCs w:val="21"/>
        </w:rPr>
      </w:pPr>
    </w:p>
    <w:p>
      <w:pPr>
        <w:spacing w:line="400" w:lineRule="exact"/>
        <w:ind w:left="540" w:firstLine="30"/>
        <w:jc w:val="left"/>
        <w:rPr>
          <w:rFonts w:hint="eastAsia" w:ascii="宋体" w:hAnsi="宋体" w:cs="宋体"/>
          <w:color w:val="000000"/>
          <w:szCs w:val="21"/>
        </w:rPr>
      </w:pPr>
    </w:p>
    <w:p>
      <w:pPr>
        <w:spacing w:line="400" w:lineRule="exact"/>
        <w:ind w:left="540" w:firstLine="30"/>
        <w:jc w:val="left"/>
        <w:rPr>
          <w:rFonts w:hint="eastAsia" w:ascii="宋体" w:hAnsi="宋体" w:cs="宋体"/>
          <w:color w:val="000000"/>
          <w:szCs w:val="21"/>
        </w:rPr>
      </w:pPr>
    </w:p>
    <w:p>
      <w:pPr>
        <w:spacing w:line="400" w:lineRule="exact"/>
        <w:jc w:val="left"/>
        <w:rPr>
          <w:rFonts w:hint="eastAsia" w:ascii="宋体" w:hAnsi="宋体" w:cs="宋体"/>
          <w:color w:val="000000"/>
          <w:szCs w:val="21"/>
        </w:rPr>
      </w:pPr>
    </w:p>
    <w:p>
      <w:pPr>
        <w:spacing w:line="400" w:lineRule="exact"/>
        <w:ind w:firstLine="4620" w:firstLineChars="2200"/>
        <w:jc w:val="left"/>
        <w:rPr>
          <w:rFonts w:hint="eastAsia" w:ascii="宋体" w:hAnsi="宋体" w:cs="宋体"/>
          <w:color w:val="000000"/>
          <w:szCs w:val="21"/>
        </w:rPr>
      </w:pPr>
      <w:r>
        <w:rPr>
          <w:rFonts w:hint="eastAsia" w:ascii="宋体" w:hAnsi="宋体" w:cs="宋体"/>
          <w:color w:val="000000"/>
          <w:szCs w:val="21"/>
        </w:rPr>
        <w:t>供应商（盖  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400" w:lineRule="exact"/>
        <w:ind w:firstLine="3150" w:firstLineChars="1500"/>
        <w:jc w:val="left"/>
        <w:rPr>
          <w:rFonts w:hint="eastAsia" w:ascii="宋体" w:hAnsi="宋体" w:cs="宋体"/>
          <w:color w:val="000000"/>
          <w:szCs w:val="21"/>
          <w:u w:val="single"/>
        </w:rPr>
      </w:pPr>
      <w:r>
        <w:rPr>
          <w:rFonts w:hint="eastAsia" w:ascii="宋体" w:hAnsi="宋体" w:cs="宋体"/>
          <w:color w:val="000000"/>
          <w:szCs w:val="21"/>
        </w:rPr>
        <w:t>法定代表人或授权代表（签  字）：</w:t>
      </w:r>
      <w:r>
        <w:rPr>
          <w:rFonts w:hint="eastAsia" w:ascii="宋体" w:hAnsi="宋体" w:cs="宋体"/>
          <w:color w:val="000000"/>
          <w:szCs w:val="21"/>
          <w:u w:val="single"/>
        </w:rPr>
        <w:t xml:space="preserve">                  </w:t>
      </w:r>
    </w:p>
    <w:p>
      <w:pPr>
        <w:spacing w:line="400" w:lineRule="exact"/>
        <w:ind w:firstLine="5460" w:firstLineChars="2600"/>
        <w:jc w:val="left"/>
        <w:rPr>
          <w:rFonts w:hint="eastAsia" w:ascii="宋体" w:hAnsi="宋体" w:cs="宋体"/>
          <w:color w:val="000000"/>
          <w:szCs w:val="21"/>
          <w:u w:val="single"/>
        </w:rPr>
      </w:pPr>
      <w:r>
        <w:rPr>
          <w:rFonts w:hint="eastAsia" w:ascii="宋体" w:hAnsi="宋体" w:cs="宋体"/>
          <w:color w:val="000000"/>
          <w:szCs w:val="21"/>
        </w:rPr>
        <w:t>日   期 ：</w:t>
      </w:r>
      <w:r>
        <w:rPr>
          <w:rFonts w:hint="eastAsia" w:ascii="宋体" w:hAnsi="宋体" w:cs="宋体"/>
          <w:color w:val="000000"/>
          <w:szCs w:val="21"/>
          <w:u w:val="single"/>
        </w:rPr>
        <w:t xml:space="preserve">                             </w:t>
      </w:r>
    </w:p>
    <w:p>
      <w:pPr>
        <w:spacing w:line="400" w:lineRule="exact"/>
        <w:rPr>
          <w:rFonts w:hint="eastAsia" w:ascii="宋体" w:hAnsi="宋体" w:cs="宋体"/>
          <w:color w:val="000000"/>
          <w:szCs w:val="21"/>
          <w:u w:val="single"/>
        </w:rPr>
      </w:pPr>
    </w:p>
    <w:p>
      <w:pPr>
        <w:spacing w:line="400" w:lineRule="exact"/>
        <w:rPr>
          <w:rFonts w:hint="eastAsia" w:ascii="宋体" w:hAnsi="宋体" w:cs="宋体"/>
          <w:color w:val="000000"/>
          <w:szCs w:val="21"/>
          <w:u w:val="single"/>
        </w:rPr>
      </w:pPr>
    </w:p>
    <w:p>
      <w:pPr>
        <w:spacing w:line="400" w:lineRule="exact"/>
        <w:rPr>
          <w:rFonts w:hint="eastAsia" w:ascii="宋体" w:hAnsi="宋体" w:cs="宋体"/>
          <w:color w:val="000000"/>
          <w:szCs w:val="21"/>
          <w:u w:val="single"/>
        </w:rPr>
      </w:pPr>
    </w:p>
    <w:p>
      <w:pPr>
        <w:spacing w:line="400" w:lineRule="exact"/>
        <w:jc w:val="left"/>
        <w:rPr>
          <w:rFonts w:hint="eastAsia" w:ascii="宋体" w:hAnsi="宋体" w:cs="宋体"/>
          <w:b/>
          <w:color w:val="000000"/>
          <w:szCs w:val="21"/>
        </w:rPr>
      </w:pPr>
      <w:r>
        <w:rPr>
          <w:rStyle w:val="110"/>
          <w:rFonts w:hint="eastAsia" w:ascii="宋体" w:hAnsi="宋体" w:cs="宋体"/>
          <w:color w:val="000000"/>
          <w:sz w:val="21"/>
          <w:szCs w:val="21"/>
        </w:rPr>
        <w:br w:type="page"/>
      </w:r>
      <w:r>
        <w:rPr>
          <w:rFonts w:hint="eastAsia" w:ascii="宋体" w:hAnsi="宋体" w:cs="宋体"/>
          <w:b/>
          <w:color w:val="000000"/>
          <w:szCs w:val="21"/>
        </w:rPr>
        <w:t>附件二</w:t>
      </w:r>
    </w:p>
    <w:p>
      <w:pPr>
        <w:spacing w:line="400" w:lineRule="exact"/>
        <w:jc w:val="center"/>
        <w:rPr>
          <w:rFonts w:hint="eastAsia" w:ascii="宋体" w:hAnsi="宋体" w:cs="宋体"/>
          <w:b/>
          <w:color w:val="000000"/>
          <w:szCs w:val="21"/>
        </w:rPr>
      </w:pPr>
      <w:r>
        <w:rPr>
          <w:rFonts w:hint="eastAsia" w:ascii="宋体" w:hAnsi="宋体" w:cs="宋体"/>
          <w:b/>
          <w:color w:val="000000"/>
          <w:szCs w:val="21"/>
        </w:rPr>
        <w:t>开标一览表</w:t>
      </w:r>
    </w:p>
    <w:p>
      <w:pPr>
        <w:pStyle w:val="19"/>
        <w:spacing w:line="400" w:lineRule="exact"/>
        <w:ind w:firstLine="0"/>
        <w:rPr>
          <w:rFonts w:hint="eastAsia" w:ascii="宋体" w:hAnsi="宋体" w:eastAsia="宋体" w:cs="宋体"/>
          <w:color w:val="000000"/>
          <w:sz w:val="21"/>
          <w:szCs w:val="21"/>
        </w:rPr>
      </w:pPr>
    </w:p>
    <w:p>
      <w:pPr>
        <w:pStyle w:val="19"/>
        <w:spacing w:line="400" w:lineRule="exact"/>
        <w:ind w:firstLine="0"/>
        <w:rPr>
          <w:rFonts w:hint="eastAsia" w:ascii="宋体" w:hAnsi="宋体" w:eastAsia="宋体" w:cs="宋体"/>
          <w:color w:val="000000"/>
          <w:sz w:val="21"/>
          <w:szCs w:val="21"/>
        </w:rPr>
      </w:pPr>
      <w:r>
        <w:rPr>
          <w:rFonts w:hint="eastAsia" w:ascii="宋体" w:hAnsi="宋体" w:eastAsia="宋体" w:cs="宋体"/>
          <w:color w:val="000000"/>
          <w:sz w:val="21"/>
          <w:szCs w:val="21"/>
        </w:rPr>
        <w:t>项目名称：</w:t>
      </w:r>
      <w:r>
        <w:rPr>
          <w:rFonts w:hint="eastAsia" w:ascii="宋体" w:hAnsi="宋体" w:eastAsia="宋体" w:cs="宋体"/>
          <w:color w:val="000000"/>
          <w:sz w:val="21"/>
          <w:szCs w:val="21"/>
          <w:u w:val="single"/>
        </w:rPr>
        <w:t>宁波杭州湾新区智能终端产业园区配套小学、幼儿园智慧校园采购项目</w:t>
      </w:r>
      <w:r>
        <w:rPr>
          <w:rFonts w:hint="eastAsia" w:ascii="宋体" w:hAnsi="宋体" w:eastAsia="宋体" w:cs="宋体"/>
          <w:color w:val="000000"/>
          <w:sz w:val="21"/>
          <w:szCs w:val="21"/>
        </w:rPr>
        <w:t xml:space="preserve">              </w:t>
      </w:r>
    </w:p>
    <w:p>
      <w:pPr>
        <w:pStyle w:val="19"/>
        <w:spacing w:line="400" w:lineRule="exact"/>
        <w:ind w:firstLine="0"/>
        <w:rPr>
          <w:rFonts w:hint="eastAsia" w:ascii="宋体" w:hAnsi="宋体" w:eastAsia="宋体" w:cs="宋体"/>
          <w:color w:val="000000"/>
          <w:sz w:val="21"/>
          <w:szCs w:val="21"/>
        </w:rPr>
      </w:pPr>
      <w:r>
        <w:rPr>
          <w:rFonts w:hint="eastAsia" w:ascii="宋体" w:hAnsi="宋体" w:eastAsia="宋体" w:cs="宋体"/>
          <w:color w:val="000000"/>
          <w:sz w:val="21"/>
          <w:szCs w:val="21"/>
        </w:rPr>
        <w:t>采购编号：</w:t>
      </w:r>
    </w:p>
    <w:p>
      <w:pPr>
        <w:pStyle w:val="19"/>
        <w:spacing w:line="400" w:lineRule="exact"/>
        <w:ind w:firstLine="0"/>
        <w:rPr>
          <w:rFonts w:hint="eastAsia" w:ascii="宋体" w:hAnsi="宋体" w:eastAsia="宋体" w:cs="宋体"/>
          <w:color w:val="000000"/>
          <w:sz w:val="21"/>
          <w:szCs w:val="21"/>
        </w:rPr>
      </w:pPr>
      <w:r>
        <w:rPr>
          <w:rFonts w:hint="eastAsia" w:ascii="宋体" w:hAnsi="宋体" w:eastAsia="宋体" w:cs="宋体"/>
          <w:color w:val="000000"/>
          <w:sz w:val="21"/>
          <w:szCs w:val="21"/>
        </w:rPr>
        <w:t>子包：</w:t>
      </w:r>
    </w:p>
    <w:p>
      <w:pPr>
        <w:pStyle w:val="23"/>
        <w:snapToGrid w:val="0"/>
        <w:spacing w:line="400" w:lineRule="exact"/>
        <w:ind w:firstLine="4515" w:firstLineChars="2150"/>
        <w:rPr>
          <w:rFonts w:hint="eastAsia"/>
          <w:color w:val="000000"/>
          <w:sz w:val="21"/>
          <w:szCs w:val="21"/>
        </w:rPr>
      </w:pPr>
      <w:r>
        <w:rPr>
          <w:rFonts w:hint="eastAsia"/>
          <w:color w:val="000000"/>
          <w:sz w:val="21"/>
          <w:szCs w:val="21"/>
        </w:rPr>
        <w:t xml:space="preserve">                      货币单位：人民币（元）</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554"/>
        <w:gridCol w:w="3183"/>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134"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35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货物名称</w:t>
            </w:r>
          </w:p>
        </w:tc>
        <w:tc>
          <w:tcPr>
            <w:tcW w:w="3183" w:type="dxa"/>
            <w:tcBorders>
              <w:top w:val="single" w:color="auto" w:sz="4" w:space="0"/>
              <w:left w:val="single" w:color="auto" w:sz="4" w:space="0"/>
              <w:bottom w:val="single" w:color="auto" w:sz="4" w:space="0"/>
              <w:right w:val="single" w:color="auto" w:sz="4" w:space="0"/>
            </w:tcBorders>
            <w:noWrap w:val="0"/>
            <w:vAlign w:val="center"/>
          </w:tcPr>
          <w:p>
            <w:pPr>
              <w:pStyle w:val="19"/>
              <w:spacing w:line="400" w:lineRule="exact"/>
              <w:ind w:firstLine="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数量</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pStyle w:val="19"/>
              <w:spacing w:line="400" w:lineRule="exact"/>
              <w:ind w:firstLine="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134" w:hRule="atLeast"/>
          <w:jc w:val="center"/>
        </w:trPr>
        <w:tc>
          <w:tcPr>
            <w:tcW w:w="830"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p>
            <w:pPr>
              <w:spacing w:line="400" w:lineRule="exact"/>
              <w:jc w:val="center"/>
              <w:rPr>
                <w:rFonts w:hint="eastAsia" w:ascii="宋体" w:hAnsi="宋体" w:eastAsia="宋体" w:cs="宋体"/>
                <w:color w:val="000000"/>
                <w:szCs w:val="21"/>
              </w:rPr>
            </w:pPr>
          </w:p>
        </w:tc>
        <w:tc>
          <w:tcPr>
            <w:tcW w:w="35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Cs w:val="21"/>
              </w:rPr>
            </w:pPr>
          </w:p>
        </w:tc>
        <w:tc>
          <w:tcPr>
            <w:tcW w:w="3183" w:type="dxa"/>
            <w:tcBorders>
              <w:top w:val="single" w:color="auto" w:sz="4" w:space="0"/>
              <w:left w:val="single" w:color="auto" w:sz="4" w:space="0"/>
              <w:bottom w:val="single" w:color="auto" w:sz="4" w:space="0"/>
              <w:right w:val="single" w:color="auto" w:sz="4" w:space="0"/>
            </w:tcBorders>
            <w:noWrap w:val="0"/>
            <w:vAlign w:val="center"/>
          </w:tcPr>
          <w:p>
            <w:pPr>
              <w:pStyle w:val="19"/>
              <w:spacing w:line="400" w:lineRule="exact"/>
              <w:ind w:firstLine="0"/>
              <w:jc w:val="center"/>
              <w:rPr>
                <w:rFonts w:hint="eastAsia" w:ascii="宋体" w:hAnsi="宋体" w:eastAsia="宋体" w:cs="宋体"/>
                <w:color w:val="000000"/>
                <w:sz w:val="21"/>
                <w:szCs w:val="21"/>
              </w:rPr>
            </w:pPr>
          </w:p>
        </w:tc>
        <w:tc>
          <w:tcPr>
            <w:tcW w:w="1908" w:type="dxa"/>
            <w:tcBorders>
              <w:top w:val="single" w:color="auto" w:sz="4" w:space="0"/>
              <w:left w:val="single" w:color="auto" w:sz="4" w:space="0"/>
              <w:right w:val="single" w:color="auto" w:sz="4" w:space="0"/>
            </w:tcBorders>
            <w:noWrap w:val="0"/>
            <w:vAlign w:val="center"/>
          </w:tcPr>
          <w:p>
            <w:pPr>
              <w:pStyle w:val="19"/>
              <w:spacing w:line="400" w:lineRule="exact"/>
              <w:ind w:firstLine="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84" w:hRule="atLeast"/>
          <w:jc w:val="center"/>
        </w:trPr>
        <w:tc>
          <w:tcPr>
            <w:tcW w:w="7567" w:type="dxa"/>
            <w:gridSpan w:val="3"/>
            <w:tcBorders>
              <w:left w:val="single" w:color="auto" w:sz="4" w:space="0"/>
              <w:right w:val="single" w:color="auto" w:sz="4" w:space="0"/>
            </w:tcBorders>
            <w:noWrap w:val="0"/>
            <w:vAlign w:val="center"/>
          </w:tcPr>
          <w:p>
            <w:pPr>
              <w:pStyle w:val="19"/>
              <w:spacing w:line="400" w:lineRule="exact"/>
              <w:ind w:firstLine="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合计（元）</w:t>
            </w:r>
          </w:p>
        </w:tc>
        <w:tc>
          <w:tcPr>
            <w:tcW w:w="1908" w:type="dxa"/>
            <w:tcBorders>
              <w:left w:val="single" w:color="auto" w:sz="4" w:space="0"/>
              <w:right w:val="single" w:color="auto" w:sz="4" w:space="0"/>
            </w:tcBorders>
            <w:noWrap w:val="0"/>
            <w:vAlign w:val="center"/>
          </w:tcPr>
          <w:p>
            <w:pPr>
              <w:pStyle w:val="19"/>
              <w:spacing w:line="400" w:lineRule="exact"/>
              <w:ind w:firstLine="0"/>
              <w:jc w:val="center"/>
              <w:rPr>
                <w:rFonts w:hint="eastAsia" w:ascii="宋体" w:hAnsi="宋体" w:eastAsia="宋体" w:cs="宋体"/>
                <w:color w:val="000000"/>
                <w:sz w:val="21"/>
                <w:szCs w:val="21"/>
              </w:rPr>
            </w:pPr>
          </w:p>
        </w:tc>
      </w:tr>
    </w:tbl>
    <w:p>
      <w:pPr>
        <w:spacing w:line="400" w:lineRule="exact"/>
        <w:jc w:val="left"/>
        <w:rPr>
          <w:rFonts w:hint="eastAsia" w:ascii="宋体" w:hAnsi="宋体" w:cs="宋体"/>
          <w:color w:val="000000"/>
          <w:szCs w:val="21"/>
        </w:rPr>
      </w:pPr>
      <w:r>
        <w:rPr>
          <w:rFonts w:hint="eastAsia" w:ascii="宋体" w:hAnsi="宋体" w:cs="宋体"/>
          <w:color w:val="000000"/>
          <w:szCs w:val="21"/>
        </w:rPr>
        <w:t>注：1、投标总价包括但不限于项目所需的货物、备品备件及专用工具制造、运输、装卸、安装、调试、保险、检测、验收等交付使用前发生的所有工作，以及培训、技术服务、质保期内售后服务、税金等相关费用（包括材料、货物物价上涨因素）。</w:t>
      </w:r>
    </w:p>
    <w:p>
      <w:pPr>
        <w:spacing w:line="400" w:lineRule="exact"/>
        <w:jc w:val="left"/>
        <w:rPr>
          <w:rFonts w:hint="eastAsia" w:ascii="宋体" w:hAnsi="宋体" w:cs="宋体"/>
          <w:color w:val="000000"/>
          <w:szCs w:val="21"/>
        </w:rPr>
      </w:pPr>
      <w:r>
        <w:rPr>
          <w:rFonts w:hint="eastAsia" w:ascii="宋体" w:hAnsi="宋体" w:cs="宋体"/>
          <w:color w:val="000000"/>
          <w:szCs w:val="21"/>
        </w:rPr>
        <w:t>2、公开招标实行一次性报价，投标价即为最终有效价。</w:t>
      </w:r>
    </w:p>
    <w:p>
      <w:pPr>
        <w:snapToGrid w:val="0"/>
        <w:spacing w:line="400" w:lineRule="exact"/>
        <w:rPr>
          <w:rFonts w:hint="eastAsia" w:ascii="宋体" w:hAnsi="宋体" w:cs="宋体"/>
          <w:color w:val="000000"/>
          <w:szCs w:val="21"/>
          <w:u w:val="single"/>
        </w:rPr>
      </w:pPr>
    </w:p>
    <w:p>
      <w:pPr>
        <w:spacing w:line="400" w:lineRule="exact"/>
        <w:jc w:val="left"/>
        <w:rPr>
          <w:rFonts w:hint="eastAsia" w:ascii="宋体" w:hAnsi="宋体" w:cs="宋体"/>
          <w:color w:val="000000"/>
          <w:szCs w:val="21"/>
        </w:rPr>
      </w:pPr>
      <w:r>
        <w:rPr>
          <w:rFonts w:hint="eastAsia" w:ascii="宋体" w:hAnsi="宋体" w:cs="宋体"/>
          <w:color w:val="000000"/>
          <w:szCs w:val="21"/>
        </w:rPr>
        <w:t>供应商（盖章）：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400" w:lineRule="exact"/>
        <w:jc w:val="left"/>
        <w:rPr>
          <w:rFonts w:hint="eastAsia" w:ascii="宋体" w:hAnsi="宋体" w:cs="宋体"/>
          <w:color w:val="000000"/>
          <w:szCs w:val="21"/>
        </w:rPr>
      </w:pPr>
      <w:r>
        <w:rPr>
          <w:rFonts w:hint="eastAsia" w:ascii="宋体" w:hAnsi="宋体" w:cs="宋体"/>
          <w:color w:val="000000"/>
          <w:szCs w:val="21"/>
        </w:rPr>
        <w:t>法定代表人或授权代表（签字）：</w:t>
      </w:r>
      <w:r>
        <w:rPr>
          <w:rFonts w:hint="eastAsia" w:ascii="宋体" w:hAnsi="宋体" w:cs="宋体"/>
          <w:color w:val="000000"/>
          <w:szCs w:val="21"/>
          <w:u w:val="single"/>
        </w:rPr>
        <w:t xml:space="preserve">                  </w:t>
      </w:r>
    </w:p>
    <w:p>
      <w:pPr>
        <w:spacing w:line="400" w:lineRule="exact"/>
        <w:rPr>
          <w:rFonts w:hint="eastAsia" w:ascii="宋体" w:hAnsi="宋体" w:cs="宋体"/>
          <w:color w:val="000000"/>
          <w:szCs w:val="21"/>
          <w:u w:val="single"/>
        </w:rPr>
      </w:pPr>
      <w:r>
        <w:rPr>
          <w:rFonts w:hint="eastAsia" w:ascii="宋体" w:hAnsi="宋体" w:cs="宋体"/>
          <w:color w:val="000000"/>
          <w:szCs w:val="21"/>
        </w:rPr>
        <w:t>日            期：</w:t>
      </w:r>
    </w:p>
    <w:p>
      <w:pPr>
        <w:pStyle w:val="23"/>
        <w:snapToGrid w:val="0"/>
        <w:spacing w:line="400" w:lineRule="exact"/>
        <w:rPr>
          <w:rFonts w:hint="eastAsia"/>
          <w:b/>
          <w:color w:val="000000"/>
          <w:sz w:val="21"/>
          <w:szCs w:val="21"/>
        </w:rPr>
      </w:pPr>
    </w:p>
    <w:p>
      <w:pPr>
        <w:pStyle w:val="23"/>
        <w:snapToGrid w:val="0"/>
        <w:spacing w:line="400" w:lineRule="exact"/>
        <w:rPr>
          <w:rFonts w:hint="eastAsia"/>
          <w:b/>
          <w:color w:val="000000"/>
          <w:sz w:val="21"/>
          <w:szCs w:val="21"/>
        </w:rPr>
      </w:pPr>
    </w:p>
    <w:p>
      <w:pPr>
        <w:pStyle w:val="23"/>
        <w:snapToGrid w:val="0"/>
        <w:spacing w:line="400" w:lineRule="exact"/>
        <w:rPr>
          <w:rFonts w:hint="eastAsia"/>
          <w:b/>
          <w:color w:val="000000"/>
          <w:sz w:val="21"/>
          <w:szCs w:val="21"/>
        </w:rPr>
      </w:pPr>
    </w:p>
    <w:p>
      <w:pPr>
        <w:pStyle w:val="23"/>
        <w:snapToGrid w:val="0"/>
        <w:spacing w:line="400" w:lineRule="exact"/>
        <w:rPr>
          <w:rFonts w:hint="eastAsia"/>
          <w:b/>
          <w:color w:val="000000"/>
          <w:sz w:val="21"/>
          <w:szCs w:val="21"/>
        </w:rPr>
      </w:pPr>
    </w:p>
    <w:p>
      <w:pPr>
        <w:pStyle w:val="23"/>
        <w:snapToGrid w:val="0"/>
        <w:spacing w:line="400" w:lineRule="exact"/>
        <w:rPr>
          <w:rFonts w:hint="eastAsia"/>
          <w:b/>
          <w:color w:val="000000"/>
          <w:sz w:val="21"/>
          <w:szCs w:val="21"/>
        </w:rPr>
      </w:pPr>
    </w:p>
    <w:p>
      <w:pPr>
        <w:pStyle w:val="23"/>
        <w:snapToGrid w:val="0"/>
        <w:spacing w:line="400" w:lineRule="exact"/>
        <w:rPr>
          <w:rFonts w:hint="eastAsia"/>
          <w:b/>
          <w:color w:val="000000"/>
          <w:sz w:val="21"/>
          <w:szCs w:val="21"/>
        </w:rPr>
      </w:pPr>
    </w:p>
    <w:p>
      <w:pPr>
        <w:pStyle w:val="23"/>
        <w:snapToGrid w:val="0"/>
        <w:spacing w:line="400" w:lineRule="exact"/>
        <w:rPr>
          <w:rFonts w:hint="eastAsia"/>
          <w:b/>
          <w:color w:val="000000"/>
          <w:sz w:val="21"/>
          <w:szCs w:val="21"/>
        </w:rPr>
        <w:sectPr>
          <w:headerReference r:id="rId15" w:type="default"/>
          <w:footerReference r:id="rId16" w:type="default"/>
          <w:type w:val="nextColumn"/>
          <w:pgSz w:w="11907" w:h="16840"/>
          <w:pgMar w:top="1418" w:right="1134" w:bottom="1418" w:left="1134" w:header="285" w:footer="990" w:gutter="0"/>
          <w:pgBorders w:offsetFrom="page">
            <w:top w:val="none" w:sz="0" w:space="0"/>
            <w:left w:val="none" w:sz="0" w:space="0"/>
            <w:bottom w:val="none" w:sz="0" w:space="0"/>
            <w:right w:val="none" w:sz="0" w:space="0"/>
          </w:pgBorders>
          <w:cols w:space="720" w:num="1"/>
          <w:docGrid w:linePitch="285" w:charSpace="0"/>
        </w:sectPr>
      </w:pPr>
    </w:p>
    <w:p>
      <w:pPr>
        <w:pStyle w:val="23"/>
        <w:snapToGrid w:val="0"/>
        <w:spacing w:line="400" w:lineRule="exact"/>
        <w:rPr>
          <w:rFonts w:hint="eastAsia"/>
          <w:b/>
          <w:color w:val="000000"/>
          <w:sz w:val="21"/>
          <w:szCs w:val="21"/>
        </w:rPr>
      </w:pPr>
      <w:r>
        <w:rPr>
          <w:rFonts w:hint="eastAsia"/>
          <w:b/>
          <w:color w:val="000000"/>
          <w:sz w:val="21"/>
          <w:szCs w:val="21"/>
        </w:rPr>
        <w:t>附件三</w:t>
      </w:r>
    </w:p>
    <w:p>
      <w:pPr>
        <w:spacing w:line="400" w:lineRule="exact"/>
        <w:jc w:val="center"/>
        <w:rPr>
          <w:rFonts w:hint="eastAsia" w:ascii="宋体" w:hAnsi="宋体" w:cs="宋体"/>
          <w:b/>
          <w:color w:val="000000"/>
          <w:szCs w:val="21"/>
        </w:rPr>
      </w:pPr>
      <w:r>
        <w:rPr>
          <w:rFonts w:hint="eastAsia" w:ascii="宋体" w:hAnsi="宋体" w:cs="宋体"/>
          <w:b/>
          <w:color w:val="000000"/>
          <w:szCs w:val="21"/>
        </w:rPr>
        <w:t>分项报价表</w:t>
      </w:r>
    </w:p>
    <w:p>
      <w:pPr>
        <w:widowControl/>
        <w:shd w:val="clear" w:color="auto" w:fill="FFFFFF"/>
        <w:spacing w:line="440" w:lineRule="exact"/>
        <w:ind w:firstLine="666" w:firstLineChars="300"/>
        <w:rPr>
          <w:rFonts w:hint="eastAsia" w:ascii="宋体" w:hAnsi="宋体"/>
          <w:color w:val="000000"/>
          <w:spacing w:val="6"/>
          <w:kern w:val="0"/>
          <w:szCs w:val="21"/>
        </w:rPr>
      </w:pPr>
      <w:r>
        <w:rPr>
          <w:rFonts w:hint="eastAsia" w:ascii="宋体" w:hAnsi="宋体"/>
          <w:color w:val="000000"/>
          <w:spacing w:val="6"/>
          <w:kern w:val="0"/>
          <w:szCs w:val="21"/>
        </w:rPr>
        <w:t xml:space="preserve">项目名称：                                           </w:t>
      </w:r>
    </w:p>
    <w:p>
      <w:pPr>
        <w:widowControl/>
        <w:shd w:val="clear" w:color="auto" w:fill="FFFFFF"/>
        <w:spacing w:line="440" w:lineRule="exact"/>
        <w:ind w:firstLine="666" w:firstLineChars="300"/>
        <w:rPr>
          <w:rFonts w:hint="eastAsia" w:ascii="宋体" w:hAnsi="宋体"/>
          <w:color w:val="000000"/>
          <w:spacing w:val="6"/>
          <w:kern w:val="0"/>
          <w:szCs w:val="21"/>
          <w:u w:val="single"/>
        </w:rPr>
      </w:pPr>
      <w:r>
        <w:rPr>
          <w:rFonts w:hint="eastAsia" w:ascii="宋体" w:hAnsi="宋体"/>
          <w:color w:val="000000"/>
          <w:spacing w:val="6"/>
          <w:kern w:val="0"/>
          <w:szCs w:val="21"/>
        </w:rPr>
        <w:t>采购编号：</w:t>
      </w:r>
      <w:r>
        <w:rPr>
          <w:rFonts w:hint="eastAsia" w:ascii="宋体" w:hAnsi="宋体"/>
          <w:color w:val="000000"/>
          <w:spacing w:val="6"/>
          <w:kern w:val="0"/>
          <w:szCs w:val="21"/>
          <w:u w:val="single"/>
        </w:rPr>
        <w:t xml:space="preserve"> </w:t>
      </w:r>
    </w:p>
    <w:p>
      <w:pPr>
        <w:widowControl/>
        <w:shd w:val="clear" w:color="auto" w:fill="FFFFFF"/>
        <w:spacing w:line="440" w:lineRule="exact"/>
        <w:ind w:firstLine="630" w:firstLineChars="300"/>
        <w:rPr>
          <w:rFonts w:hint="eastAsia" w:ascii="宋体" w:hAnsi="宋体"/>
          <w:color w:val="000000"/>
          <w:spacing w:val="6"/>
          <w:kern w:val="0"/>
          <w:szCs w:val="21"/>
          <w:u w:val="single"/>
        </w:rPr>
      </w:pPr>
      <w:r>
        <w:rPr>
          <w:rFonts w:hint="eastAsia" w:ascii="宋体" w:hAnsi="宋体" w:cs="宋体"/>
          <w:color w:val="000000"/>
          <w:szCs w:val="21"/>
        </w:rPr>
        <w:t>子包：</w:t>
      </w:r>
      <w:r>
        <w:rPr>
          <w:rFonts w:hint="eastAsia" w:ascii="宋体" w:hAnsi="宋体"/>
          <w:color w:val="000000"/>
          <w:spacing w:val="6"/>
          <w:kern w:val="0"/>
          <w:szCs w:val="21"/>
          <w:u w:val="single"/>
        </w:rPr>
        <w:t xml:space="preserve">              </w:t>
      </w:r>
      <w:r>
        <w:rPr>
          <w:rFonts w:hint="eastAsia" w:ascii="宋体" w:hAnsi="宋体"/>
          <w:color w:val="000000"/>
          <w:spacing w:val="6"/>
          <w:kern w:val="0"/>
          <w:szCs w:val="21"/>
        </w:rPr>
        <w:t xml:space="preserve">                               </w:t>
      </w:r>
    </w:p>
    <w:p>
      <w:pPr>
        <w:widowControl/>
        <w:shd w:val="clear" w:color="auto" w:fill="FFFFFF"/>
        <w:spacing w:line="440" w:lineRule="exact"/>
        <w:ind w:firstLine="4662" w:firstLineChars="2100"/>
        <w:rPr>
          <w:rFonts w:hint="eastAsia" w:ascii="宋体" w:hAnsi="宋体"/>
          <w:color w:val="000000"/>
          <w:spacing w:val="6"/>
          <w:kern w:val="0"/>
          <w:szCs w:val="21"/>
        </w:rPr>
      </w:pPr>
      <w:r>
        <w:rPr>
          <w:rFonts w:hint="eastAsia" w:ascii="宋体" w:hAnsi="宋体"/>
          <w:color w:val="000000"/>
          <w:spacing w:val="6"/>
          <w:kern w:val="0"/>
          <w:szCs w:val="21"/>
        </w:rPr>
        <w:t xml:space="preserve"> </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335"/>
        <w:gridCol w:w="3758"/>
        <w:gridCol w:w="675"/>
        <w:gridCol w:w="878"/>
        <w:gridCol w:w="1285"/>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37" w:type="dxa"/>
            <w:noWrap w:val="0"/>
            <w:vAlign w:val="center"/>
          </w:tcPr>
          <w:p>
            <w:pPr>
              <w:widowControl/>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序号</w:t>
            </w:r>
          </w:p>
        </w:tc>
        <w:tc>
          <w:tcPr>
            <w:tcW w:w="1335" w:type="dxa"/>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pacing w:val="6"/>
                <w:kern w:val="0"/>
                <w:szCs w:val="21"/>
              </w:rPr>
              <w:t>货物名称及品牌型号</w:t>
            </w:r>
          </w:p>
        </w:tc>
        <w:tc>
          <w:tcPr>
            <w:tcW w:w="3758" w:type="dxa"/>
            <w:noWrap w:val="0"/>
            <w:vAlign w:val="center"/>
          </w:tcPr>
          <w:p>
            <w:pPr>
              <w:widowControl/>
              <w:adjustRightInd w:val="0"/>
              <w:snapToGrid w:val="0"/>
              <w:jc w:val="center"/>
              <w:rPr>
                <w:rFonts w:hint="eastAsia" w:ascii="宋体" w:hAnsi="宋体" w:eastAsia="宋体" w:cs="宋体"/>
                <w:color w:val="000000"/>
                <w:kern w:val="0"/>
                <w:szCs w:val="21"/>
              </w:rPr>
            </w:pPr>
            <w:r>
              <w:rPr>
                <w:rFonts w:hint="eastAsia" w:ascii="宋体" w:hAnsi="宋体" w:cs="宋体"/>
                <w:color w:val="000000"/>
                <w:spacing w:val="6"/>
                <w:kern w:val="0"/>
                <w:szCs w:val="21"/>
              </w:rPr>
              <w:t>内容</w:t>
            </w:r>
          </w:p>
        </w:tc>
        <w:tc>
          <w:tcPr>
            <w:tcW w:w="675" w:type="dxa"/>
            <w:noWrap w:val="0"/>
            <w:vAlign w:val="center"/>
          </w:tcPr>
          <w:p>
            <w:pPr>
              <w:widowControl/>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单位</w:t>
            </w:r>
          </w:p>
        </w:tc>
        <w:tc>
          <w:tcPr>
            <w:tcW w:w="878" w:type="dxa"/>
            <w:noWrap w:val="0"/>
            <w:vAlign w:val="center"/>
          </w:tcPr>
          <w:p>
            <w:pPr>
              <w:widowControl/>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数量</w:t>
            </w:r>
          </w:p>
        </w:tc>
        <w:tc>
          <w:tcPr>
            <w:tcW w:w="1285" w:type="dxa"/>
            <w:noWrap w:val="0"/>
            <w:vAlign w:val="center"/>
          </w:tcPr>
          <w:p>
            <w:pPr>
              <w:widowControl/>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综合单价（元）</w:t>
            </w:r>
          </w:p>
        </w:tc>
        <w:tc>
          <w:tcPr>
            <w:tcW w:w="1121" w:type="dxa"/>
            <w:noWrap w:val="0"/>
            <w:vAlign w:val="center"/>
          </w:tcPr>
          <w:p>
            <w:pPr>
              <w:widowControl/>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37" w:type="dxa"/>
            <w:shd w:val="clear" w:color="FFFFFF" w:fill="auto"/>
            <w:noWrap w:val="0"/>
            <w:vAlign w:val="top"/>
          </w:tcPr>
          <w:p>
            <w:pPr>
              <w:spacing w:line="500" w:lineRule="exact"/>
              <w:jc w:val="center"/>
              <w:rPr>
                <w:rFonts w:hint="eastAsia" w:ascii="宋体" w:hAnsi="宋体" w:cs="宋体"/>
                <w:color w:val="000000"/>
                <w:kern w:val="0"/>
                <w:szCs w:val="21"/>
              </w:rPr>
            </w:pPr>
            <w:r>
              <w:rPr>
                <w:rFonts w:hint="eastAsia" w:ascii="宋体" w:hAnsi="宋体" w:cs="宋体"/>
                <w:b/>
                <w:color w:val="000000"/>
                <w:spacing w:val="-2"/>
                <w:szCs w:val="21"/>
              </w:rPr>
              <w:t>1</w:t>
            </w:r>
          </w:p>
        </w:tc>
        <w:tc>
          <w:tcPr>
            <w:tcW w:w="1335" w:type="dxa"/>
            <w:shd w:val="clear" w:color="FFFFFF" w:fill="auto"/>
            <w:noWrap w:val="0"/>
            <w:vAlign w:val="top"/>
          </w:tcPr>
          <w:p>
            <w:pPr>
              <w:spacing w:line="500" w:lineRule="exact"/>
              <w:jc w:val="left"/>
              <w:rPr>
                <w:rFonts w:hint="eastAsia" w:ascii="宋体" w:hAnsi="宋体" w:cs="宋体"/>
                <w:color w:val="000000"/>
                <w:szCs w:val="21"/>
              </w:rPr>
            </w:pPr>
          </w:p>
        </w:tc>
        <w:tc>
          <w:tcPr>
            <w:tcW w:w="3758" w:type="dxa"/>
            <w:shd w:val="clear" w:color="FFFFFF" w:fill="auto"/>
            <w:noWrap w:val="0"/>
            <w:vAlign w:val="top"/>
          </w:tcPr>
          <w:p>
            <w:pPr>
              <w:spacing w:line="500" w:lineRule="exact"/>
              <w:jc w:val="center"/>
              <w:rPr>
                <w:rFonts w:hint="eastAsia" w:ascii="宋体" w:hAnsi="宋体" w:cs="宋体"/>
                <w:color w:val="000000"/>
                <w:kern w:val="0"/>
                <w:szCs w:val="21"/>
              </w:rPr>
            </w:pPr>
          </w:p>
        </w:tc>
        <w:tc>
          <w:tcPr>
            <w:tcW w:w="675" w:type="dxa"/>
            <w:shd w:val="clear" w:color="FFFFFF" w:fill="auto"/>
            <w:noWrap w:val="0"/>
            <w:vAlign w:val="top"/>
          </w:tcPr>
          <w:p>
            <w:pPr>
              <w:spacing w:line="500" w:lineRule="exact"/>
              <w:jc w:val="center"/>
              <w:rPr>
                <w:rFonts w:hint="eastAsia" w:ascii="宋体" w:hAnsi="宋体" w:cs="宋体"/>
                <w:color w:val="000000"/>
                <w:kern w:val="0"/>
                <w:szCs w:val="21"/>
              </w:rPr>
            </w:pPr>
          </w:p>
        </w:tc>
        <w:tc>
          <w:tcPr>
            <w:tcW w:w="878" w:type="dxa"/>
            <w:noWrap w:val="0"/>
            <w:vAlign w:val="center"/>
          </w:tcPr>
          <w:p>
            <w:pPr>
              <w:widowControl/>
              <w:adjustRightInd w:val="0"/>
              <w:snapToGrid w:val="0"/>
              <w:jc w:val="center"/>
              <w:rPr>
                <w:rFonts w:hint="eastAsia" w:ascii="宋体" w:hAnsi="宋体" w:cs="宋体"/>
                <w:color w:val="000000"/>
                <w:kern w:val="0"/>
                <w:szCs w:val="21"/>
              </w:rPr>
            </w:pPr>
          </w:p>
        </w:tc>
        <w:tc>
          <w:tcPr>
            <w:tcW w:w="1285" w:type="dxa"/>
            <w:noWrap w:val="0"/>
            <w:vAlign w:val="center"/>
          </w:tcPr>
          <w:p>
            <w:pPr>
              <w:widowControl/>
              <w:adjustRightInd w:val="0"/>
              <w:snapToGrid w:val="0"/>
              <w:jc w:val="center"/>
              <w:rPr>
                <w:rFonts w:hint="eastAsia" w:ascii="宋体" w:hAnsi="宋体" w:cs="宋体"/>
                <w:color w:val="000000"/>
                <w:kern w:val="0"/>
                <w:szCs w:val="21"/>
              </w:rPr>
            </w:pPr>
          </w:p>
        </w:tc>
        <w:tc>
          <w:tcPr>
            <w:tcW w:w="1121" w:type="dxa"/>
            <w:noWrap w:val="0"/>
            <w:vAlign w:val="center"/>
          </w:tcPr>
          <w:p>
            <w:pPr>
              <w:widowControl/>
              <w:adjustRightInd w:val="0"/>
              <w:snapToGrid w:val="0"/>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7" w:type="dxa"/>
            <w:shd w:val="clear" w:color="FFFFFF" w:fill="auto"/>
            <w:noWrap w:val="0"/>
            <w:vAlign w:val="top"/>
          </w:tcPr>
          <w:p>
            <w:pPr>
              <w:spacing w:line="500" w:lineRule="exact"/>
              <w:jc w:val="center"/>
              <w:rPr>
                <w:rFonts w:hint="eastAsia" w:ascii="宋体" w:hAnsi="宋体" w:cs="宋体"/>
                <w:color w:val="000000"/>
                <w:kern w:val="0"/>
                <w:szCs w:val="21"/>
              </w:rPr>
            </w:pPr>
            <w:r>
              <w:rPr>
                <w:rFonts w:hint="eastAsia" w:ascii="宋体" w:hAnsi="宋体" w:cs="宋体"/>
                <w:b/>
                <w:color w:val="000000"/>
                <w:spacing w:val="-2"/>
                <w:szCs w:val="21"/>
              </w:rPr>
              <w:t>2</w:t>
            </w:r>
          </w:p>
        </w:tc>
        <w:tc>
          <w:tcPr>
            <w:tcW w:w="1335" w:type="dxa"/>
            <w:shd w:val="clear" w:color="FFFFFF" w:fill="auto"/>
            <w:noWrap w:val="0"/>
            <w:vAlign w:val="top"/>
          </w:tcPr>
          <w:p>
            <w:pPr>
              <w:spacing w:line="500" w:lineRule="exact"/>
              <w:jc w:val="left"/>
              <w:rPr>
                <w:rFonts w:hint="eastAsia" w:ascii="宋体" w:hAnsi="宋体" w:cs="宋体"/>
                <w:color w:val="000000"/>
                <w:szCs w:val="21"/>
              </w:rPr>
            </w:pPr>
          </w:p>
        </w:tc>
        <w:tc>
          <w:tcPr>
            <w:tcW w:w="3758" w:type="dxa"/>
            <w:shd w:val="clear" w:color="FFFFFF" w:fill="auto"/>
            <w:noWrap w:val="0"/>
            <w:vAlign w:val="top"/>
          </w:tcPr>
          <w:p>
            <w:pPr>
              <w:spacing w:line="500" w:lineRule="exact"/>
              <w:jc w:val="center"/>
              <w:rPr>
                <w:rFonts w:hint="eastAsia" w:ascii="宋体" w:hAnsi="宋体" w:cs="宋体"/>
                <w:color w:val="000000"/>
                <w:kern w:val="0"/>
                <w:szCs w:val="21"/>
              </w:rPr>
            </w:pPr>
          </w:p>
        </w:tc>
        <w:tc>
          <w:tcPr>
            <w:tcW w:w="675" w:type="dxa"/>
            <w:shd w:val="clear" w:color="FFFFFF" w:fill="auto"/>
            <w:noWrap w:val="0"/>
            <w:vAlign w:val="top"/>
          </w:tcPr>
          <w:p>
            <w:pPr>
              <w:spacing w:line="500" w:lineRule="exact"/>
              <w:jc w:val="center"/>
              <w:rPr>
                <w:rFonts w:hint="eastAsia" w:ascii="宋体" w:hAnsi="宋体" w:cs="宋体"/>
                <w:color w:val="000000"/>
                <w:kern w:val="0"/>
                <w:szCs w:val="21"/>
              </w:rPr>
            </w:pPr>
          </w:p>
        </w:tc>
        <w:tc>
          <w:tcPr>
            <w:tcW w:w="878" w:type="dxa"/>
            <w:noWrap w:val="0"/>
            <w:vAlign w:val="center"/>
          </w:tcPr>
          <w:p>
            <w:pPr>
              <w:widowControl/>
              <w:adjustRightInd w:val="0"/>
              <w:snapToGrid w:val="0"/>
              <w:jc w:val="center"/>
              <w:rPr>
                <w:rFonts w:hint="eastAsia" w:ascii="宋体" w:hAnsi="宋体" w:cs="宋体"/>
                <w:color w:val="000000"/>
                <w:kern w:val="0"/>
                <w:szCs w:val="21"/>
              </w:rPr>
            </w:pPr>
          </w:p>
        </w:tc>
        <w:tc>
          <w:tcPr>
            <w:tcW w:w="1285" w:type="dxa"/>
            <w:noWrap w:val="0"/>
            <w:vAlign w:val="center"/>
          </w:tcPr>
          <w:p>
            <w:pPr>
              <w:widowControl/>
              <w:adjustRightInd w:val="0"/>
              <w:snapToGrid w:val="0"/>
              <w:jc w:val="center"/>
              <w:rPr>
                <w:rFonts w:hint="eastAsia" w:ascii="宋体" w:hAnsi="宋体" w:cs="宋体"/>
                <w:color w:val="000000"/>
                <w:kern w:val="0"/>
                <w:szCs w:val="21"/>
              </w:rPr>
            </w:pPr>
          </w:p>
        </w:tc>
        <w:tc>
          <w:tcPr>
            <w:tcW w:w="1121" w:type="dxa"/>
            <w:noWrap w:val="0"/>
            <w:vAlign w:val="center"/>
          </w:tcPr>
          <w:p>
            <w:pPr>
              <w:widowControl/>
              <w:adjustRightInd w:val="0"/>
              <w:snapToGrid w:val="0"/>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37" w:type="dxa"/>
            <w:shd w:val="clear" w:color="FFFFFF" w:fill="auto"/>
            <w:noWrap w:val="0"/>
            <w:vAlign w:val="center"/>
          </w:tcPr>
          <w:p>
            <w:pPr>
              <w:spacing w:line="500" w:lineRule="exact"/>
              <w:jc w:val="center"/>
              <w:rPr>
                <w:rFonts w:hint="eastAsia" w:ascii="宋体" w:hAnsi="宋体" w:cs="宋体"/>
                <w:color w:val="000000"/>
                <w:kern w:val="0"/>
                <w:szCs w:val="21"/>
              </w:rPr>
            </w:pPr>
            <w:r>
              <w:rPr>
                <w:rFonts w:hint="eastAsia" w:ascii="宋体" w:hAnsi="宋体" w:cs="宋体"/>
                <w:b/>
                <w:color w:val="000000"/>
                <w:spacing w:val="-2"/>
                <w:szCs w:val="21"/>
              </w:rPr>
              <w:t>3</w:t>
            </w:r>
          </w:p>
        </w:tc>
        <w:tc>
          <w:tcPr>
            <w:tcW w:w="1335" w:type="dxa"/>
            <w:shd w:val="clear" w:color="FFFFFF" w:fill="auto"/>
            <w:noWrap w:val="0"/>
            <w:vAlign w:val="center"/>
          </w:tcPr>
          <w:p>
            <w:pPr>
              <w:spacing w:line="500" w:lineRule="exact"/>
              <w:jc w:val="left"/>
              <w:rPr>
                <w:rFonts w:hint="eastAsia" w:ascii="宋体" w:hAnsi="宋体" w:cs="宋体"/>
                <w:color w:val="000000"/>
                <w:szCs w:val="21"/>
              </w:rPr>
            </w:pPr>
          </w:p>
        </w:tc>
        <w:tc>
          <w:tcPr>
            <w:tcW w:w="3758" w:type="dxa"/>
            <w:shd w:val="clear" w:color="FFFFFF" w:fill="auto"/>
            <w:noWrap w:val="0"/>
            <w:vAlign w:val="center"/>
          </w:tcPr>
          <w:p>
            <w:pPr>
              <w:spacing w:line="500" w:lineRule="exact"/>
              <w:jc w:val="center"/>
              <w:rPr>
                <w:rFonts w:hint="eastAsia" w:ascii="宋体" w:hAnsi="宋体" w:cs="宋体"/>
                <w:color w:val="000000"/>
                <w:kern w:val="0"/>
                <w:szCs w:val="21"/>
              </w:rPr>
            </w:pPr>
          </w:p>
        </w:tc>
        <w:tc>
          <w:tcPr>
            <w:tcW w:w="675" w:type="dxa"/>
            <w:shd w:val="clear" w:color="FFFFFF" w:fill="auto"/>
            <w:noWrap w:val="0"/>
            <w:vAlign w:val="center"/>
          </w:tcPr>
          <w:p>
            <w:pPr>
              <w:spacing w:line="500" w:lineRule="exact"/>
              <w:jc w:val="center"/>
              <w:rPr>
                <w:rFonts w:hint="eastAsia" w:ascii="宋体" w:hAnsi="宋体" w:cs="宋体"/>
                <w:color w:val="000000"/>
                <w:kern w:val="0"/>
                <w:szCs w:val="21"/>
              </w:rPr>
            </w:pPr>
          </w:p>
        </w:tc>
        <w:tc>
          <w:tcPr>
            <w:tcW w:w="878" w:type="dxa"/>
            <w:noWrap w:val="0"/>
            <w:vAlign w:val="center"/>
          </w:tcPr>
          <w:p>
            <w:pPr>
              <w:widowControl/>
              <w:adjustRightInd w:val="0"/>
              <w:snapToGrid w:val="0"/>
              <w:jc w:val="center"/>
              <w:rPr>
                <w:rFonts w:hint="eastAsia" w:ascii="宋体" w:hAnsi="宋体" w:cs="宋体"/>
                <w:color w:val="000000"/>
                <w:kern w:val="0"/>
                <w:szCs w:val="21"/>
              </w:rPr>
            </w:pPr>
          </w:p>
        </w:tc>
        <w:tc>
          <w:tcPr>
            <w:tcW w:w="1285" w:type="dxa"/>
            <w:noWrap w:val="0"/>
            <w:vAlign w:val="center"/>
          </w:tcPr>
          <w:p>
            <w:pPr>
              <w:widowControl/>
              <w:adjustRightInd w:val="0"/>
              <w:snapToGrid w:val="0"/>
              <w:jc w:val="center"/>
              <w:rPr>
                <w:rFonts w:hint="eastAsia" w:ascii="宋体" w:hAnsi="宋体" w:cs="宋体"/>
                <w:color w:val="000000"/>
                <w:kern w:val="0"/>
                <w:szCs w:val="21"/>
              </w:rPr>
            </w:pPr>
          </w:p>
        </w:tc>
        <w:tc>
          <w:tcPr>
            <w:tcW w:w="1121" w:type="dxa"/>
            <w:noWrap w:val="0"/>
            <w:vAlign w:val="center"/>
          </w:tcPr>
          <w:p>
            <w:pPr>
              <w:widowControl/>
              <w:adjustRightInd w:val="0"/>
              <w:snapToGrid w:val="0"/>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37" w:type="dxa"/>
            <w:shd w:val="clear" w:color="FFFFFF" w:fill="auto"/>
            <w:noWrap w:val="0"/>
            <w:vAlign w:val="center"/>
          </w:tcPr>
          <w:p>
            <w:pPr>
              <w:spacing w:line="500" w:lineRule="exact"/>
              <w:jc w:val="center"/>
              <w:rPr>
                <w:rFonts w:hint="eastAsia" w:ascii="宋体" w:hAnsi="宋体" w:cs="宋体"/>
                <w:color w:val="000000"/>
                <w:kern w:val="0"/>
                <w:szCs w:val="21"/>
              </w:rPr>
            </w:pPr>
            <w:r>
              <w:rPr>
                <w:rFonts w:hint="eastAsia" w:ascii="宋体" w:hAnsi="宋体" w:cs="宋体"/>
                <w:b/>
                <w:color w:val="000000"/>
                <w:spacing w:val="-2"/>
                <w:szCs w:val="21"/>
              </w:rPr>
              <w:t>4</w:t>
            </w:r>
          </w:p>
        </w:tc>
        <w:tc>
          <w:tcPr>
            <w:tcW w:w="1335" w:type="dxa"/>
            <w:shd w:val="clear" w:color="FFFFFF" w:fill="auto"/>
            <w:noWrap w:val="0"/>
            <w:vAlign w:val="center"/>
          </w:tcPr>
          <w:p>
            <w:pPr>
              <w:spacing w:line="500" w:lineRule="exact"/>
              <w:jc w:val="left"/>
              <w:rPr>
                <w:rFonts w:hint="eastAsia" w:ascii="宋体" w:hAnsi="宋体" w:cs="宋体"/>
                <w:color w:val="000000"/>
                <w:szCs w:val="21"/>
              </w:rPr>
            </w:pPr>
          </w:p>
        </w:tc>
        <w:tc>
          <w:tcPr>
            <w:tcW w:w="3758" w:type="dxa"/>
            <w:shd w:val="clear" w:color="FFFFFF" w:fill="auto"/>
            <w:noWrap w:val="0"/>
            <w:vAlign w:val="center"/>
          </w:tcPr>
          <w:p>
            <w:pPr>
              <w:spacing w:line="500" w:lineRule="exact"/>
              <w:jc w:val="center"/>
              <w:rPr>
                <w:rFonts w:hint="eastAsia" w:ascii="宋体" w:hAnsi="宋体" w:cs="宋体"/>
                <w:color w:val="000000"/>
                <w:kern w:val="0"/>
                <w:szCs w:val="21"/>
              </w:rPr>
            </w:pPr>
          </w:p>
        </w:tc>
        <w:tc>
          <w:tcPr>
            <w:tcW w:w="675" w:type="dxa"/>
            <w:shd w:val="clear" w:color="FFFFFF" w:fill="auto"/>
            <w:noWrap w:val="0"/>
            <w:vAlign w:val="center"/>
          </w:tcPr>
          <w:p>
            <w:pPr>
              <w:spacing w:line="500" w:lineRule="exact"/>
              <w:jc w:val="center"/>
              <w:rPr>
                <w:rFonts w:hint="eastAsia" w:ascii="宋体" w:hAnsi="宋体" w:cs="宋体"/>
                <w:color w:val="000000"/>
                <w:kern w:val="0"/>
                <w:szCs w:val="21"/>
              </w:rPr>
            </w:pPr>
          </w:p>
        </w:tc>
        <w:tc>
          <w:tcPr>
            <w:tcW w:w="878" w:type="dxa"/>
            <w:noWrap w:val="0"/>
            <w:vAlign w:val="center"/>
          </w:tcPr>
          <w:p>
            <w:pPr>
              <w:widowControl/>
              <w:adjustRightInd w:val="0"/>
              <w:snapToGrid w:val="0"/>
              <w:jc w:val="center"/>
              <w:rPr>
                <w:rFonts w:hint="eastAsia" w:ascii="宋体" w:hAnsi="宋体" w:cs="宋体"/>
                <w:color w:val="000000"/>
                <w:kern w:val="0"/>
                <w:szCs w:val="21"/>
              </w:rPr>
            </w:pPr>
          </w:p>
        </w:tc>
        <w:tc>
          <w:tcPr>
            <w:tcW w:w="1285" w:type="dxa"/>
            <w:noWrap w:val="0"/>
            <w:vAlign w:val="center"/>
          </w:tcPr>
          <w:p>
            <w:pPr>
              <w:widowControl/>
              <w:adjustRightInd w:val="0"/>
              <w:snapToGrid w:val="0"/>
              <w:jc w:val="center"/>
              <w:rPr>
                <w:rFonts w:hint="eastAsia" w:ascii="宋体" w:hAnsi="宋体" w:cs="宋体"/>
                <w:color w:val="000000"/>
                <w:kern w:val="0"/>
                <w:szCs w:val="21"/>
              </w:rPr>
            </w:pPr>
          </w:p>
        </w:tc>
        <w:tc>
          <w:tcPr>
            <w:tcW w:w="1121" w:type="dxa"/>
            <w:noWrap w:val="0"/>
            <w:vAlign w:val="center"/>
          </w:tcPr>
          <w:p>
            <w:pPr>
              <w:widowControl/>
              <w:adjustRightInd w:val="0"/>
              <w:snapToGrid w:val="0"/>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37" w:type="dxa"/>
            <w:shd w:val="clear" w:color="FFFFFF" w:fill="auto"/>
            <w:noWrap w:val="0"/>
            <w:vAlign w:val="center"/>
          </w:tcPr>
          <w:p>
            <w:pPr>
              <w:spacing w:line="500" w:lineRule="exact"/>
              <w:jc w:val="center"/>
              <w:rPr>
                <w:rFonts w:hint="eastAsia" w:ascii="宋体" w:hAnsi="宋体" w:cs="宋体"/>
                <w:color w:val="000000"/>
                <w:kern w:val="0"/>
                <w:szCs w:val="21"/>
              </w:rPr>
            </w:pPr>
            <w:r>
              <w:rPr>
                <w:rFonts w:hint="eastAsia" w:ascii="宋体" w:hAnsi="宋体" w:cs="宋体"/>
                <w:b/>
                <w:color w:val="000000"/>
                <w:spacing w:val="-2"/>
                <w:szCs w:val="21"/>
              </w:rPr>
              <w:t>5</w:t>
            </w:r>
          </w:p>
        </w:tc>
        <w:tc>
          <w:tcPr>
            <w:tcW w:w="1335" w:type="dxa"/>
            <w:shd w:val="clear" w:color="FFFFFF" w:fill="auto"/>
            <w:noWrap w:val="0"/>
            <w:vAlign w:val="center"/>
          </w:tcPr>
          <w:p>
            <w:pPr>
              <w:spacing w:line="500" w:lineRule="exact"/>
              <w:jc w:val="left"/>
              <w:rPr>
                <w:rFonts w:hint="eastAsia" w:ascii="宋体" w:hAnsi="宋体" w:cs="宋体"/>
                <w:color w:val="000000"/>
                <w:kern w:val="0"/>
                <w:szCs w:val="21"/>
              </w:rPr>
            </w:pPr>
          </w:p>
        </w:tc>
        <w:tc>
          <w:tcPr>
            <w:tcW w:w="3758" w:type="dxa"/>
            <w:shd w:val="clear" w:color="FFFFFF" w:fill="auto"/>
            <w:noWrap w:val="0"/>
            <w:vAlign w:val="center"/>
          </w:tcPr>
          <w:p>
            <w:pPr>
              <w:spacing w:line="500" w:lineRule="exact"/>
              <w:jc w:val="center"/>
              <w:rPr>
                <w:rFonts w:hint="eastAsia" w:ascii="宋体" w:hAnsi="宋体" w:cs="宋体"/>
                <w:color w:val="000000"/>
                <w:kern w:val="0"/>
                <w:szCs w:val="21"/>
              </w:rPr>
            </w:pPr>
          </w:p>
        </w:tc>
        <w:tc>
          <w:tcPr>
            <w:tcW w:w="675" w:type="dxa"/>
            <w:shd w:val="clear" w:color="FFFFFF" w:fill="auto"/>
            <w:noWrap w:val="0"/>
            <w:vAlign w:val="center"/>
          </w:tcPr>
          <w:p>
            <w:pPr>
              <w:spacing w:line="500" w:lineRule="exact"/>
              <w:jc w:val="center"/>
              <w:rPr>
                <w:rFonts w:hint="eastAsia" w:ascii="宋体" w:hAnsi="宋体" w:cs="宋体"/>
                <w:color w:val="000000"/>
                <w:kern w:val="0"/>
                <w:szCs w:val="21"/>
              </w:rPr>
            </w:pPr>
          </w:p>
        </w:tc>
        <w:tc>
          <w:tcPr>
            <w:tcW w:w="878" w:type="dxa"/>
            <w:noWrap w:val="0"/>
            <w:vAlign w:val="center"/>
          </w:tcPr>
          <w:p>
            <w:pPr>
              <w:widowControl/>
              <w:adjustRightInd w:val="0"/>
              <w:snapToGrid w:val="0"/>
              <w:jc w:val="center"/>
              <w:rPr>
                <w:rFonts w:hint="eastAsia" w:ascii="宋体" w:hAnsi="宋体" w:cs="宋体"/>
                <w:color w:val="000000"/>
                <w:kern w:val="0"/>
                <w:szCs w:val="21"/>
              </w:rPr>
            </w:pPr>
          </w:p>
        </w:tc>
        <w:tc>
          <w:tcPr>
            <w:tcW w:w="1285" w:type="dxa"/>
            <w:noWrap w:val="0"/>
            <w:vAlign w:val="center"/>
          </w:tcPr>
          <w:p>
            <w:pPr>
              <w:widowControl/>
              <w:adjustRightInd w:val="0"/>
              <w:snapToGrid w:val="0"/>
              <w:jc w:val="center"/>
              <w:rPr>
                <w:rFonts w:hint="eastAsia" w:ascii="宋体" w:hAnsi="宋体" w:cs="宋体"/>
                <w:color w:val="000000"/>
                <w:kern w:val="0"/>
                <w:szCs w:val="21"/>
              </w:rPr>
            </w:pPr>
          </w:p>
        </w:tc>
        <w:tc>
          <w:tcPr>
            <w:tcW w:w="1121" w:type="dxa"/>
            <w:noWrap w:val="0"/>
            <w:vAlign w:val="center"/>
          </w:tcPr>
          <w:p>
            <w:pPr>
              <w:widowControl/>
              <w:adjustRightInd w:val="0"/>
              <w:snapToGrid w:val="0"/>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37" w:type="dxa"/>
            <w:shd w:val="clear" w:color="FFFFFF" w:fill="auto"/>
            <w:noWrap w:val="0"/>
            <w:vAlign w:val="center"/>
          </w:tcPr>
          <w:p>
            <w:pPr>
              <w:spacing w:line="500" w:lineRule="exact"/>
              <w:jc w:val="center"/>
              <w:rPr>
                <w:rFonts w:hint="eastAsia" w:ascii="宋体" w:hAnsi="宋体" w:cs="宋体"/>
                <w:color w:val="000000"/>
                <w:kern w:val="0"/>
                <w:szCs w:val="21"/>
              </w:rPr>
            </w:pPr>
          </w:p>
        </w:tc>
        <w:tc>
          <w:tcPr>
            <w:tcW w:w="1335" w:type="dxa"/>
            <w:shd w:val="clear" w:color="FFFFFF" w:fill="auto"/>
            <w:noWrap w:val="0"/>
            <w:vAlign w:val="center"/>
          </w:tcPr>
          <w:p>
            <w:pPr>
              <w:spacing w:line="500" w:lineRule="exact"/>
              <w:jc w:val="center"/>
              <w:rPr>
                <w:rFonts w:ascii="宋体" w:hAnsi="宋体" w:eastAsia="宋体" w:cs="宋体"/>
                <w:color w:val="000000"/>
                <w:kern w:val="0"/>
                <w:szCs w:val="21"/>
              </w:rPr>
            </w:pPr>
            <w:r>
              <w:rPr>
                <w:rFonts w:hint="eastAsia" w:ascii="宋体" w:hAnsi="宋体" w:cs="宋体"/>
                <w:color w:val="000000"/>
                <w:kern w:val="0"/>
                <w:szCs w:val="21"/>
              </w:rPr>
              <w:t>...</w:t>
            </w:r>
          </w:p>
        </w:tc>
        <w:tc>
          <w:tcPr>
            <w:tcW w:w="3758" w:type="dxa"/>
            <w:shd w:val="clear" w:color="FFFFFF" w:fill="auto"/>
            <w:noWrap w:val="0"/>
            <w:vAlign w:val="center"/>
          </w:tcPr>
          <w:p>
            <w:pPr>
              <w:spacing w:line="500" w:lineRule="exact"/>
              <w:jc w:val="center"/>
              <w:rPr>
                <w:rFonts w:hint="eastAsia" w:ascii="宋体" w:hAnsi="宋体" w:cs="宋体"/>
                <w:color w:val="000000"/>
                <w:kern w:val="0"/>
                <w:szCs w:val="21"/>
              </w:rPr>
            </w:pPr>
          </w:p>
        </w:tc>
        <w:tc>
          <w:tcPr>
            <w:tcW w:w="675" w:type="dxa"/>
            <w:shd w:val="clear" w:color="FFFFFF" w:fill="auto"/>
            <w:noWrap w:val="0"/>
            <w:vAlign w:val="center"/>
          </w:tcPr>
          <w:p>
            <w:pPr>
              <w:spacing w:line="500" w:lineRule="exact"/>
              <w:jc w:val="center"/>
              <w:rPr>
                <w:rFonts w:hint="eastAsia" w:ascii="宋体" w:hAnsi="宋体" w:cs="宋体"/>
                <w:color w:val="000000"/>
                <w:kern w:val="0"/>
                <w:szCs w:val="21"/>
              </w:rPr>
            </w:pPr>
          </w:p>
        </w:tc>
        <w:tc>
          <w:tcPr>
            <w:tcW w:w="878" w:type="dxa"/>
            <w:noWrap w:val="0"/>
            <w:vAlign w:val="center"/>
          </w:tcPr>
          <w:p>
            <w:pPr>
              <w:widowControl/>
              <w:adjustRightInd w:val="0"/>
              <w:snapToGrid w:val="0"/>
              <w:jc w:val="center"/>
              <w:rPr>
                <w:rFonts w:hint="eastAsia" w:ascii="宋体" w:hAnsi="宋体" w:cs="宋体"/>
                <w:color w:val="000000"/>
                <w:kern w:val="0"/>
                <w:szCs w:val="21"/>
              </w:rPr>
            </w:pPr>
          </w:p>
        </w:tc>
        <w:tc>
          <w:tcPr>
            <w:tcW w:w="1285" w:type="dxa"/>
            <w:noWrap w:val="0"/>
            <w:vAlign w:val="center"/>
          </w:tcPr>
          <w:p>
            <w:pPr>
              <w:widowControl/>
              <w:adjustRightInd w:val="0"/>
              <w:snapToGrid w:val="0"/>
              <w:jc w:val="center"/>
              <w:rPr>
                <w:rFonts w:hint="eastAsia" w:ascii="宋体" w:hAnsi="宋体" w:cs="宋体"/>
                <w:color w:val="000000"/>
                <w:kern w:val="0"/>
                <w:szCs w:val="21"/>
              </w:rPr>
            </w:pPr>
          </w:p>
        </w:tc>
        <w:tc>
          <w:tcPr>
            <w:tcW w:w="1121" w:type="dxa"/>
            <w:noWrap w:val="0"/>
            <w:vAlign w:val="center"/>
          </w:tcPr>
          <w:p>
            <w:pPr>
              <w:widowControl/>
              <w:adjustRightInd w:val="0"/>
              <w:snapToGrid w:val="0"/>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283" w:type="dxa"/>
            <w:gridSpan w:val="5"/>
            <w:noWrap w:val="0"/>
            <w:vAlign w:val="center"/>
          </w:tcPr>
          <w:p>
            <w:pPr>
              <w:widowControl/>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投标总价（元）</w:t>
            </w:r>
          </w:p>
        </w:tc>
        <w:tc>
          <w:tcPr>
            <w:tcW w:w="1285" w:type="dxa"/>
            <w:noWrap w:val="0"/>
            <w:vAlign w:val="center"/>
          </w:tcPr>
          <w:p>
            <w:pPr>
              <w:widowControl/>
              <w:adjustRightInd w:val="0"/>
              <w:snapToGrid w:val="0"/>
              <w:jc w:val="center"/>
              <w:rPr>
                <w:rFonts w:hint="eastAsia" w:ascii="宋体" w:hAnsi="宋体" w:cs="宋体"/>
                <w:color w:val="000000"/>
                <w:kern w:val="0"/>
                <w:szCs w:val="21"/>
              </w:rPr>
            </w:pPr>
          </w:p>
        </w:tc>
        <w:tc>
          <w:tcPr>
            <w:tcW w:w="1121" w:type="dxa"/>
            <w:noWrap w:val="0"/>
            <w:vAlign w:val="center"/>
          </w:tcPr>
          <w:p>
            <w:pPr>
              <w:widowControl/>
              <w:adjustRightInd w:val="0"/>
              <w:snapToGrid w:val="0"/>
              <w:jc w:val="center"/>
              <w:rPr>
                <w:rFonts w:hint="eastAsia" w:ascii="宋体" w:hAnsi="宋体" w:cs="宋体"/>
                <w:color w:val="000000"/>
                <w:kern w:val="0"/>
                <w:szCs w:val="21"/>
              </w:rPr>
            </w:pPr>
          </w:p>
        </w:tc>
      </w:tr>
    </w:tbl>
    <w:p>
      <w:pPr>
        <w:spacing w:line="440" w:lineRule="exact"/>
        <w:rPr>
          <w:rFonts w:hint="eastAsia" w:ascii="宋体" w:hAnsi="宋体" w:cs="宋体"/>
          <w:iCs/>
          <w:color w:val="000000"/>
          <w:sz w:val="24"/>
          <w:szCs w:val="24"/>
        </w:rPr>
      </w:pPr>
    </w:p>
    <w:p>
      <w:pPr>
        <w:spacing w:line="400" w:lineRule="exact"/>
        <w:jc w:val="left"/>
        <w:rPr>
          <w:rFonts w:hint="eastAsia" w:ascii="宋体" w:hAnsi="宋体" w:cs="宋体"/>
          <w:color w:val="000000"/>
          <w:szCs w:val="21"/>
        </w:rPr>
      </w:pPr>
      <w:r>
        <w:rPr>
          <w:rFonts w:hint="eastAsia" w:ascii="宋体" w:hAnsi="宋体" w:cs="宋体"/>
          <w:color w:val="000000"/>
          <w:szCs w:val="21"/>
        </w:rPr>
        <w:t>注：1、投标总价包括但不限于项目所需的货物、备品备件及专用工具制造、运输、装卸、安装、调试、保险、检测、验收等交付使用前发生的所有工作，以及培训、技术服务、质保期内售后服务、税金等相关费用（包括材料、货物物价上涨因素）。</w:t>
      </w:r>
    </w:p>
    <w:p>
      <w:pPr>
        <w:spacing w:line="400" w:lineRule="exact"/>
        <w:jc w:val="left"/>
        <w:rPr>
          <w:rFonts w:hint="eastAsia" w:ascii="宋体" w:hAnsi="宋体" w:cs="宋体"/>
          <w:color w:val="000000"/>
          <w:szCs w:val="21"/>
        </w:rPr>
      </w:pPr>
      <w:r>
        <w:rPr>
          <w:rFonts w:hint="eastAsia" w:ascii="宋体" w:hAnsi="宋体" w:cs="宋体"/>
          <w:color w:val="000000"/>
          <w:szCs w:val="21"/>
        </w:rPr>
        <w:t>2、公开招标实行一次性报价，投标价即为最终有效价。</w:t>
      </w:r>
    </w:p>
    <w:p>
      <w:pPr>
        <w:spacing w:line="440" w:lineRule="exact"/>
        <w:rPr>
          <w:rFonts w:hint="eastAsia" w:ascii="宋体" w:hAnsi="宋体" w:cs="宋体"/>
          <w:iCs/>
          <w:color w:val="000000"/>
          <w:sz w:val="24"/>
          <w:szCs w:val="24"/>
        </w:rPr>
      </w:pPr>
    </w:p>
    <w:p>
      <w:pPr>
        <w:pStyle w:val="46"/>
        <w:tabs>
          <w:tab w:val="left" w:pos="0"/>
          <w:tab w:val="left" w:pos="1260"/>
          <w:tab w:val="left" w:pos="1365"/>
        </w:tabs>
        <w:ind w:firstLine="0" w:firstLineChars="0"/>
        <w:rPr>
          <w:rFonts w:hint="eastAsia"/>
          <w:color w:val="000000"/>
          <w:u w:val="single"/>
        </w:rPr>
      </w:pPr>
      <w:r>
        <w:rPr>
          <w:rFonts w:hint="eastAsia"/>
          <w:color w:val="000000"/>
          <w:u w:val="single"/>
        </w:rPr>
        <w:t xml:space="preserve">           </w:t>
      </w:r>
    </w:p>
    <w:p>
      <w:pPr>
        <w:widowControl/>
        <w:shd w:val="clear" w:color="auto" w:fill="FFFFFF"/>
        <w:spacing w:line="440" w:lineRule="exact"/>
        <w:ind w:firstLine="4773" w:firstLineChars="2150"/>
        <w:rPr>
          <w:rFonts w:hint="eastAsia" w:ascii="宋体" w:hAnsi="宋体"/>
          <w:color w:val="000000"/>
          <w:spacing w:val="6"/>
          <w:kern w:val="0"/>
          <w:szCs w:val="21"/>
        </w:rPr>
      </w:pPr>
      <w:r>
        <w:rPr>
          <w:rFonts w:hint="eastAsia" w:ascii="宋体" w:hAnsi="宋体"/>
          <w:color w:val="000000"/>
          <w:spacing w:val="6"/>
          <w:kern w:val="0"/>
          <w:szCs w:val="21"/>
        </w:rPr>
        <w:t>供应商盖章：</w:t>
      </w:r>
      <w:r>
        <w:rPr>
          <w:rFonts w:hint="eastAsia" w:ascii="宋体" w:hAnsi="宋体"/>
          <w:color w:val="000000"/>
          <w:spacing w:val="6"/>
          <w:kern w:val="0"/>
          <w:szCs w:val="21"/>
          <w:u w:val="single"/>
        </w:rPr>
        <w:t xml:space="preserve">    （公章）       </w:t>
      </w:r>
    </w:p>
    <w:p>
      <w:pPr>
        <w:widowControl/>
        <w:shd w:val="clear" w:color="auto" w:fill="FFFFFF"/>
        <w:spacing w:line="440" w:lineRule="exact"/>
        <w:ind w:firstLine="4773" w:firstLineChars="2150"/>
        <w:rPr>
          <w:rFonts w:hint="eastAsia" w:ascii="宋体" w:hAnsi="宋体"/>
          <w:color w:val="000000"/>
          <w:spacing w:val="6"/>
          <w:kern w:val="0"/>
          <w:szCs w:val="21"/>
          <w:u w:val="single"/>
        </w:rPr>
      </w:pPr>
      <w:r>
        <w:rPr>
          <w:rFonts w:hint="eastAsia" w:ascii="宋体" w:hAnsi="宋体"/>
          <w:color w:val="000000"/>
          <w:spacing w:val="6"/>
          <w:kern w:val="0"/>
          <w:szCs w:val="21"/>
        </w:rPr>
        <w:t>供应商法定代表人或授权代表签字：</w:t>
      </w:r>
      <w:r>
        <w:rPr>
          <w:rFonts w:hint="eastAsia" w:ascii="宋体" w:hAnsi="宋体"/>
          <w:color w:val="000000"/>
          <w:spacing w:val="6"/>
          <w:kern w:val="0"/>
          <w:szCs w:val="21"/>
          <w:u w:val="single"/>
        </w:rPr>
        <w:t xml:space="preserve">         </w:t>
      </w:r>
    </w:p>
    <w:p>
      <w:pPr>
        <w:widowControl/>
        <w:shd w:val="clear" w:color="auto" w:fill="FFFFFF"/>
        <w:spacing w:line="440" w:lineRule="exact"/>
        <w:ind w:left="2" w:firstLine="1118" w:firstLineChars="504"/>
        <w:rPr>
          <w:rFonts w:hint="eastAsia" w:ascii="宋体" w:hAnsi="宋体"/>
          <w:color w:val="000000"/>
          <w:spacing w:val="6"/>
          <w:kern w:val="0"/>
          <w:szCs w:val="21"/>
        </w:rPr>
      </w:pPr>
      <w:r>
        <w:rPr>
          <w:rFonts w:hint="eastAsia" w:ascii="宋体" w:hAnsi="宋体"/>
          <w:color w:val="000000"/>
          <w:spacing w:val="6"/>
          <w:kern w:val="0"/>
          <w:szCs w:val="21"/>
        </w:rPr>
        <w:t xml:space="preserve">                               </w:t>
      </w:r>
      <w:r>
        <w:rPr>
          <w:rFonts w:hint="eastAsia" w:ascii="宋体" w:hAnsi="宋体"/>
          <w:color w:val="000000"/>
          <w:spacing w:val="6"/>
          <w:kern w:val="0"/>
          <w:szCs w:val="21"/>
          <w:u w:val="single"/>
        </w:rPr>
        <w:t xml:space="preserve">      </w:t>
      </w:r>
      <w:r>
        <w:rPr>
          <w:rFonts w:hint="eastAsia" w:ascii="宋体" w:hAnsi="宋体"/>
          <w:color w:val="000000"/>
          <w:spacing w:val="6"/>
          <w:kern w:val="0"/>
          <w:szCs w:val="21"/>
        </w:rPr>
        <w:t>年</w:t>
      </w:r>
      <w:r>
        <w:rPr>
          <w:rFonts w:hint="eastAsia" w:ascii="宋体" w:hAnsi="宋体"/>
          <w:color w:val="000000"/>
          <w:spacing w:val="6"/>
          <w:kern w:val="0"/>
          <w:szCs w:val="21"/>
          <w:u w:val="single"/>
        </w:rPr>
        <w:t xml:space="preserve">       </w:t>
      </w:r>
      <w:r>
        <w:rPr>
          <w:rFonts w:hint="eastAsia" w:ascii="宋体" w:hAnsi="宋体"/>
          <w:color w:val="000000"/>
          <w:spacing w:val="6"/>
          <w:kern w:val="0"/>
          <w:szCs w:val="21"/>
        </w:rPr>
        <w:t>月</w:t>
      </w:r>
      <w:r>
        <w:rPr>
          <w:rFonts w:hint="eastAsia" w:ascii="宋体" w:hAnsi="宋体"/>
          <w:color w:val="000000"/>
          <w:spacing w:val="6"/>
          <w:kern w:val="0"/>
          <w:szCs w:val="21"/>
          <w:u w:val="single"/>
        </w:rPr>
        <w:t xml:space="preserve">      </w:t>
      </w:r>
      <w:r>
        <w:rPr>
          <w:rFonts w:hint="eastAsia" w:ascii="宋体" w:hAnsi="宋体"/>
          <w:color w:val="000000"/>
          <w:spacing w:val="6"/>
          <w:kern w:val="0"/>
          <w:szCs w:val="21"/>
        </w:rPr>
        <w:t>日</w:t>
      </w:r>
    </w:p>
    <w:p>
      <w:pPr>
        <w:pStyle w:val="23"/>
        <w:snapToGrid w:val="0"/>
        <w:spacing w:after="0" w:line="400" w:lineRule="exact"/>
        <w:rPr>
          <w:rFonts w:hint="eastAsia"/>
          <w:b/>
          <w:color w:val="000000"/>
          <w:sz w:val="21"/>
          <w:szCs w:val="21"/>
        </w:rPr>
        <w:sectPr>
          <w:pgSz w:w="11907" w:h="16840"/>
          <w:pgMar w:top="1418" w:right="1134" w:bottom="1418" w:left="1134" w:header="284" w:footer="992" w:gutter="0"/>
          <w:pgBorders w:offsetFrom="page">
            <w:top w:val="none" w:sz="0" w:space="0"/>
            <w:left w:val="none" w:sz="0" w:space="0"/>
            <w:bottom w:val="none" w:sz="0" w:space="0"/>
            <w:right w:val="none" w:sz="0" w:space="0"/>
          </w:pgBorders>
          <w:cols w:space="720" w:num="1"/>
          <w:docGrid w:linePitch="285" w:charSpace="0"/>
        </w:sectPr>
      </w:pPr>
    </w:p>
    <w:p>
      <w:pPr>
        <w:pStyle w:val="23"/>
        <w:snapToGrid w:val="0"/>
        <w:spacing w:line="400" w:lineRule="exact"/>
        <w:rPr>
          <w:rFonts w:hint="eastAsia"/>
          <w:b/>
          <w:color w:val="000000"/>
          <w:sz w:val="21"/>
          <w:szCs w:val="21"/>
        </w:rPr>
      </w:pPr>
      <w:bookmarkStart w:id="117" w:name="_Toc470632932"/>
      <w:r>
        <w:rPr>
          <w:rFonts w:hint="eastAsia"/>
          <w:b/>
          <w:color w:val="000000"/>
          <w:sz w:val="21"/>
          <w:szCs w:val="21"/>
        </w:rPr>
        <w:t>附件四</w:t>
      </w:r>
    </w:p>
    <w:p>
      <w:pPr>
        <w:spacing w:line="400" w:lineRule="exact"/>
        <w:jc w:val="center"/>
        <w:outlineLvl w:val="0"/>
        <w:rPr>
          <w:rFonts w:hint="eastAsia" w:ascii="宋体" w:hAnsi="宋体" w:cs="宋体"/>
          <w:b/>
          <w:color w:val="000000"/>
          <w:szCs w:val="21"/>
        </w:rPr>
      </w:pPr>
      <w:bookmarkStart w:id="118" w:name="_Toc12428987"/>
      <w:bookmarkStart w:id="119" w:name="_Toc12374303"/>
      <w:bookmarkStart w:id="120" w:name="_Toc15106"/>
      <w:bookmarkStart w:id="121" w:name="_Toc26512"/>
      <w:bookmarkStart w:id="122" w:name="_Toc529781151"/>
      <w:bookmarkStart w:id="123" w:name="_Toc12376828"/>
      <w:r>
        <w:rPr>
          <w:rFonts w:hint="eastAsia" w:ascii="宋体" w:hAnsi="宋体" w:cs="宋体"/>
          <w:b/>
          <w:color w:val="000000"/>
          <w:szCs w:val="21"/>
        </w:rPr>
        <w:t>法定代表人身份证明</w:t>
      </w:r>
      <w:bookmarkEnd w:id="117"/>
      <w:bookmarkEnd w:id="118"/>
      <w:bookmarkEnd w:id="119"/>
      <w:bookmarkEnd w:id="120"/>
      <w:bookmarkEnd w:id="121"/>
      <w:bookmarkEnd w:id="122"/>
      <w:bookmarkEnd w:id="123"/>
    </w:p>
    <w:p>
      <w:pPr>
        <w:spacing w:line="400" w:lineRule="exact"/>
        <w:jc w:val="center"/>
        <w:outlineLvl w:val="0"/>
        <w:rPr>
          <w:rFonts w:hint="eastAsia" w:ascii="宋体" w:hAnsi="宋体" w:cs="宋体"/>
          <w:b/>
          <w:color w:val="000000"/>
          <w:szCs w:val="21"/>
        </w:rPr>
      </w:pPr>
    </w:p>
    <w:p>
      <w:pPr>
        <w:spacing w:after="120" w:afterLines="50" w:line="400" w:lineRule="exact"/>
        <w:rPr>
          <w:rFonts w:hint="eastAsia" w:ascii="宋体" w:hAnsi="宋体" w:cs="宋体"/>
          <w:color w:val="000000"/>
          <w:szCs w:val="21"/>
          <w:u w:val="single"/>
        </w:rPr>
      </w:pPr>
      <w:r>
        <w:rPr>
          <w:rFonts w:hint="eastAsia" w:ascii="宋体" w:hAnsi="宋体" w:cs="宋体"/>
          <w:color w:val="000000"/>
          <w:szCs w:val="21"/>
        </w:rPr>
        <w:t>供应商名称：</w:t>
      </w:r>
      <w:r>
        <w:rPr>
          <w:rFonts w:hint="eastAsia" w:ascii="宋体" w:hAnsi="宋体" w:cs="宋体"/>
          <w:color w:val="000000"/>
          <w:szCs w:val="21"/>
          <w:u w:val="single"/>
        </w:rPr>
        <w:t xml:space="preserve">                                  </w:t>
      </w:r>
    </w:p>
    <w:p>
      <w:pPr>
        <w:spacing w:after="120" w:afterLines="50" w:line="400" w:lineRule="exact"/>
        <w:rPr>
          <w:rFonts w:hint="eastAsia" w:ascii="宋体" w:hAnsi="宋体" w:cs="宋体"/>
          <w:color w:val="000000"/>
          <w:szCs w:val="21"/>
          <w:u w:val="single"/>
        </w:rPr>
      </w:pPr>
      <w:r>
        <w:rPr>
          <w:rFonts w:hint="eastAsia" w:ascii="宋体" w:hAnsi="宋体" w:cs="宋体"/>
          <w:color w:val="000000"/>
          <w:szCs w:val="21"/>
        </w:rPr>
        <w:t>单位性质：</w:t>
      </w:r>
      <w:r>
        <w:rPr>
          <w:rFonts w:hint="eastAsia" w:ascii="宋体" w:hAnsi="宋体" w:cs="宋体"/>
          <w:color w:val="000000"/>
          <w:szCs w:val="21"/>
          <w:u w:val="single"/>
        </w:rPr>
        <w:t xml:space="preserve">                                    </w:t>
      </w:r>
    </w:p>
    <w:p>
      <w:pPr>
        <w:spacing w:after="120" w:afterLines="50" w:line="400" w:lineRule="exact"/>
        <w:rPr>
          <w:rFonts w:hint="eastAsia" w:ascii="宋体" w:hAnsi="宋体" w:cs="宋体"/>
          <w:color w:val="000000"/>
          <w:szCs w:val="21"/>
          <w:u w:val="single"/>
        </w:rPr>
      </w:pPr>
      <w:r>
        <w:rPr>
          <w:rFonts w:hint="eastAsia" w:ascii="宋体" w:hAnsi="宋体" w:cs="宋体"/>
          <w:color w:val="000000"/>
          <w:szCs w:val="21"/>
        </w:rPr>
        <w:t>地址：</w:t>
      </w:r>
      <w:r>
        <w:rPr>
          <w:rFonts w:hint="eastAsia" w:ascii="宋体" w:hAnsi="宋体" w:cs="宋体"/>
          <w:color w:val="000000"/>
          <w:szCs w:val="21"/>
          <w:u w:val="single"/>
        </w:rPr>
        <w:t xml:space="preserve">                                        </w:t>
      </w:r>
    </w:p>
    <w:p>
      <w:pPr>
        <w:spacing w:after="120" w:afterLines="50" w:line="400" w:lineRule="exact"/>
        <w:rPr>
          <w:rFonts w:hint="eastAsia" w:ascii="宋体" w:hAnsi="宋体" w:cs="宋体"/>
          <w:color w:val="000000"/>
          <w:szCs w:val="21"/>
          <w:u w:val="single"/>
        </w:rPr>
      </w:pPr>
      <w:r>
        <w:rPr>
          <w:rFonts w:hint="eastAsia" w:ascii="宋体" w:hAnsi="宋体" w:cs="宋体"/>
          <w:color w:val="000000"/>
          <w:szCs w:val="21"/>
        </w:rPr>
        <w:t>成立时间：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after="120" w:afterLines="50" w:line="400" w:lineRule="exact"/>
        <w:rPr>
          <w:rFonts w:hint="eastAsia" w:ascii="宋体" w:hAnsi="宋体" w:cs="宋体"/>
          <w:color w:val="000000"/>
          <w:szCs w:val="21"/>
          <w:u w:val="single"/>
        </w:rPr>
      </w:pPr>
      <w:r>
        <w:rPr>
          <w:rFonts w:hint="eastAsia" w:ascii="宋体" w:hAnsi="宋体" w:cs="宋体"/>
          <w:color w:val="000000"/>
          <w:szCs w:val="21"/>
        </w:rPr>
        <w:t>经营期限：</w:t>
      </w:r>
      <w:r>
        <w:rPr>
          <w:rFonts w:hint="eastAsia" w:ascii="宋体" w:hAnsi="宋体" w:cs="宋体"/>
          <w:color w:val="000000"/>
          <w:szCs w:val="21"/>
          <w:u w:val="single"/>
        </w:rPr>
        <w:t xml:space="preserve">                                     </w:t>
      </w:r>
    </w:p>
    <w:p>
      <w:pPr>
        <w:spacing w:after="120" w:afterLines="50" w:line="400" w:lineRule="exact"/>
        <w:rPr>
          <w:rFonts w:hint="eastAsia" w:ascii="宋体" w:hAnsi="宋体" w:cs="宋体"/>
          <w:color w:val="000000"/>
          <w:szCs w:val="21"/>
          <w:u w:val="single"/>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 xml:space="preserve">  性别：</w:t>
      </w:r>
      <w:r>
        <w:rPr>
          <w:rFonts w:hint="eastAsia" w:ascii="宋体" w:hAnsi="宋体" w:cs="宋体"/>
          <w:color w:val="000000"/>
          <w:szCs w:val="21"/>
          <w:u w:val="single"/>
        </w:rPr>
        <w:t xml:space="preserve">         </w:t>
      </w:r>
      <w:r>
        <w:rPr>
          <w:rFonts w:hint="eastAsia" w:ascii="宋体" w:hAnsi="宋体" w:cs="宋体"/>
          <w:color w:val="000000"/>
          <w:szCs w:val="21"/>
        </w:rPr>
        <w:t xml:space="preserve">  年龄：</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color w:val="000000"/>
        </w:rPr>
        <w:t>职务：</w:t>
      </w:r>
      <w:r>
        <w:rPr>
          <w:rFonts w:hint="eastAsia"/>
          <w:color w:val="000000"/>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after="120" w:afterLines="50" w:line="400" w:lineRule="exact"/>
        <w:rPr>
          <w:rFonts w:hint="eastAsia" w:ascii="宋体" w:hAnsi="宋体" w:cs="宋体"/>
          <w:color w:val="000000"/>
          <w:szCs w:val="21"/>
          <w:u w:val="single"/>
        </w:rPr>
      </w:pPr>
      <w:r>
        <w:rPr>
          <w:rFonts w:hint="eastAsia" w:ascii="宋体" w:hAnsi="宋体" w:cs="宋体"/>
          <w:color w:val="000000"/>
          <w:szCs w:val="21"/>
        </w:rPr>
        <w:t>身份证号码：</w:t>
      </w:r>
      <w:r>
        <w:rPr>
          <w:rFonts w:hint="eastAsia" w:ascii="宋体" w:hAnsi="宋体" w:cs="宋体"/>
          <w:color w:val="000000"/>
          <w:szCs w:val="21"/>
          <w:u w:val="single"/>
        </w:rPr>
        <w:t xml:space="preserve">                           </w:t>
      </w:r>
    </w:p>
    <w:p>
      <w:pPr>
        <w:spacing w:line="400" w:lineRule="exact"/>
        <w:ind w:firstLine="560"/>
        <w:rPr>
          <w:rFonts w:hint="eastAsia" w:ascii="宋体" w:hAnsi="宋体" w:cs="宋体"/>
          <w:color w:val="000000"/>
          <w:szCs w:val="21"/>
        </w:rPr>
      </w:pPr>
    </w:p>
    <w:p>
      <w:pPr>
        <w:spacing w:line="400" w:lineRule="exact"/>
        <w:rPr>
          <w:rFonts w:hint="eastAsia" w:ascii="宋体" w:hAnsi="宋体" w:cs="宋体"/>
          <w:color w:val="000000"/>
          <w:szCs w:val="21"/>
        </w:rPr>
      </w:pPr>
      <w:r>
        <w:rPr>
          <w:rFonts w:hint="eastAsia" w:ascii="宋体" w:hAnsi="宋体" w:cs="宋体"/>
          <w:color w:val="000000"/>
          <w:szCs w:val="21"/>
        </w:rPr>
        <w:t xml:space="preserve">    系</w:t>
      </w:r>
      <w:r>
        <w:rPr>
          <w:rFonts w:hint="eastAsia" w:ascii="宋体" w:hAnsi="宋体" w:cs="宋体"/>
          <w:color w:val="000000"/>
          <w:szCs w:val="21"/>
          <w:u w:val="single"/>
        </w:rPr>
        <w:t xml:space="preserve">                          </w:t>
      </w:r>
      <w:r>
        <w:rPr>
          <w:rFonts w:hint="eastAsia" w:ascii="宋体" w:hAnsi="宋体" w:cs="宋体"/>
          <w:color w:val="000000"/>
          <w:szCs w:val="21"/>
        </w:rPr>
        <w:t>（供应商名称）的法定代表人。</w:t>
      </w:r>
    </w:p>
    <w:p>
      <w:pPr>
        <w:spacing w:line="400" w:lineRule="exact"/>
        <w:ind w:firstLine="560"/>
        <w:rPr>
          <w:rFonts w:hint="eastAsia" w:ascii="宋体" w:hAnsi="宋体" w:cs="宋体"/>
          <w:color w:val="000000"/>
          <w:szCs w:val="21"/>
        </w:rPr>
      </w:pPr>
    </w:p>
    <w:p>
      <w:pPr>
        <w:spacing w:line="400" w:lineRule="exact"/>
        <w:rPr>
          <w:rFonts w:hint="eastAsia" w:ascii="宋体" w:hAnsi="宋体" w:cs="宋体"/>
          <w:color w:val="000000"/>
          <w:szCs w:val="21"/>
        </w:rPr>
      </w:pPr>
      <w:r>
        <w:rPr>
          <w:rFonts w:hint="eastAsia" w:ascii="宋体" w:hAnsi="宋体" w:cs="宋体"/>
          <w:color w:val="000000"/>
          <w:szCs w:val="21"/>
        </w:rPr>
        <w:t>特此证明。</w:t>
      </w:r>
    </w:p>
    <w:p>
      <w:pPr>
        <w:spacing w:line="400" w:lineRule="exact"/>
        <w:rPr>
          <w:rFonts w:hint="eastAsia" w:ascii="宋体" w:hAnsi="宋体" w:cs="宋体"/>
          <w:color w:val="000000"/>
          <w:szCs w:val="21"/>
        </w:rPr>
      </w:pPr>
    </w:p>
    <w:p>
      <w:pPr>
        <w:spacing w:line="400" w:lineRule="exact"/>
        <w:rPr>
          <w:rFonts w:hint="eastAsia" w:ascii="宋体" w:hAnsi="宋体" w:cs="宋体"/>
          <w:color w:val="000000"/>
          <w:szCs w:val="21"/>
        </w:rPr>
      </w:pPr>
      <w:r>
        <w:rPr>
          <w:rFonts w:hint="eastAsia" w:ascii="宋体" w:hAnsi="宋体" w:cs="宋体"/>
          <w:color w:val="000000"/>
          <w:szCs w:val="21"/>
        </w:rPr>
        <w:t>供应商（盖章）：</w:t>
      </w:r>
    </w:p>
    <w:p>
      <w:pPr>
        <w:spacing w:line="400" w:lineRule="exact"/>
        <w:ind w:right="560"/>
        <w:rPr>
          <w:rFonts w:hint="eastAsia" w:ascii="宋体" w:hAnsi="宋体" w:cs="宋体"/>
          <w:color w:val="000000"/>
          <w:szCs w:val="21"/>
        </w:rPr>
      </w:pPr>
      <w:r>
        <w:rPr>
          <w:rFonts w:hint="eastAsia" w:ascii="宋体" w:hAnsi="宋体" w:cs="宋体"/>
          <w:color w:val="000000"/>
          <w:szCs w:val="21"/>
        </w:rPr>
        <w:t>日期：   年    月    日</w:t>
      </w:r>
    </w:p>
    <w:p>
      <w:pPr>
        <w:spacing w:line="400" w:lineRule="exact"/>
        <w:ind w:right="560"/>
        <w:rPr>
          <w:rFonts w:hint="eastAsia" w:ascii="宋体" w:hAnsi="宋体" w:cs="宋体"/>
          <w:color w:val="000000"/>
          <w:szCs w:val="21"/>
        </w:rPr>
      </w:pPr>
      <w:r>
        <w:rPr>
          <w:rFonts w:hint="eastAsia" w:ascii="宋体" w:hAnsi="宋体" w:cs="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1277620</wp:posOffset>
                </wp:positionV>
                <wp:extent cx="5962015" cy="2179320"/>
                <wp:effectExtent l="5080" t="4445" r="14605" b="6985"/>
                <wp:wrapSquare wrapText="bothSides"/>
                <wp:docPr id="1" name="文本框 3"/>
                <wp:cNvGraphicFramePr/>
                <a:graphic xmlns:a="http://schemas.openxmlformats.org/drawingml/2006/main">
                  <a:graphicData uri="http://schemas.microsoft.com/office/word/2010/wordprocessingShape">
                    <wps:wsp>
                      <wps:cNvSpPr txBox="1"/>
                      <wps:spPr>
                        <a:xfrm>
                          <a:off x="0" y="0"/>
                          <a:ext cx="5962015"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30"/>
                                <w:szCs w:val="30"/>
                              </w:rPr>
                            </w:pPr>
                          </w:p>
                          <w:p>
                            <w:pPr>
                              <w:spacing w:line="360" w:lineRule="auto"/>
                              <w:rPr>
                                <w:rFonts w:hint="eastAsia"/>
                                <w:sz w:val="28"/>
                                <w:szCs w:val="28"/>
                              </w:rPr>
                            </w:pPr>
                          </w:p>
                          <w:p>
                            <w:pPr>
                              <w:spacing w:line="360" w:lineRule="auto"/>
                              <w:jc w:val="center"/>
                              <w:rPr>
                                <w:rFonts w:hint="eastAsia"/>
                                <w:szCs w:val="21"/>
                              </w:rPr>
                            </w:pPr>
                            <w:r>
                              <w:rPr>
                                <w:rFonts w:ascii="宋体" w:hAnsi="宋体"/>
                                <w:szCs w:val="21"/>
                              </w:rPr>
                              <w:t>法定代表人</w:t>
                            </w:r>
                            <w:r>
                              <w:rPr>
                                <w:rFonts w:hint="eastAsia"/>
                                <w:szCs w:val="21"/>
                              </w:rPr>
                              <w:t>身份证复印件粘贴处（正、反面）</w:t>
                            </w:r>
                          </w:p>
                          <w:p>
                            <w:pPr>
                              <w:jc w:val="center"/>
                              <w:rPr>
                                <w:rFonts w:hint="eastAsia"/>
                                <w:sz w:val="28"/>
                                <w:szCs w:val="28"/>
                              </w:rPr>
                            </w:pPr>
                          </w:p>
                        </w:txbxContent>
                      </wps:txbx>
                      <wps:bodyPr wrap="square" upright="1"/>
                    </wps:wsp>
                  </a:graphicData>
                </a:graphic>
              </wp:anchor>
            </w:drawing>
          </mc:Choice>
          <mc:Fallback>
            <w:pict>
              <v:shape id="文本框 3" o:spid="_x0000_s1026" o:spt="202" type="#_x0000_t202" style="position:absolute;left:0pt;margin-left:0pt;margin-top:100.6pt;height:171.6pt;width:469.45pt;mso-wrap-distance-bottom:0pt;mso-wrap-distance-left:9pt;mso-wrap-distance-right:9pt;mso-wrap-distance-top:0pt;z-index:251659264;mso-width-relative:page;mso-height-relative:page;" fillcolor="#FFFFFF" filled="t" stroked="t" coordsize="21600,21600" o:gfxdata="UEsDBAoAAAAAAIdO4kAAAAAAAAAAAAAAAAAEAAAAZHJzL1BLAwQUAAAACACHTuJAu1ti2NgAAAAI AQAADwAAAGRycy9kb3ducmV2LnhtbE2PzU7DMBCE70i8g7VIXBC1k4aShGx6QALBrRQEVzfeJhH+ CbablrfHnOA4mtHMN836ZDSbyYfRWYRsIYCR7ZwabY/w9vpwXQILUVoltbOE8E0B1u35WSNr5Y72 heZt7FkqsaGWCEOMU8156AYyMizcRDZ5e+eNjEn6nisvj6ncaJ4LseJGjjYtDHKi+4G6z+3BIJTF 0/wRnpeb926111W8up0fvzzi5UUm7oBFOsW/MPziJ3RoE9POHawKTCOkIxEhF1kOLNnVsqyA7RBu iqIA3jb8/4H2B1BLAwQUAAAACACHTuJACczrKhYCAABFBAAADgAAAGRycy9lMm9Eb2MueG1srVNL jhMxEN0jcQfLe9JJRhlIK52RIIQNAqSBA1Tc7m5L/uFy0p0LwA1YsWHPuXKOKTsh84FFFvTCXbbL r+q9qlrcDEaznQyonK34ZDTmTFrhamXbin/5vH7xijOMYGvQzsqK7yXym+XzZ4vel3LqOqdrGRiB WCx7X/EuRl8WBYpOGsCR89LSZeOCgUjb0BZ1gJ7QjS6m4/F10btQ++CERKTT1fGSnxDDJYCuaZSQ Kye2Rtp4RA1SQyRK2CmPfJmzbRop4semQRmZrjgxjXmlIGRv0losF1C2AXynxCkFuCSFJ5wMKEtB z1AriMC2Qf0FZZQIDl0TR8KZ4kgkK0IsJuMn2tx24GXmQlKjP4uO/w9WfNh9CkzV1AmcWTBU8MOP 74efvw+/vrGrJE/vsSSvW09+cXjthuR6Okc6TKyHJpj0Jz6M7knc/VlcOUQm6HA2vyaKM84E3U0n L+dX0yx/cf/cB4zvpDMsGRUPVL0sKuzeY6SQ5PrHJUVDp1W9VlrnTWg3b3RgO6BKr/OXsqQnj9y0 ZX3F57NpSgSofRtqGzKNJwnQtjneoxf4EHicv38Bp8RWgN0xgYyQ3KA0KsqQrU5C/dbWLO49yWxp unhKxsiaMy1pGJOVPSMofYknsdOWSKYaHWuRrDhsBoJJ5sbVe6pbTw1O9L5uIVDMrQ+q7UjgXMf8 mLora3WahNS+D/c5xP30L+8AUEsDBAoAAAAAAIdO4kAAAAAAAAAAAAAAAAAGAAAAX3JlbHMvUEsD BBQAAAAIAIdO4kCKFGY80QAAAJQBAAALAAAAX3JlbHMvLnJlbHOlkMFqwzAMhu+DvYPRfXGawxij Ti+j0GvpHsDYimMaW0Yy2fr28w6DZfS2o36h7xP//vCZFrUiS6RsYNf1oDA78jEHA++X49MLKKk2 e7tQRgM3FDiMjw/7My62tiOZYxHVKFkMzLWWV63FzZisdFQwt81EnGxtIwddrLvagHro+2fNvxkw bpjq5A3wyQ+gLrfSzH/YKTomoal2jpKmaYruHlUHtmWO7sg24Ru5RrMcsBrwLBoHalnXfgR9X7/7 p97TRz7jutV+h4zrj1dvuhy/AFBLAwQUAAAACACHTuJAfublIPcAAADhAQAAEwAAAFtDb250ZW50 X1R5cGVzXS54bWyVkUFOwzAQRfdI3MHyFiVOu0AIJemCtEtAqBxgZE8Si2RseUxob4+TthtEkVja M/+/J7vcHMZBTBjYOqrkKi+kQNLOWOoq+b7fZQ9ScAQyMDjCSh6R5aa+vSn3R48sUpq4kn2M/lEp 1j2OwLnzSGnSujBCTMfQKQ/6AzpU66K4V9pRRIpZnDtkXTbYwucQxfaQrk8mAQeW4um0OLMqCd4P VkNMpmoi84OSnQl5Si473FvPd0lDql8J8+Q64Jx7SU8TrEHxCiE+w5g0lAmsjPuigFP+d8lsOXLm 2tZqzJvATYq94XSxutaOa9c4/d/y7ZK6dKvlg+pvUEsBAhQAFAAAAAgAh07iQH7m5SD3AAAA4QEA ABMAAAAAAAAAAQAgAAAAhwQAAFtDb250ZW50X1R5cGVzXS54bWxQSwECFAAKAAAAAACHTuJAAAAA AAAAAAAAAAAABgAAAAAAAAAAABAAAABpAwAAX3JlbHMvUEsBAhQAFAAAAAgAh07iQIoUZjzRAAAA lAEAAAsAAAAAAAAAAQAgAAAAjQMAAF9yZWxzLy5yZWxzUEsBAhQACgAAAAAAh07iQAAAAAAAAAAA AAAAAAQAAAAAAAAAAAAQAAAAAAAAAGRycy9QSwECFAAUAAAACACHTuJAu1ti2NgAAAAIAQAADwAA AAAAAAABACAAAAAiAAAAZHJzL2Rvd25yZXYueG1sUEsBAhQAFAAAAAgAh07iQAnM6yoWAgAARQQA AA4AAAAAAAAAAQAgAAAAJwEAAGRycy9lMm9Eb2MueG1sUEsFBgAAAAAGAAYAWQEAAK8FAAAAAA== ">
                <v:fill on="t" focussize="0,0"/>
                <v:stroke color="#000000" joinstyle="miter"/>
                <v:imagedata o:title=""/>
                <o:lock v:ext="edit" aspectratio="f"/>
                <v:textbox>
                  <w:txbxContent>
                    <w:p>
                      <w:pPr>
                        <w:jc w:val="center"/>
                        <w:rPr>
                          <w:rFonts w:hint="eastAsia"/>
                          <w:sz w:val="30"/>
                          <w:szCs w:val="30"/>
                        </w:rPr>
                      </w:pPr>
                    </w:p>
                    <w:p>
                      <w:pPr>
                        <w:spacing w:line="360" w:lineRule="auto"/>
                        <w:rPr>
                          <w:rFonts w:hint="eastAsia"/>
                          <w:sz w:val="28"/>
                          <w:szCs w:val="28"/>
                        </w:rPr>
                      </w:pPr>
                    </w:p>
                    <w:p>
                      <w:pPr>
                        <w:spacing w:line="360" w:lineRule="auto"/>
                        <w:jc w:val="center"/>
                        <w:rPr>
                          <w:rFonts w:hint="eastAsia"/>
                          <w:szCs w:val="21"/>
                        </w:rPr>
                      </w:pPr>
                      <w:r>
                        <w:rPr>
                          <w:rFonts w:ascii="宋体" w:hAnsi="宋体"/>
                          <w:szCs w:val="21"/>
                        </w:rPr>
                        <w:t>法定代表人</w:t>
                      </w:r>
                      <w:r>
                        <w:rPr>
                          <w:rFonts w:hint="eastAsia"/>
                          <w:szCs w:val="21"/>
                        </w:rPr>
                        <w:t>身份证复印件粘贴处（正、反面）</w:t>
                      </w:r>
                    </w:p>
                    <w:p>
                      <w:pPr>
                        <w:jc w:val="center"/>
                        <w:rPr>
                          <w:rFonts w:hint="eastAsia"/>
                          <w:sz w:val="28"/>
                          <w:szCs w:val="28"/>
                        </w:rPr>
                      </w:pPr>
                    </w:p>
                  </w:txbxContent>
                </v:textbox>
                <w10:wrap type="square"/>
              </v:shape>
            </w:pict>
          </mc:Fallback>
        </mc:AlternateContent>
      </w:r>
    </w:p>
    <w:p>
      <w:pPr>
        <w:spacing w:line="400" w:lineRule="exact"/>
        <w:ind w:right="560"/>
        <w:rPr>
          <w:rFonts w:hint="eastAsia" w:ascii="宋体" w:hAnsi="宋体" w:cs="宋体"/>
          <w:color w:val="000000"/>
          <w:szCs w:val="21"/>
        </w:rPr>
      </w:pPr>
    </w:p>
    <w:p>
      <w:pPr>
        <w:spacing w:line="400" w:lineRule="exact"/>
        <w:rPr>
          <w:rFonts w:hint="eastAsia" w:ascii="宋体" w:hAnsi="宋体" w:cs="宋体"/>
          <w:color w:val="000000"/>
          <w:szCs w:val="21"/>
        </w:rPr>
      </w:pPr>
      <w:r>
        <w:rPr>
          <w:rFonts w:hint="eastAsia" w:ascii="宋体" w:hAnsi="宋体" w:cs="宋体"/>
          <w:color w:val="000000"/>
          <w:szCs w:val="21"/>
        </w:rPr>
        <w:t>附：法定代表人身份证复印件</w:t>
      </w:r>
    </w:p>
    <w:p>
      <w:pPr>
        <w:spacing w:line="400" w:lineRule="exact"/>
        <w:jc w:val="left"/>
        <w:rPr>
          <w:rStyle w:val="110"/>
          <w:rFonts w:hint="eastAsia" w:ascii="宋体" w:hAnsi="宋体" w:cs="宋体"/>
          <w:color w:val="000000"/>
          <w:sz w:val="21"/>
          <w:szCs w:val="21"/>
        </w:rPr>
      </w:pPr>
    </w:p>
    <w:p>
      <w:pPr>
        <w:spacing w:line="400" w:lineRule="exact"/>
        <w:jc w:val="left"/>
        <w:rPr>
          <w:rStyle w:val="110"/>
          <w:rFonts w:hint="eastAsia" w:ascii="宋体" w:hAnsi="宋体" w:cs="宋体"/>
          <w:color w:val="000000"/>
          <w:sz w:val="21"/>
          <w:szCs w:val="21"/>
        </w:rPr>
      </w:pPr>
    </w:p>
    <w:p>
      <w:pPr>
        <w:spacing w:line="400" w:lineRule="exact"/>
        <w:jc w:val="left"/>
        <w:rPr>
          <w:rStyle w:val="110"/>
          <w:rFonts w:hint="eastAsia" w:ascii="宋体" w:hAnsi="宋体" w:cs="宋体"/>
          <w:color w:val="000000"/>
          <w:sz w:val="21"/>
          <w:szCs w:val="21"/>
        </w:rPr>
      </w:pPr>
    </w:p>
    <w:p>
      <w:pPr>
        <w:spacing w:line="400" w:lineRule="exact"/>
        <w:jc w:val="left"/>
        <w:rPr>
          <w:rFonts w:hint="eastAsia" w:ascii="宋体" w:hAnsi="宋体" w:cs="宋体"/>
          <w:b/>
          <w:color w:val="000000"/>
          <w:szCs w:val="21"/>
        </w:rPr>
      </w:pPr>
      <w:r>
        <w:rPr>
          <w:rFonts w:hint="eastAsia" w:ascii="宋体" w:hAnsi="宋体" w:cs="宋体"/>
          <w:b/>
          <w:color w:val="000000"/>
          <w:szCs w:val="21"/>
        </w:rPr>
        <w:t>附件五</w:t>
      </w:r>
    </w:p>
    <w:p>
      <w:pPr>
        <w:spacing w:line="400" w:lineRule="exact"/>
        <w:jc w:val="center"/>
        <w:rPr>
          <w:rFonts w:hint="eastAsia" w:ascii="宋体" w:hAnsi="宋体" w:cs="宋体"/>
          <w:b/>
          <w:color w:val="000000"/>
          <w:szCs w:val="21"/>
        </w:rPr>
      </w:pPr>
      <w:r>
        <w:rPr>
          <w:rFonts w:hint="eastAsia" w:ascii="宋体" w:hAnsi="宋体" w:cs="宋体"/>
          <w:b/>
          <w:color w:val="000000"/>
          <w:szCs w:val="21"/>
        </w:rPr>
        <w:t>法定代表人授权书</w:t>
      </w:r>
    </w:p>
    <w:p>
      <w:pPr>
        <w:spacing w:line="400" w:lineRule="exact"/>
        <w:jc w:val="center"/>
        <w:rPr>
          <w:rFonts w:hint="eastAsia" w:ascii="宋体" w:hAnsi="宋体" w:cs="宋体"/>
          <w:b/>
          <w:color w:val="000000"/>
          <w:szCs w:val="21"/>
        </w:rPr>
      </w:pPr>
      <w:r>
        <w:rPr>
          <w:rFonts w:hint="eastAsia" w:ascii="宋体" w:hAnsi="宋体" w:cs="宋体"/>
          <w:color w:val="000000"/>
          <w:szCs w:val="21"/>
        </w:rPr>
        <w:t>（投标文件由授权代表签字的）</w:t>
      </w:r>
    </w:p>
    <w:p>
      <w:pPr>
        <w:spacing w:line="400" w:lineRule="exact"/>
        <w:rPr>
          <w:rFonts w:hint="eastAsia" w:ascii="宋体" w:hAnsi="宋体" w:cs="宋体"/>
          <w:color w:val="000000"/>
          <w:szCs w:val="21"/>
        </w:rPr>
      </w:pPr>
      <w:r>
        <w:rPr>
          <w:rFonts w:hint="eastAsia" w:ascii="宋体" w:hAnsi="宋体" w:cs="宋体"/>
          <w:color w:val="000000"/>
          <w:szCs w:val="21"/>
        </w:rPr>
        <w:t>致：采购人</w:t>
      </w:r>
    </w:p>
    <w:p>
      <w:pPr>
        <w:spacing w:line="400" w:lineRule="exact"/>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u w:val="single"/>
        </w:rPr>
        <w:t>（供应商全称）</w:t>
      </w:r>
      <w:r>
        <w:rPr>
          <w:rFonts w:hint="eastAsia" w:ascii="宋体" w:hAnsi="宋体" w:cs="宋体"/>
          <w:color w:val="000000"/>
          <w:szCs w:val="21"/>
        </w:rPr>
        <w:t>法定代表人</w:t>
      </w:r>
      <w:r>
        <w:rPr>
          <w:rFonts w:hint="eastAsia" w:ascii="宋体" w:hAnsi="宋体" w:cs="宋体"/>
          <w:color w:val="000000"/>
          <w:szCs w:val="21"/>
          <w:u w:val="single"/>
        </w:rPr>
        <w:t>（法定代表人姓名）</w:t>
      </w:r>
      <w:r>
        <w:rPr>
          <w:rFonts w:hint="eastAsia" w:ascii="宋体" w:hAnsi="宋体" w:cs="宋体"/>
          <w:color w:val="000000"/>
          <w:szCs w:val="21"/>
        </w:rPr>
        <w:t>授权</w:t>
      </w:r>
      <w:r>
        <w:rPr>
          <w:rFonts w:hint="eastAsia" w:ascii="宋体" w:hAnsi="宋体" w:cs="宋体"/>
          <w:color w:val="000000"/>
          <w:szCs w:val="21"/>
          <w:u w:val="single"/>
        </w:rPr>
        <w:t xml:space="preserve"> （授权代表姓名）</w:t>
      </w:r>
      <w:r>
        <w:rPr>
          <w:rFonts w:hint="eastAsia" w:ascii="宋体" w:hAnsi="宋体" w:cs="宋体"/>
          <w:color w:val="000000"/>
          <w:szCs w:val="21"/>
        </w:rPr>
        <w:t>为授权代表，参加</w:t>
      </w:r>
      <w:r>
        <w:rPr>
          <w:rFonts w:hint="eastAsia" w:ascii="宋体" w:hAnsi="宋体" w:cs="宋体"/>
          <w:color w:val="000000"/>
          <w:szCs w:val="21"/>
          <w:u w:val="single"/>
        </w:rPr>
        <w:t>宁波杭州湾新区智能终端产业园区配套小学、幼儿园智慧校园采购项目</w:t>
      </w:r>
      <w:r>
        <w:rPr>
          <w:rFonts w:hint="eastAsia" w:ascii="宋体" w:hAnsi="宋体" w:cs="宋体"/>
          <w:color w:val="000000"/>
          <w:szCs w:val="21"/>
        </w:rPr>
        <w:t>，采购编号为</w:t>
      </w:r>
      <w:r>
        <w:rPr>
          <w:rFonts w:hint="eastAsia" w:ascii="宋体" w:hAnsi="宋体" w:cs="宋体"/>
          <w:color w:val="000000"/>
          <w:szCs w:val="21"/>
          <w:u w:val="single"/>
        </w:rPr>
        <w:t xml:space="preserve">                   </w:t>
      </w:r>
      <w:r>
        <w:rPr>
          <w:rFonts w:hint="eastAsia" w:ascii="宋体" w:hAnsi="宋体" w:cs="宋体"/>
          <w:color w:val="000000"/>
          <w:szCs w:val="21"/>
        </w:rPr>
        <w:t>，子包号为</w:t>
      </w:r>
      <w:r>
        <w:rPr>
          <w:rFonts w:hint="eastAsia" w:ascii="宋体" w:hAnsi="宋体" w:cs="宋体"/>
          <w:color w:val="000000"/>
          <w:szCs w:val="21"/>
          <w:u w:val="single"/>
        </w:rPr>
        <w:t xml:space="preserve">      </w:t>
      </w:r>
      <w:r>
        <w:rPr>
          <w:rFonts w:hint="eastAsia" w:ascii="宋体" w:hAnsi="宋体" w:cs="宋体"/>
          <w:color w:val="000000"/>
          <w:szCs w:val="21"/>
        </w:rPr>
        <w:t>，其在招投标活动中的一切活动本公司均予承认。</w:t>
      </w:r>
    </w:p>
    <w:p>
      <w:pPr>
        <w:spacing w:line="400" w:lineRule="exact"/>
        <w:jc w:val="left"/>
        <w:rPr>
          <w:rFonts w:hint="eastAsia" w:ascii="宋体" w:hAnsi="宋体" w:cs="宋体"/>
          <w:color w:val="000000"/>
          <w:szCs w:val="21"/>
        </w:rPr>
      </w:pPr>
    </w:p>
    <w:p>
      <w:pPr>
        <w:spacing w:line="400" w:lineRule="exact"/>
        <w:jc w:val="left"/>
        <w:rPr>
          <w:rFonts w:hint="eastAsia" w:ascii="宋体" w:hAnsi="宋体" w:cs="宋体"/>
          <w:color w:val="000000"/>
          <w:szCs w:val="21"/>
        </w:rPr>
      </w:pPr>
      <w:r>
        <w:rPr>
          <w:rFonts w:hint="eastAsia" w:ascii="宋体" w:hAnsi="宋体" w:cs="宋体"/>
          <w:color w:val="000000"/>
          <w:szCs w:val="21"/>
        </w:rPr>
        <w:t>供应商（盖章）：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400" w:lineRule="exact"/>
        <w:jc w:val="left"/>
        <w:rPr>
          <w:rFonts w:hint="eastAsia" w:ascii="宋体" w:hAnsi="宋体" w:cs="宋体"/>
          <w:color w:val="000000"/>
          <w:szCs w:val="21"/>
        </w:rPr>
      </w:pPr>
      <w:r>
        <w:rPr>
          <w:rFonts w:hint="eastAsia" w:ascii="宋体" w:hAnsi="宋体" w:cs="宋体"/>
          <w:color w:val="000000"/>
          <w:szCs w:val="21"/>
        </w:rPr>
        <w:t>法定代表人（签字）：</w:t>
      </w:r>
      <w:r>
        <w:rPr>
          <w:rFonts w:hint="eastAsia" w:ascii="宋体" w:hAnsi="宋体" w:cs="宋体"/>
          <w:color w:val="000000"/>
          <w:szCs w:val="21"/>
          <w:u w:val="single"/>
        </w:rPr>
        <w:t xml:space="preserve">                  </w:t>
      </w:r>
    </w:p>
    <w:p>
      <w:pPr>
        <w:spacing w:line="400" w:lineRule="exact"/>
        <w:rPr>
          <w:rFonts w:hint="eastAsia" w:ascii="宋体" w:hAnsi="宋体" w:cs="宋体"/>
          <w:color w:val="000000"/>
          <w:szCs w:val="21"/>
          <w:u w:val="single"/>
        </w:rPr>
      </w:pPr>
      <w:r>
        <w:rPr>
          <w:rFonts w:hint="eastAsia" w:ascii="宋体" w:hAnsi="宋体" w:cs="宋体"/>
          <w:color w:val="000000"/>
          <w:szCs w:val="21"/>
        </w:rPr>
        <w:t>日            期：</w:t>
      </w:r>
      <w:r>
        <w:rPr>
          <w:rFonts w:hint="eastAsia" w:ascii="宋体" w:hAnsi="宋体" w:cs="宋体"/>
          <w:color w:val="000000"/>
          <w:szCs w:val="21"/>
          <w:u w:val="single"/>
        </w:rPr>
        <w:t xml:space="preserve">                             </w:t>
      </w:r>
    </w:p>
    <w:p>
      <w:pPr>
        <w:spacing w:line="400" w:lineRule="exact"/>
        <w:rPr>
          <w:rFonts w:hint="eastAsia" w:ascii="宋体" w:hAnsi="宋体" w:cs="宋体"/>
          <w:color w:val="000000"/>
          <w:szCs w:val="21"/>
        </w:rPr>
      </w:pPr>
    </w:p>
    <w:p>
      <w:pPr>
        <w:spacing w:line="400" w:lineRule="exact"/>
        <w:rPr>
          <w:rFonts w:hint="eastAsia" w:ascii="宋体" w:hAnsi="宋体" w:cs="宋体"/>
          <w:color w:val="000000"/>
          <w:szCs w:val="21"/>
        </w:rPr>
      </w:pPr>
    </w:p>
    <w:p>
      <w:pPr>
        <w:spacing w:line="400" w:lineRule="exact"/>
        <w:rPr>
          <w:rFonts w:hint="eastAsia" w:ascii="宋体" w:hAnsi="宋体" w:cs="宋体"/>
          <w:color w:val="000000"/>
          <w:szCs w:val="21"/>
        </w:rPr>
      </w:pPr>
      <w:r>
        <w:rPr>
          <w:rFonts w:hint="eastAsia" w:ascii="宋体" w:hAnsi="宋体" w:cs="宋体"/>
          <w:color w:val="000000"/>
          <w:szCs w:val="21"/>
        </w:rPr>
        <w:t>附：</w:t>
      </w:r>
    </w:p>
    <w:p>
      <w:pPr>
        <w:spacing w:line="400" w:lineRule="exact"/>
        <w:ind w:firstLine="555"/>
        <w:rPr>
          <w:rFonts w:hint="eastAsia" w:ascii="宋体" w:hAnsi="宋体" w:cs="宋体"/>
          <w:color w:val="000000"/>
          <w:szCs w:val="21"/>
          <w:u w:val="single"/>
        </w:rPr>
      </w:pPr>
      <w:r>
        <w:rPr>
          <w:rFonts w:hint="eastAsia" w:ascii="宋体" w:hAnsi="宋体" w:cs="宋体"/>
          <w:color w:val="000000"/>
          <w:szCs w:val="21"/>
        </w:rPr>
        <w:t>授权代表姓名：</w:t>
      </w:r>
      <w:r>
        <w:rPr>
          <w:rFonts w:hint="eastAsia" w:ascii="宋体" w:hAnsi="宋体" w:cs="宋体"/>
          <w:color w:val="000000"/>
          <w:szCs w:val="21"/>
          <w:u w:val="single"/>
        </w:rPr>
        <w:t xml:space="preserve">                 </w:t>
      </w:r>
    </w:p>
    <w:p>
      <w:pPr>
        <w:spacing w:line="400" w:lineRule="exact"/>
        <w:ind w:firstLine="555"/>
        <w:rPr>
          <w:rFonts w:hint="eastAsia" w:ascii="宋体" w:hAnsi="宋体" w:cs="宋体"/>
          <w:color w:val="000000"/>
          <w:szCs w:val="21"/>
          <w:u w:val="single"/>
        </w:rPr>
      </w:pPr>
      <w:r>
        <w:rPr>
          <w:rFonts w:hint="eastAsia" w:ascii="宋体" w:hAnsi="宋体" w:cs="宋体"/>
          <w:color w:val="000000"/>
          <w:szCs w:val="21"/>
        </w:rPr>
        <w:t>授权代表身份证号码：</w:t>
      </w:r>
      <w:r>
        <w:rPr>
          <w:rFonts w:hint="eastAsia" w:ascii="宋体" w:hAnsi="宋体" w:cs="宋体"/>
          <w:color w:val="000000"/>
          <w:szCs w:val="21"/>
          <w:u w:val="single"/>
        </w:rPr>
        <w:t xml:space="preserve">           </w:t>
      </w:r>
    </w:p>
    <w:p>
      <w:pPr>
        <w:spacing w:line="400" w:lineRule="exact"/>
        <w:rPr>
          <w:rFonts w:hint="eastAsia" w:ascii="宋体" w:hAnsi="宋体" w:cs="宋体"/>
          <w:color w:val="000000"/>
          <w:szCs w:val="21"/>
          <w:u w:val="single"/>
        </w:rPr>
      </w:pPr>
      <w:r>
        <w:rPr>
          <w:rFonts w:hint="eastAsia" w:ascii="宋体" w:hAnsi="宋体" w:cs="宋体"/>
          <w:color w:val="000000"/>
          <w:szCs w:val="21"/>
        </w:rPr>
        <w:t xml:space="preserve">     职务：</w:t>
      </w:r>
      <w:r>
        <w:rPr>
          <w:rFonts w:hint="eastAsia" w:ascii="宋体" w:hAnsi="宋体" w:cs="宋体"/>
          <w:color w:val="000000"/>
          <w:szCs w:val="21"/>
          <w:u w:val="single"/>
        </w:rPr>
        <w:t xml:space="preserve">               　</w:t>
      </w:r>
    </w:p>
    <w:p>
      <w:pPr>
        <w:spacing w:line="400" w:lineRule="exact"/>
        <w:rPr>
          <w:rFonts w:hint="eastAsia" w:ascii="宋体" w:hAnsi="宋体" w:cs="宋体"/>
          <w:color w:val="000000"/>
          <w:szCs w:val="21"/>
          <w:u w:val="single"/>
        </w:rPr>
      </w:pPr>
      <w:r>
        <w:rPr>
          <w:rFonts w:hint="eastAsia" w:ascii="宋体" w:hAnsi="宋体" w:cs="宋体"/>
          <w:color w:val="000000"/>
          <w:szCs w:val="21"/>
        </w:rPr>
        <w:t xml:space="preserve">     详细通讯地址：</w:t>
      </w:r>
      <w:r>
        <w:rPr>
          <w:rFonts w:hint="eastAsia" w:ascii="宋体" w:hAnsi="宋体" w:cs="宋体"/>
          <w:color w:val="000000"/>
          <w:szCs w:val="21"/>
          <w:u w:val="single"/>
        </w:rPr>
        <w:t xml:space="preserve">                                  </w:t>
      </w:r>
    </w:p>
    <w:p>
      <w:pPr>
        <w:spacing w:line="400" w:lineRule="exact"/>
        <w:ind w:firstLine="525" w:firstLineChars="250"/>
        <w:rPr>
          <w:rFonts w:hint="eastAsia" w:ascii="宋体" w:hAnsi="宋体" w:cs="宋体"/>
          <w:color w:val="000000"/>
          <w:szCs w:val="21"/>
          <w:u w:val="single"/>
        </w:rPr>
      </w:pPr>
      <w:r>
        <w:rPr>
          <w:rFonts w:hint="eastAsia" w:ascii="宋体" w:hAnsi="宋体" w:cs="宋体"/>
          <w:color w:val="000000"/>
          <w:szCs w:val="21"/>
        </w:rPr>
        <w:t>传真：</w:t>
      </w:r>
      <w:r>
        <w:rPr>
          <w:rFonts w:hint="eastAsia" w:ascii="宋体" w:hAnsi="宋体" w:cs="宋体"/>
          <w:color w:val="000000"/>
          <w:szCs w:val="21"/>
          <w:u w:val="single"/>
        </w:rPr>
        <w:t xml:space="preserve">         </w:t>
      </w:r>
      <w:r>
        <w:rPr>
          <w:rFonts w:hint="eastAsia" w:ascii="宋体" w:hAnsi="宋体" w:cs="宋体"/>
          <w:color w:val="000000"/>
          <w:szCs w:val="21"/>
        </w:rPr>
        <w:t xml:space="preserve"> 电话：</w:t>
      </w:r>
      <w:r>
        <w:rPr>
          <w:rFonts w:hint="eastAsia" w:ascii="宋体" w:hAnsi="宋体" w:cs="宋体"/>
          <w:color w:val="000000"/>
          <w:szCs w:val="21"/>
          <w:u w:val="single"/>
        </w:rPr>
        <w:t xml:space="preserve">         </w:t>
      </w:r>
      <w:r>
        <w:rPr>
          <w:rFonts w:hint="eastAsia" w:ascii="宋体" w:hAnsi="宋体" w:cs="宋体"/>
          <w:color w:val="000000"/>
          <w:szCs w:val="21"/>
        </w:rPr>
        <w:t xml:space="preserve"> 邮编：</w:t>
      </w:r>
      <w:r>
        <w:rPr>
          <w:rFonts w:hint="eastAsia" w:ascii="宋体" w:hAnsi="宋体" w:cs="宋体"/>
          <w:color w:val="000000"/>
          <w:szCs w:val="21"/>
          <w:u w:val="single"/>
        </w:rPr>
        <w:t xml:space="preserve">          </w:t>
      </w:r>
    </w:p>
    <w:p>
      <w:pPr>
        <w:spacing w:line="400" w:lineRule="exact"/>
        <w:ind w:firstLine="517" w:firstLineChars="250"/>
        <w:jc w:val="center"/>
        <w:rPr>
          <w:rStyle w:val="110"/>
          <w:rFonts w:hint="eastAsia" w:ascii="宋体" w:hAnsi="宋体" w:cs="宋体"/>
          <w:color w:val="000000"/>
          <w:sz w:val="21"/>
          <w:szCs w:val="21"/>
        </w:rPr>
      </w:pPr>
    </w:p>
    <w:p>
      <w:pPr>
        <w:spacing w:line="400" w:lineRule="exact"/>
        <w:ind w:firstLine="517" w:firstLineChars="250"/>
        <w:jc w:val="center"/>
        <w:rPr>
          <w:rStyle w:val="110"/>
          <w:rFonts w:hint="eastAsia" w:ascii="宋体" w:hAnsi="宋体" w:cs="宋体"/>
          <w:color w:val="000000"/>
          <w:sz w:val="21"/>
          <w:szCs w:val="21"/>
        </w:rPr>
      </w:pPr>
    </w:p>
    <w:p>
      <w:pPr>
        <w:spacing w:line="400" w:lineRule="exact"/>
        <w:jc w:val="left"/>
        <w:rPr>
          <w:rFonts w:hint="eastAsia" w:ascii="宋体" w:hAnsi="宋体" w:cs="宋体"/>
          <w:color w:val="000000"/>
          <w:szCs w:val="21"/>
        </w:rPr>
      </w:pPr>
    </w:p>
    <w:p>
      <w:pPr>
        <w:spacing w:line="400" w:lineRule="exact"/>
        <w:jc w:val="left"/>
        <w:rPr>
          <w:rFonts w:hint="eastAsia" w:ascii="宋体" w:hAnsi="宋体" w:cs="宋体"/>
          <w:color w:val="000000"/>
          <w:szCs w:val="21"/>
        </w:rPr>
      </w:pPr>
      <w:r>
        <w:rPr>
          <w:rFonts w:hint="eastAsia" w:ascii="宋体" w:hAnsi="宋体" w:cs="宋体"/>
          <w:color w:val="000000"/>
          <w:szCs w:val="21"/>
        </w:rPr>
        <w:t>后附：授权代表身份证复印件加盖供应商公章</w:t>
      </w:r>
    </w:p>
    <w:p>
      <w:pPr>
        <w:spacing w:line="400" w:lineRule="exact"/>
        <w:jc w:val="left"/>
        <w:rPr>
          <w:rFonts w:hint="eastAsia" w:ascii="宋体" w:hAnsi="宋体" w:cs="宋体"/>
          <w:b/>
          <w:color w:val="000000"/>
          <w:szCs w:val="21"/>
        </w:rPr>
      </w:pPr>
      <w:r>
        <w:rPr>
          <w:rStyle w:val="110"/>
          <w:rFonts w:hint="eastAsia" w:ascii="宋体" w:hAnsi="宋体" w:cs="宋体"/>
          <w:color w:val="000000"/>
          <w:sz w:val="21"/>
          <w:szCs w:val="21"/>
        </w:rPr>
        <w:br w:type="page"/>
      </w:r>
      <w:r>
        <w:rPr>
          <w:rStyle w:val="110"/>
          <w:rFonts w:hint="eastAsia" w:ascii="宋体" w:hAnsi="宋体" w:cs="宋体"/>
          <w:color w:val="000000"/>
          <w:sz w:val="21"/>
          <w:szCs w:val="21"/>
        </w:rPr>
        <w:t>附件六</w:t>
      </w:r>
    </w:p>
    <w:p>
      <w:pPr>
        <w:spacing w:line="400" w:lineRule="exact"/>
        <w:jc w:val="left"/>
        <w:rPr>
          <w:rFonts w:hint="eastAsia" w:ascii="宋体" w:hAnsi="宋体" w:cs="宋体"/>
          <w:b/>
          <w:bCs/>
          <w:color w:val="000000"/>
          <w:szCs w:val="21"/>
        </w:rPr>
      </w:pPr>
    </w:p>
    <w:p>
      <w:pPr>
        <w:spacing w:line="400" w:lineRule="exact"/>
        <w:jc w:val="center"/>
        <w:rPr>
          <w:rFonts w:hint="eastAsia" w:ascii="宋体" w:hAnsi="宋体" w:cs="宋体"/>
          <w:b/>
          <w:color w:val="000000"/>
          <w:szCs w:val="21"/>
        </w:rPr>
      </w:pPr>
      <w:r>
        <w:rPr>
          <w:rFonts w:hint="eastAsia" w:ascii="宋体" w:hAnsi="宋体" w:cs="宋体"/>
          <w:b/>
          <w:color w:val="000000"/>
          <w:szCs w:val="21"/>
        </w:rPr>
        <w:t>关于资格的声明函</w:t>
      </w:r>
    </w:p>
    <w:p>
      <w:pPr>
        <w:spacing w:line="400" w:lineRule="exact"/>
        <w:ind w:left="540" w:firstLine="30"/>
        <w:jc w:val="center"/>
        <w:rPr>
          <w:rFonts w:hint="eastAsia" w:ascii="宋体" w:hAnsi="宋体" w:cs="宋体"/>
          <w:b/>
          <w:color w:val="000000"/>
          <w:szCs w:val="21"/>
        </w:rPr>
      </w:pPr>
    </w:p>
    <w:p>
      <w:pPr>
        <w:spacing w:line="400" w:lineRule="exact"/>
        <w:rPr>
          <w:rFonts w:hint="eastAsia" w:ascii="宋体" w:hAnsi="宋体" w:cs="宋体"/>
          <w:color w:val="000000"/>
          <w:szCs w:val="21"/>
        </w:rPr>
      </w:pPr>
      <w:r>
        <w:rPr>
          <w:rFonts w:hint="eastAsia" w:ascii="宋体" w:hAnsi="宋体" w:cs="宋体"/>
          <w:color w:val="000000"/>
          <w:szCs w:val="21"/>
        </w:rPr>
        <w:t>致：采购人</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关于贵方对采购编号为</w:t>
      </w:r>
      <w:r>
        <w:rPr>
          <w:rFonts w:hint="eastAsia" w:ascii="宋体" w:hAnsi="宋体" w:cs="宋体"/>
          <w:color w:val="000000"/>
          <w:szCs w:val="21"/>
          <w:u w:val="single"/>
        </w:rPr>
        <w:t xml:space="preserve">                        </w:t>
      </w:r>
      <w:r>
        <w:rPr>
          <w:rFonts w:hint="eastAsia" w:ascii="宋体" w:hAnsi="宋体" w:cs="宋体"/>
          <w:color w:val="000000"/>
          <w:szCs w:val="21"/>
        </w:rPr>
        <w:t>，子包号</w:t>
      </w:r>
      <w:r>
        <w:rPr>
          <w:rFonts w:hint="eastAsia" w:ascii="宋体" w:hAnsi="宋体" w:cs="宋体"/>
          <w:color w:val="000000"/>
          <w:szCs w:val="21"/>
          <w:u w:val="single"/>
        </w:rPr>
        <w:t xml:space="preserve">     </w:t>
      </w:r>
      <w:r>
        <w:rPr>
          <w:rFonts w:hint="eastAsia" w:ascii="宋体" w:hAnsi="宋体" w:cs="宋体"/>
          <w:color w:val="000000"/>
          <w:szCs w:val="21"/>
        </w:rPr>
        <w:t>的</w:t>
      </w:r>
      <w:r>
        <w:rPr>
          <w:rFonts w:hint="eastAsia" w:ascii="宋体" w:hAnsi="宋体" w:cs="宋体"/>
          <w:color w:val="000000"/>
          <w:szCs w:val="21"/>
          <w:u w:val="single"/>
        </w:rPr>
        <w:t>宁波杭州湾新区智能终端产业园区配套小学、幼儿园智慧校园采购项目</w:t>
      </w:r>
      <w:r>
        <w:rPr>
          <w:rFonts w:hint="eastAsia" w:ascii="宋体" w:hAnsi="宋体" w:cs="宋体"/>
          <w:color w:val="000000"/>
          <w:szCs w:val="21"/>
        </w:rPr>
        <w:t xml:space="preserve">发出的投标邀请，本单位申明如下： </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我单位符合《中华人民共和国政府采购法》第22条的一般资格条件的规定：</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1、具有独立承担民事责任的能力；</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2、具有良好的商业信誉和健全的财务会计制度；</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3、具有履行合同所必需的设备和专业技术能力；</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4、有依法缴纳税收和社会保障资金的良好记录；</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5、参加政府采购活动前三年内，在经营活动中没有重大违法记录；</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6、法律、行政法规规定的其他条件。</w:t>
      </w:r>
    </w:p>
    <w:p>
      <w:pPr>
        <w:spacing w:line="400" w:lineRule="exact"/>
        <w:ind w:firstLine="420" w:firstLineChars="200"/>
        <w:rPr>
          <w:rFonts w:hint="eastAsia" w:ascii="宋体" w:hAnsi="宋体" w:cs="宋体"/>
          <w:color w:val="000000"/>
          <w:szCs w:val="21"/>
        </w:rPr>
      </w:pPr>
    </w:p>
    <w:p>
      <w:pPr>
        <w:spacing w:line="400" w:lineRule="exact"/>
        <w:ind w:firstLine="420" w:firstLineChars="200"/>
        <w:rPr>
          <w:rFonts w:hint="eastAsia" w:ascii="宋体" w:hAnsi="宋体" w:cs="宋体"/>
          <w:color w:val="000000"/>
          <w:szCs w:val="21"/>
        </w:rPr>
      </w:pPr>
    </w:p>
    <w:p>
      <w:pPr>
        <w:spacing w:line="400" w:lineRule="exact"/>
        <w:ind w:firstLine="420" w:firstLineChars="200"/>
        <w:rPr>
          <w:rFonts w:hint="eastAsia" w:ascii="宋体" w:hAnsi="宋体" w:cs="宋体"/>
          <w:color w:val="000000"/>
          <w:szCs w:val="21"/>
        </w:rPr>
      </w:pPr>
    </w:p>
    <w:p>
      <w:pPr>
        <w:spacing w:line="400" w:lineRule="atLeast"/>
        <w:jc w:val="left"/>
        <w:rPr>
          <w:rFonts w:hint="eastAsia" w:ascii="宋体" w:hAnsi="宋体" w:cs="宋体"/>
          <w:color w:val="000000"/>
          <w:szCs w:val="21"/>
        </w:rPr>
      </w:pPr>
      <w:r>
        <w:rPr>
          <w:rFonts w:hint="eastAsia" w:ascii="宋体" w:hAnsi="宋体" w:cs="宋体"/>
          <w:color w:val="000000"/>
          <w:szCs w:val="21"/>
        </w:rPr>
        <w:t>供应商（盖章）：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400" w:lineRule="atLeast"/>
        <w:jc w:val="left"/>
        <w:rPr>
          <w:rFonts w:hint="eastAsia" w:ascii="宋体" w:hAnsi="宋体" w:cs="宋体"/>
          <w:color w:val="000000"/>
          <w:szCs w:val="21"/>
        </w:rPr>
      </w:pPr>
      <w:r>
        <w:rPr>
          <w:rFonts w:hint="eastAsia" w:ascii="宋体" w:hAnsi="宋体" w:cs="宋体"/>
          <w:color w:val="000000"/>
          <w:szCs w:val="21"/>
        </w:rPr>
        <w:t>法定代表人或授权代表（签字）：</w:t>
      </w:r>
      <w:r>
        <w:rPr>
          <w:rFonts w:hint="eastAsia" w:ascii="宋体" w:hAnsi="宋体" w:cs="宋体"/>
          <w:color w:val="000000"/>
          <w:szCs w:val="21"/>
          <w:u w:val="single"/>
        </w:rPr>
        <w:t xml:space="preserve">                  </w:t>
      </w:r>
    </w:p>
    <w:p>
      <w:pPr>
        <w:spacing w:line="400" w:lineRule="atLeast"/>
        <w:rPr>
          <w:rFonts w:hint="eastAsia" w:ascii="宋体" w:hAnsi="宋体" w:cs="宋体"/>
          <w:color w:val="000000"/>
          <w:szCs w:val="21"/>
          <w:u w:val="single"/>
        </w:rPr>
      </w:pPr>
      <w:r>
        <w:rPr>
          <w:rFonts w:hint="eastAsia" w:ascii="宋体" w:hAnsi="宋体" w:cs="宋体"/>
          <w:color w:val="000000"/>
          <w:szCs w:val="21"/>
        </w:rPr>
        <w:t>日            期：</w:t>
      </w:r>
      <w:r>
        <w:rPr>
          <w:rFonts w:hint="eastAsia" w:ascii="宋体" w:hAnsi="宋体" w:cs="宋体"/>
          <w:color w:val="000000"/>
          <w:szCs w:val="21"/>
          <w:u w:val="single"/>
        </w:rPr>
        <w:t xml:space="preserve">                             </w:t>
      </w:r>
    </w:p>
    <w:p>
      <w:pPr>
        <w:spacing w:line="400" w:lineRule="exact"/>
        <w:ind w:firstLine="517" w:firstLineChars="250"/>
        <w:jc w:val="center"/>
        <w:rPr>
          <w:rStyle w:val="110"/>
          <w:rFonts w:hint="eastAsia" w:ascii="宋体" w:hAnsi="宋体" w:cs="宋体"/>
          <w:color w:val="000000"/>
          <w:sz w:val="21"/>
          <w:szCs w:val="21"/>
        </w:rPr>
      </w:pPr>
    </w:p>
    <w:p>
      <w:pPr>
        <w:spacing w:line="400" w:lineRule="exact"/>
        <w:jc w:val="left"/>
        <w:rPr>
          <w:rFonts w:hint="eastAsia" w:ascii="宋体" w:hAnsi="宋体" w:cs="宋体"/>
          <w:b/>
          <w:color w:val="000000"/>
          <w:szCs w:val="21"/>
        </w:rPr>
      </w:pPr>
      <w:r>
        <w:rPr>
          <w:rStyle w:val="110"/>
          <w:rFonts w:hint="eastAsia" w:ascii="宋体" w:hAnsi="宋体" w:cs="宋体"/>
          <w:color w:val="000000"/>
          <w:sz w:val="21"/>
          <w:szCs w:val="21"/>
        </w:rPr>
        <w:br w:type="page"/>
      </w:r>
      <w:r>
        <w:rPr>
          <w:rStyle w:val="110"/>
          <w:rFonts w:hint="eastAsia" w:ascii="宋体" w:hAnsi="宋体" w:cs="宋体"/>
          <w:color w:val="000000"/>
          <w:sz w:val="21"/>
          <w:szCs w:val="21"/>
        </w:rPr>
        <w:t>附件七</w:t>
      </w:r>
    </w:p>
    <w:p>
      <w:pPr>
        <w:spacing w:line="400" w:lineRule="exact"/>
        <w:jc w:val="center"/>
        <w:rPr>
          <w:rFonts w:hint="eastAsia" w:ascii="宋体" w:hAnsi="宋体" w:cs="宋体"/>
          <w:b/>
          <w:color w:val="000000"/>
          <w:szCs w:val="21"/>
        </w:rPr>
      </w:pPr>
      <w:r>
        <w:rPr>
          <w:rFonts w:hint="eastAsia" w:ascii="宋体" w:hAnsi="宋体" w:cs="宋体"/>
          <w:b/>
          <w:color w:val="000000"/>
          <w:szCs w:val="21"/>
        </w:rPr>
        <w:t>无重大违法记录声明函</w:t>
      </w:r>
    </w:p>
    <w:p>
      <w:pPr>
        <w:spacing w:line="400" w:lineRule="exact"/>
        <w:rPr>
          <w:rFonts w:hint="eastAsia" w:ascii="宋体" w:hAnsi="宋体" w:cs="宋体"/>
          <w:color w:val="000000"/>
          <w:szCs w:val="21"/>
        </w:rPr>
      </w:pPr>
    </w:p>
    <w:p>
      <w:pPr>
        <w:spacing w:line="400" w:lineRule="exact"/>
        <w:rPr>
          <w:rFonts w:hint="eastAsia" w:ascii="宋体" w:hAnsi="宋体" w:cs="宋体"/>
          <w:b/>
          <w:color w:val="000000"/>
          <w:szCs w:val="21"/>
        </w:rPr>
      </w:pPr>
      <w:r>
        <w:rPr>
          <w:rFonts w:hint="eastAsia" w:ascii="宋体" w:hAnsi="宋体" w:cs="宋体"/>
          <w:color w:val="000000"/>
          <w:szCs w:val="21"/>
        </w:rPr>
        <w:t>致：采购人</w:t>
      </w:r>
    </w:p>
    <w:p>
      <w:pPr>
        <w:spacing w:line="400" w:lineRule="exact"/>
        <w:ind w:firstLine="420" w:firstLineChars="200"/>
        <w:rPr>
          <w:rFonts w:hint="eastAsia" w:ascii="宋体" w:hAnsi="宋体" w:cs="宋体"/>
          <w:color w:val="000000"/>
          <w:szCs w:val="21"/>
        </w:rPr>
      </w:pPr>
      <w:r>
        <w:rPr>
          <w:rFonts w:hint="eastAsia" w:ascii="宋体" w:hAnsi="宋体" w:cs="宋体"/>
          <w:bCs/>
          <w:color w:val="000000"/>
          <w:szCs w:val="21"/>
        </w:rPr>
        <w:t>我单位承诺：</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我单位参与本次采购活动前三年内，在经营活动中没有重大违法记录。</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我单位对上述声明的真实性负责。如有虚假，将依法承担相应法律责任。</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特此承诺。</w:t>
      </w:r>
    </w:p>
    <w:p>
      <w:pPr>
        <w:pStyle w:val="41"/>
        <w:spacing w:before="0" w:beforeAutospacing="0" w:after="0" w:afterAutospacing="0" w:line="400" w:lineRule="exact"/>
        <w:ind w:right="159" w:firstLine="660"/>
        <w:jc w:val="both"/>
        <w:rPr>
          <w:rFonts w:hint="eastAsia"/>
          <w:bCs/>
          <w:color w:val="000000"/>
          <w:sz w:val="21"/>
          <w:szCs w:val="21"/>
        </w:rPr>
      </w:pPr>
    </w:p>
    <w:p>
      <w:pPr>
        <w:pStyle w:val="41"/>
        <w:spacing w:before="0" w:beforeAutospacing="0" w:after="0" w:afterAutospacing="0" w:line="400" w:lineRule="exact"/>
        <w:ind w:right="159" w:firstLine="660"/>
        <w:jc w:val="both"/>
        <w:rPr>
          <w:rFonts w:hint="eastAsia"/>
          <w:bCs/>
          <w:color w:val="000000"/>
          <w:sz w:val="21"/>
          <w:szCs w:val="21"/>
        </w:rPr>
      </w:pPr>
    </w:p>
    <w:p>
      <w:pPr>
        <w:spacing w:line="400" w:lineRule="exact"/>
        <w:rPr>
          <w:rFonts w:hint="eastAsia" w:ascii="宋体" w:hAnsi="宋体" w:cs="宋体"/>
          <w:color w:val="000000"/>
          <w:kern w:val="0"/>
          <w:szCs w:val="21"/>
        </w:rPr>
      </w:pPr>
    </w:p>
    <w:p>
      <w:pPr>
        <w:spacing w:line="400" w:lineRule="exact"/>
        <w:rPr>
          <w:rFonts w:hint="eastAsia" w:ascii="宋体" w:hAnsi="宋体" w:cs="宋体"/>
          <w:color w:val="000000"/>
          <w:kern w:val="0"/>
          <w:szCs w:val="21"/>
        </w:rPr>
      </w:pPr>
    </w:p>
    <w:p>
      <w:pPr>
        <w:spacing w:line="400" w:lineRule="exact"/>
        <w:rPr>
          <w:rFonts w:hint="eastAsia" w:ascii="宋体" w:hAnsi="宋体" w:cs="宋体"/>
          <w:color w:val="000000"/>
          <w:kern w:val="0"/>
          <w:szCs w:val="21"/>
        </w:rPr>
      </w:pPr>
    </w:p>
    <w:p>
      <w:pPr>
        <w:spacing w:line="400" w:lineRule="atLeast"/>
        <w:jc w:val="left"/>
        <w:rPr>
          <w:rFonts w:hint="eastAsia" w:ascii="宋体" w:hAnsi="宋体" w:cs="宋体"/>
          <w:color w:val="000000"/>
          <w:szCs w:val="21"/>
        </w:rPr>
      </w:pPr>
      <w:r>
        <w:rPr>
          <w:rFonts w:hint="eastAsia" w:ascii="宋体" w:hAnsi="宋体" w:cs="宋体"/>
          <w:color w:val="000000"/>
          <w:szCs w:val="21"/>
        </w:rPr>
        <w:t>供应商（盖章）：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400" w:lineRule="atLeast"/>
        <w:jc w:val="left"/>
        <w:rPr>
          <w:rFonts w:hint="eastAsia" w:ascii="宋体" w:hAnsi="宋体" w:cs="宋体"/>
          <w:color w:val="000000"/>
          <w:szCs w:val="21"/>
        </w:rPr>
      </w:pPr>
      <w:r>
        <w:rPr>
          <w:rFonts w:hint="eastAsia" w:ascii="宋体" w:hAnsi="宋体" w:cs="宋体"/>
          <w:color w:val="000000"/>
          <w:szCs w:val="21"/>
        </w:rPr>
        <w:t>法定代表人或授权代表（签字）：</w:t>
      </w:r>
      <w:r>
        <w:rPr>
          <w:rFonts w:hint="eastAsia" w:ascii="宋体" w:hAnsi="宋体" w:cs="宋体"/>
          <w:color w:val="000000"/>
          <w:szCs w:val="21"/>
          <w:u w:val="single"/>
        </w:rPr>
        <w:t xml:space="preserve">                  </w:t>
      </w:r>
    </w:p>
    <w:p>
      <w:pPr>
        <w:spacing w:line="400" w:lineRule="atLeast"/>
        <w:rPr>
          <w:rFonts w:hint="eastAsia" w:ascii="宋体" w:hAnsi="宋体" w:cs="宋体"/>
          <w:color w:val="000000"/>
          <w:szCs w:val="21"/>
          <w:u w:val="single"/>
        </w:rPr>
      </w:pPr>
      <w:r>
        <w:rPr>
          <w:rFonts w:hint="eastAsia" w:ascii="宋体" w:hAnsi="宋体" w:cs="宋体"/>
          <w:color w:val="000000"/>
          <w:szCs w:val="21"/>
        </w:rPr>
        <w:t>日            期：</w:t>
      </w:r>
      <w:r>
        <w:rPr>
          <w:rFonts w:hint="eastAsia" w:ascii="宋体" w:hAnsi="宋体" w:cs="宋体"/>
          <w:color w:val="000000"/>
          <w:szCs w:val="21"/>
          <w:u w:val="single"/>
        </w:rPr>
        <w:t xml:space="preserve">                             </w:t>
      </w:r>
    </w:p>
    <w:p>
      <w:pPr>
        <w:pStyle w:val="41"/>
        <w:spacing w:before="0" w:beforeAutospacing="0" w:after="0" w:afterAutospacing="0" w:line="400" w:lineRule="exact"/>
        <w:ind w:right="159" w:firstLine="660"/>
        <w:jc w:val="both"/>
        <w:rPr>
          <w:rFonts w:hint="eastAsia"/>
          <w:bCs/>
          <w:color w:val="000000"/>
          <w:sz w:val="21"/>
          <w:szCs w:val="21"/>
        </w:rPr>
      </w:pPr>
    </w:p>
    <w:p>
      <w:pPr>
        <w:pStyle w:val="41"/>
        <w:spacing w:before="0" w:beforeAutospacing="0" w:after="0" w:afterAutospacing="0" w:line="400" w:lineRule="exact"/>
        <w:ind w:right="159" w:firstLine="660"/>
        <w:jc w:val="both"/>
        <w:rPr>
          <w:rFonts w:hint="eastAsia"/>
          <w:bCs/>
          <w:color w:val="000000"/>
          <w:sz w:val="21"/>
          <w:szCs w:val="21"/>
        </w:rPr>
      </w:pPr>
    </w:p>
    <w:p>
      <w:pPr>
        <w:spacing w:line="400" w:lineRule="exact"/>
        <w:rPr>
          <w:rFonts w:hint="eastAsia" w:ascii="宋体" w:hAnsi="宋体" w:cs="宋体"/>
          <w:bCs/>
          <w:color w:val="000000"/>
          <w:szCs w:val="21"/>
        </w:rPr>
      </w:pPr>
      <w:r>
        <w:rPr>
          <w:rFonts w:hint="eastAsia" w:ascii="宋体" w:hAnsi="宋体" w:cs="宋体"/>
          <w:bCs/>
          <w:color w:val="000000"/>
          <w:szCs w:val="21"/>
        </w:rPr>
        <w:t>注：1、供应商注册成立不足三年的，应就供应商单位成立至参加政府采购活动时段进行承诺。</w:t>
      </w:r>
    </w:p>
    <w:p>
      <w:pPr>
        <w:pStyle w:val="41"/>
        <w:spacing w:before="0" w:beforeAutospacing="0" w:after="0" w:afterAutospacing="0" w:line="400" w:lineRule="exact"/>
        <w:ind w:right="159" w:firstLine="420" w:firstLineChars="200"/>
        <w:jc w:val="both"/>
        <w:rPr>
          <w:rFonts w:hint="eastAsia"/>
          <w:bCs/>
          <w:color w:val="000000"/>
          <w:sz w:val="21"/>
          <w:szCs w:val="21"/>
        </w:rPr>
      </w:pPr>
      <w:r>
        <w:rPr>
          <w:rFonts w:hint="eastAsia"/>
          <w:bCs/>
          <w:color w:val="000000"/>
          <w:sz w:val="21"/>
          <w:szCs w:val="21"/>
        </w:rPr>
        <w:t>2、政府采购法所称重大违法记录：是指供应商因违法经营受到刑事处罚或者责令停产停业、吊销许可证或者执照、较大数额罚款等行政处罚。</w:t>
      </w:r>
    </w:p>
    <w:p>
      <w:pPr>
        <w:spacing w:line="440" w:lineRule="exact"/>
        <w:jc w:val="center"/>
        <w:rPr>
          <w:rStyle w:val="110"/>
          <w:rFonts w:hint="eastAsia" w:ascii="宋体" w:hAnsi="宋体" w:cs="宋体"/>
          <w:color w:val="000000"/>
          <w:sz w:val="21"/>
          <w:szCs w:val="21"/>
        </w:rPr>
      </w:pPr>
    </w:p>
    <w:p>
      <w:pPr>
        <w:spacing w:line="400" w:lineRule="exact"/>
        <w:jc w:val="left"/>
        <w:rPr>
          <w:rFonts w:hint="eastAsia" w:ascii="宋体" w:hAnsi="宋体" w:cs="宋体"/>
          <w:b/>
          <w:color w:val="000000"/>
          <w:szCs w:val="21"/>
        </w:rPr>
      </w:pPr>
      <w:r>
        <w:rPr>
          <w:rStyle w:val="110"/>
          <w:rFonts w:hint="eastAsia" w:ascii="宋体" w:hAnsi="宋体" w:cs="宋体"/>
          <w:color w:val="000000"/>
          <w:sz w:val="21"/>
          <w:szCs w:val="21"/>
        </w:rPr>
        <w:br w:type="page"/>
      </w:r>
      <w:r>
        <w:rPr>
          <w:rStyle w:val="110"/>
          <w:rFonts w:hint="eastAsia" w:ascii="宋体" w:hAnsi="宋体" w:cs="宋体"/>
          <w:color w:val="000000"/>
          <w:sz w:val="21"/>
          <w:szCs w:val="21"/>
        </w:rPr>
        <w:t>附件八</w:t>
      </w:r>
    </w:p>
    <w:p>
      <w:pPr>
        <w:spacing w:line="400" w:lineRule="exact"/>
        <w:ind w:firstLine="527" w:firstLineChars="250"/>
        <w:jc w:val="center"/>
        <w:rPr>
          <w:rFonts w:hint="eastAsia" w:ascii="宋体" w:hAnsi="宋体" w:cs="宋体"/>
          <w:b/>
          <w:color w:val="000000"/>
          <w:szCs w:val="21"/>
        </w:rPr>
      </w:pPr>
      <w:r>
        <w:rPr>
          <w:rFonts w:hint="eastAsia" w:ascii="宋体" w:hAnsi="宋体" w:cs="宋体"/>
          <w:b/>
          <w:color w:val="000000"/>
          <w:szCs w:val="21"/>
        </w:rPr>
        <w:t>供应商一般情况</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4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905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905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905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43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电  话：</w:t>
            </w:r>
          </w:p>
        </w:tc>
        <w:tc>
          <w:tcPr>
            <w:tcW w:w="475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43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传  真：</w:t>
            </w:r>
          </w:p>
        </w:tc>
        <w:tc>
          <w:tcPr>
            <w:tcW w:w="475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43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注册地：</w:t>
            </w:r>
          </w:p>
        </w:tc>
        <w:tc>
          <w:tcPr>
            <w:tcW w:w="475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905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公司的经营范围（请附上有关证书的复印件）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431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从业人员数量</w:t>
            </w:r>
          </w:p>
        </w:tc>
        <w:tc>
          <w:tcPr>
            <w:tcW w:w="47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431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营业收入</w:t>
            </w:r>
          </w:p>
        </w:tc>
        <w:tc>
          <w:tcPr>
            <w:tcW w:w="47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431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其他需要说明的情况</w:t>
            </w:r>
          </w:p>
        </w:tc>
        <w:tc>
          <w:tcPr>
            <w:tcW w:w="47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szCs w:val="21"/>
              </w:rPr>
            </w:pPr>
          </w:p>
        </w:tc>
      </w:tr>
    </w:tbl>
    <w:p>
      <w:pPr>
        <w:spacing w:line="400" w:lineRule="exact"/>
        <w:jc w:val="center"/>
        <w:rPr>
          <w:rFonts w:hint="eastAsia" w:ascii="宋体" w:hAnsi="宋体" w:cs="宋体"/>
          <w:color w:val="000000"/>
          <w:szCs w:val="21"/>
        </w:rPr>
      </w:pPr>
    </w:p>
    <w:p>
      <w:pPr>
        <w:spacing w:line="400" w:lineRule="exact"/>
        <w:jc w:val="left"/>
        <w:rPr>
          <w:rFonts w:hint="eastAsia" w:ascii="宋体" w:hAnsi="宋体" w:cs="宋体"/>
          <w:color w:val="000000"/>
          <w:szCs w:val="21"/>
        </w:rPr>
      </w:pPr>
    </w:p>
    <w:p>
      <w:pPr>
        <w:spacing w:line="400" w:lineRule="exact"/>
        <w:jc w:val="left"/>
        <w:rPr>
          <w:rFonts w:hint="eastAsia" w:ascii="宋体" w:hAnsi="宋体" w:cs="宋体"/>
          <w:color w:val="000000"/>
          <w:szCs w:val="21"/>
        </w:rPr>
      </w:pPr>
      <w:r>
        <w:rPr>
          <w:rFonts w:hint="eastAsia" w:ascii="宋体" w:hAnsi="宋体" w:cs="宋体"/>
          <w:color w:val="000000"/>
          <w:szCs w:val="21"/>
        </w:rPr>
        <w:t>供应商（盖章）：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400" w:lineRule="exact"/>
        <w:jc w:val="left"/>
        <w:rPr>
          <w:rFonts w:hint="eastAsia" w:ascii="宋体" w:hAnsi="宋体" w:cs="宋体"/>
          <w:color w:val="000000"/>
          <w:szCs w:val="21"/>
        </w:rPr>
      </w:pPr>
      <w:r>
        <w:rPr>
          <w:rFonts w:hint="eastAsia" w:ascii="宋体" w:hAnsi="宋体" w:cs="宋体"/>
          <w:color w:val="000000"/>
          <w:szCs w:val="21"/>
        </w:rPr>
        <w:t>法定代表人或授权代表（签字）：</w:t>
      </w:r>
      <w:r>
        <w:rPr>
          <w:rFonts w:hint="eastAsia" w:ascii="宋体" w:hAnsi="宋体" w:cs="宋体"/>
          <w:color w:val="000000"/>
          <w:szCs w:val="21"/>
          <w:u w:val="single"/>
        </w:rPr>
        <w:t xml:space="preserve">                  </w:t>
      </w:r>
    </w:p>
    <w:p>
      <w:pPr>
        <w:spacing w:line="400" w:lineRule="exact"/>
        <w:rPr>
          <w:rFonts w:hint="eastAsia" w:ascii="宋体" w:hAnsi="宋体" w:cs="宋体"/>
          <w:color w:val="000000"/>
          <w:szCs w:val="21"/>
          <w:u w:val="single"/>
        </w:rPr>
      </w:pPr>
      <w:r>
        <w:rPr>
          <w:rFonts w:hint="eastAsia" w:ascii="宋体" w:hAnsi="宋体" w:cs="宋体"/>
          <w:color w:val="000000"/>
          <w:szCs w:val="21"/>
        </w:rPr>
        <w:t>日            期：</w:t>
      </w:r>
      <w:r>
        <w:rPr>
          <w:rFonts w:hint="eastAsia" w:ascii="宋体" w:hAnsi="宋体" w:cs="宋体"/>
          <w:color w:val="000000"/>
          <w:szCs w:val="21"/>
          <w:u w:val="single"/>
        </w:rPr>
        <w:t xml:space="preserve">                             </w:t>
      </w:r>
    </w:p>
    <w:p>
      <w:pPr>
        <w:spacing w:line="400" w:lineRule="exact"/>
        <w:jc w:val="left"/>
        <w:rPr>
          <w:rFonts w:hint="eastAsia" w:ascii="宋体" w:hAnsi="宋体" w:cs="宋体"/>
          <w:b/>
          <w:color w:val="000000"/>
          <w:szCs w:val="21"/>
        </w:rPr>
      </w:pPr>
      <w:r>
        <w:rPr>
          <w:rStyle w:val="110"/>
          <w:rFonts w:hint="eastAsia" w:ascii="宋体" w:hAnsi="宋体" w:cs="宋体"/>
          <w:color w:val="000000"/>
          <w:sz w:val="21"/>
          <w:szCs w:val="21"/>
        </w:rPr>
        <w:br w:type="page"/>
      </w:r>
      <w:r>
        <w:rPr>
          <w:rStyle w:val="110"/>
          <w:rFonts w:hint="eastAsia" w:ascii="宋体" w:hAnsi="宋体" w:cs="宋体"/>
          <w:color w:val="000000"/>
          <w:sz w:val="21"/>
          <w:szCs w:val="21"/>
        </w:rPr>
        <w:t>附件九</w:t>
      </w:r>
    </w:p>
    <w:p>
      <w:pPr>
        <w:spacing w:line="400" w:lineRule="exact"/>
        <w:jc w:val="left"/>
        <w:rPr>
          <w:rStyle w:val="110"/>
          <w:rFonts w:hint="eastAsia" w:ascii="宋体" w:hAnsi="宋体" w:cs="宋体"/>
          <w:color w:val="000000"/>
          <w:sz w:val="21"/>
          <w:szCs w:val="21"/>
        </w:rPr>
      </w:pPr>
    </w:p>
    <w:p>
      <w:pPr>
        <w:spacing w:line="400" w:lineRule="exact"/>
        <w:jc w:val="center"/>
        <w:rPr>
          <w:rFonts w:hint="eastAsia" w:ascii="宋体" w:hAnsi="宋体" w:cs="宋体"/>
          <w:b/>
          <w:color w:val="000000"/>
          <w:spacing w:val="20"/>
          <w:szCs w:val="21"/>
        </w:rPr>
      </w:pPr>
      <w:r>
        <w:rPr>
          <w:rFonts w:hint="eastAsia" w:ascii="宋体" w:hAnsi="宋体" w:cs="宋体"/>
          <w:b/>
          <w:color w:val="000000"/>
          <w:szCs w:val="21"/>
        </w:rPr>
        <w:t>商务条款响应表</w:t>
      </w:r>
    </w:p>
    <w:p>
      <w:pPr>
        <w:spacing w:line="400" w:lineRule="exact"/>
        <w:ind w:left="540"/>
        <w:jc w:val="center"/>
        <w:rPr>
          <w:rFonts w:hint="eastAsia" w:ascii="宋体" w:hAnsi="宋体" w:cs="宋体"/>
          <w:b/>
          <w:color w:val="000000"/>
          <w:szCs w:val="21"/>
        </w:rPr>
      </w:pPr>
    </w:p>
    <w:p>
      <w:pPr>
        <w:adjustRightInd w:val="0"/>
        <w:snapToGrid w:val="0"/>
        <w:spacing w:line="400" w:lineRule="exact"/>
        <w:rPr>
          <w:rFonts w:hint="eastAsia" w:ascii="宋体" w:hAnsi="宋体" w:cs="宋体"/>
          <w:color w:val="000000"/>
          <w:szCs w:val="21"/>
        </w:rPr>
      </w:pPr>
      <w:r>
        <w:rPr>
          <w:rFonts w:hint="eastAsia" w:ascii="宋体" w:hAnsi="宋体" w:cs="宋体"/>
          <w:color w:val="000000"/>
          <w:szCs w:val="21"/>
        </w:rPr>
        <w:t>项目名称：</w:t>
      </w:r>
      <w:r>
        <w:rPr>
          <w:rFonts w:hint="eastAsia" w:ascii="宋体" w:hAnsi="宋体" w:cs="宋体"/>
          <w:color w:val="000000"/>
          <w:szCs w:val="21"/>
          <w:u w:val="single"/>
        </w:rPr>
        <w:t>宁波杭州湾新区智能终端产业园区配套小学、幼儿园智慧校园采购项目</w:t>
      </w:r>
      <w:r>
        <w:rPr>
          <w:rFonts w:hint="eastAsia" w:ascii="宋体" w:hAnsi="宋体" w:cs="宋体"/>
          <w:color w:val="000000"/>
          <w:szCs w:val="21"/>
        </w:rPr>
        <w:t xml:space="preserve">            </w:t>
      </w:r>
    </w:p>
    <w:p>
      <w:pPr>
        <w:adjustRightInd w:val="0"/>
        <w:snapToGrid w:val="0"/>
        <w:spacing w:line="400" w:lineRule="exact"/>
        <w:rPr>
          <w:rFonts w:hint="eastAsia" w:ascii="宋体" w:hAnsi="宋体" w:cs="宋体"/>
          <w:color w:val="000000"/>
          <w:szCs w:val="21"/>
        </w:rPr>
      </w:pPr>
      <w:r>
        <w:rPr>
          <w:rFonts w:hint="eastAsia" w:ascii="宋体" w:hAnsi="宋体" w:cs="宋体"/>
          <w:color w:val="000000"/>
          <w:szCs w:val="21"/>
        </w:rPr>
        <w:t>采购编号：</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adjustRightInd w:val="0"/>
        <w:snapToGrid w:val="0"/>
        <w:spacing w:line="400" w:lineRule="exact"/>
        <w:rPr>
          <w:rFonts w:hint="eastAsia" w:ascii="宋体" w:hAnsi="宋体" w:cs="宋体"/>
          <w:color w:val="000000"/>
          <w:szCs w:val="21"/>
          <w:u w:val="single"/>
        </w:rPr>
      </w:pPr>
      <w:r>
        <w:rPr>
          <w:rFonts w:hint="eastAsia" w:ascii="宋体" w:hAnsi="宋体" w:cs="宋体"/>
          <w:color w:val="000000"/>
          <w:szCs w:val="21"/>
        </w:rPr>
        <w:t xml:space="preserve">子包号：              </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2824" w:type="dxa"/>
            <w:noWrap w:val="0"/>
            <w:vAlign w:val="center"/>
          </w:tcPr>
          <w:p>
            <w:pPr>
              <w:adjustRightInd w:val="0"/>
              <w:snapToGrid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招标要求</w:t>
            </w:r>
          </w:p>
        </w:tc>
        <w:tc>
          <w:tcPr>
            <w:tcW w:w="2835" w:type="dxa"/>
            <w:noWrap w:val="0"/>
            <w:vAlign w:val="center"/>
          </w:tcPr>
          <w:p>
            <w:pPr>
              <w:adjustRightInd w:val="0"/>
              <w:snapToGrid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投标响应</w:t>
            </w:r>
          </w:p>
        </w:tc>
        <w:tc>
          <w:tcPr>
            <w:tcW w:w="2369" w:type="dxa"/>
            <w:noWrap w:val="0"/>
            <w:vAlign w:val="center"/>
          </w:tcPr>
          <w:p>
            <w:pPr>
              <w:adjustRightInd w:val="0"/>
              <w:snapToGrid w:val="0"/>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color w:val="000000"/>
                <w:szCs w:val="21"/>
              </w:rPr>
            </w:pPr>
          </w:p>
        </w:tc>
        <w:tc>
          <w:tcPr>
            <w:tcW w:w="2824" w:type="dxa"/>
            <w:noWrap w:val="0"/>
            <w:vAlign w:val="center"/>
          </w:tcPr>
          <w:p>
            <w:pPr>
              <w:adjustRightInd w:val="0"/>
              <w:snapToGrid w:val="0"/>
              <w:spacing w:line="400" w:lineRule="exact"/>
              <w:jc w:val="center"/>
              <w:rPr>
                <w:rFonts w:hint="eastAsia" w:ascii="宋体" w:hAnsi="宋体" w:eastAsia="宋体" w:cs="宋体"/>
                <w:color w:val="000000"/>
                <w:szCs w:val="21"/>
              </w:rPr>
            </w:pPr>
          </w:p>
        </w:tc>
        <w:tc>
          <w:tcPr>
            <w:tcW w:w="2835" w:type="dxa"/>
            <w:noWrap w:val="0"/>
            <w:vAlign w:val="center"/>
          </w:tcPr>
          <w:p>
            <w:pPr>
              <w:adjustRightInd w:val="0"/>
              <w:snapToGrid w:val="0"/>
              <w:spacing w:line="400" w:lineRule="exact"/>
              <w:jc w:val="center"/>
              <w:rPr>
                <w:rFonts w:hint="eastAsia" w:ascii="宋体" w:hAnsi="宋体" w:eastAsia="宋体" w:cs="宋体"/>
                <w:color w:val="000000"/>
                <w:szCs w:val="21"/>
              </w:rPr>
            </w:pPr>
          </w:p>
        </w:tc>
        <w:tc>
          <w:tcPr>
            <w:tcW w:w="2369" w:type="dxa"/>
            <w:noWrap w:val="0"/>
            <w:vAlign w:val="center"/>
          </w:tcPr>
          <w:p>
            <w:pPr>
              <w:adjustRightInd w:val="0"/>
              <w:snapToGrid w:val="0"/>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color w:val="000000"/>
                <w:szCs w:val="21"/>
              </w:rPr>
            </w:pPr>
          </w:p>
        </w:tc>
        <w:tc>
          <w:tcPr>
            <w:tcW w:w="2824" w:type="dxa"/>
            <w:noWrap w:val="0"/>
            <w:vAlign w:val="center"/>
          </w:tcPr>
          <w:p>
            <w:pPr>
              <w:adjustRightInd w:val="0"/>
              <w:snapToGrid w:val="0"/>
              <w:spacing w:line="400" w:lineRule="exact"/>
              <w:jc w:val="center"/>
              <w:rPr>
                <w:rFonts w:hint="eastAsia" w:ascii="宋体" w:hAnsi="宋体" w:eastAsia="宋体" w:cs="宋体"/>
                <w:color w:val="000000"/>
                <w:szCs w:val="21"/>
              </w:rPr>
            </w:pPr>
          </w:p>
        </w:tc>
        <w:tc>
          <w:tcPr>
            <w:tcW w:w="2835" w:type="dxa"/>
            <w:noWrap w:val="0"/>
            <w:vAlign w:val="center"/>
          </w:tcPr>
          <w:p>
            <w:pPr>
              <w:adjustRightInd w:val="0"/>
              <w:snapToGrid w:val="0"/>
              <w:spacing w:line="400" w:lineRule="exact"/>
              <w:jc w:val="center"/>
              <w:rPr>
                <w:rFonts w:hint="eastAsia" w:ascii="宋体" w:hAnsi="宋体" w:eastAsia="宋体" w:cs="宋体"/>
                <w:color w:val="000000"/>
                <w:szCs w:val="21"/>
              </w:rPr>
            </w:pPr>
          </w:p>
        </w:tc>
        <w:tc>
          <w:tcPr>
            <w:tcW w:w="2369" w:type="dxa"/>
            <w:noWrap w:val="0"/>
            <w:vAlign w:val="center"/>
          </w:tcPr>
          <w:p>
            <w:pPr>
              <w:adjustRightInd w:val="0"/>
              <w:snapToGrid w:val="0"/>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color w:val="000000"/>
                <w:szCs w:val="21"/>
              </w:rPr>
            </w:pPr>
          </w:p>
        </w:tc>
        <w:tc>
          <w:tcPr>
            <w:tcW w:w="2824" w:type="dxa"/>
            <w:noWrap w:val="0"/>
            <w:vAlign w:val="center"/>
          </w:tcPr>
          <w:p>
            <w:pPr>
              <w:adjustRightInd w:val="0"/>
              <w:snapToGrid w:val="0"/>
              <w:spacing w:line="400" w:lineRule="exact"/>
              <w:jc w:val="center"/>
              <w:rPr>
                <w:rFonts w:hint="eastAsia" w:ascii="宋体" w:hAnsi="宋体" w:eastAsia="宋体" w:cs="宋体"/>
                <w:color w:val="000000"/>
                <w:szCs w:val="21"/>
              </w:rPr>
            </w:pPr>
          </w:p>
        </w:tc>
        <w:tc>
          <w:tcPr>
            <w:tcW w:w="2835" w:type="dxa"/>
            <w:noWrap w:val="0"/>
            <w:vAlign w:val="center"/>
          </w:tcPr>
          <w:p>
            <w:pPr>
              <w:adjustRightInd w:val="0"/>
              <w:snapToGrid w:val="0"/>
              <w:spacing w:line="400" w:lineRule="exact"/>
              <w:jc w:val="center"/>
              <w:rPr>
                <w:rFonts w:hint="eastAsia" w:ascii="宋体" w:hAnsi="宋体" w:eastAsia="宋体" w:cs="宋体"/>
                <w:color w:val="000000"/>
                <w:szCs w:val="21"/>
              </w:rPr>
            </w:pPr>
          </w:p>
        </w:tc>
        <w:tc>
          <w:tcPr>
            <w:tcW w:w="2369" w:type="dxa"/>
            <w:noWrap w:val="0"/>
            <w:vAlign w:val="center"/>
          </w:tcPr>
          <w:p>
            <w:pPr>
              <w:adjustRightInd w:val="0"/>
              <w:snapToGrid w:val="0"/>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color w:val="000000"/>
                <w:szCs w:val="21"/>
              </w:rPr>
            </w:pPr>
          </w:p>
        </w:tc>
        <w:tc>
          <w:tcPr>
            <w:tcW w:w="2824" w:type="dxa"/>
            <w:noWrap w:val="0"/>
            <w:vAlign w:val="center"/>
          </w:tcPr>
          <w:p>
            <w:pPr>
              <w:adjustRightInd w:val="0"/>
              <w:snapToGrid w:val="0"/>
              <w:spacing w:line="400" w:lineRule="exact"/>
              <w:jc w:val="center"/>
              <w:rPr>
                <w:rFonts w:hint="eastAsia" w:ascii="宋体" w:hAnsi="宋体" w:eastAsia="宋体" w:cs="宋体"/>
                <w:color w:val="000000"/>
                <w:szCs w:val="21"/>
              </w:rPr>
            </w:pPr>
          </w:p>
        </w:tc>
        <w:tc>
          <w:tcPr>
            <w:tcW w:w="2835" w:type="dxa"/>
            <w:noWrap w:val="0"/>
            <w:vAlign w:val="center"/>
          </w:tcPr>
          <w:p>
            <w:pPr>
              <w:adjustRightInd w:val="0"/>
              <w:snapToGrid w:val="0"/>
              <w:spacing w:line="400" w:lineRule="exact"/>
              <w:jc w:val="center"/>
              <w:rPr>
                <w:rFonts w:hint="eastAsia" w:ascii="宋体" w:hAnsi="宋体" w:eastAsia="宋体" w:cs="宋体"/>
                <w:color w:val="000000"/>
                <w:szCs w:val="21"/>
              </w:rPr>
            </w:pPr>
          </w:p>
        </w:tc>
        <w:tc>
          <w:tcPr>
            <w:tcW w:w="2369" w:type="dxa"/>
            <w:noWrap w:val="0"/>
            <w:vAlign w:val="center"/>
          </w:tcPr>
          <w:p>
            <w:pPr>
              <w:adjustRightInd w:val="0"/>
              <w:snapToGrid w:val="0"/>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418" w:type="dxa"/>
            <w:noWrap w:val="0"/>
            <w:vAlign w:val="center"/>
          </w:tcPr>
          <w:p>
            <w:pPr>
              <w:adjustRightInd w:val="0"/>
              <w:snapToGrid w:val="0"/>
              <w:spacing w:line="400" w:lineRule="exact"/>
              <w:jc w:val="center"/>
              <w:rPr>
                <w:rFonts w:hint="eastAsia" w:ascii="宋体" w:hAnsi="宋体" w:eastAsia="宋体" w:cs="宋体"/>
                <w:color w:val="000000"/>
                <w:szCs w:val="21"/>
              </w:rPr>
            </w:pPr>
          </w:p>
        </w:tc>
        <w:tc>
          <w:tcPr>
            <w:tcW w:w="2824" w:type="dxa"/>
            <w:noWrap w:val="0"/>
            <w:vAlign w:val="center"/>
          </w:tcPr>
          <w:p>
            <w:pPr>
              <w:adjustRightInd w:val="0"/>
              <w:snapToGrid w:val="0"/>
              <w:spacing w:line="400" w:lineRule="exact"/>
              <w:jc w:val="center"/>
              <w:rPr>
                <w:rFonts w:hint="eastAsia" w:ascii="宋体" w:hAnsi="宋体" w:eastAsia="宋体" w:cs="宋体"/>
                <w:color w:val="000000"/>
                <w:szCs w:val="21"/>
              </w:rPr>
            </w:pPr>
          </w:p>
        </w:tc>
        <w:tc>
          <w:tcPr>
            <w:tcW w:w="2835" w:type="dxa"/>
            <w:noWrap w:val="0"/>
            <w:vAlign w:val="center"/>
          </w:tcPr>
          <w:p>
            <w:pPr>
              <w:adjustRightInd w:val="0"/>
              <w:snapToGrid w:val="0"/>
              <w:spacing w:line="400" w:lineRule="exact"/>
              <w:jc w:val="center"/>
              <w:rPr>
                <w:rFonts w:hint="eastAsia" w:ascii="宋体" w:hAnsi="宋体" w:eastAsia="宋体" w:cs="宋体"/>
                <w:color w:val="000000"/>
                <w:szCs w:val="21"/>
              </w:rPr>
            </w:pPr>
          </w:p>
        </w:tc>
        <w:tc>
          <w:tcPr>
            <w:tcW w:w="2369" w:type="dxa"/>
            <w:noWrap w:val="0"/>
            <w:vAlign w:val="center"/>
          </w:tcPr>
          <w:p>
            <w:pPr>
              <w:adjustRightInd w:val="0"/>
              <w:snapToGrid w:val="0"/>
              <w:spacing w:line="400" w:lineRule="exact"/>
              <w:jc w:val="center"/>
              <w:rPr>
                <w:rFonts w:hint="eastAsia" w:ascii="宋体" w:hAnsi="宋体" w:eastAsia="宋体" w:cs="宋体"/>
                <w:color w:val="000000"/>
                <w:szCs w:val="21"/>
              </w:rPr>
            </w:pPr>
          </w:p>
        </w:tc>
      </w:tr>
    </w:tbl>
    <w:p>
      <w:pPr>
        <w:adjustRightInd w:val="0"/>
        <w:snapToGrid w:val="0"/>
        <w:spacing w:line="400" w:lineRule="exact"/>
        <w:ind w:left="319" w:leftChars="152" w:firstLine="250" w:firstLineChars="100"/>
        <w:rPr>
          <w:rFonts w:hint="eastAsia" w:ascii="宋体" w:hAnsi="宋体" w:cs="宋体"/>
          <w:color w:val="000000"/>
          <w:spacing w:val="20"/>
          <w:szCs w:val="21"/>
        </w:rPr>
      </w:pPr>
      <w:r>
        <w:rPr>
          <w:rFonts w:hint="eastAsia" w:ascii="宋体" w:hAnsi="宋体" w:cs="宋体"/>
          <w:color w:val="000000"/>
          <w:spacing w:val="20"/>
          <w:szCs w:val="21"/>
        </w:rPr>
        <w:t>注：1、</w:t>
      </w:r>
      <w:r>
        <w:rPr>
          <w:rFonts w:hint="eastAsia" w:ascii="宋体" w:hAnsi="宋体" w:cs="宋体"/>
          <w:color w:val="000000"/>
          <w:szCs w:val="21"/>
        </w:rPr>
        <w:t>须与“第六章商务条款”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pPr>
        <w:adjustRightInd w:val="0"/>
        <w:snapToGrid w:val="0"/>
        <w:spacing w:line="400" w:lineRule="exact"/>
        <w:rPr>
          <w:rFonts w:hint="eastAsia" w:ascii="宋体" w:hAnsi="宋体" w:cs="宋体"/>
          <w:color w:val="000000"/>
          <w:spacing w:val="20"/>
          <w:szCs w:val="21"/>
        </w:rPr>
      </w:pPr>
    </w:p>
    <w:p>
      <w:pPr>
        <w:adjustRightInd w:val="0"/>
        <w:snapToGrid w:val="0"/>
        <w:spacing w:line="400" w:lineRule="exact"/>
        <w:rPr>
          <w:rFonts w:hint="eastAsia" w:ascii="宋体" w:hAnsi="宋体" w:cs="宋体"/>
          <w:color w:val="000000"/>
          <w:spacing w:val="20"/>
          <w:szCs w:val="21"/>
        </w:rPr>
      </w:pPr>
    </w:p>
    <w:p>
      <w:pPr>
        <w:spacing w:line="400" w:lineRule="exact"/>
        <w:jc w:val="left"/>
        <w:rPr>
          <w:rFonts w:hint="eastAsia" w:ascii="宋体" w:hAnsi="宋体" w:cs="宋体"/>
          <w:color w:val="000000"/>
          <w:szCs w:val="21"/>
        </w:rPr>
      </w:pPr>
      <w:bookmarkStart w:id="124" w:name="_Toc436408720"/>
      <w:bookmarkStart w:id="125" w:name="_Toc441316563"/>
      <w:r>
        <w:rPr>
          <w:rFonts w:hint="eastAsia" w:ascii="宋体" w:hAnsi="宋体" w:cs="宋体"/>
          <w:color w:val="000000"/>
          <w:szCs w:val="21"/>
        </w:rPr>
        <w:t>供应商（盖章）：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400" w:lineRule="exact"/>
        <w:jc w:val="left"/>
        <w:rPr>
          <w:rFonts w:hint="eastAsia" w:ascii="宋体" w:hAnsi="宋体" w:cs="宋体"/>
          <w:color w:val="000000"/>
          <w:szCs w:val="21"/>
        </w:rPr>
      </w:pPr>
      <w:r>
        <w:rPr>
          <w:rFonts w:hint="eastAsia" w:ascii="宋体" w:hAnsi="宋体" w:cs="宋体"/>
          <w:color w:val="000000"/>
          <w:szCs w:val="21"/>
        </w:rPr>
        <w:t>法定代表人或授权代表（签字）：</w:t>
      </w:r>
      <w:r>
        <w:rPr>
          <w:rFonts w:hint="eastAsia" w:ascii="宋体" w:hAnsi="宋体" w:cs="宋体"/>
          <w:color w:val="000000"/>
          <w:szCs w:val="21"/>
          <w:u w:val="single"/>
        </w:rPr>
        <w:t xml:space="preserve">                  </w:t>
      </w:r>
    </w:p>
    <w:p>
      <w:pPr>
        <w:spacing w:line="400" w:lineRule="exact"/>
        <w:rPr>
          <w:rFonts w:hint="eastAsia" w:ascii="宋体" w:hAnsi="宋体" w:cs="宋体"/>
          <w:color w:val="000000"/>
          <w:szCs w:val="21"/>
          <w:u w:val="single"/>
        </w:rPr>
      </w:pPr>
      <w:r>
        <w:rPr>
          <w:rFonts w:hint="eastAsia" w:ascii="宋体" w:hAnsi="宋体" w:cs="宋体"/>
          <w:color w:val="000000"/>
          <w:szCs w:val="21"/>
        </w:rPr>
        <w:t>日            期：</w:t>
      </w:r>
      <w:r>
        <w:rPr>
          <w:rFonts w:hint="eastAsia" w:ascii="宋体" w:hAnsi="宋体" w:cs="宋体"/>
          <w:color w:val="000000"/>
          <w:szCs w:val="21"/>
          <w:u w:val="single"/>
        </w:rPr>
        <w:t xml:space="preserve">                             </w:t>
      </w:r>
    </w:p>
    <w:p>
      <w:pPr>
        <w:spacing w:line="400" w:lineRule="exact"/>
        <w:jc w:val="left"/>
        <w:rPr>
          <w:rFonts w:hint="eastAsia" w:ascii="宋体" w:hAnsi="宋体" w:cs="宋体"/>
          <w:color w:val="000000"/>
          <w:szCs w:val="21"/>
          <w:u w:val="single"/>
        </w:rPr>
        <w:sectPr>
          <w:pgSz w:w="11907" w:h="16840"/>
          <w:pgMar w:top="1418" w:right="1134" w:bottom="1418" w:left="1134" w:header="285" w:footer="990" w:gutter="0"/>
          <w:pgBorders w:offsetFrom="page">
            <w:top w:val="none" w:sz="0" w:space="0"/>
            <w:left w:val="none" w:sz="0" w:space="0"/>
            <w:bottom w:val="none" w:sz="0" w:space="0"/>
            <w:right w:val="none" w:sz="0" w:space="0"/>
          </w:pgBorders>
          <w:cols w:space="720" w:num="1"/>
          <w:docGrid w:linePitch="285" w:charSpace="0"/>
        </w:sectPr>
      </w:pPr>
    </w:p>
    <w:bookmarkEnd w:id="124"/>
    <w:p>
      <w:pPr>
        <w:spacing w:line="400" w:lineRule="exact"/>
        <w:jc w:val="left"/>
        <w:rPr>
          <w:rFonts w:hint="eastAsia" w:ascii="宋体" w:hAnsi="宋体" w:cs="宋体"/>
          <w:b/>
          <w:color w:val="000000"/>
          <w:szCs w:val="21"/>
        </w:rPr>
      </w:pPr>
      <w:bookmarkStart w:id="126" w:name="_Toc441316564"/>
      <w:r>
        <w:rPr>
          <w:rStyle w:val="110"/>
          <w:rFonts w:hint="eastAsia" w:ascii="宋体" w:hAnsi="宋体" w:cs="宋体"/>
          <w:color w:val="000000"/>
          <w:sz w:val="21"/>
          <w:szCs w:val="21"/>
        </w:rPr>
        <w:t>附件十</w:t>
      </w:r>
    </w:p>
    <w:p>
      <w:pPr>
        <w:spacing w:line="400" w:lineRule="exact"/>
        <w:jc w:val="left"/>
        <w:rPr>
          <w:rStyle w:val="110"/>
          <w:rFonts w:hint="eastAsia" w:ascii="宋体" w:hAnsi="宋体" w:cs="宋体"/>
          <w:color w:val="000000"/>
          <w:sz w:val="21"/>
          <w:szCs w:val="21"/>
        </w:rPr>
      </w:pPr>
    </w:p>
    <w:p>
      <w:pPr>
        <w:spacing w:line="400" w:lineRule="exact"/>
        <w:jc w:val="center"/>
        <w:rPr>
          <w:rFonts w:hint="eastAsia" w:ascii="宋体" w:hAnsi="宋体" w:cs="宋体"/>
          <w:b/>
          <w:color w:val="000000"/>
          <w:spacing w:val="20"/>
          <w:szCs w:val="21"/>
        </w:rPr>
      </w:pPr>
      <w:r>
        <w:rPr>
          <w:rFonts w:hint="eastAsia" w:ascii="宋体" w:hAnsi="宋体" w:cs="宋体"/>
          <w:b/>
          <w:color w:val="000000"/>
          <w:szCs w:val="21"/>
        </w:rPr>
        <w:t>技术条款响应表</w:t>
      </w:r>
    </w:p>
    <w:p>
      <w:pPr>
        <w:spacing w:line="400" w:lineRule="exact"/>
        <w:ind w:left="540"/>
        <w:jc w:val="center"/>
        <w:rPr>
          <w:rFonts w:hint="eastAsia" w:ascii="宋体" w:hAnsi="宋体" w:cs="宋体"/>
          <w:b/>
          <w:color w:val="000000"/>
          <w:szCs w:val="21"/>
        </w:rPr>
      </w:pPr>
    </w:p>
    <w:p>
      <w:pPr>
        <w:adjustRightInd w:val="0"/>
        <w:snapToGrid w:val="0"/>
        <w:spacing w:line="400" w:lineRule="exact"/>
        <w:rPr>
          <w:rFonts w:hint="eastAsia" w:ascii="宋体" w:hAnsi="宋体" w:cs="宋体"/>
          <w:color w:val="000000"/>
          <w:szCs w:val="21"/>
        </w:rPr>
      </w:pPr>
      <w:r>
        <w:rPr>
          <w:rFonts w:hint="eastAsia" w:ascii="宋体" w:hAnsi="宋体" w:cs="宋体"/>
          <w:color w:val="000000"/>
          <w:szCs w:val="21"/>
        </w:rPr>
        <w:t>项目名称：</w:t>
      </w:r>
      <w:r>
        <w:rPr>
          <w:rFonts w:hint="eastAsia" w:ascii="宋体" w:hAnsi="宋体" w:cs="宋体"/>
          <w:color w:val="000000"/>
          <w:szCs w:val="21"/>
          <w:u w:val="single"/>
        </w:rPr>
        <w:t>宁波杭州湾新区智能终端产业园区配套小学、幼儿园智慧校园采购项目</w:t>
      </w:r>
      <w:r>
        <w:rPr>
          <w:rFonts w:hint="eastAsia" w:ascii="宋体" w:hAnsi="宋体" w:cs="宋体"/>
          <w:color w:val="000000"/>
          <w:szCs w:val="21"/>
        </w:rPr>
        <w:t xml:space="preserve">            </w:t>
      </w:r>
    </w:p>
    <w:p>
      <w:pPr>
        <w:adjustRightInd w:val="0"/>
        <w:snapToGrid w:val="0"/>
        <w:spacing w:line="400" w:lineRule="exact"/>
        <w:rPr>
          <w:rFonts w:hint="eastAsia" w:ascii="宋体" w:hAnsi="宋体" w:cs="宋体"/>
          <w:color w:val="000000"/>
          <w:szCs w:val="21"/>
        </w:rPr>
      </w:pPr>
      <w:r>
        <w:rPr>
          <w:rFonts w:hint="eastAsia" w:ascii="宋体" w:hAnsi="宋体" w:cs="宋体"/>
          <w:color w:val="000000"/>
          <w:szCs w:val="21"/>
        </w:rPr>
        <w:t>采购编号：</w:t>
      </w:r>
    </w:p>
    <w:p>
      <w:pPr>
        <w:adjustRightInd w:val="0"/>
        <w:snapToGrid w:val="0"/>
        <w:spacing w:line="400" w:lineRule="exact"/>
        <w:rPr>
          <w:rFonts w:hint="eastAsia" w:ascii="宋体" w:hAnsi="宋体" w:cs="宋体"/>
          <w:color w:val="000000"/>
          <w:szCs w:val="21"/>
        </w:rPr>
      </w:pPr>
      <w:r>
        <w:rPr>
          <w:rFonts w:hint="eastAsia" w:ascii="宋体" w:hAnsi="宋体" w:cs="宋体"/>
          <w:color w:val="000000"/>
          <w:szCs w:val="21"/>
        </w:rPr>
        <w:t>子包号：</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376"/>
        <w:gridCol w:w="4556"/>
        <w:gridCol w:w="4211"/>
        <w:gridCol w:w="77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93" w:type="dxa"/>
            <w:vMerge w:val="restart"/>
            <w:noWrap w:val="0"/>
            <w:vAlign w:val="center"/>
          </w:tcPr>
          <w:p>
            <w:pPr>
              <w:snapToGrid w:val="0"/>
              <w:jc w:val="left"/>
              <w:rPr>
                <w:rFonts w:hint="eastAsia" w:ascii="宋体" w:hAnsi="宋体" w:cs="宋体"/>
                <w:color w:val="000000"/>
                <w:szCs w:val="21"/>
              </w:rPr>
            </w:pPr>
            <w:r>
              <w:rPr>
                <w:rFonts w:hint="eastAsia" w:ascii="宋体" w:hAnsi="宋体" w:cs="宋体"/>
                <w:color w:val="000000"/>
                <w:szCs w:val="21"/>
              </w:rPr>
              <w:t>序号</w:t>
            </w:r>
          </w:p>
        </w:tc>
        <w:tc>
          <w:tcPr>
            <w:tcW w:w="2376" w:type="dxa"/>
            <w:vMerge w:val="restart"/>
            <w:noWrap w:val="0"/>
            <w:vAlign w:val="center"/>
          </w:tcPr>
          <w:p>
            <w:pPr>
              <w:snapToGrid w:val="0"/>
              <w:jc w:val="center"/>
              <w:rPr>
                <w:rFonts w:hint="eastAsia" w:ascii="宋体" w:hAnsi="宋体" w:cs="宋体"/>
                <w:color w:val="000000"/>
                <w:szCs w:val="21"/>
              </w:rPr>
            </w:pPr>
            <w:r>
              <w:rPr>
                <w:rFonts w:hint="eastAsia" w:ascii="宋体" w:hAnsi="宋体" w:cs="宋体"/>
                <w:color w:val="000000"/>
                <w:szCs w:val="21"/>
              </w:rPr>
              <w:t>货物名称</w:t>
            </w:r>
          </w:p>
          <w:p>
            <w:pPr>
              <w:snapToGrid w:val="0"/>
              <w:jc w:val="center"/>
              <w:rPr>
                <w:rFonts w:hint="eastAsia" w:ascii="宋体" w:hAnsi="宋体" w:cs="宋体"/>
                <w:color w:val="000000"/>
                <w:szCs w:val="21"/>
              </w:rPr>
            </w:pPr>
            <w:r>
              <w:rPr>
                <w:rFonts w:hint="eastAsia" w:ascii="宋体" w:hAnsi="宋体" w:cs="宋体"/>
                <w:color w:val="000000"/>
                <w:szCs w:val="21"/>
              </w:rPr>
              <w:t>品牌型号规格</w:t>
            </w:r>
          </w:p>
        </w:tc>
        <w:tc>
          <w:tcPr>
            <w:tcW w:w="8767" w:type="dxa"/>
            <w:gridSpan w:val="2"/>
            <w:noWrap w:val="0"/>
            <w:vAlign w:val="center"/>
          </w:tcPr>
          <w:p>
            <w:pPr>
              <w:snapToGrid w:val="0"/>
              <w:jc w:val="center"/>
              <w:rPr>
                <w:rFonts w:hint="eastAsia" w:ascii="宋体" w:hAnsi="宋体" w:cs="宋体"/>
                <w:color w:val="000000"/>
                <w:szCs w:val="21"/>
              </w:rPr>
            </w:pPr>
            <w:r>
              <w:rPr>
                <w:rFonts w:hint="eastAsia" w:ascii="宋体" w:hAnsi="宋体" w:cs="宋体"/>
                <w:color w:val="000000"/>
                <w:szCs w:val="21"/>
              </w:rPr>
              <w:t>产品规格及技术参数响应情况</w:t>
            </w:r>
          </w:p>
        </w:tc>
        <w:tc>
          <w:tcPr>
            <w:tcW w:w="776" w:type="dxa"/>
            <w:vMerge w:val="restart"/>
            <w:noWrap w:val="0"/>
            <w:vAlign w:val="center"/>
          </w:tcPr>
          <w:p>
            <w:pPr>
              <w:snapToGrid w:val="0"/>
              <w:jc w:val="center"/>
              <w:rPr>
                <w:rFonts w:hint="eastAsia" w:ascii="宋体" w:hAnsi="宋体" w:cs="宋体"/>
                <w:color w:val="000000"/>
                <w:szCs w:val="21"/>
              </w:rPr>
            </w:pPr>
            <w:r>
              <w:rPr>
                <w:rFonts w:hint="eastAsia" w:ascii="宋体" w:hAnsi="宋体" w:cs="宋体"/>
                <w:color w:val="000000"/>
                <w:szCs w:val="21"/>
              </w:rPr>
              <w:t>数量</w:t>
            </w:r>
          </w:p>
        </w:tc>
        <w:tc>
          <w:tcPr>
            <w:tcW w:w="1620" w:type="dxa"/>
            <w:vMerge w:val="restart"/>
            <w:noWrap w:val="0"/>
            <w:vAlign w:val="center"/>
          </w:tcPr>
          <w:p>
            <w:pPr>
              <w:snapToGrid w:val="0"/>
              <w:jc w:val="center"/>
              <w:rPr>
                <w:rFonts w:hint="eastAsia" w:ascii="宋体" w:hAnsi="宋体" w:cs="宋体"/>
                <w:color w:val="000000"/>
                <w:szCs w:val="21"/>
              </w:rPr>
            </w:pPr>
            <w:r>
              <w:rPr>
                <w:rFonts w:hint="eastAsia" w:ascii="宋体" w:hAnsi="宋体" w:cs="宋体"/>
                <w:color w:val="000000"/>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93" w:type="dxa"/>
            <w:vMerge w:val="continue"/>
            <w:noWrap w:val="0"/>
            <w:vAlign w:val="center"/>
          </w:tcPr>
          <w:p>
            <w:pPr>
              <w:snapToGrid w:val="0"/>
              <w:jc w:val="center"/>
              <w:rPr>
                <w:rFonts w:hint="eastAsia" w:ascii="宋体" w:hAnsi="宋体" w:cs="宋体"/>
                <w:color w:val="000000"/>
                <w:szCs w:val="21"/>
              </w:rPr>
            </w:pPr>
          </w:p>
        </w:tc>
        <w:tc>
          <w:tcPr>
            <w:tcW w:w="2376" w:type="dxa"/>
            <w:vMerge w:val="continue"/>
            <w:noWrap w:val="0"/>
            <w:vAlign w:val="center"/>
          </w:tcPr>
          <w:p>
            <w:pPr>
              <w:snapToGrid w:val="0"/>
              <w:jc w:val="center"/>
              <w:rPr>
                <w:rFonts w:hint="eastAsia" w:ascii="宋体" w:hAnsi="宋体" w:cs="宋体"/>
                <w:color w:val="000000"/>
                <w:szCs w:val="21"/>
              </w:rPr>
            </w:pPr>
          </w:p>
        </w:tc>
        <w:tc>
          <w:tcPr>
            <w:tcW w:w="4556" w:type="dxa"/>
            <w:noWrap w:val="0"/>
            <w:vAlign w:val="center"/>
          </w:tcPr>
          <w:p>
            <w:pPr>
              <w:snapToGrid w:val="0"/>
              <w:jc w:val="center"/>
              <w:rPr>
                <w:rFonts w:hint="eastAsia" w:ascii="宋体" w:hAnsi="宋体" w:cs="宋体"/>
                <w:color w:val="000000"/>
                <w:szCs w:val="21"/>
              </w:rPr>
            </w:pPr>
            <w:r>
              <w:rPr>
                <w:rFonts w:hint="eastAsia" w:ascii="宋体" w:hAnsi="宋体" w:cs="宋体"/>
                <w:color w:val="000000"/>
                <w:szCs w:val="21"/>
              </w:rPr>
              <w:t>招标文件要求货物参数</w:t>
            </w:r>
          </w:p>
        </w:tc>
        <w:tc>
          <w:tcPr>
            <w:tcW w:w="4211" w:type="dxa"/>
            <w:noWrap w:val="0"/>
            <w:vAlign w:val="center"/>
          </w:tcPr>
          <w:p>
            <w:pPr>
              <w:snapToGrid w:val="0"/>
              <w:jc w:val="center"/>
              <w:rPr>
                <w:rFonts w:hint="eastAsia" w:ascii="宋体" w:hAnsi="宋体" w:cs="宋体"/>
                <w:color w:val="000000"/>
                <w:szCs w:val="21"/>
              </w:rPr>
            </w:pPr>
            <w:r>
              <w:rPr>
                <w:rFonts w:hint="eastAsia" w:ascii="宋体" w:hAnsi="宋体" w:cs="宋体"/>
                <w:color w:val="000000"/>
                <w:szCs w:val="21"/>
              </w:rPr>
              <w:t>响应货物参数</w:t>
            </w:r>
          </w:p>
        </w:tc>
        <w:tc>
          <w:tcPr>
            <w:tcW w:w="776" w:type="dxa"/>
            <w:vMerge w:val="continue"/>
            <w:noWrap w:val="0"/>
            <w:vAlign w:val="center"/>
          </w:tcPr>
          <w:p>
            <w:pPr>
              <w:snapToGrid w:val="0"/>
              <w:jc w:val="center"/>
              <w:rPr>
                <w:rFonts w:hint="eastAsia" w:ascii="宋体" w:hAnsi="宋体" w:cs="宋体"/>
                <w:color w:val="000000"/>
                <w:szCs w:val="21"/>
              </w:rPr>
            </w:pPr>
          </w:p>
        </w:tc>
        <w:tc>
          <w:tcPr>
            <w:tcW w:w="1620" w:type="dxa"/>
            <w:vMerge w:val="continue"/>
            <w:noWrap w:val="0"/>
            <w:vAlign w:val="center"/>
          </w:tcPr>
          <w:p>
            <w:pPr>
              <w:snapToGrid w:val="0"/>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3" w:type="dxa"/>
            <w:noWrap w:val="0"/>
            <w:vAlign w:val="center"/>
          </w:tcPr>
          <w:p>
            <w:pPr>
              <w:snapToGrid w:val="0"/>
              <w:jc w:val="left"/>
              <w:rPr>
                <w:rFonts w:hint="eastAsia" w:ascii="宋体" w:hAnsi="宋体" w:cs="宋体"/>
                <w:color w:val="000000"/>
                <w:szCs w:val="21"/>
              </w:rPr>
            </w:pPr>
          </w:p>
        </w:tc>
        <w:tc>
          <w:tcPr>
            <w:tcW w:w="2376" w:type="dxa"/>
            <w:noWrap w:val="0"/>
            <w:vAlign w:val="center"/>
          </w:tcPr>
          <w:p>
            <w:pPr>
              <w:snapToGrid w:val="0"/>
              <w:jc w:val="left"/>
              <w:rPr>
                <w:rFonts w:hint="eastAsia" w:ascii="宋体" w:hAnsi="宋体" w:cs="宋体"/>
                <w:color w:val="000000"/>
                <w:szCs w:val="21"/>
              </w:rPr>
            </w:pPr>
          </w:p>
        </w:tc>
        <w:tc>
          <w:tcPr>
            <w:tcW w:w="4556" w:type="dxa"/>
            <w:noWrap w:val="0"/>
            <w:vAlign w:val="center"/>
          </w:tcPr>
          <w:p>
            <w:pPr>
              <w:snapToGrid w:val="0"/>
              <w:jc w:val="left"/>
              <w:rPr>
                <w:rFonts w:hint="eastAsia" w:ascii="宋体" w:hAnsi="宋体" w:cs="宋体"/>
                <w:color w:val="000000"/>
                <w:szCs w:val="21"/>
              </w:rPr>
            </w:pPr>
          </w:p>
        </w:tc>
        <w:tc>
          <w:tcPr>
            <w:tcW w:w="4211" w:type="dxa"/>
            <w:noWrap w:val="0"/>
            <w:vAlign w:val="center"/>
          </w:tcPr>
          <w:p>
            <w:pPr>
              <w:snapToGrid w:val="0"/>
              <w:jc w:val="left"/>
              <w:rPr>
                <w:rFonts w:hint="eastAsia" w:ascii="宋体" w:hAnsi="宋体" w:cs="宋体"/>
                <w:color w:val="000000"/>
                <w:szCs w:val="21"/>
              </w:rPr>
            </w:pPr>
          </w:p>
        </w:tc>
        <w:tc>
          <w:tcPr>
            <w:tcW w:w="776" w:type="dxa"/>
            <w:noWrap w:val="0"/>
            <w:vAlign w:val="center"/>
          </w:tcPr>
          <w:p>
            <w:pPr>
              <w:snapToGrid w:val="0"/>
              <w:jc w:val="left"/>
              <w:rPr>
                <w:rFonts w:hint="eastAsia" w:ascii="宋体" w:hAnsi="宋体" w:cs="宋体"/>
                <w:color w:val="000000"/>
                <w:szCs w:val="21"/>
              </w:rPr>
            </w:pPr>
          </w:p>
        </w:tc>
        <w:tc>
          <w:tcPr>
            <w:tcW w:w="1620" w:type="dxa"/>
            <w:noWrap w:val="0"/>
            <w:vAlign w:val="top"/>
          </w:tcPr>
          <w:p>
            <w:pPr>
              <w:snapToGrid w:val="0"/>
              <w:jc w:val="lef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3" w:type="dxa"/>
            <w:noWrap w:val="0"/>
            <w:vAlign w:val="center"/>
          </w:tcPr>
          <w:p>
            <w:pPr>
              <w:snapToGrid w:val="0"/>
              <w:jc w:val="left"/>
              <w:rPr>
                <w:rFonts w:hint="eastAsia" w:ascii="宋体" w:hAnsi="宋体" w:cs="宋体"/>
                <w:color w:val="000000"/>
                <w:szCs w:val="21"/>
              </w:rPr>
            </w:pPr>
          </w:p>
        </w:tc>
        <w:tc>
          <w:tcPr>
            <w:tcW w:w="2376" w:type="dxa"/>
            <w:noWrap w:val="0"/>
            <w:vAlign w:val="center"/>
          </w:tcPr>
          <w:p>
            <w:pPr>
              <w:snapToGrid w:val="0"/>
              <w:jc w:val="left"/>
              <w:rPr>
                <w:rFonts w:hint="eastAsia" w:ascii="宋体" w:hAnsi="宋体" w:cs="宋体"/>
                <w:color w:val="000000"/>
                <w:szCs w:val="21"/>
              </w:rPr>
            </w:pPr>
          </w:p>
        </w:tc>
        <w:tc>
          <w:tcPr>
            <w:tcW w:w="4556" w:type="dxa"/>
            <w:noWrap w:val="0"/>
            <w:vAlign w:val="center"/>
          </w:tcPr>
          <w:p>
            <w:pPr>
              <w:snapToGrid w:val="0"/>
              <w:jc w:val="left"/>
              <w:rPr>
                <w:rFonts w:hint="eastAsia" w:ascii="宋体" w:hAnsi="宋体" w:cs="宋体"/>
                <w:color w:val="000000"/>
                <w:szCs w:val="21"/>
              </w:rPr>
            </w:pPr>
          </w:p>
        </w:tc>
        <w:tc>
          <w:tcPr>
            <w:tcW w:w="4211" w:type="dxa"/>
            <w:noWrap w:val="0"/>
            <w:vAlign w:val="center"/>
          </w:tcPr>
          <w:p>
            <w:pPr>
              <w:snapToGrid w:val="0"/>
              <w:jc w:val="left"/>
              <w:rPr>
                <w:rFonts w:hint="eastAsia" w:ascii="宋体" w:hAnsi="宋体" w:cs="宋体"/>
                <w:color w:val="000000"/>
                <w:szCs w:val="21"/>
              </w:rPr>
            </w:pPr>
          </w:p>
        </w:tc>
        <w:tc>
          <w:tcPr>
            <w:tcW w:w="776" w:type="dxa"/>
            <w:noWrap w:val="0"/>
            <w:vAlign w:val="center"/>
          </w:tcPr>
          <w:p>
            <w:pPr>
              <w:snapToGrid w:val="0"/>
              <w:jc w:val="left"/>
              <w:rPr>
                <w:rFonts w:hint="eastAsia" w:ascii="宋体" w:hAnsi="宋体" w:cs="宋体"/>
                <w:color w:val="000000"/>
                <w:szCs w:val="21"/>
              </w:rPr>
            </w:pPr>
          </w:p>
        </w:tc>
        <w:tc>
          <w:tcPr>
            <w:tcW w:w="1620" w:type="dxa"/>
            <w:noWrap w:val="0"/>
            <w:vAlign w:val="top"/>
          </w:tcPr>
          <w:p>
            <w:pPr>
              <w:snapToGrid w:val="0"/>
              <w:jc w:val="lef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3" w:type="dxa"/>
            <w:noWrap w:val="0"/>
            <w:vAlign w:val="center"/>
          </w:tcPr>
          <w:p>
            <w:pPr>
              <w:snapToGrid w:val="0"/>
              <w:jc w:val="left"/>
              <w:rPr>
                <w:rFonts w:hint="eastAsia" w:ascii="宋体" w:hAnsi="宋体" w:cs="宋体"/>
                <w:color w:val="000000"/>
                <w:szCs w:val="21"/>
              </w:rPr>
            </w:pPr>
          </w:p>
        </w:tc>
        <w:tc>
          <w:tcPr>
            <w:tcW w:w="2376" w:type="dxa"/>
            <w:noWrap w:val="0"/>
            <w:vAlign w:val="center"/>
          </w:tcPr>
          <w:p>
            <w:pPr>
              <w:snapToGrid w:val="0"/>
              <w:jc w:val="left"/>
              <w:rPr>
                <w:rFonts w:hint="eastAsia" w:ascii="宋体" w:hAnsi="宋体" w:cs="宋体"/>
                <w:color w:val="000000"/>
                <w:szCs w:val="21"/>
              </w:rPr>
            </w:pPr>
          </w:p>
        </w:tc>
        <w:tc>
          <w:tcPr>
            <w:tcW w:w="4556" w:type="dxa"/>
            <w:noWrap w:val="0"/>
            <w:vAlign w:val="center"/>
          </w:tcPr>
          <w:p>
            <w:pPr>
              <w:snapToGrid w:val="0"/>
              <w:jc w:val="left"/>
              <w:rPr>
                <w:rFonts w:hint="eastAsia" w:ascii="宋体" w:hAnsi="宋体" w:cs="宋体"/>
                <w:color w:val="000000"/>
                <w:szCs w:val="21"/>
              </w:rPr>
            </w:pPr>
          </w:p>
        </w:tc>
        <w:tc>
          <w:tcPr>
            <w:tcW w:w="4211" w:type="dxa"/>
            <w:noWrap w:val="0"/>
            <w:vAlign w:val="center"/>
          </w:tcPr>
          <w:p>
            <w:pPr>
              <w:snapToGrid w:val="0"/>
              <w:jc w:val="left"/>
              <w:rPr>
                <w:rFonts w:hint="eastAsia" w:ascii="宋体" w:hAnsi="宋体" w:cs="宋体"/>
                <w:color w:val="000000"/>
                <w:szCs w:val="21"/>
              </w:rPr>
            </w:pPr>
          </w:p>
        </w:tc>
        <w:tc>
          <w:tcPr>
            <w:tcW w:w="776" w:type="dxa"/>
            <w:noWrap w:val="0"/>
            <w:vAlign w:val="center"/>
          </w:tcPr>
          <w:p>
            <w:pPr>
              <w:snapToGrid w:val="0"/>
              <w:jc w:val="left"/>
              <w:rPr>
                <w:rFonts w:hint="eastAsia" w:ascii="宋体" w:hAnsi="宋体" w:cs="宋体"/>
                <w:color w:val="000000"/>
                <w:szCs w:val="21"/>
              </w:rPr>
            </w:pPr>
          </w:p>
        </w:tc>
        <w:tc>
          <w:tcPr>
            <w:tcW w:w="1620" w:type="dxa"/>
            <w:noWrap w:val="0"/>
            <w:vAlign w:val="top"/>
          </w:tcPr>
          <w:p>
            <w:pPr>
              <w:snapToGrid w:val="0"/>
              <w:jc w:val="lef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3" w:type="dxa"/>
            <w:noWrap w:val="0"/>
            <w:vAlign w:val="center"/>
          </w:tcPr>
          <w:p>
            <w:pPr>
              <w:snapToGrid w:val="0"/>
              <w:jc w:val="left"/>
              <w:rPr>
                <w:rFonts w:hint="eastAsia" w:ascii="宋体" w:hAnsi="宋体" w:cs="宋体"/>
                <w:color w:val="000000"/>
                <w:szCs w:val="21"/>
              </w:rPr>
            </w:pPr>
          </w:p>
        </w:tc>
        <w:tc>
          <w:tcPr>
            <w:tcW w:w="2376" w:type="dxa"/>
            <w:noWrap w:val="0"/>
            <w:vAlign w:val="center"/>
          </w:tcPr>
          <w:p>
            <w:pPr>
              <w:snapToGrid w:val="0"/>
              <w:jc w:val="left"/>
              <w:rPr>
                <w:rFonts w:hint="eastAsia" w:ascii="宋体" w:hAnsi="宋体" w:cs="宋体"/>
                <w:color w:val="000000"/>
                <w:szCs w:val="21"/>
              </w:rPr>
            </w:pPr>
          </w:p>
        </w:tc>
        <w:tc>
          <w:tcPr>
            <w:tcW w:w="4556" w:type="dxa"/>
            <w:noWrap w:val="0"/>
            <w:vAlign w:val="center"/>
          </w:tcPr>
          <w:p>
            <w:pPr>
              <w:snapToGrid w:val="0"/>
              <w:jc w:val="left"/>
              <w:rPr>
                <w:rFonts w:hint="eastAsia" w:ascii="宋体" w:hAnsi="宋体" w:cs="宋体"/>
                <w:color w:val="000000"/>
                <w:szCs w:val="21"/>
              </w:rPr>
            </w:pPr>
          </w:p>
        </w:tc>
        <w:tc>
          <w:tcPr>
            <w:tcW w:w="4211" w:type="dxa"/>
            <w:noWrap w:val="0"/>
            <w:vAlign w:val="center"/>
          </w:tcPr>
          <w:p>
            <w:pPr>
              <w:snapToGrid w:val="0"/>
              <w:jc w:val="left"/>
              <w:rPr>
                <w:rFonts w:hint="eastAsia" w:ascii="宋体" w:hAnsi="宋体" w:cs="宋体"/>
                <w:color w:val="000000"/>
                <w:szCs w:val="21"/>
              </w:rPr>
            </w:pPr>
          </w:p>
        </w:tc>
        <w:tc>
          <w:tcPr>
            <w:tcW w:w="776" w:type="dxa"/>
            <w:noWrap w:val="0"/>
            <w:vAlign w:val="center"/>
          </w:tcPr>
          <w:p>
            <w:pPr>
              <w:snapToGrid w:val="0"/>
              <w:jc w:val="left"/>
              <w:rPr>
                <w:rFonts w:hint="eastAsia" w:ascii="宋体" w:hAnsi="宋体" w:cs="宋体"/>
                <w:color w:val="000000"/>
                <w:szCs w:val="21"/>
              </w:rPr>
            </w:pPr>
          </w:p>
        </w:tc>
        <w:tc>
          <w:tcPr>
            <w:tcW w:w="1620" w:type="dxa"/>
            <w:noWrap w:val="0"/>
            <w:vAlign w:val="top"/>
          </w:tcPr>
          <w:p>
            <w:pPr>
              <w:snapToGrid w:val="0"/>
              <w:jc w:val="lef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3" w:type="dxa"/>
            <w:noWrap w:val="0"/>
            <w:vAlign w:val="center"/>
          </w:tcPr>
          <w:p>
            <w:pPr>
              <w:snapToGrid w:val="0"/>
              <w:jc w:val="left"/>
              <w:rPr>
                <w:rFonts w:hint="eastAsia" w:ascii="宋体" w:hAnsi="宋体" w:cs="宋体"/>
                <w:color w:val="000000"/>
                <w:szCs w:val="21"/>
              </w:rPr>
            </w:pPr>
          </w:p>
        </w:tc>
        <w:tc>
          <w:tcPr>
            <w:tcW w:w="2376" w:type="dxa"/>
            <w:noWrap w:val="0"/>
            <w:vAlign w:val="center"/>
          </w:tcPr>
          <w:p>
            <w:pPr>
              <w:snapToGrid w:val="0"/>
              <w:jc w:val="left"/>
              <w:rPr>
                <w:rFonts w:hint="eastAsia" w:ascii="宋体" w:hAnsi="宋体" w:cs="宋体"/>
                <w:color w:val="000000"/>
                <w:szCs w:val="21"/>
              </w:rPr>
            </w:pPr>
          </w:p>
        </w:tc>
        <w:tc>
          <w:tcPr>
            <w:tcW w:w="4556" w:type="dxa"/>
            <w:noWrap w:val="0"/>
            <w:vAlign w:val="center"/>
          </w:tcPr>
          <w:p>
            <w:pPr>
              <w:snapToGrid w:val="0"/>
              <w:jc w:val="left"/>
              <w:rPr>
                <w:rFonts w:hint="eastAsia" w:ascii="宋体" w:hAnsi="宋体" w:cs="宋体"/>
                <w:color w:val="000000"/>
                <w:szCs w:val="21"/>
              </w:rPr>
            </w:pPr>
          </w:p>
        </w:tc>
        <w:tc>
          <w:tcPr>
            <w:tcW w:w="4211" w:type="dxa"/>
            <w:noWrap w:val="0"/>
            <w:vAlign w:val="center"/>
          </w:tcPr>
          <w:p>
            <w:pPr>
              <w:snapToGrid w:val="0"/>
              <w:jc w:val="left"/>
              <w:rPr>
                <w:rFonts w:hint="eastAsia" w:ascii="宋体" w:hAnsi="宋体" w:cs="宋体"/>
                <w:color w:val="000000"/>
                <w:szCs w:val="21"/>
              </w:rPr>
            </w:pPr>
          </w:p>
        </w:tc>
        <w:tc>
          <w:tcPr>
            <w:tcW w:w="776" w:type="dxa"/>
            <w:noWrap w:val="0"/>
            <w:vAlign w:val="center"/>
          </w:tcPr>
          <w:p>
            <w:pPr>
              <w:snapToGrid w:val="0"/>
              <w:jc w:val="left"/>
              <w:rPr>
                <w:rFonts w:hint="eastAsia" w:ascii="宋体" w:hAnsi="宋体" w:cs="宋体"/>
                <w:color w:val="000000"/>
                <w:szCs w:val="21"/>
              </w:rPr>
            </w:pPr>
          </w:p>
        </w:tc>
        <w:tc>
          <w:tcPr>
            <w:tcW w:w="1620" w:type="dxa"/>
            <w:noWrap w:val="0"/>
            <w:vAlign w:val="top"/>
          </w:tcPr>
          <w:p>
            <w:pPr>
              <w:snapToGrid w:val="0"/>
              <w:jc w:val="lef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3" w:type="dxa"/>
            <w:noWrap w:val="0"/>
            <w:vAlign w:val="center"/>
          </w:tcPr>
          <w:p>
            <w:pPr>
              <w:snapToGrid w:val="0"/>
              <w:jc w:val="left"/>
              <w:rPr>
                <w:rFonts w:hint="eastAsia" w:ascii="宋体" w:hAnsi="宋体" w:cs="宋体"/>
                <w:color w:val="000000"/>
                <w:szCs w:val="21"/>
              </w:rPr>
            </w:pPr>
          </w:p>
        </w:tc>
        <w:tc>
          <w:tcPr>
            <w:tcW w:w="2376" w:type="dxa"/>
            <w:noWrap w:val="0"/>
            <w:vAlign w:val="center"/>
          </w:tcPr>
          <w:p>
            <w:pPr>
              <w:snapToGrid w:val="0"/>
              <w:jc w:val="left"/>
              <w:rPr>
                <w:rFonts w:hint="eastAsia" w:ascii="宋体" w:hAnsi="宋体" w:cs="宋体"/>
                <w:color w:val="000000"/>
                <w:szCs w:val="21"/>
              </w:rPr>
            </w:pPr>
          </w:p>
        </w:tc>
        <w:tc>
          <w:tcPr>
            <w:tcW w:w="4556" w:type="dxa"/>
            <w:noWrap w:val="0"/>
            <w:vAlign w:val="center"/>
          </w:tcPr>
          <w:p>
            <w:pPr>
              <w:snapToGrid w:val="0"/>
              <w:jc w:val="left"/>
              <w:rPr>
                <w:rFonts w:hint="eastAsia" w:ascii="宋体" w:hAnsi="宋体" w:cs="宋体"/>
                <w:color w:val="000000"/>
                <w:szCs w:val="21"/>
              </w:rPr>
            </w:pPr>
          </w:p>
        </w:tc>
        <w:tc>
          <w:tcPr>
            <w:tcW w:w="4211" w:type="dxa"/>
            <w:noWrap w:val="0"/>
            <w:vAlign w:val="center"/>
          </w:tcPr>
          <w:p>
            <w:pPr>
              <w:snapToGrid w:val="0"/>
              <w:jc w:val="left"/>
              <w:rPr>
                <w:rFonts w:hint="eastAsia" w:ascii="宋体" w:hAnsi="宋体" w:cs="宋体"/>
                <w:color w:val="000000"/>
                <w:szCs w:val="21"/>
              </w:rPr>
            </w:pPr>
          </w:p>
        </w:tc>
        <w:tc>
          <w:tcPr>
            <w:tcW w:w="776" w:type="dxa"/>
            <w:noWrap w:val="0"/>
            <w:vAlign w:val="center"/>
          </w:tcPr>
          <w:p>
            <w:pPr>
              <w:snapToGrid w:val="0"/>
              <w:jc w:val="left"/>
              <w:rPr>
                <w:rFonts w:hint="eastAsia" w:ascii="宋体" w:hAnsi="宋体" w:cs="宋体"/>
                <w:color w:val="000000"/>
                <w:szCs w:val="21"/>
              </w:rPr>
            </w:pPr>
          </w:p>
        </w:tc>
        <w:tc>
          <w:tcPr>
            <w:tcW w:w="1620" w:type="dxa"/>
            <w:noWrap w:val="0"/>
            <w:vAlign w:val="top"/>
          </w:tcPr>
          <w:p>
            <w:pPr>
              <w:snapToGrid w:val="0"/>
              <w:jc w:val="lef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3" w:type="dxa"/>
            <w:noWrap w:val="0"/>
            <w:vAlign w:val="center"/>
          </w:tcPr>
          <w:p>
            <w:pPr>
              <w:snapToGrid w:val="0"/>
              <w:jc w:val="left"/>
              <w:rPr>
                <w:rFonts w:hint="eastAsia" w:ascii="宋体" w:hAnsi="宋体" w:cs="宋体"/>
                <w:color w:val="000000"/>
                <w:szCs w:val="21"/>
              </w:rPr>
            </w:pPr>
          </w:p>
        </w:tc>
        <w:tc>
          <w:tcPr>
            <w:tcW w:w="2376" w:type="dxa"/>
            <w:noWrap w:val="0"/>
            <w:vAlign w:val="center"/>
          </w:tcPr>
          <w:p>
            <w:pPr>
              <w:snapToGrid w:val="0"/>
              <w:jc w:val="left"/>
              <w:rPr>
                <w:rFonts w:hint="eastAsia" w:ascii="宋体" w:hAnsi="宋体" w:cs="宋体"/>
                <w:color w:val="000000"/>
                <w:szCs w:val="21"/>
              </w:rPr>
            </w:pPr>
          </w:p>
        </w:tc>
        <w:tc>
          <w:tcPr>
            <w:tcW w:w="4556" w:type="dxa"/>
            <w:noWrap w:val="0"/>
            <w:vAlign w:val="center"/>
          </w:tcPr>
          <w:p>
            <w:pPr>
              <w:snapToGrid w:val="0"/>
              <w:jc w:val="left"/>
              <w:rPr>
                <w:rFonts w:hint="eastAsia" w:ascii="宋体" w:hAnsi="宋体" w:cs="宋体"/>
                <w:color w:val="000000"/>
                <w:szCs w:val="21"/>
              </w:rPr>
            </w:pPr>
          </w:p>
        </w:tc>
        <w:tc>
          <w:tcPr>
            <w:tcW w:w="4211" w:type="dxa"/>
            <w:noWrap w:val="0"/>
            <w:vAlign w:val="center"/>
          </w:tcPr>
          <w:p>
            <w:pPr>
              <w:snapToGrid w:val="0"/>
              <w:jc w:val="left"/>
              <w:rPr>
                <w:rFonts w:hint="eastAsia" w:ascii="宋体" w:hAnsi="宋体" w:cs="宋体"/>
                <w:color w:val="000000"/>
                <w:szCs w:val="21"/>
              </w:rPr>
            </w:pPr>
          </w:p>
        </w:tc>
        <w:tc>
          <w:tcPr>
            <w:tcW w:w="776" w:type="dxa"/>
            <w:noWrap w:val="0"/>
            <w:vAlign w:val="center"/>
          </w:tcPr>
          <w:p>
            <w:pPr>
              <w:snapToGrid w:val="0"/>
              <w:jc w:val="left"/>
              <w:rPr>
                <w:rFonts w:hint="eastAsia" w:ascii="宋体" w:hAnsi="宋体" w:cs="宋体"/>
                <w:color w:val="000000"/>
                <w:szCs w:val="21"/>
              </w:rPr>
            </w:pPr>
          </w:p>
        </w:tc>
        <w:tc>
          <w:tcPr>
            <w:tcW w:w="1620" w:type="dxa"/>
            <w:noWrap w:val="0"/>
            <w:vAlign w:val="top"/>
          </w:tcPr>
          <w:p>
            <w:pPr>
              <w:snapToGrid w:val="0"/>
              <w:jc w:val="lef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3" w:type="dxa"/>
            <w:noWrap w:val="0"/>
            <w:vAlign w:val="center"/>
          </w:tcPr>
          <w:p>
            <w:pPr>
              <w:snapToGrid w:val="0"/>
              <w:jc w:val="left"/>
              <w:rPr>
                <w:rFonts w:hint="eastAsia" w:ascii="宋体" w:hAnsi="宋体" w:cs="宋体"/>
                <w:color w:val="000000"/>
                <w:szCs w:val="21"/>
              </w:rPr>
            </w:pPr>
          </w:p>
        </w:tc>
        <w:tc>
          <w:tcPr>
            <w:tcW w:w="2376" w:type="dxa"/>
            <w:noWrap w:val="0"/>
            <w:vAlign w:val="center"/>
          </w:tcPr>
          <w:p>
            <w:pPr>
              <w:snapToGrid w:val="0"/>
              <w:jc w:val="left"/>
              <w:rPr>
                <w:rFonts w:hint="eastAsia" w:ascii="宋体" w:hAnsi="宋体" w:cs="宋体"/>
                <w:color w:val="000000"/>
                <w:szCs w:val="21"/>
              </w:rPr>
            </w:pPr>
          </w:p>
        </w:tc>
        <w:tc>
          <w:tcPr>
            <w:tcW w:w="4556" w:type="dxa"/>
            <w:noWrap w:val="0"/>
            <w:vAlign w:val="center"/>
          </w:tcPr>
          <w:p>
            <w:pPr>
              <w:snapToGrid w:val="0"/>
              <w:jc w:val="left"/>
              <w:rPr>
                <w:rFonts w:hint="eastAsia" w:ascii="宋体" w:hAnsi="宋体" w:cs="宋体"/>
                <w:color w:val="000000"/>
                <w:szCs w:val="21"/>
              </w:rPr>
            </w:pPr>
          </w:p>
        </w:tc>
        <w:tc>
          <w:tcPr>
            <w:tcW w:w="4211" w:type="dxa"/>
            <w:noWrap w:val="0"/>
            <w:vAlign w:val="center"/>
          </w:tcPr>
          <w:p>
            <w:pPr>
              <w:snapToGrid w:val="0"/>
              <w:jc w:val="left"/>
              <w:rPr>
                <w:rFonts w:hint="eastAsia" w:ascii="宋体" w:hAnsi="宋体" w:cs="宋体"/>
                <w:color w:val="000000"/>
                <w:szCs w:val="21"/>
              </w:rPr>
            </w:pPr>
          </w:p>
        </w:tc>
        <w:tc>
          <w:tcPr>
            <w:tcW w:w="776" w:type="dxa"/>
            <w:noWrap w:val="0"/>
            <w:vAlign w:val="center"/>
          </w:tcPr>
          <w:p>
            <w:pPr>
              <w:snapToGrid w:val="0"/>
              <w:jc w:val="left"/>
              <w:rPr>
                <w:rFonts w:hint="eastAsia" w:ascii="宋体" w:hAnsi="宋体" w:cs="宋体"/>
                <w:color w:val="000000"/>
                <w:szCs w:val="21"/>
              </w:rPr>
            </w:pPr>
          </w:p>
        </w:tc>
        <w:tc>
          <w:tcPr>
            <w:tcW w:w="1620" w:type="dxa"/>
            <w:noWrap w:val="0"/>
            <w:vAlign w:val="top"/>
          </w:tcPr>
          <w:p>
            <w:pPr>
              <w:snapToGrid w:val="0"/>
              <w:jc w:val="left"/>
              <w:rPr>
                <w:rFonts w:hint="eastAsia" w:ascii="宋体" w:hAnsi="宋体" w:cs="宋体"/>
                <w:color w:val="000000"/>
                <w:szCs w:val="21"/>
              </w:rPr>
            </w:pPr>
          </w:p>
        </w:tc>
      </w:tr>
    </w:tbl>
    <w:p>
      <w:pPr>
        <w:spacing w:line="400" w:lineRule="exact"/>
        <w:rPr>
          <w:rFonts w:hint="eastAsia" w:ascii="宋体" w:hAnsi="宋体" w:cs="宋体"/>
          <w:color w:val="000000"/>
          <w:spacing w:val="20"/>
          <w:szCs w:val="21"/>
        </w:rPr>
      </w:pPr>
      <w:r>
        <w:rPr>
          <w:rFonts w:hint="eastAsia" w:ascii="宋体" w:hAnsi="宋体" w:cs="宋体"/>
          <w:color w:val="000000"/>
          <w:szCs w:val="21"/>
        </w:rPr>
        <w:t>注：须与“第五章招标内容与技术需求”中的“技术参数”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pPr>
        <w:spacing w:line="400" w:lineRule="exact"/>
        <w:jc w:val="left"/>
        <w:rPr>
          <w:rFonts w:hint="eastAsia" w:ascii="宋体" w:hAnsi="宋体" w:cs="宋体"/>
          <w:color w:val="000000"/>
          <w:szCs w:val="21"/>
        </w:rPr>
      </w:pPr>
      <w:r>
        <w:rPr>
          <w:rFonts w:hint="eastAsia" w:ascii="宋体" w:hAnsi="宋体" w:cs="宋体"/>
          <w:color w:val="000000"/>
          <w:szCs w:val="21"/>
        </w:rPr>
        <w:t>供应商（盖章）：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400" w:lineRule="exact"/>
        <w:jc w:val="left"/>
        <w:rPr>
          <w:rFonts w:hint="eastAsia" w:ascii="宋体" w:hAnsi="宋体" w:cs="宋体"/>
          <w:color w:val="000000"/>
          <w:szCs w:val="21"/>
        </w:rPr>
      </w:pPr>
      <w:r>
        <w:rPr>
          <w:rFonts w:hint="eastAsia" w:ascii="宋体" w:hAnsi="宋体" w:cs="宋体"/>
          <w:color w:val="000000"/>
          <w:szCs w:val="21"/>
        </w:rPr>
        <w:t>法定代表人或授权代表（签字）：</w:t>
      </w:r>
      <w:r>
        <w:rPr>
          <w:rFonts w:hint="eastAsia" w:ascii="宋体" w:hAnsi="宋体" w:cs="宋体"/>
          <w:color w:val="000000"/>
          <w:szCs w:val="21"/>
          <w:u w:val="single"/>
        </w:rPr>
        <w:t xml:space="preserve">                  </w:t>
      </w:r>
    </w:p>
    <w:p>
      <w:pPr>
        <w:spacing w:line="400" w:lineRule="exact"/>
        <w:rPr>
          <w:rFonts w:hint="eastAsia" w:ascii="宋体" w:hAnsi="宋体" w:cs="宋体"/>
          <w:color w:val="000000"/>
          <w:szCs w:val="21"/>
          <w:u w:val="single"/>
        </w:rPr>
      </w:pPr>
      <w:r>
        <w:rPr>
          <w:rFonts w:hint="eastAsia" w:ascii="宋体" w:hAnsi="宋体" w:cs="宋体"/>
          <w:color w:val="000000"/>
          <w:szCs w:val="21"/>
        </w:rPr>
        <w:t>日            期：</w:t>
      </w:r>
      <w:r>
        <w:rPr>
          <w:rFonts w:hint="eastAsia" w:ascii="宋体" w:hAnsi="宋体" w:cs="宋体"/>
          <w:color w:val="000000"/>
          <w:szCs w:val="21"/>
          <w:u w:val="single"/>
        </w:rPr>
        <w:t xml:space="preserve">                             </w:t>
      </w:r>
    </w:p>
    <w:p>
      <w:pPr>
        <w:spacing w:line="400" w:lineRule="exact"/>
        <w:jc w:val="left"/>
        <w:rPr>
          <w:rFonts w:hint="eastAsia" w:ascii="宋体" w:hAnsi="宋体" w:cs="宋体"/>
          <w:color w:val="000000"/>
          <w:szCs w:val="21"/>
          <w:u w:val="single"/>
        </w:rPr>
        <w:sectPr>
          <w:pgSz w:w="16840" w:h="11907" w:orient="landscape"/>
          <w:pgMar w:top="1134" w:right="1418" w:bottom="1134" w:left="1418" w:header="285" w:footer="990" w:gutter="0"/>
          <w:pgBorders w:offsetFrom="page">
            <w:top w:val="none" w:sz="0" w:space="0"/>
            <w:left w:val="none" w:sz="0" w:space="0"/>
            <w:bottom w:val="none" w:sz="0" w:space="0"/>
            <w:right w:val="none" w:sz="0" w:space="0"/>
          </w:pgBorders>
          <w:cols w:space="720" w:num="1"/>
          <w:docGrid w:linePitch="285" w:charSpace="0"/>
        </w:sectPr>
      </w:pPr>
    </w:p>
    <w:bookmarkEnd w:id="125"/>
    <w:bookmarkEnd w:id="126"/>
    <w:p>
      <w:pPr>
        <w:adjustRightInd w:val="0"/>
        <w:snapToGrid w:val="0"/>
        <w:spacing w:line="400" w:lineRule="exact"/>
        <w:rPr>
          <w:rFonts w:hint="eastAsia" w:ascii="宋体" w:hAnsi="宋体" w:cs="宋体"/>
          <w:b/>
          <w:color w:val="000000"/>
          <w:szCs w:val="21"/>
        </w:rPr>
      </w:pPr>
      <w:r>
        <w:rPr>
          <w:rFonts w:hint="eastAsia" w:ascii="宋体" w:hAnsi="宋体" w:cs="宋体"/>
          <w:b/>
          <w:color w:val="000000"/>
          <w:szCs w:val="21"/>
        </w:rPr>
        <w:t>附件十一</w:t>
      </w:r>
    </w:p>
    <w:p>
      <w:pPr>
        <w:adjustRightInd w:val="0"/>
        <w:snapToGrid w:val="0"/>
        <w:spacing w:line="400" w:lineRule="exact"/>
        <w:jc w:val="center"/>
        <w:rPr>
          <w:rFonts w:hint="eastAsia" w:ascii="宋体" w:hAnsi="宋体" w:cs="宋体"/>
          <w:b/>
          <w:bCs/>
          <w:color w:val="000000"/>
          <w:szCs w:val="21"/>
        </w:rPr>
      </w:pPr>
      <w:r>
        <w:rPr>
          <w:rFonts w:hint="eastAsia" w:ascii="宋体" w:hAnsi="宋体" w:cs="宋体"/>
          <w:b/>
          <w:bCs/>
          <w:color w:val="000000"/>
          <w:szCs w:val="21"/>
        </w:rPr>
        <w:t>投标单位声明函</w:t>
      </w:r>
    </w:p>
    <w:p>
      <w:pPr>
        <w:spacing w:line="400" w:lineRule="exact"/>
        <w:ind w:firstLine="420" w:firstLineChars="200"/>
        <w:rPr>
          <w:rFonts w:hint="eastAsia" w:ascii="宋体" w:hAnsi="宋体" w:cs="宋体"/>
          <w:color w:val="000000"/>
          <w:szCs w:val="21"/>
        </w:rPr>
      </w:pP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根据财政部《政府采购促进中小企业发展暂行办法》（财库[2011]181号）和宁波市财政局《关于政府采购促进中小企业发展若干问题的通知》（甬采购办[2012]1427号）的规定，本单位郑重声明：</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依据工业和信息化部、国家统计局、国家发展和改革委员会、财政部《关于印发中小企业划型标准规定的通知》（工信部联企业[2011]300号）规定的划分标准，本单位为______（大型、中型、小型、微型、不划型）企业，其中所属行业为________________、上年末从业人员____人、上年营业收入____万元、上年资产总额____万元。</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本单位参加______项目（采购编号______标段/包______）采购活动，项目的市场价格为______万元，本次投标价格为______万元，其中由本单位承担工程金额为______万元，由本单位提供服务金额为______万元，提供本单位制造的货物金额为______万元，或者提供其他大型企业制造的货物金额为______元、其他中型企业制造的货物金额为______万元、其他小型企业制造的货物金额为______万元、其他微型企业制造的货物金额为______万元。原产地为中国境内货物金额为______万元、原产地为宁波货物金额为______万元，列入国家节能产品清单货物金额为______万元，列入国家环境标志产品清单货物金额为______万元。</w:t>
      </w:r>
    </w:p>
    <w:p>
      <w:pPr>
        <w:spacing w:line="4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本单位对上述声明的真实性负责。如有虚假，将依法承担相应责任。</w:t>
      </w:r>
    </w:p>
    <w:p>
      <w:pPr>
        <w:widowControl/>
        <w:spacing w:before="100" w:beforeAutospacing="1" w:after="100" w:afterAutospacing="1" w:line="400" w:lineRule="exact"/>
        <w:jc w:val="left"/>
        <w:rPr>
          <w:rFonts w:hint="eastAsia" w:ascii="宋体" w:hAnsi="宋体" w:cs="宋体"/>
          <w:color w:val="000000"/>
          <w:kern w:val="0"/>
          <w:szCs w:val="21"/>
        </w:rPr>
      </w:pPr>
    </w:p>
    <w:p>
      <w:pPr>
        <w:widowControl/>
        <w:spacing w:before="100" w:beforeAutospacing="1" w:after="100" w:afterAutospacing="1" w:line="400" w:lineRule="exact"/>
        <w:jc w:val="left"/>
        <w:rPr>
          <w:rFonts w:hint="eastAsia" w:ascii="宋体" w:hAnsi="宋体" w:cs="宋体"/>
          <w:color w:val="000000"/>
          <w:kern w:val="0"/>
          <w:szCs w:val="21"/>
        </w:rPr>
      </w:pPr>
      <w:r>
        <w:rPr>
          <w:rFonts w:hint="eastAsia" w:ascii="宋体" w:hAnsi="宋体" w:cs="宋体"/>
          <w:color w:val="000000"/>
          <w:szCs w:val="21"/>
        </w:rPr>
        <w:t>供应商全称（盖章）</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w:t>
      </w:r>
    </w:p>
    <w:p>
      <w:pPr>
        <w:widowControl/>
        <w:spacing w:before="100" w:beforeAutospacing="1" w:after="100" w:afterAutospacing="1" w:line="400" w:lineRule="exact"/>
        <w:jc w:val="left"/>
        <w:rPr>
          <w:rFonts w:hint="eastAsia" w:ascii="宋体" w:hAnsi="宋体" w:cs="宋体"/>
          <w:color w:val="000000"/>
          <w:kern w:val="0"/>
          <w:szCs w:val="21"/>
        </w:rPr>
      </w:pPr>
      <w:r>
        <w:rPr>
          <w:rFonts w:hint="eastAsia" w:ascii="宋体" w:hAnsi="宋体" w:cs="宋体"/>
          <w:color w:val="000000"/>
          <w:kern w:val="0"/>
          <w:szCs w:val="21"/>
        </w:rPr>
        <w:t>日期：</w:t>
      </w:r>
      <w:r>
        <w:rPr>
          <w:rFonts w:hint="eastAsia" w:ascii="宋体" w:hAnsi="宋体" w:cs="宋体"/>
          <w:color w:val="000000"/>
          <w:kern w:val="0"/>
          <w:szCs w:val="21"/>
          <w:u w:val="single"/>
        </w:rPr>
        <w:t xml:space="preserve">               </w:t>
      </w:r>
    </w:p>
    <w:p>
      <w:pPr>
        <w:pStyle w:val="19"/>
        <w:spacing w:line="400" w:lineRule="exact"/>
        <w:ind w:firstLine="420"/>
        <w:rPr>
          <w:rFonts w:hint="eastAsia" w:ascii="宋体" w:hAnsi="宋体" w:eastAsia="宋体" w:cs="宋体"/>
          <w:color w:val="000000"/>
          <w:sz w:val="21"/>
          <w:szCs w:val="21"/>
        </w:rPr>
      </w:pPr>
    </w:p>
    <w:p>
      <w:pPr>
        <w:pStyle w:val="19"/>
        <w:spacing w:line="400" w:lineRule="exact"/>
        <w:ind w:firstLine="420"/>
        <w:rPr>
          <w:rFonts w:hint="eastAsia" w:ascii="宋体" w:hAnsi="宋体" w:eastAsia="宋体" w:cs="宋体"/>
          <w:color w:val="000000"/>
          <w:sz w:val="21"/>
          <w:szCs w:val="21"/>
        </w:rPr>
      </w:pPr>
    </w:p>
    <w:p>
      <w:pPr>
        <w:pStyle w:val="19"/>
        <w:spacing w:line="400" w:lineRule="exact"/>
        <w:rPr>
          <w:rFonts w:hint="eastAsia" w:ascii="宋体" w:hAnsi="宋体" w:eastAsia="宋体" w:cs="宋体"/>
          <w:color w:val="000000"/>
          <w:sz w:val="21"/>
          <w:szCs w:val="21"/>
        </w:rPr>
      </w:pPr>
      <w:r>
        <w:rPr>
          <w:rFonts w:hint="eastAsia" w:ascii="宋体" w:hAnsi="宋体" w:eastAsia="宋体" w:cs="宋体"/>
          <w:color w:val="000000"/>
          <w:szCs w:val="21"/>
        </w:rPr>
        <w:br w:type="page"/>
      </w:r>
      <w:r>
        <w:rPr>
          <w:rFonts w:hint="eastAsia" w:ascii="宋体" w:hAnsi="宋体" w:eastAsia="宋体" w:cs="宋体"/>
          <w:color w:val="000000"/>
          <w:sz w:val="21"/>
          <w:szCs w:val="21"/>
        </w:rPr>
        <w:t>填写说明：</w:t>
      </w:r>
    </w:p>
    <w:p>
      <w:pPr>
        <w:pStyle w:val="19"/>
        <w:spacing w:line="40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pStyle w:val="19"/>
        <w:spacing w:line="40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第1条宁波政府采购网（www.nbzfcg.cn）注册的企业供应商须根据上年财务报表等，登录进入网上供应商平台中“供应商账户管理”-“单位信息”模块，对照前款说明，可选择“所属行业”，如实填写修改上年末从业人员____人、上年营业收入____万元、上年资产总额____万元等数据，新成立企业暂以当前实际数据填报，重新点击会自动显示修改后企业划型信息，事业社团其他类型供应商不划型。</w:t>
      </w:r>
    </w:p>
    <w:p>
      <w:pPr>
        <w:pStyle w:val="19"/>
        <w:spacing w:line="40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3、第2条有多个标包的，须按每个标包分别填写，无此分类货物金额的应填“零”。</w:t>
      </w:r>
    </w:p>
    <w:p>
      <w:pPr>
        <w:pStyle w:val="19"/>
        <w:spacing w:line="40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4、联合体投标的，由联合体主办方提供本表。</w:t>
      </w:r>
    </w:p>
    <w:p>
      <w:pPr>
        <w:pStyle w:val="19"/>
        <w:spacing w:line="40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5、资格入围式项目（一个标包由多家中标入围）：采购人公布项目预算的，第2条有关金额按市场预估总价、投标预估总价除以入围数量填写；未公布预算的或入围数量的，供应商无需填写。</w:t>
      </w:r>
    </w:p>
    <w:p>
      <w:pPr>
        <w:pStyle w:val="19"/>
        <w:spacing w:line="40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6、投标价格为费率的项目、中标价格按单价执行的项目：采购人公布项目预算的，第2条有关金额按市场预估总价、投标预估总价填写；未公布预算的，供应商无需填写。</w:t>
      </w:r>
    </w:p>
    <w:p>
      <w:pPr>
        <w:pStyle w:val="19"/>
        <w:spacing w:line="40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7、列入国家节能产品清单、环保产品清单的产品以中国政府采购网（www.ccgp.gov.cn）上财政部发布的文件为准。</w:t>
      </w:r>
    </w:p>
    <w:p>
      <w:pPr>
        <w:pStyle w:val="19"/>
        <w:spacing w:line="40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8、本《投标单位声明函》为政府采购信息统计使用，请供应商按照要求提供。</w:t>
      </w:r>
    </w:p>
    <w:p>
      <w:pPr>
        <w:pStyle w:val="19"/>
        <w:spacing w:line="40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9、本表中信息须与“中小企业声明函”信息一致。</w:t>
      </w:r>
    </w:p>
    <w:p>
      <w:pPr>
        <w:spacing w:line="400" w:lineRule="exact"/>
        <w:rPr>
          <w:rFonts w:hint="eastAsia" w:ascii="宋体" w:hAnsi="宋体" w:cs="宋体"/>
          <w:b/>
          <w:color w:val="000000"/>
          <w:szCs w:val="21"/>
        </w:rPr>
      </w:pPr>
      <w:r>
        <w:rPr>
          <w:rFonts w:hint="eastAsia" w:ascii="宋体" w:hAnsi="宋体" w:cs="宋体"/>
          <w:color w:val="000000"/>
          <w:szCs w:val="21"/>
        </w:rPr>
        <w:br w:type="page"/>
      </w:r>
      <w:r>
        <w:rPr>
          <w:rFonts w:hint="eastAsia" w:ascii="宋体" w:hAnsi="宋体" w:cs="宋体"/>
          <w:b/>
          <w:color w:val="000000"/>
          <w:szCs w:val="21"/>
        </w:rPr>
        <w:t>附件十二</w:t>
      </w:r>
    </w:p>
    <w:p>
      <w:pPr>
        <w:spacing w:line="400" w:lineRule="exact"/>
        <w:jc w:val="center"/>
        <w:rPr>
          <w:rFonts w:hint="eastAsia" w:ascii="宋体" w:hAnsi="宋体" w:cs="宋体"/>
          <w:b/>
          <w:color w:val="000000"/>
          <w:szCs w:val="21"/>
        </w:rPr>
      </w:pPr>
      <w:r>
        <w:rPr>
          <w:rFonts w:hint="eastAsia" w:ascii="宋体" w:hAnsi="宋体" w:cs="宋体"/>
          <w:b/>
          <w:color w:val="000000"/>
          <w:szCs w:val="21"/>
        </w:rPr>
        <w:t>中小企业声明函</w:t>
      </w:r>
    </w:p>
    <w:p>
      <w:pPr>
        <w:spacing w:line="400" w:lineRule="exact"/>
        <w:rPr>
          <w:rFonts w:hint="eastAsia" w:ascii="宋体" w:hAnsi="宋体" w:cs="宋体"/>
          <w:b/>
          <w:color w:val="000000"/>
          <w:spacing w:val="6"/>
          <w:szCs w:val="21"/>
        </w:rPr>
      </w:pP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本公司郑重声明，根据《政府采购促进中小企业发展暂行办法》（财库[2011]181号）的规定，本公司为______（请填写：中型、小型、微型）企业。即，本公司同时满足以下条件：</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1.根据《工业和信息化部、国家统计局、国家发展和改革委员会、财政部关于印发中小企业划型标准规定的通知》（工信部联企业[2011]300号）规定的划分标准，本公司为______（请填写：中型、小型、微型）企业。</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2.本公司参加______单位的______项目采购活动提供本企业制造的货物（</w:t>
      </w:r>
      <w:r>
        <w:rPr>
          <w:rFonts w:hint="eastAsia" w:ascii="宋体" w:hAnsi="宋体" w:cs="宋体"/>
          <w:color w:val="000000"/>
          <w:szCs w:val="21"/>
          <w:u w:val="single"/>
        </w:rPr>
        <w:t xml:space="preserve">    </w:t>
      </w:r>
      <w:r>
        <w:rPr>
          <w:rFonts w:hint="eastAsia" w:ascii="宋体" w:hAnsi="宋体" w:cs="宋体"/>
          <w:color w:val="000000"/>
          <w:szCs w:val="21"/>
        </w:rPr>
        <w:t>），由本企业承担工程（</w:t>
      </w:r>
      <w:r>
        <w:rPr>
          <w:rFonts w:hint="eastAsia" w:ascii="宋体" w:hAnsi="宋体" w:cs="宋体"/>
          <w:color w:val="000000"/>
          <w:szCs w:val="21"/>
          <w:u w:val="single"/>
        </w:rPr>
        <w:t xml:space="preserve">    </w:t>
      </w:r>
      <w:r>
        <w:rPr>
          <w:rFonts w:hint="eastAsia" w:ascii="宋体" w:hAnsi="宋体" w:cs="宋体"/>
          <w:color w:val="000000"/>
          <w:szCs w:val="21"/>
        </w:rPr>
        <w:t>）、提供服务（</w:t>
      </w:r>
      <w:r>
        <w:rPr>
          <w:rFonts w:hint="eastAsia" w:ascii="宋体" w:hAnsi="宋体" w:cs="宋体"/>
          <w:color w:val="000000"/>
          <w:szCs w:val="21"/>
          <w:u w:val="single"/>
        </w:rPr>
        <w:t xml:space="preserve">    </w:t>
      </w:r>
      <w:r>
        <w:rPr>
          <w:rFonts w:hint="eastAsia" w:ascii="宋体" w:hAnsi="宋体" w:cs="宋体"/>
          <w:color w:val="000000"/>
          <w:szCs w:val="21"/>
        </w:rPr>
        <w:t>），或者提供其他______（请填写：中型、小型、微型）企业制造的货物。本条所称货物不包括使用大型企业注册商标的货物。</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本公司对上述声明的真实性负责。如有虚假，将依法承担相应责任。</w:t>
      </w:r>
    </w:p>
    <w:p>
      <w:pPr>
        <w:spacing w:line="400" w:lineRule="exact"/>
        <w:ind w:firstLine="420" w:firstLineChars="200"/>
        <w:rPr>
          <w:rFonts w:hint="eastAsia" w:ascii="宋体" w:hAnsi="宋体" w:cs="宋体"/>
          <w:color w:val="000000"/>
          <w:szCs w:val="21"/>
        </w:rPr>
      </w:pPr>
    </w:p>
    <w:p>
      <w:pPr>
        <w:tabs>
          <w:tab w:val="left" w:pos="4860"/>
        </w:tabs>
        <w:spacing w:line="400" w:lineRule="exact"/>
        <w:ind w:right="1560" w:firstLine="420" w:firstLineChars="200"/>
        <w:jc w:val="center"/>
        <w:rPr>
          <w:rFonts w:hint="eastAsia" w:ascii="宋体" w:hAnsi="宋体" w:cs="宋体"/>
          <w:color w:val="000000"/>
          <w:szCs w:val="21"/>
        </w:rPr>
      </w:pPr>
      <w:r>
        <w:rPr>
          <w:rFonts w:hint="eastAsia" w:ascii="宋体" w:hAnsi="宋体" w:cs="宋体"/>
          <w:color w:val="000000"/>
          <w:szCs w:val="21"/>
        </w:rPr>
        <w:t xml:space="preserve">                  供应商全称（盖章）：</w:t>
      </w:r>
    </w:p>
    <w:p>
      <w:pPr>
        <w:pStyle w:val="19"/>
        <w:spacing w:line="400" w:lineRule="exact"/>
        <w:ind w:firstLine="4200" w:firstLineChars="20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日  期：                </w:t>
      </w:r>
    </w:p>
    <w:p>
      <w:pPr>
        <w:spacing w:line="400" w:lineRule="exact"/>
        <w:jc w:val="center"/>
        <w:rPr>
          <w:rFonts w:hint="eastAsia" w:ascii="宋体" w:hAnsi="宋体" w:cs="宋体"/>
          <w:b/>
          <w:color w:val="000000"/>
          <w:szCs w:val="21"/>
        </w:rPr>
      </w:pPr>
    </w:p>
    <w:p>
      <w:pPr>
        <w:spacing w:line="400" w:lineRule="exact"/>
        <w:jc w:val="center"/>
        <w:rPr>
          <w:rFonts w:hint="eastAsia" w:ascii="宋体" w:hAnsi="宋体" w:cs="宋体"/>
          <w:b/>
          <w:color w:val="000000"/>
          <w:szCs w:val="21"/>
        </w:rPr>
      </w:pPr>
    </w:p>
    <w:p>
      <w:pPr>
        <w:spacing w:line="400" w:lineRule="exact"/>
        <w:jc w:val="center"/>
        <w:rPr>
          <w:rFonts w:hint="eastAsia" w:ascii="宋体" w:hAnsi="宋体" w:cs="宋体"/>
          <w:b/>
          <w:color w:val="000000"/>
          <w:szCs w:val="21"/>
        </w:rPr>
      </w:pPr>
    </w:p>
    <w:p>
      <w:pPr>
        <w:spacing w:line="400" w:lineRule="exact"/>
        <w:jc w:val="center"/>
        <w:rPr>
          <w:rFonts w:hint="eastAsia" w:ascii="宋体" w:hAnsi="宋体" w:cs="宋体"/>
          <w:b/>
          <w:color w:val="000000"/>
          <w:szCs w:val="21"/>
        </w:rPr>
      </w:pPr>
    </w:p>
    <w:p>
      <w:pPr>
        <w:spacing w:line="400" w:lineRule="exact"/>
        <w:jc w:val="center"/>
        <w:rPr>
          <w:rFonts w:hint="eastAsia" w:ascii="宋体" w:hAnsi="宋体" w:cs="宋体"/>
          <w:b/>
          <w:color w:val="000000"/>
          <w:szCs w:val="21"/>
        </w:rPr>
      </w:pPr>
    </w:p>
    <w:p>
      <w:pPr>
        <w:spacing w:line="400" w:lineRule="exact"/>
        <w:jc w:val="center"/>
        <w:rPr>
          <w:rFonts w:hint="eastAsia" w:ascii="宋体" w:hAnsi="宋体" w:cs="宋体"/>
          <w:b/>
          <w:color w:val="000000"/>
          <w:szCs w:val="21"/>
        </w:rPr>
      </w:pPr>
    </w:p>
    <w:p>
      <w:pPr>
        <w:spacing w:line="400" w:lineRule="exact"/>
        <w:rPr>
          <w:rFonts w:hint="eastAsia" w:ascii="宋体" w:hAnsi="宋体" w:cs="宋体"/>
          <w:color w:val="000000"/>
          <w:szCs w:val="21"/>
        </w:rPr>
      </w:pPr>
      <w:r>
        <w:rPr>
          <w:rFonts w:hint="eastAsia" w:ascii="宋体" w:hAnsi="宋体" w:cs="宋体"/>
          <w:color w:val="000000"/>
          <w:szCs w:val="21"/>
        </w:rPr>
        <w:t>填写说明：</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1、本声明函为财库[2011]181号文附件的标准格式，必须按该格式填写；本声明函由供应商填写，请认真阅读相关政策文件；</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2、如供应商提供本企业制造的货物或者由本企业承担工程、提供服务的，请在相应文字处后面打钩，如“提供本企业制造的货物（√）” “由本企业承担工程（√）、提供服务（√）”。如供应商是代理商，提供其他企业制造的货物，请如实填写其他企业的划分类型并对其真实性负责；</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3、小型、微型企业提供中型企业制造的货物时视同中型企业，因此，只有小微企业提供自己的货物或者小微企业提供其他小微企业的货物时，供应商才算小微企业，才能享受评标标准里的价格扣除优惠。</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4、本表中信息须与“投标单位声明函”信息一致。</w:t>
      </w:r>
    </w:p>
    <w:p>
      <w:pPr>
        <w:snapToGrid w:val="0"/>
        <w:spacing w:line="400" w:lineRule="exact"/>
        <w:rPr>
          <w:rFonts w:hint="eastAsia" w:ascii="宋体" w:hAnsi="宋体" w:cs="宋体"/>
          <w:b/>
          <w:color w:val="000000"/>
          <w:szCs w:val="21"/>
        </w:rPr>
      </w:pPr>
      <w:r>
        <w:rPr>
          <w:rFonts w:hint="eastAsia" w:ascii="宋体" w:hAnsi="宋体" w:cs="宋体"/>
          <w:color w:val="000000"/>
          <w:szCs w:val="21"/>
        </w:rPr>
        <w:br w:type="page"/>
      </w:r>
      <w:bookmarkStart w:id="127" w:name="OLE_LINK14"/>
      <w:bookmarkStart w:id="128" w:name="OLE_LINK13"/>
      <w:r>
        <w:rPr>
          <w:rFonts w:hint="eastAsia" w:ascii="宋体" w:hAnsi="宋体" w:cs="宋体"/>
          <w:b/>
          <w:color w:val="000000"/>
          <w:szCs w:val="21"/>
        </w:rPr>
        <w:t>附件十三</w:t>
      </w:r>
    </w:p>
    <w:p>
      <w:pPr>
        <w:spacing w:line="588" w:lineRule="exact"/>
        <w:jc w:val="center"/>
        <w:rPr>
          <w:rFonts w:hint="eastAsia" w:ascii="宋体" w:hAnsi="宋体" w:cs="宋体"/>
          <w:b/>
          <w:color w:val="000000"/>
          <w:szCs w:val="21"/>
        </w:rPr>
      </w:pPr>
      <w:r>
        <w:rPr>
          <w:rFonts w:hint="eastAsia" w:ascii="宋体" w:hAnsi="宋体" w:cs="宋体"/>
          <w:b/>
          <w:color w:val="000000"/>
          <w:szCs w:val="21"/>
        </w:rPr>
        <w:t>残疾人福利性单位声明函（如有需提供）</w:t>
      </w:r>
    </w:p>
    <w:bookmarkEnd w:id="127"/>
    <w:bookmarkEnd w:id="128"/>
    <w:p>
      <w:pPr>
        <w:spacing w:line="588" w:lineRule="exact"/>
        <w:ind w:firstLine="420" w:firstLineChars="200"/>
        <w:rPr>
          <w:rFonts w:hint="eastAsia" w:ascii="宋体" w:hAnsi="宋体" w:cs="宋体"/>
          <w:color w:val="000000"/>
          <w:szCs w:val="21"/>
        </w:rPr>
      </w:pPr>
      <w:r>
        <w:rPr>
          <w:rFonts w:hint="eastAsia" w:ascii="宋体" w:hAnsi="宋体" w:cs="宋体"/>
          <w:color w:val="000000"/>
          <w:szCs w:val="21"/>
        </w:rPr>
        <w:t>本单位郑重声明，根据《财政部 民政部 中国残疾人联合会关于促进残疾人就业政府采购政策的通知》（财库〔2017〕141</w:t>
      </w:r>
      <w:bookmarkStart w:id="129" w:name="_GoBack"/>
      <w:bookmarkEnd w:id="129"/>
      <w:r>
        <w:rPr>
          <w:rFonts w:hint="eastAsia" w:ascii="宋体" w:hAnsi="宋体" w:cs="宋体"/>
          <w:color w:val="000000"/>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hint="eastAsia" w:ascii="宋体" w:hAnsi="宋体" w:cs="宋体"/>
          <w:color w:val="000000"/>
          <w:szCs w:val="21"/>
        </w:rPr>
      </w:pPr>
      <w:r>
        <w:rPr>
          <w:rFonts w:hint="eastAsia" w:ascii="宋体" w:hAnsi="宋体" w:cs="宋体"/>
          <w:color w:val="000000"/>
          <w:szCs w:val="21"/>
        </w:rPr>
        <w:t>本单位对上述声明的真实性负责。如有虚假，将依法承担相应责任。</w:t>
      </w:r>
    </w:p>
    <w:p>
      <w:pPr>
        <w:spacing w:line="588" w:lineRule="exact"/>
        <w:ind w:firstLine="420" w:firstLineChars="200"/>
        <w:rPr>
          <w:rFonts w:hint="eastAsia" w:ascii="宋体" w:hAnsi="宋体" w:cs="宋体"/>
          <w:color w:val="000000"/>
          <w:szCs w:val="21"/>
        </w:rPr>
      </w:pPr>
    </w:p>
    <w:p>
      <w:pPr>
        <w:spacing w:line="588" w:lineRule="exact"/>
        <w:ind w:firstLine="420" w:firstLineChars="200"/>
        <w:rPr>
          <w:rFonts w:hint="eastAsia" w:ascii="宋体" w:hAnsi="宋体" w:cs="宋体"/>
          <w:color w:val="000000"/>
          <w:szCs w:val="21"/>
        </w:rPr>
      </w:pPr>
    </w:p>
    <w:p>
      <w:pPr>
        <w:tabs>
          <w:tab w:val="left" w:pos="4860"/>
        </w:tabs>
        <w:spacing w:line="588" w:lineRule="exact"/>
        <w:ind w:right="1560" w:firstLine="420" w:firstLineChars="200"/>
        <w:jc w:val="center"/>
        <w:rPr>
          <w:rFonts w:hint="eastAsia" w:ascii="宋体" w:hAnsi="宋体" w:cs="宋体"/>
          <w:color w:val="000000"/>
          <w:szCs w:val="21"/>
        </w:rPr>
      </w:pPr>
      <w:r>
        <w:rPr>
          <w:rFonts w:hint="eastAsia" w:ascii="宋体" w:hAnsi="宋体" w:cs="宋体"/>
          <w:color w:val="000000"/>
          <w:szCs w:val="21"/>
        </w:rPr>
        <w:t xml:space="preserve">               单位名称（盖章）：</w:t>
      </w:r>
    </w:p>
    <w:p>
      <w:pPr>
        <w:tabs>
          <w:tab w:val="left" w:pos="4860"/>
        </w:tabs>
        <w:spacing w:line="588" w:lineRule="exact"/>
        <w:ind w:right="1560" w:firstLine="420" w:firstLineChars="200"/>
        <w:jc w:val="center"/>
        <w:rPr>
          <w:rFonts w:hint="eastAsia" w:ascii="宋体" w:hAnsi="宋体" w:cs="宋体"/>
          <w:color w:val="000000"/>
          <w:szCs w:val="21"/>
        </w:rPr>
      </w:pPr>
      <w:r>
        <w:rPr>
          <w:rFonts w:hint="eastAsia" w:ascii="宋体" w:hAnsi="宋体" w:cs="宋体"/>
          <w:color w:val="000000"/>
          <w:szCs w:val="21"/>
        </w:rPr>
        <w:t xml:space="preserve">       日  期：</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注：</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享受政府采购支持政策的残疾人福利性单位应当同时满足以下条件：</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（一）安置的残疾人占本单位在职职工人数的比例不低于25%（含25%），并且安置的残疾人人数不少于10人（含10人）；</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（二）依法与安置的每位残疾人签订了一年以上（含一年）的劳动合同或服务协议；</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（三）为安置的每位残疾人按月足额缴纳了基本养老保险、基本医疗保险、失业保险、工伤保险和生育保险等社会保险费；</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（四）通过银行等金融机构向安置的每位残疾人，按月支付了不低于单位所在区县适用的经省级人民政府批准的月最低工资标准的工资；</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（五）提供本单位制造的货物、承担的工程或者服务（以下简称产品），或者提供其他残疾人福利性单位制造的货物（不包括使用非残疾人福利性单位注册商标的货物）。</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400" w:lineRule="exact"/>
        <w:ind w:firstLine="420" w:firstLineChars="200"/>
        <w:rPr>
          <w:rFonts w:hint="eastAsia" w:ascii="宋体" w:hAnsi="宋体" w:cs="宋体"/>
          <w:color w:val="000000"/>
          <w:szCs w:val="21"/>
        </w:rPr>
      </w:pPr>
    </w:p>
    <w:p>
      <w:pPr>
        <w:spacing w:line="400" w:lineRule="exact"/>
        <w:ind w:firstLine="420" w:firstLineChars="200"/>
        <w:rPr>
          <w:rFonts w:hint="eastAsia" w:ascii="宋体" w:hAnsi="宋体" w:cs="宋体"/>
          <w:color w:val="000000"/>
          <w:szCs w:val="21"/>
        </w:rPr>
      </w:pPr>
    </w:p>
    <w:p>
      <w:pPr>
        <w:spacing w:line="400" w:lineRule="exact"/>
        <w:ind w:firstLine="420" w:firstLineChars="200"/>
        <w:rPr>
          <w:rFonts w:hint="eastAsia" w:ascii="宋体" w:hAnsi="宋体" w:cs="宋体"/>
          <w:color w:val="000000"/>
          <w:szCs w:val="21"/>
        </w:rPr>
      </w:pPr>
    </w:p>
    <w:p>
      <w:pPr>
        <w:spacing w:line="400" w:lineRule="exact"/>
        <w:ind w:firstLine="420" w:firstLineChars="200"/>
        <w:rPr>
          <w:rFonts w:hint="eastAsia" w:ascii="宋体" w:hAnsi="宋体" w:cs="宋体"/>
          <w:color w:val="000000"/>
          <w:szCs w:val="21"/>
        </w:rPr>
      </w:pPr>
    </w:p>
    <w:p>
      <w:pPr>
        <w:spacing w:line="360" w:lineRule="auto"/>
        <w:jc w:val="left"/>
        <w:rPr>
          <w:rFonts w:hint="eastAsia" w:ascii="宋体" w:hAnsi="宋体" w:cs="宋体"/>
          <w:color w:val="000000"/>
          <w:szCs w:val="21"/>
        </w:rPr>
      </w:pPr>
    </w:p>
    <w:p>
      <w:pPr>
        <w:spacing w:line="400" w:lineRule="exact"/>
        <w:ind w:firstLine="420" w:firstLineChars="200"/>
        <w:rPr>
          <w:rFonts w:hint="eastAsia" w:ascii="宋体" w:hAnsi="宋体" w:cs="宋体"/>
          <w:color w:val="000000"/>
          <w:szCs w:val="21"/>
        </w:rPr>
        <w:sectPr>
          <w:pgSz w:w="11907" w:h="16840"/>
          <w:pgMar w:top="1418" w:right="1134" w:bottom="1418" w:left="1134" w:header="285" w:footer="990" w:gutter="0"/>
          <w:pgBorders w:offsetFrom="page">
            <w:top w:val="none" w:sz="0" w:space="0"/>
            <w:left w:val="none" w:sz="0" w:space="0"/>
            <w:bottom w:val="none" w:sz="0" w:space="0"/>
            <w:right w:val="none" w:sz="0" w:space="0"/>
          </w:pgBorders>
          <w:cols w:space="720" w:num="1"/>
          <w:docGrid w:linePitch="285" w:charSpace="0"/>
        </w:sectPr>
      </w:pPr>
    </w:p>
    <w:tbl>
      <w:tblPr>
        <w:tblStyle w:val="47"/>
        <w:tblW w:w="0" w:type="auto"/>
        <w:tblInd w:w="-176" w:type="dxa"/>
        <w:tblLayout w:type="fixed"/>
        <w:tblCellMar>
          <w:top w:w="0" w:type="dxa"/>
          <w:left w:w="108" w:type="dxa"/>
          <w:bottom w:w="0" w:type="dxa"/>
          <w:right w:w="108" w:type="dxa"/>
        </w:tblCellMar>
      </w:tblPr>
      <w:tblGrid>
        <w:gridCol w:w="1985"/>
        <w:gridCol w:w="1498"/>
        <w:gridCol w:w="1763"/>
        <w:gridCol w:w="1660"/>
        <w:gridCol w:w="1458"/>
        <w:gridCol w:w="1480"/>
        <w:gridCol w:w="1520"/>
        <w:gridCol w:w="1285"/>
        <w:gridCol w:w="1275"/>
        <w:gridCol w:w="1221"/>
      </w:tblGrid>
      <w:tr>
        <w:tblPrEx>
          <w:tblCellMar>
            <w:top w:w="0" w:type="dxa"/>
            <w:left w:w="108" w:type="dxa"/>
            <w:bottom w:w="0" w:type="dxa"/>
            <w:right w:w="108" w:type="dxa"/>
          </w:tblCellMar>
        </w:tblPrEx>
        <w:trPr>
          <w:wBefore w:w="0" w:type="dxa"/>
          <w:wAfter w:w="0" w:type="dxa"/>
          <w:trHeight w:val="420" w:hRule="atLeast"/>
        </w:trPr>
        <w:tc>
          <w:tcPr>
            <w:tcW w:w="15145" w:type="dxa"/>
            <w:gridSpan w:val="10"/>
            <w:tcBorders>
              <w:top w:val="nil"/>
              <w:left w:val="nil"/>
              <w:bottom w:val="nil"/>
              <w:right w:val="nil"/>
            </w:tcBorders>
            <w:noWrap w:val="0"/>
            <w:vAlign w:val="bottom"/>
          </w:tcPr>
          <w:p>
            <w:pPr>
              <w:widowControl/>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24"/>
              </w:rPr>
              <w:t>中小微行业划型标准规定（根据工信部联企业〔2011〕300号制定）</w:t>
            </w:r>
          </w:p>
        </w:tc>
      </w:tr>
      <w:tr>
        <w:tblPrEx>
          <w:tblCellMar>
            <w:top w:w="0" w:type="dxa"/>
            <w:left w:w="108" w:type="dxa"/>
            <w:bottom w:w="0" w:type="dxa"/>
            <w:right w:w="108" w:type="dxa"/>
          </w:tblCellMar>
        </w:tblPrEx>
        <w:trPr>
          <w:wBefore w:w="0" w:type="dxa"/>
          <w:wAfter w:w="0" w:type="dxa"/>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中型企业</w:t>
            </w:r>
          </w:p>
        </w:tc>
        <w:tc>
          <w:tcPr>
            <w:tcW w:w="4458" w:type="dxa"/>
            <w:gridSpan w:val="3"/>
            <w:tcBorders>
              <w:top w:val="single" w:color="auto" w:sz="8" w:space="0"/>
              <w:left w:val="nil"/>
              <w:bottom w:val="single" w:color="auto" w:sz="4" w:space="0"/>
              <w:right w:val="single" w:color="000000" w:sz="8" w:space="0"/>
            </w:tcBorders>
            <w:noWrap w:val="0"/>
            <w:vAlign w:val="bottom"/>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小型企业</w:t>
            </w:r>
          </w:p>
        </w:tc>
        <w:tc>
          <w:tcPr>
            <w:tcW w:w="3781" w:type="dxa"/>
            <w:gridSpan w:val="3"/>
            <w:tcBorders>
              <w:top w:val="single" w:color="auto" w:sz="8" w:space="0"/>
              <w:left w:val="nil"/>
              <w:bottom w:val="single" w:color="auto" w:sz="4" w:space="0"/>
              <w:right w:val="single" w:color="000000" w:sz="8" w:space="0"/>
            </w:tcBorders>
            <w:noWrap w:val="0"/>
            <w:vAlign w:val="bottom"/>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微型企业</w:t>
            </w:r>
          </w:p>
        </w:tc>
      </w:tr>
      <w:tr>
        <w:tblPrEx>
          <w:tblCellMar>
            <w:top w:w="0" w:type="dxa"/>
            <w:left w:w="108" w:type="dxa"/>
            <w:bottom w:w="0" w:type="dxa"/>
            <w:right w:w="108" w:type="dxa"/>
          </w:tblCellMar>
        </w:tblPrEx>
        <w:trPr>
          <w:wBefore w:w="0" w:type="dxa"/>
          <w:wAfter w:w="0" w:type="dxa"/>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jc w:val="left"/>
              <w:rPr>
                <w:rFonts w:hint="eastAsia" w:ascii="宋体" w:hAnsi="宋体" w:eastAsia="宋体" w:cs="宋体"/>
                <w:b/>
                <w:bCs/>
                <w:color w:val="000000"/>
                <w:kern w:val="0"/>
                <w:sz w:val="24"/>
              </w:rPr>
            </w:pPr>
          </w:p>
        </w:tc>
        <w:tc>
          <w:tcPr>
            <w:tcW w:w="1498"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从业人员X（人）</w:t>
            </w:r>
          </w:p>
        </w:tc>
        <w:tc>
          <w:tcPr>
            <w:tcW w:w="1763"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营业收入Y</w:t>
            </w:r>
          </w:p>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（万元）</w:t>
            </w:r>
          </w:p>
        </w:tc>
        <w:tc>
          <w:tcPr>
            <w:tcW w:w="1660" w:type="dxa"/>
            <w:tcBorders>
              <w:top w:val="nil"/>
              <w:left w:val="nil"/>
              <w:bottom w:val="single" w:color="auto" w:sz="4" w:space="0"/>
              <w:right w:val="single" w:color="auto" w:sz="8" w:space="0"/>
            </w:tcBorders>
            <w:noWrap w:val="0"/>
            <w:vAlign w:val="bottom"/>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资产总额Z</w:t>
            </w:r>
          </w:p>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（万元）</w:t>
            </w:r>
          </w:p>
        </w:tc>
        <w:tc>
          <w:tcPr>
            <w:tcW w:w="1458"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从业人员X（人）</w:t>
            </w:r>
          </w:p>
        </w:tc>
        <w:tc>
          <w:tcPr>
            <w:tcW w:w="1480"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营业收入Y</w:t>
            </w:r>
          </w:p>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（万元）</w:t>
            </w:r>
          </w:p>
        </w:tc>
        <w:tc>
          <w:tcPr>
            <w:tcW w:w="1520" w:type="dxa"/>
            <w:tcBorders>
              <w:top w:val="nil"/>
              <w:left w:val="nil"/>
              <w:bottom w:val="single" w:color="auto" w:sz="4" w:space="0"/>
              <w:right w:val="single" w:color="auto" w:sz="8" w:space="0"/>
            </w:tcBorders>
            <w:noWrap w:val="0"/>
            <w:vAlign w:val="bottom"/>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资产总额Z</w:t>
            </w:r>
          </w:p>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（万元）</w:t>
            </w:r>
          </w:p>
        </w:tc>
        <w:tc>
          <w:tcPr>
            <w:tcW w:w="1285"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从业人员X（人）</w:t>
            </w:r>
          </w:p>
        </w:tc>
        <w:tc>
          <w:tcPr>
            <w:tcW w:w="1275"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营业收入Y（万元）</w:t>
            </w:r>
          </w:p>
        </w:tc>
        <w:tc>
          <w:tcPr>
            <w:tcW w:w="1221" w:type="dxa"/>
            <w:tcBorders>
              <w:top w:val="nil"/>
              <w:left w:val="nil"/>
              <w:bottom w:val="single" w:color="auto" w:sz="4" w:space="0"/>
              <w:right w:val="single" w:color="auto" w:sz="8" w:space="0"/>
            </w:tcBorders>
            <w:noWrap w:val="0"/>
            <w:vAlign w:val="bottom"/>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资产总额Z（万元）</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1、农林牧渔业</w:t>
            </w:r>
          </w:p>
        </w:tc>
        <w:tc>
          <w:tcPr>
            <w:tcW w:w="1498"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763"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500≤Y＜20000</w:t>
            </w:r>
          </w:p>
        </w:tc>
        <w:tc>
          <w:tcPr>
            <w:tcW w:w="1660"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458"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480"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50≤Y＜500</w:t>
            </w:r>
          </w:p>
        </w:tc>
        <w:tc>
          <w:tcPr>
            <w:tcW w:w="1520"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Y＜50</w:t>
            </w:r>
          </w:p>
        </w:tc>
        <w:tc>
          <w:tcPr>
            <w:tcW w:w="1221"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2、工业</w:t>
            </w:r>
          </w:p>
        </w:tc>
        <w:tc>
          <w:tcPr>
            <w:tcW w:w="1498"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300≤X＜1000</w:t>
            </w:r>
          </w:p>
        </w:tc>
        <w:tc>
          <w:tcPr>
            <w:tcW w:w="1763"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2000≤Y＜40000</w:t>
            </w:r>
          </w:p>
        </w:tc>
        <w:tc>
          <w:tcPr>
            <w:tcW w:w="1660"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458"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20≤X＜300</w:t>
            </w:r>
          </w:p>
        </w:tc>
        <w:tc>
          <w:tcPr>
            <w:tcW w:w="1480"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300≤Y＜2000</w:t>
            </w:r>
          </w:p>
        </w:tc>
        <w:tc>
          <w:tcPr>
            <w:tcW w:w="1520"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X＜20</w:t>
            </w:r>
          </w:p>
        </w:tc>
        <w:tc>
          <w:tcPr>
            <w:tcW w:w="1275"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Y＜300</w:t>
            </w:r>
          </w:p>
        </w:tc>
        <w:tc>
          <w:tcPr>
            <w:tcW w:w="1221"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3、建筑业</w:t>
            </w:r>
          </w:p>
        </w:tc>
        <w:tc>
          <w:tcPr>
            <w:tcW w:w="1498"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763"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6000≤Y＜80000</w:t>
            </w:r>
          </w:p>
        </w:tc>
        <w:tc>
          <w:tcPr>
            <w:tcW w:w="1660"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5000≤Z＜80000</w:t>
            </w:r>
          </w:p>
        </w:tc>
        <w:tc>
          <w:tcPr>
            <w:tcW w:w="1458"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480"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300≤Y＜6000</w:t>
            </w:r>
          </w:p>
        </w:tc>
        <w:tc>
          <w:tcPr>
            <w:tcW w:w="1520"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300≤Z＜5000</w:t>
            </w:r>
          </w:p>
        </w:tc>
        <w:tc>
          <w:tcPr>
            <w:tcW w:w="1285"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Y＜300</w:t>
            </w:r>
          </w:p>
        </w:tc>
        <w:tc>
          <w:tcPr>
            <w:tcW w:w="1221"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Z＜300</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4、批发业</w:t>
            </w:r>
          </w:p>
        </w:tc>
        <w:tc>
          <w:tcPr>
            <w:tcW w:w="1498"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20≤X＜200</w:t>
            </w:r>
          </w:p>
        </w:tc>
        <w:tc>
          <w:tcPr>
            <w:tcW w:w="1763"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5000≤Y＜40000</w:t>
            </w:r>
          </w:p>
        </w:tc>
        <w:tc>
          <w:tcPr>
            <w:tcW w:w="1660"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458"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5≤X＜20</w:t>
            </w:r>
          </w:p>
        </w:tc>
        <w:tc>
          <w:tcPr>
            <w:tcW w:w="1480"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1000≤Y＜5000</w:t>
            </w:r>
          </w:p>
        </w:tc>
        <w:tc>
          <w:tcPr>
            <w:tcW w:w="1520"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X＜5</w:t>
            </w:r>
          </w:p>
        </w:tc>
        <w:tc>
          <w:tcPr>
            <w:tcW w:w="1275"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Y＜1000</w:t>
            </w:r>
          </w:p>
        </w:tc>
        <w:tc>
          <w:tcPr>
            <w:tcW w:w="1221"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5、零售业</w:t>
            </w:r>
          </w:p>
        </w:tc>
        <w:tc>
          <w:tcPr>
            <w:tcW w:w="1498"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50≤X＜300</w:t>
            </w:r>
          </w:p>
        </w:tc>
        <w:tc>
          <w:tcPr>
            <w:tcW w:w="1763"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500≤Y＜20000</w:t>
            </w:r>
          </w:p>
        </w:tc>
        <w:tc>
          <w:tcPr>
            <w:tcW w:w="1660"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458"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10≤X＜50</w:t>
            </w:r>
          </w:p>
        </w:tc>
        <w:tc>
          <w:tcPr>
            <w:tcW w:w="1480"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100≤Y＜500</w:t>
            </w:r>
          </w:p>
        </w:tc>
        <w:tc>
          <w:tcPr>
            <w:tcW w:w="1520"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6、交通运输业</w:t>
            </w:r>
          </w:p>
        </w:tc>
        <w:tc>
          <w:tcPr>
            <w:tcW w:w="1498"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300≤X＜1000</w:t>
            </w:r>
          </w:p>
        </w:tc>
        <w:tc>
          <w:tcPr>
            <w:tcW w:w="1763"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3000≤Y＜30000</w:t>
            </w:r>
          </w:p>
        </w:tc>
        <w:tc>
          <w:tcPr>
            <w:tcW w:w="1660"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458"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20≤X＜300</w:t>
            </w:r>
          </w:p>
        </w:tc>
        <w:tc>
          <w:tcPr>
            <w:tcW w:w="1480"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200≤Y＜3000</w:t>
            </w:r>
          </w:p>
        </w:tc>
        <w:tc>
          <w:tcPr>
            <w:tcW w:w="1520"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X＜20</w:t>
            </w:r>
          </w:p>
        </w:tc>
        <w:tc>
          <w:tcPr>
            <w:tcW w:w="1275"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V＜200</w:t>
            </w:r>
          </w:p>
        </w:tc>
        <w:tc>
          <w:tcPr>
            <w:tcW w:w="1221"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7、仓储业</w:t>
            </w:r>
          </w:p>
        </w:tc>
        <w:tc>
          <w:tcPr>
            <w:tcW w:w="1498"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100≤X＜200</w:t>
            </w:r>
          </w:p>
        </w:tc>
        <w:tc>
          <w:tcPr>
            <w:tcW w:w="1763"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1000≤Y＜30000</w:t>
            </w:r>
          </w:p>
        </w:tc>
        <w:tc>
          <w:tcPr>
            <w:tcW w:w="1660"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458"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20≤X＜100</w:t>
            </w:r>
          </w:p>
        </w:tc>
        <w:tc>
          <w:tcPr>
            <w:tcW w:w="1480"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100≤Y＜1000</w:t>
            </w:r>
          </w:p>
        </w:tc>
        <w:tc>
          <w:tcPr>
            <w:tcW w:w="1520"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X＜20</w:t>
            </w:r>
          </w:p>
        </w:tc>
        <w:tc>
          <w:tcPr>
            <w:tcW w:w="1275"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8、邮政业</w:t>
            </w:r>
          </w:p>
        </w:tc>
        <w:tc>
          <w:tcPr>
            <w:tcW w:w="1498"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300≤X＜1000</w:t>
            </w:r>
          </w:p>
        </w:tc>
        <w:tc>
          <w:tcPr>
            <w:tcW w:w="1763"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2000≤Y＜30000</w:t>
            </w:r>
          </w:p>
        </w:tc>
        <w:tc>
          <w:tcPr>
            <w:tcW w:w="1660"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458"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20≤X＜300</w:t>
            </w:r>
          </w:p>
        </w:tc>
        <w:tc>
          <w:tcPr>
            <w:tcW w:w="1480"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100≤Y＜2000</w:t>
            </w:r>
          </w:p>
        </w:tc>
        <w:tc>
          <w:tcPr>
            <w:tcW w:w="1520"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X＜20</w:t>
            </w:r>
          </w:p>
        </w:tc>
        <w:tc>
          <w:tcPr>
            <w:tcW w:w="1275"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9、住宿业</w:t>
            </w:r>
          </w:p>
        </w:tc>
        <w:tc>
          <w:tcPr>
            <w:tcW w:w="1498"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100≤X＜300</w:t>
            </w:r>
          </w:p>
        </w:tc>
        <w:tc>
          <w:tcPr>
            <w:tcW w:w="1763"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2000≤Y＜10000</w:t>
            </w:r>
          </w:p>
        </w:tc>
        <w:tc>
          <w:tcPr>
            <w:tcW w:w="1660"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458"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10≤X＜100</w:t>
            </w:r>
          </w:p>
        </w:tc>
        <w:tc>
          <w:tcPr>
            <w:tcW w:w="1480"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100≤Y＜2000</w:t>
            </w:r>
          </w:p>
        </w:tc>
        <w:tc>
          <w:tcPr>
            <w:tcW w:w="1520"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10、餐饮业</w:t>
            </w:r>
          </w:p>
        </w:tc>
        <w:tc>
          <w:tcPr>
            <w:tcW w:w="1498"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100≤X＜300</w:t>
            </w:r>
          </w:p>
        </w:tc>
        <w:tc>
          <w:tcPr>
            <w:tcW w:w="1763"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2000≤Y＜10000</w:t>
            </w:r>
          </w:p>
        </w:tc>
        <w:tc>
          <w:tcPr>
            <w:tcW w:w="1660"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458"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10≤X＜100</w:t>
            </w:r>
          </w:p>
        </w:tc>
        <w:tc>
          <w:tcPr>
            <w:tcW w:w="1480"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100≤Y＜2000</w:t>
            </w:r>
          </w:p>
        </w:tc>
        <w:tc>
          <w:tcPr>
            <w:tcW w:w="1520"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V＜100</w:t>
            </w:r>
          </w:p>
        </w:tc>
        <w:tc>
          <w:tcPr>
            <w:tcW w:w="1221"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11、信息传输业</w:t>
            </w:r>
          </w:p>
        </w:tc>
        <w:tc>
          <w:tcPr>
            <w:tcW w:w="1498"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100≤X＜2000</w:t>
            </w:r>
          </w:p>
        </w:tc>
        <w:tc>
          <w:tcPr>
            <w:tcW w:w="1763"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1000≤Y＜100000</w:t>
            </w:r>
          </w:p>
        </w:tc>
        <w:tc>
          <w:tcPr>
            <w:tcW w:w="1660"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458"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10≤X＜100</w:t>
            </w:r>
          </w:p>
        </w:tc>
        <w:tc>
          <w:tcPr>
            <w:tcW w:w="1480"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100≤Y＜1000</w:t>
            </w:r>
          </w:p>
        </w:tc>
        <w:tc>
          <w:tcPr>
            <w:tcW w:w="1520"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12、软件和信息技术服务业</w:t>
            </w:r>
          </w:p>
        </w:tc>
        <w:tc>
          <w:tcPr>
            <w:tcW w:w="1498"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100≤X＜300</w:t>
            </w:r>
          </w:p>
        </w:tc>
        <w:tc>
          <w:tcPr>
            <w:tcW w:w="1763"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1000≤Y＜10000</w:t>
            </w:r>
          </w:p>
        </w:tc>
        <w:tc>
          <w:tcPr>
            <w:tcW w:w="1660"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458"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10≤X＜100</w:t>
            </w:r>
          </w:p>
        </w:tc>
        <w:tc>
          <w:tcPr>
            <w:tcW w:w="1480"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50≤Y＜1000</w:t>
            </w:r>
          </w:p>
        </w:tc>
        <w:tc>
          <w:tcPr>
            <w:tcW w:w="1520"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Y＜50</w:t>
            </w:r>
          </w:p>
        </w:tc>
        <w:tc>
          <w:tcPr>
            <w:tcW w:w="1221"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13、房地产开发经营</w:t>
            </w:r>
          </w:p>
        </w:tc>
        <w:tc>
          <w:tcPr>
            <w:tcW w:w="1498"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763"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1000≤Y＜200000</w:t>
            </w:r>
          </w:p>
        </w:tc>
        <w:tc>
          <w:tcPr>
            <w:tcW w:w="1660"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5000≤Z＜10000</w:t>
            </w:r>
          </w:p>
        </w:tc>
        <w:tc>
          <w:tcPr>
            <w:tcW w:w="1458"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480"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100≤Y＜1000</w:t>
            </w:r>
          </w:p>
        </w:tc>
        <w:tc>
          <w:tcPr>
            <w:tcW w:w="1520"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2000≤Z＜5000</w:t>
            </w:r>
          </w:p>
        </w:tc>
        <w:tc>
          <w:tcPr>
            <w:tcW w:w="1285"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Z＜2000</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14、物业管理</w:t>
            </w:r>
          </w:p>
        </w:tc>
        <w:tc>
          <w:tcPr>
            <w:tcW w:w="1498"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300≤X＜1000</w:t>
            </w:r>
          </w:p>
        </w:tc>
        <w:tc>
          <w:tcPr>
            <w:tcW w:w="1763"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1000≤Y＜5000</w:t>
            </w:r>
          </w:p>
        </w:tc>
        <w:tc>
          <w:tcPr>
            <w:tcW w:w="1660"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458"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100≤X＜300</w:t>
            </w:r>
          </w:p>
        </w:tc>
        <w:tc>
          <w:tcPr>
            <w:tcW w:w="1480"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500≤Y＜1000</w:t>
            </w:r>
          </w:p>
        </w:tc>
        <w:tc>
          <w:tcPr>
            <w:tcW w:w="1520"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X＜100</w:t>
            </w:r>
          </w:p>
        </w:tc>
        <w:tc>
          <w:tcPr>
            <w:tcW w:w="1275"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Y＜500</w:t>
            </w:r>
          </w:p>
        </w:tc>
        <w:tc>
          <w:tcPr>
            <w:tcW w:w="1221"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15、租赁和商务服务业</w:t>
            </w:r>
          </w:p>
        </w:tc>
        <w:tc>
          <w:tcPr>
            <w:tcW w:w="1498"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100≤X＜300</w:t>
            </w:r>
          </w:p>
        </w:tc>
        <w:tc>
          <w:tcPr>
            <w:tcW w:w="1763"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660"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8000≤Z＜120000</w:t>
            </w:r>
          </w:p>
        </w:tc>
        <w:tc>
          <w:tcPr>
            <w:tcW w:w="1458"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10≤X＜100</w:t>
            </w:r>
          </w:p>
        </w:tc>
        <w:tc>
          <w:tcPr>
            <w:tcW w:w="1480"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520"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100≤Z＜8000</w:t>
            </w:r>
          </w:p>
        </w:tc>
        <w:tc>
          <w:tcPr>
            <w:tcW w:w="1285"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221" w:type="dxa"/>
            <w:tcBorders>
              <w:top w:val="nil"/>
              <w:left w:val="nil"/>
              <w:bottom w:val="single" w:color="auto" w:sz="4"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Z＜100</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8"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16、其他未列明行业</w:t>
            </w:r>
          </w:p>
        </w:tc>
        <w:tc>
          <w:tcPr>
            <w:tcW w:w="1498" w:type="dxa"/>
            <w:tcBorders>
              <w:top w:val="nil"/>
              <w:left w:val="nil"/>
              <w:bottom w:val="single" w:color="auto" w:sz="8"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100≤X＜300</w:t>
            </w:r>
          </w:p>
        </w:tc>
        <w:tc>
          <w:tcPr>
            <w:tcW w:w="1763" w:type="dxa"/>
            <w:tcBorders>
              <w:top w:val="nil"/>
              <w:left w:val="nil"/>
              <w:bottom w:val="single" w:color="auto" w:sz="8"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660" w:type="dxa"/>
            <w:tcBorders>
              <w:top w:val="nil"/>
              <w:left w:val="nil"/>
              <w:bottom w:val="single" w:color="auto" w:sz="8"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458" w:type="dxa"/>
            <w:tcBorders>
              <w:top w:val="nil"/>
              <w:left w:val="nil"/>
              <w:bottom w:val="single" w:color="auto" w:sz="8"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10≤X＜100</w:t>
            </w:r>
          </w:p>
        </w:tc>
        <w:tc>
          <w:tcPr>
            <w:tcW w:w="1480" w:type="dxa"/>
            <w:tcBorders>
              <w:top w:val="nil"/>
              <w:left w:val="nil"/>
              <w:bottom w:val="single" w:color="auto" w:sz="8"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520" w:type="dxa"/>
            <w:tcBorders>
              <w:top w:val="nil"/>
              <w:left w:val="nil"/>
              <w:bottom w:val="single" w:color="auto" w:sz="8"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285" w:type="dxa"/>
            <w:tcBorders>
              <w:top w:val="nil"/>
              <w:left w:val="nil"/>
              <w:bottom w:val="single" w:color="auto" w:sz="8"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X＜10</w:t>
            </w:r>
          </w:p>
        </w:tc>
        <w:tc>
          <w:tcPr>
            <w:tcW w:w="1275" w:type="dxa"/>
            <w:tcBorders>
              <w:top w:val="nil"/>
              <w:left w:val="nil"/>
              <w:bottom w:val="single" w:color="auto" w:sz="8" w:space="0"/>
              <w:right w:val="single" w:color="auto" w:sz="4"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221" w:type="dxa"/>
            <w:tcBorders>
              <w:top w:val="nil"/>
              <w:left w:val="nil"/>
              <w:bottom w:val="single" w:color="auto" w:sz="8" w:space="0"/>
              <w:right w:val="single" w:color="auto" w:sz="8" w:space="0"/>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108" w:type="dxa"/>
            <w:bottom w:w="0" w:type="dxa"/>
            <w:right w:w="108" w:type="dxa"/>
          </w:tblCellMar>
        </w:tblPrEx>
        <w:trPr>
          <w:wBefore w:w="0" w:type="dxa"/>
          <w:wAfter w:w="0" w:type="dxa"/>
          <w:trHeight w:val="285" w:hRule="atLeast"/>
        </w:trPr>
        <w:tc>
          <w:tcPr>
            <w:tcW w:w="15145" w:type="dxa"/>
            <w:gridSpan w:val="10"/>
            <w:tcBorders>
              <w:top w:val="nil"/>
              <w:left w:val="nil"/>
              <w:bottom w:val="nil"/>
              <w:right w:val="nil"/>
            </w:tcBorders>
            <w:noWrap w:val="0"/>
            <w:vAlign w:val="bottom"/>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说明　1、企业类型的划分以统计部门的统计数据为依据。</w:t>
            </w:r>
          </w:p>
          <w:p>
            <w:pPr>
              <w:widowControl/>
              <w:ind w:firstLine="600" w:firstLineChars="300"/>
              <w:jc w:val="left"/>
              <w:rPr>
                <w:rFonts w:hint="eastAsia" w:ascii="宋体" w:hAnsi="宋体" w:eastAsia="宋体" w:cs="宋体"/>
                <w:color w:val="000000"/>
                <w:kern w:val="0"/>
                <w:sz w:val="20"/>
              </w:rPr>
            </w:pPr>
            <w:r>
              <w:rPr>
                <w:rFonts w:hint="eastAsia" w:ascii="宋体" w:hAnsi="宋体" w:eastAsia="宋体" w:cs="宋体"/>
                <w:color w:val="000000"/>
                <w:kern w:val="0"/>
                <w:sz w:val="20"/>
              </w:rPr>
              <w:t>2、个体工商户和本规定以外的行业，参照本规定进行划型。</w:t>
            </w:r>
          </w:p>
          <w:p>
            <w:pPr>
              <w:widowControl/>
              <w:ind w:firstLine="600" w:firstLineChars="300"/>
              <w:jc w:val="left"/>
              <w:rPr>
                <w:rFonts w:hint="eastAsia" w:ascii="宋体" w:hAnsi="宋体" w:eastAsia="宋体" w:cs="宋体"/>
                <w:color w:val="000000"/>
                <w:kern w:val="0"/>
                <w:sz w:val="20"/>
              </w:rPr>
            </w:pPr>
            <w:r>
              <w:rPr>
                <w:rFonts w:hint="eastAsia" w:ascii="宋体" w:hAnsi="宋体" w:eastAsia="宋体" w:cs="宋体"/>
                <w:color w:val="000000"/>
                <w:kern w:val="0"/>
                <w:sz w:val="20"/>
              </w:rPr>
              <w:t>3、本规定的中型企业标准上限即为大型企业标准的下限。</w:t>
            </w:r>
          </w:p>
        </w:tc>
      </w:tr>
    </w:tbl>
    <w:p>
      <w:pPr>
        <w:spacing w:line="400" w:lineRule="exact"/>
        <w:ind w:firstLine="420" w:firstLineChars="200"/>
        <w:rPr>
          <w:rFonts w:hint="eastAsia" w:ascii="宋体" w:hAnsi="宋体" w:cs="宋体"/>
          <w:color w:val="000000"/>
        </w:rPr>
      </w:pPr>
    </w:p>
    <w:sectPr>
      <w:headerReference r:id="rId17" w:type="default"/>
      <w:footerReference r:id="rId18" w:type="default"/>
      <w:type w:val="nextColumn"/>
      <w:pgSz w:w="16840" w:h="11907" w:orient="landscape"/>
      <w:pgMar w:top="1418" w:right="1134" w:bottom="1418" w:left="1134" w:header="284" w:footer="992" w:gutter="0"/>
      <w:pgBorders w:offsetFrom="page">
        <w:top w:val="none" w:sz="0" w:space="0"/>
        <w:left w:val="none" w:sz="0" w:space="0"/>
        <w:bottom w:val="none" w:sz="0" w:space="0"/>
        <w:right w:val="none" w:sz="0" w:space="0"/>
      </w:pgBorders>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书宋简体">
    <w:altName w:val="宋体"/>
    <w:panose1 w:val="02010601030101010101"/>
    <w:charset w:val="86"/>
    <w:family w:val="auto"/>
    <w:pitch w:val="default"/>
    <w:sig w:usb0="00000000"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DFKai-SB">
    <w:altName w:val="Microsoft JhengHei Light"/>
    <w:panose1 w:val="03000509000000000000"/>
    <w:charset w:val="88"/>
    <w:family w:val="script"/>
    <w:pitch w:val="default"/>
    <w:sig w:usb0="00000003" w:usb1="082E0000" w:usb2="00000016" w:usb3="00000000" w:csb0="0010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FFFFFFFF" w:usb1="E9FFFFFF" w:usb2="0000003F" w:usb3="00000000" w:csb0="603F01FF" w:csb1="FFFF0000"/>
  </w:font>
  <w:font w:name="Arial Black">
    <w:panose1 w:val="020B0A04020102020204"/>
    <w:charset w:val="00"/>
    <w:family w:val="swiss"/>
    <w:pitch w:val="default"/>
    <w:sig w:usb0="A00002AF" w:usb1="400078FB" w:usb2="00000000" w:usb3="00000000" w:csb0="6000009F" w:csb1="DFD70000"/>
  </w:font>
  <w:font w:name="Thorndale">
    <w:altName w:val="Times New Roman"/>
    <w:panose1 w:val="00000000000000000000"/>
    <w:charset w:val="00"/>
    <w:family w:val="roman"/>
    <w:pitch w:val="default"/>
    <w:sig w:usb0="00000000" w:usb1="00000000" w:usb2="00000000" w:usb3="00000000" w:csb0="00000001" w:csb1="00000000"/>
  </w:font>
  <w:font w:name="HG Mincho Light J">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51"/>
      </w:rPr>
    </w:pPr>
    <w:r>
      <w:fldChar w:fldCharType="begin"/>
    </w:r>
    <w:r>
      <w:rPr>
        <w:rStyle w:val="51"/>
      </w:rPr>
      <w:instrText xml:space="preserve">PAGE  </w:instrTex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204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3</w:t>
                          </w:r>
                          <w:r>
                            <w:rPr>
                              <w:rFonts w:hint="eastAsia"/>
                            </w:rP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vA4U8dQAAAAC AQAADwAAAGRycy9kb3ducmV2LnhtbE2PQUsDMRCF74L/IUzBS7HJFqntdmcLCr0p2Cp4TTfT3W03 kyVJt9Vfb+pFLwOP93jvm2J1sZ0YyIfWMUI2USCIK2darhE+3tf3cxAhaja6c0wIXxRgVd7eFDo3 7swbGraxFqmEQ64Rmhj7XMpQNWR1mLieOHl7562OSfpaGq/Pqdx2cqrUTFrdclpodE/PDVXH7cki fL58E23mT+Px8HA4eLVevFXyFfFulKkliEiX+BeGK35ChzIx7dyJTRAdQnok/t7kLTIQO4SpegRZ FvI/evkDUEsDBBQAAAAIAIdO4kAxrE8U2AEAAKMDAAAOAAAAZHJzL2Uyb0RvYy54bWytU82O0zAQ viPxDpbvNGlptiVqugJVi5AQIC08gOs4jSX/yeM26QvAG3Diwp3n6nPs2Em6aLnsgYsznhl/M983 k81trxU5CQ/SmorOZzklwnBbS3Oo6Levd6/WlEBgpmbKGlHRswB6u335YtO5Uixsa1UtPEEQA2Xn KtqG4MosA94KzWBmnTAYbKzXLODVH7Lasw7RtcoWeX6TddbXzlsuANC7G4J0RPTPAbRNI7nYWX7U woQB1QvFAlKCVjqg29Rt0wgePjcNiEBURZFpSCcWQXsfz2y7YeXBM9dKPrbAntPCE06aSYNFr1A7 Fhg5evkPlJbcW7BNmHGrs4FIUgRZzPMn2ty3zInEBaUGdxUd/h8s/3T64omsK3pDiWEaB375+ePy 68/l93eyyJdvokKdgxIT7x2mhv6d7XFvJj+gMxLvG6/jFykRjKO+56u+og+Eo7NYrdYFJRwj89fz 5bKIINnjW+chvBdWk2hU1OP0kqjs9BHCkDqlxFLG3kml0gSVIR2CFutVkV5cQ4iuDBaJFIZWoxX6 fT/y2tv6jLQ6XIGKGtx4StQHgwrHbZkMPxn7yTg6Lw9tWqfYCri3x4DtpC5jhQF2LIyzSzzHPYvL 8fc9ZT3+W9sH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RQQAAFtDb250ZW50X1R5cGVzXS54bWxQSwECFAAKAAAAAACHTuJAAAAAAAAAAAAAAAAA BgAAAAAAAAAAABAAAAAnAwAAX3JlbHMvUEsBAhQAFAAAAAgAh07iQIoUZjzRAAAAlAEAAAsAAAAA AAAAAQAgAAAASwMAAF9yZWxzLy5yZWxzUEsBAhQACgAAAAAAh07iQAAAAAAAAAAAAAAAAAQAAAAA AAAAAAAQAAAAAAAAAGRycy9QSwECFAAUAAAACACHTuJAvA4U8dQAAAACAQAADwAAAAAAAAABACAA AAAiAAAAZHJzL2Rvd25yZXYueG1sUEsBAhQAFAAAAAgAh07iQDGsTxTYAQAAowMAAA4AAAAAAAAA AQAgAAAAIwEAAGRycy9lMm9Eb2MueG1sUEsFBgAAAAAGAAYAWQEAAG0FAAAAAA== ">
              <v:fill on="f" focussize="0,0"/>
              <v:stroke on="f" weight="1.25pt"/>
              <v:imagedata o:title=""/>
              <o:lock v:ext="edit" aspectratio="f"/>
              <v:textbox inset="0mm,0mm,0mm,0mm" style="mso-fit-shape-to-text:t;">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205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11</w:t>
                          </w:r>
                          <w:r>
                            <w:rPr>
                              <w:rFonts w:hint="eastAsia"/>
                            </w:rPr>
                            <w:fldChar w:fldCharType="end"/>
                          </w:r>
                        </w:p>
                      </w:txbxContent>
                    </wps:txbx>
                    <wps:bodyPr wrap="none" lIns="0" tIns="0" rIns="0" bIns="0" upright="0">
                      <a:spAutoFit/>
                    </wps:bodyPr>
                  </wps:wsp>
                </a:graphicData>
              </a:graphic>
            </wp:anchor>
          </w:drawing>
        </mc:Choice>
        <mc:Fallback>
          <w:pict>
            <v:shape id="文本框 2050"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 AQAADwAAAGRycy9kb3ducmV2LnhtbE2PQUvDQBCF74L/YRnBS7G7KdLGmE1BoTeFtha8TrNjkpqd DbvbtPrr3XrRy8DjPd77plyebS9G8qFzrCGbKhDEtTMdNxp2b6u7HESIyAZ7x6ThiwIsq+urEgvj TryhcRsbkUo4FKihjXEopAx1SxbD1A3Eyftw3mJM0jfSeDylctvLmVJzabHjtNDiQM8t1Z/bo9Xw /vJNtMmfJpPx/nDwavWwruWr1rc3mXoEEekc/8JwwU/oUCWmvTuyCaLXkB6Jv/fi5RmIvYaZWoCs SvmfvfoBUEsDBBQAAAAIAIdO4kBeBSp82AEAAKQDAAAOAAAAZHJzL2Uyb0RvYy54bWytU82O0zAQ viPxDpbvNEm3YXejpitQtQgJAdKyD+A6TmPJf/K4TfoC8AacuHDnufocO3bSFi2XPXBxxp6Zb+b7 ZrK8G7Qie+FBWlPTYpZTIgy3jTTbmj5+u39zQwkEZhqmrBE1PQigd6vXr5a9q8TcdlY1whMEMVD1 rqZdCK7KMuCd0Axm1gmDztZ6zQJe/TZrPOsRXatsnudvs976xnnLBQC+rkcnnRD9SwBt20ou1pbv tDBhRPVCsYCUoJMO6Cp127aChy9tCyIQVVNkGtKJRdDexDNbLVm19cx1kk8tsJe08IyTZtJg0TPU mgVGdl7+A6Ul9xZsG2bc6mwkkhRBFkX+TJuHjjmRuKDU4M6iw/+D5Z/3Xz2RTU2vKTFM48CPP38c f/05/v5O5nmZFOodVBj44DA0DO/tgHsTlYvvgI+R+NB6Hb9IiaAf9T2c9RVDIDwmFYvbq5ISjq7i qlgsyoiSXZKdh/BBWE2iUVOP40uqsv0nCGPoKSTWMvZeKpVGqAzpEbS8uS5TxtmF6MpgkUuv0QrD ZpgIbGxzQF497kBNDa48JeqjQYnjupwMfzI2J2PnvNx2aZ9iK+De7QK2k7qMFUbYqTAOL/GcFi1u x9/3FHX5uVZP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RQQAAFtDb250ZW50X1R5cGVzXS54bWxQSwECFAAKAAAAAACHTuJAAAAAAAAAAAAAAAAA BgAAAAAAAAAAABAAAAAnAwAAX3JlbHMvUEsBAhQAFAAAAAgAh07iQIoUZjzRAAAAlAEAAAsAAAAA AAAAAQAgAAAASwMAAF9yZWxzLy5yZWxzUEsBAhQACgAAAAAAh07iQAAAAAAAAAAAAAAAAAQAAAAA AAAAAAAQAAAAAAAAAGRycy9QSwECFAAUAAAACACHTuJAQAzHgNQAAAADAQAADwAAAAAAAAABACAA AAAiAAAAZHJzL2Rvd25yZXYueG1sUEsBAhQAFAAAAAgAh07iQF4FKnzYAQAApAMAAA4AAAAAAAAA AQAgAAAAIwEAAGRycy9lMm9Eb2MueG1sUEsFBgAAAAAGAAYAWQEAAG0FAAAAAA== ">
              <v:fill on="f" focussize="0,0"/>
              <v:stroke on="f" weight="1.25pt"/>
              <v:imagedata o:title=""/>
              <o:lock v:ext="edit" aspectratio="f"/>
              <v:textbox inset="0mm,0mm,0mm,0mm" style="mso-fit-shape-to-text:t;">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11" name="文本框 205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22</w:t>
                          </w:r>
                          <w:r>
                            <w:rPr>
                              <w:rFonts w:hint="eastAsia"/>
                            </w:rPr>
                            <w:fldChar w:fldCharType="end"/>
                          </w:r>
                        </w:p>
                      </w:txbxContent>
                    </wps:txbx>
                    <wps:bodyPr wrap="none" lIns="0" tIns="0" rIns="0" bIns="0" upright="0">
                      <a:spAutoFit/>
                    </wps:bodyPr>
                  </wps:wsp>
                </a:graphicData>
              </a:graphic>
            </wp:anchor>
          </w:drawing>
        </mc:Choice>
        <mc:Fallback>
          <w:pict>
            <v:shape id="文本框 2055"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AzHgNQAAAAD AQAADwAAAGRycy9kb3ducmV2LnhtbE2PQUvDQBCF74L/YRnBS7G7KdLGmE1BoTeFtha8TrNjkpqd DbvbtPrr3XrRy8DjPd77plyebS9G8qFzrCGbKhDEtTMdNxp2b6u7HESIyAZ7x6ThiwIsq+urEgvj TryhcRsbkUo4FKihjXEopAx1SxbD1A3Eyftw3mJM0jfSeDylctvLmVJzabHjtNDiQM8t1Z/bo9Xw /vJNtMmfJpPx/nDwavWwruWr1rc3mXoEEekc/8JwwU/oUCWmvTuyCaLXkB6Jv/fi5RmIvYaZWoCs SvmfvfoBUEsDBBQAAAAIAIdO4kB9Sbq02QEAAKUDAAAOAAAAZHJzL2Uyb0RvYy54bWytU82O0zAQ viPxDpbvNEm3gd2o6QpULUJCgLTwAK7jNJb8J4/bpC8Ab8CJC3eeq8/B2Em6q+WyBy7JxDPzzfd9 nqxvB63IUXiQ1tS0WOSUCMNtI82+pt++3r26pgQCMw1T1oiangTQ283LF+veVWJpO6sa4QmCGKh6 V9MuBFdlGfBOaAYL64TBZGu9ZgE//T5rPOsRXatsmeevs976xnnLBQCebscknRD9cwBt20outpYf tDBhRPVCsYCSoJMO6CaxbVvBw+e2BRGIqikqDemJQzDexWe2WbNq75nrJJ8osOdQeKJJM2lw6AVq ywIjBy//gdKSewu2DQtudTYKSY6giiJ/4s19x5xIWtBqcBfT4f/B8k/HL57IBjehoMQwjTd+/vnj /OvP+fd3sszLMlrUO6iw8t5hbRje2QHL53PAw6h8aL2Ob9REMI8Gny4GiyEQHpuK1c1VSQnHVHFV rFYJPXtodh7Ce2E1iUFNPd5fspUdP0JAIlg6l8RZxt5JpdIdKkN6BC2v35Sp45LCFmWwM2oYucYo DLthErazzQl19bgENTW485SoDwY9jvsyB34OdnNwcF7uu7RQkQq4t4eAdBLLOGGEnQbj7SXy06bF 9Xj8naoe/q7NX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EAMx4DUAAAAAwEAAA8AAAAAAAAAAQAg AAAAIgAAAGRycy9kb3ducmV2LnhtbFBLAQIUABQAAAAIAIdO4kB9Sbq02QEAAKUDAAAOAAAAAAAA AAEAIAAAACMBAABkcnMvZTJvRG9jLnhtbFBLBQYAAAAABgAGAFkBAABuBQAAAAA= ">
              <v:fill on="f" focussize="0,0"/>
              <v:stroke on="f" weight="1.25pt"/>
              <v:imagedata o:title=""/>
              <o:lock v:ext="edit" aspectratio="f"/>
              <v:textbox inset="0mm,0mm,0mm,0mm" style="mso-fit-shape-to-text:t;">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22</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205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107</w:t>
                          </w:r>
                          <w:r>
                            <w:rPr>
                              <w:rFonts w:hint="eastAsia"/>
                            </w:rPr>
                            <w:fldChar w:fldCharType="end"/>
                          </w:r>
                        </w:p>
                      </w:txbxContent>
                    </wps:txbx>
                    <wps:bodyPr wrap="none" lIns="0" tIns="0" rIns="0" bIns="0" upright="0">
                      <a:spAutoFit/>
                    </wps:bodyPr>
                  </wps:wsp>
                </a:graphicData>
              </a:graphic>
            </wp:anchor>
          </w:drawing>
        </mc:Choice>
        <mc:Fallback>
          <w:pict>
            <v:shape id="文本框 2051"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AzHgNQAAAAD AQAADwAAAGRycy9kb3ducmV2LnhtbE2PQUvDQBCF74L/YRnBS7G7KdLGmE1BoTeFtha8TrNjkpqd DbvbtPrr3XrRy8DjPd77plyebS9G8qFzrCGbKhDEtTMdNxp2b6u7HESIyAZ7x6ThiwIsq+urEgvj TryhcRsbkUo4FKihjXEopAx1SxbD1A3Eyftw3mJM0jfSeDylctvLmVJzabHjtNDiQM8t1Z/bo9Xw /vJNtMmfJpPx/nDwavWwruWr1rc3mXoEEekc/8JwwU/oUCWmvTuyCaLXkB6Jv/fi5RmIvYaZWoCs SvmfvfoBUEsDBBQAAAAIAIdO4kAazzIy2AEAAKQDAAAOAAAAZHJzL2Uyb0RvYy54bWytU82O0zAQ viPxDpbvNEm3gd2o6QpULUJCgLTwAK7jNJb8J4/bpC8Ab8CJC3eeq8/B2Em6q+WyBy7O2DPzzXzf TNa3g1bkKDxIa2paLHJKhOG2kWZf029f715dUwKBmYYpa0RNTwLo7ebli3XvKrG0nVWN8ARBDFS9 q2kXgquyDHgnNIOFdcKgs7Ves4BXv88az3pE1ypb5vnrrLe+cd5yAYCv29FJJ0T/HEDbtpKLreUH LUwYUb1QLCAl6KQDukndtq3g4XPbgghE1RSZhnRiEbR38cw2a1btPXOd5FML7DktPOGkmTRY9AK1 ZYGRg5f/QGnJvQXbhgW3OhuJJEWQRZE/0ea+Y04kLig1uIvo8P9g+afjF09kU1Mcu2EaB37++eP8 68/593eyzMsiKtQ7qDDw3mFoGN7ZAfdmfgd8jMSH1uv4RUoE/ajv6aKvGALhMalY3VyVlHB0FVfF alVGlOwh2XkI74XVJBo19Ti+pCo7foQwhs4hsZaxd1KpNEJlSI+g5fWbMmVcXIiuDBaJHMZeoxWG 3TAR29nmhLx63IGaGlx5StQHgxLHdZkNPxu72Tg4L/dd2qfYCri3h4DtpC5jhRF2KozDSzynRYvb 8fieoh5+rs1f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RQQAAFtDb250ZW50X1R5cGVzXS54bWxQSwECFAAKAAAAAACHTuJAAAAAAAAAAAAAAAAA BgAAAAAAAAAAABAAAAAnAwAAX3JlbHMvUEsBAhQAFAAAAAgAh07iQIoUZjzRAAAAlAEAAAsAAAAA AAAAAQAgAAAASwMAAF9yZWxzLy5yZWxzUEsBAhQACgAAAAAAh07iQAAAAAAAAAAAAAAAAAQAAAAA AAAAAAAQAAAAAAAAAGRycy9QSwECFAAUAAAACACHTuJAQAzHgNQAAAADAQAADwAAAAAAAAABACAA AAAiAAAAZHJzL2Rvd25yZXYueG1sUEsBAhQAFAAAAAgAh07iQBrPMjLYAQAApAMAAA4AAAAAAAAA AQAgAAAAIwEAAGRycy9lMm9Eb2MueG1sUEsFBgAAAAAGAAYAWQEAAG0FAAAAAA== ">
              <v:fill on="f" focussize="0,0"/>
              <v:stroke on="f" weight="1.25pt"/>
              <v:imagedata o:title=""/>
              <o:lock v:ext="edit" aspectratio="f"/>
              <v:textbox inset="0mm,0mm,0mm,0mm" style="mso-fit-shape-to-text:t;">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107</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2085" cy="131445"/>
              <wp:effectExtent l="0" t="0" r="0" b="0"/>
              <wp:wrapNone/>
              <wp:docPr id="9" name="文本框 2052"/>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w="15875">
                        <a:noFill/>
                      </a:ln>
                    </wps:spPr>
                    <wps:txbx>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127</w:t>
                          </w:r>
                          <w:r>
                            <w:rPr>
                              <w:rFonts w:hint="eastAsia"/>
                            </w:rPr>
                            <w:fldChar w:fldCharType="end"/>
                          </w:r>
                        </w:p>
                      </w:txbxContent>
                    </wps:txbx>
                    <wps:bodyPr wrap="none" lIns="0" tIns="0" rIns="0" bIns="0" upright="0">
                      <a:spAutoFit/>
                    </wps:bodyPr>
                  </wps:wsp>
                </a:graphicData>
              </a:graphic>
            </wp:anchor>
          </w:drawing>
        </mc:Choice>
        <mc:Fallback>
          <w:pict>
            <v:shape id="文本框 2052" o:spid="_x0000_s1026" o:spt="202" type="#_x0000_t202" style="position:absolute;left:0pt;margin-top:0pt;height:10.35pt;width:13.55pt;mso-position-horizontal:center;mso-position-horizontal-relative:margin;mso-wrap-style:none;z-index:251662336;mso-width-relative:page;mso-height-relative:page;" filled="f" stroked="f" coordsize="21600,21600" o:gfxdata="UEsDBAoAAAAAAIdO4kAAAAAAAAAAAAAAAAAEAAAAZHJzL1BLAwQUAAAACACHTuJAl3xpLNQAAAAD AQAADwAAAGRycy9kb3ducmV2LnhtbE2PQUsDMRCF70L/Q5iCl2KTLWLbdbMFhd4U2ip4TTfT3a2b yZKk2+qvd+pFL/MY3vDeN8Xq4joxYIitJw3ZVIFAqrxtqdbw/ra+W4CIyZA1nSfU8IURVuXopjC5 9Wfa4rBLteAQirnR0KTU51LGqkFn4tT3SOwdfHAm8RpqaYM5c7jr5EypB+lMS9zQmB6fG6w+dyen 4ePlG3G7eJpMhvvjMaj1clPJV61vx5l6BJHwkv6O4YrP6FAy096fyEbRaeBH0u9kbzbPQOxZ1Rxk Wcj/7OUPUEsDBBQAAAAIAIdO4kBmut0P2QEAAKQDAAAOAAAAZHJzL2Uyb0RvYy54bWytU82O0zAQ viPxDpbvNGnYsN2o6QpULUJCgLTwAK7jNJb8J4/bpC8Ab8CJC3eeq8/B2Em6q+WyBy7O2DPzzXzf TNa3g1bkKDxIa2q6XOSUCMNtI82+pt++3r1aUQKBmYYpa0RNTwLo7ebli3XvKlHYzqpGeIIgBqre 1bQLwVVZBrwTmsHCOmHQ2VqvWcCr32eNZz2ia5UVef4m661vnLdcAODrdnTSCdE/B9C2reRia/lB CxNGVC8UC0gJOumAblK3bSt4+Ny2IAJRNUWmIZ1YBO1dPLPNmlV7z1wn+dQCe04LTzhpJg0WvUBt WWDk4OU/UFpyb8G2YcGtzkYiSRFkscyfaHPfMScSF5Qa3EV0+H+w/NPxiyeyqekNJYZpHPj554/z rz/n399JkZdFVKh3UGHgvcPQMLyzA+7N/A74GIkPrdfxi5QI+lHf00VfMQTCY9J1ka9KSji6lq+X V1dlRMkekp2H8F5YTaJRU4/jS6qy40cIY+gcEmsZeyeVSiNUhvQIWq6uy5RxcSG6Mlgkchh7jVYY dsNEbGebE/LqcQdqanDlKVEfDEoc12U2/GzsZuPgvNx3aZ9iK+DeHgK2k7qMFUbYqTAOL/GcFi1u x+N7inr4uTZ/AV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Jd8aSzUAAAAAwEAAA8AAAAAAAAAAQAg AAAAIgAAAGRycy9kb3ducmV2LnhtbFBLAQIUABQAAAAIAIdO4kBmut0P2QEAAKQDAAAOAAAAAAAA AAEAIAAAACMBAABkcnMvZTJvRG9jLnhtbFBLBQYAAAAABgAGAFkBAABuBQAAAAA= ">
              <v:fill on="f" focussize="0,0"/>
              <v:stroke on="f" weight="1.25pt"/>
              <v:imagedata o:title=""/>
              <o:lock v:ext="edit" aspectratio="f"/>
              <v:textbox inset="0mm,0mm,0mm,0mm" style="mso-fit-shape-to-text:t;">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127</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72085" cy="131445"/>
              <wp:effectExtent l="0" t="0" r="0" b="0"/>
              <wp:wrapNone/>
              <wp:docPr id="10" name="文本框 2053"/>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w="15875">
                        <a:noFill/>
                      </a:ln>
                    </wps:spPr>
                    <wps:txbx>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128</w:t>
                          </w:r>
                          <w:r>
                            <w:rPr>
                              <w:rFonts w:hint="eastAsia"/>
                            </w:rPr>
                            <w:fldChar w:fldCharType="end"/>
                          </w:r>
                        </w:p>
                      </w:txbxContent>
                    </wps:txbx>
                    <wps:bodyPr wrap="none" lIns="0" tIns="0" rIns="0" bIns="0" upright="0">
                      <a:spAutoFit/>
                    </wps:bodyPr>
                  </wps:wsp>
                </a:graphicData>
              </a:graphic>
            </wp:anchor>
          </w:drawing>
        </mc:Choice>
        <mc:Fallback>
          <w:pict>
            <v:shape id="文本框 2053" o:spid="_x0000_s1026" o:spt="202" type="#_x0000_t202" style="position:absolute;left:0pt;margin-top:0pt;height:10.35pt;width:13.55pt;mso-position-horizontal:center;mso-position-horizontal-relative:margin;mso-wrap-style:none;z-index:251663360;mso-width-relative:page;mso-height-relative:page;" filled="f" stroked="f" coordsize="21600,21600" o:gfxdata="UEsDBAoAAAAAAIdO4kAAAAAAAAAAAAAAAAAEAAAAZHJzL1BLAwQUAAAACACHTuJAl3xpLNQAAAAD AQAADwAAAGRycy9kb3ducmV2LnhtbE2PQUsDMRCF70L/Q5iCl2KTLWLbdbMFhd4U2ip4TTfT3a2b yZKk2+qvd+pFL/MY3vDeN8Xq4joxYIitJw3ZVIFAqrxtqdbw/ra+W4CIyZA1nSfU8IURVuXopjC5 9Wfa4rBLteAQirnR0KTU51LGqkFn4tT3SOwdfHAm8RpqaYM5c7jr5EypB+lMS9zQmB6fG6w+dyen 4ePlG3G7eJpMhvvjMaj1clPJV61vx5l6BJHwkv6O4YrP6FAy096fyEbRaeBH0u9kbzbPQOxZ1Rxk Wcj/7OUPUEsDBBQAAAAIAIdO4kDiplkL2AEAAKUDAAAOAAAAZHJzL2Uyb0RvYy54bWytU0tu2zAQ 3RfIHQjuY8lO1BiC5aCFkSBA0RZIewCaoiwC/IFDW/IF2ht01U33PZfP0SElOUWyySIbasiZeTPv zWh122tFDsKDtKai81lOiTDc1tLsKvr9293lkhIIzNRMWSMqehRAb9cX71adK8XCtlbVwhMEMVB2 rqJtCK7MMuCt0Axm1gmDzsZ6zQJe/S6rPesQXatskefvs8762nnLBQC+bgYnHRH9awBt00guNpbv tTBhQPVCsYCUoJUO6Dp12zSChy9NAyIQVVFkGtKJRdDexjNbr1i588y1ko8tsNe08IyTZtJg0TPU hgVG9l6+gNKSewu2CTNudTYQSYogi3n+TJvHljmRuKDU4M6iw9vB8s+Hr57IGjcBJTFM48RPv36e fv89/flBFnlxFSXqHJQY+egwNvQfbY/h0zvgY2TeN17HL3Ii6Ee041lg0QfCY9LNIl8WlHB0za/m 19dFRMmekp2HcC+sJtGoqMf5JVnZ4ROEIXQKibWMvZNKpRkqQzoELZY3Rco4uxBdGSwSOQy9Riv0 234ktrX1EXl1uAQVNbjzlKgHgxrHfZkMPxnbydg7L3dtWqjYCrgP+4DtpC5jhQF2LIzTSzzHTYvr 8f89RT39Xet/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RQQAAFtDb250ZW50X1R5cGVzXS54bWxQSwECFAAKAAAAAACHTuJAAAAAAAAAAAAAAAAA BgAAAAAAAAAAABAAAAAnAwAAX3JlbHMvUEsBAhQAFAAAAAgAh07iQIoUZjzRAAAAlAEAAAsAAAAA AAAAAQAgAAAASwMAAF9yZWxzLy5yZWxzUEsBAhQACgAAAAAAh07iQAAAAAAAAAAAAAAAAAQAAAAA AAAAAAAQAAAAAAAAAGRycy9QSwECFAAUAAAACACHTuJAl3xpLNQAAAADAQAADwAAAAAAAAABACAA AAAiAAAAZHJzL2Rvd25yZXYueG1sUEsBAhQAFAAAAAgAh07iQOKmWQvYAQAApQMAAA4AAAAAAAAA AQAgAAAAIwEAAGRycy9lMm9Eb2MueG1sUEsFBgAAAAAGAAYAWQEAAG0FAAAAAA== ">
              <v:fill on="f" focussize="0,0"/>
              <v:stroke on="f" weight="1.25pt"/>
              <v:imagedata o:title=""/>
              <o:lock v:ext="edit" aspectratio="f"/>
              <v:textbox inset="0mm,0mm,0mm,0mm" style="mso-fit-shape-to-text:t;">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128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both"/>
      <w:rPr>
        <w:rFonts w:hint="eastAsia"/>
        <w:b/>
        <w:bCs/>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both"/>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69A5B"/>
    <w:multiLevelType w:val="singleLevel"/>
    <w:tmpl w:val="D8669A5B"/>
    <w:lvl w:ilvl="0" w:tentative="0">
      <w:start w:val="2"/>
      <w:numFmt w:val="chineseCounting"/>
      <w:suff w:val="nothing"/>
      <w:lvlText w:val="%1、"/>
      <w:lvlJc w:val="left"/>
      <w:rPr>
        <w:rFonts w:hint="eastAsia"/>
      </w:rPr>
    </w:lvl>
  </w:abstractNum>
  <w:abstractNum w:abstractNumId="1">
    <w:nsid w:val="27187EF8"/>
    <w:multiLevelType w:val="multilevel"/>
    <w:tmpl w:val="27187EF8"/>
    <w:lvl w:ilvl="0" w:tentative="0">
      <w:start w:val="5"/>
      <w:numFmt w:val="decimal"/>
      <w:pStyle w:val="185"/>
      <w:lvlText w:val="（%1）"/>
      <w:lvlJc w:val="left"/>
      <w:pPr>
        <w:tabs>
          <w:tab w:val="left" w:pos="1200"/>
        </w:tabs>
        <w:ind w:left="1200" w:hanging="720"/>
      </w:pPr>
      <w:rPr>
        <w:rFonts w:hint="default" w:ascii="宋体" w:eastAsia="宋体"/>
      </w:rPr>
    </w:lvl>
    <w:lvl w:ilvl="1" w:tentative="0">
      <w:start w:val="1"/>
      <w:numFmt w:val="lowerLetter"/>
      <w:pStyle w:val="184"/>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491E2498"/>
    <w:multiLevelType w:val="singleLevel"/>
    <w:tmpl w:val="491E2498"/>
    <w:lvl w:ilvl="0" w:tentative="0">
      <w:start w:val="4"/>
      <w:numFmt w:val="decimal"/>
      <w:suff w:val="nothing"/>
      <w:lvlText w:val="%1、"/>
      <w:lvlJc w:val="left"/>
    </w:lvl>
  </w:abstractNum>
  <w:abstractNum w:abstractNumId="3">
    <w:nsid w:val="570A0D25"/>
    <w:multiLevelType w:val="singleLevel"/>
    <w:tmpl w:val="570A0D25"/>
    <w:lvl w:ilvl="0" w:tentative="0">
      <w:start w:val="1"/>
      <w:numFmt w:val="decimal"/>
      <w:suff w:val="nothing"/>
      <w:lvlText w:val="%1、"/>
      <w:lvlJc w:val="left"/>
    </w:lvl>
  </w:abstractNum>
  <w:abstractNum w:abstractNumId="4">
    <w:nsid w:val="71D9659B"/>
    <w:multiLevelType w:val="singleLevel"/>
    <w:tmpl w:val="71D9659B"/>
    <w:lvl w:ilvl="0" w:tentative="0">
      <w:start w:val="1"/>
      <w:numFmt w:val="decimal"/>
      <w:pStyle w:val="33"/>
      <w:lvlText w:val="%1、"/>
      <w:lvlJc w:val="left"/>
      <w:pPr>
        <w:tabs>
          <w:tab w:val="left" w:pos="840"/>
        </w:tabs>
        <w:ind w:left="840" w:hanging="360"/>
      </w:pPr>
      <w:rPr>
        <w:rFonts w:hint="eastAsia"/>
      </w:rPr>
    </w:lvl>
  </w:abstractNum>
  <w:abstractNum w:abstractNumId="5">
    <w:nsid w:val="71F052D6"/>
    <w:multiLevelType w:val="singleLevel"/>
    <w:tmpl w:val="71F052D6"/>
    <w:lvl w:ilvl="0" w:tentative="0">
      <w:start w:val="1"/>
      <w:numFmt w:val="decimal"/>
      <w:suff w:val="nothing"/>
      <w:lvlText w:val="%1、"/>
      <w:lvlJc w:val="left"/>
    </w:lvl>
  </w:abstractNum>
  <w:abstractNum w:abstractNumId="6">
    <w:nsid w:val="722C4B05"/>
    <w:multiLevelType w:val="multilevel"/>
    <w:tmpl w:val="722C4B05"/>
    <w:lvl w:ilvl="0" w:tentative="0">
      <w:start w:val="1"/>
      <w:numFmt w:val="decimal"/>
      <w:pStyle w:val="20"/>
      <w:lvlText w:val="(%1)"/>
      <w:lvlJc w:val="left"/>
      <w:pPr>
        <w:tabs>
          <w:tab w:val="left" w:pos="510"/>
        </w:tabs>
        <w:ind w:left="510" w:hanging="390"/>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220"/>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pStyle w:val="9"/>
      <w:lvlText w:val="%7."/>
      <w:lvlJc w:val="left"/>
      <w:pPr>
        <w:tabs>
          <w:tab w:val="left" w:pos="2940"/>
        </w:tabs>
        <w:ind w:left="2940" w:hanging="420"/>
      </w:pPr>
    </w:lvl>
    <w:lvl w:ilvl="7" w:tentative="0">
      <w:start w:val="1"/>
      <w:numFmt w:val="lowerLetter"/>
      <w:pStyle w:val="10"/>
      <w:lvlText w:val="%8)"/>
      <w:lvlJc w:val="left"/>
      <w:pPr>
        <w:tabs>
          <w:tab w:val="left" w:pos="3360"/>
        </w:tabs>
        <w:ind w:left="3360" w:hanging="420"/>
      </w:pPr>
    </w:lvl>
    <w:lvl w:ilvl="8" w:tentative="0">
      <w:start w:val="1"/>
      <w:numFmt w:val="lowerRoman"/>
      <w:pStyle w:val="11"/>
      <w:lvlText w:val="%9."/>
      <w:lvlJc w:val="right"/>
      <w:pPr>
        <w:tabs>
          <w:tab w:val="left" w:pos="3780"/>
        </w:tabs>
        <w:ind w:left="3780" w:hanging="420"/>
      </w:pPr>
    </w:lvl>
  </w:abstractNum>
  <w:abstractNum w:abstractNumId="7">
    <w:nsid w:val="766D792A"/>
    <w:multiLevelType w:val="singleLevel"/>
    <w:tmpl w:val="766D792A"/>
    <w:lvl w:ilvl="0" w:tentative="0">
      <w:start w:val="1"/>
      <w:numFmt w:val="decimal"/>
      <w:pStyle w:val="232"/>
      <w:lvlText w:val="(%1)"/>
      <w:lvlJc w:val="left"/>
      <w:pPr>
        <w:tabs>
          <w:tab w:val="left" w:pos="700"/>
        </w:tabs>
        <w:ind w:left="0" w:firstLine="340"/>
      </w:pPr>
      <w:rPr>
        <w:rFonts w:hint="eastAsia"/>
      </w:rPr>
    </w:lvl>
  </w:abstractNum>
  <w:num w:numId="1">
    <w:abstractNumId w:val="6"/>
  </w:num>
  <w:num w:numId="2">
    <w:abstractNumId w:val="4"/>
  </w:num>
  <w:num w:numId="3">
    <w:abstractNumId w:val="1"/>
  </w:num>
  <w:num w:numId="4">
    <w:abstractNumId w:val="7"/>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285"/>
  <w:displayHorizontalDrawingGridEvery w:val="1"/>
  <w:displayVerticalDrawingGridEvery w:val="1"/>
  <w:noPunctuationKerning w:val="1"/>
  <w:characterSpacingControl w:val="compressPunctuation"/>
  <w:hdrShapeDefaults>
    <o:shapelayout v:ext="edit">
      <o:idmap v:ext="edit" data="2,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9E6"/>
    <w:rsid w:val="00000FD8"/>
    <w:rsid w:val="000010A4"/>
    <w:rsid w:val="00001A82"/>
    <w:rsid w:val="00002288"/>
    <w:rsid w:val="00002874"/>
    <w:rsid w:val="00002B25"/>
    <w:rsid w:val="00003757"/>
    <w:rsid w:val="0000377D"/>
    <w:rsid w:val="0000380B"/>
    <w:rsid w:val="00003965"/>
    <w:rsid w:val="00003E11"/>
    <w:rsid w:val="00005A0C"/>
    <w:rsid w:val="00005AD2"/>
    <w:rsid w:val="00006510"/>
    <w:rsid w:val="000075B4"/>
    <w:rsid w:val="00007FB4"/>
    <w:rsid w:val="00010002"/>
    <w:rsid w:val="00011313"/>
    <w:rsid w:val="00012585"/>
    <w:rsid w:val="0001286E"/>
    <w:rsid w:val="0001415A"/>
    <w:rsid w:val="00014253"/>
    <w:rsid w:val="00014763"/>
    <w:rsid w:val="000147A6"/>
    <w:rsid w:val="000147E2"/>
    <w:rsid w:val="00014ACD"/>
    <w:rsid w:val="000156FF"/>
    <w:rsid w:val="00016E5B"/>
    <w:rsid w:val="000171FF"/>
    <w:rsid w:val="000212AE"/>
    <w:rsid w:val="000217E4"/>
    <w:rsid w:val="00022DC6"/>
    <w:rsid w:val="000235AF"/>
    <w:rsid w:val="00024548"/>
    <w:rsid w:val="00024F13"/>
    <w:rsid w:val="0002536D"/>
    <w:rsid w:val="0002570D"/>
    <w:rsid w:val="00026061"/>
    <w:rsid w:val="0002795F"/>
    <w:rsid w:val="00030242"/>
    <w:rsid w:val="000319DD"/>
    <w:rsid w:val="000328FE"/>
    <w:rsid w:val="0003306F"/>
    <w:rsid w:val="000344B9"/>
    <w:rsid w:val="00034A3E"/>
    <w:rsid w:val="000378FE"/>
    <w:rsid w:val="00037CD2"/>
    <w:rsid w:val="00037CE4"/>
    <w:rsid w:val="000404CE"/>
    <w:rsid w:val="000414C4"/>
    <w:rsid w:val="00041A39"/>
    <w:rsid w:val="000427ED"/>
    <w:rsid w:val="00043490"/>
    <w:rsid w:val="00043692"/>
    <w:rsid w:val="000437F1"/>
    <w:rsid w:val="00044D9B"/>
    <w:rsid w:val="00045CE3"/>
    <w:rsid w:val="00045DB2"/>
    <w:rsid w:val="000464A6"/>
    <w:rsid w:val="000467BF"/>
    <w:rsid w:val="00046F89"/>
    <w:rsid w:val="00050357"/>
    <w:rsid w:val="00051226"/>
    <w:rsid w:val="00051848"/>
    <w:rsid w:val="00052035"/>
    <w:rsid w:val="00052187"/>
    <w:rsid w:val="000536B0"/>
    <w:rsid w:val="000542E6"/>
    <w:rsid w:val="00054AD8"/>
    <w:rsid w:val="00054D7E"/>
    <w:rsid w:val="00055A3D"/>
    <w:rsid w:val="000560D2"/>
    <w:rsid w:val="000564BB"/>
    <w:rsid w:val="00056DC8"/>
    <w:rsid w:val="00056F94"/>
    <w:rsid w:val="00057D5B"/>
    <w:rsid w:val="00060FB1"/>
    <w:rsid w:val="000613FD"/>
    <w:rsid w:val="000617D3"/>
    <w:rsid w:val="00061A87"/>
    <w:rsid w:val="00063327"/>
    <w:rsid w:val="00063E9D"/>
    <w:rsid w:val="00065328"/>
    <w:rsid w:val="000675B4"/>
    <w:rsid w:val="0007088F"/>
    <w:rsid w:val="00070F93"/>
    <w:rsid w:val="00071AB2"/>
    <w:rsid w:val="0007210C"/>
    <w:rsid w:val="00074517"/>
    <w:rsid w:val="00074FCC"/>
    <w:rsid w:val="00076EAC"/>
    <w:rsid w:val="000770AD"/>
    <w:rsid w:val="00077720"/>
    <w:rsid w:val="00077864"/>
    <w:rsid w:val="00077F66"/>
    <w:rsid w:val="00080820"/>
    <w:rsid w:val="000816EB"/>
    <w:rsid w:val="00081DAC"/>
    <w:rsid w:val="00081E32"/>
    <w:rsid w:val="0008275C"/>
    <w:rsid w:val="00083CA0"/>
    <w:rsid w:val="000846B2"/>
    <w:rsid w:val="000861A1"/>
    <w:rsid w:val="0008644B"/>
    <w:rsid w:val="0008654F"/>
    <w:rsid w:val="000904AA"/>
    <w:rsid w:val="00090836"/>
    <w:rsid w:val="00090E11"/>
    <w:rsid w:val="0009114B"/>
    <w:rsid w:val="00091A35"/>
    <w:rsid w:val="000945F2"/>
    <w:rsid w:val="00094925"/>
    <w:rsid w:val="0009506C"/>
    <w:rsid w:val="00095733"/>
    <w:rsid w:val="00096587"/>
    <w:rsid w:val="00096C6C"/>
    <w:rsid w:val="00097CB6"/>
    <w:rsid w:val="000A01C4"/>
    <w:rsid w:val="000A0A04"/>
    <w:rsid w:val="000A2220"/>
    <w:rsid w:val="000A2586"/>
    <w:rsid w:val="000A2FBF"/>
    <w:rsid w:val="000A387A"/>
    <w:rsid w:val="000A3CD8"/>
    <w:rsid w:val="000A5C01"/>
    <w:rsid w:val="000A68A5"/>
    <w:rsid w:val="000B107C"/>
    <w:rsid w:val="000B1B5F"/>
    <w:rsid w:val="000B2117"/>
    <w:rsid w:val="000B494B"/>
    <w:rsid w:val="000B5B50"/>
    <w:rsid w:val="000B5D68"/>
    <w:rsid w:val="000B5FA9"/>
    <w:rsid w:val="000B749E"/>
    <w:rsid w:val="000C001F"/>
    <w:rsid w:val="000C083F"/>
    <w:rsid w:val="000C1494"/>
    <w:rsid w:val="000C184C"/>
    <w:rsid w:val="000C1EB3"/>
    <w:rsid w:val="000C27D4"/>
    <w:rsid w:val="000C28B3"/>
    <w:rsid w:val="000C29B6"/>
    <w:rsid w:val="000C30FE"/>
    <w:rsid w:val="000C3334"/>
    <w:rsid w:val="000C3991"/>
    <w:rsid w:val="000C3E16"/>
    <w:rsid w:val="000C59C2"/>
    <w:rsid w:val="000C608D"/>
    <w:rsid w:val="000C6114"/>
    <w:rsid w:val="000C665F"/>
    <w:rsid w:val="000C6820"/>
    <w:rsid w:val="000C71FA"/>
    <w:rsid w:val="000C744F"/>
    <w:rsid w:val="000D13C7"/>
    <w:rsid w:val="000D24F3"/>
    <w:rsid w:val="000D2D36"/>
    <w:rsid w:val="000D4688"/>
    <w:rsid w:val="000D5379"/>
    <w:rsid w:val="000D5612"/>
    <w:rsid w:val="000D586B"/>
    <w:rsid w:val="000D5F1A"/>
    <w:rsid w:val="000D766C"/>
    <w:rsid w:val="000E07CB"/>
    <w:rsid w:val="000E1D05"/>
    <w:rsid w:val="000E231B"/>
    <w:rsid w:val="000E240A"/>
    <w:rsid w:val="000E2BF5"/>
    <w:rsid w:val="000E2E16"/>
    <w:rsid w:val="000E2FFC"/>
    <w:rsid w:val="000E3656"/>
    <w:rsid w:val="000E3906"/>
    <w:rsid w:val="000E4558"/>
    <w:rsid w:val="000E6A52"/>
    <w:rsid w:val="000F22BF"/>
    <w:rsid w:val="000F2719"/>
    <w:rsid w:val="000F33E3"/>
    <w:rsid w:val="000F378D"/>
    <w:rsid w:val="000F52F1"/>
    <w:rsid w:val="000F578F"/>
    <w:rsid w:val="000F76B2"/>
    <w:rsid w:val="00100B61"/>
    <w:rsid w:val="00101556"/>
    <w:rsid w:val="00102A0A"/>
    <w:rsid w:val="001035C7"/>
    <w:rsid w:val="00105DC5"/>
    <w:rsid w:val="00106100"/>
    <w:rsid w:val="001062FF"/>
    <w:rsid w:val="00106308"/>
    <w:rsid w:val="00106EC8"/>
    <w:rsid w:val="00107792"/>
    <w:rsid w:val="001107DE"/>
    <w:rsid w:val="00110801"/>
    <w:rsid w:val="00113033"/>
    <w:rsid w:val="0011397C"/>
    <w:rsid w:val="00113DD6"/>
    <w:rsid w:val="00115772"/>
    <w:rsid w:val="00115E48"/>
    <w:rsid w:val="0011637E"/>
    <w:rsid w:val="00116ACA"/>
    <w:rsid w:val="00117106"/>
    <w:rsid w:val="001178EF"/>
    <w:rsid w:val="00117C5C"/>
    <w:rsid w:val="00117EDA"/>
    <w:rsid w:val="00121861"/>
    <w:rsid w:val="00121966"/>
    <w:rsid w:val="00121AF1"/>
    <w:rsid w:val="00122092"/>
    <w:rsid w:val="00123224"/>
    <w:rsid w:val="00124275"/>
    <w:rsid w:val="0012455A"/>
    <w:rsid w:val="00124F2B"/>
    <w:rsid w:val="00125836"/>
    <w:rsid w:val="00125C85"/>
    <w:rsid w:val="00125DA2"/>
    <w:rsid w:val="001269AD"/>
    <w:rsid w:val="00127CD2"/>
    <w:rsid w:val="001310CF"/>
    <w:rsid w:val="0013128B"/>
    <w:rsid w:val="001338AB"/>
    <w:rsid w:val="00133AAC"/>
    <w:rsid w:val="00133F6B"/>
    <w:rsid w:val="00134245"/>
    <w:rsid w:val="0013482F"/>
    <w:rsid w:val="0013498B"/>
    <w:rsid w:val="00134A0F"/>
    <w:rsid w:val="00136F9A"/>
    <w:rsid w:val="00137933"/>
    <w:rsid w:val="00141A3D"/>
    <w:rsid w:val="00142689"/>
    <w:rsid w:val="00142FFA"/>
    <w:rsid w:val="00143987"/>
    <w:rsid w:val="00143CFF"/>
    <w:rsid w:val="0014481B"/>
    <w:rsid w:val="0014506D"/>
    <w:rsid w:val="001451DC"/>
    <w:rsid w:val="0014627F"/>
    <w:rsid w:val="00146741"/>
    <w:rsid w:val="0014680E"/>
    <w:rsid w:val="0014709C"/>
    <w:rsid w:val="001474EC"/>
    <w:rsid w:val="001476B1"/>
    <w:rsid w:val="0015014F"/>
    <w:rsid w:val="0015027B"/>
    <w:rsid w:val="001511A8"/>
    <w:rsid w:val="00151A4D"/>
    <w:rsid w:val="0015242E"/>
    <w:rsid w:val="00152D09"/>
    <w:rsid w:val="0015323D"/>
    <w:rsid w:val="00153474"/>
    <w:rsid w:val="00155DD1"/>
    <w:rsid w:val="00156540"/>
    <w:rsid w:val="0015756F"/>
    <w:rsid w:val="00157814"/>
    <w:rsid w:val="0016029D"/>
    <w:rsid w:val="00160745"/>
    <w:rsid w:val="00160AEE"/>
    <w:rsid w:val="0016197A"/>
    <w:rsid w:val="00162185"/>
    <w:rsid w:val="001622EC"/>
    <w:rsid w:val="00162340"/>
    <w:rsid w:val="00162D1C"/>
    <w:rsid w:val="001635BE"/>
    <w:rsid w:val="00163660"/>
    <w:rsid w:val="00164368"/>
    <w:rsid w:val="0016437F"/>
    <w:rsid w:val="00164BD5"/>
    <w:rsid w:val="001657E4"/>
    <w:rsid w:val="00165F65"/>
    <w:rsid w:val="001679EF"/>
    <w:rsid w:val="001702D9"/>
    <w:rsid w:val="00170C4D"/>
    <w:rsid w:val="0017144A"/>
    <w:rsid w:val="0017189E"/>
    <w:rsid w:val="00172D38"/>
    <w:rsid w:val="001733E7"/>
    <w:rsid w:val="00173E29"/>
    <w:rsid w:val="00174277"/>
    <w:rsid w:val="00174EFC"/>
    <w:rsid w:val="0017524D"/>
    <w:rsid w:val="00175A54"/>
    <w:rsid w:val="00175D20"/>
    <w:rsid w:val="00175F46"/>
    <w:rsid w:val="00176341"/>
    <w:rsid w:val="0017763A"/>
    <w:rsid w:val="001806ED"/>
    <w:rsid w:val="00181450"/>
    <w:rsid w:val="00181697"/>
    <w:rsid w:val="00182025"/>
    <w:rsid w:val="00182B02"/>
    <w:rsid w:val="00182BB0"/>
    <w:rsid w:val="00182DF1"/>
    <w:rsid w:val="0018342B"/>
    <w:rsid w:val="001837F7"/>
    <w:rsid w:val="001843A4"/>
    <w:rsid w:val="00184CCA"/>
    <w:rsid w:val="0018503F"/>
    <w:rsid w:val="001854F3"/>
    <w:rsid w:val="00185801"/>
    <w:rsid w:val="0018608B"/>
    <w:rsid w:val="0018614A"/>
    <w:rsid w:val="00186A73"/>
    <w:rsid w:val="00186DA3"/>
    <w:rsid w:val="00187636"/>
    <w:rsid w:val="00187B3F"/>
    <w:rsid w:val="00190480"/>
    <w:rsid w:val="00190BFC"/>
    <w:rsid w:val="00192116"/>
    <w:rsid w:val="00192573"/>
    <w:rsid w:val="0019325F"/>
    <w:rsid w:val="001949B8"/>
    <w:rsid w:val="00194FA2"/>
    <w:rsid w:val="0019515C"/>
    <w:rsid w:val="001967E0"/>
    <w:rsid w:val="00196C38"/>
    <w:rsid w:val="001A07D1"/>
    <w:rsid w:val="001A109C"/>
    <w:rsid w:val="001A2482"/>
    <w:rsid w:val="001A263B"/>
    <w:rsid w:val="001A2952"/>
    <w:rsid w:val="001A347F"/>
    <w:rsid w:val="001A34EA"/>
    <w:rsid w:val="001A3807"/>
    <w:rsid w:val="001A436B"/>
    <w:rsid w:val="001A4A1E"/>
    <w:rsid w:val="001A4B78"/>
    <w:rsid w:val="001A4C96"/>
    <w:rsid w:val="001A6DE5"/>
    <w:rsid w:val="001A6E01"/>
    <w:rsid w:val="001A79E3"/>
    <w:rsid w:val="001B0193"/>
    <w:rsid w:val="001B21C0"/>
    <w:rsid w:val="001B2D59"/>
    <w:rsid w:val="001B4088"/>
    <w:rsid w:val="001B4173"/>
    <w:rsid w:val="001B6EE2"/>
    <w:rsid w:val="001C0372"/>
    <w:rsid w:val="001C0919"/>
    <w:rsid w:val="001C0D00"/>
    <w:rsid w:val="001C1322"/>
    <w:rsid w:val="001C14CB"/>
    <w:rsid w:val="001C2294"/>
    <w:rsid w:val="001C27EC"/>
    <w:rsid w:val="001C2D7E"/>
    <w:rsid w:val="001C4FDF"/>
    <w:rsid w:val="001C5777"/>
    <w:rsid w:val="001C6080"/>
    <w:rsid w:val="001C66C4"/>
    <w:rsid w:val="001C6C5A"/>
    <w:rsid w:val="001C711E"/>
    <w:rsid w:val="001C7BA9"/>
    <w:rsid w:val="001D0098"/>
    <w:rsid w:val="001D00EE"/>
    <w:rsid w:val="001D0795"/>
    <w:rsid w:val="001D094C"/>
    <w:rsid w:val="001D17B4"/>
    <w:rsid w:val="001D1C38"/>
    <w:rsid w:val="001D26E1"/>
    <w:rsid w:val="001D2AD6"/>
    <w:rsid w:val="001D4289"/>
    <w:rsid w:val="001D4D51"/>
    <w:rsid w:val="001D50A0"/>
    <w:rsid w:val="001D6DA4"/>
    <w:rsid w:val="001D7120"/>
    <w:rsid w:val="001D799D"/>
    <w:rsid w:val="001D79FA"/>
    <w:rsid w:val="001E47D7"/>
    <w:rsid w:val="001E4B3F"/>
    <w:rsid w:val="001E5B5D"/>
    <w:rsid w:val="001E6DA3"/>
    <w:rsid w:val="001E7BBF"/>
    <w:rsid w:val="001F12E8"/>
    <w:rsid w:val="001F17B7"/>
    <w:rsid w:val="001F183C"/>
    <w:rsid w:val="001F1B10"/>
    <w:rsid w:val="001F216C"/>
    <w:rsid w:val="001F261C"/>
    <w:rsid w:val="001F2E1E"/>
    <w:rsid w:val="001F368A"/>
    <w:rsid w:val="001F3C7A"/>
    <w:rsid w:val="001F4BC3"/>
    <w:rsid w:val="001F708B"/>
    <w:rsid w:val="00201A0D"/>
    <w:rsid w:val="00201A7B"/>
    <w:rsid w:val="00205153"/>
    <w:rsid w:val="0020554A"/>
    <w:rsid w:val="00205CA2"/>
    <w:rsid w:val="002069A1"/>
    <w:rsid w:val="00207AD7"/>
    <w:rsid w:val="00210C1B"/>
    <w:rsid w:val="002111A4"/>
    <w:rsid w:val="002113AD"/>
    <w:rsid w:val="00211D45"/>
    <w:rsid w:val="00212F8E"/>
    <w:rsid w:val="00214A5F"/>
    <w:rsid w:val="0021517E"/>
    <w:rsid w:val="00215858"/>
    <w:rsid w:val="00216684"/>
    <w:rsid w:val="00216ACC"/>
    <w:rsid w:val="00217322"/>
    <w:rsid w:val="002212F0"/>
    <w:rsid w:val="002219E2"/>
    <w:rsid w:val="00221B65"/>
    <w:rsid w:val="00221BCC"/>
    <w:rsid w:val="00221F5E"/>
    <w:rsid w:val="002234A0"/>
    <w:rsid w:val="00224483"/>
    <w:rsid w:val="00224993"/>
    <w:rsid w:val="00225714"/>
    <w:rsid w:val="0022589F"/>
    <w:rsid w:val="00225E97"/>
    <w:rsid w:val="00226FFA"/>
    <w:rsid w:val="00227126"/>
    <w:rsid w:val="0022733D"/>
    <w:rsid w:val="002304A8"/>
    <w:rsid w:val="002305B8"/>
    <w:rsid w:val="002305FF"/>
    <w:rsid w:val="00230F5B"/>
    <w:rsid w:val="00231710"/>
    <w:rsid w:val="002327D0"/>
    <w:rsid w:val="002329AA"/>
    <w:rsid w:val="002333E8"/>
    <w:rsid w:val="00233863"/>
    <w:rsid w:val="00233995"/>
    <w:rsid w:val="002347FB"/>
    <w:rsid w:val="00235EBA"/>
    <w:rsid w:val="002361D9"/>
    <w:rsid w:val="00237F21"/>
    <w:rsid w:val="002403B1"/>
    <w:rsid w:val="002430F9"/>
    <w:rsid w:val="0024539B"/>
    <w:rsid w:val="00245A01"/>
    <w:rsid w:val="002466D0"/>
    <w:rsid w:val="00246A3E"/>
    <w:rsid w:val="00246E6A"/>
    <w:rsid w:val="00247521"/>
    <w:rsid w:val="00247835"/>
    <w:rsid w:val="00250DB5"/>
    <w:rsid w:val="00250DF1"/>
    <w:rsid w:val="0025122B"/>
    <w:rsid w:val="002521E4"/>
    <w:rsid w:val="002529CD"/>
    <w:rsid w:val="00252A15"/>
    <w:rsid w:val="002534DC"/>
    <w:rsid w:val="002535FF"/>
    <w:rsid w:val="00253BB7"/>
    <w:rsid w:val="0025473D"/>
    <w:rsid w:val="00254784"/>
    <w:rsid w:val="00254C67"/>
    <w:rsid w:val="00254FC7"/>
    <w:rsid w:val="00256C51"/>
    <w:rsid w:val="00257B77"/>
    <w:rsid w:val="00257DA9"/>
    <w:rsid w:val="00260F75"/>
    <w:rsid w:val="0026256B"/>
    <w:rsid w:val="00262A5C"/>
    <w:rsid w:val="00263008"/>
    <w:rsid w:val="00263063"/>
    <w:rsid w:val="0026311C"/>
    <w:rsid w:val="00265A13"/>
    <w:rsid w:val="00265F60"/>
    <w:rsid w:val="00267A1C"/>
    <w:rsid w:val="00271577"/>
    <w:rsid w:val="00271E58"/>
    <w:rsid w:val="00272CF5"/>
    <w:rsid w:val="00272DD0"/>
    <w:rsid w:val="00274E57"/>
    <w:rsid w:val="00276007"/>
    <w:rsid w:val="002761E0"/>
    <w:rsid w:val="00277998"/>
    <w:rsid w:val="002779BA"/>
    <w:rsid w:val="00277C3C"/>
    <w:rsid w:val="002803A6"/>
    <w:rsid w:val="002804F4"/>
    <w:rsid w:val="002807FE"/>
    <w:rsid w:val="00281496"/>
    <w:rsid w:val="00281F2F"/>
    <w:rsid w:val="002823A4"/>
    <w:rsid w:val="00282E77"/>
    <w:rsid w:val="002837B8"/>
    <w:rsid w:val="00283AB3"/>
    <w:rsid w:val="0028439B"/>
    <w:rsid w:val="002845A7"/>
    <w:rsid w:val="00285046"/>
    <w:rsid w:val="00285374"/>
    <w:rsid w:val="00285A92"/>
    <w:rsid w:val="00286910"/>
    <w:rsid w:val="002878A8"/>
    <w:rsid w:val="00287D44"/>
    <w:rsid w:val="002909BC"/>
    <w:rsid w:val="00290CE6"/>
    <w:rsid w:val="00291651"/>
    <w:rsid w:val="00292750"/>
    <w:rsid w:val="00293373"/>
    <w:rsid w:val="00294724"/>
    <w:rsid w:val="002951E1"/>
    <w:rsid w:val="0029533D"/>
    <w:rsid w:val="002963A6"/>
    <w:rsid w:val="00297B92"/>
    <w:rsid w:val="002A0FC3"/>
    <w:rsid w:val="002A189E"/>
    <w:rsid w:val="002A1B8F"/>
    <w:rsid w:val="002A1D3C"/>
    <w:rsid w:val="002A25F1"/>
    <w:rsid w:val="002A4F86"/>
    <w:rsid w:val="002A5301"/>
    <w:rsid w:val="002A65DA"/>
    <w:rsid w:val="002A703A"/>
    <w:rsid w:val="002B0267"/>
    <w:rsid w:val="002B0395"/>
    <w:rsid w:val="002B0B25"/>
    <w:rsid w:val="002B37E3"/>
    <w:rsid w:val="002B4DA2"/>
    <w:rsid w:val="002B4F1C"/>
    <w:rsid w:val="002B65D6"/>
    <w:rsid w:val="002B6D85"/>
    <w:rsid w:val="002B760E"/>
    <w:rsid w:val="002B7A93"/>
    <w:rsid w:val="002C00F0"/>
    <w:rsid w:val="002C0C53"/>
    <w:rsid w:val="002C2A7F"/>
    <w:rsid w:val="002C2B1E"/>
    <w:rsid w:val="002C31FB"/>
    <w:rsid w:val="002C3A5C"/>
    <w:rsid w:val="002C4F35"/>
    <w:rsid w:val="002C516C"/>
    <w:rsid w:val="002C5956"/>
    <w:rsid w:val="002C5B03"/>
    <w:rsid w:val="002C6C35"/>
    <w:rsid w:val="002D2941"/>
    <w:rsid w:val="002D4657"/>
    <w:rsid w:val="002D4757"/>
    <w:rsid w:val="002D4D0A"/>
    <w:rsid w:val="002D601D"/>
    <w:rsid w:val="002D6BEE"/>
    <w:rsid w:val="002D7D14"/>
    <w:rsid w:val="002E01EF"/>
    <w:rsid w:val="002E0C3E"/>
    <w:rsid w:val="002E0C8C"/>
    <w:rsid w:val="002E0F28"/>
    <w:rsid w:val="002E0F62"/>
    <w:rsid w:val="002E1645"/>
    <w:rsid w:val="002E1747"/>
    <w:rsid w:val="002E174E"/>
    <w:rsid w:val="002E1BC9"/>
    <w:rsid w:val="002E1CC2"/>
    <w:rsid w:val="002E3CA2"/>
    <w:rsid w:val="002E4BAD"/>
    <w:rsid w:val="002E6A87"/>
    <w:rsid w:val="002E7DD7"/>
    <w:rsid w:val="002F0266"/>
    <w:rsid w:val="002F02A4"/>
    <w:rsid w:val="002F0A9A"/>
    <w:rsid w:val="002F0C9C"/>
    <w:rsid w:val="002F0CA8"/>
    <w:rsid w:val="002F0DDA"/>
    <w:rsid w:val="002F125E"/>
    <w:rsid w:val="002F1B20"/>
    <w:rsid w:val="002F1CCB"/>
    <w:rsid w:val="002F37D5"/>
    <w:rsid w:val="002F4187"/>
    <w:rsid w:val="002F4337"/>
    <w:rsid w:val="002F45F7"/>
    <w:rsid w:val="002F46C6"/>
    <w:rsid w:val="002F4964"/>
    <w:rsid w:val="002F4C08"/>
    <w:rsid w:val="002F5024"/>
    <w:rsid w:val="002F5F0F"/>
    <w:rsid w:val="00300E6D"/>
    <w:rsid w:val="003015BA"/>
    <w:rsid w:val="00301CC6"/>
    <w:rsid w:val="00302055"/>
    <w:rsid w:val="00302955"/>
    <w:rsid w:val="00302C4D"/>
    <w:rsid w:val="003036FD"/>
    <w:rsid w:val="00303C59"/>
    <w:rsid w:val="00303D65"/>
    <w:rsid w:val="00304CC5"/>
    <w:rsid w:val="003073BF"/>
    <w:rsid w:val="003074F4"/>
    <w:rsid w:val="0030786F"/>
    <w:rsid w:val="00310376"/>
    <w:rsid w:val="0031116B"/>
    <w:rsid w:val="00312165"/>
    <w:rsid w:val="00312D44"/>
    <w:rsid w:val="00312DC9"/>
    <w:rsid w:val="00312FCD"/>
    <w:rsid w:val="00313831"/>
    <w:rsid w:val="00313D22"/>
    <w:rsid w:val="003148A4"/>
    <w:rsid w:val="00314FD2"/>
    <w:rsid w:val="00315041"/>
    <w:rsid w:val="00315053"/>
    <w:rsid w:val="003159B1"/>
    <w:rsid w:val="00315E35"/>
    <w:rsid w:val="00316339"/>
    <w:rsid w:val="0031720C"/>
    <w:rsid w:val="003214B7"/>
    <w:rsid w:val="00322215"/>
    <w:rsid w:val="0032332A"/>
    <w:rsid w:val="00324461"/>
    <w:rsid w:val="00327ACA"/>
    <w:rsid w:val="00327F40"/>
    <w:rsid w:val="00331721"/>
    <w:rsid w:val="0033339D"/>
    <w:rsid w:val="00334479"/>
    <w:rsid w:val="003345BE"/>
    <w:rsid w:val="003346AE"/>
    <w:rsid w:val="00335092"/>
    <w:rsid w:val="00335E96"/>
    <w:rsid w:val="003361E3"/>
    <w:rsid w:val="00337FBC"/>
    <w:rsid w:val="00340418"/>
    <w:rsid w:val="00340E0C"/>
    <w:rsid w:val="003411B4"/>
    <w:rsid w:val="00342220"/>
    <w:rsid w:val="00342D77"/>
    <w:rsid w:val="003431C2"/>
    <w:rsid w:val="00343815"/>
    <w:rsid w:val="00343C82"/>
    <w:rsid w:val="003453F1"/>
    <w:rsid w:val="00345964"/>
    <w:rsid w:val="00346EE7"/>
    <w:rsid w:val="00352D19"/>
    <w:rsid w:val="00355752"/>
    <w:rsid w:val="00355BC5"/>
    <w:rsid w:val="003563F4"/>
    <w:rsid w:val="003569B8"/>
    <w:rsid w:val="00357508"/>
    <w:rsid w:val="003605F2"/>
    <w:rsid w:val="00360A72"/>
    <w:rsid w:val="003619CE"/>
    <w:rsid w:val="0036202A"/>
    <w:rsid w:val="0036223C"/>
    <w:rsid w:val="00363343"/>
    <w:rsid w:val="003634BD"/>
    <w:rsid w:val="003639B8"/>
    <w:rsid w:val="00364836"/>
    <w:rsid w:val="003648B6"/>
    <w:rsid w:val="00364F87"/>
    <w:rsid w:val="00366A1A"/>
    <w:rsid w:val="003678BE"/>
    <w:rsid w:val="00370043"/>
    <w:rsid w:val="0037007E"/>
    <w:rsid w:val="00370D3F"/>
    <w:rsid w:val="00370D87"/>
    <w:rsid w:val="00370E83"/>
    <w:rsid w:val="00372DB9"/>
    <w:rsid w:val="00373C35"/>
    <w:rsid w:val="00374082"/>
    <w:rsid w:val="00374F02"/>
    <w:rsid w:val="00374FD9"/>
    <w:rsid w:val="00376B09"/>
    <w:rsid w:val="003777DC"/>
    <w:rsid w:val="003779B8"/>
    <w:rsid w:val="00377C39"/>
    <w:rsid w:val="003802B9"/>
    <w:rsid w:val="003806D3"/>
    <w:rsid w:val="00381439"/>
    <w:rsid w:val="00381E97"/>
    <w:rsid w:val="00381ED9"/>
    <w:rsid w:val="003836BB"/>
    <w:rsid w:val="00383ABF"/>
    <w:rsid w:val="0038422E"/>
    <w:rsid w:val="00384555"/>
    <w:rsid w:val="0038459A"/>
    <w:rsid w:val="00384DF8"/>
    <w:rsid w:val="003852D9"/>
    <w:rsid w:val="00386529"/>
    <w:rsid w:val="00387033"/>
    <w:rsid w:val="00387F60"/>
    <w:rsid w:val="0039114F"/>
    <w:rsid w:val="003914CA"/>
    <w:rsid w:val="003927F9"/>
    <w:rsid w:val="00392FA6"/>
    <w:rsid w:val="00395DF9"/>
    <w:rsid w:val="00395E25"/>
    <w:rsid w:val="00395F88"/>
    <w:rsid w:val="003966C7"/>
    <w:rsid w:val="00396BE1"/>
    <w:rsid w:val="00396C65"/>
    <w:rsid w:val="003976CE"/>
    <w:rsid w:val="003A0A88"/>
    <w:rsid w:val="003A238A"/>
    <w:rsid w:val="003A2B31"/>
    <w:rsid w:val="003A2C24"/>
    <w:rsid w:val="003A2CB3"/>
    <w:rsid w:val="003A435E"/>
    <w:rsid w:val="003A4A3F"/>
    <w:rsid w:val="003A64A9"/>
    <w:rsid w:val="003A728C"/>
    <w:rsid w:val="003A7C6B"/>
    <w:rsid w:val="003A7DBE"/>
    <w:rsid w:val="003A7FC2"/>
    <w:rsid w:val="003B10C4"/>
    <w:rsid w:val="003B1E93"/>
    <w:rsid w:val="003B26FD"/>
    <w:rsid w:val="003B3E34"/>
    <w:rsid w:val="003B58C2"/>
    <w:rsid w:val="003B5C8A"/>
    <w:rsid w:val="003C109F"/>
    <w:rsid w:val="003C138E"/>
    <w:rsid w:val="003C15CB"/>
    <w:rsid w:val="003C1A82"/>
    <w:rsid w:val="003C1F05"/>
    <w:rsid w:val="003C22E8"/>
    <w:rsid w:val="003C23B0"/>
    <w:rsid w:val="003C44FA"/>
    <w:rsid w:val="003C680B"/>
    <w:rsid w:val="003D0D6B"/>
    <w:rsid w:val="003D1B33"/>
    <w:rsid w:val="003D2BB6"/>
    <w:rsid w:val="003D4367"/>
    <w:rsid w:val="003D4583"/>
    <w:rsid w:val="003D52A8"/>
    <w:rsid w:val="003D5CA9"/>
    <w:rsid w:val="003D7D66"/>
    <w:rsid w:val="003D7D9C"/>
    <w:rsid w:val="003E1D1E"/>
    <w:rsid w:val="003E1E8E"/>
    <w:rsid w:val="003E212B"/>
    <w:rsid w:val="003E2427"/>
    <w:rsid w:val="003E27D3"/>
    <w:rsid w:val="003E2CA0"/>
    <w:rsid w:val="003E3731"/>
    <w:rsid w:val="003E5461"/>
    <w:rsid w:val="003E5F37"/>
    <w:rsid w:val="003E645B"/>
    <w:rsid w:val="003E678D"/>
    <w:rsid w:val="003E6BD1"/>
    <w:rsid w:val="003E6E0F"/>
    <w:rsid w:val="003E73E2"/>
    <w:rsid w:val="003F0AEF"/>
    <w:rsid w:val="003F12F5"/>
    <w:rsid w:val="003F157C"/>
    <w:rsid w:val="003F2594"/>
    <w:rsid w:val="003F25DC"/>
    <w:rsid w:val="003F2D13"/>
    <w:rsid w:val="003F2EB2"/>
    <w:rsid w:val="003F2FB9"/>
    <w:rsid w:val="003F3D6B"/>
    <w:rsid w:val="003F6C5B"/>
    <w:rsid w:val="003F79C5"/>
    <w:rsid w:val="00400C54"/>
    <w:rsid w:val="00401E38"/>
    <w:rsid w:val="00403024"/>
    <w:rsid w:val="004055D2"/>
    <w:rsid w:val="00406C01"/>
    <w:rsid w:val="0040787F"/>
    <w:rsid w:val="0041070C"/>
    <w:rsid w:val="00410F8B"/>
    <w:rsid w:val="00410FFE"/>
    <w:rsid w:val="0041188A"/>
    <w:rsid w:val="00412367"/>
    <w:rsid w:val="00412F00"/>
    <w:rsid w:val="00413C17"/>
    <w:rsid w:val="00413F74"/>
    <w:rsid w:val="00414C23"/>
    <w:rsid w:val="00414E3D"/>
    <w:rsid w:val="00415189"/>
    <w:rsid w:val="0041524D"/>
    <w:rsid w:val="00415957"/>
    <w:rsid w:val="004171E9"/>
    <w:rsid w:val="00417B41"/>
    <w:rsid w:val="00420F3A"/>
    <w:rsid w:val="004211B3"/>
    <w:rsid w:val="0042278D"/>
    <w:rsid w:val="00422CE2"/>
    <w:rsid w:val="00423916"/>
    <w:rsid w:val="0042564D"/>
    <w:rsid w:val="00425CB8"/>
    <w:rsid w:val="0042622A"/>
    <w:rsid w:val="00426536"/>
    <w:rsid w:val="00426964"/>
    <w:rsid w:val="00427636"/>
    <w:rsid w:val="00427F4F"/>
    <w:rsid w:val="004333BD"/>
    <w:rsid w:val="00433505"/>
    <w:rsid w:val="00433760"/>
    <w:rsid w:val="004337CE"/>
    <w:rsid w:val="004339E5"/>
    <w:rsid w:val="004341F7"/>
    <w:rsid w:val="0043512C"/>
    <w:rsid w:val="004364F1"/>
    <w:rsid w:val="004368B3"/>
    <w:rsid w:val="00437AC5"/>
    <w:rsid w:val="00440552"/>
    <w:rsid w:val="004410E9"/>
    <w:rsid w:val="00441703"/>
    <w:rsid w:val="00441FBA"/>
    <w:rsid w:val="00442496"/>
    <w:rsid w:val="00442E01"/>
    <w:rsid w:val="00445448"/>
    <w:rsid w:val="00446870"/>
    <w:rsid w:val="00450C96"/>
    <w:rsid w:val="00451850"/>
    <w:rsid w:val="004538A5"/>
    <w:rsid w:val="00453AB9"/>
    <w:rsid w:val="00453D5F"/>
    <w:rsid w:val="00454807"/>
    <w:rsid w:val="00455801"/>
    <w:rsid w:val="00456692"/>
    <w:rsid w:val="00460492"/>
    <w:rsid w:val="00461101"/>
    <w:rsid w:val="004642CA"/>
    <w:rsid w:val="004644D4"/>
    <w:rsid w:val="00464DC3"/>
    <w:rsid w:val="00464F83"/>
    <w:rsid w:val="004659EB"/>
    <w:rsid w:val="00467417"/>
    <w:rsid w:val="00472DBD"/>
    <w:rsid w:val="00472E0F"/>
    <w:rsid w:val="00473AB1"/>
    <w:rsid w:val="00473C0E"/>
    <w:rsid w:val="00474C47"/>
    <w:rsid w:val="00475898"/>
    <w:rsid w:val="00481546"/>
    <w:rsid w:val="00482425"/>
    <w:rsid w:val="00482D44"/>
    <w:rsid w:val="00483016"/>
    <w:rsid w:val="00484475"/>
    <w:rsid w:val="00484E4A"/>
    <w:rsid w:val="00485283"/>
    <w:rsid w:val="004874D1"/>
    <w:rsid w:val="0049071F"/>
    <w:rsid w:val="00490F5A"/>
    <w:rsid w:val="004916A6"/>
    <w:rsid w:val="00491DA3"/>
    <w:rsid w:val="004927FA"/>
    <w:rsid w:val="004929D6"/>
    <w:rsid w:val="00492C5A"/>
    <w:rsid w:val="004931C2"/>
    <w:rsid w:val="00493921"/>
    <w:rsid w:val="00494293"/>
    <w:rsid w:val="00494355"/>
    <w:rsid w:val="0049461F"/>
    <w:rsid w:val="00495121"/>
    <w:rsid w:val="004960B7"/>
    <w:rsid w:val="004966B6"/>
    <w:rsid w:val="004A2126"/>
    <w:rsid w:val="004A2244"/>
    <w:rsid w:val="004A2FF5"/>
    <w:rsid w:val="004A35EE"/>
    <w:rsid w:val="004A3856"/>
    <w:rsid w:val="004A4F4C"/>
    <w:rsid w:val="004A509D"/>
    <w:rsid w:val="004A51E1"/>
    <w:rsid w:val="004A5AF5"/>
    <w:rsid w:val="004A5D2C"/>
    <w:rsid w:val="004A67FF"/>
    <w:rsid w:val="004A6E77"/>
    <w:rsid w:val="004A7C61"/>
    <w:rsid w:val="004B13D7"/>
    <w:rsid w:val="004B2088"/>
    <w:rsid w:val="004B3D1A"/>
    <w:rsid w:val="004B43C8"/>
    <w:rsid w:val="004B56DC"/>
    <w:rsid w:val="004B5AAF"/>
    <w:rsid w:val="004B61A6"/>
    <w:rsid w:val="004B6665"/>
    <w:rsid w:val="004B73C7"/>
    <w:rsid w:val="004B7EEC"/>
    <w:rsid w:val="004C1B89"/>
    <w:rsid w:val="004C2BE9"/>
    <w:rsid w:val="004C427B"/>
    <w:rsid w:val="004C4840"/>
    <w:rsid w:val="004C6878"/>
    <w:rsid w:val="004C6A78"/>
    <w:rsid w:val="004D0179"/>
    <w:rsid w:val="004D0EF2"/>
    <w:rsid w:val="004D0FD2"/>
    <w:rsid w:val="004D1E55"/>
    <w:rsid w:val="004D1F40"/>
    <w:rsid w:val="004D31BB"/>
    <w:rsid w:val="004D3210"/>
    <w:rsid w:val="004D3217"/>
    <w:rsid w:val="004D3248"/>
    <w:rsid w:val="004D362D"/>
    <w:rsid w:val="004D39DF"/>
    <w:rsid w:val="004D4CFE"/>
    <w:rsid w:val="004D5876"/>
    <w:rsid w:val="004D5D9D"/>
    <w:rsid w:val="004D5EEF"/>
    <w:rsid w:val="004D67B3"/>
    <w:rsid w:val="004D72EC"/>
    <w:rsid w:val="004E0C8E"/>
    <w:rsid w:val="004E0D99"/>
    <w:rsid w:val="004E18BC"/>
    <w:rsid w:val="004E3671"/>
    <w:rsid w:val="004E3FC4"/>
    <w:rsid w:val="004E4266"/>
    <w:rsid w:val="004E47E0"/>
    <w:rsid w:val="004E66A2"/>
    <w:rsid w:val="004E75A9"/>
    <w:rsid w:val="004F0BA4"/>
    <w:rsid w:val="004F165A"/>
    <w:rsid w:val="004F1A98"/>
    <w:rsid w:val="004F24C7"/>
    <w:rsid w:val="004F2637"/>
    <w:rsid w:val="004F370C"/>
    <w:rsid w:val="004F40DF"/>
    <w:rsid w:val="004F57C5"/>
    <w:rsid w:val="004F5EE7"/>
    <w:rsid w:val="004F607A"/>
    <w:rsid w:val="004F64AE"/>
    <w:rsid w:val="004F6701"/>
    <w:rsid w:val="00500A26"/>
    <w:rsid w:val="00500B26"/>
    <w:rsid w:val="00501195"/>
    <w:rsid w:val="00501367"/>
    <w:rsid w:val="00502379"/>
    <w:rsid w:val="00504086"/>
    <w:rsid w:val="00505FA4"/>
    <w:rsid w:val="00507B42"/>
    <w:rsid w:val="00510C6A"/>
    <w:rsid w:val="00510F4C"/>
    <w:rsid w:val="0051108B"/>
    <w:rsid w:val="00511A26"/>
    <w:rsid w:val="005131E8"/>
    <w:rsid w:val="00514953"/>
    <w:rsid w:val="00515023"/>
    <w:rsid w:val="00515B04"/>
    <w:rsid w:val="00517392"/>
    <w:rsid w:val="00517EAD"/>
    <w:rsid w:val="00517F6D"/>
    <w:rsid w:val="00517FF6"/>
    <w:rsid w:val="0052151E"/>
    <w:rsid w:val="00521F1C"/>
    <w:rsid w:val="00524BE9"/>
    <w:rsid w:val="00525023"/>
    <w:rsid w:val="00525338"/>
    <w:rsid w:val="0052699B"/>
    <w:rsid w:val="005272DA"/>
    <w:rsid w:val="0052745D"/>
    <w:rsid w:val="00530800"/>
    <w:rsid w:val="005310CF"/>
    <w:rsid w:val="005310D8"/>
    <w:rsid w:val="00531D8A"/>
    <w:rsid w:val="00532B9A"/>
    <w:rsid w:val="00533E41"/>
    <w:rsid w:val="005342AD"/>
    <w:rsid w:val="00537229"/>
    <w:rsid w:val="00537DC6"/>
    <w:rsid w:val="00540B79"/>
    <w:rsid w:val="00540C21"/>
    <w:rsid w:val="00541562"/>
    <w:rsid w:val="00541F2F"/>
    <w:rsid w:val="00542D58"/>
    <w:rsid w:val="00543788"/>
    <w:rsid w:val="00543DDF"/>
    <w:rsid w:val="00544E80"/>
    <w:rsid w:val="0054569D"/>
    <w:rsid w:val="00546434"/>
    <w:rsid w:val="00546FE3"/>
    <w:rsid w:val="00547036"/>
    <w:rsid w:val="005473FE"/>
    <w:rsid w:val="00547DA6"/>
    <w:rsid w:val="00551357"/>
    <w:rsid w:val="00551770"/>
    <w:rsid w:val="00551801"/>
    <w:rsid w:val="00552190"/>
    <w:rsid w:val="0055223F"/>
    <w:rsid w:val="00552AA8"/>
    <w:rsid w:val="005535A8"/>
    <w:rsid w:val="00553C61"/>
    <w:rsid w:val="00553D1A"/>
    <w:rsid w:val="00553ECC"/>
    <w:rsid w:val="005541A5"/>
    <w:rsid w:val="005545C7"/>
    <w:rsid w:val="00555037"/>
    <w:rsid w:val="00555507"/>
    <w:rsid w:val="00556401"/>
    <w:rsid w:val="005573B8"/>
    <w:rsid w:val="0056056A"/>
    <w:rsid w:val="00561257"/>
    <w:rsid w:val="00562CEC"/>
    <w:rsid w:val="00563A9C"/>
    <w:rsid w:val="00563F9F"/>
    <w:rsid w:val="005649A9"/>
    <w:rsid w:val="00564E8F"/>
    <w:rsid w:val="00565536"/>
    <w:rsid w:val="005659B6"/>
    <w:rsid w:val="00565D1C"/>
    <w:rsid w:val="005660BA"/>
    <w:rsid w:val="00566CE5"/>
    <w:rsid w:val="005672FE"/>
    <w:rsid w:val="0057018C"/>
    <w:rsid w:val="00570615"/>
    <w:rsid w:val="00571F04"/>
    <w:rsid w:val="00573E77"/>
    <w:rsid w:val="00574BC7"/>
    <w:rsid w:val="0058066E"/>
    <w:rsid w:val="00580676"/>
    <w:rsid w:val="00580FE1"/>
    <w:rsid w:val="00581806"/>
    <w:rsid w:val="00582D0B"/>
    <w:rsid w:val="00583263"/>
    <w:rsid w:val="00583416"/>
    <w:rsid w:val="005847B0"/>
    <w:rsid w:val="00584ABA"/>
    <w:rsid w:val="00584E22"/>
    <w:rsid w:val="00586232"/>
    <w:rsid w:val="00587E8D"/>
    <w:rsid w:val="00590B28"/>
    <w:rsid w:val="00590DB5"/>
    <w:rsid w:val="0059105A"/>
    <w:rsid w:val="00593A1A"/>
    <w:rsid w:val="00593A49"/>
    <w:rsid w:val="00593CD4"/>
    <w:rsid w:val="005944EE"/>
    <w:rsid w:val="00594BCF"/>
    <w:rsid w:val="00595320"/>
    <w:rsid w:val="0059630A"/>
    <w:rsid w:val="00596EFC"/>
    <w:rsid w:val="00597AE7"/>
    <w:rsid w:val="00597D4B"/>
    <w:rsid w:val="005A0186"/>
    <w:rsid w:val="005A0260"/>
    <w:rsid w:val="005A1291"/>
    <w:rsid w:val="005A2304"/>
    <w:rsid w:val="005A2F39"/>
    <w:rsid w:val="005A317C"/>
    <w:rsid w:val="005A335A"/>
    <w:rsid w:val="005A3504"/>
    <w:rsid w:val="005A3BD8"/>
    <w:rsid w:val="005A3E1C"/>
    <w:rsid w:val="005A46CA"/>
    <w:rsid w:val="005A5507"/>
    <w:rsid w:val="005A5583"/>
    <w:rsid w:val="005A63AC"/>
    <w:rsid w:val="005A655B"/>
    <w:rsid w:val="005A65EB"/>
    <w:rsid w:val="005B0FDF"/>
    <w:rsid w:val="005B1AE2"/>
    <w:rsid w:val="005B28C3"/>
    <w:rsid w:val="005B35B4"/>
    <w:rsid w:val="005B56B6"/>
    <w:rsid w:val="005B5FBF"/>
    <w:rsid w:val="005C0578"/>
    <w:rsid w:val="005C18E6"/>
    <w:rsid w:val="005C2424"/>
    <w:rsid w:val="005C242A"/>
    <w:rsid w:val="005C2F07"/>
    <w:rsid w:val="005C428F"/>
    <w:rsid w:val="005C42F4"/>
    <w:rsid w:val="005C4D82"/>
    <w:rsid w:val="005C5340"/>
    <w:rsid w:val="005C5391"/>
    <w:rsid w:val="005C543A"/>
    <w:rsid w:val="005C5F9B"/>
    <w:rsid w:val="005C6A0B"/>
    <w:rsid w:val="005C6F72"/>
    <w:rsid w:val="005D0112"/>
    <w:rsid w:val="005D09AE"/>
    <w:rsid w:val="005D0F48"/>
    <w:rsid w:val="005D15DA"/>
    <w:rsid w:val="005D1A91"/>
    <w:rsid w:val="005D1AA4"/>
    <w:rsid w:val="005D1AE8"/>
    <w:rsid w:val="005D1CED"/>
    <w:rsid w:val="005D579D"/>
    <w:rsid w:val="005D5C81"/>
    <w:rsid w:val="005D63DD"/>
    <w:rsid w:val="005D6408"/>
    <w:rsid w:val="005D6BB4"/>
    <w:rsid w:val="005D6CF3"/>
    <w:rsid w:val="005E0C46"/>
    <w:rsid w:val="005E1214"/>
    <w:rsid w:val="005E2397"/>
    <w:rsid w:val="005E2CC6"/>
    <w:rsid w:val="005E3906"/>
    <w:rsid w:val="005E3D61"/>
    <w:rsid w:val="005E4745"/>
    <w:rsid w:val="005E7AFC"/>
    <w:rsid w:val="005F00C1"/>
    <w:rsid w:val="005F27F0"/>
    <w:rsid w:val="005F3867"/>
    <w:rsid w:val="005F4BE0"/>
    <w:rsid w:val="005F5F71"/>
    <w:rsid w:val="005F63D0"/>
    <w:rsid w:val="005F6C22"/>
    <w:rsid w:val="005F6C32"/>
    <w:rsid w:val="005F7C9A"/>
    <w:rsid w:val="006001A4"/>
    <w:rsid w:val="00600E96"/>
    <w:rsid w:val="00600F2D"/>
    <w:rsid w:val="00601DB3"/>
    <w:rsid w:val="00602549"/>
    <w:rsid w:val="006027CA"/>
    <w:rsid w:val="00602F2C"/>
    <w:rsid w:val="006038CB"/>
    <w:rsid w:val="00604092"/>
    <w:rsid w:val="00605749"/>
    <w:rsid w:val="00606F70"/>
    <w:rsid w:val="00607204"/>
    <w:rsid w:val="006100F7"/>
    <w:rsid w:val="006105B6"/>
    <w:rsid w:val="00610B93"/>
    <w:rsid w:val="00610C19"/>
    <w:rsid w:val="006125AA"/>
    <w:rsid w:val="0061299B"/>
    <w:rsid w:val="006130DB"/>
    <w:rsid w:val="0061392A"/>
    <w:rsid w:val="0061654E"/>
    <w:rsid w:val="0062586C"/>
    <w:rsid w:val="00626815"/>
    <w:rsid w:val="00626F68"/>
    <w:rsid w:val="00627990"/>
    <w:rsid w:val="00627C66"/>
    <w:rsid w:val="006309D3"/>
    <w:rsid w:val="0063190B"/>
    <w:rsid w:val="0063271D"/>
    <w:rsid w:val="00632AB3"/>
    <w:rsid w:val="00632BD2"/>
    <w:rsid w:val="006334E3"/>
    <w:rsid w:val="00633F8E"/>
    <w:rsid w:val="00634D68"/>
    <w:rsid w:val="00636535"/>
    <w:rsid w:val="00640052"/>
    <w:rsid w:val="00640068"/>
    <w:rsid w:val="00640994"/>
    <w:rsid w:val="00641B46"/>
    <w:rsid w:val="00643A28"/>
    <w:rsid w:val="00643F43"/>
    <w:rsid w:val="00644781"/>
    <w:rsid w:val="006455B4"/>
    <w:rsid w:val="00645DDE"/>
    <w:rsid w:val="00647394"/>
    <w:rsid w:val="00647775"/>
    <w:rsid w:val="00647B4C"/>
    <w:rsid w:val="00647BA9"/>
    <w:rsid w:val="00647DC0"/>
    <w:rsid w:val="006510C4"/>
    <w:rsid w:val="006513B5"/>
    <w:rsid w:val="00651463"/>
    <w:rsid w:val="0065146D"/>
    <w:rsid w:val="00651595"/>
    <w:rsid w:val="00651EE5"/>
    <w:rsid w:val="006521E3"/>
    <w:rsid w:val="00652C88"/>
    <w:rsid w:val="006537DD"/>
    <w:rsid w:val="00653C4A"/>
    <w:rsid w:val="00654D85"/>
    <w:rsid w:val="00654E9F"/>
    <w:rsid w:val="0065669D"/>
    <w:rsid w:val="0065682E"/>
    <w:rsid w:val="00656D8A"/>
    <w:rsid w:val="00657359"/>
    <w:rsid w:val="00657D80"/>
    <w:rsid w:val="006602B1"/>
    <w:rsid w:val="0066117E"/>
    <w:rsid w:val="006613F6"/>
    <w:rsid w:val="006620BB"/>
    <w:rsid w:val="00662470"/>
    <w:rsid w:val="0066647C"/>
    <w:rsid w:val="00666806"/>
    <w:rsid w:val="006673A9"/>
    <w:rsid w:val="006678BA"/>
    <w:rsid w:val="00670113"/>
    <w:rsid w:val="006712B4"/>
    <w:rsid w:val="0067314B"/>
    <w:rsid w:val="006743E0"/>
    <w:rsid w:val="00674C12"/>
    <w:rsid w:val="00675BB7"/>
    <w:rsid w:val="0067684D"/>
    <w:rsid w:val="0067710C"/>
    <w:rsid w:val="00677F71"/>
    <w:rsid w:val="006800EB"/>
    <w:rsid w:val="00680569"/>
    <w:rsid w:val="00680A8F"/>
    <w:rsid w:val="00680FAC"/>
    <w:rsid w:val="006819FC"/>
    <w:rsid w:val="0068217A"/>
    <w:rsid w:val="0068246A"/>
    <w:rsid w:val="0068341E"/>
    <w:rsid w:val="006848E9"/>
    <w:rsid w:val="00684B8C"/>
    <w:rsid w:val="00685211"/>
    <w:rsid w:val="00685E3E"/>
    <w:rsid w:val="006864DE"/>
    <w:rsid w:val="00690A97"/>
    <w:rsid w:val="00691F1C"/>
    <w:rsid w:val="00692386"/>
    <w:rsid w:val="00692FA7"/>
    <w:rsid w:val="00693947"/>
    <w:rsid w:val="00693CCD"/>
    <w:rsid w:val="00693EEF"/>
    <w:rsid w:val="00694B73"/>
    <w:rsid w:val="0069514E"/>
    <w:rsid w:val="006951C3"/>
    <w:rsid w:val="00695AA7"/>
    <w:rsid w:val="00695BE0"/>
    <w:rsid w:val="00695F1C"/>
    <w:rsid w:val="006966C0"/>
    <w:rsid w:val="00697406"/>
    <w:rsid w:val="006A0671"/>
    <w:rsid w:val="006A1366"/>
    <w:rsid w:val="006A1808"/>
    <w:rsid w:val="006A1D2D"/>
    <w:rsid w:val="006A1DD0"/>
    <w:rsid w:val="006A4DD8"/>
    <w:rsid w:val="006A4FD8"/>
    <w:rsid w:val="006A564D"/>
    <w:rsid w:val="006A5B07"/>
    <w:rsid w:val="006A5DBD"/>
    <w:rsid w:val="006A5DC0"/>
    <w:rsid w:val="006A5E01"/>
    <w:rsid w:val="006A6E3A"/>
    <w:rsid w:val="006A72D8"/>
    <w:rsid w:val="006A797B"/>
    <w:rsid w:val="006B02D6"/>
    <w:rsid w:val="006B113C"/>
    <w:rsid w:val="006B269D"/>
    <w:rsid w:val="006B2D05"/>
    <w:rsid w:val="006B3261"/>
    <w:rsid w:val="006B3600"/>
    <w:rsid w:val="006B3D9C"/>
    <w:rsid w:val="006B45E9"/>
    <w:rsid w:val="006B4AD5"/>
    <w:rsid w:val="006B682C"/>
    <w:rsid w:val="006B738C"/>
    <w:rsid w:val="006C080F"/>
    <w:rsid w:val="006C1812"/>
    <w:rsid w:val="006C25D1"/>
    <w:rsid w:val="006C270A"/>
    <w:rsid w:val="006C2A9A"/>
    <w:rsid w:val="006C3528"/>
    <w:rsid w:val="006C3826"/>
    <w:rsid w:val="006C4AA8"/>
    <w:rsid w:val="006C5400"/>
    <w:rsid w:val="006C6789"/>
    <w:rsid w:val="006C7061"/>
    <w:rsid w:val="006C756F"/>
    <w:rsid w:val="006D090C"/>
    <w:rsid w:val="006D1930"/>
    <w:rsid w:val="006D259A"/>
    <w:rsid w:val="006D2D47"/>
    <w:rsid w:val="006D2E3E"/>
    <w:rsid w:val="006D4107"/>
    <w:rsid w:val="006D4609"/>
    <w:rsid w:val="006D5E8F"/>
    <w:rsid w:val="006D6744"/>
    <w:rsid w:val="006D7986"/>
    <w:rsid w:val="006D7BB5"/>
    <w:rsid w:val="006D7F47"/>
    <w:rsid w:val="006D7FF5"/>
    <w:rsid w:val="006E0E47"/>
    <w:rsid w:val="006E31E2"/>
    <w:rsid w:val="006E4BC0"/>
    <w:rsid w:val="006E5806"/>
    <w:rsid w:val="006E6354"/>
    <w:rsid w:val="006E64AE"/>
    <w:rsid w:val="006E6976"/>
    <w:rsid w:val="006E6D9F"/>
    <w:rsid w:val="006E7432"/>
    <w:rsid w:val="006E7629"/>
    <w:rsid w:val="006E767E"/>
    <w:rsid w:val="006E7C7F"/>
    <w:rsid w:val="006E7DE3"/>
    <w:rsid w:val="006E7FE1"/>
    <w:rsid w:val="006F11E3"/>
    <w:rsid w:val="006F1735"/>
    <w:rsid w:val="006F1A31"/>
    <w:rsid w:val="006F1DB5"/>
    <w:rsid w:val="006F2D48"/>
    <w:rsid w:val="006F310E"/>
    <w:rsid w:val="006F36E2"/>
    <w:rsid w:val="006F4E58"/>
    <w:rsid w:val="006F5175"/>
    <w:rsid w:val="006F67A3"/>
    <w:rsid w:val="006F696E"/>
    <w:rsid w:val="006F6B67"/>
    <w:rsid w:val="006F7EA9"/>
    <w:rsid w:val="00700F04"/>
    <w:rsid w:val="007014D7"/>
    <w:rsid w:val="00701C06"/>
    <w:rsid w:val="00702B71"/>
    <w:rsid w:val="00702EB5"/>
    <w:rsid w:val="00703084"/>
    <w:rsid w:val="00704BA0"/>
    <w:rsid w:val="007055A2"/>
    <w:rsid w:val="00705858"/>
    <w:rsid w:val="00705EC7"/>
    <w:rsid w:val="00706457"/>
    <w:rsid w:val="00706554"/>
    <w:rsid w:val="00707609"/>
    <w:rsid w:val="00710B6E"/>
    <w:rsid w:val="007114DB"/>
    <w:rsid w:val="00711E6A"/>
    <w:rsid w:val="00711EFD"/>
    <w:rsid w:val="007141FB"/>
    <w:rsid w:val="00714C5A"/>
    <w:rsid w:val="007163B4"/>
    <w:rsid w:val="0071675A"/>
    <w:rsid w:val="007169BD"/>
    <w:rsid w:val="00716AB7"/>
    <w:rsid w:val="00716DAA"/>
    <w:rsid w:val="007177B0"/>
    <w:rsid w:val="007212CC"/>
    <w:rsid w:val="00721E76"/>
    <w:rsid w:val="00721F96"/>
    <w:rsid w:val="00722C0C"/>
    <w:rsid w:val="00722F25"/>
    <w:rsid w:val="00723528"/>
    <w:rsid w:val="00724A29"/>
    <w:rsid w:val="0073050E"/>
    <w:rsid w:val="00730B28"/>
    <w:rsid w:val="007316BE"/>
    <w:rsid w:val="007335EB"/>
    <w:rsid w:val="00734CC7"/>
    <w:rsid w:val="00735120"/>
    <w:rsid w:val="00735840"/>
    <w:rsid w:val="007359E9"/>
    <w:rsid w:val="007365E9"/>
    <w:rsid w:val="00736605"/>
    <w:rsid w:val="00737738"/>
    <w:rsid w:val="007377C6"/>
    <w:rsid w:val="00740DDE"/>
    <w:rsid w:val="007428AC"/>
    <w:rsid w:val="00743A4C"/>
    <w:rsid w:val="00744211"/>
    <w:rsid w:val="00744607"/>
    <w:rsid w:val="007459EE"/>
    <w:rsid w:val="00746CBC"/>
    <w:rsid w:val="0074764D"/>
    <w:rsid w:val="00747791"/>
    <w:rsid w:val="007507C4"/>
    <w:rsid w:val="0075343E"/>
    <w:rsid w:val="00753639"/>
    <w:rsid w:val="00754F76"/>
    <w:rsid w:val="0075504E"/>
    <w:rsid w:val="0075517D"/>
    <w:rsid w:val="00756A2A"/>
    <w:rsid w:val="00757270"/>
    <w:rsid w:val="00757A6A"/>
    <w:rsid w:val="00760437"/>
    <w:rsid w:val="00760ADF"/>
    <w:rsid w:val="00760B6B"/>
    <w:rsid w:val="00761AC8"/>
    <w:rsid w:val="007639C2"/>
    <w:rsid w:val="00764784"/>
    <w:rsid w:val="00766C67"/>
    <w:rsid w:val="00766C80"/>
    <w:rsid w:val="007700C5"/>
    <w:rsid w:val="00770DC0"/>
    <w:rsid w:val="00772DA5"/>
    <w:rsid w:val="0077545B"/>
    <w:rsid w:val="00775E38"/>
    <w:rsid w:val="007760F9"/>
    <w:rsid w:val="007762CC"/>
    <w:rsid w:val="007768B8"/>
    <w:rsid w:val="00777808"/>
    <w:rsid w:val="0078220C"/>
    <w:rsid w:val="00782448"/>
    <w:rsid w:val="007827D5"/>
    <w:rsid w:val="00782855"/>
    <w:rsid w:val="00782E1F"/>
    <w:rsid w:val="00784648"/>
    <w:rsid w:val="00784F22"/>
    <w:rsid w:val="00785556"/>
    <w:rsid w:val="00785A60"/>
    <w:rsid w:val="00785ED8"/>
    <w:rsid w:val="00786F8A"/>
    <w:rsid w:val="007872A6"/>
    <w:rsid w:val="00787487"/>
    <w:rsid w:val="00790052"/>
    <w:rsid w:val="00790108"/>
    <w:rsid w:val="0079130E"/>
    <w:rsid w:val="00791367"/>
    <w:rsid w:val="007947C4"/>
    <w:rsid w:val="00794A98"/>
    <w:rsid w:val="00794F7D"/>
    <w:rsid w:val="00795175"/>
    <w:rsid w:val="0079520A"/>
    <w:rsid w:val="00795B66"/>
    <w:rsid w:val="00795C2F"/>
    <w:rsid w:val="00795C6B"/>
    <w:rsid w:val="00797FC1"/>
    <w:rsid w:val="007A015F"/>
    <w:rsid w:val="007A1277"/>
    <w:rsid w:val="007A1F09"/>
    <w:rsid w:val="007A2ABE"/>
    <w:rsid w:val="007A2C9E"/>
    <w:rsid w:val="007A3089"/>
    <w:rsid w:val="007A322F"/>
    <w:rsid w:val="007A3BEB"/>
    <w:rsid w:val="007A40FF"/>
    <w:rsid w:val="007A4641"/>
    <w:rsid w:val="007A5ACD"/>
    <w:rsid w:val="007A5B21"/>
    <w:rsid w:val="007A5EBB"/>
    <w:rsid w:val="007A5F31"/>
    <w:rsid w:val="007A5FD3"/>
    <w:rsid w:val="007A603B"/>
    <w:rsid w:val="007A6CE5"/>
    <w:rsid w:val="007A714D"/>
    <w:rsid w:val="007A7556"/>
    <w:rsid w:val="007B055B"/>
    <w:rsid w:val="007B13CD"/>
    <w:rsid w:val="007B263D"/>
    <w:rsid w:val="007B4703"/>
    <w:rsid w:val="007B548B"/>
    <w:rsid w:val="007B629A"/>
    <w:rsid w:val="007B6888"/>
    <w:rsid w:val="007B68B5"/>
    <w:rsid w:val="007B7897"/>
    <w:rsid w:val="007B7903"/>
    <w:rsid w:val="007C0A4E"/>
    <w:rsid w:val="007C1296"/>
    <w:rsid w:val="007C1536"/>
    <w:rsid w:val="007C158D"/>
    <w:rsid w:val="007C2412"/>
    <w:rsid w:val="007C268C"/>
    <w:rsid w:val="007C42A6"/>
    <w:rsid w:val="007C58C1"/>
    <w:rsid w:val="007C5CFB"/>
    <w:rsid w:val="007C646A"/>
    <w:rsid w:val="007C70BF"/>
    <w:rsid w:val="007C77B6"/>
    <w:rsid w:val="007C7C36"/>
    <w:rsid w:val="007C7DCB"/>
    <w:rsid w:val="007D0E7B"/>
    <w:rsid w:val="007D1D31"/>
    <w:rsid w:val="007D2093"/>
    <w:rsid w:val="007D221F"/>
    <w:rsid w:val="007D3845"/>
    <w:rsid w:val="007D4280"/>
    <w:rsid w:val="007D5A1E"/>
    <w:rsid w:val="007D5ADD"/>
    <w:rsid w:val="007D5BB7"/>
    <w:rsid w:val="007D67BA"/>
    <w:rsid w:val="007D6945"/>
    <w:rsid w:val="007E0DB0"/>
    <w:rsid w:val="007E12DD"/>
    <w:rsid w:val="007E164C"/>
    <w:rsid w:val="007E1EE6"/>
    <w:rsid w:val="007E2903"/>
    <w:rsid w:val="007E3BA2"/>
    <w:rsid w:val="007E3D7C"/>
    <w:rsid w:val="007E43AF"/>
    <w:rsid w:val="007E5DAF"/>
    <w:rsid w:val="007E601D"/>
    <w:rsid w:val="007F216A"/>
    <w:rsid w:val="007F2DF2"/>
    <w:rsid w:val="007F3034"/>
    <w:rsid w:val="007F3DD9"/>
    <w:rsid w:val="007F5443"/>
    <w:rsid w:val="007F571F"/>
    <w:rsid w:val="007F57AB"/>
    <w:rsid w:val="007F627F"/>
    <w:rsid w:val="007F7770"/>
    <w:rsid w:val="007F7BA5"/>
    <w:rsid w:val="0080015F"/>
    <w:rsid w:val="00800CBF"/>
    <w:rsid w:val="0080162A"/>
    <w:rsid w:val="0080188C"/>
    <w:rsid w:val="008030F3"/>
    <w:rsid w:val="00803FA9"/>
    <w:rsid w:val="00805517"/>
    <w:rsid w:val="0080563B"/>
    <w:rsid w:val="00805E85"/>
    <w:rsid w:val="00806510"/>
    <w:rsid w:val="00807936"/>
    <w:rsid w:val="00810492"/>
    <w:rsid w:val="008114AA"/>
    <w:rsid w:val="008143DC"/>
    <w:rsid w:val="008145BB"/>
    <w:rsid w:val="00814F1E"/>
    <w:rsid w:val="0081566C"/>
    <w:rsid w:val="008158BA"/>
    <w:rsid w:val="008173DD"/>
    <w:rsid w:val="008174A0"/>
    <w:rsid w:val="00817A9B"/>
    <w:rsid w:val="008219F9"/>
    <w:rsid w:val="00821EED"/>
    <w:rsid w:val="008222DB"/>
    <w:rsid w:val="00822327"/>
    <w:rsid w:val="00822B95"/>
    <w:rsid w:val="00824900"/>
    <w:rsid w:val="00825CF0"/>
    <w:rsid w:val="00825DD2"/>
    <w:rsid w:val="00827577"/>
    <w:rsid w:val="00831183"/>
    <w:rsid w:val="00831647"/>
    <w:rsid w:val="00831817"/>
    <w:rsid w:val="008319B5"/>
    <w:rsid w:val="00832304"/>
    <w:rsid w:val="008324BE"/>
    <w:rsid w:val="008342CE"/>
    <w:rsid w:val="0083431C"/>
    <w:rsid w:val="00834CCF"/>
    <w:rsid w:val="0083532A"/>
    <w:rsid w:val="00835ED7"/>
    <w:rsid w:val="008361A5"/>
    <w:rsid w:val="00837A21"/>
    <w:rsid w:val="008412F8"/>
    <w:rsid w:val="00842467"/>
    <w:rsid w:val="00842CED"/>
    <w:rsid w:val="0084510B"/>
    <w:rsid w:val="0084514D"/>
    <w:rsid w:val="00845E89"/>
    <w:rsid w:val="00846712"/>
    <w:rsid w:val="00846731"/>
    <w:rsid w:val="008468CD"/>
    <w:rsid w:val="008469C3"/>
    <w:rsid w:val="00847EEB"/>
    <w:rsid w:val="008501EF"/>
    <w:rsid w:val="00850269"/>
    <w:rsid w:val="0085060F"/>
    <w:rsid w:val="0085112B"/>
    <w:rsid w:val="0085168A"/>
    <w:rsid w:val="00851C40"/>
    <w:rsid w:val="00852677"/>
    <w:rsid w:val="00852DC8"/>
    <w:rsid w:val="0085357A"/>
    <w:rsid w:val="008537AA"/>
    <w:rsid w:val="00853954"/>
    <w:rsid w:val="00854BB7"/>
    <w:rsid w:val="00854C8D"/>
    <w:rsid w:val="00854DD2"/>
    <w:rsid w:val="00855429"/>
    <w:rsid w:val="008557C9"/>
    <w:rsid w:val="008561E9"/>
    <w:rsid w:val="008565F5"/>
    <w:rsid w:val="0085682F"/>
    <w:rsid w:val="008570C8"/>
    <w:rsid w:val="008575C5"/>
    <w:rsid w:val="00857957"/>
    <w:rsid w:val="008604AB"/>
    <w:rsid w:val="00860E6D"/>
    <w:rsid w:val="00860EA0"/>
    <w:rsid w:val="00864F1E"/>
    <w:rsid w:val="0086677D"/>
    <w:rsid w:val="00867143"/>
    <w:rsid w:val="00870528"/>
    <w:rsid w:val="00870A14"/>
    <w:rsid w:val="008710DC"/>
    <w:rsid w:val="0087371F"/>
    <w:rsid w:val="00873A7D"/>
    <w:rsid w:val="00873DCA"/>
    <w:rsid w:val="00875B04"/>
    <w:rsid w:val="00876952"/>
    <w:rsid w:val="0087780A"/>
    <w:rsid w:val="00877E0C"/>
    <w:rsid w:val="00880D51"/>
    <w:rsid w:val="00880F8A"/>
    <w:rsid w:val="00881AA1"/>
    <w:rsid w:val="00881CDA"/>
    <w:rsid w:val="00883375"/>
    <w:rsid w:val="00883879"/>
    <w:rsid w:val="00883ACE"/>
    <w:rsid w:val="0088428B"/>
    <w:rsid w:val="00884644"/>
    <w:rsid w:val="00884C8C"/>
    <w:rsid w:val="00885189"/>
    <w:rsid w:val="008861AF"/>
    <w:rsid w:val="00887737"/>
    <w:rsid w:val="00887A9A"/>
    <w:rsid w:val="00887D35"/>
    <w:rsid w:val="008914BF"/>
    <w:rsid w:val="00891AC1"/>
    <w:rsid w:val="00891E1D"/>
    <w:rsid w:val="00891F7F"/>
    <w:rsid w:val="00893785"/>
    <w:rsid w:val="00893892"/>
    <w:rsid w:val="00893D31"/>
    <w:rsid w:val="00894B25"/>
    <w:rsid w:val="00895D7E"/>
    <w:rsid w:val="00895EB0"/>
    <w:rsid w:val="0089683D"/>
    <w:rsid w:val="00897DD4"/>
    <w:rsid w:val="008A137C"/>
    <w:rsid w:val="008A14BA"/>
    <w:rsid w:val="008A20BF"/>
    <w:rsid w:val="008A20C9"/>
    <w:rsid w:val="008A26B3"/>
    <w:rsid w:val="008A3023"/>
    <w:rsid w:val="008A33B1"/>
    <w:rsid w:val="008A550F"/>
    <w:rsid w:val="008A6DA8"/>
    <w:rsid w:val="008B0F3C"/>
    <w:rsid w:val="008B1100"/>
    <w:rsid w:val="008B178D"/>
    <w:rsid w:val="008B1B3D"/>
    <w:rsid w:val="008B1F3A"/>
    <w:rsid w:val="008B2BC7"/>
    <w:rsid w:val="008B2D61"/>
    <w:rsid w:val="008B3740"/>
    <w:rsid w:val="008B5B8B"/>
    <w:rsid w:val="008B5D27"/>
    <w:rsid w:val="008B6C87"/>
    <w:rsid w:val="008B7180"/>
    <w:rsid w:val="008B78C7"/>
    <w:rsid w:val="008C01F9"/>
    <w:rsid w:val="008C0F6E"/>
    <w:rsid w:val="008C11D0"/>
    <w:rsid w:val="008C1571"/>
    <w:rsid w:val="008C1FDA"/>
    <w:rsid w:val="008C271C"/>
    <w:rsid w:val="008C35E2"/>
    <w:rsid w:val="008C381D"/>
    <w:rsid w:val="008C4081"/>
    <w:rsid w:val="008C60C5"/>
    <w:rsid w:val="008C64A6"/>
    <w:rsid w:val="008C6D26"/>
    <w:rsid w:val="008C7E5F"/>
    <w:rsid w:val="008D1552"/>
    <w:rsid w:val="008D1EB3"/>
    <w:rsid w:val="008D2A79"/>
    <w:rsid w:val="008D2E02"/>
    <w:rsid w:val="008D3C32"/>
    <w:rsid w:val="008D43C3"/>
    <w:rsid w:val="008D4B01"/>
    <w:rsid w:val="008D54E3"/>
    <w:rsid w:val="008D5A4A"/>
    <w:rsid w:val="008D5D52"/>
    <w:rsid w:val="008D72F1"/>
    <w:rsid w:val="008E0342"/>
    <w:rsid w:val="008E07B5"/>
    <w:rsid w:val="008E1667"/>
    <w:rsid w:val="008E17E6"/>
    <w:rsid w:val="008E1991"/>
    <w:rsid w:val="008E1A52"/>
    <w:rsid w:val="008E3589"/>
    <w:rsid w:val="008E58D0"/>
    <w:rsid w:val="008E5DE0"/>
    <w:rsid w:val="008E5F29"/>
    <w:rsid w:val="008E64FD"/>
    <w:rsid w:val="008E7940"/>
    <w:rsid w:val="008F0293"/>
    <w:rsid w:val="008F1414"/>
    <w:rsid w:val="008F256B"/>
    <w:rsid w:val="008F2684"/>
    <w:rsid w:val="008F36B4"/>
    <w:rsid w:val="008F441E"/>
    <w:rsid w:val="008F484D"/>
    <w:rsid w:val="008F4866"/>
    <w:rsid w:val="008F4912"/>
    <w:rsid w:val="008F538B"/>
    <w:rsid w:val="008F55F6"/>
    <w:rsid w:val="008F5BEC"/>
    <w:rsid w:val="008F709B"/>
    <w:rsid w:val="008F72E2"/>
    <w:rsid w:val="008F7806"/>
    <w:rsid w:val="008F7974"/>
    <w:rsid w:val="00902A97"/>
    <w:rsid w:val="00902FB2"/>
    <w:rsid w:val="009034F5"/>
    <w:rsid w:val="00904BB5"/>
    <w:rsid w:val="00905A1F"/>
    <w:rsid w:val="00905D77"/>
    <w:rsid w:val="0090714D"/>
    <w:rsid w:val="009072BC"/>
    <w:rsid w:val="00910BBC"/>
    <w:rsid w:val="00910EAC"/>
    <w:rsid w:val="00913C19"/>
    <w:rsid w:val="00914847"/>
    <w:rsid w:val="0091499B"/>
    <w:rsid w:val="00914B0D"/>
    <w:rsid w:val="00915149"/>
    <w:rsid w:val="0091517B"/>
    <w:rsid w:val="00915B6D"/>
    <w:rsid w:val="00915BE6"/>
    <w:rsid w:val="00916D63"/>
    <w:rsid w:val="00917821"/>
    <w:rsid w:val="00920123"/>
    <w:rsid w:val="0092083E"/>
    <w:rsid w:val="00920B36"/>
    <w:rsid w:val="00921246"/>
    <w:rsid w:val="00921AE3"/>
    <w:rsid w:val="0092283F"/>
    <w:rsid w:val="00923638"/>
    <w:rsid w:val="00924DF4"/>
    <w:rsid w:val="00925095"/>
    <w:rsid w:val="009309B4"/>
    <w:rsid w:val="00930C28"/>
    <w:rsid w:val="009321C8"/>
    <w:rsid w:val="00932467"/>
    <w:rsid w:val="0093268C"/>
    <w:rsid w:val="00932FB6"/>
    <w:rsid w:val="00933165"/>
    <w:rsid w:val="009334A9"/>
    <w:rsid w:val="00936631"/>
    <w:rsid w:val="009369AA"/>
    <w:rsid w:val="00936C0A"/>
    <w:rsid w:val="00936CB6"/>
    <w:rsid w:val="00936E68"/>
    <w:rsid w:val="0094044A"/>
    <w:rsid w:val="00941234"/>
    <w:rsid w:val="00941718"/>
    <w:rsid w:val="00942B10"/>
    <w:rsid w:val="00943A78"/>
    <w:rsid w:val="00943E32"/>
    <w:rsid w:val="00944240"/>
    <w:rsid w:val="00944306"/>
    <w:rsid w:val="00944E28"/>
    <w:rsid w:val="00946D24"/>
    <w:rsid w:val="00950609"/>
    <w:rsid w:val="00950839"/>
    <w:rsid w:val="00950CB2"/>
    <w:rsid w:val="0095209D"/>
    <w:rsid w:val="0095240C"/>
    <w:rsid w:val="009535E3"/>
    <w:rsid w:val="00953602"/>
    <w:rsid w:val="00953BF9"/>
    <w:rsid w:val="009545A3"/>
    <w:rsid w:val="009551F2"/>
    <w:rsid w:val="00955245"/>
    <w:rsid w:val="00955846"/>
    <w:rsid w:val="00955E05"/>
    <w:rsid w:val="00955E99"/>
    <w:rsid w:val="00956968"/>
    <w:rsid w:val="00956E12"/>
    <w:rsid w:val="00957370"/>
    <w:rsid w:val="009573CA"/>
    <w:rsid w:val="00957F30"/>
    <w:rsid w:val="00960140"/>
    <w:rsid w:val="00960736"/>
    <w:rsid w:val="00960C07"/>
    <w:rsid w:val="00960C10"/>
    <w:rsid w:val="0096246C"/>
    <w:rsid w:val="00963072"/>
    <w:rsid w:val="00963D08"/>
    <w:rsid w:val="00964ADF"/>
    <w:rsid w:val="0096510E"/>
    <w:rsid w:val="009656BD"/>
    <w:rsid w:val="009659EC"/>
    <w:rsid w:val="009661BD"/>
    <w:rsid w:val="009665F6"/>
    <w:rsid w:val="00967279"/>
    <w:rsid w:val="00967580"/>
    <w:rsid w:val="00970BAB"/>
    <w:rsid w:val="0097151D"/>
    <w:rsid w:val="00971D77"/>
    <w:rsid w:val="00972F42"/>
    <w:rsid w:val="0097315E"/>
    <w:rsid w:val="00973172"/>
    <w:rsid w:val="0097323E"/>
    <w:rsid w:val="00973FA3"/>
    <w:rsid w:val="00974361"/>
    <w:rsid w:val="00974FF7"/>
    <w:rsid w:val="00975394"/>
    <w:rsid w:val="0097618F"/>
    <w:rsid w:val="0097722D"/>
    <w:rsid w:val="00981487"/>
    <w:rsid w:val="009816B2"/>
    <w:rsid w:val="0098170D"/>
    <w:rsid w:val="009826DC"/>
    <w:rsid w:val="00982FAC"/>
    <w:rsid w:val="00983E39"/>
    <w:rsid w:val="009858CF"/>
    <w:rsid w:val="00985D19"/>
    <w:rsid w:val="00987320"/>
    <w:rsid w:val="00987DD4"/>
    <w:rsid w:val="00992DBB"/>
    <w:rsid w:val="00993251"/>
    <w:rsid w:val="00996399"/>
    <w:rsid w:val="00996442"/>
    <w:rsid w:val="0099659A"/>
    <w:rsid w:val="0099772E"/>
    <w:rsid w:val="00997D9D"/>
    <w:rsid w:val="009A01F5"/>
    <w:rsid w:val="009A02C2"/>
    <w:rsid w:val="009A035D"/>
    <w:rsid w:val="009A04BF"/>
    <w:rsid w:val="009A06E4"/>
    <w:rsid w:val="009A0A46"/>
    <w:rsid w:val="009A0B64"/>
    <w:rsid w:val="009A0DE5"/>
    <w:rsid w:val="009A0E94"/>
    <w:rsid w:val="009A0F46"/>
    <w:rsid w:val="009A1B5D"/>
    <w:rsid w:val="009A21DA"/>
    <w:rsid w:val="009A2740"/>
    <w:rsid w:val="009A2840"/>
    <w:rsid w:val="009A289D"/>
    <w:rsid w:val="009A3E7B"/>
    <w:rsid w:val="009A4249"/>
    <w:rsid w:val="009A43E8"/>
    <w:rsid w:val="009A45B1"/>
    <w:rsid w:val="009A4C8F"/>
    <w:rsid w:val="009A511B"/>
    <w:rsid w:val="009A5339"/>
    <w:rsid w:val="009A6307"/>
    <w:rsid w:val="009A6AA5"/>
    <w:rsid w:val="009A7892"/>
    <w:rsid w:val="009B065B"/>
    <w:rsid w:val="009B0A95"/>
    <w:rsid w:val="009B3445"/>
    <w:rsid w:val="009B48E8"/>
    <w:rsid w:val="009B741F"/>
    <w:rsid w:val="009B7728"/>
    <w:rsid w:val="009C0968"/>
    <w:rsid w:val="009C0CFC"/>
    <w:rsid w:val="009C1E8C"/>
    <w:rsid w:val="009C2D54"/>
    <w:rsid w:val="009C36B6"/>
    <w:rsid w:val="009C3E5F"/>
    <w:rsid w:val="009C3EAB"/>
    <w:rsid w:val="009C4E42"/>
    <w:rsid w:val="009C519F"/>
    <w:rsid w:val="009C5281"/>
    <w:rsid w:val="009C52E2"/>
    <w:rsid w:val="009C6400"/>
    <w:rsid w:val="009C6662"/>
    <w:rsid w:val="009C6B5E"/>
    <w:rsid w:val="009D0365"/>
    <w:rsid w:val="009D043A"/>
    <w:rsid w:val="009D0A06"/>
    <w:rsid w:val="009D0B1E"/>
    <w:rsid w:val="009D153F"/>
    <w:rsid w:val="009D3735"/>
    <w:rsid w:val="009D5242"/>
    <w:rsid w:val="009D738D"/>
    <w:rsid w:val="009D73C4"/>
    <w:rsid w:val="009D7831"/>
    <w:rsid w:val="009D785C"/>
    <w:rsid w:val="009D7B44"/>
    <w:rsid w:val="009E0AE5"/>
    <w:rsid w:val="009E0FDA"/>
    <w:rsid w:val="009E104D"/>
    <w:rsid w:val="009E10CA"/>
    <w:rsid w:val="009E44C3"/>
    <w:rsid w:val="009E5195"/>
    <w:rsid w:val="009E6B0E"/>
    <w:rsid w:val="009E6FFE"/>
    <w:rsid w:val="009E7509"/>
    <w:rsid w:val="009E7BF4"/>
    <w:rsid w:val="009E7D74"/>
    <w:rsid w:val="009F0646"/>
    <w:rsid w:val="009F0B52"/>
    <w:rsid w:val="009F1AB5"/>
    <w:rsid w:val="009F2548"/>
    <w:rsid w:val="009F27D9"/>
    <w:rsid w:val="009F2FF1"/>
    <w:rsid w:val="009F3529"/>
    <w:rsid w:val="009F3659"/>
    <w:rsid w:val="009F3A7D"/>
    <w:rsid w:val="009F477C"/>
    <w:rsid w:val="009F4D04"/>
    <w:rsid w:val="009F560A"/>
    <w:rsid w:val="009F56F4"/>
    <w:rsid w:val="009F61DA"/>
    <w:rsid w:val="009F649C"/>
    <w:rsid w:val="009F6809"/>
    <w:rsid w:val="009F709D"/>
    <w:rsid w:val="00A00E28"/>
    <w:rsid w:val="00A02130"/>
    <w:rsid w:val="00A025A0"/>
    <w:rsid w:val="00A03175"/>
    <w:rsid w:val="00A0352A"/>
    <w:rsid w:val="00A0470C"/>
    <w:rsid w:val="00A0493F"/>
    <w:rsid w:val="00A051A8"/>
    <w:rsid w:val="00A05868"/>
    <w:rsid w:val="00A069F2"/>
    <w:rsid w:val="00A06FC1"/>
    <w:rsid w:val="00A075BF"/>
    <w:rsid w:val="00A10033"/>
    <w:rsid w:val="00A101F7"/>
    <w:rsid w:val="00A10773"/>
    <w:rsid w:val="00A11570"/>
    <w:rsid w:val="00A11B6F"/>
    <w:rsid w:val="00A12017"/>
    <w:rsid w:val="00A12735"/>
    <w:rsid w:val="00A14342"/>
    <w:rsid w:val="00A149BB"/>
    <w:rsid w:val="00A152AD"/>
    <w:rsid w:val="00A15F79"/>
    <w:rsid w:val="00A17868"/>
    <w:rsid w:val="00A17C12"/>
    <w:rsid w:val="00A21658"/>
    <w:rsid w:val="00A23979"/>
    <w:rsid w:val="00A24933"/>
    <w:rsid w:val="00A24DA0"/>
    <w:rsid w:val="00A27303"/>
    <w:rsid w:val="00A30524"/>
    <w:rsid w:val="00A31B3C"/>
    <w:rsid w:val="00A32F7A"/>
    <w:rsid w:val="00A34282"/>
    <w:rsid w:val="00A34D32"/>
    <w:rsid w:val="00A3510D"/>
    <w:rsid w:val="00A36E32"/>
    <w:rsid w:val="00A37556"/>
    <w:rsid w:val="00A37E36"/>
    <w:rsid w:val="00A40E28"/>
    <w:rsid w:val="00A41181"/>
    <w:rsid w:val="00A43512"/>
    <w:rsid w:val="00A44207"/>
    <w:rsid w:val="00A44AB0"/>
    <w:rsid w:val="00A44D43"/>
    <w:rsid w:val="00A44DD2"/>
    <w:rsid w:val="00A45429"/>
    <w:rsid w:val="00A4581E"/>
    <w:rsid w:val="00A45C0E"/>
    <w:rsid w:val="00A466E7"/>
    <w:rsid w:val="00A47C7E"/>
    <w:rsid w:val="00A50216"/>
    <w:rsid w:val="00A503EA"/>
    <w:rsid w:val="00A50BCF"/>
    <w:rsid w:val="00A50E95"/>
    <w:rsid w:val="00A520EA"/>
    <w:rsid w:val="00A526C6"/>
    <w:rsid w:val="00A5475B"/>
    <w:rsid w:val="00A54A27"/>
    <w:rsid w:val="00A550D5"/>
    <w:rsid w:val="00A55169"/>
    <w:rsid w:val="00A55ACC"/>
    <w:rsid w:val="00A56399"/>
    <w:rsid w:val="00A5672F"/>
    <w:rsid w:val="00A567D4"/>
    <w:rsid w:val="00A56BBE"/>
    <w:rsid w:val="00A57DFA"/>
    <w:rsid w:val="00A60F0B"/>
    <w:rsid w:val="00A61BB0"/>
    <w:rsid w:val="00A62B18"/>
    <w:rsid w:val="00A636A5"/>
    <w:rsid w:val="00A65590"/>
    <w:rsid w:val="00A658CB"/>
    <w:rsid w:val="00A66F40"/>
    <w:rsid w:val="00A67789"/>
    <w:rsid w:val="00A6791D"/>
    <w:rsid w:val="00A7027F"/>
    <w:rsid w:val="00A70AEB"/>
    <w:rsid w:val="00A70F30"/>
    <w:rsid w:val="00A72195"/>
    <w:rsid w:val="00A7249D"/>
    <w:rsid w:val="00A72AB3"/>
    <w:rsid w:val="00A73669"/>
    <w:rsid w:val="00A746DE"/>
    <w:rsid w:val="00A74BEE"/>
    <w:rsid w:val="00A75A45"/>
    <w:rsid w:val="00A75A93"/>
    <w:rsid w:val="00A7668B"/>
    <w:rsid w:val="00A76CCE"/>
    <w:rsid w:val="00A80171"/>
    <w:rsid w:val="00A806F1"/>
    <w:rsid w:val="00A80BB5"/>
    <w:rsid w:val="00A82811"/>
    <w:rsid w:val="00A83CD9"/>
    <w:rsid w:val="00A847E6"/>
    <w:rsid w:val="00A86E23"/>
    <w:rsid w:val="00A87D83"/>
    <w:rsid w:val="00A90049"/>
    <w:rsid w:val="00A9021D"/>
    <w:rsid w:val="00A9042C"/>
    <w:rsid w:val="00A91456"/>
    <w:rsid w:val="00A92265"/>
    <w:rsid w:val="00A92B1A"/>
    <w:rsid w:val="00A946B4"/>
    <w:rsid w:val="00A95799"/>
    <w:rsid w:val="00A96296"/>
    <w:rsid w:val="00AA2097"/>
    <w:rsid w:val="00AA2490"/>
    <w:rsid w:val="00AA2964"/>
    <w:rsid w:val="00AA3CEF"/>
    <w:rsid w:val="00AA792B"/>
    <w:rsid w:val="00AA79E3"/>
    <w:rsid w:val="00AB0938"/>
    <w:rsid w:val="00AB2333"/>
    <w:rsid w:val="00AB2AF7"/>
    <w:rsid w:val="00AB4076"/>
    <w:rsid w:val="00AB44E0"/>
    <w:rsid w:val="00AB465D"/>
    <w:rsid w:val="00AB5520"/>
    <w:rsid w:val="00AB58AE"/>
    <w:rsid w:val="00AB590A"/>
    <w:rsid w:val="00AB5931"/>
    <w:rsid w:val="00AB6F20"/>
    <w:rsid w:val="00AB74B3"/>
    <w:rsid w:val="00AB7503"/>
    <w:rsid w:val="00AB7539"/>
    <w:rsid w:val="00AC0E7F"/>
    <w:rsid w:val="00AC36AA"/>
    <w:rsid w:val="00AC37FA"/>
    <w:rsid w:val="00AC4072"/>
    <w:rsid w:val="00AC64B2"/>
    <w:rsid w:val="00AC7193"/>
    <w:rsid w:val="00AC7A65"/>
    <w:rsid w:val="00AC7F97"/>
    <w:rsid w:val="00AD01C4"/>
    <w:rsid w:val="00AD0EC4"/>
    <w:rsid w:val="00AD2572"/>
    <w:rsid w:val="00AD25BB"/>
    <w:rsid w:val="00AD2776"/>
    <w:rsid w:val="00AD2A4A"/>
    <w:rsid w:val="00AD3567"/>
    <w:rsid w:val="00AD38A0"/>
    <w:rsid w:val="00AD39CE"/>
    <w:rsid w:val="00AD3A44"/>
    <w:rsid w:val="00AD3A72"/>
    <w:rsid w:val="00AD4D8A"/>
    <w:rsid w:val="00AD4EEF"/>
    <w:rsid w:val="00AD4F47"/>
    <w:rsid w:val="00AD5288"/>
    <w:rsid w:val="00AD69F5"/>
    <w:rsid w:val="00AD752D"/>
    <w:rsid w:val="00AE0389"/>
    <w:rsid w:val="00AE0BB2"/>
    <w:rsid w:val="00AE10F5"/>
    <w:rsid w:val="00AE11DC"/>
    <w:rsid w:val="00AE14B2"/>
    <w:rsid w:val="00AE268E"/>
    <w:rsid w:val="00AE2E9A"/>
    <w:rsid w:val="00AE4A58"/>
    <w:rsid w:val="00AE5B8E"/>
    <w:rsid w:val="00AE5DA6"/>
    <w:rsid w:val="00AE6D5F"/>
    <w:rsid w:val="00AE778D"/>
    <w:rsid w:val="00AE7C3D"/>
    <w:rsid w:val="00AE7FF1"/>
    <w:rsid w:val="00AF03C1"/>
    <w:rsid w:val="00AF0674"/>
    <w:rsid w:val="00AF1A7F"/>
    <w:rsid w:val="00AF28BB"/>
    <w:rsid w:val="00AF2AE2"/>
    <w:rsid w:val="00AF3411"/>
    <w:rsid w:val="00AF4074"/>
    <w:rsid w:val="00AF5FDE"/>
    <w:rsid w:val="00AF6545"/>
    <w:rsid w:val="00AF790A"/>
    <w:rsid w:val="00B000EB"/>
    <w:rsid w:val="00B00105"/>
    <w:rsid w:val="00B00707"/>
    <w:rsid w:val="00B030E7"/>
    <w:rsid w:val="00B033D8"/>
    <w:rsid w:val="00B0399B"/>
    <w:rsid w:val="00B04180"/>
    <w:rsid w:val="00B0437F"/>
    <w:rsid w:val="00B048D3"/>
    <w:rsid w:val="00B04DDE"/>
    <w:rsid w:val="00B055AD"/>
    <w:rsid w:val="00B0607B"/>
    <w:rsid w:val="00B11B75"/>
    <w:rsid w:val="00B12355"/>
    <w:rsid w:val="00B133B6"/>
    <w:rsid w:val="00B137B5"/>
    <w:rsid w:val="00B14EA3"/>
    <w:rsid w:val="00B15653"/>
    <w:rsid w:val="00B1588A"/>
    <w:rsid w:val="00B15950"/>
    <w:rsid w:val="00B1737E"/>
    <w:rsid w:val="00B175FE"/>
    <w:rsid w:val="00B2122B"/>
    <w:rsid w:val="00B236E8"/>
    <w:rsid w:val="00B239A9"/>
    <w:rsid w:val="00B24B34"/>
    <w:rsid w:val="00B256A7"/>
    <w:rsid w:val="00B263D3"/>
    <w:rsid w:val="00B265D3"/>
    <w:rsid w:val="00B27668"/>
    <w:rsid w:val="00B30AF0"/>
    <w:rsid w:val="00B319AA"/>
    <w:rsid w:val="00B32CF9"/>
    <w:rsid w:val="00B33693"/>
    <w:rsid w:val="00B34F1B"/>
    <w:rsid w:val="00B3654C"/>
    <w:rsid w:val="00B374B9"/>
    <w:rsid w:val="00B37A99"/>
    <w:rsid w:val="00B37CEE"/>
    <w:rsid w:val="00B404DD"/>
    <w:rsid w:val="00B40E1B"/>
    <w:rsid w:val="00B4119E"/>
    <w:rsid w:val="00B427BD"/>
    <w:rsid w:val="00B428FD"/>
    <w:rsid w:val="00B42CB5"/>
    <w:rsid w:val="00B42D82"/>
    <w:rsid w:val="00B42FCB"/>
    <w:rsid w:val="00B433CD"/>
    <w:rsid w:val="00B4387D"/>
    <w:rsid w:val="00B43D3F"/>
    <w:rsid w:val="00B445C5"/>
    <w:rsid w:val="00B44666"/>
    <w:rsid w:val="00B44FE2"/>
    <w:rsid w:val="00B455BE"/>
    <w:rsid w:val="00B45898"/>
    <w:rsid w:val="00B466F9"/>
    <w:rsid w:val="00B46CD3"/>
    <w:rsid w:val="00B507C9"/>
    <w:rsid w:val="00B50AFD"/>
    <w:rsid w:val="00B52127"/>
    <w:rsid w:val="00B535B9"/>
    <w:rsid w:val="00B54A08"/>
    <w:rsid w:val="00B5571F"/>
    <w:rsid w:val="00B56C33"/>
    <w:rsid w:val="00B57B4C"/>
    <w:rsid w:val="00B57E30"/>
    <w:rsid w:val="00B624A7"/>
    <w:rsid w:val="00B626EA"/>
    <w:rsid w:val="00B62720"/>
    <w:rsid w:val="00B62F42"/>
    <w:rsid w:val="00B62FB9"/>
    <w:rsid w:val="00B63128"/>
    <w:rsid w:val="00B63863"/>
    <w:rsid w:val="00B63E9A"/>
    <w:rsid w:val="00B646A5"/>
    <w:rsid w:val="00B64DED"/>
    <w:rsid w:val="00B665B8"/>
    <w:rsid w:val="00B704F5"/>
    <w:rsid w:val="00B7050F"/>
    <w:rsid w:val="00B70C16"/>
    <w:rsid w:val="00B71FFF"/>
    <w:rsid w:val="00B72817"/>
    <w:rsid w:val="00B729CC"/>
    <w:rsid w:val="00B72B68"/>
    <w:rsid w:val="00B7541E"/>
    <w:rsid w:val="00B7615C"/>
    <w:rsid w:val="00B767F5"/>
    <w:rsid w:val="00B7680F"/>
    <w:rsid w:val="00B7749E"/>
    <w:rsid w:val="00B77B11"/>
    <w:rsid w:val="00B8047F"/>
    <w:rsid w:val="00B819B9"/>
    <w:rsid w:val="00B82403"/>
    <w:rsid w:val="00B82860"/>
    <w:rsid w:val="00B82FDC"/>
    <w:rsid w:val="00B83639"/>
    <w:rsid w:val="00B83E21"/>
    <w:rsid w:val="00B8411E"/>
    <w:rsid w:val="00B84C6C"/>
    <w:rsid w:val="00B85BE3"/>
    <w:rsid w:val="00B86086"/>
    <w:rsid w:val="00B86466"/>
    <w:rsid w:val="00B86626"/>
    <w:rsid w:val="00B86792"/>
    <w:rsid w:val="00B86963"/>
    <w:rsid w:val="00B86EB3"/>
    <w:rsid w:val="00B87F3A"/>
    <w:rsid w:val="00B921E7"/>
    <w:rsid w:val="00B92943"/>
    <w:rsid w:val="00B92E2F"/>
    <w:rsid w:val="00B9354F"/>
    <w:rsid w:val="00B94979"/>
    <w:rsid w:val="00BA0873"/>
    <w:rsid w:val="00BA147B"/>
    <w:rsid w:val="00BA246D"/>
    <w:rsid w:val="00BA2E4E"/>
    <w:rsid w:val="00BA4BEA"/>
    <w:rsid w:val="00BA4E0A"/>
    <w:rsid w:val="00BA5938"/>
    <w:rsid w:val="00BA739E"/>
    <w:rsid w:val="00BA7D7B"/>
    <w:rsid w:val="00BB090D"/>
    <w:rsid w:val="00BB0FAE"/>
    <w:rsid w:val="00BB1914"/>
    <w:rsid w:val="00BB2294"/>
    <w:rsid w:val="00BB22B2"/>
    <w:rsid w:val="00BB2EAC"/>
    <w:rsid w:val="00BB3C2D"/>
    <w:rsid w:val="00BB51D9"/>
    <w:rsid w:val="00BB69A3"/>
    <w:rsid w:val="00BC1BF4"/>
    <w:rsid w:val="00BC290F"/>
    <w:rsid w:val="00BC2CD0"/>
    <w:rsid w:val="00BC365C"/>
    <w:rsid w:val="00BC43B4"/>
    <w:rsid w:val="00BC4C4D"/>
    <w:rsid w:val="00BC5005"/>
    <w:rsid w:val="00BC6022"/>
    <w:rsid w:val="00BD216D"/>
    <w:rsid w:val="00BD30D1"/>
    <w:rsid w:val="00BD343B"/>
    <w:rsid w:val="00BD366C"/>
    <w:rsid w:val="00BD488C"/>
    <w:rsid w:val="00BD4E3B"/>
    <w:rsid w:val="00BD50C6"/>
    <w:rsid w:val="00BD6071"/>
    <w:rsid w:val="00BD6678"/>
    <w:rsid w:val="00BD7FAE"/>
    <w:rsid w:val="00BE0461"/>
    <w:rsid w:val="00BE0967"/>
    <w:rsid w:val="00BE09C8"/>
    <w:rsid w:val="00BE0A92"/>
    <w:rsid w:val="00BE1250"/>
    <w:rsid w:val="00BE283A"/>
    <w:rsid w:val="00BE2C25"/>
    <w:rsid w:val="00BE2E37"/>
    <w:rsid w:val="00BE3060"/>
    <w:rsid w:val="00BE336E"/>
    <w:rsid w:val="00BE342F"/>
    <w:rsid w:val="00BE3984"/>
    <w:rsid w:val="00BE40D6"/>
    <w:rsid w:val="00BE51D8"/>
    <w:rsid w:val="00BE52C0"/>
    <w:rsid w:val="00BF10B3"/>
    <w:rsid w:val="00BF1635"/>
    <w:rsid w:val="00BF253B"/>
    <w:rsid w:val="00BF29F6"/>
    <w:rsid w:val="00BF2B9A"/>
    <w:rsid w:val="00BF2C07"/>
    <w:rsid w:val="00BF3E1B"/>
    <w:rsid w:val="00BF4539"/>
    <w:rsid w:val="00BF52D6"/>
    <w:rsid w:val="00BF678D"/>
    <w:rsid w:val="00BF7044"/>
    <w:rsid w:val="00BF7202"/>
    <w:rsid w:val="00BF74E5"/>
    <w:rsid w:val="00C00312"/>
    <w:rsid w:val="00C00DD2"/>
    <w:rsid w:val="00C02164"/>
    <w:rsid w:val="00C02B6B"/>
    <w:rsid w:val="00C034FE"/>
    <w:rsid w:val="00C04332"/>
    <w:rsid w:val="00C04F94"/>
    <w:rsid w:val="00C051E2"/>
    <w:rsid w:val="00C069B4"/>
    <w:rsid w:val="00C076D1"/>
    <w:rsid w:val="00C11103"/>
    <w:rsid w:val="00C117C5"/>
    <w:rsid w:val="00C11EE2"/>
    <w:rsid w:val="00C13C85"/>
    <w:rsid w:val="00C13F6C"/>
    <w:rsid w:val="00C161B7"/>
    <w:rsid w:val="00C16DB9"/>
    <w:rsid w:val="00C17200"/>
    <w:rsid w:val="00C17BB0"/>
    <w:rsid w:val="00C17D29"/>
    <w:rsid w:val="00C2011C"/>
    <w:rsid w:val="00C205D4"/>
    <w:rsid w:val="00C20A16"/>
    <w:rsid w:val="00C244DE"/>
    <w:rsid w:val="00C2587B"/>
    <w:rsid w:val="00C25B26"/>
    <w:rsid w:val="00C25DF8"/>
    <w:rsid w:val="00C26735"/>
    <w:rsid w:val="00C27314"/>
    <w:rsid w:val="00C27C89"/>
    <w:rsid w:val="00C30B5E"/>
    <w:rsid w:val="00C31E6E"/>
    <w:rsid w:val="00C332B3"/>
    <w:rsid w:val="00C36090"/>
    <w:rsid w:val="00C36D89"/>
    <w:rsid w:val="00C37103"/>
    <w:rsid w:val="00C4008E"/>
    <w:rsid w:val="00C40583"/>
    <w:rsid w:val="00C407E5"/>
    <w:rsid w:val="00C41070"/>
    <w:rsid w:val="00C41A04"/>
    <w:rsid w:val="00C4231D"/>
    <w:rsid w:val="00C42CBC"/>
    <w:rsid w:val="00C43CCF"/>
    <w:rsid w:val="00C44CAE"/>
    <w:rsid w:val="00C44D29"/>
    <w:rsid w:val="00C45711"/>
    <w:rsid w:val="00C46508"/>
    <w:rsid w:val="00C4702A"/>
    <w:rsid w:val="00C47C92"/>
    <w:rsid w:val="00C507CD"/>
    <w:rsid w:val="00C50C71"/>
    <w:rsid w:val="00C5205C"/>
    <w:rsid w:val="00C52673"/>
    <w:rsid w:val="00C551C4"/>
    <w:rsid w:val="00C554BC"/>
    <w:rsid w:val="00C56CED"/>
    <w:rsid w:val="00C57896"/>
    <w:rsid w:val="00C6101A"/>
    <w:rsid w:val="00C6142B"/>
    <w:rsid w:val="00C62193"/>
    <w:rsid w:val="00C62650"/>
    <w:rsid w:val="00C62A10"/>
    <w:rsid w:val="00C63285"/>
    <w:rsid w:val="00C6464A"/>
    <w:rsid w:val="00C65134"/>
    <w:rsid w:val="00C65432"/>
    <w:rsid w:val="00C65C72"/>
    <w:rsid w:val="00C6632D"/>
    <w:rsid w:val="00C67C5F"/>
    <w:rsid w:val="00C67C76"/>
    <w:rsid w:val="00C703F6"/>
    <w:rsid w:val="00C70D9D"/>
    <w:rsid w:val="00C71503"/>
    <w:rsid w:val="00C71DCC"/>
    <w:rsid w:val="00C72A0C"/>
    <w:rsid w:val="00C74A85"/>
    <w:rsid w:val="00C751FB"/>
    <w:rsid w:val="00C75694"/>
    <w:rsid w:val="00C759CF"/>
    <w:rsid w:val="00C75D46"/>
    <w:rsid w:val="00C767F6"/>
    <w:rsid w:val="00C77136"/>
    <w:rsid w:val="00C77EFF"/>
    <w:rsid w:val="00C82540"/>
    <w:rsid w:val="00C825A9"/>
    <w:rsid w:val="00C8279B"/>
    <w:rsid w:val="00C82C9C"/>
    <w:rsid w:val="00C83210"/>
    <w:rsid w:val="00C833C8"/>
    <w:rsid w:val="00C84EE8"/>
    <w:rsid w:val="00C86E51"/>
    <w:rsid w:val="00C9022C"/>
    <w:rsid w:val="00C903A8"/>
    <w:rsid w:val="00C906BF"/>
    <w:rsid w:val="00C90E29"/>
    <w:rsid w:val="00C9183A"/>
    <w:rsid w:val="00C921AA"/>
    <w:rsid w:val="00C92CF0"/>
    <w:rsid w:val="00C936F8"/>
    <w:rsid w:val="00C9436F"/>
    <w:rsid w:val="00C94CE5"/>
    <w:rsid w:val="00C95AE9"/>
    <w:rsid w:val="00CA0173"/>
    <w:rsid w:val="00CA0B22"/>
    <w:rsid w:val="00CA0CA1"/>
    <w:rsid w:val="00CA105A"/>
    <w:rsid w:val="00CA1B88"/>
    <w:rsid w:val="00CA3732"/>
    <w:rsid w:val="00CA37B4"/>
    <w:rsid w:val="00CA37C4"/>
    <w:rsid w:val="00CA44B3"/>
    <w:rsid w:val="00CA5032"/>
    <w:rsid w:val="00CA78E7"/>
    <w:rsid w:val="00CB06BD"/>
    <w:rsid w:val="00CB07E7"/>
    <w:rsid w:val="00CB1A01"/>
    <w:rsid w:val="00CB2479"/>
    <w:rsid w:val="00CB26EA"/>
    <w:rsid w:val="00CB41D6"/>
    <w:rsid w:val="00CB4672"/>
    <w:rsid w:val="00CB4CD5"/>
    <w:rsid w:val="00CB56B8"/>
    <w:rsid w:val="00CB691B"/>
    <w:rsid w:val="00CB6C30"/>
    <w:rsid w:val="00CC0677"/>
    <w:rsid w:val="00CC14B8"/>
    <w:rsid w:val="00CC161C"/>
    <w:rsid w:val="00CC257B"/>
    <w:rsid w:val="00CC26F8"/>
    <w:rsid w:val="00CC28BF"/>
    <w:rsid w:val="00CC2C35"/>
    <w:rsid w:val="00CC307C"/>
    <w:rsid w:val="00CC4D39"/>
    <w:rsid w:val="00CC5328"/>
    <w:rsid w:val="00CC6B92"/>
    <w:rsid w:val="00CC765C"/>
    <w:rsid w:val="00CD0595"/>
    <w:rsid w:val="00CD15D6"/>
    <w:rsid w:val="00CD1EDE"/>
    <w:rsid w:val="00CD23CF"/>
    <w:rsid w:val="00CD32A6"/>
    <w:rsid w:val="00CD3479"/>
    <w:rsid w:val="00CD5159"/>
    <w:rsid w:val="00CD54F7"/>
    <w:rsid w:val="00CD67C4"/>
    <w:rsid w:val="00CE0DE1"/>
    <w:rsid w:val="00CE1477"/>
    <w:rsid w:val="00CE3F47"/>
    <w:rsid w:val="00CE4E5C"/>
    <w:rsid w:val="00CE592F"/>
    <w:rsid w:val="00CE6D07"/>
    <w:rsid w:val="00CE7281"/>
    <w:rsid w:val="00CE72FD"/>
    <w:rsid w:val="00CE792A"/>
    <w:rsid w:val="00CE7C23"/>
    <w:rsid w:val="00CF0116"/>
    <w:rsid w:val="00CF06E5"/>
    <w:rsid w:val="00CF07F5"/>
    <w:rsid w:val="00CF0D08"/>
    <w:rsid w:val="00CF3779"/>
    <w:rsid w:val="00CF5ACA"/>
    <w:rsid w:val="00CF6B6F"/>
    <w:rsid w:val="00CF7800"/>
    <w:rsid w:val="00D00776"/>
    <w:rsid w:val="00D02389"/>
    <w:rsid w:val="00D0247C"/>
    <w:rsid w:val="00D0256F"/>
    <w:rsid w:val="00D03918"/>
    <w:rsid w:val="00D047C9"/>
    <w:rsid w:val="00D070FE"/>
    <w:rsid w:val="00D07262"/>
    <w:rsid w:val="00D078F7"/>
    <w:rsid w:val="00D07D9A"/>
    <w:rsid w:val="00D12C34"/>
    <w:rsid w:val="00D143B8"/>
    <w:rsid w:val="00D155A0"/>
    <w:rsid w:val="00D16581"/>
    <w:rsid w:val="00D1738F"/>
    <w:rsid w:val="00D21527"/>
    <w:rsid w:val="00D21FAF"/>
    <w:rsid w:val="00D22123"/>
    <w:rsid w:val="00D230F0"/>
    <w:rsid w:val="00D234FF"/>
    <w:rsid w:val="00D23E5C"/>
    <w:rsid w:val="00D24CA9"/>
    <w:rsid w:val="00D25047"/>
    <w:rsid w:val="00D25077"/>
    <w:rsid w:val="00D2594D"/>
    <w:rsid w:val="00D264D7"/>
    <w:rsid w:val="00D26741"/>
    <w:rsid w:val="00D268A6"/>
    <w:rsid w:val="00D26E9E"/>
    <w:rsid w:val="00D27604"/>
    <w:rsid w:val="00D27990"/>
    <w:rsid w:val="00D27B08"/>
    <w:rsid w:val="00D303E7"/>
    <w:rsid w:val="00D31AC7"/>
    <w:rsid w:val="00D31F94"/>
    <w:rsid w:val="00D3206E"/>
    <w:rsid w:val="00D32E89"/>
    <w:rsid w:val="00D3391B"/>
    <w:rsid w:val="00D3412B"/>
    <w:rsid w:val="00D34D8E"/>
    <w:rsid w:val="00D35497"/>
    <w:rsid w:val="00D354E0"/>
    <w:rsid w:val="00D359E4"/>
    <w:rsid w:val="00D36606"/>
    <w:rsid w:val="00D36BD9"/>
    <w:rsid w:val="00D36F13"/>
    <w:rsid w:val="00D37388"/>
    <w:rsid w:val="00D37703"/>
    <w:rsid w:val="00D4070E"/>
    <w:rsid w:val="00D40ECF"/>
    <w:rsid w:val="00D40FB1"/>
    <w:rsid w:val="00D42109"/>
    <w:rsid w:val="00D42532"/>
    <w:rsid w:val="00D44B89"/>
    <w:rsid w:val="00D45D31"/>
    <w:rsid w:val="00D46192"/>
    <w:rsid w:val="00D46F90"/>
    <w:rsid w:val="00D5009B"/>
    <w:rsid w:val="00D504A5"/>
    <w:rsid w:val="00D50BEF"/>
    <w:rsid w:val="00D50F41"/>
    <w:rsid w:val="00D5156D"/>
    <w:rsid w:val="00D5184C"/>
    <w:rsid w:val="00D52057"/>
    <w:rsid w:val="00D52358"/>
    <w:rsid w:val="00D52A67"/>
    <w:rsid w:val="00D53A8E"/>
    <w:rsid w:val="00D53FFD"/>
    <w:rsid w:val="00D55036"/>
    <w:rsid w:val="00D5613C"/>
    <w:rsid w:val="00D57D17"/>
    <w:rsid w:val="00D630DD"/>
    <w:rsid w:val="00D6313F"/>
    <w:rsid w:val="00D63344"/>
    <w:rsid w:val="00D64005"/>
    <w:rsid w:val="00D654D0"/>
    <w:rsid w:val="00D665CB"/>
    <w:rsid w:val="00D66B84"/>
    <w:rsid w:val="00D7066C"/>
    <w:rsid w:val="00D71819"/>
    <w:rsid w:val="00D7197D"/>
    <w:rsid w:val="00D719E6"/>
    <w:rsid w:val="00D72381"/>
    <w:rsid w:val="00D725A6"/>
    <w:rsid w:val="00D726F1"/>
    <w:rsid w:val="00D7357C"/>
    <w:rsid w:val="00D736FF"/>
    <w:rsid w:val="00D73861"/>
    <w:rsid w:val="00D74B7F"/>
    <w:rsid w:val="00D74C8A"/>
    <w:rsid w:val="00D7527B"/>
    <w:rsid w:val="00D763E5"/>
    <w:rsid w:val="00D76C89"/>
    <w:rsid w:val="00D76EC5"/>
    <w:rsid w:val="00D80116"/>
    <w:rsid w:val="00D813C3"/>
    <w:rsid w:val="00D84F7E"/>
    <w:rsid w:val="00D851EE"/>
    <w:rsid w:val="00D85A35"/>
    <w:rsid w:val="00D85DAF"/>
    <w:rsid w:val="00D8630F"/>
    <w:rsid w:val="00D90D8E"/>
    <w:rsid w:val="00D90E03"/>
    <w:rsid w:val="00D91A78"/>
    <w:rsid w:val="00D922FE"/>
    <w:rsid w:val="00D95C91"/>
    <w:rsid w:val="00D960E8"/>
    <w:rsid w:val="00D9684D"/>
    <w:rsid w:val="00D96968"/>
    <w:rsid w:val="00D96C29"/>
    <w:rsid w:val="00D977BC"/>
    <w:rsid w:val="00D979E2"/>
    <w:rsid w:val="00D97FFC"/>
    <w:rsid w:val="00DA0D3A"/>
    <w:rsid w:val="00DA149C"/>
    <w:rsid w:val="00DA1811"/>
    <w:rsid w:val="00DA2858"/>
    <w:rsid w:val="00DA2939"/>
    <w:rsid w:val="00DA2CCF"/>
    <w:rsid w:val="00DA2E20"/>
    <w:rsid w:val="00DA3E7E"/>
    <w:rsid w:val="00DA5735"/>
    <w:rsid w:val="00DA592A"/>
    <w:rsid w:val="00DA5AA6"/>
    <w:rsid w:val="00DA6141"/>
    <w:rsid w:val="00DA6304"/>
    <w:rsid w:val="00DA6B8E"/>
    <w:rsid w:val="00DA76F0"/>
    <w:rsid w:val="00DB0067"/>
    <w:rsid w:val="00DB10CA"/>
    <w:rsid w:val="00DB1F53"/>
    <w:rsid w:val="00DB1FB3"/>
    <w:rsid w:val="00DB30DD"/>
    <w:rsid w:val="00DB31FC"/>
    <w:rsid w:val="00DB368A"/>
    <w:rsid w:val="00DB5610"/>
    <w:rsid w:val="00DB5644"/>
    <w:rsid w:val="00DB5D7B"/>
    <w:rsid w:val="00DC0464"/>
    <w:rsid w:val="00DC22FB"/>
    <w:rsid w:val="00DC28CF"/>
    <w:rsid w:val="00DC2B8A"/>
    <w:rsid w:val="00DC35A7"/>
    <w:rsid w:val="00DC37C2"/>
    <w:rsid w:val="00DC3D2E"/>
    <w:rsid w:val="00DC3E43"/>
    <w:rsid w:val="00DC4C0B"/>
    <w:rsid w:val="00DC4CE6"/>
    <w:rsid w:val="00DC7B1C"/>
    <w:rsid w:val="00DD01A5"/>
    <w:rsid w:val="00DD1DCC"/>
    <w:rsid w:val="00DD2BDE"/>
    <w:rsid w:val="00DD35C9"/>
    <w:rsid w:val="00DD460A"/>
    <w:rsid w:val="00DD49D4"/>
    <w:rsid w:val="00DD4AE0"/>
    <w:rsid w:val="00DD52F9"/>
    <w:rsid w:val="00DD56F6"/>
    <w:rsid w:val="00DD60B7"/>
    <w:rsid w:val="00DD73AA"/>
    <w:rsid w:val="00DE0919"/>
    <w:rsid w:val="00DE11DC"/>
    <w:rsid w:val="00DE3441"/>
    <w:rsid w:val="00DE3799"/>
    <w:rsid w:val="00DE417C"/>
    <w:rsid w:val="00DE5B1F"/>
    <w:rsid w:val="00DE5C6D"/>
    <w:rsid w:val="00DE6C94"/>
    <w:rsid w:val="00DE7824"/>
    <w:rsid w:val="00DF00D6"/>
    <w:rsid w:val="00DF04EF"/>
    <w:rsid w:val="00DF0577"/>
    <w:rsid w:val="00DF0709"/>
    <w:rsid w:val="00DF0C06"/>
    <w:rsid w:val="00DF14B0"/>
    <w:rsid w:val="00DF1D64"/>
    <w:rsid w:val="00DF1D68"/>
    <w:rsid w:val="00DF2B88"/>
    <w:rsid w:val="00DF2BC7"/>
    <w:rsid w:val="00DF4277"/>
    <w:rsid w:val="00DF4378"/>
    <w:rsid w:val="00DF46AB"/>
    <w:rsid w:val="00DF648E"/>
    <w:rsid w:val="00DF65B6"/>
    <w:rsid w:val="00DF6E51"/>
    <w:rsid w:val="00DF7350"/>
    <w:rsid w:val="00DF798F"/>
    <w:rsid w:val="00DF7DDB"/>
    <w:rsid w:val="00E0102C"/>
    <w:rsid w:val="00E02A85"/>
    <w:rsid w:val="00E036D4"/>
    <w:rsid w:val="00E03E74"/>
    <w:rsid w:val="00E042B1"/>
    <w:rsid w:val="00E04AD1"/>
    <w:rsid w:val="00E0597B"/>
    <w:rsid w:val="00E06551"/>
    <w:rsid w:val="00E06F8C"/>
    <w:rsid w:val="00E06FA8"/>
    <w:rsid w:val="00E11E8F"/>
    <w:rsid w:val="00E12B86"/>
    <w:rsid w:val="00E1312F"/>
    <w:rsid w:val="00E13A3B"/>
    <w:rsid w:val="00E149D9"/>
    <w:rsid w:val="00E14C73"/>
    <w:rsid w:val="00E15B6A"/>
    <w:rsid w:val="00E15E54"/>
    <w:rsid w:val="00E167C8"/>
    <w:rsid w:val="00E16CC5"/>
    <w:rsid w:val="00E20157"/>
    <w:rsid w:val="00E205B1"/>
    <w:rsid w:val="00E21939"/>
    <w:rsid w:val="00E251E2"/>
    <w:rsid w:val="00E26DFE"/>
    <w:rsid w:val="00E27AA5"/>
    <w:rsid w:val="00E30566"/>
    <w:rsid w:val="00E30D22"/>
    <w:rsid w:val="00E315A9"/>
    <w:rsid w:val="00E317C2"/>
    <w:rsid w:val="00E31A92"/>
    <w:rsid w:val="00E325EC"/>
    <w:rsid w:val="00E340C8"/>
    <w:rsid w:val="00E342CB"/>
    <w:rsid w:val="00E34B7D"/>
    <w:rsid w:val="00E37096"/>
    <w:rsid w:val="00E375D4"/>
    <w:rsid w:val="00E40078"/>
    <w:rsid w:val="00E403DC"/>
    <w:rsid w:val="00E40DF4"/>
    <w:rsid w:val="00E40E58"/>
    <w:rsid w:val="00E40F43"/>
    <w:rsid w:val="00E41637"/>
    <w:rsid w:val="00E42CC2"/>
    <w:rsid w:val="00E44F52"/>
    <w:rsid w:val="00E4566B"/>
    <w:rsid w:val="00E45EDA"/>
    <w:rsid w:val="00E4621D"/>
    <w:rsid w:val="00E46FE7"/>
    <w:rsid w:val="00E471C4"/>
    <w:rsid w:val="00E47965"/>
    <w:rsid w:val="00E51775"/>
    <w:rsid w:val="00E5297E"/>
    <w:rsid w:val="00E53AC7"/>
    <w:rsid w:val="00E53F28"/>
    <w:rsid w:val="00E560A5"/>
    <w:rsid w:val="00E56A42"/>
    <w:rsid w:val="00E60B95"/>
    <w:rsid w:val="00E60C3D"/>
    <w:rsid w:val="00E61689"/>
    <w:rsid w:val="00E632FE"/>
    <w:rsid w:val="00E63B5A"/>
    <w:rsid w:val="00E64ED5"/>
    <w:rsid w:val="00E65D90"/>
    <w:rsid w:val="00E6603B"/>
    <w:rsid w:val="00E66714"/>
    <w:rsid w:val="00E704DC"/>
    <w:rsid w:val="00E70CE9"/>
    <w:rsid w:val="00E72E43"/>
    <w:rsid w:val="00E735A8"/>
    <w:rsid w:val="00E76031"/>
    <w:rsid w:val="00E76A2A"/>
    <w:rsid w:val="00E7707A"/>
    <w:rsid w:val="00E80BEB"/>
    <w:rsid w:val="00E8201A"/>
    <w:rsid w:val="00E822CA"/>
    <w:rsid w:val="00E8265D"/>
    <w:rsid w:val="00E82AC7"/>
    <w:rsid w:val="00E82B99"/>
    <w:rsid w:val="00E82C8A"/>
    <w:rsid w:val="00E83CF7"/>
    <w:rsid w:val="00E8451B"/>
    <w:rsid w:val="00E84917"/>
    <w:rsid w:val="00E859EC"/>
    <w:rsid w:val="00E87EC6"/>
    <w:rsid w:val="00E9013A"/>
    <w:rsid w:val="00E90A0F"/>
    <w:rsid w:val="00E92EA1"/>
    <w:rsid w:val="00E93074"/>
    <w:rsid w:val="00E93A97"/>
    <w:rsid w:val="00E9422F"/>
    <w:rsid w:val="00E94255"/>
    <w:rsid w:val="00E94C76"/>
    <w:rsid w:val="00E94EAE"/>
    <w:rsid w:val="00E95C3D"/>
    <w:rsid w:val="00E97202"/>
    <w:rsid w:val="00EA08B9"/>
    <w:rsid w:val="00EA0C88"/>
    <w:rsid w:val="00EA0F74"/>
    <w:rsid w:val="00EA12C5"/>
    <w:rsid w:val="00EA14BA"/>
    <w:rsid w:val="00EA183D"/>
    <w:rsid w:val="00EA1E06"/>
    <w:rsid w:val="00EA28BE"/>
    <w:rsid w:val="00EA291E"/>
    <w:rsid w:val="00EA2E51"/>
    <w:rsid w:val="00EA2E76"/>
    <w:rsid w:val="00EA3DB0"/>
    <w:rsid w:val="00EA4463"/>
    <w:rsid w:val="00EA4526"/>
    <w:rsid w:val="00EA46F2"/>
    <w:rsid w:val="00EA7C88"/>
    <w:rsid w:val="00EB0A50"/>
    <w:rsid w:val="00EB0E6A"/>
    <w:rsid w:val="00EB1740"/>
    <w:rsid w:val="00EB20B5"/>
    <w:rsid w:val="00EB2280"/>
    <w:rsid w:val="00EB22E9"/>
    <w:rsid w:val="00EB24B9"/>
    <w:rsid w:val="00EB2BC2"/>
    <w:rsid w:val="00EB398A"/>
    <w:rsid w:val="00EB3A83"/>
    <w:rsid w:val="00EB407F"/>
    <w:rsid w:val="00EB4D83"/>
    <w:rsid w:val="00EB5484"/>
    <w:rsid w:val="00EB5605"/>
    <w:rsid w:val="00EB5765"/>
    <w:rsid w:val="00EB61F9"/>
    <w:rsid w:val="00EB63B2"/>
    <w:rsid w:val="00EC13B2"/>
    <w:rsid w:val="00EC13BA"/>
    <w:rsid w:val="00EC18BA"/>
    <w:rsid w:val="00EC2878"/>
    <w:rsid w:val="00EC2AE8"/>
    <w:rsid w:val="00EC3DA1"/>
    <w:rsid w:val="00EC47C3"/>
    <w:rsid w:val="00EC498E"/>
    <w:rsid w:val="00EC51A7"/>
    <w:rsid w:val="00EC5CEE"/>
    <w:rsid w:val="00ED033D"/>
    <w:rsid w:val="00ED0F33"/>
    <w:rsid w:val="00ED139A"/>
    <w:rsid w:val="00ED290A"/>
    <w:rsid w:val="00ED3776"/>
    <w:rsid w:val="00ED3D4F"/>
    <w:rsid w:val="00ED4E91"/>
    <w:rsid w:val="00ED4F49"/>
    <w:rsid w:val="00ED501D"/>
    <w:rsid w:val="00ED58E8"/>
    <w:rsid w:val="00ED5C30"/>
    <w:rsid w:val="00ED6485"/>
    <w:rsid w:val="00ED6BEC"/>
    <w:rsid w:val="00ED71B4"/>
    <w:rsid w:val="00ED7887"/>
    <w:rsid w:val="00ED797B"/>
    <w:rsid w:val="00ED7D81"/>
    <w:rsid w:val="00ED7FBA"/>
    <w:rsid w:val="00EE012F"/>
    <w:rsid w:val="00EE0275"/>
    <w:rsid w:val="00EE17BB"/>
    <w:rsid w:val="00EE21B5"/>
    <w:rsid w:val="00EE4E44"/>
    <w:rsid w:val="00EE4F8D"/>
    <w:rsid w:val="00EE59B1"/>
    <w:rsid w:val="00EE618F"/>
    <w:rsid w:val="00EE678C"/>
    <w:rsid w:val="00EF11F7"/>
    <w:rsid w:val="00EF2C6C"/>
    <w:rsid w:val="00EF317F"/>
    <w:rsid w:val="00EF3578"/>
    <w:rsid w:val="00EF3775"/>
    <w:rsid w:val="00EF3CD1"/>
    <w:rsid w:val="00EF4367"/>
    <w:rsid w:val="00EF491F"/>
    <w:rsid w:val="00EF4B73"/>
    <w:rsid w:val="00EF6645"/>
    <w:rsid w:val="00EF687F"/>
    <w:rsid w:val="00EF72EA"/>
    <w:rsid w:val="00EF746F"/>
    <w:rsid w:val="00EF7B69"/>
    <w:rsid w:val="00F0038C"/>
    <w:rsid w:val="00F00AE8"/>
    <w:rsid w:val="00F00D37"/>
    <w:rsid w:val="00F0122C"/>
    <w:rsid w:val="00F014B3"/>
    <w:rsid w:val="00F01D89"/>
    <w:rsid w:val="00F021F3"/>
    <w:rsid w:val="00F03AA9"/>
    <w:rsid w:val="00F03C02"/>
    <w:rsid w:val="00F043BC"/>
    <w:rsid w:val="00F04476"/>
    <w:rsid w:val="00F045C9"/>
    <w:rsid w:val="00F05F5E"/>
    <w:rsid w:val="00F066FD"/>
    <w:rsid w:val="00F06AA6"/>
    <w:rsid w:val="00F0716D"/>
    <w:rsid w:val="00F073A9"/>
    <w:rsid w:val="00F10691"/>
    <w:rsid w:val="00F110A0"/>
    <w:rsid w:val="00F110DF"/>
    <w:rsid w:val="00F12010"/>
    <w:rsid w:val="00F12D6C"/>
    <w:rsid w:val="00F1475C"/>
    <w:rsid w:val="00F147AF"/>
    <w:rsid w:val="00F15D5E"/>
    <w:rsid w:val="00F1732B"/>
    <w:rsid w:val="00F173CE"/>
    <w:rsid w:val="00F20D44"/>
    <w:rsid w:val="00F21214"/>
    <w:rsid w:val="00F21DAF"/>
    <w:rsid w:val="00F22599"/>
    <w:rsid w:val="00F22727"/>
    <w:rsid w:val="00F239B9"/>
    <w:rsid w:val="00F23F47"/>
    <w:rsid w:val="00F24C6E"/>
    <w:rsid w:val="00F24EB7"/>
    <w:rsid w:val="00F25324"/>
    <w:rsid w:val="00F26949"/>
    <w:rsid w:val="00F32088"/>
    <w:rsid w:val="00F32AFA"/>
    <w:rsid w:val="00F3316D"/>
    <w:rsid w:val="00F334B9"/>
    <w:rsid w:val="00F33B4D"/>
    <w:rsid w:val="00F34287"/>
    <w:rsid w:val="00F344ED"/>
    <w:rsid w:val="00F34911"/>
    <w:rsid w:val="00F34AB8"/>
    <w:rsid w:val="00F379EB"/>
    <w:rsid w:val="00F41A9B"/>
    <w:rsid w:val="00F41F44"/>
    <w:rsid w:val="00F42792"/>
    <w:rsid w:val="00F43303"/>
    <w:rsid w:val="00F434E0"/>
    <w:rsid w:val="00F44345"/>
    <w:rsid w:val="00F45394"/>
    <w:rsid w:val="00F453B8"/>
    <w:rsid w:val="00F45BFA"/>
    <w:rsid w:val="00F4659B"/>
    <w:rsid w:val="00F4706D"/>
    <w:rsid w:val="00F47D02"/>
    <w:rsid w:val="00F50E5A"/>
    <w:rsid w:val="00F54941"/>
    <w:rsid w:val="00F5515F"/>
    <w:rsid w:val="00F55EAE"/>
    <w:rsid w:val="00F56552"/>
    <w:rsid w:val="00F5665A"/>
    <w:rsid w:val="00F56684"/>
    <w:rsid w:val="00F57870"/>
    <w:rsid w:val="00F60C13"/>
    <w:rsid w:val="00F6111E"/>
    <w:rsid w:val="00F6114A"/>
    <w:rsid w:val="00F61301"/>
    <w:rsid w:val="00F613FD"/>
    <w:rsid w:val="00F61424"/>
    <w:rsid w:val="00F614B6"/>
    <w:rsid w:val="00F61D65"/>
    <w:rsid w:val="00F62036"/>
    <w:rsid w:val="00F6204D"/>
    <w:rsid w:val="00F62287"/>
    <w:rsid w:val="00F6238B"/>
    <w:rsid w:val="00F62C2F"/>
    <w:rsid w:val="00F63086"/>
    <w:rsid w:val="00F649F5"/>
    <w:rsid w:val="00F653B5"/>
    <w:rsid w:val="00F658A0"/>
    <w:rsid w:val="00F65B68"/>
    <w:rsid w:val="00F65BF0"/>
    <w:rsid w:val="00F7022F"/>
    <w:rsid w:val="00F7087E"/>
    <w:rsid w:val="00F711A1"/>
    <w:rsid w:val="00F72B3D"/>
    <w:rsid w:val="00F72DAE"/>
    <w:rsid w:val="00F73A88"/>
    <w:rsid w:val="00F73D21"/>
    <w:rsid w:val="00F74EE3"/>
    <w:rsid w:val="00F752B1"/>
    <w:rsid w:val="00F75347"/>
    <w:rsid w:val="00F75E3C"/>
    <w:rsid w:val="00F75F93"/>
    <w:rsid w:val="00F76496"/>
    <w:rsid w:val="00F7656E"/>
    <w:rsid w:val="00F81B08"/>
    <w:rsid w:val="00F82D07"/>
    <w:rsid w:val="00F830D8"/>
    <w:rsid w:val="00F835E7"/>
    <w:rsid w:val="00F83849"/>
    <w:rsid w:val="00F84D12"/>
    <w:rsid w:val="00F86E2F"/>
    <w:rsid w:val="00F87963"/>
    <w:rsid w:val="00F933DF"/>
    <w:rsid w:val="00F94C74"/>
    <w:rsid w:val="00F95997"/>
    <w:rsid w:val="00F96F74"/>
    <w:rsid w:val="00F97677"/>
    <w:rsid w:val="00FA0FA1"/>
    <w:rsid w:val="00FA0FDB"/>
    <w:rsid w:val="00FA15BE"/>
    <w:rsid w:val="00FA2D45"/>
    <w:rsid w:val="00FA3757"/>
    <w:rsid w:val="00FA3A5A"/>
    <w:rsid w:val="00FA3E6D"/>
    <w:rsid w:val="00FA4270"/>
    <w:rsid w:val="00FA44A5"/>
    <w:rsid w:val="00FA4568"/>
    <w:rsid w:val="00FA4880"/>
    <w:rsid w:val="00FA4BF0"/>
    <w:rsid w:val="00FA64DB"/>
    <w:rsid w:val="00FB03DA"/>
    <w:rsid w:val="00FB0682"/>
    <w:rsid w:val="00FB0B3B"/>
    <w:rsid w:val="00FB1051"/>
    <w:rsid w:val="00FB230B"/>
    <w:rsid w:val="00FB4912"/>
    <w:rsid w:val="00FB4CD4"/>
    <w:rsid w:val="00FB51CA"/>
    <w:rsid w:val="00FB63F8"/>
    <w:rsid w:val="00FB748E"/>
    <w:rsid w:val="00FC17D0"/>
    <w:rsid w:val="00FC2F4B"/>
    <w:rsid w:val="00FC3B03"/>
    <w:rsid w:val="00FC40F4"/>
    <w:rsid w:val="00FC4194"/>
    <w:rsid w:val="00FC45D3"/>
    <w:rsid w:val="00FC46EE"/>
    <w:rsid w:val="00FC4963"/>
    <w:rsid w:val="00FC4EDB"/>
    <w:rsid w:val="00FC6ACC"/>
    <w:rsid w:val="00FD3AF2"/>
    <w:rsid w:val="00FD3D9A"/>
    <w:rsid w:val="00FD42C7"/>
    <w:rsid w:val="00FD455B"/>
    <w:rsid w:val="00FD4650"/>
    <w:rsid w:val="00FD708B"/>
    <w:rsid w:val="00FD7271"/>
    <w:rsid w:val="00FD7B05"/>
    <w:rsid w:val="00FE1315"/>
    <w:rsid w:val="00FE1821"/>
    <w:rsid w:val="00FE1E2C"/>
    <w:rsid w:val="00FE2419"/>
    <w:rsid w:val="00FE2E31"/>
    <w:rsid w:val="00FE4039"/>
    <w:rsid w:val="00FE578B"/>
    <w:rsid w:val="00FE66AC"/>
    <w:rsid w:val="00FF111B"/>
    <w:rsid w:val="00FF1421"/>
    <w:rsid w:val="00FF2124"/>
    <w:rsid w:val="00FF2E79"/>
    <w:rsid w:val="00FF364C"/>
    <w:rsid w:val="00FF4202"/>
    <w:rsid w:val="00FF42DF"/>
    <w:rsid w:val="00FF4A3E"/>
    <w:rsid w:val="00FF4B29"/>
    <w:rsid w:val="00FF555C"/>
    <w:rsid w:val="00FF67DE"/>
    <w:rsid w:val="00FF7C96"/>
    <w:rsid w:val="01262E7B"/>
    <w:rsid w:val="01651BF9"/>
    <w:rsid w:val="02074149"/>
    <w:rsid w:val="023C51A6"/>
    <w:rsid w:val="02D0381A"/>
    <w:rsid w:val="02FF7A7B"/>
    <w:rsid w:val="03970EF3"/>
    <w:rsid w:val="03C41C50"/>
    <w:rsid w:val="04195CD6"/>
    <w:rsid w:val="04664A43"/>
    <w:rsid w:val="052D4BB8"/>
    <w:rsid w:val="05DE35F9"/>
    <w:rsid w:val="065906F6"/>
    <w:rsid w:val="06C94CA7"/>
    <w:rsid w:val="072D466D"/>
    <w:rsid w:val="08847A6D"/>
    <w:rsid w:val="08BD7DF5"/>
    <w:rsid w:val="08EF7436"/>
    <w:rsid w:val="09B75A72"/>
    <w:rsid w:val="0A1933C1"/>
    <w:rsid w:val="0A275C9B"/>
    <w:rsid w:val="0B0E7430"/>
    <w:rsid w:val="0B6D0E12"/>
    <w:rsid w:val="0BEA4E6C"/>
    <w:rsid w:val="0D5364A5"/>
    <w:rsid w:val="0E22605E"/>
    <w:rsid w:val="0EB04812"/>
    <w:rsid w:val="0F5B51D7"/>
    <w:rsid w:val="0F980C7B"/>
    <w:rsid w:val="0FA20C48"/>
    <w:rsid w:val="10E647EE"/>
    <w:rsid w:val="11D617C7"/>
    <w:rsid w:val="12160F3D"/>
    <w:rsid w:val="12383670"/>
    <w:rsid w:val="12D806AF"/>
    <w:rsid w:val="12E5465F"/>
    <w:rsid w:val="12E54A8E"/>
    <w:rsid w:val="1367225C"/>
    <w:rsid w:val="14335D65"/>
    <w:rsid w:val="14733066"/>
    <w:rsid w:val="14B83A77"/>
    <w:rsid w:val="15633BC1"/>
    <w:rsid w:val="161316E0"/>
    <w:rsid w:val="162F76DF"/>
    <w:rsid w:val="16F2280E"/>
    <w:rsid w:val="16FD06A0"/>
    <w:rsid w:val="173870D0"/>
    <w:rsid w:val="17D536D0"/>
    <w:rsid w:val="17DC4231"/>
    <w:rsid w:val="18394D66"/>
    <w:rsid w:val="189512DD"/>
    <w:rsid w:val="18B148E5"/>
    <w:rsid w:val="18D06ACD"/>
    <w:rsid w:val="19C046BB"/>
    <w:rsid w:val="19D273E4"/>
    <w:rsid w:val="1A9B7FA0"/>
    <w:rsid w:val="1BCE6C1A"/>
    <w:rsid w:val="1CFA4584"/>
    <w:rsid w:val="1CFD009B"/>
    <w:rsid w:val="1D210E01"/>
    <w:rsid w:val="1D352E6D"/>
    <w:rsid w:val="1E9D0904"/>
    <w:rsid w:val="1EC918D4"/>
    <w:rsid w:val="1F0C220A"/>
    <w:rsid w:val="1F1C0096"/>
    <w:rsid w:val="214F03B6"/>
    <w:rsid w:val="22D03BB3"/>
    <w:rsid w:val="22F04FDF"/>
    <w:rsid w:val="233B2379"/>
    <w:rsid w:val="233D2EC8"/>
    <w:rsid w:val="23854F69"/>
    <w:rsid w:val="24421055"/>
    <w:rsid w:val="249A790E"/>
    <w:rsid w:val="24FE1181"/>
    <w:rsid w:val="252D23F0"/>
    <w:rsid w:val="25AA584B"/>
    <w:rsid w:val="262827A7"/>
    <w:rsid w:val="264032E5"/>
    <w:rsid w:val="26FF1058"/>
    <w:rsid w:val="292B40A3"/>
    <w:rsid w:val="292B6E28"/>
    <w:rsid w:val="29433CE5"/>
    <w:rsid w:val="29F44323"/>
    <w:rsid w:val="2A4370E4"/>
    <w:rsid w:val="2ACF254B"/>
    <w:rsid w:val="2B136C1A"/>
    <w:rsid w:val="2B524FB1"/>
    <w:rsid w:val="2BCB5153"/>
    <w:rsid w:val="2C1106C8"/>
    <w:rsid w:val="2C232E6A"/>
    <w:rsid w:val="2CCA601B"/>
    <w:rsid w:val="2E1A35E3"/>
    <w:rsid w:val="2E303A0A"/>
    <w:rsid w:val="2E73183B"/>
    <w:rsid w:val="2EA17B39"/>
    <w:rsid w:val="2ED75E55"/>
    <w:rsid w:val="2EFD79B0"/>
    <w:rsid w:val="2F0D2540"/>
    <w:rsid w:val="306F0059"/>
    <w:rsid w:val="307F5D61"/>
    <w:rsid w:val="313708CB"/>
    <w:rsid w:val="31F7647D"/>
    <w:rsid w:val="323301CB"/>
    <w:rsid w:val="32744B8F"/>
    <w:rsid w:val="330560B2"/>
    <w:rsid w:val="333933A4"/>
    <w:rsid w:val="33C63C60"/>
    <w:rsid w:val="33F12BDC"/>
    <w:rsid w:val="3424001A"/>
    <w:rsid w:val="346B0F5C"/>
    <w:rsid w:val="34A40D6C"/>
    <w:rsid w:val="356928AF"/>
    <w:rsid w:val="356C284A"/>
    <w:rsid w:val="35782485"/>
    <w:rsid w:val="36442807"/>
    <w:rsid w:val="365B05FB"/>
    <w:rsid w:val="36FB77C2"/>
    <w:rsid w:val="375972E4"/>
    <w:rsid w:val="377B4E57"/>
    <w:rsid w:val="37EB6B20"/>
    <w:rsid w:val="380432EB"/>
    <w:rsid w:val="38325688"/>
    <w:rsid w:val="38B213B1"/>
    <w:rsid w:val="39255B4E"/>
    <w:rsid w:val="39522BBC"/>
    <w:rsid w:val="396C3122"/>
    <w:rsid w:val="3B780E9B"/>
    <w:rsid w:val="3B7A0EFB"/>
    <w:rsid w:val="3BA06C7C"/>
    <w:rsid w:val="3BE86680"/>
    <w:rsid w:val="3DC770D9"/>
    <w:rsid w:val="3E722D9A"/>
    <w:rsid w:val="3E9C30CF"/>
    <w:rsid w:val="3EAF254C"/>
    <w:rsid w:val="3EFD191E"/>
    <w:rsid w:val="3FDE0D9F"/>
    <w:rsid w:val="3FED2FEE"/>
    <w:rsid w:val="40D01062"/>
    <w:rsid w:val="40DA1423"/>
    <w:rsid w:val="40E07CD7"/>
    <w:rsid w:val="41B66EC6"/>
    <w:rsid w:val="442707E9"/>
    <w:rsid w:val="44A775E5"/>
    <w:rsid w:val="44C95B2C"/>
    <w:rsid w:val="45070B05"/>
    <w:rsid w:val="45365B70"/>
    <w:rsid w:val="45FC0CDF"/>
    <w:rsid w:val="46DC71D9"/>
    <w:rsid w:val="46F35F4D"/>
    <w:rsid w:val="46F5039A"/>
    <w:rsid w:val="47545936"/>
    <w:rsid w:val="47734397"/>
    <w:rsid w:val="48DC6DED"/>
    <w:rsid w:val="48E867F2"/>
    <w:rsid w:val="49A3785C"/>
    <w:rsid w:val="4A245310"/>
    <w:rsid w:val="4A4C2952"/>
    <w:rsid w:val="4A56433F"/>
    <w:rsid w:val="4AC474D3"/>
    <w:rsid w:val="4AFB2A67"/>
    <w:rsid w:val="4BA161D4"/>
    <w:rsid w:val="4D3175E8"/>
    <w:rsid w:val="4D517B3A"/>
    <w:rsid w:val="4DB62BAC"/>
    <w:rsid w:val="4E476884"/>
    <w:rsid w:val="4E7757F1"/>
    <w:rsid w:val="4EC06E2B"/>
    <w:rsid w:val="4F45079D"/>
    <w:rsid w:val="4F4A51A8"/>
    <w:rsid w:val="4F745A93"/>
    <w:rsid w:val="50B6342F"/>
    <w:rsid w:val="51822AAF"/>
    <w:rsid w:val="52715451"/>
    <w:rsid w:val="53D35B84"/>
    <w:rsid w:val="541F25DA"/>
    <w:rsid w:val="55907E97"/>
    <w:rsid w:val="55C17D24"/>
    <w:rsid w:val="5604752C"/>
    <w:rsid w:val="560C0548"/>
    <w:rsid w:val="57D13391"/>
    <w:rsid w:val="584A2F5D"/>
    <w:rsid w:val="58711E07"/>
    <w:rsid w:val="58A724DD"/>
    <w:rsid w:val="58D85BA0"/>
    <w:rsid w:val="59226E5C"/>
    <w:rsid w:val="593143E2"/>
    <w:rsid w:val="59602626"/>
    <w:rsid w:val="59C26464"/>
    <w:rsid w:val="59E92E2E"/>
    <w:rsid w:val="5A1B1F7C"/>
    <w:rsid w:val="5ADC6568"/>
    <w:rsid w:val="5B044AF3"/>
    <w:rsid w:val="5B701980"/>
    <w:rsid w:val="5C033D33"/>
    <w:rsid w:val="5C1D5398"/>
    <w:rsid w:val="5C60789B"/>
    <w:rsid w:val="5D93349E"/>
    <w:rsid w:val="5E1C102F"/>
    <w:rsid w:val="5E300BDC"/>
    <w:rsid w:val="5E4A5134"/>
    <w:rsid w:val="5E636E04"/>
    <w:rsid w:val="5EF92B6B"/>
    <w:rsid w:val="5F257CBE"/>
    <w:rsid w:val="5FC324AB"/>
    <w:rsid w:val="5FF067F2"/>
    <w:rsid w:val="60004794"/>
    <w:rsid w:val="607E1604"/>
    <w:rsid w:val="60FE69AF"/>
    <w:rsid w:val="610F5E3D"/>
    <w:rsid w:val="61234D07"/>
    <w:rsid w:val="61470EEE"/>
    <w:rsid w:val="616A2EE3"/>
    <w:rsid w:val="6174274B"/>
    <w:rsid w:val="62114504"/>
    <w:rsid w:val="625E1B2F"/>
    <w:rsid w:val="62FB0345"/>
    <w:rsid w:val="64426A66"/>
    <w:rsid w:val="646043A7"/>
    <w:rsid w:val="6513475D"/>
    <w:rsid w:val="65397115"/>
    <w:rsid w:val="65B8668C"/>
    <w:rsid w:val="66850291"/>
    <w:rsid w:val="6783366C"/>
    <w:rsid w:val="685901C0"/>
    <w:rsid w:val="68914302"/>
    <w:rsid w:val="68E020AD"/>
    <w:rsid w:val="69382A2C"/>
    <w:rsid w:val="69406AA4"/>
    <w:rsid w:val="69434640"/>
    <w:rsid w:val="6952777E"/>
    <w:rsid w:val="69BB520F"/>
    <w:rsid w:val="6A9855AC"/>
    <w:rsid w:val="6B970DF3"/>
    <w:rsid w:val="6BA7643B"/>
    <w:rsid w:val="6C81556E"/>
    <w:rsid w:val="6D6E68A9"/>
    <w:rsid w:val="6DCE074A"/>
    <w:rsid w:val="6DEF7AF4"/>
    <w:rsid w:val="6DF87AF7"/>
    <w:rsid w:val="6E4C08EC"/>
    <w:rsid w:val="6F213FDC"/>
    <w:rsid w:val="6F774459"/>
    <w:rsid w:val="702E75C6"/>
    <w:rsid w:val="70C6627A"/>
    <w:rsid w:val="71191D5B"/>
    <w:rsid w:val="723954C5"/>
    <w:rsid w:val="7349569F"/>
    <w:rsid w:val="73C97C52"/>
    <w:rsid w:val="73D66C77"/>
    <w:rsid w:val="742B36F4"/>
    <w:rsid w:val="74D764BF"/>
    <w:rsid w:val="759F6833"/>
    <w:rsid w:val="766E211A"/>
    <w:rsid w:val="770B4760"/>
    <w:rsid w:val="77E36DBE"/>
    <w:rsid w:val="78215333"/>
    <w:rsid w:val="78432EB8"/>
    <w:rsid w:val="78E71402"/>
    <w:rsid w:val="7926454E"/>
    <w:rsid w:val="79360142"/>
    <w:rsid w:val="799C356E"/>
    <w:rsid w:val="79B73810"/>
    <w:rsid w:val="7A23132D"/>
    <w:rsid w:val="7AD0650C"/>
    <w:rsid w:val="7AE77452"/>
    <w:rsid w:val="7B105247"/>
    <w:rsid w:val="7B28499C"/>
    <w:rsid w:val="7B624F3C"/>
    <w:rsid w:val="7B7A6CD2"/>
    <w:rsid w:val="7BC01147"/>
    <w:rsid w:val="7BC376FB"/>
    <w:rsid w:val="7BE62C46"/>
    <w:rsid w:val="7C273426"/>
    <w:rsid w:val="7C4C347A"/>
    <w:rsid w:val="7CDB0853"/>
    <w:rsid w:val="7CEC3834"/>
    <w:rsid w:val="7D567E2D"/>
    <w:rsid w:val="7D7D15ED"/>
    <w:rsid w:val="7DA27D12"/>
    <w:rsid w:val="7DFB681C"/>
    <w:rsid w:val="7EC006FE"/>
    <w:rsid w:val="7FC33C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3">
    <w:name w:val="heading 1"/>
    <w:basedOn w:val="1"/>
    <w:next w:val="1"/>
    <w:link w:val="78"/>
    <w:qFormat/>
    <w:uiPriority w:val="0"/>
    <w:pPr>
      <w:keepNext/>
      <w:spacing w:line="380" w:lineRule="exact"/>
      <w:jc w:val="center"/>
      <w:outlineLvl w:val="0"/>
    </w:pPr>
    <w:rPr>
      <w:rFonts w:ascii="宋体"/>
      <w:b/>
      <w:bCs/>
      <w:sz w:val="28"/>
    </w:rPr>
  </w:style>
  <w:style w:type="paragraph" w:styleId="4">
    <w:name w:val="heading 2"/>
    <w:basedOn w:val="1"/>
    <w:next w:val="1"/>
    <w:link w:val="142"/>
    <w:qFormat/>
    <w:uiPriority w:val="0"/>
    <w:pPr>
      <w:keepNext/>
      <w:keepLines/>
      <w:tabs>
        <w:tab w:val="left" w:pos="578"/>
      </w:tabs>
      <w:spacing w:before="156" w:beforeLines="50" w:after="156" w:afterLines="50" w:line="360" w:lineRule="auto"/>
      <w:ind w:left="578" w:hanging="578"/>
      <w:outlineLvl w:val="1"/>
    </w:pPr>
    <w:rPr>
      <w:rFonts w:ascii="Arial" w:hAnsi="Arial" w:eastAsia="黑体"/>
      <w:b/>
      <w:bCs/>
      <w:sz w:val="32"/>
      <w:szCs w:val="32"/>
    </w:rPr>
  </w:style>
  <w:style w:type="paragraph" w:styleId="5">
    <w:name w:val="heading 3"/>
    <w:basedOn w:val="1"/>
    <w:next w:val="1"/>
    <w:link w:val="115"/>
    <w:qFormat/>
    <w:uiPriority w:val="0"/>
    <w:pPr>
      <w:keepNext/>
      <w:keepLines/>
      <w:tabs>
        <w:tab w:val="left" w:pos="1620"/>
      </w:tabs>
      <w:spacing w:before="156" w:beforeLines="50" w:after="156" w:afterLines="50" w:line="360" w:lineRule="auto"/>
      <w:ind w:left="1620" w:hanging="720"/>
      <w:outlineLvl w:val="2"/>
    </w:pPr>
    <w:rPr>
      <w:rFonts w:ascii="Arial" w:hAnsi="Arial" w:eastAsia="黑体" w:cs="Arial"/>
      <w:b/>
      <w:bCs/>
      <w:sz w:val="30"/>
      <w:szCs w:val="32"/>
    </w:rPr>
  </w:style>
  <w:style w:type="paragraph" w:styleId="6">
    <w:name w:val="heading 4"/>
    <w:basedOn w:val="1"/>
    <w:next w:val="1"/>
    <w:link w:val="86"/>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7">
    <w:name w:val="heading 5"/>
    <w:basedOn w:val="1"/>
    <w:next w:val="1"/>
    <w:link w:val="138"/>
    <w:qFormat/>
    <w:uiPriority w:val="0"/>
    <w:pPr>
      <w:keepNext/>
      <w:keepLines/>
      <w:tabs>
        <w:tab w:val="left" w:pos="1548"/>
      </w:tabs>
      <w:spacing w:before="280" w:after="290" w:line="376" w:lineRule="auto"/>
      <w:ind w:left="1548" w:hanging="1548"/>
      <w:outlineLvl w:val="4"/>
    </w:pPr>
    <w:rPr>
      <w:b/>
      <w:bCs/>
      <w:sz w:val="28"/>
      <w:szCs w:val="28"/>
    </w:rPr>
  </w:style>
  <w:style w:type="paragraph" w:styleId="8">
    <w:name w:val="heading 6"/>
    <w:basedOn w:val="1"/>
    <w:next w:val="1"/>
    <w:link w:val="57"/>
    <w:qFormat/>
    <w:uiPriority w:val="0"/>
    <w:pPr>
      <w:keepNext/>
      <w:keepLines/>
      <w:spacing w:before="240" w:after="64" w:line="320" w:lineRule="auto"/>
      <w:outlineLvl w:val="5"/>
    </w:pPr>
    <w:rPr>
      <w:rFonts w:ascii="Cambria" w:hAnsi="Cambria"/>
      <w:b/>
      <w:bCs/>
      <w:sz w:val="24"/>
      <w:szCs w:val="24"/>
    </w:rPr>
  </w:style>
  <w:style w:type="paragraph" w:styleId="9">
    <w:name w:val="heading 7"/>
    <w:basedOn w:val="1"/>
    <w:next w:val="1"/>
    <w:link w:val="104"/>
    <w:qFormat/>
    <w:uiPriority w:val="0"/>
    <w:pPr>
      <w:keepNext/>
      <w:keepLines/>
      <w:numPr>
        <w:ilvl w:val="6"/>
        <w:numId w:val="1"/>
      </w:numPr>
      <w:tabs>
        <w:tab w:val="left" w:pos="1296"/>
        <w:tab w:val="clear" w:pos="2940"/>
      </w:tabs>
      <w:spacing w:before="240" w:after="64" w:line="317" w:lineRule="auto"/>
      <w:outlineLvl w:val="6"/>
    </w:pPr>
    <w:rPr>
      <w:b/>
      <w:bCs/>
      <w:sz w:val="24"/>
      <w:szCs w:val="24"/>
    </w:rPr>
  </w:style>
  <w:style w:type="paragraph" w:styleId="10">
    <w:name w:val="heading 8"/>
    <w:basedOn w:val="1"/>
    <w:next w:val="1"/>
    <w:link w:val="75"/>
    <w:qFormat/>
    <w:uiPriority w:val="0"/>
    <w:pPr>
      <w:keepNext/>
      <w:keepLines/>
      <w:numPr>
        <w:ilvl w:val="7"/>
        <w:numId w:val="1"/>
      </w:numPr>
      <w:tabs>
        <w:tab w:val="left" w:pos="1440"/>
        <w:tab w:val="clear" w:pos="3360"/>
      </w:tabs>
      <w:spacing w:before="240" w:after="64" w:line="317" w:lineRule="auto"/>
      <w:outlineLvl w:val="7"/>
    </w:pPr>
    <w:rPr>
      <w:rFonts w:ascii="Arial" w:hAnsi="Arial" w:eastAsia="黑体"/>
      <w:sz w:val="24"/>
      <w:szCs w:val="24"/>
    </w:rPr>
  </w:style>
  <w:style w:type="paragraph" w:styleId="11">
    <w:name w:val="heading 9"/>
    <w:basedOn w:val="1"/>
    <w:next w:val="1"/>
    <w:link w:val="94"/>
    <w:qFormat/>
    <w:uiPriority w:val="0"/>
    <w:pPr>
      <w:keepNext/>
      <w:keepLines/>
      <w:numPr>
        <w:ilvl w:val="8"/>
        <w:numId w:val="1"/>
      </w:numPr>
      <w:tabs>
        <w:tab w:val="left" w:pos="1584"/>
        <w:tab w:val="clear" w:pos="3780"/>
      </w:tabs>
      <w:spacing w:before="240" w:after="64" w:line="317" w:lineRule="auto"/>
      <w:outlineLvl w:val="8"/>
    </w:pPr>
    <w:rPr>
      <w:rFonts w:ascii="Arial" w:hAnsi="Arial" w:eastAsia="黑体"/>
      <w:szCs w:val="21"/>
    </w:rPr>
  </w:style>
  <w:style w:type="character" w:default="1" w:styleId="49">
    <w:name w:val="Default Paragraph Font"/>
    <w:semiHidden/>
    <w:uiPriority w:val="0"/>
  </w:style>
  <w:style w:type="table" w:default="1" w:styleId="47">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47"/>
      <w:tblCellMar>
        <w:top w:w="0" w:type="dxa"/>
        <w:left w:w="108" w:type="dxa"/>
        <w:bottom w:w="0" w:type="dxa"/>
        <w:right w:w="108" w:type="dxa"/>
      </w:tblCellMar>
    </w:tblPr>
  </w:style>
  <w:style w:type="paragraph" w:styleId="2">
    <w:name w:val="Body Text"/>
    <w:basedOn w:val="1"/>
    <w:link w:val="93"/>
    <w:uiPriority w:val="0"/>
    <w:rPr>
      <w:i/>
      <w:sz w:val="18"/>
    </w:rPr>
  </w:style>
  <w:style w:type="paragraph" w:styleId="12">
    <w:name w:val="List 3"/>
    <w:basedOn w:val="1"/>
    <w:uiPriority w:val="0"/>
    <w:pPr>
      <w:ind w:left="100" w:leftChars="400" w:hanging="200" w:hangingChars="200"/>
    </w:pPr>
    <w:rPr>
      <w:szCs w:val="24"/>
    </w:rPr>
  </w:style>
  <w:style w:type="paragraph" w:styleId="13">
    <w:name w:val="toc 7"/>
    <w:basedOn w:val="1"/>
    <w:next w:val="1"/>
    <w:uiPriority w:val="0"/>
    <w:pPr>
      <w:ind w:left="1260"/>
      <w:jc w:val="left"/>
    </w:pPr>
    <w:rPr>
      <w:sz w:val="18"/>
      <w:szCs w:val="18"/>
    </w:rPr>
  </w:style>
  <w:style w:type="paragraph" w:styleId="14">
    <w:name w:val="Note Heading"/>
    <w:basedOn w:val="1"/>
    <w:next w:val="1"/>
    <w:uiPriority w:val="0"/>
    <w:pPr>
      <w:jc w:val="center"/>
    </w:pPr>
    <w:rPr>
      <w:rFonts w:ascii="DFKai-SB" w:hAnsi="DFKai-SB" w:eastAsia="DFKai-SB"/>
      <w:kern w:val="0"/>
      <w:sz w:val="20"/>
    </w:rPr>
  </w:style>
  <w:style w:type="paragraph" w:styleId="15">
    <w:name w:val="Normal Indent"/>
    <w:basedOn w:val="1"/>
    <w:link w:val="134"/>
    <w:uiPriority w:val="0"/>
    <w:pPr>
      <w:ind w:firstLine="420" w:firstLineChars="200"/>
    </w:pPr>
    <w:rPr>
      <w:szCs w:val="24"/>
    </w:rPr>
  </w:style>
  <w:style w:type="paragraph" w:styleId="16">
    <w:name w:val="Document Map"/>
    <w:basedOn w:val="1"/>
    <w:link w:val="82"/>
    <w:semiHidden/>
    <w:uiPriority w:val="0"/>
    <w:pPr>
      <w:shd w:val="clear" w:color="auto" w:fill="000080"/>
    </w:pPr>
  </w:style>
  <w:style w:type="paragraph" w:styleId="17">
    <w:name w:val="annotation text"/>
    <w:basedOn w:val="1"/>
    <w:semiHidden/>
    <w:uiPriority w:val="0"/>
    <w:pPr>
      <w:jc w:val="left"/>
    </w:pPr>
  </w:style>
  <w:style w:type="paragraph" w:styleId="18">
    <w:name w:val="Body Text 3"/>
    <w:basedOn w:val="1"/>
    <w:link w:val="118"/>
    <w:uiPriority w:val="0"/>
    <w:pPr>
      <w:spacing w:after="120" w:line="360" w:lineRule="auto"/>
    </w:pPr>
    <w:rPr>
      <w:kern w:val="0"/>
      <w:sz w:val="16"/>
      <w:szCs w:val="16"/>
    </w:rPr>
  </w:style>
  <w:style w:type="paragraph" w:styleId="19">
    <w:name w:val="Body Text Indent"/>
    <w:basedOn w:val="1"/>
    <w:link w:val="84"/>
    <w:uiPriority w:val="0"/>
    <w:pPr>
      <w:spacing w:line="380" w:lineRule="exact"/>
      <w:ind w:firstLine="480"/>
    </w:pPr>
    <w:rPr>
      <w:rFonts w:eastAsia="方正书宋简体"/>
      <w:sz w:val="24"/>
    </w:rPr>
  </w:style>
  <w:style w:type="paragraph" w:styleId="20">
    <w:name w:val="List Number 3"/>
    <w:basedOn w:val="1"/>
    <w:uiPriority w:val="0"/>
    <w:pPr>
      <w:widowControl/>
      <w:numPr>
        <w:ilvl w:val="0"/>
        <w:numId w:val="1"/>
      </w:numPr>
      <w:tabs>
        <w:tab w:val="left" w:pos="482"/>
        <w:tab w:val="clear" w:pos="510"/>
      </w:tabs>
      <w:spacing w:after="50" w:afterLines="50"/>
      <w:ind w:left="482" w:hanging="340"/>
      <w:jc w:val="left"/>
    </w:pPr>
    <w:rPr>
      <w:kern w:val="0"/>
      <w:sz w:val="24"/>
    </w:rPr>
  </w:style>
  <w:style w:type="paragraph" w:styleId="21">
    <w:name w:val="toc 5"/>
    <w:basedOn w:val="1"/>
    <w:next w:val="1"/>
    <w:uiPriority w:val="0"/>
    <w:pPr>
      <w:ind w:left="840"/>
      <w:jc w:val="left"/>
    </w:pPr>
    <w:rPr>
      <w:sz w:val="18"/>
      <w:szCs w:val="18"/>
    </w:rPr>
  </w:style>
  <w:style w:type="paragraph" w:styleId="22">
    <w:name w:val="toc 3"/>
    <w:basedOn w:val="1"/>
    <w:uiPriority w:val="0"/>
    <w:pPr>
      <w:ind w:left="420"/>
      <w:jc w:val="left"/>
    </w:pPr>
    <w:rPr>
      <w:i/>
      <w:iCs/>
      <w:sz w:val="20"/>
    </w:rPr>
  </w:style>
  <w:style w:type="paragraph" w:styleId="23">
    <w:name w:val="Plain Text"/>
    <w:basedOn w:val="1"/>
    <w:link w:val="73"/>
    <w:uiPriority w:val="0"/>
    <w:pPr>
      <w:widowControl/>
      <w:spacing w:before="100" w:beforeAutospacing="1" w:after="100" w:afterAutospacing="1"/>
      <w:jc w:val="left"/>
    </w:pPr>
    <w:rPr>
      <w:rFonts w:ascii="宋体" w:hAnsi="宋体" w:cs="宋体"/>
      <w:color w:val="000000"/>
      <w:kern w:val="0"/>
      <w:sz w:val="24"/>
      <w:szCs w:val="24"/>
    </w:rPr>
  </w:style>
  <w:style w:type="paragraph" w:styleId="24">
    <w:name w:val="toc 8"/>
    <w:basedOn w:val="1"/>
    <w:next w:val="1"/>
    <w:uiPriority w:val="0"/>
    <w:pPr>
      <w:ind w:left="1470"/>
      <w:jc w:val="left"/>
    </w:pPr>
    <w:rPr>
      <w:sz w:val="18"/>
      <w:szCs w:val="18"/>
    </w:rPr>
  </w:style>
  <w:style w:type="paragraph" w:styleId="25">
    <w:name w:val="Date"/>
    <w:basedOn w:val="1"/>
    <w:next w:val="1"/>
    <w:uiPriority w:val="0"/>
    <w:pPr>
      <w:adjustRightInd w:val="0"/>
      <w:spacing w:line="312" w:lineRule="atLeast"/>
      <w:jc w:val="right"/>
      <w:textAlignment w:val="baseline"/>
    </w:pPr>
    <w:rPr>
      <w:rFonts w:ascii="宋体"/>
      <w:kern w:val="0"/>
      <w:sz w:val="24"/>
    </w:rPr>
  </w:style>
  <w:style w:type="paragraph" w:styleId="26">
    <w:name w:val="Body Text Indent 2"/>
    <w:basedOn w:val="1"/>
    <w:link w:val="133"/>
    <w:uiPriority w:val="0"/>
    <w:pPr>
      <w:spacing w:line="380" w:lineRule="exact"/>
      <w:ind w:left="840" w:hanging="45"/>
    </w:pPr>
    <w:rPr>
      <w:rFonts w:ascii="宋体"/>
      <w:sz w:val="24"/>
    </w:rPr>
  </w:style>
  <w:style w:type="paragraph" w:styleId="27">
    <w:name w:val="Balloon Text"/>
    <w:basedOn w:val="1"/>
    <w:semiHidden/>
    <w:uiPriority w:val="0"/>
    <w:rPr>
      <w:sz w:val="18"/>
      <w:szCs w:val="18"/>
    </w:rPr>
  </w:style>
  <w:style w:type="paragraph" w:styleId="28">
    <w:name w:val="footer"/>
    <w:basedOn w:val="1"/>
    <w:link w:val="77"/>
    <w:uiPriority w:val="99"/>
    <w:pPr>
      <w:tabs>
        <w:tab w:val="center" w:pos="4153"/>
        <w:tab w:val="right" w:pos="8306"/>
      </w:tabs>
      <w:snapToGrid w:val="0"/>
      <w:jc w:val="left"/>
    </w:pPr>
    <w:rPr>
      <w:sz w:val="18"/>
    </w:rPr>
  </w:style>
  <w:style w:type="paragraph" w:styleId="29">
    <w:name w:val="header"/>
    <w:basedOn w:val="1"/>
    <w:link w:val="89"/>
    <w:uiPriority w:val="0"/>
    <w:pPr>
      <w:pBdr>
        <w:bottom w:val="single" w:color="auto" w:sz="6" w:space="1"/>
      </w:pBdr>
      <w:tabs>
        <w:tab w:val="center" w:pos="4153"/>
        <w:tab w:val="right" w:pos="8306"/>
      </w:tabs>
      <w:snapToGrid w:val="0"/>
      <w:jc w:val="center"/>
    </w:pPr>
    <w:rPr>
      <w:sz w:val="18"/>
    </w:rPr>
  </w:style>
  <w:style w:type="paragraph" w:styleId="30">
    <w:name w:val="toc 1"/>
    <w:basedOn w:val="1"/>
    <w:next w:val="1"/>
    <w:semiHidden/>
    <w:uiPriority w:val="0"/>
    <w:pPr>
      <w:tabs>
        <w:tab w:val="right" w:leader="dot" w:pos="8721"/>
      </w:tabs>
      <w:spacing w:line="480" w:lineRule="auto"/>
    </w:pPr>
    <w:rPr>
      <w:rFonts w:ascii="宋体" w:hAnsi="宋体"/>
      <w:color w:val="000000"/>
      <w:sz w:val="32"/>
      <w:szCs w:val="32"/>
      <w:lang/>
    </w:rPr>
  </w:style>
  <w:style w:type="paragraph" w:styleId="31">
    <w:name w:val="toc 4"/>
    <w:basedOn w:val="1"/>
    <w:next w:val="1"/>
    <w:uiPriority w:val="0"/>
    <w:pPr>
      <w:ind w:left="630"/>
      <w:jc w:val="left"/>
    </w:pPr>
    <w:rPr>
      <w:sz w:val="18"/>
      <w:szCs w:val="18"/>
    </w:rPr>
  </w:style>
  <w:style w:type="paragraph" w:styleId="32">
    <w:name w:val="Subtitle"/>
    <w:basedOn w:val="1"/>
    <w:next w:val="1"/>
    <w:link w:val="92"/>
    <w:qFormat/>
    <w:uiPriority w:val="0"/>
    <w:pPr>
      <w:spacing w:before="240" w:after="60" w:line="312" w:lineRule="auto"/>
      <w:jc w:val="center"/>
      <w:outlineLvl w:val="1"/>
    </w:pPr>
    <w:rPr>
      <w:rFonts w:ascii="宋体" w:hAnsi="宋体" w:cs="宋体"/>
      <w:color w:val="000000"/>
      <w:kern w:val="0"/>
      <w:sz w:val="24"/>
      <w:szCs w:val="24"/>
    </w:rPr>
  </w:style>
  <w:style w:type="paragraph" w:styleId="33">
    <w:name w:val="List Number 5"/>
    <w:basedOn w:val="1"/>
    <w:uiPriority w:val="0"/>
    <w:pPr>
      <w:numPr>
        <w:ilvl w:val="0"/>
        <w:numId w:val="2"/>
      </w:numPr>
      <w:tabs>
        <w:tab w:val="left" w:pos="2608"/>
        <w:tab w:val="clear" w:pos="840"/>
      </w:tabs>
      <w:spacing w:line="360" w:lineRule="auto"/>
    </w:pPr>
    <w:rPr>
      <w:sz w:val="24"/>
      <w:szCs w:val="24"/>
    </w:rPr>
  </w:style>
  <w:style w:type="paragraph" w:styleId="34">
    <w:name w:val="toc 6"/>
    <w:basedOn w:val="1"/>
    <w:next w:val="1"/>
    <w:uiPriority w:val="0"/>
    <w:pPr>
      <w:ind w:left="1050"/>
      <w:jc w:val="left"/>
    </w:pPr>
    <w:rPr>
      <w:sz w:val="18"/>
      <w:szCs w:val="18"/>
    </w:rPr>
  </w:style>
  <w:style w:type="paragraph" w:styleId="35">
    <w:name w:val="Body Text Indent 3"/>
    <w:basedOn w:val="1"/>
    <w:link w:val="141"/>
    <w:uiPriority w:val="0"/>
    <w:pPr>
      <w:spacing w:line="380" w:lineRule="exact"/>
      <w:ind w:left="525"/>
    </w:pPr>
    <w:rPr>
      <w:rFonts w:ascii="宋体"/>
      <w:sz w:val="24"/>
    </w:rPr>
  </w:style>
  <w:style w:type="paragraph" w:styleId="36">
    <w:name w:val="table of figures"/>
    <w:basedOn w:val="1"/>
    <w:next w:val="1"/>
    <w:uiPriority w:val="0"/>
    <w:pPr>
      <w:ind w:left="420" w:hanging="420"/>
      <w:jc w:val="left"/>
    </w:pPr>
    <w:rPr>
      <w:smallCaps/>
      <w:sz w:val="20"/>
    </w:rPr>
  </w:style>
  <w:style w:type="paragraph" w:styleId="37">
    <w:name w:val="toc 2"/>
    <w:basedOn w:val="1"/>
    <w:uiPriority w:val="0"/>
    <w:pPr>
      <w:ind w:left="210"/>
      <w:jc w:val="left"/>
    </w:pPr>
    <w:rPr>
      <w:smallCaps/>
      <w:sz w:val="20"/>
    </w:rPr>
  </w:style>
  <w:style w:type="paragraph" w:styleId="38">
    <w:name w:val="toc 9"/>
    <w:basedOn w:val="1"/>
    <w:next w:val="1"/>
    <w:uiPriority w:val="0"/>
    <w:pPr>
      <w:ind w:left="1680"/>
      <w:jc w:val="left"/>
    </w:pPr>
    <w:rPr>
      <w:sz w:val="18"/>
      <w:szCs w:val="18"/>
    </w:rPr>
  </w:style>
  <w:style w:type="paragraph" w:styleId="39">
    <w:name w:val="Body Text 2"/>
    <w:basedOn w:val="1"/>
    <w:link w:val="83"/>
    <w:uiPriority w:val="0"/>
    <w:pPr>
      <w:spacing w:after="120" w:line="480" w:lineRule="auto"/>
    </w:pPr>
    <w:rPr>
      <w:kern w:val="0"/>
      <w:sz w:val="24"/>
      <w:szCs w:val="24"/>
    </w:rPr>
  </w:style>
  <w:style w:type="paragraph" w:styleId="40">
    <w:name w:val="HTML Preformatted"/>
    <w:basedOn w:val="1"/>
    <w:uiPriority w:val="0"/>
    <w:rPr>
      <w:rFonts w:ascii="Courier New" w:hAnsi="Courier New" w:cs="Courier New"/>
      <w:sz w:val="20"/>
    </w:rPr>
  </w:style>
  <w:style w:type="paragraph" w:styleId="41">
    <w:name w:val="Normal (Web)"/>
    <w:basedOn w:val="1"/>
    <w:uiPriority w:val="0"/>
    <w:pPr>
      <w:widowControl/>
      <w:spacing w:before="100" w:beforeAutospacing="1" w:after="100" w:afterAutospacing="1" w:line="300" w:lineRule="atLeast"/>
      <w:jc w:val="left"/>
    </w:pPr>
    <w:rPr>
      <w:rFonts w:ascii="宋体" w:hAnsi="宋体" w:cs="宋体"/>
      <w:kern w:val="0"/>
      <w:sz w:val="24"/>
      <w:szCs w:val="24"/>
    </w:rPr>
  </w:style>
  <w:style w:type="paragraph" w:styleId="42">
    <w:name w:val="index 1"/>
    <w:basedOn w:val="1"/>
    <w:next w:val="1"/>
    <w:semiHidden/>
    <w:uiPriority w:val="0"/>
  </w:style>
  <w:style w:type="paragraph" w:styleId="43">
    <w:name w:val="Title"/>
    <w:basedOn w:val="1"/>
    <w:link w:val="100"/>
    <w:qFormat/>
    <w:uiPriority w:val="0"/>
    <w:pPr>
      <w:spacing w:before="240" w:after="60"/>
      <w:jc w:val="center"/>
      <w:outlineLvl w:val="0"/>
    </w:pPr>
    <w:rPr>
      <w:rFonts w:ascii="Arial" w:hAnsi="Arial" w:cs="Arial"/>
      <w:b/>
      <w:bCs/>
      <w:sz w:val="32"/>
      <w:szCs w:val="32"/>
    </w:rPr>
  </w:style>
  <w:style w:type="paragraph" w:styleId="44">
    <w:name w:val="annotation subject"/>
    <w:basedOn w:val="17"/>
    <w:next w:val="17"/>
    <w:semiHidden/>
    <w:uiPriority w:val="0"/>
    <w:rPr>
      <w:b/>
      <w:bCs/>
    </w:rPr>
  </w:style>
  <w:style w:type="paragraph" w:styleId="45">
    <w:name w:val="Body Text First Indent"/>
    <w:basedOn w:val="2"/>
    <w:link w:val="91"/>
    <w:uiPriority w:val="0"/>
    <w:pPr>
      <w:spacing w:after="120"/>
      <w:ind w:firstLine="420" w:firstLineChars="100"/>
    </w:pPr>
    <w:rPr>
      <w:sz w:val="21"/>
      <w:szCs w:val="24"/>
    </w:rPr>
  </w:style>
  <w:style w:type="paragraph" w:styleId="46">
    <w:name w:val="Body Text First Indent 2"/>
    <w:basedOn w:val="19"/>
    <w:uiPriority w:val="0"/>
    <w:pPr>
      <w:spacing w:after="120" w:line="240" w:lineRule="auto"/>
      <w:ind w:left="420" w:leftChars="200" w:firstLine="420" w:firstLineChars="200"/>
    </w:pPr>
    <w:rPr>
      <w:rFonts w:eastAsia="宋体"/>
      <w:sz w:val="21"/>
    </w:rPr>
  </w:style>
  <w:style w:type="table" w:styleId="48">
    <w:name w:val="Table Grid"/>
    <w:basedOn w:val="47"/>
    <w:uiPriority w:val="0"/>
    <w:pPr>
      <w:widowControl w:val="0"/>
      <w:jc w:val="both"/>
    </w:pPr>
    <w:tblPr>
      <w:tblStyle w:val="4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page number"/>
    <w:basedOn w:val="49"/>
    <w:uiPriority w:val="0"/>
  </w:style>
  <w:style w:type="character" w:styleId="52">
    <w:name w:val="FollowedHyperlink"/>
    <w:uiPriority w:val="0"/>
    <w:rPr>
      <w:color w:val="333333"/>
      <w:u w:val="none"/>
    </w:rPr>
  </w:style>
  <w:style w:type="character" w:styleId="53">
    <w:name w:val="Emphasis"/>
    <w:qFormat/>
    <w:uiPriority w:val="0"/>
    <w:rPr>
      <w:color w:val="CC0000"/>
    </w:rPr>
  </w:style>
  <w:style w:type="character" w:styleId="54">
    <w:name w:val="HTML Typewriter"/>
    <w:uiPriority w:val="0"/>
    <w:rPr>
      <w:rFonts w:ascii="Courier New" w:hAnsi="Courier New" w:cs="Courier New"/>
      <w:sz w:val="20"/>
      <w:szCs w:val="20"/>
    </w:rPr>
  </w:style>
  <w:style w:type="character" w:styleId="55">
    <w:name w:val="Hyperlink"/>
    <w:uiPriority w:val="0"/>
    <w:rPr>
      <w:color w:val="333333"/>
      <w:u w:val="none"/>
    </w:rPr>
  </w:style>
  <w:style w:type="character" w:styleId="56">
    <w:name w:val="annotation reference"/>
    <w:semiHidden/>
    <w:uiPriority w:val="0"/>
    <w:rPr>
      <w:sz w:val="21"/>
      <w:szCs w:val="21"/>
    </w:rPr>
  </w:style>
  <w:style w:type="character" w:customStyle="1" w:styleId="57">
    <w:name w:val="标题 6 Char"/>
    <w:link w:val="8"/>
    <w:semiHidden/>
    <w:uiPriority w:val="0"/>
    <w:rPr>
      <w:rFonts w:ascii="Cambria" w:hAnsi="Cambria" w:eastAsia="宋体"/>
      <w:b/>
      <w:bCs/>
      <w:kern w:val="2"/>
      <w:sz w:val="24"/>
      <w:szCs w:val="24"/>
      <w:lang w:val="en-US" w:eastAsia="zh-CN" w:bidi="ar-SA"/>
    </w:rPr>
  </w:style>
  <w:style w:type="character" w:customStyle="1" w:styleId="58">
    <w:name w:val="哈哈正文 Char"/>
    <w:link w:val="59"/>
    <w:uiPriority w:val="0"/>
    <w:rPr>
      <w:rFonts w:ascii="宋体" w:hAnsi="宋体" w:eastAsia="宋体" w:cs="宋体"/>
      <w:kern w:val="2"/>
      <w:sz w:val="24"/>
      <w:lang w:val="en-US" w:eastAsia="zh-CN" w:bidi="ar-SA"/>
    </w:rPr>
  </w:style>
  <w:style w:type="paragraph" w:customStyle="1" w:styleId="59">
    <w:name w:val="哈哈正文"/>
    <w:basedOn w:val="1"/>
    <w:link w:val="58"/>
    <w:uiPriority w:val="0"/>
    <w:pPr>
      <w:spacing w:line="360" w:lineRule="auto"/>
      <w:ind w:firstLine="200" w:firstLineChars="200"/>
    </w:pPr>
    <w:rPr>
      <w:rFonts w:ascii="宋体" w:hAnsi="宋体" w:cs="宋体"/>
      <w:sz w:val="24"/>
    </w:rPr>
  </w:style>
  <w:style w:type="character" w:customStyle="1" w:styleId="60">
    <w:name w:val="标准正文 Char"/>
    <w:link w:val="61"/>
    <w:uiPriority w:val="0"/>
    <w:rPr>
      <w:rFonts w:eastAsia="宋体"/>
      <w:sz w:val="24"/>
      <w:lang w:val="en-US" w:eastAsia="zh-CN" w:bidi="ar-SA"/>
    </w:rPr>
  </w:style>
  <w:style w:type="paragraph" w:customStyle="1" w:styleId="61">
    <w:name w:val="标准正文"/>
    <w:basedOn w:val="1"/>
    <w:link w:val="60"/>
    <w:uiPriority w:val="0"/>
    <w:pPr>
      <w:adjustRightInd w:val="0"/>
      <w:spacing w:line="360" w:lineRule="auto"/>
      <w:ind w:firstLine="480" w:firstLineChars="200"/>
    </w:pPr>
    <w:rPr>
      <w:kern w:val="0"/>
      <w:sz w:val="24"/>
    </w:rPr>
  </w:style>
  <w:style w:type="character" w:customStyle="1" w:styleId="62">
    <w:name w:val="font21"/>
    <w:uiPriority w:val="0"/>
    <w:rPr>
      <w:rFonts w:hint="default" w:ascii="Wingdings" w:hAnsi="Wingdings"/>
      <w:color w:val="000000"/>
      <w:sz w:val="20"/>
      <w:szCs w:val="20"/>
      <w:u w:val="none"/>
    </w:rPr>
  </w:style>
  <w:style w:type="character" w:customStyle="1" w:styleId="63">
    <w:name w:val=" Char Char11"/>
    <w:uiPriority w:val="0"/>
    <w:rPr>
      <w:rFonts w:eastAsia="宋体"/>
      <w:kern w:val="2"/>
      <w:sz w:val="18"/>
      <w:lang w:val="en-US" w:eastAsia="zh-CN" w:bidi="ar-SA"/>
    </w:rPr>
  </w:style>
  <w:style w:type="character" w:customStyle="1" w:styleId="64">
    <w:name w:val="font11"/>
    <w:uiPriority w:val="0"/>
    <w:rPr>
      <w:rFonts w:hint="default" w:ascii="Times New Roman" w:hAnsi="Times New Roman" w:cs="Times New Roman"/>
      <w:color w:val="000000"/>
      <w:sz w:val="24"/>
      <w:szCs w:val="24"/>
      <w:u w:val="none"/>
    </w:rPr>
  </w:style>
  <w:style w:type="character" w:customStyle="1" w:styleId="65">
    <w:name w:val=" Char Char1"/>
    <w:uiPriority w:val="0"/>
    <w:rPr>
      <w:rFonts w:eastAsia="方正书宋简体"/>
      <w:kern w:val="2"/>
      <w:sz w:val="24"/>
      <w:lang w:val="en-US" w:eastAsia="zh-CN" w:bidi="ar-SA"/>
    </w:rPr>
  </w:style>
  <w:style w:type="character" w:customStyle="1" w:styleId="66">
    <w:name w:val="hui3"/>
    <w:uiPriority w:val="0"/>
    <w:rPr>
      <w:color w:val="333333"/>
    </w:rPr>
  </w:style>
  <w:style w:type="character" w:customStyle="1" w:styleId="67">
    <w:name w:val=" Char Char16"/>
    <w:uiPriority w:val="0"/>
    <w:rPr>
      <w:rFonts w:eastAsia="宋体"/>
      <w:b/>
      <w:bCs/>
      <w:kern w:val="2"/>
      <w:sz w:val="24"/>
      <w:szCs w:val="24"/>
      <w:lang w:val="en-US" w:eastAsia="zh-CN" w:bidi="ar-SA"/>
    </w:rPr>
  </w:style>
  <w:style w:type="character" w:customStyle="1" w:styleId="68">
    <w:name w:val=" Char Char13"/>
    <w:uiPriority w:val="0"/>
    <w:rPr>
      <w:rFonts w:eastAsia="宋体"/>
      <w:kern w:val="2"/>
      <w:sz w:val="21"/>
      <w:lang w:val="en-US" w:eastAsia="zh-CN" w:bidi="ar-SA"/>
    </w:rPr>
  </w:style>
  <w:style w:type="character" w:customStyle="1" w:styleId="69">
    <w:name w:val=" Char Char12"/>
    <w:uiPriority w:val="0"/>
    <w:rPr>
      <w:rFonts w:eastAsia="宋体"/>
      <w:kern w:val="2"/>
      <w:sz w:val="21"/>
      <w:szCs w:val="24"/>
      <w:lang w:val="en-US" w:eastAsia="zh-CN" w:bidi="ar-SA"/>
    </w:rPr>
  </w:style>
  <w:style w:type="character" w:customStyle="1" w:styleId="70">
    <w:name w:val="ca-22"/>
    <w:uiPriority w:val="0"/>
    <w:rPr>
      <w:rFonts w:cs="Times New Roman"/>
    </w:rPr>
  </w:style>
  <w:style w:type="character" w:customStyle="1" w:styleId="71">
    <w:name w:val="样式2 Char"/>
    <w:link w:val="72"/>
    <w:uiPriority w:val="0"/>
    <w:rPr>
      <w:rFonts w:ascii="黑体" w:hAnsi="黑体" w:eastAsia="黑体"/>
      <w:bCs/>
      <w:color w:val="FF0000"/>
      <w:kern w:val="2"/>
      <w:sz w:val="28"/>
      <w:szCs w:val="32"/>
      <w:lang w:val="en-US" w:eastAsia="zh-CN" w:bidi="ar-SA"/>
    </w:rPr>
  </w:style>
  <w:style w:type="paragraph" w:customStyle="1" w:styleId="72">
    <w:name w:val="样式2"/>
    <w:basedOn w:val="5"/>
    <w:link w:val="71"/>
    <w:qFormat/>
    <w:uiPriority w:val="0"/>
    <w:pPr>
      <w:numPr>
        <w:ilvl w:val="0"/>
        <w:numId w:val="0"/>
      </w:numPr>
      <w:adjustRightInd w:val="0"/>
      <w:spacing w:before="0" w:beforeLines="0" w:after="0" w:afterLines="0"/>
      <w:textAlignment w:val="baseline"/>
    </w:pPr>
    <w:rPr>
      <w:rFonts w:ascii="黑体" w:hAnsi="黑体" w:cs="Times New Roman"/>
      <w:b w:val="0"/>
      <w:color w:val="FF0000"/>
      <w:sz w:val="28"/>
    </w:rPr>
  </w:style>
  <w:style w:type="character" w:customStyle="1" w:styleId="73">
    <w:name w:val="纯文本 Char"/>
    <w:link w:val="23"/>
    <w:uiPriority w:val="0"/>
    <w:rPr>
      <w:rFonts w:ascii="宋体" w:hAnsi="宋体" w:eastAsia="宋体" w:cs="宋体"/>
      <w:color w:val="000000"/>
      <w:sz w:val="24"/>
      <w:szCs w:val="24"/>
      <w:lang w:val="en-US" w:eastAsia="zh-CN" w:bidi="ar-SA"/>
    </w:rPr>
  </w:style>
  <w:style w:type="character" w:customStyle="1" w:styleId="74">
    <w:name w:val="Char Char13"/>
    <w:uiPriority w:val="0"/>
    <w:rPr>
      <w:rFonts w:ascii="宋体" w:hAnsi="宋体" w:eastAsia="宋体"/>
      <w:b/>
      <w:bCs/>
      <w:sz w:val="24"/>
      <w:szCs w:val="24"/>
      <w:lang w:bidi="ar-SA"/>
    </w:rPr>
  </w:style>
  <w:style w:type="character" w:customStyle="1" w:styleId="75">
    <w:name w:val="标题 8 Char"/>
    <w:link w:val="10"/>
    <w:uiPriority w:val="0"/>
    <w:rPr>
      <w:rFonts w:ascii="Arial" w:hAnsi="Arial" w:eastAsia="黑体"/>
      <w:kern w:val="2"/>
      <w:sz w:val="24"/>
      <w:szCs w:val="24"/>
      <w:lang w:val="en-US" w:eastAsia="zh-CN" w:bidi="ar-SA"/>
    </w:rPr>
  </w:style>
  <w:style w:type="character" w:customStyle="1" w:styleId="76">
    <w:name w:val="Char Char8"/>
    <w:locked/>
    <w:uiPriority w:val="0"/>
    <w:rPr>
      <w:rFonts w:ascii="Arial" w:hAnsi="Arial" w:eastAsia="宋体" w:cs="Arial"/>
      <w:b/>
      <w:bCs/>
      <w:kern w:val="2"/>
      <w:sz w:val="32"/>
      <w:szCs w:val="32"/>
      <w:lang w:val="en-US" w:eastAsia="zh-CN" w:bidi="ar-SA"/>
    </w:rPr>
  </w:style>
  <w:style w:type="character" w:customStyle="1" w:styleId="77">
    <w:name w:val="页脚 Char1"/>
    <w:link w:val="28"/>
    <w:uiPriority w:val="99"/>
    <w:rPr>
      <w:rFonts w:eastAsia="宋体"/>
      <w:kern w:val="2"/>
      <w:sz w:val="18"/>
      <w:lang w:val="en-US" w:eastAsia="zh-CN" w:bidi="ar-SA"/>
    </w:rPr>
  </w:style>
  <w:style w:type="character" w:customStyle="1" w:styleId="78">
    <w:name w:val="标题 1 Char"/>
    <w:link w:val="3"/>
    <w:uiPriority w:val="0"/>
    <w:rPr>
      <w:rFonts w:ascii="宋体" w:eastAsia="宋体"/>
      <w:b/>
      <w:bCs/>
      <w:kern w:val="2"/>
      <w:sz w:val="28"/>
      <w:lang w:val="en-US" w:eastAsia="zh-CN" w:bidi="ar-SA"/>
    </w:rPr>
  </w:style>
  <w:style w:type="character" w:customStyle="1" w:styleId="79">
    <w:name w:val=" Char Char19"/>
    <w:uiPriority w:val="0"/>
    <w:rPr>
      <w:rFonts w:ascii="Arial" w:hAnsi="Arial" w:eastAsia="黑体"/>
      <w:b/>
      <w:bCs/>
      <w:kern w:val="2"/>
      <w:sz w:val="28"/>
      <w:szCs w:val="28"/>
      <w:lang w:val="en-US" w:eastAsia="zh-CN" w:bidi="ar-SA"/>
    </w:rPr>
  </w:style>
  <w:style w:type="character" w:customStyle="1" w:styleId="80">
    <w:name w:val=" Char Char22"/>
    <w:uiPriority w:val="0"/>
    <w:rPr>
      <w:rFonts w:ascii="宋体" w:eastAsia="宋体"/>
      <w:b/>
      <w:bCs/>
      <w:kern w:val="2"/>
      <w:sz w:val="28"/>
      <w:lang w:val="en-US" w:eastAsia="zh-CN" w:bidi="ar-SA"/>
    </w:rPr>
  </w:style>
  <w:style w:type="character" w:customStyle="1" w:styleId="81">
    <w:name w:val="font41"/>
    <w:uiPriority w:val="0"/>
    <w:rPr>
      <w:rFonts w:hint="eastAsia" w:ascii="宋体" w:hAnsi="宋体" w:eastAsia="宋体"/>
      <w:color w:val="000000"/>
      <w:sz w:val="22"/>
      <w:szCs w:val="22"/>
      <w:u w:val="none"/>
    </w:rPr>
  </w:style>
  <w:style w:type="character" w:customStyle="1" w:styleId="82">
    <w:name w:val="文档结构图 Char"/>
    <w:link w:val="16"/>
    <w:uiPriority w:val="0"/>
    <w:rPr>
      <w:rFonts w:eastAsia="宋体"/>
      <w:kern w:val="2"/>
      <w:sz w:val="21"/>
      <w:lang w:val="en-US" w:eastAsia="zh-CN" w:bidi="ar-SA"/>
    </w:rPr>
  </w:style>
  <w:style w:type="character" w:customStyle="1" w:styleId="83">
    <w:name w:val="正文文本 2 Char"/>
    <w:link w:val="39"/>
    <w:uiPriority w:val="0"/>
    <w:rPr>
      <w:rFonts w:eastAsia="宋体"/>
      <w:sz w:val="24"/>
      <w:szCs w:val="24"/>
      <w:lang w:bidi="ar-SA"/>
    </w:rPr>
  </w:style>
  <w:style w:type="character" w:customStyle="1" w:styleId="84">
    <w:name w:val="正文文本缩进 Char"/>
    <w:link w:val="19"/>
    <w:uiPriority w:val="0"/>
    <w:rPr>
      <w:rFonts w:eastAsia="方正书宋简体"/>
      <w:kern w:val="2"/>
      <w:sz w:val="24"/>
      <w:lang w:val="en-US" w:eastAsia="zh-CN" w:bidi="ar-SA"/>
    </w:rPr>
  </w:style>
  <w:style w:type="character" w:customStyle="1" w:styleId="85">
    <w:name w:val=" Char Char18"/>
    <w:uiPriority w:val="0"/>
    <w:rPr>
      <w:rFonts w:eastAsia="宋体"/>
      <w:b/>
      <w:bCs/>
      <w:kern w:val="2"/>
      <w:sz w:val="28"/>
      <w:szCs w:val="28"/>
      <w:lang w:val="en-US" w:eastAsia="zh-CN" w:bidi="ar-SA"/>
    </w:rPr>
  </w:style>
  <w:style w:type="character" w:customStyle="1" w:styleId="86">
    <w:name w:val="标题 4 Char"/>
    <w:link w:val="6"/>
    <w:uiPriority w:val="0"/>
    <w:rPr>
      <w:rFonts w:ascii="Arial" w:hAnsi="Arial" w:eastAsia="黑体"/>
      <w:b/>
      <w:bCs/>
      <w:kern w:val="2"/>
      <w:sz w:val="28"/>
      <w:szCs w:val="28"/>
      <w:lang w:val="en-US" w:eastAsia="zh-CN" w:bidi="ar-SA"/>
    </w:rPr>
  </w:style>
  <w:style w:type="character" w:customStyle="1" w:styleId="87">
    <w:name w:val="方案－正文 Char"/>
    <w:link w:val="88"/>
    <w:uiPriority w:val="0"/>
    <w:rPr>
      <w:rFonts w:ascii="仿宋_GB2312" w:hAnsi="宋体"/>
      <w:sz w:val="24"/>
      <w:lang w:bidi="ar-SA"/>
    </w:rPr>
  </w:style>
  <w:style w:type="paragraph" w:customStyle="1" w:styleId="88">
    <w:name w:val="方案－正文"/>
    <w:basedOn w:val="1"/>
    <w:link w:val="87"/>
    <w:uiPriority w:val="0"/>
    <w:pPr>
      <w:spacing w:line="360" w:lineRule="auto"/>
      <w:ind w:firstLine="480" w:firstLineChars="200"/>
    </w:pPr>
    <w:rPr>
      <w:rFonts w:ascii="仿宋_GB2312" w:hAnsi="宋体"/>
      <w:kern w:val="0"/>
      <w:sz w:val="24"/>
    </w:rPr>
  </w:style>
  <w:style w:type="character" w:customStyle="1" w:styleId="89">
    <w:name w:val="页眉 Char1"/>
    <w:link w:val="29"/>
    <w:uiPriority w:val="0"/>
    <w:rPr>
      <w:rFonts w:eastAsia="宋体"/>
      <w:kern w:val="2"/>
      <w:sz w:val="18"/>
      <w:lang w:val="en-US" w:eastAsia="zh-CN" w:bidi="ar-SA"/>
    </w:rPr>
  </w:style>
  <w:style w:type="character" w:customStyle="1" w:styleId="90">
    <w:name w:val=" Char Char15"/>
    <w:uiPriority w:val="0"/>
    <w:rPr>
      <w:rFonts w:ascii="Arial" w:hAnsi="Arial" w:eastAsia="黑体"/>
      <w:kern w:val="2"/>
      <w:sz w:val="24"/>
      <w:szCs w:val="24"/>
      <w:lang w:val="en-US" w:eastAsia="zh-CN" w:bidi="ar-SA"/>
    </w:rPr>
  </w:style>
  <w:style w:type="character" w:customStyle="1" w:styleId="91">
    <w:name w:val="正文首行缩进 Char"/>
    <w:link w:val="45"/>
    <w:uiPriority w:val="0"/>
    <w:rPr>
      <w:rFonts w:eastAsia="宋体"/>
      <w:i/>
      <w:kern w:val="2"/>
      <w:sz w:val="21"/>
      <w:szCs w:val="24"/>
      <w:lang w:val="en-US" w:eastAsia="zh-CN" w:bidi="ar-SA"/>
    </w:rPr>
  </w:style>
  <w:style w:type="character" w:customStyle="1" w:styleId="92">
    <w:name w:val="副标题 Char"/>
    <w:link w:val="32"/>
    <w:uiPriority w:val="0"/>
    <w:rPr>
      <w:rFonts w:ascii="宋体" w:hAnsi="宋体" w:eastAsia="宋体" w:cs="宋体"/>
      <w:color w:val="000000"/>
      <w:sz w:val="24"/>
      <w:szCs w:val="24"/>
      <w:lang w:val="en-US" w:eastAsia="zh-CN" w:bidi="ar-SA"/>
    </w:rPr>
  </w:style>
  <w:style w:type="character" w:customStyle="1" w:styleId="93">
    <w:name w:val="正文文本 Char"/>
    <w:link w:val="2"/>
    <w:uiPriority w:val="0"/>
    <w:rPr>
      <w:rFonts w:eastAsia="宋体"/>
      <w:i/>
      <w:kern w:val="2"/>
      <w:sz w:val="18"/>
      <w:lang w:val="en-US" w:eastAsia="zh-CN" w:bidi="ar-SA"/>
    </w:rPr>
  </w:style>
  <w:style w:type="character" w:customStyle="1" w:styleId="94">
    <w:name w:val="标题 9 Char"/>
    <w:link w:val="11"/>
    <w:uiPriority w:val="0"/>
    <w:rPr>
      <w:rFonts w:ascii="Arial" w:hAnsi="Arial" w:eastAsia="黑体"/>
      <w:kern w:val="2"/>
      <w:sz w:val="21"/>
      <w:szCs w:val="21"/>
      <w:lang w:val="en-US" w:eastAsia="zh-CN" w:bidi="ar-SA"/>
    </w:rPr>
  </w:style>
  <w:style w:type="character" w:customStyle="1" w:styleId="95">
    <w:name w:val=" Char Char"/>
    <w:uiPriority w:val="0"/>
    <w:rPr>
      <w:rFonts w:ascii="Arial" w:hAnsi="Arial" w:eastAsia="宋体" w:cs="Arial"/>
      <w:b/>
      <w:bCs/>
      <w:kern w:val="2"/>
      <w:sz w:val="32"/>
      <w:szCs w:val="32"/>
      <w:lang w:val="en-US" w:eastAsia="zh-CN" w:bidi="ar-SA"/>
    </w:rPr>
  </w:style>
  <w:style w:type="character" w:customStyle="1" w:styleId="96">
    <w:name w:val="font51"/>
    <w:uiPriority w:val="0"/>
    <w:rPr>
      <w:rFonts w:hint="eastAsia" w:ascii="宋体" w:hAnsi="宋体" w:eastAsia="宋体" w:cs="宋体"/>
      <w:color w:val="auto"/>
      <w:sz w:val="22"/>
      <w:szCs w:val="22"/>
      <w:u w:val="none"/>
    </w:rPr>
  </w:style>
  <w:style w:type="character" w:customStyle="1" w:styleId="97">
    <w:name w:val="font01"/>
    <w:uiPriority w:val="0"/>
    <w:rPr>
      <w:rFonts w:hint="eastAsia" w:ascii="宋体" w:hAnsi="宋体" w:eastAsia="宋体"/>
      <w:color w:val="000000"/>
      <w:sz w:val="24"/>
      <w:szCs w:val="24"/>
      <w:u w:val="none"/>
    </w:rPr>
  </w:style>
  <w:style w:type="character" w:customStyle="1" w:styleId="98">
    <w:name w:val="List Paragraph Char"/>
    <w:link w:val="99"/>
    <w:locked/>
    <w:uiPriority w:val="0"/>
    <w:rPr>
      <w:rFonts w:ascii="Calibri" w:hAnsi="Calibri" w:eastAsia="宋体"/>
      <w:kern w:val="2"/>
      <w:sz w:val="21"/>
      <w:szCs w:val="22"/>
      <w:lang w:val="en-US" w:eastAsia="zh-CN" w:bidi="ar-SA"/>
    </w:rPr>
  </w:style>
  <w:style w:type="paragraph" w:customStyle="1" w:styleId="99">
    <w:name w:val="List Paragraph"/>
    <w:basedOn w:val="1"/>
    <w:link w:val="98"/>
    <w:uiPriority w:val="0"/>
    <w:pPr>
      <w:ind w:firstLine="420" w:firstLineChars="200"/>
    </w:pPr>
    <w:rPr>
      <w:rFonts w:ascii="Calibri" w:hAnsi="Calibri"/>
      <w:szCs w:val="22"/>
    </w:rPr>
  </w:style>
  <w:style w:type="character" w:customStyle="1" w:styleId="100">
    <w:name w:val="标题 Char"/>
    <w:link w:val="43"/>
    <w:uiPriority w:val="0"/>
    <w:rPr>
      <w:rFonts w:ascii="Arial" w:hAnsi="Arial" w:eastAsia="宋体" w:cs="Arial"/>
      <w:b/>
      <w:bCs/>
      <w:kern w:val="2"/>
      <w:sz w:val="32"/>
      <w:szCs w:val="32"/>
      <w:lang w:val="en-US" w:eastAsia="zh-CN" w:bidi="ar-SA"/>
    </w:rPr>
  </w:style>
  <w:style w:type="character" w:customStyle="1" w:styleId="101">
    <w:name w:val="样式5 Char"/>
    <w:link w:val="102"/>
    <w:uiPriority w:val="0"/>
    <w:rPr>
      <w:rFonts w:eastAsia="宋体"/>
      <w:b/>
      <w:bCs/>
      <w:kern w:val="2"/>
      <w:sz w:val="28"/>
      <w:szCs w:val="28"/>
      <w:lang w:val="en-US" w:eastAsia="zh-CN" w:bidi="ar-SA"/>
    </w:rPr>
  </w:style>
  <w:style w:type="paragraph" w:customStyle="1" w:styleId="102">
    <w:name w:val="样式5"/>
    <w:basedOn w:val="1"/>
    <w:link w:val="101"/>
    <w:qFormat/>
    <w:uiPriority w:val="0"/>
    <w:pPr>
      <w:keepNext/>
      <w:keepLines/>
      <w:spacing w:before="280" w:after="290" w:line="376" w:lineRule="auto"/>
      <w:ind w:left="210" w:leftChars="100" w:right="210" w:rightChars="100"/>
      <w:outlineLvl w:val="4"/>
    </w:pPr>
    <w:rPr>
      <w:b/>
      <w:bCs/>
      <w:sz w:val="28"/>
      <w:szCs w:val="28"/>
    </w:rPr>
  </w:style>
  <w:style w:type="character" w:customStyle="1" w:styleId="103">
    <w:name w:val="页眉 Char"/>
    <w:locked/>
    <w:uiPriority w:val="0"/>
    <w:rPr>
      <w:rFonts w:eastAsia="宋体"/>
      <w:kern w:val="2"/>
      <w:sz w:val="18"/>
      <w:lang w:val="en-US" w:eastAsia="zh-CN"/>
    </w:rPr>
  </w:style>
  <w:style w:type="character" w:customStyle="1" w:styleId="104">
    <w:name w:val="标题 7 Char"/>
    <w:link w:val="9"/>
    <w:uiPriority w:val="0"/>
    <w:rPr>
      <w:rFonts w:eastAsia="宋体"/>
      <w:b/>
      <w:bCs/>
      <w:kern w:val="2"/>
      <w:sz w:val="24"/>
      <w:szCs w:val="24"/>
      <w:lang w:val="en-US" w:eastAsia="zh-CN" w:bidi="ar-SA"/>
    </w:rPr>
  </w:style>
  <w:style w:type="character" w:customStyle="1" w:styleId="105">
    <w:name w:val="正文缩进2字符 Char"/>
    <w:link w:val="106"/>
    <w:uiPriority w:val="0"/>
    <w:rPr>
      <w:rFonts w:eastAsia="宋体"/>
      <w:sz w:val="24"/>
      <w:lang w:bidi="ar-SA"/>
    </w:rPr>
  </w:style>
  <w:style w:type="paragraph" w:customStyle="1" w:styleId="106">
    <w:name w:val="正文缩进2字符"/>
    <w:basedOn w:val="1"/>
    <w:link w:val="105"/>
    <w:qFormat/>
    <w:uiPriority w:val="0"/>
    <w:pPr>
      <w:spacing w:line="360" w:lineRule="auto"/>
      <w:ind w:firstLine="480" w:firstLineChars="200"/>
    </w:pPr>
    <w:rPr>
      <w:kern w:val="0"/>
      <w:sz w:val="24"/>
    </w:rPr>
  </w:style>
  <w:style w:type="character" w:customStyle="1" w:styleId="107">
    <w:name w:val="样式1 Char"/>
    <w:link w:val="108"/>
    <w:uiPriority w:val="0"/>
    <w:rPr>
      <w:rFonts w:ascii="黑体" w:hAnsi="黑体" w:eastAsia="黑体"/>
      <w:b/>
      <w:bCs/>
      <w:kern w:val="2"/>
      <w:sz w:val="32"/>
      <w:szCs w:val="32"/>
      <w:lang w:bidi="ar-SA"/>
    </w:rPr>
  </w:style>
  <w:style w:type="paragraph" w:customStyle="1" w:styleId="108">
    <w:name w:val="样式1"/>
    <w:basedOn w:val="4"/>
    <w:link w:val="107"/>
    <w:uiPriority w:val="0"/>
    <w:pPr>
      <w:tabs>
        <w:tab w:val="clear" w:pos="578"/>
      </w:tabs>
      <w:spacing w:before="0" w:beforeLines="0" w:after="0" w:afterLines="0"/>
      <w:ind w:left="0" w:firstLine="0"/>
    </w:pPr>
    <w:rPr>
      <w:rFonts w:ascii="黑体" w:hAnsi="黑体"/>
    </w:rPr>
  </w:style>
  <w:style w:type="character" w:customStyle="1" w:styleId="109">
    <w:name w:val="font121"/>
    <w:uiPriority w:val="0"/>
    <w:rPr>
      <w:rFonts w:hint="eastAsia" w:ascii="宋体" w:hAnsi="宋体" w:eastAsia="宋体" w:cs="宋体"/>
      <w:b/>
      <w:color w:val="FF0000"/>
      <w:sz w:val="22"/>
      <w:szCs w:val="22"/>
      <w:u w:val="none"/>
    </w:rPr>
  </w:style>
  <w:style w:type="character" w:customStyle="1" w:styleId="110">
    <w:name w:val="标题 1 Char Char"/>
    <w:uiPriority w:val="0"/>
    <w:rPr>
      <w:rFonts w:eastAsia="宋体"/>
      <w:b/>
      <w:spacing w:val="-2"/>
      <w:sz w:val="24"/>
      <w:lang w:val="en-US" w:eastAsia="zh-CN" w:bidi="ar-SA"/>
    </w:rPr>
  </w:style>
  <w:style w:type="character" w:customStyle="1" w:styleId="111">
    <w:name w:val="font61"/>
    <w:uiPriority w:val="0"/>
    <w:rPr>
      <w:rFonts w:hint="eastAsia" w:ascii="宋体" w:hAnsi="宋体" w:eastAsia="宋体" w:cs="宋体"/>
      <w:b/>
      <w:color w:val="auto"/>
      <w:sz w:val="22"/>
      <w:szCs w:val="22"/>
      <w:u w:val="none"/>
    </w:rPr>
  </w:style>
  <w:style w:type="character" w:customStyle="1" w:styleId="112">
    <w:name w:val=" Char Char5"/>
    <w:uiPriority w:val="0"/>
    <w:rPr>
      <w:rFonts w:ascii="宋体" w:eastAsia="宋体"/>
      <w:kern w:val="2"/>
      <w:sz w:val="24"/>
      <w:lang w:val="en-US" w:eastAsia="zh-CN" w:bidi="ar-SA"/>
    </w:rPr>
  </w:style>
  <w:style w:type="character" w:customStyle="1" w:styleId="113">
    <w:name w:val="列出段落 Char"/>
    <w:link w:val="114"/>
    <w:locked/>
    <w:uiPriority w:val="0"/>
    <w:rPr>
      <w:rFonts w:eastAsia="宋体"/>
      <w:kern w:val="2"/>
      <w:sz w:val="24"/>
      <w:szCs w:val="24"/>
      <w:lang w:val="en-US" w:eastAsia="zh-CN" w:bidi="ar-SA"/>
    </w:rPr>
  </w:style>
  <w:style w:type="paragraph" w:styleId="114">
    <w:name w:val="List Paragraph"/>
    <w:basedOn w:val="1"/>
    <w:link w:val="113"/>
    <w:qFormat/>
    <w:uiPriority w:val="0"/>
    <w:pPr>
      <w:spacing w:line="360" w:lineRule="auto"/>
      <w:ind w:firstLine="420" w:firstLineChars="200"/>
    </w:pPr>
    <w:rPr>
      <w:sz w:val="24"/>
      <w:szCs w:val="24"/>
    </w:rPr>
  </w:style>
  <w:style w:type="character" w:customStyle="1" w:styleId="115">
    <w:name w:val="标题 3 Char"/>
    <w:link w:val="5"/>
    <w:uiPriority w:val="0"/>
    <w:rPr>
      <w:rFonts w:ascii="Arial" w:hAnsi="Arial" w:eastAsia="黑体" w:cs="Arial"/>
      <w:b/>
      <w:bCs/>
      <w:kern w:val="2"/>
      <w:sz w:val="30"/>
      <w:szCs w:val="32"/>
      <w:lang w:val="en-US" w:eastAsia="zh-CN" w:bidi="ar-SA"/>
    </w:rPr>
  </w:style>
  <w:style w:type="character" w:customStyle="1" w:styleId="116">
    <w:name w:val="search_content1"/>
    <w:uiPriority w:val="0"/>
    <w:rPr>
      <w:sz w:val="20"/>
      <w:szCs w:val="20"/>
    </w:rPr>
  </w:style>
  <w:style w:type="character" w:customStyle="1" w:styleId="117">
    <w:name w:val="font31"/>
    <w:uiPriority w:val="0"/>
    <w:rPr>
      <w:rFonts w:hint="eastAsia" w:ascii="微软雅黑" w:hAnsi="微软雅黑" w:eastAsia="微软雅黑"/>
      <w:color w:val="000000"/>
      <w:sz w:val="21"/>
      <w:szCs w:val="21"/>
      <w:u w:val="none"/>
    </w:rPr>
  </w:style>
  <w:style w:type="character" w:customStyle="1" w:styleId="118">
    <w:name w:val="正文文本 3 Char"/>
    <w:link w:val="18"/>
    <w:uiPriority w:val="0"/>
    <w:rPr>
      <w:rFonts w:eastAsia="宋体"/>
      <w:sz w:val="16"/>
      <w:szCs w:val="16"/>
      <w:lang w:bidi="ar-SA"/>
    </w:rPr>
  </w:style>
  <w:style w:type="character" w:customStyle="1" w:styleId="119">
    <w:name w:val="标题2正文 Char Char"/>
    <w:link w:val="120"/>
    <w:uiPriority w:val="0"/>
    <w:rPr>
      <w:rFonts w:eastAsia="宋体"/>
      <w:sz w:val="24"/>
      <w:szCs w:val="24"/>
      <w:lang w:bidi="ar-SA"/>
    </w:rPr>
  </w:style>
  <w:style w:type="paragraph" w:customStyle="1" w:styleId="120">
    <w:name w:val="标题2正文 Char"/>
    <w:basedOn w:val="1"/>
    <w:link w:val="119"/>
    <w:uiPriority w:val="0"/>
    <w:pPr>
      <w:spacing w:before="156" w:beforeLines="50" w:after="156" w:afterLines="50"/>
      <w:ind w:right="38" w:rightChars="18" w:firstLine="420"/>
    </w:pPr>
    <w:rPr>
      <w:kern w:val="0"/>
      <w:sz w:val="24"/>
      <w:szCs w:val="24"/>
    </w:rPr>
  </w:style>
  <w:style w:type="character" w:customStyle="1" w:styleId="121">
    <w:name w:val="apple-style-span"/>
    <w:basedOn w:val="49"/>
    <w:uiPriority w:val="0"/>
  </w:style>
  <w:style w:type="character" w:customStyle="1" w:styleId="122">
    <w:name w:val="h6 Char"/>
    <w:aliases w:val="Third Subheading Char,H6 Char,PIM 6 Char,BOD 4 Char,L6 Char,Bullet (Single Lines) Char,Legal Level 1. Char,Bullet list Char,h61 Char,heading 61 Char,第五层条 Char,6 Char,CSS节内4级标记 Char,第六层条目 Char,Alpha List Char,a标题 6 Char,Heading 6A Char,l6 Char"/>
    <w:uiPriority w:val="0"/>
    <w:rPr>
      <w:rFonts w:ascii="Arial" w:hAnsi="Arial" w:eastAsia="宋体"/>
      <w:b/>
      <w:bCs/>
      <w:kern w:val="2"/>
      <w:sz w:val="24"/>
      <w:szCs w:val="24"/>
      <w:lang w:val="en-US" w:eastAsia="zh-CN" w:bidi="ar-SA"/>
    </w:rPr>
  </w:style>
  <w:style w:type="character" w:customStyle="1" w:styleId="123">
    <w:name w:val="样式4 Char"/>
    <w:link w:val="124"/>
    <w:uiPriority w:val="0"/>
    <w:rPr>
      <w:rFonts w:ascii="黑体" w:hAnsi="黑体" w:eastAsia="黑体"/>
      <w:bCs/>
      <w:kern w:val="44"/>
      <w:sz w:val="44"/>
      <w:szCs w:val="44"/>
      <w:lang w:val="en-US" w:eastAsia="zh-CN" w:bidi="ar-SA"/>
    </w:rPr>
  </w:style>
  <w:style w:type="paragraph" w:customStyle="1" w:styleId="124">
    <w:name w:val="样式4"/>
    <w:basedOn w:val="3"/>
    <w:link w:val="123"/>
    <w:qFormat/>
    <w:uiPriority w:val="0"/>
    <w:pPr>
      <w:keepLines/>
      <w:spacing w:line="360" w:lineRule="auto"/>
    </w:pPr>
    <w:rPr>
      <w:rFonts w:ascii="黑体" w:hAnsi="黑体" w:eastAsia="黑体"/>
      <w:b w:val="0"/>
      <w:kern w:val="44"/>
      <w:sz w:val="44"/>
      <w:szCs w:val="44"/>
    </w:rPr>
  </w:style>
  <w:style w:type="character" w:customStyle="1" w:styleId="125">
    <w:name w:val=" Char Char14"/>
    <w:uiPriority w:val="0"/>
    <w:rPr>
      <w:rFonts w:ascii="Arial" w:hAnsi="Arial" w:eastAsia="黑体"/>
      <w:kern w:val="2"/>
      <w:sz w:val="21"/>
      <w:szCs w:val="21"/>
      <w:lang w:val="en-US" w:eastAsia="zh-CN" w:bidi="ar-SA"/>
    </w:rPr>
  </w:style>
  <w:style w:type="character" w:customStyle="1" w:styleId="126">
    <w:name w:val="font71"/>
    <w:uiPriority w:val="0"/>
    <w:rPr>
      <w:rFonts w:hint="eastAsia" w:ascii="宋体" w:hAnsi="宋体" w:eastAsia="宋体" w:cs="宋体"/>
      <w:color w:val="auto"/>
      <w:sz w:val="22"/>
      <w:szCs w:val="22"/>
      <w:u w:val="none"/>
    </w:rPr>
  </w:style>
  <w:style w:type="character" w:customStyle="1" w:styleId="127">
    <w:name w:val=" Char Char4"/>
    <w:uiPriority w:val="0"/>
    <w:rPr>
      <w:rFonts w:ascii="宋体" w:eastAsia="宋体"/>
      <w:kern w:val="2"/>
      <w:sz w:val="24"/>
      <w:lang w:val="en-US" w:eastAsia="zh-CN" w:bidi="ar-SA"/>
    </w:rPr>
  </w:style>
  <w:style w:type="character" w:customStyle="1" w:styleId="128">
    <w:name w:val=" Char Char6"/>
    <w:uiPriority w:val="0"/>
    <w:rPr>
      <w:rFonts w:eastAsia="宋体"/>
      <w:kern w:val="2"/>
      <w:sz w:val="18"/>
      <w:lang w:val="en-US" w:eastAsia="zh-CN" w:bidi="ar-SA"/>
    </w:rPr>
  </w:style>
  <w:style w:type="character" w:customStyle="1" w:styleId="129">
    <w:name w:val=" Char Char2"/>
    <w:uiPriority w:val="0"/>
    <w:rPr>
      <w:rFonts w:ascii="Arial" w:hAnsi="Arial" w:eastAsia="宋体" w:cs="Arial"/>
      <w:b/>
      <w:bCs/>
      <w:i/>
      <w:kern w:val="2"/>
      <w:sz w:val="21"/>
      <w:szCs w:val="24"/>
      <w:lang w:val="en-US" w:eastAsia="zh-CN" w:bidi="ar-SA"/>
    </w:rPr>
  </w:style>
  <w:style w:type="character" w:customStyle="1" w:styleId="130">
    <w:name w:val="layui-laypage-curr"/>
    <w:basedOn w:val="49"/>
    <w:uiPriority w:val="0"/>
  </w:style>
  <w:style w:type="character" w:customStyle="1" w:styleId="131">
    <w:name w:val="页脚 Char"/>
    <w:locked/>
    <w:uiPriority w:val="0"/>
    <w:rPr>
      <w:rFonts w:eastAsia="宋体"/>
      <w:kern w:val="2"/>
      <w:sz w:val="18"/>
      <w:lang w:val="en-US" w:eastAsia="zh-CN"/>
    </w:rPr>
  </w:style>
  <w:style w:type="character" w:customStyle="1" w:styleId="132">
    <w:name w:val="普通文字 Char Char1"/>
    <w:aliases w:val="纯文本 Char Char Char,纯文本 Char Char1,普通文字 Char Char Char Char,普通文字 Char Char Char,纯文本 Char Char Char Char Char Char Char Char Char Char Char Char Char Char,纯文本 Char Char Char Char Char Char Char Char Char Char,普通文字 Char1,纯文本 Char2,Texte Char1"/>
    <w:qFormat/>
    <w:uiPriority w:val="0"/>
    <w:rPr>
      <w:rFonts w:ascii="宋体" w:hAnsi="Courier New" w:eastAsia="宋体"/>
      <w:kern w:val="2"/>
      <w:sz w:val="24"/>
      <w:szCs w:val="24"/>
      <w:lang w:val="en-US" w:eastAsia="zh-CN" w:bidi="ar-SA"/>
    </w:rPr>
  </w:style>
  <w:style w:type="character" w:customStyle="1" w:styleId="133">
    <w:name w:val="正文文本缩进 2 Char"/>
    <w:link w:val="26"/>
    <w:uiPriority w:val="0"/>
    <w:rPr>
      <w:rFonts w:ascii="宋体" w:eastAsia="宋体"/>
      <w:kern w:val="2"/>
      <w:sz w:val="24"/>
      <w:lang w:val="en-US" w:eastAsia="zh-CN" w:bidi="ar-SA"/>
    </w:rPr>
  </w:style>
  <w:style w:type="character" w:customStyle="1" w:styleId="134">
    <w:name w:val="正文缩进 Char"/>
    <w:link w:val="15"/>
    <w:uiPriority w:val="0"/>
    <w:rPr>
      <w:rFonts w:eastAsia="宋体"/>
      <w:kern w:val="2"/>
      <w:sz w:val="21"/>
      <w:szCs w:val="24"/>
      <w:lang w:val="en-US" w:eastAsia="zh-CN" w:bidi="ar-SA"/>
    </w:rPr>
  </w:style>
  <w:style w:type="character" w:customStyle="1" w:styleId="135">
    <w:name w:val=" Char Char9"/>
    <w:uiPriority w:val="0"/>
    <w:rPr>
      <w:rFonts w:eastAsia="宋体"/>
      <w:sz w:val="16"/>
      <w:szCs w:val="16"/>
      <w:lang w:bidi="ar-SA"/>
    </w:rPr>
  </w:style>
  <w:style w:type="character" w:customStyle="1" w:styleId="136">
    <w:name w:val="Plain Text Char"/>
    <w:locked/>
    <w:uiPriority w:val="0"/>
    <w:rPr>
      <w:rFonts w:ascii="宋体" w:hAnsi="Courier New" w:eastAsia="宋体"/>
      <w:kern w:val="2"/>
      <w:sz w:val="21"/>
      <w:lang w:val="en-US" w:eastAsia="zh-CN" w:bidi="ar-SA"/>
    </w:rPr>
  </w:style>
  <w:style w:type="character" w:customStyle="1" w:styleId="137">
    <w:name w:val="Texte Char"/>
    <w:aliases w:val="普通文字 Char Char,纯文本 Char Char Char1,普通文字 Char2,普通文字1 Char,普通文字2 Char,普通文字3 Char,普通文字4 Char,普通文字5 Char,普通文字6 Char,普通文字11 Char,普通文字21 Char,普通文字31 Char,普通文字41 Char,普通文字7 Char,正 文 1 Char,纯文本 Char1 Char Char Char,纯文本 Char Char Char Char Char,小 Char"/>
    <w:uiPriority w:val="0"/>
    <w:rPr>
      <w:rFonts w:ascii="宋体" w:hAnsi="Courier New" w:eastAsia="宋体" w:cs="Courier New"/>
      <w:kern w:val="2"/>
      <w:sz w:val="21"/>
      <w:szCs w:val="21"/>
      <w:lang w:val="en-US" w:eastAsia="zh-CN" w:bidi="ar-SA"/>
    </w:rPr>
  </w:style>
  <w:style w:type="character" w:customStyle="1" w:styleId="138">
    <w:name w:val="标题 5 Char"/>
    <w:link w:val="7"/>
    <w:uiPriority w:val="0"/>
    <w:rPr>
      <w:rFonts w:eastAsia="宋体"/>
      <w:b/>
      <w:bCs/>
      <w:kern w:val="2"/>
      <w:sz w:val="28"/>
      <w:szCs w:val="28"/>
      <w:lang w:val="en-US" w:eastAsia="zh-CN" w:bidi="ar-SA"/>
    </w:rPr>
  </w:style>
  <w:style w:type="character" w:customStyle="1" w:styleId="139">
    <w:name w:val="apple-converted-space"/>
    <w:basedOn w:val="49"/>
    <w:uiPriority w:val="0"/>
  </w:style>
  <w:style w:type="character" w:customStyle="1" w:styleId="140">
    <w:name w:val=" Char Char20"/>
    <w:uiPriority w:val="0"/>
    <w:rPr>
      <w:rFonts w:ascii="Arial" w:hAnsi="Arial" w:eastAsia="黑体" w:cs="Arial"/>
      <w:b/>
      <w:bCs/>
      <w:kern w:val="2"/>
      <w:sz w:val="30"/>
      <w:szCs w:val="32"/>
      <w:lang w:val="en-US" w:eastAsia="zh-CN" w:bidi="ar-SA"/>
    </w:rPr>
  </w:style>
  <w:style w:type="character" w:customStyle="1" w:styleId="141">
    <w:name w:val="正文文本缩进 3 Char"/>
    <w:link w:val="35"/>
    <w:uiPriority w:val="0"/>
    <w:rPr>
      <w:rFonts w:ascii="宋体" w:eastAsia="宋体"/>
      <w:kern w:val="2"/>
      <w:sz w:val="24"/>
      <w:lang w:val="en-US" w:eastAsia="zh-CN" w:bidi="ar-SA"/>
    </w:rPr>
  </w:style>
  <w:style w:type="character" w:customStyle="1" w:styleId="142">
    <w:name w:val="标题 2 Char"/>
    <w:link w:val="4"/>
    <w:uiPriority w:val="0"/>
    <w:rPr>
      <w:rFonts w:ascii="Arial" w:hAnsi="Arial" w:eastAsia="黑体"/>
      <w:b/>
      <w:bCs/>
      <w:kern w:val="2"/>
      <w:sz w:val="32"/>
      <w:szCs w:val="32"/>
      <w:lang w:val="en-US" w:eastAsia="zh-CN" w:bidi="ar-SA"/>
    </w:rPr>
  </w:style>
  <w:style w:type="character" w:customStyle="1" w:styleId="143">
    <w:name w:val=" Char Char3"/>
    <w:uiPriority w:val="0"/>
    <w:rPr>
      <w:rFonts w:ascii="宋体" w:hAnsi="Courier New" w:eastAsia="宋体"/>
      <w:color w:val="000000"/>
      <w:kern w:val="2"/>
      <w:sz w:val="21"/>
      <w:lang w:val="en-US" w:eastAsia="zh-CN" w:bidi="ar-SA"/>
    </w:rPr>
  </w:style>
  <w:style w:type="character" w:customStyle="1" w:styleId="144">
    <w:name w:val=" Char Char21"/>
    <w:uiPriority w:val="0"/>
    <w:rPr>
      <w:rFonts w:ascii="Arial" w:hAnsi="Arial" w:eastAsia="黑体"/>
      <w:b/>
      <w:bCs/>
      <w:kern w:val="2"/>
      <w:sz w:val="32"/>
      <w:szCs w:val="32"/>
      <w:lang w:val="en-US" w:eastAsia="zh-CN" w:bidi="ar-SA"/>
    </w:rPr>
  </w:style>
  <w:style w:type="character" w:customStyle="1" w:styleId="145">
    <w:name w:val=" Char Char10"/>
    <w:uiPriority w:val="0"/>
    <w:rPr>
      <w:rFonts w:eastAsia="宋体"/>
      <w:sz w:val="24"/>
      <w:szCs w:val="24"/>
      <w:lang w:bidi="ar-SA"/>
    </w:rPr>
  </w:style>
  <w:style w:type="paragraph" w:customStyle="1" w:styleId="146">
    <w:name w:val="正文无缩进"/>
    <w:basedOn w:val="1"/>
    <w:uiPriority w:val="0"/>
    <w:pPr>
      <w:widowControl/>
      <w:autoSpaceDE w:val="0"/>
      <w:autoSpaceDN w:val="0"/>
      <w:spacing w:line="300" w:lineRule="auto"/>
      <w:textAlignment w:val="bottom"/>
    </w:pPr>
    <w:rPr>
      <w:rFonts w:eastAsia="楷体_GB2312"/>
    </w:rPr>
  </w:style>
  <w:style w:type="paragraph" w:customStyle="1" w:styleId="147">
    <w:name w:val="Plain Text"/>
    <w:basedOn w:val="1"/>
    <w:uiPriority w:val="0"/>
    <w:rPr>
      <w:rFonts w:ascii="宋体" w:hAnsi="Courier New"/>
    </w:rPr>
  </w:style>
  <w:style w:type="paragraph" w:customStyle="1" w:styleId="148">
    <w:name w:val="列出段落11"/>
    <w:basedOn w:val="1"/>
    <w:qFormat/>
    <w:uiPriority w:val="0"/>
    <w:pPr>
      <w:ind w:firstLine="420" w:firstLineChars="200"/>
    </w:pPr>
    <w:rPr>
      <w:rFonts w:ascii="Calibri" w:hAnsi="Calibri" w:cs="黑体"/>
      <w:szCs w:val="22"/>
    </w:rPr>
  </w:style>
  <w:style w:type="paragraph" w:customStyle="1" w:styleId="149">
    <w:name w:val="tabletex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50">
    <w:name w:val="列出段落1"/>
    <w:basedOn w:val="1"/>
    <w:qFormat/>
    <w:uiPriority w:val="99"/>
    <w:pPr>
      <w:ind w:firstLine="420" w:firstLineChars="200"/>
    </w:pPr>
    <w:rPr>
      <w:szCs w:val="24"/>
    </w:rPr>
  </w:style>
  <w:style w:type="paragraph" w:customStyle="1" w:styleId="151">
    <w:name w:val="中等深浅网格 22"/>
    <w:qFormat/>
    <w:uiPriority w:val="0"/>
    <w:pPr>
      <w:widowControl w:val="0"/>
      <w:jc w:val="both"/>
    </w:pPr>
    <w:rPr>
      <w:kern w:val="2"/>
      <w:sz w:val="21"/>
      <w:szCs w:val="24"/>
      <w:lang w:val="en-US" w:eastAsia="zh-CN" w:bidi="ar-SA"/>
    </w:rPr>
  </w:style>
  <w:style w:type="paragraph" w:customStyle="1" w:styleId="152">
    <w:name w:val="首行缩进"/>
    <w:basedOn w:val="1"/>
    <w:uiPriority w:val="0"/>
    <w:rPr>
      <w:rFonts w:ascii="等线" w:hAnsi="等线" w:eastAsia="等线"/>
      <w:szCs w:val="22"/>
      <w:lang w:val="zh-CN"/>
    </w:rPr>
  </w:style>
  <w:style w:type="paragraph" w:customStyle="1" w:styleId="153">
    <w:name w:val="Proposals body"/>
    <w:basedOn w:val="1"/>
    <w:next w:val="1"/>
    <w:uiPriority w:val="0"/>
    <w:pPr>
      <w:widowControl/>
      <w:spacing w:line="360" w:lineRule="auto"/>
      <w:jc w:val="left"/>
    </w:pPr>
    <w:rPr>
      <w:rFonts w:ascii="宋体"/>
      <w:snapToGrid w:val="0"/>
      <w:color w:val="000000"/>
      <w:kern w:val="0"/>
      <w:sz w:val="24"/>
    </w:rPr>
  </w:style>
  <w:style w:type="paragraph" w:customStyle="1" w:styleId="154">
    <w:name w:val="_Style 62"/>
    <w:basedOn w:val="15"/>
    <w:uiPriority w:val="0"/>
    <w:pPr>
      <w:widowControl/>
      <w:spacing w:line="360" w:lineRule="auto"/>
      <w:ind w:firstLine="480"/>
      <w:jc w:val="left"/>
    </w:pPr>
    <w:rPr>
      <w:kern w:val="0"/>
      <w:sz w:val="24"/>
      <w:szCs w:val="20"/>
    </w:rPr>
  </w:style>
  <w:style w:type="paragraph" w:customStyle="1" w:styleId="155">
    <w:name w:val="样式 四号 行距: 固定值 22 磅"/>
    <w:basedOn w:val="1"/>
    <w:uiPriority w:val="0"/>
    <w:pPr>
      <w:spacing w:line="380" w:lineRule="exact"/>
    </w:pPr>
    <w:rPr>
      <w:rFonts w:cs="宋体"/>
      <w:sz w:val="28"/>
    </w:rPr>
  </w:style>
  <w:style w:type="paragraph" w:customStyle="1" w:styleId="156">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57">
    <w:name w:val="内容"/>
    <w:qFormat/>
    <w:uiPriority w:val="0"/>
    <w:pPr>
      <w:spacing w:line="360" w:lineRule="auto"/>
      <w:ind w:firstLine="1044" w:firstLineChars="200"/>
    </w:pPr>
    <w:rPr>
      <w:sz w:val="24"/>
      <w:lang w:val="en-US" w:eastAsia="zh-CN" w:bidi="ar-SA"/>
    </w:rPr>
  </w:style>
  <w:style w:type="paragraph" w:customStyle="1" w:styleId="158">
    <w:name w:val="font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59">
    <w:name w:val="默认段落字体 Para Char Char Char Char Char Char Char Char Char1 Char Char Char Char"/>
    <w:basedOn w:val="1"/>
    <w:uiPriority w:val="0"/>
    <w:rPr>
      <w:rFonts w:ascii="Tahoma" w:hAnsi="Tahoma"/>
      <w:sz w:val="24"/>
    </w:rPr>
  </w:style>
  <w:style w:type="paragraph" w:customStyle="1" w:styleId="160">
    <w:name w:val="Char Char Char Char1"/>
    <w:basedOn w:val="1"/>
    <w:uiPriority w:val="0"/>
    <w:rPr>
      <w:rFonts w:ascii="Tahoma" w:hAnsi="Tahoma"/>
      <w:sz w:val="24"/>
    </w:rPr>
  </w:style>
  <w:style w:type="paragraph" w:customStyle="1" w:styleId="161">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Char Char1"/>
    <w:basedOn w:val="1"/>
    <w:uiPriority w:val="0"/>
    <w:pPr>
      <w:widowControl/>
      <w:spacing w:after="160" w:line="240" w:lineRule="exact"/>
      <w:jc w:val="left"/>
    </w:pPr>
    <w:rPr>
      <w:rFonts w:ascii="Verdana" w:hAnsi="Verdana" w:eastAsia="仿宋_GB2312"/>
      <w:kern w:val="0"/>
      <w:sz w:val="24"/>
      <w:lang w:eastAsia="en-US"/>
    </w:rPr>
  </w:style>
  <w:style w:type="paragraph" w:customStyle="1" w:styleId="163">
    <w:name w:val=" Char1"/>
    <w:basedOn w:val="1"/>
    <w:uiPriority w:val="0"/>
    <w:rPr>
      <w:rFonts w:ascii="仿宋_GB2312" w:eastAsia="仿宋_GB2312"/>
      <w:b/>
      <w:sz w:val="32"/>
      <w:szCs w:val="32"/>
    </w:rPr>
  </w:style>
  <w:style w:type="paragraph" w:customStyle="1" w:styleId="164">
    <w:name w:val=" Char Char Char Char"/>
    <w:basedOn w:val="1"/>
    <w:uiPriority w:val="0"/>
    <w:pPr>
      <w:widowControl/>
      <w:spacing w:line="400" w:lineRule="exact"/>
      <w:jc w:val="center"/>
    </w:pPr>
    <w:rPr>
      <w:rFonts w:ascii="Verdana" w:hAnsi="Verdana"/>
      <w:kern w:val="0"/>
      <w:lang w:eastAsia="en-US"/>
    </w:rPr>
  </w:style>
  <w:style w:type="paragraph" w:customStyle="1" w:styleId="165">
    <w:name w:val="Char"/>
    <w:basedOn w:val="1"/>
    <w:uiPriority w:val="0"/>
    <w:pPr>
      <w:numPr>
        <w:ilvl w:val="0"/>
        <w:numId w:val="3"/>
      </w:numPr>
    </w:pPr>
    <w:rPr>
      <w:sz w:val="24"/>
      <w:szCs w:val="24"/>
    </w:rPr>
  </w:style>
  <w:style w:type="paragraph" w:customStyle="1" w:styleId="166">
    <w:name w:val="Char Char Char"/>
    <w:basedOn w:val="1"/>
    <w:uiPriority w:val="0"/>
    <w:pPr>
      <w:spacing w:before="120" w:after="120" w:line="360" w:lineRule="auto"/>
      <w:ind w:firstLine="200" w:firstLineChars="200"/>
    </w:pPr>
    <w:rPr>
      <w:rFonts w:ascii="Tahoma" w:hAnsi="Tahoma"/>
      <w:sz w:val="24"/>
    </w:rPr>
  </w:style>
  <w:style w:type="paragraph" w:customStyle="1" w:styleId="167">
    <w:name w:val="itemlistintab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68">
    <w:name w:val="a2"/>
    <w:basedOn w:val="1"/>
    <w:uiPriority w:val="0"/>
    <w:pPr>
      <w:widowControl/>
      <w:spacing w:after="150"/>
      <w:jc w:val="left"/>
    </w:pPr>
    <w:rPr>
      <w:rFonts w:ascii="宋体" w:hAnsi="宋体" w:cs="宋体"/>
      <w:kern w:val="0"/>
      <w:sz w:val="24"/>
      <w:szCs w:val="24"/>
    </w:rPr>
  </w:style>
  <w:style w:type="paragraph" w:customStyle="1" w:styleId="169">
    <w:name w:val="Char Char"/>
    <w:basedOn w:val="1"/>
    <w:uiPriority w:val="0"/>
    <w:pPr>
      <w:widowControl/>
      <w:spacing w:after="160" w:line="240" w:lineRule="exact"/>
      <w:jc w:val="left"/>
    </w:pPr>
    <w:rPr>
      <w:rFonts w:ascii="Verdana" w:hAnsi="Verdana" w:eastAsia="仿宋_GB2312"/>
      <w:kern w:val="0"/>
      <w:sz w:val="24"/>
      <w:lang w:eastAsia="en-US"/>
    </w:rPr>
  </w:style>
  <w:style w:type="paragraph" w:customStyle="1" w:styleId="170">
    <w:name w:val="正文 居中"/>
    <w:basedOn w:val="1"/>
    <w:uiPriority w:val="0"/>
    <w:pPr>
      <w:spacing w:line="360" w:lineRule="auto"/>
      <w:jc w:val="center"/>
    </w:pPr>
    <w:rPr>
      <w:rFonts w:cs="宋体"/>
      <w:sz w:val="24"/>
    </w:rPr>
  </w:style>
  <w:style w:type="paragraph" w:customStyle="1" w:styleId="171">
    <w:name w:val="标准小四"/>
    <w:basedOn w:val="1"/>
    <w:uiPriority w:val="0"/>
    <w:pPr>
      <w:spacing w:line="360" w:lineRule="auto"/>
      <w:ind w:firstLine="480" w:firstLineChars="200"/>
    </w:pPr>
    <w:rPr>
      <w:rFonts w:ascii="Arial" w:hAnsi="Arial"/>
      <w:sz w:val="24"/>
      <w:szCs w:val="21"/>
    </w:rPr>
  </w:style>
  <w:style w:type="paragraph" w:customStyle="1" w:styleId="172">
    <w:name w:val="Normal"/>
    <w:uiPriority w:val="0"/>
    <w:pPr>
      <w:widowControl w:val="0"/>
      <w:jc w:val="both"/>
    </w:pPr>
    <w:rPr>
      <w:rFonts w:hint="eastAsia"/>
      <w:kern w:val="2"/>
      <w:sz w:val="21"/>
      <w:lang w:val="en-US" w:eastAsia="zh-CN" w:bidi="ar-SA"/>
    </w:rPr>
  </w:style>
  <w:style w:type="paragraph" w:customStyle="1" w:styleId="173">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74">
    <w:name w:val="正文2"/>
    <w:basedOn w:val="1"/>
    <w:uiPriority w:val="0"/>
    <w:pPr>
      <w:spacing w:before="156" w:beforeLines="50" w:after="156" w:afterLines="50" w:line="360" w:lineRule="auto"/>
      <w:ind w:firstLine="480" w:firstLineChars="200"/>
    </w:pPr>
    <w:rPr>
      <w:rFonts w:ascii="宋体" w:hAnsi="宋体"/>
      <w:sz w:val="24"/>
      <w:szCs w:val="24"/>
    </w:rPr>
  </w:style>
  <w:style w:type="paragraph" w:customStyle="1" w:styleId="175">
    <w:name w:val="表内文字"/>
    <w:basedOn w:val="1"/>
    <w:uiPriority w:val="0"/>
    <w:pPr>
      <w:tabs>
        <w:tab w:val="left" w:pos="1418"/>
      </w:tabs>
      <w:spacing w:line="360" w:lineRule="auto"/>
      <w:jc w:val="center"/>
    </w:pPr>
    <w:rPr>
      <w:rFonts w:ascii="仿宋_GB2312" w:eastAsia="仿宋_GB2312"/>
      <w:spacing w:val="-20"/>
      <w:kern w:val="0"/>
      <w:sz w:val="24"/>
      <w:szCs w:val="24"/>
    </w:rPr>
  </w:style>
  <w:style w:type="paragraph" w:customStyle="1" w:styleId="176">
    <w:name w:val="tabletextcharcha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77">
    <w:name w:val="Char Char1 Char Char Char Char"/>
    <w:basedOn w:val="1"/>
    <w:uiPriority w:val="0"/>
    <w:rPr>
      <w:rFonts w:ascii="Tahoma" w:hAnsi="Tahoma"/>
      <w:sz w:val="24"/>
    </w:rPr>
  </w:style>
  <w:style w:type="paragraph" w:customStyle="1" w:styleId="178">
    <w:name w:val="Normal 2"/>
    <w:basedOn w:val="1"/>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79">
    <w:name w:val="Char Char11"/>
    <w:basedOn w:val="1"/>
    <w:uiPriority w:val="0"/>
    <w:pPr>
      <w:widowControl/>
      <w:spacing w:after="160" w:line="240" w:lineRule="exact"/>
      <w:jc w:val="left"/>
    </w:pPr>
  </w:style>
  <w:style w:type="paragraph" w:customStyle="1" w:styleId="180">
    <w:name w:val=" Char"/>
    <w:basedOn w:val="1"/>
    <w:uiPriority w:val="0"/>
    <w:pPr>
      <w:widowControl/>
      <w:spacing w:after="160" w:line="240" w:lineRule="exact"/>
      <w:ind w:left="-62" w:right="36" w:rightChars="15"/>
      <w:jc w:val="left"/>
    </w:pPr>
    <w:rPr>
      <w:rFonts w:ascii="Arial" w:hAnsi="Arial" w:eastAsia="Times New Roman"/>
      <w:kern w:val="0"/>
      <w:sz w:val="20"/>
      <w:lang w:eastAsia="en-US"/>
    </w:rPr>
  </w:style>
  <w:style w:type="paragraph" w:customStyle="1" w:styleId="181">
    <w:name w:val="xl3107"/>
    <w:basedOn w:val="1"/>
    <w:uiPriority w:val="0"/>
    <w:pPr>
      <w:widowControl/>
      <w:pBdr>
        <w:top w:val="single" w:color="auto" w:sz="4" w:space="0"/>
        <w:left w:val="single" w:color="auto" w:sz="4" w:space="25"/>
        <w:bottom w:val="single" w:color="auto" w:sz="4" w:space="0"/>
        <w:right w:val="single" w:color="auto" w:sz="4" w:space="0"/>
      </w:pBdr>
      <w:spacing w:before="100" w:beforeAutospacing="1" w:after="100" w:afterAutospacing="1"/>
      <w:ind w:firstLineChars="100"/>
      <w:jc w:val="left"/>
    </w:pPr>
    <w:rPr>
      <w:rFonts w:ascii="宋体" w:hAnsi="宋体" w:cs="宋体"/>
      <w:kern w:val="0"/>
      <w:sz w:val="20"/>
    </w:rPr>
  </w:style>
  <w:style w:type="paragraph" w:customStyle="1" w:styleId="182">
    <w:name w:val="此正文"/>
    <w:basedOn w:val="1"/>
    <w:uiPriority w:val="0"/>
    <w:pPr>
      <w:spacing w:line="360" w:lineRule="auto"/>
      <w:ind w:firstLine="200" w:firstLineChars="200"/>
    </w:pPr>
    <w:rPr>
      <w:sz w:val="24"/>
      <w:szCs w:val="24"/>
    </w:rPr>
  </w:style>
  <w:style w:type="paragraph" w:customStyle="1" w:styleId="183">
    <w:name w:val="修订1"/>
    <w:unhideWhenUsed/>
    <w:uiPriority w:val="0"/>
    <w:rPr>
      <w:rFonts w:ascii="Calibri" w:hAnsi="Calibri" w:cs="黑体"/>
      <w:kern w:val="2"/>
      <w:sz w:val="21"/>
      <w:szCs w:val="22"/>
      <w:lang w:val="en-US" w:eastAsia="zh-CN" w:bidi="ar-SA"/>
    </w:rPr>
  </w:style>
  <w:style w:type="paragraph" w:customStyle="1" w:styleId="184">
    <w:name w:val="符号 2"/>
    <w:basedOn w:val="185"/>
    <w:uiPriority w:val="0"/>
    <w:pPr>
      <w:numPr>
        <w:ilvl w:val="1"/>
        <w:numId w:val="3"/>
      </w:numPr>
    </w:pPr>
  </w:style>
  <w:style w:type="paragraph" w:customStyle="1" w:styleId="185">
    <w:name w:val="符号 1"/>
    <w:basedOn w:val="19"/>
    <w:uiPriority w:val="0"/>
    <w:pPr>
      <w:numPr>
        <w:ilvl w:val="0"/>
        <w:numId w:val="3"/>
      </w:numPr>
      <w:tabs>
        <w:tab w:val="left" w:pos="900"/>
        <w:tab w:val="clear" w:pos="1200"/>
      </w:tabs>
      <w:spacing w:line="360" w:lineRule="auto"/>
    </w:pPr>
    <w:rPr>
      <w:rFonts w:eastAsia="宋体"/>
      <w:kern w:val="28"/>
      <w:szCs w:val="24"/>
    </w:rPr>
  </w:style>
  <w:style w:type="paragraph" w:customStyle="1" w:styleId="186">
    <w:name w:val="xl3105"/>
    <w:basedOn w:val="1"/>
    <w:uiPriority w:val="0"/>
    <w:pPr>
      <w:widowControl/>
      <w:shd w:val="clear" w:color="000000" w:fill="FFFFFF"/>
      <w:spacing w:before="100" w:beforeAutospacing="1" w:after="100" w:afterAutospacing="1"/>
      <w:jc w:val="center"/>
    </w:pPr>
    <w:rPr>
      <w:rFonts w:ascii="宋体" w:hAnsi="宋体" w:cs="宋体"/>
      <w:kern w:val="0"/>
      <w:sz w:val="20"/>
    </w:rPr>
  </w:style>
  <w:style w:type="paragraph" w:customStyle="1" w:styleId="187">
    <w:name w:val="xl3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Char1"/>
    <w:basedOn w:val="1"/>
    <w:uiPriority w:val="0"/>
    <w:rPr>
      <w:szCs w:val="24"/>
    </w:rPr>
  </w:style>
  <w:style w:type="paragraph" w:customStyle="1" w:styleId="189">
    <w:name w:val=" Char1 Char Char Char Char Char Char Char Char Char Char Char Char Char Char Char"/>
    <w:basedOn w:val="1"/>
    <w:qFormat/>
    <w:uiPriority w:val="0"/>
    <w:rPr>
      <w:rFonts w:ascii="Verdana" w:hAnsi="Verdana" w:eastAsia="Times New Roman"/>
      <w:kern w:val="0"/>
      <w:sz w:val="20"/>
      <w:lang w:eastAsia="en-US"/>
    </w:rPr>
  </w:style>
  <w:style w:type="paragraph" w:customStyle="1" w:styleId="190">
    <w:name w:val="xl67"/>
    <w:basedOn w:val="1"/>
    <w:uiPriority w:val="0"/>
    <w:pPr>
      <w:widowControl/>
      <w:pBdr>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91">
    <w:name w:val="Char Char111"/>
    <w:basedOn w:val="1"/>
    <w:uiPriority w:val="0"/>
    <w:pPr>
      <w:widowControl/>
      <w:spacing w:after="160" w:line="240" w:lineRule="exact"/>
      <w:jc w:val="left"/>
    </w:pPr>
  </w:style>
  <w:style w:type="paragraph" w:customStyle="1" w:styleId="192">
    <w:name w:val="正文编码"/>
    <w:basedOn w:val="45"/>
    <w:uiPriority w:val="0"/>
    <w:pPr>
      <w:numPr>
        <w:ilvl w:val="0"/>
        <w:numId w:val="3"/>
      </w:numPr>
      <w:tabs>
        <w:tab w:val="center" w:pos="2185"/>
        <w:tab w:val="clear" w:pos="1200"/>
      </w:tabs>
      <w:spacing w:after="0" w:line="360" w:lineRule="auto"/>
      <w:ind w:firstLineChars="0"/>
    </w:pPr>
    <w:rPr>
      <w:rFonts w:ascii="仿宋_GB2312" w:hAnsi="宋体" w:eastAsia="仿宋_GB2312"/>
      <w:kern w:val="0"/>
      <w:sz w:val="24"/>
      <w:szCs w:val="20"/>
    </w:rPr>
  </w:style>
  <w:style w:type="paragraph" w:customStyle="1" w:styleId="193">
    <w:name w:val="列出段落2"/>
    <w:basedOn w:val="1"/>
    <w:uiPriority w:val="0"/>
    <w:pPr>
      <w:snapToGrid w:val="0"/>
      <w:spacing w:line="360" w:lineRule="auto"/>
      <w:ind w:firstLine="420" w:firstLineChars="200"/>
    </w:pPr>
    <w:rPr>
      <w:rFonts w:ascii="微软雅黑" w:hAnsi="Calibri" w:eastAsia="微软雅黑"/>
      <w:sz w:val="24"/>
      <w:szCs w:val="22"/>
    </w:rPr>
  </w:style>
  <w:style w:type="paragraph" w:customStyle="1" w:styleId="194">
    <w:name w:val="Char Char Char Char Char Char Char"/>
    <w:basedOn w:val="1"/>
    <w:uiPriority w:val="0"/>
    <w:pPr>
      <w:tabs>
        <w:tab w:val="left" w:pos="432"/>
      </w:tabs>
      <w:ind w:left="432" w:hanging="432"/>
    </w:pPr>
    <w:rPr>
      <w:rFonts w:ascii="Tahoma" w:hAnsi="Tahoma"/>
      <w:sz w:val="24"/>
    </w:rPr>
  </w:style>
  <w:style w:type="paragraph" w:customStyle="1" w:styleId="195">
    <w:name w:val="正文+宋体"/>
    <w:basedOn w:val="108"/>
    <w:uiPriority w:val="0"/>
    <w:pPr>
      <w:keepNext w:val="0"/>
      <w:keepLines w:val="0"/>
      <w:adjustRightInd w:val="0"/>
      <w:snapToGrid w:val="0"/>
      <w:spacing w:line="600" w:lineRule="exact"/>
      <w:ind w:firstLine="600" w:firstLineChars="200"/>
      <w:outlineLvl w:val="9"/>
    </w:pPr>
    <w:rPr>
      <w:rFonts w:ascii="宋体" w:hAnsi="宋体" w:eastAsia="宋体"/>
      <w:b w:val="0"/>
      <w:bCs w:val="0"/>
      <w:spacing w:val="10"/>
      <w:kern w:val="0"/>
      <w:sz w:val="28"/>
      <w:szCs w:val="28"/>
      <w:lang w:val="en-US" w:eastAsia="zh-CN"/>
    </w:rPr>
  </w:style>
  <w:style w:type="paragraph" w:customStyle="1" w:styleId="196">
    <w:name w:val="正文文本缩进 + 四号"/>
    <w:basedOn w:val="19"/>
    <w:uiPriority w:val="0"/>
    <w:pPr>
      <w:spacing w:line="360" w:lineRule="auto"/>
      <w:ind w:firstLine="560" w:firstLineChars="200"/>
    </w:pPr>
    <w:rPr>
      <w:rFonts w:ascii="仿宋_GB2312" w:eastAsia="仿宋_GB2312"/>
      <w:color w:val="000000"/>
      <w:sz w:val="28"/>
      <w:szCs w:val="28"/>
    </w:rPr>
  </w:style>
  <w:style w:type="paragraph" w:customStyle="1" w:styleId="197">
    <w:name w:val="默认段落字体 Para Char Char Char Char Char Char Char"/>
    <w:basedOn w:val="16"/>
    <w:uiPriority w:val="0"/>
    <w:pPr>
      <w:adjustRightInd w:val="0"/>
      <w:spacing w:line="436" w:lineRule="exact"/>
      <w:ind w:left="357"/>
      <w:jc w:val="left"/>
      <w:outlineLvl w:val="3"/>
    </w:pPr>
    <w:rPr>
      <w:rFonts w:ascii="Tahoma" w:hAnsi="Tahoma"/>
      <w:b/>
      <w:sz w:val="24"/>
      <w:szCs w:val="24"/>
    </w:rPr>
  </w:style>
  <w:style w:type="paragraph" w:customStyle="1" w:styleId="198">
    <w:name w:val="Char2"/>
    <w:basedOn w:val="1"/>
    <w:uiPriority w:val="0"/>
    <w:pPr>
      <w:tabs>
        <w:tab w:val="left" w:pos="1200"/>
        <w:tab w:val="left" w:pos="1800"/>
      </w:tabs>
      <w:ind w:left="1200" w:hanging="1110"/>
    </w:pPr>
    <w:rPr>
      <w:sz w:val="24"/>
      <w:szCs w:val="24"/>
    </w:rPr>
  </w:style>
  <w:style w:type="paragraph" w:customStyle="1" w:styleId="199">
    <w:name w:val="font6"/>
    <w:basedOn w:val="1"/>
    <w:uiPriority w:val="0"/>
    <w:pPr>
      <w:widowControl/>
      <w:spacing w:before="100" w:beforeAutospacing="1" w:after="100" w:afterAutospacing="1"/>
      <w:jc w:val="left"/>
    </w:pPr>
    <w:rPr>
      <w:rFonts w:ascii="宋体" w:hAnsi="宋体" w:cs="宋体"/>
      <w:kern w:val="0"/>
      <w:sz w:val="20"/>
    </w:rPr>
  </w:style>
  <w:style w:type="paragraph" w:customStyle="1" w:styleId="200">
    <w:name w:val="tabletextcha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01">
    <w:name w:val=" Char Char Char Char Char Char Char"/>
    <w:basedOn w:val="1"/>
    <w:uiPriority w:val="0"/>
    <w:pPr>
      <w:tabs>
        <w:tab w:val="left" w:pos="432"/>
      </w:tabs>
      <w:ind w:left="432" w:hanging="432"/>
    </w:pPr>
    <w:rPr>
      <w:rFonts w:ascii="Tahoma" w:hAnsi="Tahoma"/>
      <w:sz w:val="24"/>
    </w:rPr>
  </w:style>
  <w:style w:type="paragraph" w:customStyle="1" w:styleId="202">
    <w:name w:val="p19"/>
    <w:basedOn w:val="1"/>
    <w:uiPriority w:val="0"/>
    <w:pPr>
      <w:widowControl/>
      <w:snapToGrid w:val="0"/>
      <w:spacing w:before="60" w:after="120" w:line="360" w:lineRule="auto"/>
      <w:ind w:firstLine="420"/>
    </w:pPr>
    <w:rPr>
      <w:rFonts w:ascii="宋体" w:hAnsi="宋体" w:cs="宋体"/>
      <w:color w:val="000000"/>
      <w:kern w:val="0"/>
      <w:sz w:val="24"/>
      <w:szCs w:val="24"/>
    </w:rPr>
  </w:style>
  <w:style w:type="paragraph" w:customStyle="1" w:styleId="203">
    <w:name w:val="Char Char Char Char Char Char Char Char Char Char Char Char1 Char"/>
    <w:basedOn w:val="16"/>
    <w:uiPriority w:val="0"/>
    <w:rPr>
      <w:rFonts w:ascii="Tahoma" w:hAnsi="Tahoma"/>
      <w:sz w:val="24"/>
      <w:szCs w:val="24"/>
    </w:rPr>
  </w:style>
  <w:style w:type="paragraph" w:customStyle="1" w:styleId="204">
    <w:name w:val="Char Char Char Char Char Char"/>
    <w:basedOn w:val="1"/>
    <w:uiPriority w:val="0"/>
    <w:pPr>
      <w:ind w:firstLine="200" w:firstLineChars="200"/>
    </w:pPr>
    <w:rPr>
      <w:rFonts w:ascii="Tahoma" w:hAnsi="Tahoma"/>
      <w:sz w:val="24"/>
    </w:rPr>
  </w:style>
  <w:style w:type="paragraph" w:customStyle="1" w:styleId="205">
    <w:name w:val="G正文_小四"/>
    <w:basedOn w:val="1"/>
    <w:uiPriority w:val="0"/>
    <w:pPr>
      <w:tabs>
        <w:tab w:val="left" w:pos="240"/>
      </w:tabs>
      <w:adjustRightInd w:val="0"/>
      <w:snapToGrid w:val="0"/>
      <w:spacing w:line="360" w:lineRule="auto"/>
      <w:ind w:firstLine="425"/>
      <w:jc w:val="left"/>
    </w:pPr>
    <w:rPr>
      <w:rFonts w:ascii="宋体" w:hAnsi="宋体" w:cs="宋体"/>
      <w:sz w:val="24"/>
      <w:szCs w:val="24"/>
    </w:rPr>
  </w:style>
  <w:style w:type="paragraph" w:customStyle="1" w:styleId="206">
    <w:name w:val="xl3104"/>
    <w:basedOn w:val="1"/>
    <w:uiPriority w:val="0"/>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普通正文"/>
    <w:basedOn w:val="1"/>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08">
    <w:name w:val=" Char Char1 Char Char Char Char"/>
    <w:basedOn w:val="1"/>
    <w:uiPriority w:val="0"/>
    <w:rPr>
      <w:rFonts w:ascii="Tahoma" w:hAnsi="Tahoma"/>
      <w:sz w:val="24"/>
    </w:rPr>
  </w:style>
  <w:style w:type="paragraph" w:customStyle="1" w:styleId="209">
    <w:name w:val="无间隔1"/>
    <w:uiPriority w:val="0"/>
    <w:pPr>
      <w:widowControl w:val="0"/>
      <w:spacing w:line="360" w:lineRule="auto"/>
      <w:jc w:val="both"/>
    </w:pPr>
    <w:rPr>
      <w:rFonts w:ascii="仿宋_GB2312" w:hAnsi="仿宋_GB2312" w:eastAsia="新宋体" w:cs="Arial Unicode MS"/>
      <w:kern w:val="2"/>
      <w:sz w:val="24"/>
      <w:szCs w:val="22"/>
      <w:lang w:val="en-US" w:eastAsia="zh-CN" w:bidi="ar-SA"/>
    </w:rPr>
  </w:style>
  <w:style w:type="paragraph" w:customStyle="1" w:styleId="210">
    <w:name w:val="Default"/>
    <w:uiPriority w:val="0"/>
    <w:pPr>
      <w:widowControl w:val="0"/>
      <w:autoSpaceDE w:val="0"/>
      <w:autoSpaceDN w:val="0"/>
      <w:adjustRightInd w:val="0"/>
    </w:pPr>
    <w:rPr>
      <w:rFonts w:ascii="宋体" w:hAnsi="Calibri" w:cs="宋体"/>
      <w:color w:val="000000"/>
      <w:sz w:val="24"/>
      <w:szCs w:val="24"/>
      <w:lang w:val="en-US" w:eastAsia="zh-CN" w:bidi="ar-SA"/>
    </w:rPr>
  </w:style>
  <w:style w:type="paragraph" w:customStyle="1" w:styleId="211">
    <w:name w:val="xl28"/>
    <w:basedOn w:val="1"/>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212">
    <w:name w:val="默认段落字体 Para Char Char Char Char"/>
    <w:basedOn w:val="1"/>
    <w:uiPriority w:val="0"/>
    <w:rPr>
      <w:szCs w:val="24"/>
    </w:rPr>
  </w:style>
  <w:style w:type="paragraph" w:customStyle="1" w:styleId="213">
    <w:name w:val="xl25"/>
    <w:basedOn w:val="1"/>
    <w:uiPriority w:val="0"/>
    <w:pPr>
      <w:widowControl/>
      <w:spacing w:before="100" w:beforeAutospacing="1" w:after="100" w:afterAutospacing="1"/>
      <w:jc w:val="center"/>
      <w:textAlignment w:val="center"/>
    </w:pPr>
    <w:rPr>
      <w:rFonts w:ascii="宋体" w:hAnsi="宋体"/>
      <w:kern w:val="0"/>
      <w:sz w:val="20"/>
    </w:rPr>
  </w:style>
  <w:style w:type="paragraph" w:customStyle="1" w:styleId="214">
    <w:name w:val="xl310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20"/>
    </w:rPr>
  </w:style>
  <w:style w:type="paragraph" w:customStyle="1" w:styleId="215">
    <w:name w:val="xl310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216">
    <w:name w:val="xl3109"/>
    <w:basedOn w:val="1"/>
    <w:uiPriority w:val="0"/>
    <w:pPr>
      <w:widowControl/>
      <w:pBdr>
        <w:bottom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217">
    <w:name w:val="正文－恩普"/>
    <w:basedOn w:val="15"/>
    <w:uiPriority w:val="0"/>
    <w:pPr>
      <w:widowControl/>
      <w:spacing w:line="360" w:lineRule="auto"/>
      <w:ind w:firstLine="480"/>
      <w:jc w:val="left"/>
    </w:pPr>
    <w:rPr>
      <w:kern w:val="0"/>
      <w:sz w:val="24"/>
      <w:szCs w:val="20"/>
    </w:rPr>
  </w:style>
  <w:style w:type="paragraph" w:customStyle="1" w:styleId="218">
    <w:name w:val="xl309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19">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20">
    <w:name w:val="标题3"/>
    <w:basedOn w:val="5"/>
    <w:uiPriority w:val="0"/>
    <w:pPr>
      <w:numPr>
        <w:ilvl w:val="2"/>
        <w:numId w:val="1"/>
      </w:numPr>
      <w:tabs>
        <w:tab w:val="left" w:pos="113"/>
        <w:tab w:val="left" w:pos="840"/>
        <w:tab w:val="clear" w:pos="1260"/>
        <w:tab w:val="clear" w:pos="1620"/>
      </w:tabs>
      <w:spacing w:before="100" w:beforeLines="0" w:beforeAutospacing="1" w:after="120" w:afterLines="0" w:line="300" w:lineRule="auto"/>
      <w:ind w:left="1180" w:hanging="340"/>
    </w:pPr>
    <w:rPr>
      <w:rFonts w:ascii="Times New Roman" w:hAnsi="Times New Roman" w:cs="Times New Roman"/>
      <w:b w:val="0"/>
      <w:bCs w:val="0"/>
      <w:spacing w:val="6"/>
      <w:kern w:val="44"/>
      <w:sz w:val="28"/>
      <w:szCs w:val="20"/>
      <w:lang w:val="ru-RU"/>
    </w:rPr>
  </w:style>
  <w:style w:type="paragraph" w:customStyle="1" w:styleId="221">
    <w:name w:val="_Style 3"/>
    <w:qFormat/>
    <w:uiPriority w:val="0"/>
    <w:pPr>
      <w:widowControl w:val="0"/>
      <w:jc w:val="both"/>
    </w:pPr>
    <w:rPr>
      <w:rFonts w:ascii="Calibri" w:hAnsi="Calibri"/>
      <w:kern w:val="2"/>
      <w:sz w:val="21"/>
      <w:szCs w:val="22"/>
      <w:lang w:val="en-US" w:eastAsia="zh-CN" w:bidi="ar-SA"/>
    </w:rPr>
  </w:style>
  <w:style w:type="paragraph" w:customStyle="1" w:styleId="222">
    <w:name w:val="正文段"/>
    <w:basedOn w:val="1"/>
    <w:uiPriority w:val="0"/>
    <w:pPr>
      <w:widowControl/>
      <w:snapToGrid w:val="0"/>
      <w:spacing w:after="50" w:afterLines="50"/>
      <w:ind w:firstLine="200" w:firstLineChars="200"/>
    </w:pPr>
    <w:rPr>
      <w:kern w:val="0"/>
      <w:sz w:val="24"/>
    </w:rPr>
  </w:style>
  <w:style w:type="paragraph" w:customStyle="1" w:styleId="223">
    <w:name w:val="xl30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24">
    <w:name w:val="Note Heading2"/>
    <w:basedOn w:val="1"/>
    <w:next w:val="1"/>
    <w:uiPriority w:val="0"/>
    <w:pPr>
      <w:jc w:val="center"/>
    </w:pPr>
    <w:rPr>
      <w:rFonts w:ascii="DFKai-SB" w:hAnsi="DFKai-SB" w:eastAsia="DFKai-SB"/>
      <w:sz w:val="20"/>
    </w:rPr>
  </w:style>
  <w:style w:type="paragraph" w:customStyle="1" w:styleId="225">
    <w:name w:val="大标题"/>
    <w:basedOn w:val="1"/>
    <w:uiPriority w:val="0"/>
    <w:pPr>
      <w:autoSpaceDE w:val="0"/>
      <w:autoSpaceDN w:val="0"/>
      <w:adjustRightInd w:val="0"/>
      <w:spacing w:after="560"/>
      <w:jc w:val="center"/>
    </w:pPr>
    <w:rPr>
      <w:rFonts w:ascii="Arial Black" w:hAnsi="Arial Black"/>
      <w:b/>
      <w:kern w:val="0"/>
      <w:sz w:val="56"/>
    </w:rPr>
  </w:style>
  <w:style w:type="paragraph" w:customStyle="1" w:styleId="226">
    <w:name w:val="Char Char Char Char Char Char Char Char Char Char Char Char1 Char1"/>
    <w:basedOn w:val="16"/>
    <w:uiPriority w:val="0"/>
    <w:rPr>
      <w:rFonts w:ascii="Tahoma" w:hAnsi="Tahoma"/>
      <w:sz w:val="24"/>
      <w:szCs w:val="24"/>
    </w:rPr>
  </w:style>
  <w:style w:type="paragraph" w:customStyle="1" w:styleId="227">
    <w:name w:val="Char Char Char Char Char Char Char1"/>
    <w:basedOn w:val="1"/>
    <w:uiPriority w:val="0"/>
    <w:rPr>
      <w:rFonts w:ascii="仿宋_GB2312" w:eastAsia="仿宋_GB2312"/>
      <w:b/>
      <w:sz w:val="32"/>
      <w:szCs w:val="32"/>
    </w:rPr>
  </w:style>
  <w:style w:type="paragraph" w:customStyle="1" w:styleId="228">
    <w:name w:val="表格文字"/>
    <w:basedOn w:val="1"/>
    <w:uiPriority w:val="0"/>
    <w:pPr>
      <w:snapToGrid w:val="0"/>
      <w:spacing w:before="120"/>
    </w:pPr>
  </w:style>
  <w:style w:type="paragraph" w:customStyle="1" w:styleId="229">
    <w:name w:val="Char11"/>
    <w:basedOn w:val="1"/>
    <w:uiPriority w:val="0"/>
    <w:rPr>
      <w:rFonts w:ascii="仿宋_GB2312" w:eastAsia="仿宋_GB2312"/>
      <w:b/>
      <w:sz w:val="32"/>
      <w:szCs w:val="32"/>
    </w:rPr>
  </w:style>
  <w:style w:type="paragraph" w:customStyle="1" w:styleId="230">
    <w:name w:val="p0"/>
    <w:basedOn w:val="1"/>
    <w:uiPriority w:val="0"/>
    <w:pPr>
      <w:widowControl/>
    </w:pPr>
    <w:rPr>
      <w:kern w:val="0"/>
      <w:szCs w:val="21"/>
    </w:rPr>
  </w:style>
  <w:style w:type="paragraph" w:customStyle="1" w:styleId="231">
    <w:name w:val="Normal Char"/>
    <w:basedOn w:val="1"/>
    <w:uiPriority w:val="0"/>
    <w:pPr>
      <w:suppressAutoHyphens/>
      <w:autoSpaceDE w:val="0"/>
      <w:jc w:val="left"/>
    </w:pPr>
    <w:rPr>
      <w:rFonts w:ascii="Thorndale" w:hAnsi="Thorndale" w:eastAsia="HG Mincho Light J"/>
      <w:color w:val="000000"/>
      <w:kern w:val="0"/>
      <w:sz w:val="20"/>
      <w:lang/>
    </w:rPr>
  </w:style>
  <w:style w:type="paragraph" w:customStyle="1" w:styleId="232">
    <w:name w:val="标题1"/>
    <w:basedOn w:val="3"/>
    <w:uiPriority w:val="0"/>
    <w:pPr>
      <w:keepLines/>
      <w:numPr>
        <w:ilvl w:val="0"/>
        <w:numId w:val="4"/>
      </w:numPr>
      <w:tabs>
        <w:tab w:val="left" w:pos="397"/>
        <w:tab w:val="clear" w:pos="700"/>
      </w:tabs>
      <w:spacing w:before="120" w:after="120" w:line="300" w:lineRule="auto"/>
    </w:pPr>
    <w:rPr>
      <w:rFonts w:ascii="黑体" w:hAnsi="宋体" w:eastAsia="黑体"/>
      <w:b w:val="0"/>
      <w:bCs w:val="0"/>
      <w:spacing w:val="6"/>
      <w:kern w:val="44"/>
      <w:sz w:val="36"/>
    </w:rPr>
  </w:style>
  <w:style w:type="paragraph" w:customStyle="1" w:styleId="233">
    <w:name w:val="xl3097"/>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234">
    <w:name w:val="Char Char Char Char"/>
    <w:basedOn w:val="1"/>
    <w:uiPriority w:val="0"/>
    <w:pPr>
      <w:widowControl/>
      <w:spacing w:line="400" w:lineRule="exact"/>
      <w:jc w:val="center"/>
    </w:pPr>
    <w:rPr>
      <w:rFonts w:ascii="Verdana" w:hAnsi="Verdana"/>
      <w:kern w:val="0"/>
      <w:lang w:eastAsia="en-US"/>
    </w:rPr>
  </w:style>
  <w:style w:type="paragraph" w:customStyle="1" w:styleId="235">
    <w:name w:val="中等深浅网格 21"/>
    <w:qFormat/>
    <w:uiPriority w:val="0"/>
    <w:pPr>
      <w:widowControl w:val="0"/>
      <w:jc w:val="both"/>
    </w:pPr>
    <w:rPr>
      <w:kern w:val="2"/>
      <w:sz w:val="21"/>
      <w:szCs w:val="24"/>
      <w:lang w:val="en-US" w:eastAsia="zh-CN" w:bidi="ar-SA"/>
    </w:rPr>
  </w:style>
  <w:style w:type="paragraph" w:customStyle="1" w:styleId="236">
    <w:name w:val="段"/>
    <w:uiPriority w:val="0"/>
    <w:pPr>
      <w:autoSpaceDE w:val="0"/>
      <w:autoSpaceDN w:val="0"/>
      <w:ind w:firstLine="200" w:firstLineChars="200"/>
      <w:jc w:val="both"/>
    </w:pPr>
    <w:rPr>
      <w:rFonts w:ascii="宋体"/>
      <w:sz w:val="21"/>
      <w:lang w:val="en-US" w:eastAsia="zh-CN" w:bidi="ar-SA"/>
    </w:rPr>
  </w:style>
  <w:style w:type="paragraph" w:customStyle="1" w:styleId="237">
    <w:name w:val="xl3108"/>
    <w:basedOn w:val="1"/>
    <w:uiPriority w:val="0"/>
    <w:pPr>
      <w:widowControl/>
      <w:pBdr>
        <w:top w:val="single" w:color="auto" w:sz="4" w:space="0"/>
        <w:left w:val="single" w:color="auto" w:sz="4" w:space="25"/>
        <w:bottom w:val="single" w:color="auto" w:sz="4" w:space="0"/>
        <w:right w:val="single" w:color="auto" w:sz="4" w:space="0"/>
      </w:pBdr>
      <w:shd w:val="clear" w:color="000000" w:fill="FFFFFF"/>
      <w:spacing w:before="100" w:beforeAutospacing="1" w:after="100" w:afterAutospacing="1"/>
      <w:ind w:firstLineChars="100"/>
      <w:jc w:val="left"/>
    </w:pPr>
    <w:rPr>
      <w:rFonts w:ascii="宋体" w:hAnsi="宋体" w:cs="宋体"/>
      <w:kern w:val="0"/>
      <w:sz w:val="20"/>
    </w:rPr>
  </w:style>
  <w:style w:type="paragraph" w:customStyle="1" w:styleId="238">
    <w:name w:val="默认段落字体 Para Char Char Char Char Char Char Char Char Char Char"/>
    <w:basedOn w:val="1"/>
    <w:uiPriority w:val="0"/>
    <w:rPr>
      <w:rFonts w:ascii="Tahoma" w:hAnsi="Tahoma"/>
      <w:sz w:val="24"/>
    </w:rPr>
  </w:style>
  <w:style w:type="paragraph" w:customStyle="1" w:styleId="239">
    <w:name w:val="xl310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240">
    <w:name w:val="xl310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标题 1 New"/>
    <w:basedOn w:val="1"/>
    <w:next w:val="1"/>
    <w:uiPriority w:val="0"/>
    <w:pPr>
      <w:keepNext/>
      <w:keepLines/>
      <w:widowControl/>
      <w:spacing w:before="340" w:afterLines="50" w:line="576" w:lineRule="auto"/>
      <w:ind w:firstLine="482"/>
      <w:jc w:val="left"/>
      <w:outlineLvl w:val="0"/>
    </w:pPr>
    <w:rPr>
      <w:b/>
      <w:bCs/>
      <w:kern w:val="44"/>
      <w:sz w:val="44"/>
      <w:szCs w:val="44"/>
    </w:rPr>
  </w:style>
  <w:style w:type="paragraph" w:customStyle="1" w:styleId="242">
    <w:name w:val="Revision"/>
    <w:unhideWhenUsed/>
    <w:uiPriority w:val="0"/>
    <w:rPr>
      <w:rFonts w:ascii="Calibri" w:hAnsi="Calibri" w:cs="黑体"/>
      <w:kern w:val="2"/>
      <w:sz w:val="21"/>
      <w:szCs w:val="22"/>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6.xml" Type="http://schemas.openxmlformats.org/officeDocument/2006/relationships/footer"/><Relationship Id="rId12" Target="header4.xml" Type="http://schemas.openxmlformats.org/officeDocument/2006/relationships/header"/><Relationship Id="rId13" Target="footer7.xml" Type="http://schemas.openxmlformats.org/officeDocument/2006/relationships/footer"/><Relationship Id="rId14" Target="header5.xml" Type="http://schemas.openxmlformats.org/officeDocument/2006/relationships/header"/><Relationship Id="rId15" Target="header6.xml" Type="http://schemas.openxmlformats.org/officeDocument/2006/relationships/header"/><Relationship Id="rId16" Target="footer8.xml" Type="http://schemas.openxmlformats.org/officeDocument/2006/relationships/footer"/><Relationship Id="rId17" Target="header7.xml" Type="http://schemas.openxmlformats.org/officeDocument/2006/relationships/header"/><Relationship Id="rId18" Target="footer9.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media/image1.jpeg" Type="http://schemas.openxmlformats.org/officeDocument/2006/relationships/image"/><Relationship Id="rId21" Target="media/image2.jpeg" Type="http://schemas.openxmlformats.org/officeDocument/2006/relationships/image"/><Relationship Id="rId22" Target="../customXml/item1.xml" Type="http://schemas.openxmlformats.org/officeDocument/2006/relationships/customXml"/><Relationship Id="rId23" Target="numbering.xml" Type="http://schemas.openxmlformats.org/officeDocument/2006/relationships/numbering"/><Relationship Id="rId24" Target="fontTable.xml" Type="http://schemas.openxmlformats.org/officeDocument/2006/relationships/fontTable"/><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131</Pages>
  <Words>15861</Words>
  <Characters>90408</Characters>
  <Lines>753</Lines>
  <Paragraphs>212</Paragraphs>
  <TotalTime>0</TotalTime>
  <ScaleCrop>false</ScaleCrop>
  <LinksUpToDate>false</LinksUpToDate>
  <CharactersWithSpaces>106057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2020-05-08T02:13:00Z</dcterms:created>
  <dc:creator>dyp</dc:creator>
  <cp:lastModifiedBy>WPS_1701756769</cp:lastModifiedBy>
  <cp:lastPrinted>2020-05-18T08:25:00Z</cp:lastPrinted>
  <dcterms:modified xsi:type="dcterms:W3CDTF">2024-02-23T02:22:10Z</dcterms:modified>
  <cp:revision>2</cp:revision>
  <dc:title>第一部分  投标方须知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A078FE24BA0F43558D1EA9AD0C7F76AF_13</vt:lpwstr>
  </property>
</Properties>
</file>