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宋体" w:hAnsi="宋体" w:cs="宋体"/>
          <w:sz w:val="32"/>
          <w:szCs w:val="32"/>
        </w:rPr>
      </w:pPr>
      <w:r>
        <w:rPr>
          <w:rFonts w:hint="eastAsia" w:ascii="宋体" w:hAnsi="宋体"/>
          <w:b/>
          <w:sz w:val="24"/>
        </w:rPr>
        <w:t xml:space="preserve">                                        </w:t>
      </w:r>
    </w:p>
    <w:p>
      <w:pPr>
        <w:spacing w:line="360" w:lineRule="auto"/>
        <w:rPr>
          <w:rFonts w:ascii="宋体" w:hAnsi="宋体" w:cs="宋体"/>
          <w:b/>
          <w:sz w:val="72"/>
          <w:szCs w:val="72"/>
        </w:rPr>
      </w:pPr>
    </w:p>
    <w:p>
      <w:pPr>
        <w:spacing w:line="360" w:lineRule="auto"/>
        <w:jc w:val="center"/>
        <w:rPr>
          <w:rFonts w:ascii="宋体" w:hAnsi="宋体" w:cs="宋体"/>
          <w:b/>
          <w:sz w:val="72"/>
          <w:szCs w:val="72"/>
        </w:rPr>
      </w:pPr>
      <w:r>
        <w:rPr>
          <w:rFonts w:hint="eastAsia" w:ascii="宋体" w:hAnsi="宋体" w:cs="宋体"/>
          <w:b/>
          <w:sz w:val="72"/>
          <w:szCs w:val="72"/>
        </w:rPr>
        <w:t>竞争性磋商采购文件</w:t>
      </w:r>
    </w:p>
    <w:p>
      <w:pPr>
        <w:spacing w:line="360" w:lineRule="auto"/>
        <w:rPr>
          <w:rFonts w:ascii="宋体" w:hAnsi="宋体" w:cs="宋体"/>
          <w:sz w:val="44"/>
          <w:szCs w:val="20"/>
        </w:rPr>
      </w:pPr>
    </w:p>
    <w:p>
      <w:pPr>
        <w:spacing w:line="360" w:lineRule="auto"/>
        <w:rPr>
          <w:rFonts w:ascii="宋体" w:hAnsi="宋体" w:cs="宋体"/>
          <w:sz w:val="44"/>
          <w:szCs w:val="20"/>
        </w:rPr>
      </w:pPr>
    </w:p>
    <w:p>
      <w:pPr>
        <w:spacing w:line="360" w:lineRule="auto"/>
        <w:rPr>
          <w:rFonts w:ascii="宋体" w:hAnsi="宋体" w:cs="宋体"/>
          <w:sz w:val="44"/>
          <w:szCs w:val="20"/>
        </w:rPr>
      </w:pPr>
    </w:p>
    <w:p>
      <w:pPr>
        <w:spacing w:line="360" w:lineRule="auto"/>
        <w:rPr>
          <w:rFonts w:ascii="宋体" w:hAnsi="宋体" w:cs="宋体"/>
          <w:sz w:val="44"/>
          <w:szCs w:val="20"/>
        </w:rPr>
      </w:pPr>
      <w:r>
        <w:rPr>
          <w:rFonts w:hint="eastAsia" w:ascii="宋体" w:hAnsi="宋体" w:cs="宋体"/>
          <w:sz w:val="44"/>
          <w:szCs w:val="20"/>
        </w:rPr>
        <w:t xml:space="preserve">                   </w:t>
      </w:r>
    </w:p>
    <w:tbl>
      <w:tblPr>
        <w:tblStyle w:val="47"/>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3" w:hRule="atLeast"/>
          <w:jc w:val="center"/>
        </w:trPr>
        <w:tc>
          <w:tcPr>
            <w:tcW w:w="2464" w:type="dxa"/>
            <w:tcBorders>
              <w:top w:val="single" w:color="auto" w:sz="4" w:space="0"/>
              <w:left w:val="single" w:color="auto" w:sz="4" w:space="0"/>
              <w:bottom w:val="single" w:color="auto" w:sz="4" w:space="0"/>
              <w:right w:val="single" w:color="auto" w:sz="4" w:space="0"/>
            </w:tcBorders>
            <w:vAlign w:val="center"/>
          </w:tcPr>
          <w:p>
            <w:pPr>
              <w:spacing w:line="360" w:lineRule="auto"/>
              <w:ind w:right="-216"/>
              <w:jc w:val="center"/>
              <w:rPr>
                <w:rFonts w:ascii="宋体" w:hAnsi="宋体" w:cs="宋体"/>
                <w:b/>
                <w:sz w:val="32"/>
                <w:szCs w:val="32"/>
              </w:rPr>
            </w:pPr>
            <w:r>
              <w:rPr>
                <w:rFonts w:hint="eastAsia" w:ascii="宋体" w:hAnsi="宋体" w:cs="宋体"/>
                <w:b/>
                <w:sz w:val="32"/>
                <w:szCs w:val="32"/>
              </w:rPr>
              <w:t>项目编号：</w:t>
            </w:r>
          </w:p>
        </w:tc>
        <w:tc>
          <w:tcPr>
            <w:tcW w:w="7457" w:type="dxa"/>
            <w:tcBorders>
              <w:top w:val="single" w:color="auto" w:sz="4" w:space="0"/>
              <w:left w:val="single" w:color="auto" w:sz="4" w:space="0"/>
              <w:bottom w:val="single" w:color="auto" w:sz="4" w:space="0"/>
              <w:right w:val="single" w:color="auto" w:sz="4" w:space="0"/>
            </w:tcBorders>
            <w:vAlign w:val="center"/>
          </w:tcPr>
          <w:p>
            <w:pPr>
              <w:spacing w:line="360" w:lineRule="auto"/>
              <w:ind w:right="-216"/>
              <w:jc w:val="center"/>
              <w:rPr>
                <w:rFonts w:ascii="宋体" w:hAnsi="宋体" w:cs="宋体"/>
                <w:b/>
                <w:sz w:val="32"/>
                <w:szCs w:val="32"/>
              </w:rPr>
            </w:pPr>
            <w:r>
              <w:rPr>
                <w:rFonts w:hint="eastAsia" w:ascii="宋体" w:hAnsi="宋体" w:cs="宋体"/>
                <w:b/>
                <w:sz w:val="32"/>
                <w:szCs w:val="32"/>
              </w:rPr>
              <w:t>CBNB-20222172-BL034G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4" w:hRule="atLeast"/>
          <w:jc w:val="center"/>
        </w:trPr>
        <w:tc>
          <w:tcPr>
            <w:tcW w:w="2464" w:type="dxa"/>
            <w:tcBorders>
              <w:top w:val="single" w:color="auto" w:sz="4" w:space="0"/>
              <w:left w:val="single" w:color="auto" w:sz="4" w:space="0"/>
              <w:bottom w:val="single" w:color="auto" w:sz="4" w:space="0"/>
              <w:right w:val="single" w:color="auto" w:sz="4" w:space="0"/>
            </w:tcBorders>
            <w:vAlign w:val="center"/>
          </w:tcPr>
          <w:p>
            <w:pPr>
              <w:spacing w:line="360" w:lineRule="auto"/>
              <w:ind w:right="-216"/>
              <w:jc w:val="center"/>
              <w:rPr>
                <w:rFonts w:ascii="宋体" w:hAnsi="宋体" w:cs="宋体"/>
                <w:b/>
                <w:sz w:val="32"/>
                <w:szCs w:val="32"/>
              </w:rPr>
            </w:pPr>
            <w:r>
              <w:rPr>
                <w:rFonts w:hint="eastAsia" w:ascii="宋体" w:hAnsi="宋体" w:cs="宋体"/>
                <w:b/>
                <w:sz w:val="32"/>
                <w:szCs w:val="32"/>
              </w:rPr>
              <w:t>项目名称：</w:t>
            </w:r>
          </w:p>
        </w:tc>
        <w:tc>
          <w:tcPr>
            <w:tcW w:w="7457" w:type="dxa"/>
            <w:tcBorders>
              <w:top w:val="single" w:color="auto" w:sz="4" w:space="0"/>
              <w:left w:val="single" w:color="auto" w:sz="4" w:space="0"/>
              <w:bottom w:val="single" w:color="auto" w:sz="4" w:space="0"/>
              <w:right w:val="single" w:color="auto" w:sz="4" w:space="0"/>
            </w:tcBorders>
            <w:vAlign w:val="center"/>
          </w:tcPr>
          <w:p>
            <w:pPr>
              <w:spacing w:line="360" w:lineRule="auto"/>
              <w:ind w:right="-216"/>
              <w:jc w:val="center"/>
              <w:rPr>
                <w:rFonts w:ascii="宋体" w:hAnsi="宋体" w:cs="宋体"/>
                <w:b/>
                <w:sz w:val="32"/>
                <w:szCs w:val="32"/>
              </w:rPr>
            </w:pPr>
            <w:r>
              <w:rPr>
                <w:rFonts w:hint="eastAsia" w:ascii="宋体" w:hAnsi="宋体" w:cs="宋体"/>
                <w:b/>
                <w:sz w:val="32"/>
                <w:szCs w:val="32"/>
              </w:rPr>
              <w:t>宁波市北仑区民政局专职社区工作者招聘服务项目</w:t>
            </w:r>
          </w:p>
        </w:tc>
      </w:tr>
    </w:tbl>
    <w:p>
      <w:pPr>
        <w:spacing w:line="360" w:lineRule="auto"/>
        <w:rPr>
          <w:rFonts w:ascii="宋体" w:hAnsi="宋体" w:cs="宋体"/>
          <w:sz w:val="44"/>
          <w:szCs w:val="20"/>
        </w:rPr>
      </w:pPr>
    </w:p>
    <w:p>
      <w:pPr>
        <w:spacing w:line="360" w:lineRule="auto"/>
        <w:jc w:val="center"/>
        <w:rPr>
          <w:rFonts w:ascii="宋体" w:hAnsi="宋体" w:cs="宋体"/>
          <w:sz w:val="44"/>
          <w:szCs w:val="20"/>
        </w:rPr>
      </w:pPr>
    </w:p>
    <w:p>
      <w:pPr>
        <w:spacing w:line="360" w:lineRule="auto"/>
        <w:jc w:val="center"/>
        <w:rPr>
          <w:rFonts w:ascii="宋体" w:hAnsi="宋体" w:cs="宋体"/>
          <w:sz w:val="44"/>
          <w:szCs w:val="20"/>
        </w:rPr>
      </w:pPr>
    </w:p>
    <w:p>
      <w:pPr>
        <w:pStyle w:val="63"/>
      </w:pPr>
    </w:p>
    <w:p>
      <w:pPr>
        <w:spacing w:line="360" w:lineRule="auto"/>
        <w:rPr>
          <w:rFonts w:ascii="宋体" w:hAnsi="宋体" w:cs="宋体"/>
          <w:b/>
          <w:sz w:val="36"/>
          <w:szCs w:val="36"/>
        </w:rPr>
      </w:pPr>
    </w:p>
    <w:p>
      <w:pPr>
        <w:widowControl/>
        <w:jc w:val="left"/>
        <w:rPr>
          <w:rFonts w:hAnsi="宋体"/>
          <w:b/>
          <w:bCs/>
          <w:w w:val="95"/>
          <w:sz w:val="28"/>
          <w:szCs w:val="28"/>
        </w:rPr>
      </w:pPr>
      <w:r>
        <w:rPr>
          <w:rFonts w:hint="eastAsia" w:hAnsi="宋体"/>
          <w:b/>
          <w:bCs/>
          <w:w w:val="95"/>
          <w:sz w:val="28"/>
          <w:szCs w:val="28"/>
        </w:rPr>
        <w:t xml:space="preserve">          </w:t>
      </w:r>
      <w:r>
        <w:rPr>
          <w:rFonts w:hAnsi="宋体"/>
          <w:b/>
          <w:bCs/>
          <w:w w:val="95"/>
          <w:sz w:val="28"/>
          <w:szCs w:val="28"/>
        </w:rPr>
        <w:t>采购单位：</w:t>
      </w:r>
      <w:r>
        <w:rPr>
          <w:rFonts w:hint="eastAsia" w:hAnsi="宋体"/>
          <w:b/>
          <w:bCs/>
          <w:w w:val="95"/>
          <w:sz w:val="28"/>
          <w:szCs w:val="28"/>
        </w:rPr>
        <w:t>宁波市北仑区民政局</w:t>
      </w:r>
    </w:p>
    <w:p>
      <w:pPr>
        <w:pStyle w:val="25"/>
        <w:snapToGrid w:val="0"/>
        <w:spacing w:before="156" w:after="156" w:line="360" w:lineRule="auto"/>
        <w:ind w:firstLine="131" w:firstLineChars="49"/>
        <w:jc w:val="left"/>
        <w:rPr>
          <w:rFonts w:hint="default" w:hAnsi="宋体"/>
          <w:b/>
          <w:bCs/>
          <w:w w:val="95"/>
          <w:sz w:val="28"/>
          <w:szCs w:val="28"/>
        </w:rPr>
      </w:pPr>
      <w:r>
        <w:rPr>
          <w:rFonts w:hAnsi="宋体"/>
          <w:b/>
          <w:bCs/>
          <w:w w:val="95"/>
          <w:sz w:val="28"/>
          <w:szCs w:val="28"/>
        </w:rPr>
        <w:t xml:space="preserve">         代理机构：宁波中基国际招标有限公司</w:t>
      </w:r>
    </w:p>
    <w:p>
      <w:pPr>
        <w:pStyle w:val="25"/>
        <w:snapToGrid w:val="0"/>
        <w:spacing w:before="156" w:after="156" w:line="360" w:lineRule="auto"/>
        <w:ind w:firstLine="3865" w:firstLineChars="1447"/>
        <w:jc w:val="left"/>
        <w:rPr>
          <w:rFonts w:hint="default" w:hAnsi="宋体"/>
          <w:b/>
          <w:bCs/>
          <w:w w:val="95"/>
          <w:sz w:val="28"/>
          <w:szCs w:val="28"/>
        </w:rPr>
      </w:pPr>
    </w:p>
    <w:p>
      <w:pPr>
        <w:pStyle w:val="25"/>
        <w:snapToGrid w:val="0"/>
        <w:spacing w:before="156" w:after="156" w:line="360" w:lineRule="auto"/>
        <w:ind w:firstLine="3865" w:firstLineChars="1447"/>
        <w:jc w:val="left"/>
        <w:rPr>
          <w:rFonts w:hint="default" w:hAnsi="宋体"/>
          <w:b/>
          <w:bCs/>
          <w:sz w:val="24"/>
        </w:rPr>
      </w:pPr>
      <w:r>
        <w:rPr>
          <w:rFonts w:hAnsi="宋体"/>
          <w:b/>
          <w:bCs/>
          <w:w w:val="95"/>
          <w:sz w:val="28"/>
          <w:szCs w:val="28"/>
        </w:rPr>
        <w:t>2022年 7月</w:t>
      </w:r>
      <w:r>
        <w:rPr>
          <w:rFonts w:hAnsi="宋体"/>
          <w:b/>
          <w:bCs/>
          <w:sz w:val="28"/>
          <w:szCs w:val="28"/>
        </w:rPr>
        <w:t xml:space="preserve"> </w:t>
      </w:r>
      <w:r>
        <w:rPr>
          <w:rFonts w:hAnsi="宋体"/>
          <w:b/>
          <w:bCs/>
          <w:sz w:val="24"/>
        </w:rPr>
        <w:t xml:space="preserve">           </w:t>
      </w:r>
    </w:p>
    <w:p>
      <w:pPr>
        <w:jc w:val="center"/>
        <w:rPr>
          <w:rFonts w:ascii="宋体" w:hAnsi="宋体" w:cs="宋体"/>
          <w:b/>
          <w:sz w:val="36"/>
          <w:szCs w:val="36"/>
          <w:lang w:val="zh-CN"/>
        </w:rPr>
        <w:sectPr>
          <w:headerReference r:id="rId4" w:type="first"/>
          <w:footerReference r:id="rId7" w:type="first"/>
          <w:footerReference r:id="rId5" w:type="default"/>
          <w:headerReference r:id="rId3" w:type="even"/>
          <w:footerReference r:id="rId6" w:type="even"/>
          <w:pgSz w:w="11906" w:h="16838"/>
          <w:pgMar w:top="1440" w:right="1440" w:bottom="1440" w:left="1610" w:header="851" w:footer="1020" w:gutter="0"/>
          <w:pgNumType w:start="1"/>
          <w:cols w:space="720" w:num="1"/>
          <w:titlePg/>
          <w:docGrid w:type="lines" w:linePitch="312" w:charSpace="0"/>
        </w:sectPr>
      </w:pPr>
    </w:p>
    <w:p>
      <w:pPr>
        <w:pStyle w:val="46"/>
      </w:pPr>
    </w:p>
    <w:p>
      <w:pPr>
        <w:jc w:val="center"/>
        <w:rPr>
          <w:rFonts w:ascii="宋体" w:hAnsi="宋体" w:cs="宋体"/>
          <w:b/>
          <w:sz w:val="36"/>
          <w:szCs w:val="36"/>
        </w:rPr>
      </w:pPr>
      <w:r>
        <w:rPr>
          <w:rFonts w:hint="eastAsia" w:ascii="宋体" w:hAnsi="宋体" w:cs="宋体"/>
          <w:b/>
          <w:sz w:val="36"/>
          <w:szCs w:val="36"/>
          <w:lang w:val="zh-CN"/>
        </w:rPr>
        <w:t>目  录</w:t>
      </w:r>
    </w:p>
    <w:p>
      <w:pPr>
        <w:pStyle w:val="34"/>
        <w:tabs>
          <w:tab w:val="right" w:leader="dot" w:pos="8856"/>
        </w:tabs>
        <w:rPr>
          <w:rFonts w:ascii="宋体" w:hAnsi="宋体" w:cs="宋体"/>
        </w:rPr>
      </w:pPr>
      <w:r>
        <w:rPr>
          <w:rFonts w:hint="eastAsia" w:ascii="宋体" w:hAnsi="宋体" w:cs="宋体"/>
          <w:b w:val="0"/>
        </w:rPr>
        <w:fldChar w:fldCharType="begin"/>
      </w:r>
      <w:r>
        <w:rPr>
          <w:rFonts w:hint="eastAsia" w:ascii="宋体" w:hAnsi="宋体" w:cs="宋体"/>
          <w:b w:val="0"/>
        </w:rPr>
        <w:instrText xml:space="preserve"> TOC \o "1-3" \h \z \u </w:instrText>
      </w:r>
      <w:r>
        <w:rPr>
          <w:rFonts w:hint="eastAsia" w:ascii="宋体" w:hAnsi="宋体" w:cs="宋体"/>
          <w:b w:val="0"/>
        </w:rPr>
        <w:fldChar w:fldCharType="separate"/>
      </w:r>
      <w:r>
        <w:fldChar w:fldCharType="begin"/>
      </w:r>
      <w:r>
        <w:instrText xml:space="preserve"> HYPERLINK \l "_Toc29589" </w:instrText>
      </w:r>
      <w:r>
        <w:fldChar w:fldCharType="separate"/>
      </w:r>
      <w:r>
        <w:rPr>
          <w:rFonts w:hint="eastAsia" w:ascii="宋体" w:hAnsi="宋体" w:cs="宋体"/>
        </w:rPr>
        <w:t>第一章  磋商公告</w:t>
      </w:r>
      <w:bookmarkStart w:id="6" w:name="_GoBack"/>
      <w:bookmarkEnd w:id="6"/>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_Toc29589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34"/>
        <w:tabs>
          <w:tab w:val="right" w:leader="dot" w:pos="8856"/>
        </w:tabs>
        <w:rPr>
          <w:rFonts w:ascii="宋体" w:hAnsi="宋体" w:cs="宋体"/>
        </w:rPr>
      </w:pPr>
      <w:r>
        <w:fldChar w:fldCharType="begin"/>
      </w:r>
      <w:r>
        <w:instrText xml:space="preserve"> HYPERLINK \l "_Toc27212" </w:instrText>
      </w:r>
      <w:r>
        <w:fldChar w:fldCharType="separate"/>
      </w:r>
      <w:r>
        <w:rPr>
          <w:rFonts w:hint="eastAsia" w:ascii="宋体" w:hAnsi="宋体" w:cs="宋体"/>
        </w:rPr>
        <w:t>第二章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_Toc27212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pPr>
        <w:pStyle w:val="34"/>
        <w:tabs>
          <w:tab w:val="right" w:leader="dot" w:pos="8856"/>
        </w:tabs>
        <w:rPr>
          <w:rFonts w:ascii="宋体" w:hAnsi="宋体" w:cs="宋体"/>
        </w:rPr>
      </w:pPr>
      <w:r>
        <w:fldChar w:fldCharType="begin"/>
      </w:r>
      <w:r>
        <w:instrText xml:space="preserve"> HYPERLINK \l "_Toc6513" </w:instrText>
      </w:r>
      <w:r>
        <w:fldChar w:fldCharType="separate"/>
      </w:r>
      <w:r>
        <w:rPr>
          <w:rFonts w:hint="eastAsia" w:ascii="宋体" w:hAnsi="宋体" w:cs="宋体"/>
        </w:rPr>
        <w:t>第三章  供应商须知</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4</w:t>
      </w:r>
    </w:p>
    <w:p>
      <w:pPr>
        <w:pStyle w:val="34"/>
        <w:tabs>
          <w:tab w:val="right" w:leader="dot" w:pos="8856"/>
        </w:tabs>
        <w:rPr>
          <w:rFonts w:ascii="宋体" w:hAnsi="宋体" w:cs="宋体"/>
        </w:rPr>
      </w:pPr>
      <w:r>
        <w:fldChar w:fldCharType="begin"/>
      </w:r>
      <w:r>
        <w:instrText xml:space="preserve"> HYPERLINK \l "_Toc23195" </w:instrText>
      </w:r>
      <w:r>
        <w:fldChar w:fldCharType="separate"/>
      </w:r>
      <w:r>
        <w:rPr>
          <w:rFonts w:hint="eastAsia" w:ascii="宋体" w:hAnsi="宋体" w:cs="宋体"/>
        </w:rPr>
        <w:t>第四章  评审办法及评分标准</w:t>
      </w:r>
      <w:r>
        <w:rPr>
          <w:rFonts w:hint="eastAsia" w:ascii="宋体" w:hAnsi="宋体" w:cs="宋体"/>
        </w:rPr>
        <w:tab/>
      </w:r>
      <w:r>
        <w:rPr>
          <w:rFonts w:hint="eastAsia" w:ascii="宋体" w:hAnsi="宋体" w:cs="宋体"/>
        </w:rPr>
        <w:t>3</w:t>
      </w:r>
      <w:r>
        <w:rPr>
          <w:rFonts w:hint="eastAsia" w:ascii="宋体" w:hAnsi="宋体" w:cs="宋体"/>
        </w:rPr>
        <w:fldChar w:fldCharType="end"/>
      </w:r>
      <w:r>
        <w:rPr>
          <w:rFonts w:hint="eastAsia" w:ascii="宋体" w:hAnsi="宋体" w:cs="宋体"/>
        </w:rPr>
        <w:t>6</w:t>
      </w:r>
    </w:p>
    <w:p>
      <w:pPr>
        <w:pStyle w:val="34"/>
        <w:tabs>
          <w:tab w:val="right" w:leader="dot" w:pos="8856"/>
        </w:tabs>
        <w:rPr>
          <w:rFonts w:ascii="宋体" w:hAnsi="宋体" w:cs="宋体"/>
        </w:rPr>
      </w:pPr>
      <w:r>
        <w:fldChar w:fldCharType="begin"/>
      </w:r>
      <w:r>
        <w:instrText xml:space="preserve"> HYPERLINK \l "_Toc20990" </w:instrText>
      </w:r>
      <w:r>
        <w:fldChar w:fldCharType="separate"/>
      </w:r>
      <w:r>
        <w:rPr>
          <w:rFonts w:hint="eastAsia" w:ascii="宋体" w:hAnsi="宋体" w:cs="宋体"/>
        </w:rPr>
        <w:t>第五章  政府采购合同草案条款</w:t>
      </w:r>
      <w:r>
        <w:rPr>
          <w:rFonts w:hint="eastAsia" w:ascii="宋体" w:hAnsi="宋体" w:cs="宋体"/>
        </w:rPr>
        <w:tab/>
      </w:r>
      <w:r>
        <w:rPr>
          <w:rFonts w:hint="eastAsia" w:ascii="宋体" w:hAnsi="宋体" w:cs="宋体"/>
        </w:rPr>
        <w:t>4</w:t>
      </w:r>
      <w:r>
        <w:rPr>
          <w:rFonts w:hint="eastAsia" w:ascii="宋体" w:hAnsi="宋体" w:cs="宋体"/>
        </w:rPr>
        <w:fldChar w:fldCharType="end"/>
      </w:r>
      <w:r>
        <w:rPr>
          <w:rFonts w:hint="eastAsia" w:ascii="宋体" w:hAnsi="宋体" w:cs="宋体"/>
        </w:rPr>
        <w:t>0</w:t>
      </w:r>
    </w:p>
    <w:p>
      <w:pPr>
        <w:pStyle w:val="34"/>
        <w:tabs>
          <w:tab w:val="right" w:leader="dot" w:pos="8856"/>
        </w:tabs>
        <w:rPr>
          <w:rFonts w:ascii="宋体" w:hAnsi="宋体" w:cs="宋体"/>
        </w:rPr>
      </w:pPr>
      <w:r>
        <w:fldChar w:fldCharType="begin"/>
      </w:r>
      <w:r>
        <w:instrText xml:space="preserve"> HYPERLINK \l "_Toc1823" </w:instrText>
      </w:r>
      <w:r>
        <w:fldChar w:fldCharType="separate"/>
      </w:r>
      <w:r>
        <w:rPr>
          <w:rFonts w:hint="eastAsia" w:ascii="宋体" w:hAnsi="宋体" w:cs="宋体"/>
        </w:rPr>
        <w:t>第六章  响应文件格式</w:t>
      </w:r>
      <w:r>
        <w:rPr>
          <w:rFonts w:hint="eastAsia" w:ascii="宋体" w:hAnsi="宋体" w:cs="宋体"/>
        </w:rPr>
        <w:tab/>
      </w:r>
      <w:r>
        <w:rPr>
          <w:rFonts w:hint="eastAsia" w:ascii="宋体" w:hAnsi="宋体" w:cs="宋体"/>
        </w:rPr>
        <w:t>4</w:t>
      </w:r>
      <w:r>
        <w:rPr>
          <w:rFonts w:hint="eastAsia" w:ascii="宋体" w:hAnsi="宋体" w:cs="宋体"/>
        </w:rPr>
        <w:fldChar w:fldCharType="end"/>
      </w:r>
      <w:r>
        <w:rPr>
          <w:rFonts w:hint="eastAsia" w:ascii="宋体" w:hAnsi="宋体" w:cs="宋体"/>
        </w:rPr>
        <w:t>3</w:t>
      </w:r>
    </w:p>
    <w:p>
      <w:pPr>
        <w:rPr>
          <w:rFonts w:ascii="宋体" w:hAnsi="宋体" w:cs="宋体"/>
        </w:rPr>
      </w:pPr>
      <w:r>
        <w:rPr>
          <w:rFonts w:hint="eastAsia" w:ascii="宋体" w:hAnsi="宋体" w:cs="宋体"/>
        </w:rPr>
        <w:fldChar w:fldCharType="end"/>
      </w:r>
    </w:p>
    <w:p>
      <w:pPr>
        <w:pStyle w:val="34"/>
        <w:tabs>
          <w:tab w:val="right" w:leader="dot" w:pos="8721"/>
        </w:tabs>
        <w:spacing w:line="360" w:lineRule="auto"/>
        <w:rPr>
          <w:rFonts w:ascii="宋体" w:hAnsi="宋体" w:cs="宋体"/>
          <w:b w:val="0"/>
          <w:sz w:val="30"/>
          <w:szCs w:val="30"/>
        </w:rPr>
      </w:pPr>
      <w:r>
        <w:rPr>
          <w:rFonts w:hint="eastAsia" w:ascii="宋体" w:hAnsi="宋体" w:cs="宋体"/>
          <w:b w:val="0"/>
          <w:sz w:val="30"/>
          <w:szCs w:val="30"/>
        </w:rPr>
        <w:fldChar w:fldCharType="begin"/>
      </w:r>
      <w:r>
        <w:rPr>
          <w:rFonts w:hint="eastAsia" w:ascii="宋体" w:hAnsi="宋体" w:cs="宋体"/>
          <w:b w:val="0"/>
          <w:sz w:val="30"/>
          <w:szCs w:val="30"/>
        </w:rPr>
        <w:instrText xml:space="preserve"> TOC \o "1-3" \h \z \u </w:instrText>
      </w:r>
      <w:r>
        <w:rPr>
          <w:rFonts w:hint="eastAsia" w:ascii="宋体" w:hAnsi="宋体" w:cs="宋体"/>
          <w:b w:val="0"/>
          <w:sz w:val="30"/>
          <w:szCs w:val="30"/>
        </w:rPr>
        <w:fldChar w:fldCharType="separate"/>
      </w:r>
    </w:p>
    <w:p>
      <w:pPr>
        <w:pStyle w:val="25"/>
        <w:spacing w:beforeLines="0" w:afterLines="0" w:line="360" w:lineRule="auto"/>
        <w:jc w:val="center"/>
        <w:rPr>
          <w:rFonts w:hint="default" w:hAnsi="宋体" w:cs="宋体"/>
          <w:b/>
          <w:sz w:val="30"/>
          <w:szCs w:val="30"/>
        </w:rPr>
      </w:pPr>
      <w:r>
        <w:rPr>
          <w:rFonts w:hAnsi="宋体" w:cs="宋体"/>
          <w:b/>
          <w:sz w:val="30"/>
          <w:szCs w:val="30"/>
        </w:rPr>
        <w:fldChar w:fldCharType="end"/>
      </w:r>
    </w:p>
    <w:p>
      <w:pPr>
        <w:pStyle w:val="25"/>
        <w:spacing w:beforeLines="0" w:afterLines="0" w:line="360" w:lineRule="auto"/>
        <w:jc w:val="center"/>
        <w:rPr>
          <w:rFonts w:hint="default" w:hAnsi="宋体" w:cs="宋体"/>
          <w:b/>
          <w:sz w:val="30"/>
          <w:szCs w:val="30"/>
        </w:rPr>
      </w:pPr>
    </w:p>
    <w:p>
      <w:pPr>
        <w:pStyle w:val="25"/>
        <w:spacing w:beforeLines="0" w:afterLines="0" w:line="360" w:lineRule="auto"/>
        <w:jc w:val="center"/>
        <w:rPr>
          <w:rFonts w:hint="default" w:hAnsi="宋体" w:cs="宋体"/>
          <w:b/>
          <w:sz w:val="30"/>
          <w:szCs w:val="30"/>
        </w:rPr>
      </w:pPr>
    </w:p>
    <w:p>
      <w:pPr>
        <w:pStyle w:val="25"/>
        <w:spacing w:beforeLines="0" w:afterLines="0" w:line="360" w:lineRule="auto"/>
        <w:jc w:val="center"/>
        <w:rPr>
          <w:rFonts w:hint="default" w:hAnsi="宋体" w:cs="宋体"/>
          <w:b/>
          <w:sz w:val="30"/>
          <w:szCs w:val="30"/>
        </w:rPr>
        <w:sectPr>
          <w:footerReference r:id="rId9" w:type="first"/>
          <w:footerReference r:id="rId8" w:type="default"/>
          <w:pgSz w:w="11906" w:h="16838"/>
          <w:pgMar w:top="1440" w:right="1440" w:bottom="1440" w:left="1610" w:header="851" w:footer="992" w:gutter="0"/>
          <w:pgNumType w:start="1"/>
          <w:cols w:space="720" w:num="1"/>
          <w:docGrid w:type="lines" w:linePitch="312" w:charSpace="0"/>
        </w:sectPr>
      </w:pPr>
    </w:p>
    <w:p>
      <w:pPr>
        <w:pStyle w:val="4"/>
        <w:rPr>
          <w:rFonts w:ascii="宋体" w:hAnsi="宋体" w:cs="宋体"/>
          <w:sz w:val="21"/>
          <w:szCs w:val="21"/>
        </w:rPr>
      </w:pPr>
      <w:bookmarkStart w:id="0" w:name="_Toc29589"/>
      <w:r>
        <w:rPr>
          <w:rFonts w:hint="eastAsia" w:ascii="宋体" w:hAnsi="宋体" w:cs="宋体"/>
        </w:rPr>
        <w:t xml:space="preserve">第一章  </w:t>
      </w:r>
      <w:bookmarkEnd w:id="0"/>
      <w:r>
        <w:rPr>
          <w:rFonts w:hint="eastAsia" w:ascii="宋体" w:hAnsi="宋体" w:cs="宋体"/>
        </w:rPr>
        <w:t>磋商公告</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项目概况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宁波市北仑区民政局专职社区工作者招聘服务项目采购项目的潜在供应商应在政府采购云平台，网址http://www.zcygov.cn/ 获取（下载）采购文件，并于2022年07月19日 14:00（北京时间）前提交（上传）响应文件。                </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项目编号：CBNB-20222172-BL034G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项目名称：宁波市北仑区民政局专职社区工作者招聘服务项目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采购方式：竞争性磋商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预算金额（元）：498000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最高限价（元）：498000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标项名称：宁波市北仑区民政局专职社区工作者招聘服务项目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数量：1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预算金额（元）：498000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单位：项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简要规格描述：具体见采购文件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备注：无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合同履约期限：标项 1，自合同签订生效后开始至双方合同义务完全履行后截止   </w:t>
      </w:r>
    </w:p>
    <w:p>
      <w:pPr>
        <w:spacing w:line="360" w:lineRule="auto"/>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本项目（否）接受联合体投标。  </w:t>
      </w:r>
    </w:p>
    <w:p>
      <w:pPr>
        <w:spacing w:line="360" w:lineRule="auto"/>
        <w:ind w:firstLine="42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二、申请人的资格要求：</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2.落实政府采购政策需满足的资格要求：标项1：本项目属于专门面向中小企业采购的项目，供应商应为符合《政府采购促进中小企业发展管理办法》（财库﹝2020﹞46 号）规定的中小企业（其中，中小企业包括视同为小型、微型企业的监狱企业、残疾人福利性单位。）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3.本项目的特定资格要求：标项1：具有人力资源服务许可证  </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三、获取（下载）采购文件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时间：/至2022年07月19日，每天上午00:00至12:00，下午12:00至23:59（北京时间，线上获取法定节假日均可，线下获取文件法定节假日除外）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地点（网址）：政府采购云平台，网址http://www.zcygov.cn/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(1)本项目采购文件实行“政府采购云平台”在线获取，不提供采购文件纸质版。供应商获取采购文件前应先完成“政府采购云平台”的账号注册；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潜在供应商登陆政采云平台，在线申请获取采购文件（进入“项目采购”应用，在获取采购文件菜单中选择项目，申请获取采购文件；仅需浏览采购文件的供应商可点击“游客，浏览采购文件”直接下载采购文件浏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(3)采购公告所附采购文件仅供阅览使用，供应商只有在“政府采购云平台”完成获取采购文件申请并下载了采购文件后才被视为合法获取了采购文件，否则其响应文件将被拒绝。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售价（元）：0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四、响应文件提交（上传）</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截止时间：2022年07月19日 14:00（北京时间）</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点（网址）：（1）“电子加密磋商响应文件”：https://www.zcygov.cn在线提交；（2）“电子备份响应文件”现场递交地点：北仑区公共资源交易中心（宁波市北仑区新碶街道长江路1166号北仑行政大楼B座三楼招投标中心开标室）  </w:t>
      </w:r>
    </w:p>
    <w:p>
      <w:pPr>
        <w:spacing w:line="360" w:lineRule="auto"/>
        <w:rPr>
          <w:rFonts w:ascii="黑体" w:hAnsi="宋体" w:eastAsia="黑体" w:cs="黑体"/>
          <w:sz w:val="27"/>
          <w:szCs w:val="27"/>
        </w:rPr>
      </w:pPr>
      <w:r>
        <w:rPr>
          <w:rFonts w:hint="eastAsia" w:asciiTheme="minorEastAsia" w:hAnsiTheme="minorEastAsia" w:eastAsiaTheme="minorEastAsia" w:cstheme="minorEastAsia"/>
          <w:b/>
          <w:bCs/>
          <w:szCs w:val="21"/>
        </w:rPr>
        <w:t>五、响应文件开启</w:t>
      </w:r>
      <w:r>
        <w:rPr>
          <w:rFonts w:ascii="黑体" w:hAnsi="宋体" w:eastAsia="黑体" w:cs="黑体"/>
          <w:sz w:val="27"/>
          <w:szCs w:val="27"/>
        </w:rPr>
        <w:t>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开启时间：2022年07月19日 14:00 （北京时间）</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地点（网址）：政府采购云平台（www.zcygov.cn）（线上） </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六、公告期限</w:t>
      </w:r>
    </w:p>
    <w:p>
      <w:pPr>
        <w:pStyle w:val="43"/>
        <w:spacing w:before="75" w:beforeAutospacing="0" w:after="75" w:afterAutospacing="0" w:line="360" w:lineRule="auto"/>
        <w:ind w:firstLine="420" w:firstLineChars="200"/>
      </w:pPr>
      <w:r>
        <w:rPr>
          <w:rFonts w:hint="eastAsia" w:asciiTheme="minorEastAsia" w:hAnsiTheme="minorEastAsia" w:eastAsiaTheme="minorEastAsia" w:cstheme="minorEastAsia"/>
          <w:kern w:val="2"/>
          <w:sz w:val="21"/>
          <w:szCs w:val="21"/>
        </w:rPr>
        <w:t>自本公告发布之日起3个工作日。</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七、其他补充事宜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Theme="minorEastAsia" w:hAnsiTheme="minorEastAsia" w:eastAsiaTheme="minorEastAsia" w:cstheme="minor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2.1.“电子加密响应文件”：通过“政府采购云平台（http://www.zcygov.cn/）”在线提交。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电子备份响应文件”：可以（邮寄形式或派人现场提交，以招标代理机构联系人签收时间为准）在提交首次磋商响应文件截止时间前提交以介质（U盘）存储的数据电文形式的“备份响应文件”，备份电子响应文件递交可采用现场递交或邮寄的方式。</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一）现场递交方式，供应商可安排一名“健康码”为绿色、7日内核酸阴性检测报告的授权代表在提交首次磋商响应文件截止时间前将电子备份响应文件送至北仑区公共资源交易中心（宁波市北仑区新碶街道长江路1166号北仑行政大楼B座三楼招投标中心开标室），响应文件递交时须同时递交供应商的法定代表人（或其授权代表）联系方式，并保证开标期间联系方式畅通。</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二）EMS邮寄送达。供应商可以通过EMS邮寄送达电子备份响应文件，送达地址：宁波中基国际招标有限公司（宁波市鄞州区天童南路666号中基大厦19楼），联系方式：0574-87425130。供应商邮寄后可将邮件单号发送至代理机构电子邮箱（电子邮箱：1285588203@qq.com），以便采购代理机构查询物流记录。各供应商应当确保响应文件的密封包装在邮寄过程保持完好，并在邮寄包裹上注明项目名称和供应商名称，因邮寄造成响应文件密封破损而不符合采购文件对响应文件的密封要求、或邮寄过程中导致响应文件未按时送达的，代理机构将拒绝其磋商响应文件。各供应商自行考虑邮寄在途时间，响应文件送达时间以采购代理机构工作人员实际签收时间为准。电子磋商响应文件邮寄送达截止时间2022年7月18日17:00。</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2.3.采购项目需要落实的政府采购政策：（1）执行促进中小企业发展（监狱企业、残疾人福利性单位视同小型、微型企业）政策；（2）执行少数民族地区和不发达地区供应商的扶持政策。</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2.4.单位负责人为同一人或者存在直接控股、管理关系的不同供应商，不得参加同一合同项下的政府采购活动。为采购项目提供整体设计、规范编制或者项目管理、监理、检测等服务的供应商，不得参加本项目磋商。   </w:t>
      </w:r>
      <w:r>
        <w:rPr>
          <w:rFonts w:hint="eastAsia" w:asciiTheme="minorEastAsia" w:hAnsiTheme="minorEastAsia" w:eastAsiaTheme="minorEastAsia" w:cstheme="minorEastAsia"/>
          <w:szCs w:val="21"/>
        </w:rPr>
        <w:t> </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八、凡对本次招标提出询问、质疑、投诉，请按以下方式联系</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1.采购人信息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名    称：宁波市北仑区民政局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址：北仑区四明山路700号太河商务楼539室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项目联系人（询问）：严老师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项目联系方式（询问）：0574-89384176</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质疑联系人：梅老师</w:t>
      </w:r>
    </w:p>
    <w:p>
      <w:pPr>
        <w:spacing w:line="360" w:lineRule="auto"/>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质疑联系方式：</w:t>
      </w:r>
      <w:r>
        <w:rPr>
          <w:rFonts w:hint="eastAsia" w:asciiTheme="minorEastAsia" w:hAnsiTheme="minorEastAsia" w:eastAsiaTheme="minorEastAsia" w:cstheme="minorEastAsia"/>
          <w:szCs w:val="21"/>
          <w:lang w:val="en-US" w:eastAsia="zh-CN"/>
        </w:rPr>
        <w:t>0574-89384176</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2.采购代理机构信息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名    称：宁波中基国际招标有限公司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址：宁波市鄞州区天童南路666号中基大厦19楼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项目联系人（询问）：吕昕烨、史维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项目联系方式（询问）：0574-87425130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质疑联系人：邬力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质疑联系方式：0574-87423275</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3.同级政府采购监督管理部门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名    称：宁波市北仑区财政局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址：北仑区四明山路775号行政大楼A座六楼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联系人 ：阮中义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监督投诉电话：0574-89383756</w:t>
      </w: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CA问题联系电话（人工）：汇信CA 400-888-4636；天谷CA 400-087-8198。</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p>
    <w:p>
      <w:pPr>
        <w:pStyle w:val="4"/>
        <w:rPr>
          <w:rFonts w:ascii="仿宋" w:hAnsi="仿宋" w:eastAsia="仿宋" w:cs="仿宋"/>
          <w:kern w:val="0"/>
          <w:sz w:val="24"/>
          <w:szCs w:val="24"/>
        </w:rPr>
        <w:sectPr>
          <w:footerReference r:id="rId12" w:type="first"/>
          <w:headerReference r:id="rId10" w:type="default"/>
          <w:footerReference r:id="rId11" w:type="default"/>
          <w:pgSz w:w="11906" w:h="16838"/>
          <w:pgMar w:top="1474" w:right="1797" w:bottom="1247" w:left="1797" w:header="851" w:footer="851" w:gutter="0"/>
          <w:cols w:space="720" w:num="1"/>
          <w:titlePg/>
          <w:docGrid w:linePitch="312" w:charSpace="0"/>
        </w:sectPr>
      </w:pPr>
    </w:p>
    <w:p>
      <w:pPr>
        <w:pStyle w:val="4"/>
        <w:rPr>
          <w:rFonts w:ascii="宋体" w:hAnsi="宋体" w:cs="宋体"/>
          <w:szCs w:val="30"/>
        </w:rPr>
      </w:pPr>
      <w:r>
        <w:rPr>
          <w:rFonts w:hint="eastAsia" w:ascii="仿宋" w:hAnsi="仿宋" w:eastAsia="仿宋" w:cs="仿宋"/>
          <w:kern w:val="0"/>
          <w:szCs w:val="30"/>
        </w:rPr>
        <w:t> </w:t>
      </w:r>
      <w:bookmarkStart w:id="1" w:name="_Toc27212"/>
      <w:r>
        <w:rPr>
          <w:rFonts w:hint="eastAsia" w:ascii="宋体" w:hAnsi="宋体" w:cs="宋体"/>
          <w:szCs w:val="30"/>
        </w:rPr>
        <w:t>第二章  采购需求</w:t>
      </w:r>
      <w:bookmarkEnd w:id="1"/>
      <w:bookmarkStart w:id="2" w:name="_Toc6513"/>
    </w:p>
    <w:p>
      <w:pPr>
        <w:snapToGrid w:val="0"/>
        <w:spacing w:line="360" w:lineRule="auto"/>
        <w:outlineLvl w:val="0"/>
        <w:rPr>
          <w:rFonts w:ascii="Arial" w:hAnsi="Arial" w:cs="Arial"/>
          <w:b/>
          <w:bCs/>
          <w:szCs w:val="21"/>
          <w:highlight w:val="none"/>
        </w:rPr>
      </w:pPr>
      <w:r>
        <w:rPr>
          <w:rFonts w:hint="eastAsia" w:ascii="Arial" w:hAnsi="Arial" w:cs="Arial"/>
          <w:b/>
          <w:bCs/>
          <w:szCs w:val="21"/>
        </w:rPr>
        <w:t>一、服务需</w:t>
      </w:r>
      <w:r>
        <w:rPr>
          <w:rFonts w:hint="eastAsia" w:ascii="Arial" w:hAnsi="Arial" w:cs="Arial"/>
          <w:b/>
          <w:bCs/>
          <w:szCs w:val="21"/>
          <w:highlight w:val="none"/>
        </w:rPr>
        <w:t>求</w:t>
      </w:r>
    </w:p>
    <w:p>
      <w:pPr>
        <w:snapToGrid w:val="0"/>
        <w:spacing w:line="360" w:lineRule="auto"/>
        <w:outlineLvl w:val="0"/>
        <w:rPr>
          <w:rFonts w:ascii="Arial" w:hAnsi="Arial" w:cs="Arial"/>
          <w:b/>
          <w:bCs/>
          <w:szCs w:val="21"/>
          <w:highlight w:val="none"/>
        </w:rPr>
      </w:pPr>
      <w:r>
        <w:rPr>
          <w:rFonts w:hint="eastAsia" w:ascii="Arial" w:hAnsi="Arial" w:cs="Arial"/>
          <w:b/>
          <w:bCs/>
          <w:szCs w:val="21"/>
          <w:highlight w:val="none"/>
        </w:rPr>
        <w:t>（一）</w:t>
      </w:r>
      <w:r>
        <w:rPr>
          <w:rFonts w:ascii="Arial" w:hAnsi="Arial" w:cs="Arial"/>
          <w:b/>
          <w:bCs/>
          <w:szCs w:val="21"/>
          <w:highlight w:val="none"/>
        </w:rPr>
        <w:t>招标内容：</w:t>
      </w:r>
      <w:r>
        <w:rPr>
          <w:rFonts w:ascii="Arial" w:hAnsi="Arial" w:cs="Arial"/>
          <w:szCs w:val="21"/>
          <w:highlight w:val="none"/>
        </w:rPr>
        <w:t>为</w:t>
      </w:r>
      <w:r>
        <w:rPr>
          <w:rFonts w:hint="eastAsia" w:ascii="Arial" w:hAnsi="Arial" w:cs="Arial"/>
          <w:szCs w:val="21"/>
          <w:highlight w:val="none"/>
        </w:rPr>
        <w:t>采购人</w:t>
      </w:r>
      <w:r>
        <w:rPr>
          <w:rFonts w:ascii="Arial" w:hAnsi="Arial" w:cs="Arial"/>
          <w:szCs w:val="21"/>
          <w:highlight w:val="none"/>
        </w:rPr>
        <w:t>招聘约</w:t>
      </w:r>
      <w:r>
        <w:rPr>
          <w:rFonts w:hint="eastAsia" w:ascii="Arial" w:hAnsi="Arial" w:cs="Arial"/>
          <w:szCs w:val="21"/>
          <w:highlight w:val="none"/>
        </w:rPr>
        <w:t>264</w:t>
      </w:r>
      <w:r>
        <w:rPr>
          <w:rFonts w:ascii="Arial" w:hAnsi="Arial" w:cs="Arial"/>
          <w:szCs w:val="21"/>
          <w:highlight w:val="none"/>
        </w:rPr>
        <w:t>名专职社区工作者，具体人员数量由</w:t>
      </w:r>
      <w:r>
        <w:rPr>
          <w:rFonts w:hint="eastAsia" w:ascii="Arial" w:hAnsi="Arial" w:cs="Arial"/>
          <w:szCs w:val="21"/>
          <w:highlight w:val="none"/>
        </w:rPr>
        <w:t>采购人</w:t>
      </w:r>
      <w:r>
        <w:rPr>
          <w:rFonts w:ascii="Arial" w:hAnsi="Arial" w:cs="Arial"/>
          <w:szCs w:val="21"/>
          <w:highlight w:val="none"/>
        </w:rPr>
        <w:t>确定。</w:t>
      </w:r>
    </w:p>
    <w:p>
      <w:pPr>
        <w:snapToGrid w:val="0"/>
        <w:spacing w:line="360" w:lineRule="auto"/>
        <w:outlineLvl w:val="0"/>
        <w:rPr>
          <w:rFonts w:ascii="Arial" w:hAnsi="Arial" w:cs="Arial"/>
          <w:b/>
          <w:bCs/>
          <w:szCs w:val="21"/>
          <w:highlight w:val="none"/>
        </w:rPr>
      </w:pPr>
      <w:r>
        <w:rPr>
          <w:rFonts w:hint="eastAsia" w:ascii="Arial" w:hAnsi="Arial" w:cs="Arial"/>
          <w:b/>
          <w:bCs/>
          <w:szCs w:val="21"/>
          <w:highlight w:val="none"/>
        </w:rPr>
        <w:t>（二）</w:t>
      </w:r>
      <w:r>
        <w:rPr>
          <w:rFonts w:ascii="Arial" w:hAnsi="Arial" w:cs="Arial"/>
          <w:b/>
          <w:bCs/>
          <w:szCs w:val="21"/>
          <w:highlight w:val="none"/>
        </w:rPr>
        <w:t>服务主要内容：</w:t>
      </w:r>
    </w:p>
    <w:p>
      <w:pPr>
        <w:pStyle w:val="46"/>
        <w:rPr>
          <w:highlight w:val="none"/>
          <w:lang w:val="en-US"/>
        </w:rPr>
      </w:pPr>
      <w:r>
        <w:rPr>
          <w:rFonts w:hint="eastAsia"/>
          <w:highlight w:val="none"/>
          <w:lang w:val="en-US"/>
        </w:rPr>
        <w:t>包括但不限于：</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1、提供招聘信息的发布：包括招聘公告，公布笔试（含加分）、面试成绩，公布体检、考察、公示、录用结果及其他补充公告等相关公告；</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2、网上报名审核：审核求职人员通过</w:t>
      </w:r>
      <w:r>
        <w:rPr>
          <w:rFonts w:hint="eastAsia" w:ascii="Arial" w:hAnsi="Arial" w:cs="Arial"/>
          <w:szCs w:val="21"/>
          <w:highlight w:val="none"/>
        </w:rPr>
        <w:t>第三方报名通道</w:t>
      </w:r>
      <w:r>
        <w:rPr>
          <w:rFonts w:ascii="Arial" w:hAnsi="Arial" w:cs="Arial"/>
          <w:szCs w:val="21"/>
          <w:highlight w:val="none"/>
        </w:rPr>
        <w:t>的报名；</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3、现场资格复审：组织笔试通过的考生进行现场资格复审；</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4、笔试/面试命题：根据</w:t>
      </w:r>
      <w:r>
        <w:rPr>
          <w:rFonts w:hint="eastAsia" w:ascii="Arial" w:hAnsi="Arial" w:cs="Arial"/>
          <w:szCs w:val="21"/>
          <w:highlight w:val="none"/>
        </w:rPr>
        <w:t>采购人</w:t>
      </w:r>
      <w:r>
        <w:rPr>
          <w:rFonts w:ascii="Arial" w:hAnsi="Arial" w:cs="Arial"/>
          <w:szCs w:val="21"/>
          <w:highlight w:val="none"/>
        </w:rPr>
        <w:t>要求，</w:t>
      </w:r>
      <w:r>
        <w:rPr>
          <w:rFonts w:hint="eastAsia" w:ascii="Arial" w:hAnsi="Arial" w:cs="Arial"/>
          <w:szCs w:val="21"/>
          <w:highlight w:val="none"/>
        </w:rPr>
        <w:t>采购</w:t>
      </w:r>
      <w:r>
        <w:rPr>
          <w:rFonts w:ascii="Arial" w:hAnsi="Arial" w:cs="Arial"/>
          <w:szCs w:val="21"/>
          <w:highlight w:val="none"/>
        </w:rPr>
        <w:t>笔试、面试试题</w:t>
      </w:r>
      <w:r>
        <w:rPr>
          <w:rFonts w:hint="eastAsia" w:ascii="Arial" w:hAnsi="Arial" w:cs="Arial"/>
          <w:szCs w:val="21"/>
          <w:highlight w:val="none"/>
        </w:rPr>
        <w:t>，不得出现与网络相同试题</w:t>
      </w:r>
      <w:r>
        <w:rPr>
          <w:rFonts w:ascii="Arial" w:hAnsi="Arial" w:cs="Arial"/>
          <w:szCs w:val="21"/>
          <w:highlight w:val="none"/>
        </w:rPr>
        <w:t>；</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5、笔试考务服务：全程负责笔试考务工作；</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6、面试考务服务：全程负责面试考务工作；</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7、体检服务：统一安排时间集中进行，结果反馈；</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8、录用、人员通知：通知录用人员在规定时间报道。</w:t>
      </w:r>
    </w:p>
    <w:p>
      <w:pPr>
        <w:snapToGrid w:val="0"/>
        <w:spacing w:line="360" w:lineRule="auto"/>
        <w:outlineLvl w:val="0"/>
        <w:rPr>
          <w:rFonts w:ascii="Arial" w:hAnsi="Arial" w:cs="Arial"/>
          <w:b/>
          <w:bCs/>
          <w:szCs w:val="21"/>
          <w:highlight w:val="none"/>
        </w:rPr>
      </w:pPr>
      <w:r>
        <w:rPr>
          <w:rFonts w:hint="eastAsia" w:ascii="Arial" w:hAnsi="Arial" w:cs="Arial"/>
          <w:b/>
          <w:bCs/>
          <w:szCs w:val="21"/>
          <w:highlight w:val="none"/>
        </w:rPr>
        <w:t>（三）</w:t>
      </w:r>
      <w:r>
        <w:rPr>
          <w:rFonts w:ascii="Arial" w:hAnsi="Arial" w:cs="Arial"/>
          <w:b/>
          <w:bCs/>
          <w:szCs w:val="21"/>
          <w:highlight w:val="none"/>
        </w:rPr>
        <w:t>招聘服务具体要求</w:t>
      </w:r>
    </w:p>
    <w:p>
      <w:pPr>
        <w:numPr>
          <w:ilvl w:val="0"/>
          <w:numId w:val="1"/>
        </w:numPr>
        <w:snapToGrid w:val="0"/>
        <w:spacing w:line="360" w:lineRule="auto"/>
        <w:outlineLvl w:val="0"/>
        <w:rPr>
          <w:rFonts w:ascii="Arial" w:hAnsi="Arial" w:cs="Arial"/>
          <w:szCs w:val="21"/>
          <w:highlight w:val="none"/>
        </w:rPr>
      </w:pPr>
      <w:r>
        <w:rPr>
          <w:rFonts w:ascii="Arial" w:hAnsi="Arial" w:cs="Arial"/>
          <w:szCs w:val="21"/>
          <w:highlight w:val="none"/>
        </w:rPr>
        <w:t>招聘信息的发布、网上报名审核</w:t>
      </w:r>
    </w:p>
    <w:p>
      <w:pPr>
        <w:numPr>
          <w:ilvl w:val="0"/>
          <w:numId w:val="2"/>
        </w:numPr>
        <w:snapToGrid w:val="0"/>
        <w:spacing w:line="360" w:lineRule="auto"/>
        <w:outlineLvl w:val="0"/>
        <w:rPr>
          <w:rFonts w:ascii="Arial" w:hAnsi="Arial" w:cs="Arial"/>
          <w:szCs w:val="21"/>
          <w:highlight w:val="none"/>
        </w:rPr>
      </w:pPr>
      <w:r>
        <w:rPr>
          <w:rFonts w:ascii="Arial" w:hAnsi="Arial" w:cs="Arial"/>
          <w:szCs w:val="21"/>
          <w:highlight w:val="none"/>
        </w:rPr>
        <w:t>由</w:t>
      </w:r>
      <w:r>
        <w:rPr>
          <w:rFonts w:hint="eastAsia" w:ascii="Arial" w:hAnsi="Arial" w:cs="Arial"/>
          <w:szCs w:val="21"/>
          <w:highlight w:val="none"/>
        </w:rPr>
        <w:t>成交人</w:t>
      </w:r>
      <w:r>
        <w:rPr>
          <w:rFonts w:ascii="Arial" w:hAnsi="Arial" w:cs="Arial"/>
          <w:szCs w:val="21"/>
          <w:highlight w:val="none"/>
        </w:rPr>
        <w:t>发布招聘信息，信息应当在北仑区人才网（http://www.blrc.com.cn/）进行发布，</w:t>
      </w:r>
      <w:r>
        <w:rPr>
          <w:rFonts w:hint="eastAsia" w:ascii="Arial" w:hAnsi="Arial" w:cs="Arial"/>
          <w:szCs w:val="21"/>
          <w:highlight w:val="none"/>
        </w:rPr>
        <w:t>成交人</w:t>
      </w:r>
      <w:r>
        <w:rPr>
          <w:rFonts w:ascii="Arial" w:hAnsi="Arial" w:cs="Arial"/>
          <w:szCs w:val="21"/>
          <w:highlight w:val="none"/>
        </w:rPr>
        <w:t>也应当根据</w:t>
      </w:r>
      <w:r>
        <w:rPr>
          <w:rFonts w:hint="eastAsia" w:ascii="Arial" w:hAnsi="Arial" w:cs="Arial"/>
          <w:szCs w:val="21"/>
          <w:highlight w:val="none"/>
        </w:rPr>
        <w:t>采购人</w:t>
      </w:r>
      <w:r>
        <w:rPr>
          <w:rFonts w:ascii="Arial" w:hAnsi="Arial" w:cs="Arial"/>
          <w:szCs w:val="21"/>
          <w:highlight w:val="none"/>
        </w:rPr>
        <w:t>要求，在</w:t>
      </w:r>
      <w:r>
        <w:rPr>
          <w:rFonts w:hint="eastAsia" w:ascii="Arial" w:hAnsi="Arial" w:cs="Arial"/>
          <w:szCs w:val="21"/>
          <w:highlight w:val="none"/>
        </w:rPr>
        <w:t>采购人</w:t>
      </w:r>
      <w:r>
        <w:rPr>
          <w:rFonts w:ascii="Arial" w:hAnsi="Arial" w:cs="Arial"/>
          <w:szCs w:val="21"/>
          <w:highlight w:val="none"/>
        </w:rPr>
        <w:t>指定媒介进行招聘信息的发布</w:t>
      </w:r>
      <w:r>
        <w:rPr>
          <w:rFonts w:hint="eastAsia" w:ascii="Arial" w:hAnsi="Arial" w:cs="Arial"/>
          <w:szCs w:val="21"/>
          <w:highlight w:val="none"/>
        </w:rPr>
        <w:t>，且提供网上报名通道，招聘采用网上报名</w:t>
      </w:r>
      <w:r>
        <w:rPr>
          <w:rFonts w:ascii="Arial" w:hAnsi="Arial" w:cs="Arial"/>
          <w:szCs w:val="21"/>
          <w:highlight w:val="none"/>
        </w:rPr>
        <w:t>。</w:t>
      </w:r>
    </w:p>
    <w:p>
      <w:pPr>
        <w:numPr>
          <w:ilvl w:val="0"/>
          <w:numId w:val="2"/>
        </w:numPr>
        <w:snapToGrid w:val="0"/>
        <w:spacing w:line="360" w:lineRule="auto"/>
        <w:outlineLvl w:val="0"/>
        <w:rPr>
          <w:rFonts w:ascii="Arial" w:hAnsi="Arial" w:cs="Arial"/>
          <w:szCs w:val="21"/>
          <w:highlight w:val="none"/>
        </w:rPr>
      </w:pPr>
      <w:r>
        <w:rPr>
          <w:rFonts w:ascii="Arial" w:hAnsi="Arial" w:cs="Arial"/>
          <w:szCs w:val="21"/>
          <w:highlight w:val="none"/>
        </w:rPr>
        <w:t>信息发布时长为</w:t>
      </w:r>
      <w:r>
        <w:rPr>
          <w:rFonts w:hint="eastAsia" w:ascii="Arial" w:hAnsi="Arial" w:cs="Arial"/>
          <w:szCs w:val="21"/>
          <w:highlight w:val="none"/>
        </w:rPr>
        <w:t>120</w:t>
      </w:r>
      <w:r>
        <w:rPr>
          <w:rFonts w:ascii="Arial" w:hAnsi="Arial" w:cs="Arial"/>
          <w:szCs w:val="21"/>
          <w:highlight w:val="none"/>
        </w:rPr>
        <w:t>日。</w:t>
      </w:r>
    </w:p>
    <w:p>
      <w:pPr>
        <w:numPr>
          <w:ilvl w:val="0"/>
          <w:numId w:val="2"/>
        </w:numPr>
        <w:snapToGrid w:val="0"/>
        <w:spacing w:line="360" w:lineRule="auto"/>
        <w:outlineLvl w:val="0"/>
        <w:rPr>
          <w:rFonts w:ascii="Arial" w:hAnsi="Arial" w:cs="Arial"/>
          <w:szCs w:val="21"/>
          <w:highlight w:val="none"/>
        </w:rPr>
      </w:pPr>
      <w:r>
        <w:rPr>
          <w:rFonts w:ascii="Arial" w:hAnsi="Arial" w:cs="Arial"/>
          <w:szCs w:val="21"/>
          <w:highlight w:val="none"/>
        </w:rPr>
        <w:t>招聘信息内容包括但不限于招聘单位、拟招聘岗位、岗位要求、人员数量、报名条件和方式、招聘方法和程序、薪酬待遇。</w:t>
      </w:r>
    </w:p>
    <w:p>
      <w:pPr>
        <w:numPr>
          <w:ilvl w:val="0"/>
          <w:numId w:val="1"/>
        </w:numPr>
        <w:snapToGrid w:val="0"/>
        <w:spacing w:line="360" w:lineRule="auto"/>
        <w:outlineLvl w:val="0"/>
        <w:rPr>
          <w:rFonts w:ascii="Arial" w:hAnsi="Arial" w:cs="Arial"/>
          <w:szCs w:val="21"/>
          <w:highlight w:val="none"/>
        </w:rPr>
      </w:pPr>
      <w:r>
        <w:rPr>
          <w:rFonts w:ascii="Arial" w:hAnsi="Arial" w:cs="Arial"/>
          <w:szCs w:val="21"/>
          <w:highlight w:val="none"/>
        </w:rPr>
        <w:t>资格初审</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由</w:t>
      </w:r>
      <w:r>
        <w:rPr>
          <w:rFonts w:hint="eastAsia" w:ascii="Arial" w:hAnsi="Arial" w:cs="Arial"/>
          <w:szCs w:val="21"/>
          <w:highlight w:val="none"/>
        </w:rPr>
        <w:t>成交人</w:t>
      </w:r>
      <w:r>
        <w:rPr>
          <w:rFonts w:ascii="Arial" w:hAnsi="Arial" w:cs="Arial"/>
          <w:szCs w:val="21"/>
          <w:highlight w:val="none"/>
        </w:rPr>
        <w:t>对报名考生进行报名资格初审，并在</w:t>
      </w:r>
      <w:r>
        <w:rPr>
          <w:rFonts w:hint="eastAsia" w:ascii="Arial" w:hAnsi="Arial" w:cs="Arial"/>
          <w:szCs w:val="21"/>
          <w:highlight w:val="none"/>
        </w:rPr>
        <w:t>采购人</w:t>
      </w:r>
      <w:r>
        <w:rPr>
          <w:rFonts w:ascii="Arial" w:hAnsi="Arial" w:cs="Arial"/>
          <w:szCs w:val="21"/>
          <w:highlight w:val="none"/>
        </w:rPr>
        <w:t>的配合下对考生加分情况进行认定。资格初审时</w:t>
      </w:r>
      <w:r>
        <w:rPr>
          <w:rFonts w:hint="eastAsia" w:ascii="Arial" w:hAnsi="Arial" w:cs="Arial"/>
          <w:szCs w:val="21"/>
          <w:highlight w:val="none"/>
        </w:rPr>
        <w:t>成交人</w:t>
      </w:r>
      <w:r>
        <w:rPr>
          <w:rFonts w:ascii="Arial" w:hAnsi="Arial" w:cs="Arial"/>
          <w:szCs w:val="21"/>
          <w:highlight w:val="none"/>
        </w:rPr>
        <w:t>需在学信网对报名考生学历进行查询。</w:t>
      </w:r>
    </w:p>
    <w:p>
      <w:pPr>
        <w:numPr>
          <w:ilvl w:val="0"/>
          <w:numId w:val="1"/>
        </w:numPr>
        <w:snapToGrid w:val="0"/>
        <w:spacing w:line="360" w:lineRule="auto"/>
        <w:outlineLvl w:val="0"/>
        <w:rPr>
          <w:rFonts w:ascii="Arial" w:hAnsi="Arial" w:cs="Arial"/>
          <w:szCs w:val="21"/>
          <w:highlight w:val="none"/>
        </w:rPr>
      </w:pPr>
      <w:r>
        <w:rPr>
          <w:rFonts w:ascii="Arial" w:hAnsi="Arial" w:cs="Arial"/>
          <w:szCs w:val="21"/>
          <w:highlight w:val="none"/>
        </w:rPr>
        <w:t>笔试命题+笔试考务服务</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（1）由</w:t>
      </w:r>
      <w:r>
        <w:rPr>
          <w:rFonts w:hint="eastAsia" w:ascii="Arial" w:hAnsi="Arial" w:cs="Arial"/>
          <w:szCs w:val="21"/>
          <w:highlight w:val="none"/>
        </w:rPr>
        <w:t>成交人</w:t>
      </w:r>
      <w:r>
        <w:rPr>
          <w:rFonts w:ascii="Arial" w:hAnsi="Arial" w:cs="Arial"/>
          <w:szCs w:val="21"/>
          <w:highlight w:val="none"/>
        </w:rPr>
        <w:t>提供笔试题目，笔试命题题库应采用经</w:t>
      </w:r>
      <w:r>
        <w:rPr>
          <w:rFonts w:hint="eastAsia" w:ascii="Arial" w:hAnsi="Arial" w:cs="Arial"/>
          <w:szCs w:val="21"/>
          <w:highlight w:val="none"/>
        </w:rPr>
        <w:t>采购人</w:t>
      </w:r>
      <w:r>
        <w:rPr>
          <w:rFonts w:ascii="Arial" w:hAnsi="Arial" w:cs="Arial"/>
          <w:szCs w:val="21"/>
          <w:highlight w:val="none"/>
        </w:rPr>
        <w:t>认可的第三方专业命题机构题库，要求保密性高。</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（2）笔试命题范围包括《综合知识》、《社会及社区工作政策与实务》、《综合基础知识和写作》。</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（3）由</w:t>
      </w:r>
      <w:r>
        <w:rPr>
          <w:rFonts w:hint="eastAsia" w:ascii="Arial" w:hAnsi="Arial" w:cs="Arial"/>
          <w:szCs w:val="21"/>
          <w:highlight w:val="none"/>
        </w:rPr>
        <w:t>成交人</w:t>
      </w:r>
      <w:r>
        <w:rPr>
          <w:rFonts w:ascii="Arial" w:hAnsi="Arial" w:cs="Arial"/>
          <w:szCs w:val="21"/>
          <w:highlight w:val="none"/>
        </w:rPr>
        <w:t>自行安排笔试场地，每处笔试场地应容纳20-30人。场地须经</w:t>
      </w:r>
      <w:r>
        <w:rPr>
          <w:rFonts w:hint="eastAsia" w:ascii="Arial" w:hAnsi="Arial" w:cs="Arial"/>
          <w:szCs w:val="21"/>
          <w:highlight w:val="none"/>
        </w:rPr>
        <w:t>采购人</w:t>
      </w:r>
      <w:r>
        <w:rPr>
          <w:rFonts w:ascii="Arial" w:hAnsi="Arial" w:cs="Arial"/>
          <w:szCs w:val="21"/>
          <w:highlight w:val="none"/>
        </w:rPr>
        <w:t>审验通过方可使用。</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（4）</w:t>
      </w:r>
      <w:r>
        <w:rPr>
          <w:rFonts w:hint="eastAsia" w:ascii="Arial" w:hAnsi="Arial" w:cs="Arial"/>
          <w:szCs w:val="21"/>
          <w:highlight w:val="none"/>
        </w:rPr>
        <w:t>成交人</w:t>
      </w:r>
      <w:r>
        <w:rPr>
          <w:rFonts w:ascii="Arial" w:hAnsi="Arial" w:cs="Arial"/>
          <w:szCs w:val="21"/>
          <w:highlight w:val="none"/>
        </w:rPr>
        <w:t>应保证每处笔试场地配置监考人员不得低于2名。</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（5）</w:t>
      </w:r>
      <w:r>
        <w:rPr>
          <w:rFonts w:hint="eastAsia" w:ascii="Arial" w:hAnsi="Arial" w:cs="Arial"/>
          <w:szCs w:val="21"/>
          <w:highlight w:val="none"/>
        </w:rPr>
        <w:t>成交人</w:t>
      </w:r>
      <w:r>
        <w:rPr>
          <w:rFonts w:ascii="Arial" w:hAnsi="Arial" w:cs="Arial"/>
          <w:szCs w:val="21"/>
          <w:highlight w:val="none"/>
        </w:rPr>
        <w:t>应在考场外准备待命救护车。</w:t>
      </w:r>
    </w:p>
    <w:p>
      <w:pPr>
        <w:numPr>
          <w:ilvl w:val="0"/>
          <w:numId w:val="1"/>
        </w:numPr>
        <w:snapToGrid w:val="0"/>
        <w:spacing w:line="360" w:lineRule="auto"/>
        <w:outlineLvl w:val="0"/>
        <w:rPr>
          <w:rFonts w:ascii="Arial" w:hAnsi="Arial" w:cs="Arial"/>
          <w:szCs w:val="21"/>
          <w:highlight w:val="none"/>
        </w:rPr>
      </w:pPr>
      <w:r>
        <w:rPr>
          <w:rFonts w:ascii="Arial" w:hAnsi="Arial" w:cs="Arial"/>
          <w:szCs w:val="21"/>
          <w:highlight w:val="none"/>
        </w:rPr>
        <w:t>现场复审</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（1）笔试成绩公布后由</w:t>
      </w:r>
      <w:r>
        <w:rPr>
          <w:rFonts w:hint="eastAsia" w:ascii="Arial" w:hAnsi="Arial" w:cs="Arial"/>
          <w:szCs w:val="21"/>
          <w:highlight w:val="none"/>
        </w:rPr>
        <w:t>成交人</w:t>
      </w:r>
      <w:r>
        <w:rPr>
          <w:rFonts w:ascii="Arial" w:hAnsi="Arial" w:cs="Arial"/>
          <w:szCs w:val="21"/>
          <w:highlight w:val="none"/>
        </w:rPr>
        <w:t>对报名考生进行现场复审。</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（2）由</w:t>
      </w:r>
      <w:r>
        <w:rPr>
          <w:rFonts w:hint="eastAsia" w:ascii="Arial" w:hAnsi="Arial" w:cs="Arial"/>
          <w:szCs w:val="21"/>
          <w:highlight w:val="none"/>
        </w:rPr>
        <w:t>成交人</w:t>
      </w:r>
      <w:r>
        <w:rPr>
          <w:rFonts w:ascii="Arial" w:hAnsi="Arial" w:cs="Arial"/>
          <w:szCs w:val="21"/>
          <w:highlight w:val="none"/>
        </w:rPr>
        <w:t>自行落实复审场地和复审人员，预计复审人数为</w:t>
      </w:r>
      <w:r>
        <w:rPr>
          <w:rFonts w:hint="eastAsia" w:ascii="Arial" w:hAnsi="Arial" w:cs="Arial"/>
          <w:szCs w:val="21"/>
          <w:highlight w:val="none"/>
        </w:rPr>
        <w:t>528</w:t>
      </w:r>
      <w:r>
        <w:rPr>
          <w:rFonts w:ascii="Arial" w:hAnsi="Arial" w:cs="Arial"/>
          <w:szCs w:val="21"/>
          <w:highlight w:val="none"/>
        </w:rPr>
        <w:t>人左右。</w:t>
      </w:r>
    </w:p>
    <w:p>
      <w:pPr>
        <w:numPr>
          <w:ilvl w:val="0"/>
          <w:numId w:val="1"/>
        </w:numPr>
        <w:snapToGrid w:val="0"/>
        <w:spacing w:line="360" w:lineRule="auto"/>
        <w:outlineLvl w:val="0"/>
        <w:rPr>
          <w:rFonts w:ascii="Arial" w:hAnsi="Arial" w:cs="Arial"/>
          <w:szCs w:val="21"/>
          <w:highlight w:val="none"/>
        </w:rPr>
      </w:pPr>
      <w:r>
        <w:rPr>
          <w:rFonts w:ascii="Arial" w:hAnsi="Arial" w:cs="Arial"/>
          <w:szCs w:val="21"/>
          <w:highlight w:val="none"/>
        </w:rPr>
        <w:t>面试命题+面试考务服务</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 xml:space="preserve">（1）面试形式应采用结构化面试。  </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（2）由</w:t>
      </w:r>
      <w:r>
        <w:rPr>
          <w:rFonts w:hint="eastAsia" w:ascii="Arial" w:hAnsi="Arial" w:cs="Arial"/>
          <w:szCs w:val="21"/>
          <w:highlight w:val="none"/>
        </w:rPr>
        <w:t>成交人</w:t>
      </w:r>
      <w:r>
        <w:rPr>
          <w:rFonts w:ascii="Arial" w:hAnsi="Arial" w:cs="Arial"/>
          <w:szCs w:val="21"/>
          <w:highlight w:val="none"/>
        </w:rPr>
        <w:t>提供面试题目，面试命题题库应采用经</w:t>
      </w:r>
      <w:r>
        <w:rPr>
          <w:rFonts w:hint="eastAsia" w:ascii="Arial" w:hAnsi="Arial" w:cs="Arial"/>
          <w:szCs w:val="21"/>
          <w:highlight w:val="none"/>
        </w:rPr>
        <w:t>采购人</w:t>
      </w:r>
      <w:r>
        <w:rPr>
          <w:rFonts w:ascii="Arial" w:hAnsi="Arial" w:cs="Arial"/>
          <w:szCs w:val="21"/>
          <w:highlight w:val="none"/>
        </w:rPr>
        <w:t>认可的第三方专业命题机构题库，要求保密性高。</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（3）题库数量：经</w:t>
      </w:r>
      <w:r>
        <w:rPr>
          <w:rFonts w:hint="eastAsia" w:ascii="Arial" w:hAnsi="Arial" w:cs="Arial"/>
          <w:szCs w:val="21"/>
          <w:highlight w:val="none"/>
        </w:rPr>
        <w:t>采购人</w:t>
      </w:r>
      <w:r>
        <w:rPr>
          <w:rFonts w:ascii="Arial" w:hAnsi="Arial" w:cs="Arial"/>
          <w:szCs w:val="21"/>
          <w:highlight w:val="none"/>
        </w:rPr>
        <w:t>确定后由</w:t>
      </w:r>
      <w:r>
        <w:rPr>
          <w:rFonts w:hint="eastAsia" w:ascii="Arial" w:hAnsi="Arial" w:cs="Arial"/>
          <w:szCs w:val="21"/>
          <w:highlight w:val="none"/>
        </w:rPr>
        <w:t>成交人</w:t>
      </w:r>
      <w:r>
        <w:rPr>
          <w:rFonts w:ascii="Arial" w:hAnsi="Arial" w:cs="Arial"/>
          <w:szCs w:val="21"/>
          <w:highlight w:val="none"/>
        </w:rPr>
        <w:t>落实。</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（4）面试场地安排在</w:t>
      </w:r>
      <w:r>
        <w:rPr>
          <w:rFonts w:hint="eastAsia" w:ascii="Arial" w:hAnsi="Arial" w:cs="Arial"/>
          <w:szCs w:val="21"/>
          <w:highlight w:val="none"/>
        </w:rPr>
        <w:t>16-18</w:t>
      </w:r>
      <w:r>
        <w:rPr>
          <w:rFonts w:ascii="Arial" w:hAnsi="Arial" w:cs="Arial"/>
          <w:szCs w:val="21"/>
          <w:highlight w:val="none"/>
        </w:rPr>
        <w:t>个不同区域。</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（5）</w:t>
      </w:r>
      <w:r>
        <w:rPr>
          <w:rFonts w:hint="eastAsia" w:ascii="Arial" w:hAnsi="Arial" w:cs="Arial"/>
          <w:szCs w:val="21"/>
          <w:highlight w:val="none"/>
        </w:rPr>
        <w:t>成交人</w:t>
      </w:r>
      <w:r>
        <w:rPr>
          <w:rFonts w:ascii="Arial" w:hAnsi="Arial" w:cs="Arial"/>
          <w:szCs w:val="21"/>
          <w:highlight w:val="none"/>
        </w:rPr>
        <w:t>应按照面试安排分布的不同区域，配置面试室和候考室，场地须经</w:t>
      </w:r>
      <w:r>
        <w:rPr>
          <w:rFonts w:hint="eastAsia" w:ascii="Arial" w:hAnsi="Arial" w:cs="Arial"/>
          <w:szCs w:val="21"/>
          <w:highlight w:val="none"/>
        </w:rPr>
        <w:t>采购人</w:t>
      </w:r>
      <w:r>
        <w:rPr>
          <w:rFonts w:ascii="Arial" w:hAnsi="Arial" w:cs="Arial"/>
          <w:szCs w:val="21"/>
          <w:highlight w:val="none"/>
        </w:rPr>
        <w:t>审验通过方可使用。</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（6）每场面试应安排考官人数为5-7名，可根据不同区域进行调配，其中各区域应保证1名</w:t>
      </w:r>
      <w:r>
        <w:rPr>
          <w:rFonts w:hint="eastAsia" w:ascii="Arial" w:hAnsi="Arial" w:cs="Arial"/>
          <w:szCs w:val="21"/>
          <w:highlight w:val="none"/>
        </w:rPr>
        <w:t>采购人</w:t>
      </w:r>
      <w:r>
        <w:rPr>
          <w:rFonts w:ascii="Arial" w:hAnsi="Arial" w:cs="Arial"/>
          <w:szCs w:val="21"/>
          <w:highlight w:val="none"/>
        </w:rPr>
        <w:t>代表在场。</w:t>
      </w:r>
    </w:p>
    <w:p>
      <w:pPr>
        <w:numPr>
          <w:ilvl w:val="0"/>
          <w:numId w:val="1"/>
        </w:numPr>
        <w:snapToGrid w:val="0"/>
        <w:spacing w:line="360" w:lineRule="auto"/>
        <w:outlineLvl w:val="0"/>
        <w:rPr>
          <w:rFonts w:ascii="Arial" w:hAnsi="Arial" w:cs="Arial"/>
          <w:szCs w:val="21"/>
          <w:highlight w:val="none"/>
        </w:rPr>
      </w:pPr>
      <w:r>
        <w:rPr>
          <w:rFonts w:ascii="Arial" w:hAnsi="Arial" w:cs="Arial"/>
          <w:szCs w:val="21"/>
          <w:highlight w:val="none"/>
        </w:rPr>
        <w:t>体检服务</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（1）由</w:t>
      </w:r>
      <w:r>
        <w:rPr>
          <w:rFonts w:hint="eastAsia" w:ascii="Arial" w:hAnsi="Arial" w:cs="Arial"/>
          <w:szCs w:val="21"/>
          <w:highlight w:val="none"/>
        </w:rPr>
        <w:t>成交人</w:t>
      </w:r>
      <w:r>
        <w:rPr>
          <w:rFonts w:ascii="Arial" w:hAnsi="Arial" w:cs="Arial"/>
          <w:szCs w:val="21"/>
          <w:highlight w:val="none"/>
        </w:rPr>
        <w:t>和</w:t>
      </w:r>
      <w:r>
        <w:rPr>
          <w:rFonts w:hint="eastAsia" w:ascii="Arial" w:hAnsi="Arial" w:cs="Arial"/>
          <w:szCs w:val="21"/>
          <w:highlight w:val="none"/>
        </w:rPr>
        <w:t>采购人</w:t>
      </w:r>
      <w:r>
        <w:rPr>
          <w:rFonts w:ascii="Arial" w:hAnsi="Arial" w:cs="Arial"/>
          <w:szCs w:val="21"/>
          <w:highlight w:val="none"/>
        </w:rPr>
        <w:t>协商后确定医院和体检套餐。</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（2）由</w:t>
      </w:r>
      <w:r>
        <w:rPr>
          <w:rFonts w:hint="eastAsia" w:ascii="Arial" w:hAnsi="Arial" w:cs="Arial"/>
          <w:szCs w:val="21"/>
          <w:highlight w:val="none"/>
        </w:rPr>
        <w:t>成交人</w:t>
      </w:r>
      <w:r>
        <w:rPr>
          <w:rFonts w:ascii="Arial" w:hAnsi="Arial" w:cs="Arial"/>
          <w:szCs w:val="21"/>
          <w:highlight w:val="none"/>
        </w:rPr>
        <w:t>通知并派指定人员带队、派遣车辆统一安排前往体检医院。</w:t>
      </w:r>
    </w:p>
    <w:p>
      <w:pPr>
        <w:numPr>
          <w:ilvl w:val="0"/>
          <w:numId w:val="1"/>
        </w:numPr>
        <w:snapToGrid w:val="0"/>
        <w:spacing w:line="360" w:lineRule="auto"/>
        <w:outlineLvl w:val="0"/>
        <w:rPr>
          <w:rFonts w:ascii="Arial" w:hAnsi="Arial" w:cs="Arial"/>
          <w:szCs w:val="21"/>
          <w:highlight w:val="none"/>
        </w:rPr>
      </w:pPr>
      <w:r>
        <w:rPr>
          <w:rFonts w:ascii="Arial" w:hAnsi="Arial" w:cs="Arial"/>
          <w:szCs w:val="21"/>
          <w:highlight w:val="none"/>
        </w:rPr>
        <w:t>录用、人员通知</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（1）在</w:t>
      </w:r>
      <w:r>
        <w:rPr>
          <w:rFonts w:hint="eastAsia" w:ascii="Arial" w:hAnsi="Arial" w:cs="Arial"/>
          <w:szCs w:val="21"/>
          <w:highlight w:val="none"/>
        </w:rPr>
        <w:t>采购人</w:t>
      </w:r>
      <w:r>
        <w:rPr>
          <w:rFonts w:ascii="Arial" w:hAnsi="Arial" w:cs="Arial"/>
          <w:szCs w:val="21"/>
          <w:highlight w:val="none"/>
        </w:rPr>
        <w:t>指定网站公布笔试、面试成绩等公告，公告期限根据</w:t>
      </w:r>
      <w:r>
        <w:rPr>
          <w:rFonts w:hint="eastAsia" w:ascii="Arial" w:hAnsi="Arial" w:cs="Arial"/>
          <w:szCs w:val="21"/>
          <w:highlight w:val="none"/>
        </w:rPr>
        <w:t>采购人</w:t>
      </w:r>
      <w:r>
        <w:rPr>
          <w:rFonts w:ascii="Arial" w:hAnsi="Arial" w:cs="Arial"/>
          <w:szCs w:val="21"/>
          <w:highlight w:val="none"/>
        </w:rPr>
        <w:t>要求确定。</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（2）服务期间由第三方工作人员以短信、电话等形式通知录用人员在规定时间报道。</w:t>
      </w:r>
    </w:p>
    <w:p>
      <w:pPr>
        <w:numPr>
          <w:ilvl w:val="0"/>
          <w:numId w:val="1"/>
        </w:numPr>
        <w:snapToGrid w:val="0"/>
        <w:spacing w:line="360" w:lineRule="auto"/>
        <w:outlineLvl w:val="0"/>
        <w:rPr>
          <w:rFonts w:ascii="Arial" w:hAnsi="Arial" w:cs="Arial"/>
          <w:szCs w:val="21"/>
          <w:highlight w:val="none"/>
        </w:rPr>
      </w:pPr>
      <w:r>
        <w:rPr>
          <w:rFonts w:ascii="Arial" w:hAnsi="Arial" w:cs="Arial"/>
          <w:szCs w:val="21"/>
          <w:highlight w:val="none"/>
        </w:rPr>
        <w:t>其他要求</w:t>
      </w:r>
    </w:p>
    <w:p>
      <w:pPr>
        <w:snapToGrid w:val="0"/>
        <w:spacing w:line="360" w:lineRule="auto"/>
        <w:ind w:firstLine="420" w:firstLineChars="200"/>
        <w:outlineLvl w:val="0"/>
        <w:rPr>
          <w:rFonts w:ascii="Arial" w:hAnsi="Arial" w:cs="Arial"/>
          <w:szCs w:val="21"/>
          <w:highlight w:val="none"/>
        </w:rPr>
      </w:pPr>
      <w:r>
        <w:rPr>
          <w:rFonts w:ascii="Arial" w:hAnsi="Arial" w:cs="Arial"/>
          <w:szCs w:val="21"/>
          <w:highlight w:val="none"/>
        </w:rPr>
        <w:t>（1）招聘进度要求：根据</w:t>
      </w:r>
      <w:r>
        <w:rPr>
          <w:rFonts w:hint="eastAsia" w:ascii="Arial" w:hAnsi="Arial" w:cs="Arial"/>
          <w:szCs w:val="21"/>
          <w:highlight w:val="none"/>
        </w:rPr>
        <w:t>采购人</w:t>
      </w:r>
      <w:r>
        <w:rPr>
          <w:rFonts w:ascii="Arial" w:hAnsi="Arial" w:cs="Arial"/>
          <w:szCs w:val="21"/>
          <w:highlight w:val="none"/>
        </w:rPr>
        <w:t>要求确定。</w:t>
      </w:r>
    </w:p>
    <w:p>
      <w:pPr>
        <w:snapToGrid w:val="0"/>
        <w:spacing w:line="360" w:lineRule="auto"/>
        <w:ind w:firstLine="422" w:firstLineChars="200"/>
        <w:outlineLvl w:val="0"/>
        <w:rPr>
          <w:rFonts w:ascii="Arial" w:hAnsi="Arial" w:cs="Arial"/>
          <w:szCs w:val="21"/>
          <w:highlight w:val="none"/>
        </w:rPr>
      </w:pPr>
      <w:r>
        <w:rPr>
          <w:rFonts w:hint="eastAsia" w:ascii="宋体" w:hAnsi="宋体" w:cs="宋体"/>
          <w:b/>
          <w:szCs w:val="21"/>
        </w:rPr>
        <w:t>▲</w:t>
      </w:r>
      <w:r>
        <w:rPr>
          <w:rFonts w:ascii="Arial" w:hAnsi="Arial" w:cs="Arial"/>
          <w:szCs w:val="21"/>
          <w:highlight w:val="none"/>
        </w:rPr>
        <w:t>（2）安全工作：招聘服务实施过程</w:t>
      </w:r>
      <w:r>
        <w:rPr>
          <w:rFonts w:hint="eastAsia" w:ascii="Arial" w:hAnsi="Arial" w:cs="Arial"/>
          <w:szCs w:val="21"/>
          <w:highlight w:val="none"/>
        </w:rPr>
        <w:t>成交人</w:t>
      </w:r>
      <w:r>
        <w:rPr>
          <w:rFonts w:ascii="Arial" w:hAnsi="Arial" w:cs="Arial"/>
          <w:szCs w:val="21"/>
          <w:highlight w:val="none"/>
        </w:rPr>
        <w:t>应全程做好防疫相关工作，会场、考场等应满足国家和地方的相关防疫要求，准备足够的备用教室，对考生的进行健康码验证及体温测量，提前确认考生到宁波前14天是否出现在疫区，做好风险评估和应急准备工作。</w:t>
      </w:r>
    </w:p>
    <w:p>
      <w:pPr>
        <w:snapToGrid w:val="0"/>
        <w:spacing w:line="360" w:lineRule="auto"/>
        <w:ind w:firstLine="420" w:firstLineChars="200"/>
        <w:outlineLvl w:val="0"/>
        <w:rPr>
          <w:rFonts w:ascii="Arial" w:hAnsi="Arial" w:cs="Arial"/>
          <w:szCs w:val="21"/>
          <w:highlight w:val="none"/>
        </w:rPr>
      </w:pPr>
      <w:r>
        <w:rPr>
          <w:rFonts w:hint="eastAsia" w:ascii="Arial" w:hAnsi="Arial" w:cs="Arial"/>
          <w:szCs w:val="21"/>
          <w:highlight w:val="none"/>
        </w:rPr>
        <w:t>（3）成交人不可擅自更改招聘程序，仅可根据采购人的相关要求进行调整。</w:t>
      </w:r>
    </w:p>
    <w:p>
      <w:pPr>
        <w:snapToGrid w:val="0"/>
        <w:spacing w:line="360" w:lineRule="auto"/>
        <w:ind w:firstLine="422" w:firstLineChars="200"/>
        <w:outlineLvl w:val="0"/>
        <w:rPr>
          <w:rFonts w:ascii="Arial" w:hAnsi="Arial" w:cs="Arial"/>
          <w:szCs w:val="21"/>
          <w:highlight w:val="none"/>
        </w:rPr>
      </w:pPr>
      <w:r>
        <w:rPr>
          <w:rFonts w:hint="eastAsia" w:ascii="宋体" w:hAnsi="宋体" w:cs="宋体"/>
          <w:b/>
          <w:szCs w:val="21"/>
        </w:rPr>
        <w:t>▲</w:t>
      </w:r>
      <w:r>
        <w:rPr>
          <w:rFonts w:ascii="Arial" w:hAnsi="Arial" w:cs="Arial"/>
          <w:szCs w:val="21"/>
          <w:highlight w:val="none"/>
        </w:rPr>
        <w:t>（</w:t>
      </w:r>
      <w:r>
        <w:rPr>
          <w:rFonts w:hint="eastAsia" w:ascii="Arial" w:hAnsi="Arial" w:cs="Arial"/>
          <w:szCs w:val="21"/>
          <w:highlight w:val="none"/>
        </w:rPr>
        <w:t>4</w:t>
      </w:r>
      <w:r>
        <w:rPr>
          <w:rFonts w:ascii="Arial" w:hAnsi="Arial" w:cs="Arial"/>
          <w:szCs w:val="21"/>
          <w:highlight w:val="none"/>
        </w:rPr>
        <w:t>）</w:t>
      </w:r>
      <w:r>
        <w:rPr>
          <w:rFonts w:hint="eastAsia" w:ascii="Arial" w:hAnsi="Arial" w:cs="Arial"/>
          <w:szCs w:val="21"/>
          <w:highlight w:val="none"/>
        </w:rPr>
        <w:t>成交人</w:t>
      </w:r>
      <w:r>
        <w:rPr>
          <w:rFonts w:ascii="Arial" w:hAnsi="Arial" w:cs="Arial"/>
          <w:szCs w:val="21"/>
          <w:highlight w:val="none"/>
        </w:rPr>
        <w:t>应承诺：无条件服从采购人针对招聘工作的合理要求。</w:t>
      </w:r>
    </w:p>
    <w:p>
      <w:pPr>
        <w:snapToGrid w:val="0"/>
        <w:spacing w:line="360" w:lineRule="auto"/>
        <w:ind w:firstLine="420" w:firstLineChars="200"/>
        <w:outlineLvl w:val="0"/>
        <w:rPr>
          <w:rFonts w:ascii="Arial" w:hAnsi="Arial" w:cs="Arial"/>
          <w:szCs w:val="21"/>
          <w:highlight w:val="none"/>
        </w:rPr>
      </w:pPr>
      <w:r>
        <w:rPr>
          <w:rFonts w:hint="eastAsia" w:ascii="Arial" w:hAnsi="Arial" w:cs="Arial"/>
          <w:szCs w:val="21"/>
          <w:highlight w:val="none"/>
        </w:rPr>
        <w:t>（5）免费</w:t>
      </w:r>
      <w:r>
        <w:rPr>
          <w:rFonts w:ascii="Arial" w:hAnsi="Arial" w:cs="Arial"/>
          <w:szCs w:val="21"/>
          <w:highlight w:val="none"/>
        </w:rPr>
        <w:t>配合采购人设立新进人员</w:t>
      </w:r>
      <w:r>
        <w:rPr>
          <w:rFonts w:hint="eastAsia" w:ascii="Arial" w:hAnsi="Arial" w:cs="Arial"/>
          <w:szCs w:val="21"/>
          <w:highlight w:val="none"/>
        </w:rPr>
        <w:t>“</w:t>
      </w:r>
      <w:r>
        <w:rPr>
          <w:rFonts w:ascii="Arial" w:hAnsi="Arial" w:cs="Arial"/>
          <w:szCs w:val="21"/>
          <w:highlight w:val="none"/>
        </w:rPr>
        <w:t>蓄水池</w:t>
      </w:r>
      <w:r>
        <w:rPr>
          <w:rFonts w:hint="eastAsia" w:ascii="Arial" w:hAnsi="Arial" w:cs="Arial"/>
          <w:szCs w:val="21"/>
          <w:highlight w:val="none"/>
        </w:rPr>
        <w:t>”，</w:t>
      </w:r>
      <w:r>
        <w:rPr>
          <w:rFonts w:ascii="Arial" w:hAnsi="Arial" w:cs="Arial"/>
          <w:szCs w:val="21"/>
          <w:highlight w:val="none"/>
        </w:rPr>
        <w:t>将参加公开招聘未被录取的人员，按照不高于1:1的比例纳入人员后备库，招聘完成后仍出现聘用人员不足时，</w:t>
      </w:r>
      <w:r>
        <w:rPr>
          <w:rFonts w:hint="eastAsia" w:ascii="Arial" w:hAnsi="Arial" w:cs="Arial"/>
          <w:szCs w:val="21"/>
          <w:highlight w:val="none"/>
        </w:rPr>
        <w:t>将</w:t>
      </w:r>
      <w:r>
        <w:rPr>
          <w:rFonts w:ascii="Arial" w:hAnsi="Arial" w:cs="Arial"/>
          <w:szCs w:val="21"/>
          <w:highlight w:val="none"/>
        </w:rPr>
        <w:t>根据缺额情况与实际工作需求，在后备库从高分到低分依序补录</w:t>
      </w:r>
      <w:r>
        <w:rPr>
          <w:rFonts w:hint="eastAsia" w:ascii="Arial" w:hAnsi="Arial" w:cs="Arial"/>
          <w:szCs w:val="21"/>
          <w:highlight w:val="none"/>
        </w:rPr>
        <w:t>，</w:t>
      </w:r>
      <w:r>
        <w:rPr>
          <w:rFonts w:ascii="Arial" w:hAnsi="Arial" w:cs="Arial"/>
          <w:szCs w:val="21"/>
          <w:highlight w:val="none"/>
        </w:rPr>
        <w:t>储备时间自确定为储备对象之日起至下次招聘公告发布之日止</w:t>
      </w:r>
      <w:r>
        <w:rPr>
          <w:rFonts w:hint="eastAsia" w:ascii="Arial" w:hAnsi="Arial" w:cs="Arial"/>
          <w:szCs w:val="21"/>
          <w:highlight w:val="none"/>
        </w:rPr>
        <w:t>。</w:t>
      </w:r>
    </w:p>
    <w:p>
      <w:pPr>
        <w:snapToGrid w:val="0"/>
        <w:spacing w:line="360" w:lineRule="auto"/>
        <w:ind w:firstLine="420" w:firstLineChars="200"/>
        <w:outlineLvl w:val="0"/>
        <w:rPr>
          <w:rFonts w:ascii="Arial" w:hAnsi="Arial" w:cs="Arial"/>
          <w:szCs w:val="21"/>
        </w:rPr>
      </w:pPr>
    </w:p>
    <w:p>
      <w:pPr>
        <w:snapToGrid w:val="0"/>
        <w:spacing w:line="360" w:lineRule="auto"/>
        <w:ind w:firstLine="420" w:firstLineChars="200"/>
        <w:outlineLvl w:val="0"/>
        <w:rPr>
          <w:rFonts w:ascii="Arial" w:hAnsi="Arial" w:cs="Arial"/>
          <w:szCs w:val="21"/>
        </w:rPr>
      </w:pPr>
    </w:p>
    <w:p>
      <w:pPr>
        <w:snapToGrid w:val="0"/>
        <w:spacing w:line="360" w:lineRule="auto"/>
        <w:ind w:firstLine="420" w:firstLineChars="200"/>
        <w:outlineLvl w:val="0"/>
        <w:rPr>
          <w:rFonts w:ascii="Arial" w:hAnsi="Arial" w:cs="Arial"/>
          <w:szCs w:val="21"/>
        </w:rPr>
        <w:sectPr>
          <w:footerReference r:id="rId15" w:type="first"/>
          <w:headerReference r:id="rId13" w:type="default"/>
          <w:footerReference r:id="rId14" w:type="default"/>
          <w:pgSz w:w="11906" w:h="16838"/>
          <w:pgMar w:top="1474" w:right="1797" w:bottom="1247" w:left="1797" w:header="851" w:footer="851" w:gutter="0"/>
          <w:cols w:space="720" w:num="1"/>
          <w:titlePg/>
          <w:docGrid w:linePitch="312" w:charSpace="0"/>
        </w:sectPr>
      </w:pPr>
    </w:p>
    <w:p>
      <w:pPr>
        <w:spacing w:line="360" w:lineRule="auto"/>
        <w:rPr>
          <w:rFonts w:ascii="宋体" w:hAnsi="宋体" w:cs="宋体"/>
          <w:b/>
          <w:szCs w:val="21"/>
        </w:rPr>
      </w:pPr>
      <w:r>
        <w:rPr>
          <w:rFonts w:hint="eastAsia" w:ascii="宋体" w:hAnsi="宋体" w:cs="宋体"/>
          <w:b/>
          <w:szCs w:val="21"/>
        </w:rPr>
        <w:t>二、商务需求</w:t>
      </w:r>
    </w:p>
    <w:tbl>
      <w:tblPr>
        <w:tblStyle w:val="47"/>
        <w:tblW w:w="5000" w:type="pct"/>
        <w:jc w:val="center"/>
        <w:tblLayout w:type="autofit"/>
        <w:tblCellMar>
          <w:top w:w="0" w:type="dxa"/>
          <w:left w:w="108" w:type="dxa"/>
          <w:bottom w:w="0" w:type="dxa"/>
          <w:right w:w="108" w:type="dxa"/>
        </w:tblCellMar>
      </w:tblPr>
      <w:tblGrid>
        <w:gridCol w:w="1750"/>
        <w:gridCol w:w="6778"/>
      </w:tblGrid>
      <w:tr>
        <w:tblPrEx>
          <w:tblCellMar>
            <w:top w:w="0" w:type="dxa"/>
            <w:left w:w="108" w:type="dxa"/>
            <w:bottom w:w="0" w:type="dxa"/>
            <w:right w:w="108" w:type="dxa"/>
          </w:tblCellMar>
        </w:tblPrEx>
        <w:trPr>
          <w:trHeight w:val="459" w:hRule="atLeast"/>
          <w:jc w:val="center"/>
        </w:trPr>
        <w:tc>
          <w:tcPr>
            <w:tcW w:w="10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项目</w:t>
            </w:r>
          </w:p>
        </w:tc>
        <w:tc>
          <w:tcPr>
            <w:tcW w:w="39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要 求</w:t>
            </w:r>
          </w:p>
        </w:tc>
      </w:tr>
      <w:tr>
        <w:tblPrEx>
          <w:tblCellMar>
            <w:top w:w="0" w:type="dxa"/>
            <w:left w:w="108" w:type="dxa"/>
            <w:bottom w:w="0" w:type="dxa"/>
            <w:right w:w="108" w:type="dxa"/>
          </w:tblCellMar>
        </w:tblPrEx>
        <w:trPr>
          <w:trHeight w:val="993" w:hRule="atLeast"/>
          <w:jc w:val="center"/>
        </w:trPr>
        <w:tc>
          <w:tcPr>
            <w:tcW w:w="102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服务期限</w:t>
            </w:r>
          </w:p>
        </w:tc>
        <w:tc>
          <w:tcPr>
            <w:tcW w:w="3974" w:type="pct"/>
            <w:tcBorders>
              <w:top w:val="single" w:color="000000" w:sz="4" w:space="0"/>
              <w:left w:val="single" w:color="000000" w:sz="4" w:space="0"/>
              <w:bottom w:val="single" w:color="000000" w:sz="4" w:space="0"/>
              <w:right w:val="single" w:color="000000" w:sz="4" w:space="0"/>
            </w:tcBorders>
            <w:vAlign w:val="center"/>
          </w:tcPr>
          <w:p>
            <w:pPr>
              <w:spacing w:line="360" w:lineRule="auto"/>
              <w:outlineLvl w:val="0"/>
              <w:rPr>
                <w:rFonts w:ascii="宋体" w:hAnsi="宋体" w:cs="宋体"/>
                <w:szCs w:val="21"/>
                <w:highlight w:val="none"/>
              </w:rPr>
            </w:pPr>
            <w:r>
              <w:rPr>
                <w:rFonts w:hint="eastAsia" w:ascii="宋体" w:hAnsi="宋体" w:cs="宋体"/>
                <w:szCs w:val="21"/>
                <w:highlight w:val="none"/>
              </w:rPr>
              <w:t>自合同签订之日起至完成所有招聘工作且全部专职社区工作者报道完成。</w:t>
            </w:r>
          </w:p>
        </w:tc>
      </w:tr>
      <w:tr>
        <w:tblPrEx>
          <w:tblCellMar>
            <w:top w:w="0" w:type="dxa"/>
            <w:left w:w="108" w:type="dxa"/>
            <w:bottom w:w="0" w:type="dxa"/>
            <w:right w:w="108" w:type="dxa"/>
          </w:tblCellMar>
        </w:tblPrEx>
        <w:trPr>
          <w:trHeight w:val="1851" w:hRule="atLeast"/>
          <w:jc w:val="center"/>
        </w:trPr>
        <w:tc>
          <w:tcPr>
            <w:tcW w:w="102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付款条件</w:t>
            </w:r>
          </w:p>
        </w:tc>
        <w:tc>
          <w:tcPr>
            <w:tcW w:w="3974" w:type="pct"/>
            <w:tcBorders>
              <w:top w:val="single" w:color="000000" w:sz="4" w:space="0"/>
              <w:left w:val="single" w:color="000000" w:sz="4" w:space="0"/>
              <w:bottom w:val="single" w:color="000000" w:sz="4" w:space="0"/>
              <w:right w:val="single" w:color="000000" w:sz="4" w:space="0"/>
            </w:tcBorders>
            <w:vAlign w:val="center"/>
          </w:tcPr>
          <w:p>
            <w:pPr>
              <w:numPr>
                <w:ilvl w:val="0"/>
                <w:numId w:val="3"/>
              </w:numPr>
              <w:spacing w:line="360" w:lineRule="auto"/>
              <w:jc w:val="left"/>
              <w:rPr>
                <w:rFonts w:ascii="宋体" w:hAnsi="宋体" w:cs="宋体"/>
                <w:szCs w:val="21"/>
                <w:highlight w:val="none"/>
              </w:rPr>
            </w:pPr>
            <w:r>
              <w:rPr>
                <w:rFonts w:hint="eastAsia" w:ascii="宋体" w:hAnsi="宋体" w:cs="宋体"/>
                <w:szCs w:val="21"/>
                <w:highlight w:val="none"/>
              </w:rPr>
              <w:t>合同签订且具备实施条件后</w:t>
            </w:r>
            <w:r>
              <w:rPr>
                <w:rFonts w:hint="eastAsia" w:ascii="宋体" w:hAnsi="宋体" w:cs="宋体"/>
                <w:szCs w:val="21"/>
                <w:highlight w:val="none"/>
                <w:lang w:val="en-US" w:eastAsia="zh-CN"/>
              </w:rPr>
              <w:t>7</w:t>
            </w:r>
            <w:r>
              <w:rPr>
                <w:rFonts w:hint="eastAsia" w:ascii="宋体" w:hAnsi="宋体" w:cs="宋体"/>
                <w:szCs w:val="21"/>
                <w:highlight w:val="none"/>
              </w:rPr>
              <w:t>个工作日内，采购人凭成交单位开具的发票及预付款保函后支付合同金额的40%；</w:t>
            </w:r>
          </w:p>
          <w:p>
            <w:pPr>
              <w:numPr>
                <w:ilvl w:val="0"/>
                <w:numId w:val="3"/>
              </w:numPr>
              <w:spacing w:line="360" w:lineRule="auto"/>
              <w:jc w:val="left"/>
              <w:rPr>
                <w:rFonts w:hint="eastAsia" w:ascii="宋体" w:hAnsi="宋体" w:cs="宋体"/>
                <w:color w:val="333333"/>
                <w:szCs w:val="21"/>
                <w:highlight w:val="none"/>
                <w:shd w:val="clear" w:color="auto" w:fill="FFFFFF"/>
              </w:rPr>
            </w:pPr>
            <w:r>
              <w:rPr>
                <w:rFonts w:hint="eastAsia" w:ascii="宋体" w:hAnsi="宋体" w:cs="宋体"/>
                <w:szCs w:val="21"/>
                <w:highlight w:val="none"/>
              </w:rPr>
              <w:t>全部专职社区工作者面试环节</w:t>
            </w:r>
            <w:r>
              <w:rPr>
                <w:rFonts w:hint="eastAsia" w:ascii="宋体" w:hAnsi="宋体" w:cs="宋体"/>
                <w:szCs w:val="21"/>
                <w:highlight w:val="none"/>
                <w:lang w:val="en-US" w:eastAsia="zh-CN"/>
              </w:rPr>
              <w:t>结束且第一轮体检环节完成</w:t>
            </w:r>
            <w:r>
              <w:rPr>
                <w:rFonts w:hint="eastAsia" w:ascii="宋体" w:hAnsi="宋体" w:cs="宋体"/>
                <w:szCs w:val="21"/>
                <w:highlight w:val="none"/>
              </w:rPr>
              <w:t>后30个工作日内支付剩余合同金额</w:t>
            </w:r>
            <w:r>
              <w:rPr>
                <w:rFonts w:hint="eastAsia" w:ascii="宋体" w:hAnsi="宋体" w:cs="宋体"/>
                <w:color w:val="333333"/>
                <w:szCs w:val="21"/>
                <w:highlight w:val="none"/>
                <w:shd w:val="clear" w:color="auto" w:fill="FFFFFF"/>
              </w:rPr>
              <w:t>。</w:t>
            </w:r>
          </w:p>
          <w:p>
            <w:pPr>
              <w:spacing w:line="360" w:lineRule="auto"/>
              <w:jc w:val="left"/>
              <w:rPr>
                <w:rFonts w:ascii="宋体" w:hAnsi="宋体" w:cs="宋体"/>
                <w:szCs w:val="21"/>
                <w:highlight w:val="none"/>
              </w:rPr>
            </w:pPr>
            <w:r>
              <w:rPr>
                <w:rFonts w:hint="eastAsia" w:ascii="宋体" w:hAnsi="宋体" w:cs="宋体"/>
                <w:szCs w:val="21"/>
                <w:highlight w:val="none"/>
              </w:rPr>
              <w:t>说明:预付款保函应由银行、保险公司等金额机构出具且与预付款同等金额。</w:t>
            </w:r>
          </w:p>
        </w:tc>
      </w:tr>
      <w:tr>
        <w:tblPrEx>
          <w:tblCellMar>
            <w:top w:w="0" w:type="dxa"/>
            <w:left w:w="108" w:type="dxa"/>
            <w:bottom w:w="0" w:type="dxa"/>
            <w:right w:w="108" w:type="dxa"/>
          </w:tblCellMar>
        </w:tblPrEx>
        <w:trPr>
          <w:trHeight w:val="1851" w:hRule="atLeast"/>
          <w:jc w:val="center"/>
        </w:trPr>
        <w:tc>
          <w:tcPr>
            <w:tcW w:w="1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rPr>
              <w:t>履约保证金</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eastAsia" w:ascii="宋体" w:hAnsi="宋体"/>
                <w:szCs w:val="21"/>
                <w:highlight w:val="none"/>
              </w:rPr>
            </w:pPr>
            <w:r>
              <w:rPr>
                <w:rFonts w:hint="eastAsia" w:ascii="宋体" w:hAnsi="宋体" w:cs="宋体"/>
                <w:szCs w:val="21"/>
                <w:highlight w:val="none"/>
              </w:rPr>
              <w:t>1、履约保证金金额：</w:t>
            </w:r>
            <w:r>
              <w:rPr>
                <w:rFonts w:hint="eastAsia" w:ascii="宋体" w:hAnsi="宋体"/>
                <w:szCs w:val="21"/>
                <w:highlight w:val="none"/>
              </w:rPr>
              <w:t>合同金额的</w:t>
            </w:r>
            <w:r>
              <w:rPr>
                <w:rFonts w:hint="eastAsia" w:ascii="宋体" w:hAnsi="宋体"/>
                <w:szCs w:val="21"/>
                <w:highlight w:val="none"/>
                <w:lang w:val="en-US" w:eastAsia="zh-CN"/>
              </w:rPr>
              <w:t>1</w:t>
            </w:r>
            <w:r>
              <w:rPr>
                <w:rFonts w:hint="eastAsia" w:ascii="宋体" w:hAnsi="宋体"/>
                <w:szCs w:val="21"/>
                <w:highlight w:val="none"/>
              </w:rPr>
              <w:t>%，于合同签订后一日内缴纳履约保证金至采购人指定账户。</w:t>
            </w:r>
          </w:p>
          <w:p>
            <w:pPr>
              <w:widowControl/>
              <w:spacing w:line="360" w:lineRule="auto"/>
              <w:rPr>
                <w:rFonts w:hint="eastAsia" w:ascii="宋体" w:hAnsi="宋体" w:cs="宋体"/>
                <w:szCs w:val="21"/>
                <w:highlight w:val="none"/>
              </w:rPr>
            </w:pPr>
            <w:r>
              <w:rPr>
                <w:rFonts w:hint="eastAsia" w:ascii="宋体" w:hAnsi="宋体" w:cs="宋体"/>
                <w:szCs w:val="21"/>
                <w:highlight w:val="none"/>
              </w:rPr>
              <w:t>2、履约保证金形式：银行汇票（电汇）或支票（仅限于使用宁波大市区范围内的银行开具的支票）、</w:t>
            </w:r>
            <w:r>
              <w:rPr>
                <w:rFonts w:hint="eastAsia" w:ascii="宋体" w:hAnsi="宋体" w:cs="宋体"/>
                <w:szCs w:val="21"/>
                <w:highlight w:val="none"/>
                <w:lang w:val="en-US" w:eastAsia="zh-CN"/>
              </w:rPr>
              <w:t>保险公司出具的</w:t>
            </w:r>
            <w:r>
              <w:rPr>
                <w:rFonts w:hint="eastAsia" w:ascii="宋体" w:hAnsi="宋体" w:cs="宋体"/>
                <w:szCs w:val="21"/>
                <w:highlight w:val="none"/>
              </w:rPr>
              <w:t>保函等；</w:t>
            </w:r>
          </w:p>
          <w:p>
            <w:pPr>
              <w:spacing w:line="360" w:lineRule="auto"/>
              <w:jc w:val="left"/>
              <w:rPr>
                <w:rFonts w:hint="eastAsia" w:ascii="宋体" w:hAnsi="宋体" w:cs="宋体"/>
                <w:szCs w:val="21"/>
                <w:highlight w:val="none"/>
              </w:rPr>
            </w:pPr>
            <w:r>
              <w:rPr>
                <w:rFonts w:hint="eastAsia" w:ascii="宋体" w:hAnsi="宋体" w:cs="宋体"/>
                <w:szCs w:val="21"/>
                <w:highlight w:val="none"/>
              </w:rPr>
              <w:t>3、履约保证金的退还：在项目</w:t>
            </w:r>
            <w:r>
              <w:rPr>
                <w:rFonts w:hint="eastAsia" w:ascii="宋体" w:hAnsi="宋体" w:cs="宋体"/>
                <w:szCs w:val="21"/>
                <w:highlight w:val="none"/>
                <w:lang w:val="en-US" w:eastAsia="zh-CN"/>
              </w:rPr>
              <w:t>服务</w:t>
            </w:r>
            <w:r>
              <w:rPr>
                <w:rFonts w:hint="eastAsia" w:ascii="宋体" w:hAnsi="宋体" w:cs="宋体"/>
                <w:szCs w:val="21"/>
                <w:highlight w:val="none"/>
              </w:rPr>
              <w:t>结束后一次性无息退还（若在项目验收结束前，中标人未按要求服务的，采购人有权从履约保证金中得到补偿）。</w:t>
            </w:r>
          </w:p>
        </w:tc>
      </w:tr>
      <w:tr>
        <w:tblPrEx>
          <w:tblCellMar>
            <w:top w:w="0" w:type="dxa"/>
            <w:left w:w="108" w:type="dxa"/>
            <w:bottom w:w="0" w:type="dxa"/>
            <w:right w:w="108" w:type="dxa"/>
          </w:tblCellMar>
        </w:tblPrEx>
        <w:trPr>
          <w:trHeight w:val="834" w:hRule="atLeast"/>
          <w:jc w:val="center"/>
        </w:trPr>
        <w:tc>
          <w:tcPr>
            <w:tcW w:w="102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highlight w:val="yellow"/>
              </w:rPr>
            </w:pPr>
            <w:r>
              <w:rPr>
                <w:rFonts w:hint="eastAsia" w:ascii="宋体" w:hAnsi="宋体" w:cs="宋体"/>
                <w:kern w:val="1"/>
                <w:szCs w:val="21"/>
              </w:rPr>
              <w:t>其他</w:t>
            </w:r>
          </w:p>
        </w:tc>
        <w:tc>
          <w:tcPr>
            <w:tcW w:w="397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Cs w:val="21"/>
                <w:highlight w:val="yellow"/>
              </w:rPr>
            </w:pPr>
            <w:r>
              <w:rPr>
                <w:rFonts w:hint="eastAsia" w:ascii="宋体" w:hAnsi="宋体" w:cs="宋体"/>
                <w:kern w:val="1"/>
                <w:szCs w:val="21"/>
              </w:rPr>
              <w:t>在采购及合同执行过程中，供应商应承担由于其行为所造成的人身伤害、财产损失或损坏的责任，无论何种原因所造成，采购人均不负责。</w:t>
            </w:r>
          </w:p>
        </w:tc>
      </w:tr>
      <w:tr>
        <w:tblPrEx>
          <w:tblCellMar>
            <w:top w:w="0" w:type="dxa"/>
            <w:left w:w="108" w:type="dxa"/>
            <w:bottom w:w="0" w:type="dxa"/>
            <w:right w:w="108" w:type="dxa"/>
          </w:tblCellMar>
        </w:tblPrEx>
        <w:trPr>
          <w:trHeight w:val="634" w:hRule="atLeast"/>
          <w:jc w:val="center"/>
        </w:trPr>
        <w:tc>
          <w:tcPr>
            <w:tcW w:w="102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hint="eastAsia" w:ascii="宋体" w:hAnsi="宋体" w:cs="宋体"/>
                <w:szCs w:val="21"/>
              </w:rPr>
              <w:t>签订合同时间</w:t>
            </w:r>
          </w:p>
        </w:tc>
        <w:tc>
          <w:tcPr>
            <w:tcW w:w="397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kern w:val="1"/>
                <w:szCs w:val="21"/>
              </w:rPr>
            </w:pPr>
            <w:r>
              <w:rPr>
                <w:rFonts w:hint="eastAsia" w:ascii="宋体" w:hAnsi="宋体" w:cs="宋体"/>
                <w:kern w:val="1"/>
                <w:szCs w:val="21"/>
              </w:rPr>
              <w:t>成交通知书发出后30日内，具体签约时间以采购人通知为准。</w:t>
            </w:r>
          </w:p>
        </w:tc>
      </w:tr>
    </w:tbl>
    <w:p>
      <w:pPr>
        <w:rPr>
          <w:rFonts w:ascii="宋体" w:hAnsi="宋体" w:cs="宋体"/>
          <w:szCs w:val="21"/>
        </w:rPr>
      </w:pPr>
      <w:r>
        <w:rPr>
          <w:rFonts w:hint="eastAsia" w:ascii="宋体" w:hAnsi="宋体" w:cs="宋体"/>
          <w:szCs w:val="21"/>
        </w:rPr>
        <w:br w:type="page"/>
      </w:r>
    </w:p>
    <w:p>
      <w:pPr>
        <w:pStyle w:val="4"/>
        <w:spacing w:line="240" w:lineRule="auto"/>
        <w:rPr>
          <w:rFonts w:ascii="宋体" w:hAnsi="宋体" w:cs="宋体"/>
          <w:sz w:val="24"/>
        </w:rPr>
      </w:pPr>
      <w:r>
        <w:rPr>
          <w:rFonts w:hint="eastAsia" w:ascii="宋体" w:hAnsi="宋体" w:cs="宋体"/>
        </w:rPr>
        <w:t>第三章  供应商须知</w:t>
      </w:r>
      <w:bookmarkEnd w:id="2"/>
    </w:p>
    <w:p>
      <w:pPr>
        <w:jc w:val="center"/>
        <w:rPr>
          <w:rFonts w:ascii="宋体" w:hAnsi="宋体" w:cs="宋体"/>
        </w:rPr>
      </w:pPr>
      <w:r>
        <w:rPr>
          <w:rFonts w:hint="eastAsia" w:ascii="宋体" w:hAnsi="宋体" w:cs="宋体"/>
        </w:rPr>
        <w:t>前附表</w:t>
      </w:r>
    </w:p>
    <w:tbl>
      <w:tblPr>
        <w:tblStyle w:val="47"/>
        <w:tblW w:w="879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7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项目名称：</w:t>
            </w:r>
            <w:r>
              <w:rPr>
                <w:rFonts w:hint="eastAsia" w:asciiTheme="minorEastAsia" w:hAnsiTheme="minorEastAsia" w:eastAsiaTheme="minorEastAsia" w:cstheme="minorEastAsia"/>
                <w:szCs w:val="21"/>
              </w:rPr>
              <w:t>宁波市北仑区民政局专职社区工作者招聘服务项目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
                <w:szCs w:val="21"/>
              </w:rPr>
              <w:t>▲</w:t>
            </w:r>
            <w:r>
              <w:rPr>
                <w:rFonts w:hint="eastAsia" w:ascii="宋体" w:hAnsi="宋体" w:cs="宋体"/>
                <w:szCs w:val="21"/>
              </w:rPr>
              <w:t>2</w:t>
            </w:r>
          </w:p>
        </w:tc>
        <w:tc>
          <w:tcPr>
            <w:tcW w:w="793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 xml:space="preserve">报价要求及其他费用： </w:t>
            </w:r>
          </w:p>
          <w:p>
            <w:pPr>
              <w:snapToGrid w:val="0"/>
              <w:spacing w:line="360" w:lineRule="auto"/>
              <w:rPr>
                <w:rFonts w:ascii="宋体" w:hAnsi="宋体" w:cs="宋体"/>
                <w:szCs w:val="21"/>
              </w:rPr>
            </w:pPr>
            <w:r>
              <w:rPr>
                <w:rFonts w:hint="eastAsia" w:ascii="宋体" w:hAnsi="宋体" w:cs="宋体"/>
                <w:szCs w:val="21"/>
              </w:rPr>
              <w:t>1、报价要求：本项目磋商应以含税人民币报价，报价包括公告发布费用，资格审核费用，面试、笔试考务费用（包括出题费、试卷印制等物料费、考场场地费、考务人员费用、阅卷人员费用、待命救护车及人员费、防疫相关费用、应急费用等），复审费，体检费用，租赁车辆费用，通知信息费以及人员、文件、交通、成交服务费等完成本项目所发生的一切费用。</w:t>
            </w:r>
          </w:p>
          <w:p>
            <w:pPr>
              <w:snapToGrid w:val="0"/>
              <w:spacing w:line="360" w:lineRule="auto"/>
              <w:rPr>
                <w:rFonts w:ascii="宋体" w:hAnsi="宋体" w:cs="宋体"/>
                <w:szCs w:val="21"/>
              </w:rPr>
            </w:pPr>
            <w:r>
              <w:rPr>
                <w:rFonts w:hint="eastAsia" w:ascii="宋体" w:hAnsi="宋体" w:cs="宋体"/>
                <w:szCs w:val="21"/>
              </w:rPr>
              <w:t>2、在合同履行期间，报名人数增减均由成交人承担，采购人不再另行支付其他任何形式的费用。</w:t>
            </w:r>
          </w:p>
          <w:p>
            <w:pPr>
              <w:snapToGrid w:val="0"/>
              <w:spacing w:line="360" w:lineRule="auto"/>
              <w:rPr>
                <w:rFonts w:ascii="宋体" w:hAnsi="宋体" w:cs="宋体"/>
                <w:szCs w:val="21"/>
              </w:rPr>
            </w:pPr>
            <w:r>
              <w:rPr>
                <w:rFonts w:hint="eastAsia" w:ascii="宋体" w:hAnsi="宋体" w:cs="宋体"/>
                <w:szCs w:val="21"/>
              </w:rPr>
              <w:t>3、不论采购结果如何，供应商均应自行承担所有与采购有关的全部费用。</w:t>
            </w:r>
          </w:p>
          <w:p>
            <w:pPr>
              <w:snapToGrid w:val="0"/>
              <w:spacing w:line="360" w:lineRule="auto"/>
              <w:rPr>
                <w:rFonts w:ascii="宋体" w:hAnsi="宋体" w:cs="宋体"/>
                <w:szCs w:val="21"/>
              </w:rPr>
            </w:pPr>
            <w:r>
              <w:rPr>
                <w:rFonts w:hint="eastAsia" w:ascii="宋体" w:hAnsi="宋体" w:cs="宋体"/>
                <w:szCs w:val="21"/>
              </w:rPr>
              <w:t>4、成交服务费的收取：向成交人收取成交服务费：10000元。</w:t>
            </w:r>
          </w:p>
          <w:p>
            <w:pPr>
              <w:snapToGrid w:val="0"/>
              <w:spacing w:line="360" w:lineRule="auto"/>
              <w:rPr>
                <w:rFonts w:ascii="宋体" w:hAnsi="宋体" w:cs="宋体"/>
                <w:szCs w:val="21"/>
              </w:rPr>
            </w:pPr>
            <w:r>
              <w:rPr>
                <w:rFonts w:hint="eastAsia" w:ascii="宋体" w:hAnsi="宋体" w:cs="宋体"/>
                <w:szCs w:val="21"/>
              </w:rPr>
              <w:t>与本次磋商采购相关的款项都汇入以下账户：</w:t>
            </w:r>
          </w:p>
          <w:p>
            <w:pPr>
              <w:snapToGrid w:val="0"/>
              <w:spacing w:line="360" w:lineRule="auto"/>
              <w:rPr>
                <w:rFonts w:ascii="宋体" w:hAnsi="宋体" w:cs="宋体"/>
                <w:szCs w:val="21"/>
              </w:rPr>
            </w:pPr>
            <w:r>
              <w:rPr>
                <w:rFonts w:hint="eastAsia" w:ascii="宋体" w:hAnsi="宋体" w:cs="宋体"/>
                <w:szCs w:val="21"/>
              </w:rPr>
              <w:t>开户银行：宁波银行科技支行</w:t>
            </w:r>
          </w:p>
          <w:p>
            <w:pPr>
              <w:snapToGrid w:val="0"/>
              <w:spacing w:line="360" w:lineRule="auto"/>
              <w:rPr>
                <w:rFonts w:ascii="宋体" w:hAnsi="宋体" w:cs="宋体"/>
                <w:szCs w:val="21"/>
              </w:rPr>
            </w:pPr>
            <w:r>
              <w:rPr>
                <w:rFonts w:hint="eastAsia" w:ascii="宋体" w:hAnsi="宋体" w:cs="宋体"/>
                <w:szCs w:val="21"/>
              </w:rPr>
              <w:t>账    号：31010122000005488</w:t>
            </w:r>
          </w:p>
          <w:p>
            <w:pPr>
              <w:rPr>
                <w:rFonts w:ascii="宋体" w:hAnsi="宋体" w:cs="宋体"/>
                <w:color w:val="000000" w:themeColor="text1"/>
                <w:szCs w:val="21"/>
              </w:rPr>
            </w:pPr>
            <w:r>
              <w:rPr>
                <w:rFonts w:hint="eastAsia" w:ascii="宋体" w:hAnsi="宋体" w:cs="宋体"/>
                <w:szCs w:val="21"/>
              </w:rPr>
              <w:t>户    名：宁波中基国际招标有限公司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olor w:val="000000" w:themeColor="text1"/>
              </w:rPr>
            </w:pPr>
            <w:r>
              <w:rPr>
                <w:rFonts w:hint="eastAsia" w:ascii="宋体" w:hAnsi="宋体" w:cs="宋体"/>
                <w:color w:val="000000" w:themeColor="text1"/>
                <w:szCs w:val="21"/>
              </w:rPr>
              <w:t>磋商保证金：无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6"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答疑与澄清：供应商依法获取磋商文件，如认为磋商采购文件表述不清晰、存在歧视性、排他性或者其他违法内容的，应当于递交磋商响应文件截止时间5日前，以书面形式要求采购单位作出书面解释、澄清或者向采购单位提出书面质疑，逾期不予受理；采购单位将不专门组织答疑；如有答疑，答疑内容是磋商采购文件的组成部份，将在浙江政府采购云平台、宁波市公共资源交易网（北仑区分网）和宁波中基国际招标有限公司网站上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评审办法及评审标准：具体见第四章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成交结果公告：评审结束后，成交结果公示于</w:t>
            </w:r>
            <w:r>
              <w:rPr>
                <w:rFonts w:hint="eastAsia" w:ascii="宋体" w:hAnsi="宋体" w:cs="Arial"/>
                <w:color w:val="000000" w:themeColor="text1"/>
                <w:szCs w:val="21"/>
              </w:rPr>
              <w:t>浙江政府采购云平台、宁波市公共资源交易网（北仑区分网）和宁波中基国际招标有限公司网站。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注意事项：</w:t>
            </w:r>
          </w:p>
          <w:p>
            <w:pPr>
              <w:numPr>
                <w:ilvl w:val="0"/>
                <w:numId w:val="4"/>
              </w:numPr>
              <w:spacing w:line="360" w:lineRule="auto"/>
              <w:rPr>
                <w:rFonts w:ascii="宋体" w:hAnsi="宋体" w:cs="宋体"/>
              </w:rPr>
            </w:pPr>
            <w:r>
              <w:rPr>
                <w:rFonts w:hint="eastAsia" w:ascii="宋体" w:hAnsi="宋体" w:cs="宋体"/>
              </w:rPr>
              <w:t>本项目通过“政府采购云平台”实行在线磋商（电子投标）。若供应商参与磋商，自行承担磋商一切费用。</w:t>
            </w:r>
          </w:p>
          <w:p>
            <w:pPr>
              <w:numPr>
                <w:ilvl w:val="0"/>
                <w:numId w:val="4"/>
              </w:numPr>
              <w:spacing w:line="360" w:lineRule="auto"/>
              <w:rPr>
                <w:rFonts w:ascii="宋体" w:hAnsi="宋体" w:cs="宋体"/>
              </w:rPr>
            </w:pPr>
            <w:r>
              <w:rPr>
                <w:rFonts w:hint="eastAsia" w:ascii="宋体" w:hAnsi="宋体" w:cs="宋体"/>
              </w:rPr>
              <w:t>制作电子响应文件的系统配置要求：64位的windows7及以上操作系统。</w:t>
            </w:r>
          </w:p>
          <w:p>
            <w:pPr>
              <w:spacing w:line="360" w:lineRule="auto"/>
              <w:rPr>
                <w:rFonts w:ascii="宋体" w:hAnsi="宋体" w:cs="宋体"/>
              </w:rPr>
            </w:pPr>
            <w:r>
              <w:rPr>
                <w:rFonts w:hint="eastAsia" w:ascii="宋体" w:hAnsi="宋体" w:cs="宋体"/>
              </w:rPr>
              <w:t>3.磋商前的准备：各供应商应在磋商前应确保成为浙江省政府采购网正式注册入库供应商，并完成CA数字证书办理（供应商CA申领操作指南：https://help.zcygov.cn/web/site_2/2018/11-29/2452.html）。因未注册入库、未办理CA数字证书等原因造成无法获取磋商文件、无法参加磋商或磋商失败等后果由供应商自行承担。</w:t>
            </w:r>
          </w:p>
          <w:p>
            <w:pPr>
              <w:spacing w:line="360" w:lineRule="auto"/>
              <w:rPr>
                <w:rFonts w:ascii="宋体" w:hAnsi="宋体" w:cs="宋体"/>
              </w:rPr>
            </w:pPr>
            <w:r>
              <w:rPr>
                <w:rFonts w:hint="eastAsia" w:ascii="宋体" w:hAnsi="宋体" w:cs="宋体"/>
              </w:rPr>
              <w:t>4.磋商响应文件由：资格审查文件、资信技术文件以及报价文件三个部分组成，供应商应按照本磋商文件和“政府采购云平台”的要求，通过“政采云电子交易客户端”编制并加密磋商响应文件。同时，供应商应递交“电子备份磋商响应文件”用于异常情况处理。</w:t>
            </w:r>
          </w:p>
          <w:p>
            <w:pPr>
              <w:pStyle w:val="63"/>
              <w:spacing w:line="360" w:lineRule="auto"/>
              <w:ind w:left="0" w:firstLine="0"/>
              <w:rPr>
                <w:color w:val="000000" w:themeColor="text1"/>
              </w:rPr>
            </w:pPr>
            <w:r>
              <w:rPr>
                <w:rFonts w:hint="eastAsia" w:hAnsi="宋体" w:cs="宋体"/>
                <w:szCs w:val="21"/>
              </w:rPr>
              <w:t>5.供应商授权代表应自带电脑、CA锁用于“电子加密磋商响应文件”的解密。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8</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9</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
                <w:szCs w:val="21"/>
              </w:rPr>
              <w:t>▲</w:t>
            </w:r>
            <w:r>
              <w:rPr>
                <w:rFonts w:hint="eastAsia" w:ascii="宋体" w:hAnsi="宋体" w:cs="宋体"/>
                <w:szCs w:val="21"/>
              </w:rPr>
              <w:t>10</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解释：本磋商采购文件的解释权属于采购单位。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
                <w:szCs w:val="21"/>
              </w:rPr>
              <w:t>▲</w:t>
            </w:r>
            <w:r>
              <w:rPr>
                <w:rFonts w:hint="eastAsia" w:ascii="宋体" w:hAnsi="宋体" w:cs="宋体"/>
                <w:szCs w:val="21"/>
              </w:rPr>
              <w:t>12</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rPr>
              <w:t>不同供应商的在同一终端设备或在相同Internet主机分配地址（相同IP地址）网上报名的作无效标处理。</w:t>
            </w:r>
          </w:p>
        </w:tc>
      </w:tr>
    </w:tbl>
    <w:p>
      <w:pPr>
        <w:pStyle w:val="14"/>
        <w:widowControl w:val="0"/>
        <w:tabs>
          <w:tab w:val="clear" w:pos="454"/>
        </w:tabs>
        <w:snapToGrid w:val="0"/>
        <w:spacing w:beforeLines="50" w:afterLines="0" w:line="360" w:lineRule="auto"/>
        <w:ind w:left="0" w:firstLine="0"/>
        <w:rPr>
          <w:rFonts w:ascii="宋体" w:hAnsi="宋体" w:cs="宋体"/>
          <w:b/>
          <w:sz w:val="21"/>
          <w:szCs w:val="21"/>
        </w:rPr>
      </w:pPr>
      <w:r>
        <w:rPr>
          <w:rFonts w:hint="eastAsia" w:ascii="宋体" w:hAnsi="宋体" w:cs="宋体"/>
          <w:b/>
          <w:sz w:val="21"/>
          <w:szCs w:val="21"/>
        </w:rPr>
        <w:t xml:space="preserve">   </w:t>
      </w:r>
    </w:p>
    <w:p>
      <w:pPr>
        <w:pStyle w:val="14"/>
        <w:widowControl w:val="0"/>
        <w:tabs>
          <w:tab w:val="clear" w:pos="454"/>
        </w:tabs>
        <w:snapToGrid w:val="0"/>
        <w:spacing w:beforeLines="50" w:afterLines="0" w:line="360" w:lineRule="auto"/>
        <w:ind w:left="0" w:firstLine="0"/>
        <w:rPr>
          <w:rFonts w:ascii="宋体" w:hAnsi="宋体" w:cs="宋体"/>
          <w:b/>
          <w:sz w:val="21"/>
          <w:szCs w:val="21"/>
        </w:rPr>
      </w:pPr>
    </w:p>
    <w:p>
      <w:pPr>
        <w:pStyle w:val="14"/>
        <w:widowControl w:val="0"/>
        <w:tabs>
          <w:tab w:val="clear" w:pos="454"/>
        </w:tabs>
        <w:snapToGrid w:val="0"/>
        <w:spacing w:beforeLines="50" w:afterLines="0" w:line="360" w:lineRule="auto"/>
        <w:ind w:left="0" w:firstLine="0"/>
        <w:rPr>
          <w:rFonts w:ascii="宋体" w:hAnsi="宋体" w:cs="宋体"/>
          <w:b/>
          <w:sz w:val="21"/>
          <w:szCs w:val="21"/>
        </w:rPr>
      </w:pPr>
    </w:p>
    <w:p>
      <w:pPr>
        <w:pStyle w:val="14"/>
        <w:widowControl w:val="0"/>
        <w:tabs>
          <w:tab w:val="clear" w:pos="454"/>
        </w:tabs>
        <w:snapToGrid w:val="0"/>
        <w:spacing w:beforeLines="50" w:afterLines="0" w:line="360" w:lineRule="auto"/>
        <w:ind w:left="0" w:firstLine="0"/>
        <w:rPr>
          <w:rFonts w:ascii="宋体" w:hAnsi="宋体" w:cs="宋体"/>
          <w:b/>
          <w:sz w:val="21"/>
          <w:szCs w:val="21"/>
        </w:rPr>
      </w:pPr>
    </w:p>
    <w:p>
      <w:pPr>
        <w:pStyle w:val="14"/>
        <w:widowControl w:val="0"/>
        <w:tabs>
          <w:tab w:val="clear" w:pos="454"/>
        </w:tabs>
        <w:snapToGrid w:val="0"/>
        <w:spacing w:beforeLines="50" w:afterLines="0" w:line="360" w:lineRule="auto"/>
        <w:ind w:left="0" w:firstLine="0"/>
        <w:rPr>
          <w:rFonts w:ascii="宋体" w:hAnsi="宋体" w:cs="宋体"/>
          <w:b/>
          <w:sz w:val="21"/>
          <w:szCs w:val="21"/>
        </w:rPr>
      </w:pPr>
    </w:p>
    <w:p>
      <w:pPr>
        <w:pStyle w:val="14"/>
        <w:widowControl w:val="0"/>
        <w:tabs>
          <w:tab w:val="clear" w:pos="454"/>
        </w:tabs>
        <w:snapToGrid w:val="0"/>
        <w:spacing w:beforeLines="50" w:afterLines="0" w:line="360" w:lineRule="auto"/>
        <w:ind w:left="0" w:firstLine="0"/>
        <w:rPr>
          <w:rFonts w:ascii="宋体" w:hAnsi="宋体" w:cs="宋体"/>
          <w:b/>
          <w:sz w:val="21"/>
          <w:szCs w:val="21"/>
        </w:rPr>
      </w:pPr>
    </w:p>
    <w:p>
      <w:pPr>
        <w:pStyle w:val="14"/>
        <w:widowControl w:val="0"/>
        <w:tabs>
          <w:tab w:val="clear" w:pos="454"/>
        </w:tabs>
        <w:snapToGrid w:val="0"/>
        <w:spacing w:beforeLines="50" w:afterLines="0" w:line="360" w:lineRule="auto"/>
        <w:ind w:left="0" w:firstLine="0"/>
        <w:rPr>
          <w:rFonts w:ascii="宋体" w:hAnsi="宋体" w:cs="宋体"/>
          <w:b/>
          <w:sz w:val="21"/>
          <w:szCs w:val="21"/>
        </w:rPr>
        <w:sectPr>
          <w:footerReference r:id="rId18" w:type="first"/>
          <w:headerReference r:id="rId16" w:type="default"/>
          <w:footerReference r:id="rId17" w:type="default"/>
          <w:pgSz w:w="11906" w:h="16838"/>
          <w:pgMar w:top="1474" w:right="1797" w:bottom="1247" w:left="1797" w:header="851" w:footer="851" w:gutter="0"/>
          <w:cols w:space="720" w:num="1"/>
          <w:titlePg/>
          <w:docGrid w:linePitch="312" w:charSpace="0"/>
        </w:sectPr>
      </w:pPr>
    </w:p>
    <w:p>
      <w:pPr>
        <w:pStyle w:val="14"/>
        <w:widowControl w:val="0"/>
        <w:tabs>
          <w:tab w:val="clear" w:pos="454"/>
        </w:tabs>
        <w:snapToGrid w:val="0"/>
        <w:spacing w:beforeLines="50" w:afterLines="0" w:line="360" w:lineRule="auto"/>
        <w:ind w:left="0" w:firstLine="0"/>
        <w:rPr>
          <w:rFonts w:ascii="宋体" w:hAnsi="宋体" w:cs="宋体"/>
          <w:sz w:val="21"/>
          <w:szCs w:val="21"/>
        </w:rPr>
      </w:pPr>
      <w:r>
        <w:rPr>
          <w:rFonts w:hint="eastAsia" w:ascii="宋体" w:hAnsi="宋体" w:cs="宋体"/>
          <w:b/>
          <w:sz w:val="21"/>
          <w:szCs w:val="21"/>
        </w:rPr>
        <w:t>一   总  则</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（一） 适用范围</w:t>
      </w:r>
    </w:p>
    <w:p>
      <w:pPr>
        <w:pStyle w:val="25"/>
        <w:snapToGrid w:val="0"/>
        <w:spacing w:beforeLines="0" w:afterLines="0" w:line="360" w:lineRule="auto"/>
        <w:ind w:firstLine="420" w:firstLineChars="200"/>
        <w:rPr>
          <w:rFonts w:hint="default" w:hAnsi="宋体" w:cs="宋体"/>
        </w:rPr>
      </w:pPr>
      <w:r>
        <w:rPr>
          <w:rFonts w:hAnsi="宋体" w:cs="宋体"/>
        </w:rPr>
        <w:t>本磋商采购文件适用于本项目的采购邀请、响应、评审、验收、合同履约、付款等行为（法律、法规另有规定的，从其规定）。</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（二）定义</w:t>
      </w:r>
    </w:p>
    <w:p>
      <w:pPr>
        <w:pStyle w:val="25"/>
        <w:snapToGrid w:val="0"/>
        <w:spacing w:beforeLines="0" w:afterLines="0" w:line="360" w:lineRule="auto"/>
        <w:ind w:firstLine="420" w:firstLineChars="200"/>
        <w:rPr>
          <w:rFonts w:hint="default" w:hAnsi="宋体" w:cs="宋体"/>
        </w:rPr>
      </w:pPr>
      <w:r>
        <w:rPr>
          <w:rFonts w:hAnsi="宋体" w:cs="宋体"/>
        </w:rPr>
        <w:t>1. 采购单位系指组织本次磋商的代理机构和采购人。</w:t>
      </w:r>
    </w:p>
    <w:p>
      <w:pPr>
        <w:pStyle w:val="25"/>
        <w:snapToGrid w:val="0"/>
        <w:spacing w:beforeLines="0" w:afterLines="0" w:line="360" w:lineRule="auto"/>
        <w:ind w:firstLine="420" w:firstLineChars="200"/>
        <w:rPr>
          <w:rFonts w:hint="default" w:hAnsi="宋体" w:cs="宋体"/>
        </w:rPr>
      </w:pPr>
      <w:r>
        <w:rPr>
          <w:rFonts w:hAnsi="宋体" w:cs="宋体"/>
        </w:rPr>
        <w:t>2.“供应商”系指向采购单位提交响应文件的单位或个人。</w:t>
      </w:r>
    </w:p>
    <w:p>
      <w:pPr>
        <w:pStyle w:val="25"/>
        <w:snapToGrid w:val="0"/>
        <w:spacing w:beforeLines="0" w:afterLines="0" w:line="360" w:lineRule="auto"/>
        <w:ind w:firstLine="420" w:firstLineChars="200"/>
        <w:rPr>
          <w:rFonts w:hint="default" w:hAnsi="宋体" w:cs="宋体"/>
        </w:rPr>
      </w:pPr>
      <w:r>
        <w:rPr>
          <w:rFonts w:hAnsi="宋体" w:cs="宋体"/>
        </w:rPr>
        <w:t>3.“服务”系指磋商采购文件规定供应商须提供的本项目相关的服务。</w:t>
      </w:r>
    </w:p>
    <w:p>
      <w:pPr>
        <w:pStyle w:val="25"/>
        <w:snapToGrid w:val="0"/>
        <w:spacing w:beforeLines="0" w:afterLines="0" w:line="360" w:lineRule="auto"/>
        <w:ind w:firstLine="420" w:firstLineChars="200"/>
        <w:rPr>
          <w:rFonts w:hint="default" w:hAnsi="宋体" w:cs="宋体"/>
        </w:rPr>
      </w:pPr>
      <w:r>
        <w:rPr>
          <w:rFonts w:hAnsi="宋体" w:cs="宋体"/>
        </w:rPr>
        <w:t>4.“项目”系指供应商按磋商采购文件规定向采购人提供的服务和成果。</w:t>
      </w:r>
    </w:p>
    <w:p>
      <w:pPr>
        <w:pStyle w:val="25"/>
        <w:snapToGrid w:val="0"/>
        <w:spacing w:beforeLines="0" w:afterLines="0" w:line="360" w:lineRule="auto"/>
        <w:ind w:firstLine="420" w:firstLineChars="200"/>
        <w:rPr>
          <w:rFonts w:hint="default" w:hAnsi="宋体" w:cs="宋体"/>
        </w:rPr>
      </w:pPr>
      <w:r>
        <w:rPr>
          <w:rFonts w:hAnsi="宋体" w:cs="宋体"/>
        </w:rPr>
        <w:t>5.“书面形式”包括信函、传真、电报等。</w:t>
      </w:r>
    </w:p>
    <w:p>
      <w:pPr>
        <w:pStyle w:val="25"/>
        <w:snapToGrid w:val="0"/>
        <w:spacing w:beforeLines="0" w:afterLines="0" w:line="360" w:lineRule="auto"/>
        <w:ind w:firstLine="420" w:firstLineChars="200"/>
        <w:rPr>
          <w:rFonts w:hint="default" w:hAnsi="宋体" w:cs="宋体"/>
        </w:rPr>
      </w:pPr>
      <w:r>
        <w:rPr>
          <w:rFonts w:hAnsi="宋体" w:cs="宋体"/>
        </w:rPr>
        <w:t>6.“▲”系指实质性要求条款。</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（三）采购方式</w:t>
      </w:r>
    </w:p>
    <w:p>
      <w:pPr>
        <w:pStyle w:val="25"/>
        <w:snapToGrid w:val="0"/>
        <w:spacing w:beforeLines="0" w:afterLines="0" w:line="360" w:lineRule="auto"/>
        <w:ind w:firstLine="420" w:firstLineChars="200"/>
        <w:rPr>
          <w:rFonts w:hint="default" w:hAnsi="宋体" w:cs="宋体"/>
        </w:rPr>
      </w:pPr>
      <w:r>
        <w:rPr>
          <w:rFonts w:hAnsi="宋体" w:cs="宋体"/>
        </w:rPr>
        <w:t>本次采购采用竞争性磋商方式进行。</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（四）磋商委托</w:t>
      </w:r>
    </w:p>
    <w:p>
      <w:pPr>
        <w:pStyle w:val="25"/>
        <w:snapToGrid w:val="0"/>
        <w:spacing w:beforeLines="0" w:afterLines="0" w:line="360" w:lineRule="auto"/>
        <w:ind w:firstLine="420" w:firstLineChars="200"/>
        <w:rPr>
          <w:rFonts w:hint="default" w:hAnsi="宋体" w:cs="宋体"/>
        </w:rPr>
      </w:pPr>
      <w:r>
        <w:rPr>
          <w:rFonts w:hAnsi="宋体" w:cs="宋体"/>
        </w:rPr>
        <w:t>供应商代表须携带有效身份证件。如供应商代表不是法定代表人，须有法定代表人出具的授权委托书（响应文件正本用原件，副本可用复印件，格式见第六章）。</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（五）磋商费用</w:t>
      </w:r>
    </w:p>
    <w:p>
      <w:pPr>
        <w:pStyle w:val="25"/>
        <w:snapToGrid w:val="0"/>
        <w:spacing w:beforeLines="0" w:afterLines="0" w:line="360" w:lineRule="auto"/>
        <w:ind w:firstLine="420" w:firstLineChars="200"/>
        <w:rPr>
          <w:rFonts w:hint="default" w:hAnsi="宋体" w:cs="宋体"/>
        </w:rPr>
      </w:pPr>
      <w:r>
        <w:rPr>
          <w:rFonts w:hAnsi="宋体" w:cs="宋体"/>
        </w:rPr>
        <w:t>不论采购结果如何，供应商均应自行承担所有与采购有关的全部费用。</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（六）联合体磋商</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本项目不接受联合体参加磋商。</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（七）转包与分包</w:t>
      </w:r>
    </w:p>
    <w:p>
      <w:pPr>
        <w:pStyle w:val="25"/>
        <w:snapToGrid w:val="0"/>
        <w:spacing w:beforeLines="0" w:afterLines="0" w:line="360" w:lineRule="auto"/>
        <w:ind w:firstLine="420" w:firstLineChars="200"/>
        <w:rPr>
          <w:rFonts w:hint="default" w:hAnsi="宋体" w:cs="宋体"/>
          <w:bCs/>
        </w:rPr>
      </w:pPr>
      <w:r>
        <w:rPr>
          <w:rFonts w:hAnsi="宋体" w:cs="宋体"/>
          <w:bCs/>
        </w:rPr>
        <w:t>本项目不允许转包、分包。</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（八）特别说明：</w:t>
      </w:r>
    </w:p>
    <w:p>
      <w:pPr>
        <w:pStyle w:val="25"/>
        <w:snapToGrid w:val="0"/>
        <w:spacing w:beforeLines="0" w:afterLines="0" w:line="360" w:lineRule="auto"/>
        <w:ind w:firstLine="420" w:firstLineChars="200"/>
        <w:rPr>
          <w:rFonts w:hint="default" w:hAnsi="宋体" w:cs="宋体"/>
        </w:rPr>
      </w:pPr>
      <w:r>
        <w:rPr>
          <w:rFonts w:hAnsi="宋体" w:cs="宋体"/>
        </w:rPr>
        <w:t>▲1.供应商磋商所使用的资格、信誉、荣誉、业绩与企业认证必须为本单位所拥有。</w:t>
      </w:r>
    </w:p>
    <w:p>
      <w:pPr>
        <w:pStyle w:val="25"/>
        <w:snapToGrid w:val="0"/>
        <w:spacing w:beforeLines="0" w:afterLines="0" w:line="360" w:lineRule="auto"/>
        <w:ind w:firstLine="420" w:firstLineChars="200"/>
        <w:rPr>
          <w:rFonts w:hint="default" w:hAnsi="宋体" w:cs="宋体"/>
        </w:rPr>
      </w:pPr>
      <w:r>
        <w:rPr>
          <w:rFonts w:hAnsi="宋体" w:cs="宋体"/>
        </w:rPr>
        <w:t>▲2.供应商应仔细阅读磋商文件的所有内容，按照磋商文件的要求提交响应文件，并对所提供的全部资料的真实性承担法律责任。</w:t>
      </w:r>
    </w:p>
    <w:p>
      <w:pPr>
        <w:pStyle w:val="25"/>
        <w:snapToGrid w:val="0"/>
        <w:spacing w:beforeLines="0" w:afterLines="0" w:line="360" w:lineRule="auto"/>
        <w:ind w:firstLine="420" w:firstLineChars="200"/>
        <w:rPr>
          <w:rFonts w:hint="default" w:hAnsi="宋体" w:cs="宋体"/>
        </w:rPr>
      </w:pPr>
      <w:r>
        <w:rPr>
          <w:rFonts w:hAnsi="宋体" w:cs="宋体"/>
        </w:rPr>
        <w:t>▲3.供应商在采购活动中提供任何虚假材料,其响应文件无效，并报监管部门查处。</w:t>
      </w:r>
    </w:p>
    <w:p>
      <w:pPr>
        <w:pStyle w:val="25"/>
        <w:snapToGrid w:val="0"/>
        <w:spacing w:beforeLines="0" w:afterLines="0" w:line="360" w:lineRule="auto"/>
        <w:ind w:firstLine="420" w:firstLineChars="200"/>
        <w:rPr>
          <w:rFonts w:hint="default" w:hAnsi="宋体" w:cs="宋体"/>
        </w:rPr>
      </w:pPr>
      <w:r>
        <w:rPr>
          <w:rFonts w:hAnsi="宋体" w:cs="宋体"/>
        </w:rPr>
        <w:t>▲4.提供相同品牌产品且通过资格审查、符合性审查的不同供应商参加同一合同项下磋商的，按一家供应商计算。</w:t>
      </w:r>
    </w:p>
    <w:p>
      <w:pPr>
        <w:pStyle w:val="25"/>
        <w:snapToGrid w:val="0"/>
        <w:spacing w:beforeLines="0" w:afterLines="0" w:line="360" w:lineRule="auto"/>
        <w:ind w:firstLine="420" w:firstLineChars="200"/>
        <w:rPr>
          <w:rFonts w:hint="default" w:hAnsi="宋体" w:cs="宋体"/>
        </w:rPr>
      </w:pPr>
      <w:r>
        <w:rPr>
          <w:rFonts w:hAnsi="宋体" w:cs="宋体"/>
        </w:rPr>
        <w:t>▲5.使用综合评分法的采购项目，提供相同品牌产品且通过资格审查、符合性审查的不同供应商参加同一合同项下磋商的，按一家供应商计算，评审后得分最高的同品牌供应商获得成交人推荐资格；评审得分相同的，由采购人或者采购人委托评标委员会按照磋商文件规定的方式确定一个供应商获得成交人推荐资格，磋商文件未规定的采取随机抽取方式确定，其他同品牌供应商不作为成交候选人。</w:t>
      </w:r>
    </w:p>
    <w:p>
      <w:pPr>
        <w:pStyle w:val="25"/>
        <w:snapToGrid w:val="0"/>
        <w:spacing w:beforeLines="0" w:afterLines="0" w:line="360" w:lineRule="auto"/>
        <w:ind w:firstLine="420" w:firstLineChars="200"/>
        <w:rPr>
          <w:rFonts w:hint="default" w:hAnsi="宋体" w:cs="宋体"/>
        </w:rPr>
      </w:pPr>
      <w:r>
        <w:rPr>
          <w:rFonts w:hAnsi="宋体" w:cs="宋体"/>
        </w:rPr>
        <w:t>▲6.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pPr>
        <w:pStyle w:val="25"/>
        <w:snapToGrid w:val="0"/>
        <w:spacing w:beforeLines="0" w:afterLines="0" w:line="360" w:lineRule="auto"/>
        <w:ind w:firstLine="420" w:firstLineChars="200"/>
        <w:rPr>
          <w:rFonts w:hint="default" w:hAnsi="宋体" w:cs="宋体"/>
        </w:rPr>
      </w:pPr>
      <w:r>
        <w:rPr>
          <w:rFonts w:hAnsi="宋体" w:cs="宋体"/>
        </w:rPr>
        <w:t>▲7.非单一产品采购项目，采购人应当根据采购项目技术构成、产品价格比重等合理确定核心产品，并在磋商文件中载明。多家供应商提供的核心产品品牌相同的，按前述规定处理。</w:t>
      </w:r>
    </w:p>
    <w:p>
      <w:pPr>
        <w:pStyle w:val="25"/>
        <w:snapToGrid w:val="0"/>
        <w:spacing w:beforeLines="0" w:afterLines="0" w:line="360" w:lineRule="auto"/>
        <w:ind w:firstLine="420" w:firstLineChars="200"/>
        <w:rPr>
          <w:rFonts w:hint="default" w:hAnsi="宋体" w:cs="宋体"/>
        </w:rPr>
      </w:pPr>
      <w:r>
        <w:rPr>
          <w:rFonts w:hAnsi="宋体" w:cs="宋体"/>
        </w:rPr>
        <w:t>▲8.2家以上的供应商不得在同一合同项下的采购项目中，同时委托同一个自然人、同一家庭的人员、同一单位的人员作为其代理人，否则，其磋商响应文件作为无效处理。</w:t>
      </w:r>
    </w:p>
    <w:p>
      <w:pPr>
        <w:pStyle w:val="25"/>
        <w:snapToGrid w:val="0"/>
        <w:spacing w:beforeLines="0" w:afterLines="0" w:line="360" w:lineRule="auto"/>
        <w:ind w:firstLine="420" w:firstLineChars="200"/>
        <w:rPr>
          <w:rFonts w:hint="default" w:hAnsi="宋体" w:cs="宋体"/>
        </w:rPr>
      </w:pPr>
      <w:r>
        <w:rPr>
          <w:rFonts w:hAnsi="宋体" w:cs="宋体"/>
        </w:rPr>
        <w:t>9.供应商在磋商活动中提供任何虚假材料,其磋商无效，并报监管部门查处。</w:t>
      </w:r>
    </w:p>
    <w:p>
      <w:pPr>
        <w:pStyle w:val="25"/>
        <w:snapToGrid w:val="0"/>
        <w:spacing w:beforeLines="0" w:afterLines="0" w:line="360" w:lineRule="auto"/>
        <w:ind w:firstLine="420" w:firstLineChars="200"/>
        <w:rPr>
          <w:rFonts w:hint="default" w:hAnsi="宋体" w:cs="宋体"/>
        </w:rPr>
      </w:pPr>
      <w:r>
        <w:rPr>
          <w:rFonts w:hAnsi="宋体" w:cs="宋体"/>
        </w:rPr>
        <w:t>10.关于知识产权</w:t>
      </w:r>
    </w:p>
    <w:p>
      <w:pPr>
        <w:pStyle w:val="25"/>
        <w:snapToGrid w:val="0"/>
        <w:spacing w:beforeLines="0" w:afterLines="0" w:line="360" w:lineRule="auto"/>
        <w:ind w:firstLine="420" w:firstLineChars="200"/>
        <w:rPr>
          <w:rFonts w:hint="default" w:hAnsi="宋体" w:cs="宋体"/>
        </w:rPr>
      </w:pPr>
      <w:r>
        <w:rPr>
          <w:rFonts w:hAnsi="宋体" w:cs="宋体"/>
        </w:rPr>
        <w:t>10.1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pPr>
        <w:pStyle w:val="25"/>
        <w:snapToGrid w:val="0"/>
        <w:spacing w:beforeLines="0" w:afterLines="0" w:line="360" w:lineRule="auto"/>
        <w:ind w:firstLine="420" w:firstLineChars="200"/>
        <w:rPr>
          <w:rFonts w:hint="default" w:hAnsi="宋体" w:cs="宋体"/>
        </w:rPr>
      </w:pPr>
      <w:r>
        <w:rPr>
          <w:rFonts w:hAnsi="宋体" w:cs="宋体"/>
        </w:rPr>
        <w:t>10.2、磋商报价应包含所有应向所有权人支付的专利权、商标权或其它知识产权的一切相关费用。</w:t>
      </w:r>
    </w:p>
    <w:p>
      <w:pPr>
        <w:pStyle w:val="25"/>
        <w:snapToGrid w:val="0"/>
        <w:spacing w:beforeLines="0" w:afterLines="0" w:line="360" w:lineRule="auto"/>
        <w:ind w:firstLine="420" w:firstLineChars="200"/>
        <w:rPr>
          <w:rFonts w:hint="default" w:hAnsi="宋体" w:cs="宋体"/>
        </w:rPr>
      </w:pPr>
      <w:r>
        <w:rPr>
          <w:rFonts w:hAnsi="宋体" w:cs="宋体"/>
        </w:rPr>
        <w:t>10.3、系统软件、通用软件必须是具有在中国境内的合法使用权或版权的正版软件，涉及到第三方提出侵权或知识产权的起诉及支付版税等费用由供应商承担所有责任及费用。</w:t>
      </w:r>
    </w:p>
    <w:p>
      <w:pPr>
        <w:pStyle w:val="25"/>
        <w:snapToGrid w:val="0"/>
        <w:spacing w:beforeLines="0" w:afterLines="0" w:line="360" w:lineRule="auto"/>
        <w:ind w:firstLine="420" w:firstLineChars="200"/>
        <w:rPr>
          <w:rFonts w:hint="default" w:hAnsi="宋体" w:cs="宋体"/>
        </w:rPr>
      </w:pPr>
      <w:r>
        <w:rPr>
          <w:rFonts w:hAnsi="宋体" w:cs="宋体"/>
        </w:rPr>
        <w:t>11.供应商的风险</w:t>
      </w:r>
    </w:p>
    <w:p>
      <w:pPr>
        <w:pStyle w:val="25"/>
        <w:snapToGrid w:val="0"/>
        <w:spacing w:beforeLines="0" w:afterLines="0" w:line="360" w:lineRule="auto"/>
        <w:ind w:firstLine="420" w:firstLineChars="200"/>
        <w:rPr>
          <w:rFonts w:hint="default" w:hAnsi="宋体" w:cs="宋体"/>
        </w:rPr>
      </w:pPr>
      <w:r>
        <w:rPr>
          <w:rFonts w:hAnsi="宋体" w:cs="宋体"/>
        </w:rPr>
        <w:t>11.1、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pPr>
        <w:pStyle w:val="25"/>
        <w:snapToGrid w:val="0"/>
        <w:spacing w:beforeLines="0" w:afterLines="0" w:line="360" w:lineRule="auto"/>
        <w:ind w:firstLine="420" w:firstLineChars="200"/>
        <w:rPr>
          <w:rFonts w:hint="default" w:hAnsi="宋体" w:cs="宋体"/>
        </w:rPr>
      </w:pPr>
      <w:r>
        <w:rPr>
          <w:rFonts w:hAnsi="宋体" w:cs="宋体"/>
        </w:rPr>
        <w:t>11.2、无论因何种原因导致本次采购活动终止致供应商损失的，相关责任人均不承担任何责任。</w:t>
      </w:r>
    </w:p>
    <w:p>
      <w:pPr>
        <w:pStyle w:val="25"/>
        <w:spacing w:before="120" w:after="120" w:line="348" w:lineRule="auto"/>
        <w:ind w:firstLine="422" w:firstLineChars="200"/>
        <w:rPr>
          <w:rFonts w:hint="default" w:hAnsi="宋体" w:cs="宋体"/>
          <w:b/>
          <w:color w:val="000000"/>
        </w:rPr>
      </w:pPr>
      <w:r>
        <w:rPr>
          <w:rFonts w:hAnsi="宋体" w:cs="宋体"/>
          <w:b/>
          <w:szCs w:val="21"/>
        </w:rPr>
        <w:t>（九）</w:t>
      </w:r>
      <w:r>
        <w:rPr>
          <w:rFonts w:hAnsi="宋体" w:cs="宋体"/>
          <w:b/>
          <w:color w:val="000000"/>
        </w:rPr>
        <w:t>关于分公司参加磋商</w:t>
      </w:r>
    </w:p>
    <w:p>
      <w:pPr>
        <w:pStyle w:val="25"/>
        <w:spacing w:before="120" w:after="120" w:line="348" w:lineRule="auto"/>
        <w:ind w:firstLine="420" w:firstLineChars="200"/>
        <w:rPr>
          <w:rFonts w:hint="default" w:hAnsi="宋体" w:cs="宋体"/>
          <w:color w:val="000000"/>
        </w:rPr>
      </w:pPr>
      <w:r>
        <w:rPr>
          <w:rFonts w:hAnsi="宋体" w:cs="宋体"/>
          <w:color w:val="000000"/>
        </w:rPr>
        <w:t xml:space="preserve">除银行、保险、石油石化、电力、电信、移动、联通等行业允许分公司参加磋商外，其余法人的分支机构不允许参加磋商；分公司参加磋商的，分公司负责人签署的相关磋商资料与本采购文件规定由法定代表人签署的文件材料具有同等效力。 </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（十）质疑和投诉</w:t>
      </w:r>
    </w:p>
    <w:p>
      <w:pPr>
        <w:widowControl/>
        <w:spacing w:line="360" w:lineRule="auto"/>
        <w:ind w:firstLine="480"/>
        <w:jc w:val="left"/>
        <w:rPr>
          <w:rFonts w:ascii="宋体" w:hAnsi="宋体" w:cs="宋体"/>
          <w:szCs w:val="21"/>
        </w:rPr>
      </w:pPr>
      <w:r>
        <w:rPr>
          <w:rFonts w:hint="eastAsia" w:ascii="宋体" w:hAnsi="宋体" w:cs="宋体"/>
          <w:szCs w:val="21"/>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w:t>
      </w:r>
    </w:p>
    <w:p>
      <w:pPr>
        <w:widowControl/>
        <w:spacing w:line="360" w:lineRule="auto"/>
        <w:ind w:firstLine="480"/>
        <w:jc w:val="left"/>
        <w:rPr>
          <w:rFonts w:ascii="宋体" w:hAnsi="宋体" w:cs="宋体"/>
          <w:szCs w:val="21"/>
        </w:rPr>
      </w:pPr>
      <w:r>
        <w:rPr>
          <w:rFonts w:hint="eastAsia" w:ascii="宋体" w:hAnsi="宋体" w:cs="宋体"/>
          <w:szCs w:val="21"/>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pPr>
        <w:widowControl/>
        <w:spacing w:line="360" w:lineRule="auto"/>
        <w:ind w:firstLine="480"/>
        <w:jc w:val="left"/>
        <w:rPr>
          <w:rFonts w:ascii="宋体" w:hAnsi="宋体" w:cs="宋体"/>
          <w:szCs w:val="21"/>
        </w:rPr>
      </w:pPr>
      <w:r>
        <w:rPr>
          <w:rFonts w:hint="eastAsia" w:ascii="宋体" w:hAnsi="宋体" w:cs="宋体"/>
          <w:szCs w:val="21"/>
        </w:rPr>
        <w:t>3.供应商提出质疑应当提交质疑函和必要的证明材料，质疑函应当面以书面形式提出，质疑函格式和内容须符合财政部《质疑函范本》要求，供应商可到中国政府采购网自行下载财政部《质疑函范本》。</w:t>
      </w:r>
    </w:p>
    <w:p>
      <w:pPr>
        <w:widowControl/>
        <w:spacing w:line="360" w:lineRule="auto"/>
        <w:ind w:firstLine="480"/>
        <w:jc w:val="left"/>
        <w:rPr>
          <w:rFonts w:ascii="宋体" w:hAnsi="宋体" w:cs="宋体"/>
          <w:szCs w:val="21"/>
        </w:rPr>
      </w:pPr>
      <w:r>
        <w:rPr>
          <w:rFonts w:hint="eastAsia" w:ascii="宋体" w:hAnsi="宋体" w:cs="宋体"/>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pPr>
        <w:widowControl/>
        <w:spacing w:line="360" w:lineRule="auto"/>
        <w:ind w:firstLine="480"/>
        <w:jc w:val="left"/>
        <w:rPr>
          <w:rFonts w:ascii="宋体" w:hAnsi="宋体" w:cs="宋体"/>
          <w:szCs w:val="21"/>
        </w:rPr>
      </w:pPr>
      <w:r>
        <w:rPr>
          <w:rFonts w:hint="eastAsia" w:ascii="宋体" w:hAnsi="宋体" w:cs="宋体"/>
          <w:szCs w:val="21"/>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pPr>
        <w:pStyle w:val="25"/>
        <w:snapToGrid w:val="0"/>
        <w:spacing w:beforeLines="0" w:afterLines="0" w:line="360" w:lineRule="auto"/>
        <w:ind w:firstLine="420" w:firstLineChars="200"/>
        <w:rPr>
          <w:rFonts w:hint="default" w:hAnsi="宋体" w:cs="宋体"/>
        </w:rPr>
      </w:pPr>
      <w:r>
        <w:rPr>
          <w:rFonts w:hAnsi="宋体" w:cs="宋体"/>
        </w:rPr>
        <w:t>6.供应商未按磋商公告要求依法获取磋商文件的，采购代理机构及采购人不予接收其针对本项目提出的任何质疑及投诉。</w:t>
      </w:r>
    </w:p>
    <w:p>
      <w:pPr>
        <w:pStyle w:val="46"/>
      </w:pP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二  磋商采购文件</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（一）磋商采购文件的构成。本磋商采购文件由以下部分组成：</w:t>
      </w:r>
    </w:p>
    <w:p>
      <w:pPr>
        <w:pStyle w:val="25"/>
        <w:snapToGrid w:val="0"/>
        <w:spacing w:beforeLines="0" w:afterLines="0" w:line="360" w:lineRule="auto"/>
        <w:ind w:firstLine="420" w:firstLineChars="200"/>
        <w:rPr>
          <w:rFonts w:hint="default" w:hAnsi="宋体" w:cs="宋体"/>
        </w:rPr>
      </w:pPr>
      <w:r>
        <w:rPr>
          <w:rFonts w:hAnsi="宋体" w:cs="宋体"/>
        </w:rPr>
        <w:t>1.磋商公告</w:t>
      </w:r>
    </w:p>
    <w:p>
      <w:pPr>
        <w:pStyle w:val="25"/>
        <w:snapToGrid w:val="0"/>
        <w:spacing w:beforeLines="0" w:afterLines="0" w:line="360" w:lineRule="auto"/>
        <w:ind w:firstLine="420" w:firstLineChars="200"/>
        <w:rPr>
          <w:rFonts w:hint="default" w:hAnsi="宋体" w:cs="宋体"/>
        </w:rPr>
      </w:pPr>
      <w:r>
        <w:rPr>
          <w:rFonts w:hAnsi="宋体" w:cs="宋体"/>
        </w:rPr>
        <w:t>2.采购需求</w:t>
      </w:r>
    </w:p>
    <w:p>
      <w:pPr>
        <w:pStyle w:val="25"/>
        <w:snapToGrid w:val="0"/>
        <w:spacing w:beforeLines="0" w:afterLines="0" w:line="360" w:lineRule="auto"/>
        <w:ind w:firstLine="420" w:firstLineChars="200"/>
        <w:rPr>
          <w:rFonts w:hint="default" w:hAnsi="宋体" w:cs="宋体"/>
        </w:rPr>
      </w:pPr>
      <w:r>
        <w:rPr>
          <w:rFonts w:hAnsi="宋体" w:cs="宋体"/>
        </w:rPr>
        <w:t>3.供应商须知</w:t>
      </w:r>
    </w:p>
    <w:p>
      <w:pPr>
        <w:pStyle w:val="25"/>
        <w:snapToGrid w:val="0"/>
        <w:spacing w:beforeLines="0" w:afterLines="0" w:line="360" w:lineRule="auto"/>
        <w:ind w:firstLine="420" w:firstLineChars="200"/>
        <w:rPr>
          <w:rFonts w:hint="default" w:hAnsi="宋体" w:cs="宋体"/>
        </w:rPr>
      </w:pPr>
      <w:r>
        <w:rPr>
          <w:rFonts w:hAnsi="宋体" w:cs="宋体"/>
        </w:rPr>
        <w:t>4.评审办法及标准</w:t>
      </w:r>
    </w:p>
    <w:p>
      <w:pPr>
        <w:pStyle w:val="25"/>
        <w:snapToGrid w:val="0"/>
        <w:spacing w:beforeLines="0" w:afterLines="0" w:line="360" w:lineRule="auto"/>
        <w:ind w:firstLine="420" w:firstLineChars="200"/>
        <w:rPr>
          <w:rFonts w:hint="default" w:hAnsi="宋体" w:cs="宋体"/>
        </w:rPr>
      </w:pPr>
      <w:r>
        <w:rPr>
          <w:rFonts w:hAnsi="宋体" w:cs="宋体"/>
        </w:rPr>
        <w:t>5.合同主要条款</w:t>
      </w:r>
    </w:p>
    <w:p>
      <w:pPr>
        <w:pStyle w:val="25"/>
        <w:snapToGrid w:val="0"/>
        <w:spacing w:beforeLines="0" w:afterLines="0" w:line="360" w:lineRule="auto"/>
        <w:ind w:firstLine="420" w:firstLineChars="200"/>
        <w:rPr>
          <w:rFonts w:hint="default" w:hAnsi="宋体" w:cs="宋体"/>
        </w:rPr>
      </w:pPr>
      <w:r>
        <w:rPr>
          <w:rFonts w:hAnsi="宋体" w:cs="宋体"/>
        </w:rPr>
        <w:t>6.响应文件格式</w:t>
      </w:r>
    </w:p>
    <w:p>
      <w:pPr>
        <w:pStyle w:val="25"/>
        <w:snapToGrid w:val="0"/>
        <w:spacing w:beforeLines="0" w:afterLines="0" w:line="360" w:lineRule="auto"/>
        <w:ind w:firstLine="420" w:firstLineChars="200"/>
        <w:rPr>
          <w:rFonts w:hint="default" w:hAnsi="宋体" w:cs="宋体"/>
        </w:rPr>
      </w:pPr>
      <w:r>
        <w:rPr>
          <w:rFonts w:hAnsi="宋体" w:cs="宋体"/>
        </w:rPr>
        <w:t>7.本项目磋商采购文件的澄清、答复、修改、补充的内容</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（二）供应商的风险</w:t>
      </w:r>
    </w:p>
    <w:p>
      <w:pPr>
        <w:pStyle w:val="25"/>
        <w:snapToGrid w:val="0"/>
        <w:spacing w:beforeLines="0" w:afterLines="0" w:line="360" w:lineRule="auto"/>
        <w:ind w:firstLine="420" w:firstLineChars="200"/>
        <w:rPr>
          <w:rFonts w:hint="default" w:hAnsi="宋体" w:cs="宋体"/>
        </w:rPr>
      </w:pPr>
      <w:r>
        <w:rPr>
          <w:rFonts w:hAnsi="宋体" w:cs="宋体"/>
        </w:rPr>
        <w:t>供应商没有按照磋商采购文件要求提</w:t>
      </w:r>
      <w:r>
        <w:rPr>
          <w:rFonts w:hAnsi="宋体" w:cs="宋体"/>
          <w:szCs w:val="21"/>
        </w:rPr>
        <w:t>供应商对采购人或采购代理机构的质疑答复不满意或者采购人或采购代理机构未在规定时间内作出答复的，可以在答复期满后十五个工作日内向同级采购监管部门投诉。同级采购监管部门联系方式：见本磋商采购文件第一章有关联系方式。</w:t>
      </w:r>
      <w:r>
        <w:rPr>
          <w:rFonts w:hAnsi="宋体" w:cs="宋体"/>
        </w:rPr>
        <w:t>供全部资料，或者供应商没有对磋商采购文件在各方面作出实质性响应是供应商的风险，并可能导致其响应文件被拒绝。</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 xml:space="preserve">（三）磋商采购文件的澄清与修改 </w:t>
      </w:r>
    </w:p>
    <w:p>
      <w:pPr>
        <w:pStyle w:val="25"/>
        <w:snapToGrid w:val="0"/>
        <w:spacing w:beforeLines="0" w:afterLines="0" w:line="360" w:lineRule="auto"/>
        <w:ind w:firstLine="420" w:firstLineChars="200"/>
        <w:rPr>
          <w:rFonts w:hint="default" w:hAnsi="宋体" w:cs="宋体"/>
        </w:rPr>
      </w:pPr>
      <w:r>
        <w:rPr>
          <w:rFonts w:hAnsi="宋体" w:cs="宋体"/>
        </w:rPr>
        <w:t>1.采购单位对已发出的磋商采购文件进行必要的澄清和修改时，将在递交首次响应文件截止时间前五日内，在采购信息发布网站上发布更正公告。不足五日的，采购单位将顺延提交首次响应文件截止时间。</w:t>
      </w:r>
    </w:p>
    <w:p>
      <w:pPr>
        <w:pStyle w:val="25"/>
        <w:snapToGrid w:val="0"/>
        <w:spacing w:beforeLines="0" w:afterLines="0" w:line="360" w:lineRule="auto"/>
        <w:ind w:firstLine="420" w:firstLineChars="200"/>
        <w:rPr>
          <w:rFonts w:hint="default" w:hAnsi="宋体" w:cs="宋体"/>
        </w:rPr>
      </w:pPr>
      <w:r>
        <w:rPr>
          <w:rFonts w:hAnsi="宋体" w:cs="宋体"/>
        </w:rPr>
        <w:t>2.更正公告为磋商文件的组成部分，一经在网站发布，视同已通知所有磋商文件的收受人，不再采用其它方式传达相关信息, 若因未能及时了解到上述网站上发布的相关信息而导致的一切后果自行承担。</w:t>
      </w:r>
    </w:p>
    <w:p>
      <w:pPr>
        <w:pStyle w:val="25"/>
        <w:snapToGrid w:val="0"/>
        <w:spacing w:beforeLines="0" w:afterLines="0" w:line="360" w:lineRule="auto"/>
        <w:ind w:firstLine="420" w:firstLineChars="200"/>
        <w:rPr>
          <w:rFonts w:hint="default" w:hAnsi="宋体" w:cs="宋体"/>
        </w:rPr>
      </w:pPr>
      <w:r>
        <w:rPr>
          <w:rFonts w:hAnsi="宋体" w:cs="宋体"/>
        </w:rPr>
        <w:t>3.如更正公告有重新发布电子磋商文件的，供应商应自行下载最新发布的电子磋商文件制作磋商响应文件。</w:t>
      </w:r>
    </w:p>
    <w:p>
      <w:pPr>
        <w:pStyle w:val="25"/>
        <w:snapToGrid w:val="0"/>
        <w:spacing w:beforeLines="0" w:afterLines="0" w:line="360" w:lineRule="auto"/>
        <w:ind w:firstLine="420" w:firstLineChars="200"/>
        <w:rPr>
          <w:rFonts w:hint="default" w:hAnsi="宋体" w:cs="宋体"/>
        </w:rPr>
      </w:pPr>
      <w:r>
        <w:rPr>
          <w:rFonts w:hAnsi="宋体" w:cs="宋体"/>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pPr>
        <w:pStyle w:val="25"/>
        <w:snapToGrid w:val="0"/>
        <w:spacing w:beforeLines="0" w:afterLines="0" w:line="360" w:lineRule="auto"/>
        <w:ind w:firstLine="420" w:firstLineChars="200"/>
        <w:rPr>
          <w:rFonts w:hint="default" w:hAnsi="宋体" w:cs="宋体"/>
        </w:rPr>
      </w:pPr>
      <w:r>
        <w:rPr>
          <w:rFonts w:hAnsi="宋体" w:cs="宋体"/>
        </w:rPr>
        <w:t>没有提出异议且又参与了该项目磋商的供应商将被视为完全认同磋商采购文件。</w:t>
      </w:r>
    </w:p>
    <w:p>
      <w:pPr>
        <w:pStyle w:val="14"/>
        <w:widowControl w:val="0"/>
        <w:tabs>
          <w:tab w:val="clear" w:pos="454"/>
        </w:tabs>
        <w:snapToGrid w:val="0"/>
        <w:spacing w:beforeLines="50" w:afterLines="0" w:line="360" w:lineRule="auto"/>
        <w:ind w:left="0" w:firstLine="413" w:firstLineChars="196"/>
        <w:rPr>
          <w:rFonts w:ascii="宋体" w:hAnsi="宋体" w:cs="宋体"/>
          <w:b/>
          <w:color w:val="000000"/>
          <w:sz w:val="21"/>
          <w:szCs w:val="21"/>
        </w:rPr>
      </w:pPr>
      <w:r>
        <w:rPr>
          <w:rFonts w:hint="eastAsia" w:ascii="宋体" w:hAnsi="宋体" w:cs="宋体"/>
          <w:b/>
          <w:color w:val="000000"/>
          <w:sz w:val="21"/>
          <w:szCs w:val="21"/>
        </w:rPr>
        <w:t>三、响应文件的编制</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（一）磋商响应文件的形式和效力</w:t>
      </w:r>
    </w:p>
    <w:p>
      <w:pPr>
        <w:pStyle w:val="25"/>
        <w:snapToGrid w:val="0"/>
        <w:spacing w:beforeLines="0" w:afterLines="0" w:line="360" w:lineRule="auto"/>
        <w:ind w:firstLine="420" w:firstLineChars="200"/>
        <w:rPr>
          <w:rFonts w:hint="default" w:hAnsi="宋体" w:cs="宋体"/>
          <w:szCs w:val="21"/>
        </w:rPr>
      </w:pPr>
      <w:r>
        <w:rPr>
          <w:rFonts w:hAnsi="宋体" w:cs="宋体"/>
          <w:szCs w:val="21"/>
        </w:rPr>
        <w:t>1.磋商响应文件分为：“电子加密磋商响应文件”、“电子备份磋商响应文件”。</w:t>
      </w:r>
    </w:p>
    <w:p>
      <w:pPr>
        <w:pStyle w:val="25"/>
        <w:snapToGrid w:val="0"/>
        <w:spacing w:beforeLines="0" w:afterLines="0" w:line="360" w:lineRule="auto"/>
        <w:ind w:firstLine="420" w:firstLineChars="200"/>
        <w:rPr>
          <w:rFonts w:hint="default" w:hAnsi="宋体" w:cs="宋体"/>
          <w:szCs w:val="21"/>
        </w:rPr>
      </w:pPr>
      <w:r>
        <w:rPr>
          <w:rFonts w:hAnsi="宋体" w:cs="宋体"/>
          <w:szCs w:val="21"/>
        </w:rPr>
        <w:t>2.“电子加密磋商响应文件”是指通过“政采云电子交易客户端”完成磋商响应文件编制后生成并加密的数据电文形式的磋商响应文件（文件后缀为：jmbs）。</w:t>
      </w:r>
    </w:p>
    <w:p>
      <w:pPr>
        <w:pStyle w:val="25"/>
        <w:snapToGrid w:val="0"/>
        <w:spacing w:beforeLines="0" w:afterLines="0" w:line="360" w:lineRule="auto"/>
        <w:ind w:firstLine="420" w:firstLineChars="200"/>
        <w:rPr>
          <w:rFonts w:hint="default" w:hAnsi="宋体" w:cs="宋体"/>
          <w:szCs w:val="21"/>
        </w:rPr>
      </w:pPr>
      <w:r>
        <w:rPr>
          <w:rFonts w:hAnsi="宋体" w:cs="宋体"/>
          <w:szCs w:val="21"/>
        </w:rPr>
        <w:t>3.“电子备份磋商响应文件”是指与“电子加密磋商响应文件”同时生成的数据电文形式的电子文件，文件后缀为：bfbs（备份标书），其他方式编制的“电子备份磋商响应文件”视为无效备份磋商响应文件。</w:t>
      </w:r>
    </w:p>
    <w:p>
      <w:pPr>
        <w:pStyle w:val="25"/>
        <w:snapToGrid w:val="0"/>
        <w:spacing w:beforeLines="0" w:afterLines="0" w:line="360" w:lineRule="auto"/>
        <w:ind w:firstLine="420" w:firstLineChars="200"/>
        <w:rPr>
          <w:rFonts w:hint="default" w:hAnsi="宋体" w:cs="宋体"/>
          <w:szCs w:val="21"/>
        </w:rPr>
      </w:pPr>
      <w:r>
        <w:rPr>
          <w:rFonts w:hAnsi="宋体" w:cs="宋体"/>
          <w:szCs w:val="21"/>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pPr>
        <w:pStyle w:val="25"/>
        <w:snapToGrid w:val="0"/>
        <w:spacing w:beforeLines="0" w:afterLines="0" w:line="360" w:lineRule="auto"/>
        <w:ind w:firstLine="420" w:firstLineChars="200"/>
        <w:rPr>
          <w:rFonts w:hint="default" w:hAnsi="宋体" w:cs="宋体"/>
          <w:szCs w:val="21"/>
        </w:rPr>
      </w:pPr>
      <w:r>
        <w:rPr>
          <w:rFonts w:hAnsi="宋体" w:cs="宋体"/>
          <w:szCs w:val="21"/>
        </w:rPr>
        <w:t>6.当“政府采购云平台”无法正常运行，或者无法保证在线电子磋商的公平、公正和安全时或发生下列其他情况的，采购组织机构可中止电子交易活动。</w:t>
      </w:r>
    </w:p>
    <w:p>
      <w:pPr>
        <w:pStyle w:val="25"/>
        <w:snapToGrid w:val="0"/>
        <w:spacing w:beforeLines="0" w:afterLines="0" w:line="360" w:lineRule="auto"/>
        <w:ind w:firstLine="420" w:firstLineChars="200"/>
        <w:rPr>
          <w:rFonts w:hint="default" w:hAnsi="宋体" w:cs="宋体"/>
          <w:szCs w:val="21"/>
        </w:rPr>
      </w:pPr>
      <w:r>
        <w:rPr>
          <w:rFonts w:hAnsi="宋体" w:cs="宋体"/>
          <w:szCs w:val="21"/>
        </w:rPr>
        <w:t xml:space="preserve">A.“政府采购云平台”发生故障而无法登录访问的； </w:t>
      </w:r>
    </w:p>
    <w:p>
      <w:pPr>
        <w:pStyle w:val="25"/>
        <w:snapToGrid w:val="0"/>
        <w:spacing w:beforeLines="0" w:afterLines="0" w:line="360" w:lineRule="auto"/>
        <w:ind w:firstLine="420" w:firstLineChars="200"/>
        <w:rPr>
          <w:rFonts w:hint="default" w:hAnsi="宋体" w:cs="宋体"/>
          <w:szCs w:val="21"/>
        </w:rPr>
      </w:pPr>
      <w:r>
        <w:rPr>
          <w:rFonts w:hAnsi="宋体" w:cs="宋体"/>
          <w:szCs w:val="21"/>
        </w:rPr>
        <w:t>B.“政府采购云平台”应用或数据库出现错误，不能进行正常操作的；</w:t>
      </w:r>
    </w:p>
    <w:p>
      <w:pPr>
        <w:pStyle w:val="25"/>
        <w:snapToGrid w:val="0"/>
        <w:spacing w:beforeLines="0" w:afterLines="0" w:line="360" w:lineRule="auto"/>
        <w:ind w:firstLine="420" w:firstLineChars="200"/>
        <w:rPr>
          <w:rFonts w:hint="default" w:hAnsi="宋体" w:cs="宋体"/>
          <w:szCs w:val="21"/>
        </w:rPr>
      </w:pPr>
      <w:r>
        <w:rPr>
          <w:rFonts w:hAnsi="宋体" w:cs="宋体"/>
          <w:szCs w:val="21"/>
        </w:rPr>
        <w:t>C.“政府采购云平台”发现严重安全漏洞，有潜在泄密危险的；</w:t>
      </w:r>
    </w:p>
    <w:p>
      <w:pPr>
        <w:pStyle w:val="25"/>
        <w:snapToGrid w:val="0"/>
        <w:spacing w:beforeLines="0" w:afterLines="0" w:line="360" w:lineRule="auto"/>
        <w:ind w:firstLine="420" w:firstLineChars="200"/>
        <w:rPr>
          <w:rFonts w:hint="default" w:hAnsi="宋体" w:cs="宋体"/>
          <w:szCs w:val="21"/>
        </w:rPr>
      </w:pPr>
      <w:r>
        <w:rPr>
          <w:rFonts w:hAnsi="宋体" w:cs="宋体"/>
          <w:szCs w:val="21"/>
        </w:rPr>
        <w:t xml:space="preserve">D.病毒发作导致不能进行正常操作的； </w:t>
      </w:r>
    </w:p>
    <w:p>
      <w:pPr>
        <w:pStyle w:val="25"/>
        <w:snapToGrid w:val="0"/>
        <w:spacing w:beforeLines="0" w:afterLines="0" w:line="360" w:lineRule="auto"/>
        <w:ind w:firstLine="420" w:firstLineChars="200"/>
        <w:rPr>
          <w:rFonts w:hint="default" w:hAnsi="宋体" w:cs="宋体"/>
          <w:bCs/>
          <w:szCs w:val="21"/>
        </w:rPr>
      </w:pPr>
      <w:r>
        <w:rPr>
          <w:rFonts w:hAnsi="宋体" w:cs="宋体"/>
          <w:szCs w:val="21"/>
        </w:rPr>
        <w:t>E.其他无法保证电子交易的公平、公正和安全的情况</w:t>
      </w:r>
      <w:r>
        <w:rPr>
          <w:rFonts w:hAnsi="宋体" w:cs="宋体"/>
          <w:bCs/>
          <w:szCs w:val="21"/>
        </w:rPr>
        <w:t>。</w:t>
      </w:r>
    </w:p>
    <w:p>
      <w:pPr>
        <w:pStyle w:val="14"/>
        <w:widowControl w:val="0"/>
        <w:tabs>
          <w:tab w:val="clear" w:pos="454"/>
        </w:tabs>
        <w:snapToGrid w:val="0"/>
        <w:spacing w:beforeLines="50" w:afterLines="0" w:line="360" w:lineRule="auto"/>
        <w:ind w:left="0" w:firstLine="411" w:firstLineChars="196"/>
        <w:rPr>
          <w:rFonts w:hAnsi="宋体" w:cs="宋体"/>
          <w:sz w:val="21"/>
          <w:szCs w:val="21"/>
        </w:rPr>
      </w:pPr>
      <w:r>
        <w:rPr>
          <w:rFonts w:hAnsi="宋体" w:cs="宋体"/>
          <w:sz w:val="21"/>
          <w:szCs w:val="21"/>
        </w:rPr>
        <w:t>出现前款规定情形，不影响采购公平、公正性的，采购组织机构可以待上述情形</w:t>
      </w:r>
      <w:r>
        <w:rPr>
          <w:rFonts w:hint="eastAsia" w:hAnsi="宋体" w:cs="宋体"/>
          <w:sz w:val="21"/>
          <w:szCs w:val="21"/>
        </w:rPr>
        <w:t>。</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（二）响应文件的组成</w:t>
      </w:r>
    </w:p>
    <w:p>
      <w:pPr>
        <w:tabs>
          <w:tab w:val="left" w:pos="518"/>
        </w:tabs>
        <w:spacing w:line="360" w:lineRule="auto"/>
        <w:ind w:firstLine="421"/>
        <w:rPr>
          <w:rFonts w:ascii="宋体" w:hAnsi="宋体" w:cs="宋体"/>
          <w:b/>
          <w:szCs w:val="21"/>
        </w:rPr>
      </w:pPr>
      <w:r>
        <w:rPr>
          <w:rFonts w:hint="eastAsia" w:ascii="宋体" w:hAnsi="宋体" w:cs="宋体"/>
          <w:b/>
          <w:bCs/>
          <w:szCs w:val="21"/>
        </w:rPr>
        <w:t>响应文件</w:t>
      </w:r>
      <w:r>
        <w:rPr>
          <w:rFonts w:hint="eastAsia" w:ascii="宋体" w:hAnsi="宋体" w:cs="宋体"/>
          <w:b/>
          <w:bCs/>
        </w:rPr>
        <w:t>由资格审查文件、资信技术文件和报价文件三部分组成，电子响应文件中所须加盖公章部分均采用CA签章。</w:t>
      </w:r>
    </w:p>
    <w:p>
      <w:pPr>
        <w:snapToGrid w:val="0"/>
        <w:spacing w:line="360" w:lineRule="auto"/>
        <w:ind w:firstLine="422" w:firstLineChars="200"/>
        <w:jc w:val="left"/>
        <w:rPr>
          <w:rFonts w:ascii="宋体" w:hAnsi="宋体" w:cs="宋体"/>
          <w:szCs w:val="21"/>
        </w:rPr>
      </w:pPr>
      <w:r>
        <w:rPr>
          <w:rFonts w:hint="eastAsia" w:ascii="宋体" w:hAnsi="宋体" w:cs="宋体"/>
          <w:b/>
          <w:szCs w:val="21"/>
        </w:rPr>
        <w:t>1、资格审核文件：</w:t>
      </w:r>
    </w:p>
    <w:p>
      <w:pPr>
        <w:snapToGrid w:val="0"/>
        <w:spacing w:line="360" w:lineRule="auto"/>
        <w:ind w:firstLine="420" w:firstLineChars="200"/>
        <w:jc w:val="left"/>
        <w:rPr>
          <w:rFonts w:ascii="宋体" w:hAnsi="宋体" w:cs="宋体"/>
          <w:szCs w:val="21"/>
        </w:rPr>
      </w:pPr>
      <w:r>
        <w:rPr>
          <w:rFonts w:hint="eastAsia" w:ascii="宋体" w:hAnsi="宋体" w:cs="宋体"/>
          <w:szCs w:val="21"/>
        </w:rPr>
        <w:t>1.1、资格条件自查表（格式附后）</w:t>
      </w:r>
    </w:p>
    <w:p>
      <w:pPr>
        <w:spacing w:line="360" w:lineRule="auto"/>
        <w:ind w:firstLine="420" w:firstLineChars="200"/>
        <w:rPr>
          <w:rFonts w:ascii="宋体" w:hAnsi="宋体" w:cs="宋体"/>
        </w:rPr>
      </w:pPr>
      <w:r>
        <w:rPr>
          <w:rFonts w:hint="eastAsia" w:ascii="宋体" w:hAnsi="宋体" w:cs="宋体"/>
          <w:szCs w:val="21"/>
        </w:rPr>
        <w:t>1</w:t>
      </w:r>
      <w:r>
        <w:rPr>
          <w:rFonts w:hint="eastAsia" w:ascii="宋体" w:hAnsi="宋体" w:cs="宋体"/>
        </w:rPr>
        <w:t>.2、有效的营业执照（或事业法人登记证）、其他组织（个体工商户）的营业执照或者民办非企业单位登记证书复印件并加盖公章，供应商如果有名称变更的，应提供由行政主管部门出具的变更证明文件；</w:t>
      </w:r>
    </w:p>
    <w:p>
      <w:pPr>
        <w:spacing w:line="360" w:lineRule="auto"/>
        <w:ind w:firstLine="420" w:firstLineChars="200"/>
        <w:rPr>
          <w:rFonts w:ascii="宋体" w:hAnsi="宋体" w:cs="宋体"/>
        </w:rPr>
      </w:pPr>
      <w:r>
        <w:rPr>
          <w:rFonts w:hint="eastAsia" w:ascii="宋体" w:hAnsi="宋体" w:cs="宋体"/>
        </w:rPr>
        <w:t>1.3、落实政府采购政策需满足的资格要求所对应的证明材料：本项目专门面向中小企业采购（监狱企业及残疾人福利性单位视同小型、微型企业）</w:t>
      </w:r>
    </w:p>
    <w:p>
      <w:pPr>
        <w:spacing w:line="360" w:lineRule="auto"/>
        <w:ind w:firstLine="420" w:firstLineChars="200"/>
        <w:rPr>
          <w:rFonts w:ascii="宋体" w:hAnsi="宋体" w:cs="宋体"/>
        </w:rPr>
      </w:pPr>
      <w:r>
        <w:rPr>
          <w:rFonts w:hint="eastAsia" w:ascii="宋体" w:hAnsi="宋体" w:cs="宋体"/>
        </w:rPr>
        <w:t>1.3.1、中小企业声明函（格式附后）；</w:t>
      </w:r>
    </w:p>
    <w:p>
      <w:pPr>
        <w:spacing w:line="360" w:lineRule="auto"/>
        <w:ind w:firstLine="420" w:firstLineChars="200"/>
        <w:rPr>
          <w:rFonts w:ascii="宋体" w:hAnsi="宋体" w:cs="宋体"/>
        </w:rPr>
      </w:pPr>
      <w:r>
        <w:rPr>
          <w:rFonts w:hint="eastAsia" w:ascii="宋体" w:hAnsi="宋体" w:cs="宋体"/>
        </w:rPr>
        <w:t>1.3.2、供应商为监狱企业的证明文件：省级以上监狱管理局、戒毒管理局（含新疆生产建设兵团）出具（如是，请提供）；</w:t>
      </w:r>
    </w:p>
    <w:p>
      <w:pPr>
        <w:spacing w:line="360" w:lineRule="auto"/>
        <w:ind w:firstLine="420" w:firstLineChars="200"/>
        <w:rPr>
          <w:rFonts w:ascii="宋体" w:hAnsi="宋体" w:cs="宋体"/>
        </w:rPr>
      </w:pPr>
      <w:r>
        <w:rPr>
          <w:rFonts w:hint="eastAsia" w:ascii="宋体" w:hAnsi="宋体" w:cs="宋体"/>
        </w:rPr>
        <w:t>1.3.3、残疾人福利性单位声明函（如是，请提供，格式附后）。</w:t>
      </w:r>
    </w:p>
    <w:p>
      <w:pPr>
        <w:spacing w:line="360" w:lineRule="auto"/>
        <w:ind w:firstLine="420" w:firstLineChars="200"/>
        <w:rPr>
          <w:rFonts w:ascii="宋体" w:hAnsi="宋体" w:cs="宋体"/>
        </w:rPr>
      </w:pPr>
      <w:r>
        <w:rPr>
          <w:rFonts w:hint="eastAsia" w:ascii="宋体" w:hAnsi="宋体" w:cs="宋体"/>
        </w:rPr>
        <w:t>1.4、磋商声明书（格式见附件）。</w:t>
      </w:r>
    </w:p>
    <w:p>
      <w:pPr>
        <w:spacing w:line="360" w:lineRule="auto"/>
        <w:ind w:firstLine="420" w:firstLineChars="200"/>
        <w:rPr>
          <w:rFonts w:ascii="宋体" w:hAnsi="宋体" w:cs="宋体"/>
        </w:rPr>
      </w:pPr>
      <w:r>
        <w:rPr>
          <w:rFonts w:hint="eastAsia" w:ascii="宋体" w:hAnsi="宋体" w:cs="宋体"/>
        </w:rPr>
        <w:t>1.5、人力资源服务许可证复印件并加盖公章。</w:t>
      </w:r>
    </w:p>
    <w:p>
      <w:pPr>
        <w:widowControl/>
        <w:spacing w:line="360" w:lineRule="auto"/>
        <w:ind w:firstLine="420" w:firstLineChars="200"/>
        <w:jc w:val="left"/>
        <w:rPr>
          <w:rFonts w:ascii="宋体" w:hAnsi="宋体" w:cs="宋体"/>
        </w:rPr>
      </w:pPr>
    </w:p>
    <w:p>
      <w:pPr>
        <w:spacing w:line="360" w:lineRule="auto"/>
        <w:ind w:firstLine="422" w:firstLineChars="200"/>
        <w:rPr>
          <w:rFonts w:ascii="宋体" w:hAnsi="宋体" w:cs="宋体"/>
        </w:rPr>
      </w:pPr>
      <w:r>
        <w:rPr>
          <w:rFonts w:hint="eastAsia" w:ascii="宋体" w:hAnsi="宋体" w:cs="宋体"/>
          <w:b/>
          <w:szCs w:val="21"/>
        </w:rPr>
        <w:t xml:space="preserve">2、资信技术文件   </w:t>
      </w:r>
      <w:r>
        <w:rPr>
          <w:rFonts w:hint="eastAsia" w:ascii="宋体" w:hAnsi="宋体" w:cs="宋体"/>
        </w:rPr>
        <w:t xml:space="preserve"> </w:t>
      </w:r>
    </w:p>
    <w:p>
      <w:pPr>
        <w:spacing w:line="360" w:lineRule="auto"/>
        <w:ind w:firstLine="420" w:firstLineChars="200"/>
        <w:rPr>
          <w:rFonts w:ascii="宋体" w:hAnsi="宋体" w:cs="宋体"/>
        </w:rPr>
      </w:pPr>
      <w:r>
        <w:rPr>
          <w:rFonts w:hint="eastAsia" w:ascii="宋体" w:hAnsi="宋体" w:cs="宋体"/>
        </w:rPr>
        <w:t>2.1、符合性自查表（格式附后）；</w:t>
      </w:r>
    </w:p>
    <w:p>
      <w:pPr>
        <w:spacing w:line="360" w:lineRule="auto"/>
        <w:ind w:firstLine="420" w:firstLineChars="200"/>
        <w:rPr>
          <w:rFonts w:ascii="宋体" w:hAnsi="宋体" w:cs="宋体"/>
        </w:rPr>
      </w:pPr>
      <w:r>
        <w:rPr>
          <w:rFonts w:hint="eastAsia" w:ascii="宋体" w:hAnsi="宋体" w:cs="宋体"/>
        </w:rPr>
        <w:t>2.2、项目供应商响应表（格式附后）；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2.3、供应商一般情况（格式附后）；</w:t>
      </w:r>
    </w:p>
    <w:p>
      <w:pPr>
        <w:snapToGrid w:val="0"/>
        <w:spacing w:line="360" w:lineRule="auto"/>
        <w:ind w:firstLine="420" w:firstLineChars="200"/>
        <w:jc w:val="left"/>
      </w:pPr>
      <w:r>
        <w:rPr>
          <w:rFonts w:hint="eastAsia" w:ascii="宋体" w:hAnsi="宋体" w:cs="宋体"/>
          <w:szCs w:val="21"/>
        </w:rPr>
        <w:t>2.4、法定代表人身份证明、法定代表人授权书和被授权代表身份证复印件（供应商代表为法定代表人的提供法定代表人身份证明，供应商的代表若为非法定代表人的，还须提交法定代表人授权书及被授权代表在提交首次磋商响应文件截止日前二个月内任一月）(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2.5、商务条款响应（偏离）表(格式附后)；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2.6、服务条款响应（偏离）表（格式附后）；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2.7、项目总体了解情况；</w:t>
      </w:r>
    </w:p>
    <w:p>
      <w:pPr>
        <w:snapToGrid w:val="0"/>
        <w:spacing w:line="360" w:lineRule="auto"/>
        <w:ind w:firstLine="420" w:firstLineChars="200"/>
        <w:jc w:val="left"/>
        <w:rPr>
          <w:rFonts w:ascii="宋体" w:hAnsi="宋体" w:cs="宋体"/>
          <w:szCs w:val="21"/>
        </w:rPr>
      </w:pPr>
      <w:r>
        <w:rPr>
          <w:rFonts w:hint="eastAsia" w:ascii="宋体" w:hAnsi="宋体" w:cs="宋体"/>
          <w:szCs w:val="21"/>
        </w:rPr>
        <w:t>2.8、</w:t>
      </w:r>
      <w:r>
        <w:rPr>
          <w:rFonts w:hint="eastAsia" w:ascii="宋体" w:hAnsi="宋体" w:cs="宋体"/>
          <w:szCs w:val="21"/>
          <w:lang w:val="zh-CN"/>
        </w:rPr>
        <w:t>报名审核</w:t>
      </w:r>
      <w:r>
        <w:rPr>
          <w:rFonts w:hint="eastAsia" w:ascii="宋体" w:hAnsi="宋体" w:cs="宋体"/>
          <w:szCs w:val="21"/>
        </w:rPr>
        <w:t>流程；</w:t>
      </w:r>
    </w:p>
    <w:p>
      <w:pPr>
        <w:snapToGrid w:val="0"/>
        <w:spacing w:line="360" w:lineRule="auto"/>
        <w:ind w:firstLine="420" w:firstLineChars="200"/>
        <w:jc w:val="left"/>
        <w:rPr>
          <w:rFonts w:ascii="宋体" w:hAnsi="宋体" w:cs="宋体"/>
          <w:szCs w:val="21"/>
        </w:rPr>
      </w:pPr>
      <w:r>
        <w:rPr>
          <w:rFonts w:hint="eastAsia" w:ascii="宋体" w:hAnsi="宋体" w:cs="宋体"/>
          <w:szCs w:val="21"/>
        </w:rPr>
        <w:t>2.9、</w:t>
      </w:r>
      <w:r>
        <w:rPr>
          <w:rFonts w:hint="eastAsia" w:ascii="宋体" w:hAnsi="宋体" w:cs="宋体"/>
          <w:szCs w:val="21"/>
          <w:lang w:val="zh-CN"/>
        </w:rPr>
        <w:t>笔试、面试</w:t>
      </w:r>
      <w:r>
        <w:rPr>
          <w:rFonts w:hint="eastAsia" w:ascii="宋体" w:hAnsi="宋体" w:cs="宋体"/>
          <w:szCs w:val="21"/>
        </w:rPr>
        <w:t>服务方案；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2.10、资格复审和体检服务方案；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2.11、录用及人员通知服务方案；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2.12、服务保障方案；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2.13、员工培训方案；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2.14、管理制度；</w:t>
      </w:r>
    </w:p>
    <w:p>
      <w:pPr>
        <w:snapToGrid w:val="0"/>
        <w:spacing w:line="360" w:lineRule="auto"/>
        <w:ind w:firstLine="420" w:firstLineChars="200"/>
        <w:jc w:val="left"/>
        <w:rPr>
          <w:rFonts w:ascii="宋体" w:hAnsi="宋体" w:cs="宋体"/>
          <w:szCs w:val="21"/>
        </w:rPr>
      </w:pPr>
      <w:r>
        <w:rPr>
          <w:rFonts w:hint="eastAsia" w:ascii="宋体" w:hAnsi="宋体" w:cs="宋体"/>
          <w:szCs w:val="21"/>
        </w:rPr>
        <w:t>2.15、管理系统先进性；</w:t>
      </w:r>
    </w:p>
    <w:p>
      <w:pPr>
        <w:snapToGrid w:val="0"/>
        <w:spacing w:line="360" w:lineRule="auto"/>
        <w:ind w:firstLine="420" w:firstLineChars="200"/>
        <w:jc w:val="left"/>
        <w:rPr>
          <w:rFonts w:ascii="宋体" w:hAnsi="宋体" w:cs="宋体"/>
          <w:szCs w:val="21"/>
        </w:rPr>
      </w:pPr>
      <w:r>
        <w:rPr>
          <w:rFonts w:hint="eastAsia" w:ascii="宋体" w:hAnsi="宋体" w:cs="宋体"/>
          <w:szCs w:val="21"/>
        </w:rPr>
        <w:t>2.16、突发事件应急预案；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2.17、疫情防控方案；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2.18、服务承诺；</w:t>
      </w:r>
    </w:p>
    <w:p>
      <w:pPr>
        <w:snapToGrid w:val="0"/>
        <w:spacing w:line="360" w:lineRule="auto"/>
        <w:ind w:firstLine="420" w:firstLineChars="200"/>
        <w:jc w:val="left"/>
        <w:rPr>
          <w:rFonts w:ascii="宋体" w:hAnsi="宋体" w:cs="宋体"/>
          <w:szCs w:val="21"/>
        </w:rPr>
      </w:pPr>
      <w:r>
        <w:rPr>
          <w:rFonts w:hint="eastAsia" w:ascii="宋体" w:hAnsi="宋体" w:cs="宋体"/>
          <w:szCs w:val="21"/>
        </w:rPr>
        <w:t>2.19、拟投入本项目的成员表（格式附后）；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2.20、同类项目业绩表（格式附后）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2.21、磋商文件评分标准中要求提供的所有资料；</w:t>
      </w:r>
    </w:p>
    <w:p>
      <w:pPr>
        <w:snapToGrid w:val="0"/>
        <w:spacing w:line="360" w:lineRule="auto"/>
        <w:ind w:firstLine="420" w:firstLineChars="200"/>
        <w:jc w:val="left"/>
        <w:rPr>
          <w:rFonts w:ascii="宋体" w:hAnsi="宋体" w:cs="宋体"/>
          <w:szCs w:val="21"/>
        </w:rPr>
      </w:pPr>
      <w:r>
        <w:rPr>
          <w:rFonts w:hint="eastAsia" w:ascii="宋体" w:hAnsi="宋体" w:cs="宋体"/>
          <w:szCs w:val="21"/>
        </w:rPr>
        <w:t>2.22、</w:t>
      </w:r>
      <w:r>
        <w:rPr>
          <w:rFonts w:hint="eastAsia" w:ascii="宋体" w:hAnsi="宋体" w:cs="宋体"/>
          <w:szCs w:val="21"/>
          <w:lang w:val="zh-CN"/>
        </w:rPr>
        <w:t>其它本磋商文件要求提供的</w:t>
      </w:r>
      <w:r>
        <w:rPr>
          <w:rFonts w:hint="eastAsia" w:ascii="宋体" w:hAnsi="宋体" w:cs="宋体"/>
          <w:szCs w:val="21"/>
        </w:rPr>
        <w:t>证明</w:t>
      </w:r>
      <w:r>
        <w:rPr>
          <w:rFonts w:hint="eastAsia" w:ascii="宋体" w:hAnsi="宋体" w:cs="宋体"/>
          <w:szCs w:val="21"/>
          <w:lang w:val="zh-CN"/>
        </w:rPr>
        <w:t>材料。</w:t>
      </w:r>
    </w:p>
    <w:p>
      <w:pPr>
        <w:snapToGrid w:val="0"/>
        <w:spacing w:line="360" w:lineRule="auto"/>
        <w:ind w:firstLine="413" w:firstLineChars="196"/>
        <w:jc w:val="left"/>
        <w:rPr>
          <w:rFonts w:ascii="宋体" w:hAnsi="宋体" w:cs="宋体"/>
          <w:b/>
          <w:bCs/>
          <w:szCs w:val="21"/>
        </w:rPr>
      </w:pPr>
    </w:p>
    <w:p>
      <w:pPr>
        <w:snapToGrid w:val="0"/>
        <w:spacing w:line="360" w:lineRule="auto"/>
        <w:ind w:firstLine="413" w:firstLineChars="196"/>
        <w:jc w:val="left"/>
        <w:rPr>
          <w:rFonts w:ascii="宋体" w:hAnsi="宋体" w:cs="宋体"/>
          <w:b/>
          <w:bCs/>
          <w:szCs w:val="21"/>
        </w:rPr>
      </w:pPr>
      <w:r>
        <w:rPr>
          <w:rFonts w:hint="eastAsia" w:ascii="宋体" w:hAnsi="宋体" w:cs="宋体"/>
          <w:b/>
          <w:bCs/>
          <w:szCs w:val="21"/>
        </w:rPr>
        <w:t>3.报价文件</w:t>
      </w:r>
    </w:p>
    <w:p>
      <w:pPr>
        <w:snapToGrid w:val="0"/>
        <w:spacing w:line="360" w:lineRule="auto"/>
        <w:ind w:firstLine="420" w:firstLineChars="200"/>
        <w:jc w:val="left"/>
        <w:rPr>
          <w:rFonts w:ascii="宋体" w:hAnsi="宋体" w:cs="宋体"/>
          <w:b/>
          <w:szCs w:val="21"/>
        </w:rPr>
      </w:pPr>
      <w:r>
        <w:rPr>
          <w:rFonts w:hint="eastAsia" w:ascii="宋体" w:hAnsi="宋体" w:cs="宋体"/>
          <w:szCs w:val="21"/>
        </w:rPr>
        <w:t>3.1、磋商响应书（格式附后）；</w:t>
      </w:r>
    </w:p>
    <w:p>
      <w:pPr>
        <w:snapToGrid w:val="0"/>
        <w:spacing w:line="360" w:lineRule="auto"/>
        <w:ind w:firstLine="420"/>
        <w:jc w:val="left"/>
        <w:rPr>
          <w:rFonts w:ascii="宋体" w:hAnsi="宋体" w:cs="宋体"/>
          <w:szCs w:val="21"/>
        </w:rPr>
      </w:pPr>
      <w:r>
        <w:rPr>
          <w:rFonts w:hint="eastAsia" w:ascii="宋体" w:hAnsi="宋体" w:cs="宋体"/>
          <w:szCs w:val="21"/>
        </w:rPr>
        <w:t>3.2、初次报价表（格式附后）；</w:t>
      </w:r>
    </w:p>
    <w:p>
      <w:pPr>
        <w:widowControl/>
        <w:spacing w:line="360" w:lineRule="auto"/>
        <w:ind w:firstLine="420" w:firstLineChars="200"/>
        <w:jc w:val="left"/>
        <w:rPr>
          <w:rFonts w:ascii="宋体" w:hAnsi="宋体"/>
          <w:szCs w:val="21"/>
        </w:rPr>
      </w:pPr>
      <w:r>
        <w:rPr>
          <w:rFonts w:hint="eastAsia" w:ascii="宋体" w:hAnsi="宋体" w:cs="宋体"/>
          <w:szCs w:val="21"/>
        </w:rPr>
        <w:t>3.3、</w:t>
      </w:r>
      <w:r>
        <w:rPr>
          <w:rFonts w:hint="eastAsia" w:ascii="宋体" w:hAnsi="宋体"/>
          <w:szCs w:val="21"/>
        </w:rPr>
        <w:t>分项报价表（格式自拟）；</w:t>
      </w:r>
    </w:p>
    <w:p>
      <w:pPr>
        <w:widowControl/>
        <w:spacing w:line="360" w:lineRule="auto"/>
        <w:ind w:firstLine="420" w:firstLineChars="200"/>
        <w:jc w:val="left"/>
        <w:rPr>
          <w:rFonts w:ascii="宋体" w:hAnsi="宋体" w:cs="宋体"/>
          <w:szCs w:val="21"/>
        </w:rPr>
      </w:pPr>
      <w:r>
        <w:rPr>
          <w:rFonts w:hint="eastAsia" w:ascii="宋体" w:hAnsi="宋体"/>
          <w:szCs w:val="21"/>
        </w:rPr>
        <w:t>3.4、</w:t>
      </w:r>
      <w:r>
        <w:rPr>
          <w:rFonts w:hint="eastAsia" w:hAnsi="宋体" w:cs="宋体"/>
          <w:szCs w:val="21"/>
        </w:rPr>
        <w:t>确定成交服务费支付承诺函（格式附后）</w:t>
      </w:r>
      <w:r>
        <w:rPr>
          <w:rFonts w:hint="eastAsia" w:ascii="宋体" w:hAnsi="宋体" w:cs="宋体"/>
          <w:szCs w:val="21"/>
        </w:rPr>
        <w:t>；</w:t>
      </w:r>
    </w:p>
    <w:p>
      <w:pPr>
        <w:pStyle w:val="63"/>
        <w:spacing w:line="360" w:lineRule="auto"/>
        <w:ind w:left="0" w:firstLine="0"/>
      </w:pPr>
      <w:r>
        <w:rPr>
          <w:rFonts w:hint="eastAsia" w:hAnsi="宋体" w:cs="宋体"/>
          <w:szCs w:val="21"/>
        </w:rPr>
        <w:t xml:space="preserve">    3.4、其它本磋商文件要求提供的报价部分材料。</w:t>
      </w:r>
    </w:p>
    <w:p>
      <w:pPr>
        <w:pStyle w:val="14"/>
        <w:widowControl w:val="0"/>
        <w:tabs>
          <w:tab w:val="clear" w:pos="454"/>
        </w:tabs>
        <w:snapToGrid w:val="0"/>
        <w:spacing w:beforeLines="50" w:afterLines="0" w:line="360" w:lineRule="auto"/>
        <w:ind w:left="0" w:firstLine="413" w:firstLineChars="196"/>
        <w:rPr>
          <w:rFonts w:ascii="宋体" w:hAnsi="宋体" w:cs="宋体"/>
          <w:b/>
          <w:color w:val="000000"/>
          <w:sz w:val="21"/>
          <w:szCs w:val="21"/>
        </w:rPr>
      </w:pPr>
      <w:r>
        <w:rPr>
          <w:rFonts w:hint="eastAsia" w:ascii="宋体" w:hAnsi="宋体" w:cs="宋体"/>
          <w:b/>
          <w:color w:val="000000"/>
          <w:sz w:val="21"/>
          <w:szCs w:val="21"/>
        </w:rPr>
        <w:t>（三）响应文件的语言及计量</w:t>
      </w:r>
    </w:p>
    <w:p>
      <w:pPr>
        <w:snapToGrid w:val="0"/>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▲1响应文件以及供应商与采购单位就有关磋商事宜的所有来往函电，均应以中文汉语书写。除签名、盖章、专用名称等特殊情形外，以中文汉语以外的文字表述的响应文件视同未提供。</w:t>
      </w:r>
    </w:p>
    <w:p>
      <w:pPr>
        <w:snapToGrid w:val="0"/>
        <w:spacing w:line="360" w:lineRule="auto"/>
        <w:ind w:firstLine="422" w:firstLineChars="200"/>
        <w:jc w:val="left"/>
        <w:rPr>
          <w:rFonts w:ascii="宋体" w:hAnsi="宋体" w:cs="宋体"/>
          <w:b/>
          <w:szCs w:val="21"/>
        </w:rPr>
      </w:pPr>
      <w:r>
        <w:rPr>
          <w:rFonts w:hint="eastAsia" w:ascii="宋体" w:hAnsi="宋体" w:cs="宋体"/>
          <w:b/>
          <w:color w:val="000000"/>
          <w:szCs w:val="21"/>
        </w:rPr>
        <w:t>▲2报价计量单位：磋商采购文件已有明确规定的，使用</w:t>
      </w:r>
      <w:r>
        <w:rPr>
          <w:rFonts w:hint="eastAsia" w:ascii="宋体" w:hAnsi="宋体" w:cs="宋体"/>
          <w:b/>
          <w:szCs w:val="21"/>
        </w:rPr>
        <w:t>磋商采购文件规定的计量单位；磋商采购文件没有规定的，应采用中华人民共和国法定计量单位（货币单位：人民币元），否则视同未响应。</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（四）报价要求</w:t>
      </w:r>
    </w:p>
    <w:p>
      <w:pPr>
        <w:pStyle w:val="14"/>
        <w:widowControl w:val="0"/>
        <w:tabs>
          <w:tab w:val="clear" w:pos="454"/>
        </w:tabs>
        <w:snapToGrid w:val="0"/>
        <w:spacing w:beforeLines="50" w:afterLines="0" w:line="360" w:lineRule="auto"/>
        <w:ind w:left="0" w:firstLine="411" w:firstLineChars="196"/>
        <w:rPr>
          <w:rFonts w:ascii="宋体" w:hAnsi="宋体" w:cs="宋体"/>
          <w:sz w:val="21"/>
          <w:szCs w:val="21"/>
        </w:rPr>
      </w:pPr>
      <w:r>
        <w:rPr>
          <w:rFonts w:hint="eastAsia" w:ascii="宋体" w:hAnsi="宋体" w:cs="宋体"/>
          <w:sz w:val="21"/>
          <w:szCs w:val="21"/>
        </w:rPr>
        <w:t>1.报价应按磋商采购文件中相关附表格式填写。</w:t>
      </w:r>
    </w:p>
    <w:p>
      <w:pPr>
        <w:pStyle w:val="14"/>
        <w:widowControl w:val="0"/>
        <w:tabs>
          <w:tab w:val="clear" w:pos="454"/>
        </w:tabs>
        <w:snapToGrid w:val="0"/>
        <w:spacing w:beforeLines="50" w:afterLines="0" w:line="360" w:lineRule="auto"/>
        <w:ind w:left="0" w:firstLine="411" w:firstLineChars="196"/>
        <w:rPr>
          <w:rFonts w:ascii="宋体" w:hAnsi="宋体" w:cs="宋体"/>
          <w:sz w:val="21"/>
          <w:szCs w:val="21"/>
        </w:rPr>
      </w:pPr>
      <w:r>
        <w:rPr>
          <w:rFonts w:hint="eastAsia" w:ascii="宋体" w:hAnsi="宋体" w:cs="宋体"/>
          <w:sz w:val="21"/>
          <w:szCs w:val="21"/>
        </w:rPr>
        <w:t>▲2.响应文件只允许有一个总报价，有选择的或有条件的报价将不予接受。</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（五）响应文件的有效期</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▲1.自递交首次响应文件截止日起</w:t>
      </w:r>
      <w:r>
        <w:rPr>
          <w:rFonts w:hint="eastAsia" w:ascii="宋体" w:hAnsi="宋体" w:cs="宋体"/>
          <w:b/>
          <w:sz w:val="21"/>
          <w:szCs w:val="21"/>
          <w:u w:val="single"/>
        </w:rPr>
        <w:t xml:space="preserve"> 90 </w:t>
      </w:r>
      <w:r>
        <w:rPr>
          <w:rFonts w:hint="eastAsia" w:ascii="宋体" w:hAnsi="宋体" w:cs="宋体"/>
          <w:b/>
          <w:sz w:val="21"/>
          <w:szCs w:val="21"/>
        </w:rPr>
        <w:t>天响应文件应保持有效。有效期不足的响应文件将被拒绝。</w:t>
      </w:r>
    </w:p>
    <w:p>
      <w:pPr>
        <w:pStyle w:val="14"/>
        <w:widowControl w:val="0"/>
        <w:tabs>
          <w:tab w:val="clear" w:pos="454"/>
        </w:tabs>
        <w:snapToGrid w:val="0"/>
        <w:spacing w:beforeLines="50" w:afterLines="0" w:line="360" w:lineRule="auto"/>
        <w:ind w:left="0" w:firstLine="411" w:firstLineChars="196"/>
        <w:rPr>
          <w:rFonts w:ascii="宋体" w:hAnsi="宋体" w:cs="宋体"/>
          <w:sz w:val="21"/>
          <w:szCs w:val="21"/>
        </w:rPr>
      </w:pPr>
      <w:r>
        <w:rPr>
          <w:rFonts w:hint="eastAsia" w:ascii="宋体" w:hAnsi="宋体" w:cs="宋体"/>
          <w:sz w:val="21"/>
          <w:szCs w:val="21"/>
        </w:rPr>
        <w:t>2.在特殊情况下，采购人可与供应商协商延长响应文件的有效期，这种要求和答复均以书面形式进行。</w:t>
      </w:r>
    </w:p>
    <w:p>
      <w:pPr>
        <w:pStyle w:val="14"/>
        <w:widowControl w:val="0"/>
        <w:tabs>
          <w:tab w:val="clear" w:pos="454"/>
        </w:tabs>
        <w:snapToGrid w:val="0"/>
        <w:spacing w:beforeLines="50" w:afterLines="0" w:line="360" w:lineRule="auto"/>
        <w:ind w:left="0" w:firstLine="411" w:firstLineChars="196"/>
        <w:rPr>
          <w:rFonts w:ascii="宋体" w:hAnsi="宋体" w:cs="宋体"/>
          <w:sz w:val="21"/>
          <w:szCs w:val="21"/>
        </w:rPr>
      </w:pPr>
      <w:r>
        <w:rPr>
          <w:rFonts w:hint="eastAsia" w:ascii="宋体" w:hAnsi="宋体" w:cs="宋体"/>
          <w:sz w:val="21"/>
          <w:szCs w:val="21"/>
        </w:rPr>
        <w:t>3.成交供应商的响应文件自开标之日起至合同履行完毕止均应保持有效。</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（六）响应文件的签署和份数</w:t>
      </w:r>
    </w:p>
    <w:p>
      <w:pPr>
        <w:pStyle w:val="20"/>
        <w:snapToGrid w:val="0"/>
        <w:spacing w:line="360" w:lineRule="auto"/>
        <w:ind w:firstLine="411" w:firstLineChars="196"/>
        <w:rPr>
          <w:rFonts w:ascii="宋体" w:hAnsi="宋体" w:cs="宋体"/>
          <w:szCs w:val="21"/>
        </w:rPr>
      </w:pPr>
      <w:r>
        <w:rPr>
          <w:rFonts w:hint="eastAsia" w:ascii="宋体" w:hAnsi="宋体" w:cs="宋体"/>
          <w:szCs w:val="21"/>
        </w:rPr>
        <w:t>1.供应商应按照本磋商文件规定的格式和顺序以及“政府采购云平台”的要求，通过“政采云电子交易客户端”编制磋商响应文件并进行关联定位，同时对磋商响应文件进行加密。资格审查文件以及资信技术文件中不得出现报价内容，如因供应商编制原因提前泄露报价，是供应商的责任。</w:t>
      </w:r>
    </w:p>
    <w:p>
      <w:pPr>
        <w:pStyle w:val="20"/>
        <w:snapToGrid w:val="0"/>
        <w:spacing w:line="360" w:lineRule="auto"/>
        <w:ind w:firstLine="411" w:firstLineChars="196"/>
        <w:rPr>
          <w:rFonts w:ascii="宋体" w:hAnsi="宋体" w:cs="宋体"/>
          <w:szCs w:val="21"/>
        </w:rPr>
      </w:pPr>
      <w:r>
        <w:rPr>
          <w:rFonts w:hint="eastAsia" w:ascii="宋体" w:hAnsi="宋体" w:cs="宋体"/>
          <w:szCs w:val="21"/>
        </w:rPr>
        <w:t>2.磋商响应文件内容不完整、编排混乱导致磋商响应文件被误读、漏读或者查找不到相关内容的，是供应商的责任。</w:t>
      </w:r>
    </w:p>
    <w:p>
      <w:pPr>
        <w:pStyle w:val="20"/>
        <w:snapToGrid w:val="0"/>
        <w:spacing w:line="360" w:lineRule="auto"/>
        <w:ind w:firstLine="411" w:firstLineChars="196"/>
        <w:rPr>
          <w:rFonts w:ascii="宋体" w:hAnsi="宋体" w:cs="宋体"/>
          <w:szCs w:val="21"/>
        </w:rPr>
      </w:pPr>
      <w:r>
        <w:rPr>
          <w:rFonts w:hint="eastAsia" w:ascii="宋体" w:hAnsi="宋体" w:cs="宋体"/>
          <w:szCs w:val="21"/>
        </w:rPr>
        <w:t>3.磋商响应文件须由供应商在规定位置盖章并由法定代表人或法定代表人的授权委托人签署，供应商应写全称。法定代表人授权委托书必须由法定代表人签名并加盖单位公章。</w:t>
      </w:r>
    </w:p>
    <w:p>
      <w:pPr>
        <w:pStyle w:val="20"/>
        <w:snapToGrid w:val="0"/>
        <w:spacing w:line="360" w:lineRule="auto"/>
        <w:ind w:firstLine="411" w:firstLineChars="196"/>
        <w:rPr>
          <w:rFonts w:ascii="宋体" w:hAnsi="宋体" w:cs="宋体"/>
          <w:szCs w:val="21"/>
        </w:rPr>
      </w:pPr>
      <w:r>
        <w:rPr>
          <w:rFonts w:hint="eastAsia" w:ascii="宋体" w:hAnsi="宋体" w:cs="宋体"/>
          <w:szCs w:val="21"/>
        </w:rPr>
        <w:t>4.磋商响应文件不得涂改，若有修改错漏处，须加盖单位公章或者法定代表人或授权委托人签名或盖章。磋商响应文件因版面模糊或表达不清所引起的后果由供应商负责。</w:t>
      </w:r>
    </w:p>
    <w:p>
      <w:pPr>
        <w:pStyle w:val="20"/>
        <w:snapToGrid w:val="0"/>
        <w:spacing w:line="360" w:lineRule="auto"/>
        <w:ind w:firstLine="411" w:firstLineChars="196"/>
        <w:rPr>
          <w:rFonts w:ascii="宋体" w:hAnsi="宋体" w:cs="宋体"/>
          <w:szCs w:val="21"/>
        </w:rPr>
      </w:pPr>
      <w:r>
        <w:rPr>
          <w:rFonts w:hint="eastAsia" w:ascii="宋体" w:hAnsi="宋体" w:cs="宋体"/>
          <w:szCs w:val="21"/>
        </w:rPr>
        <w:t>5.供应商递交的企业宣传册、产品宣传册不属于磋商响应文件有效组成资料的不作为评审依据。</w:t>
      </w:r>
    </w:p>
    <w:p>
      <w:pPr>
        <w:pStyle w:val="20"/>
        <w:snapToGrid w:val="0"/>
        <w:spacing w:line="360" w:lineRule="auto"/>
        <w:ind w:firstLine="411" w:firstLineChars="196"/>
        <w:rPr>
          <w:rFonts w:ascii="宋体" w:hAnsi="宋体" w:cs="宋体"/>
          <w:szCs w:val="21"/>
        </w:rPr>
      </w:pPr>
      <w:r>
        <w:rPr>
          <w:rFonts w:hint="eastAsia" w:ascii="宋体" w:hAnsi="宋体" w:cs="宋体"/>
          <w:szCs w:val="21"/>
        </w:rPr>
        <w:t>6.磋商响应文件份数：“电子加密磋商响应文件”一份（包含：资格审查文件、资信技术文件、报价文件三部分）；“电子备份磋商响应文件”一份（包含：资格审查文件、资信技术文件、报价文件三部分）。</w:t>
      </w:r>
    </w:p>
    <w:p>
      <w:pPr>
        <w:pStyle w:val="20"/>
        <w:snapToGrid w:val="0"/>
        <w:spacing w:line="360" w:lineRule="auto"/>
        <w:ind w:firstLine="411" w:firstLineChars="196"/>
        <w:rPr>
          <w:rFonts w:ascii="宋体" w:hAnsi="宋体" w:cs="宋体"/>
          <w:szCs w:val="21"/>
        </w:rPr>
      </w:pPr>
      <w:r>
        <w:rPr>
          <w:rFonts w:hint="eastAsia" w:ascii="宋体" w:hAnsi="宋体" w:cs="宋体"/>
          <w:szCs w:val="21"/>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（七）磋商响应文件的修改和撤回</w:t>
      </w:r>
    </w:p>
    <w:p>
      <w:pPr>
        <w:widowControl/>
        <w:spacing w:line="360" w:lineRule="auto"/>
        <w:ind w:firstLine="420" w:firstLineChars="200"/>
        <w:jc w:val="left"/>
        <w:rPr>
          <w:rFonts w:ascii="宋体" w:hAnsi="宋体" w:cs="宋体"/>
          <w:szCs w:val="21"/>
        </w:rPr>
      </w:pPr>
      <w:r>
        <w:rPr>
          <w:rFonts w:hint="eastAsia" w:ascii="宋体" w:hAnsi="宋体" w:cs="宋体"/>
          <w:szCs w:val="21"/>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pPr>
        <w:widowControl/>
        <w:spacing w:line="360" w:lineRule="auto"/>
        <w:ind w:firstLine="420" w:firstLineChars="200"/>
        <w:jc w:val="left"/>
        <w:rPr>
          <w:rFonts w:ascii="宋体" w:hAnsi="宋体" w:cs="宋体"/>
          <w:szCs w:val="21"/>
        </w:rPr>
      </w:pPr>
      <w:r>
        <w:rPr>
          <w:rFonts w:hint="eastAsia" w:ascii="宋体" w:hAnsi="宋体" w:cs="宋体"/>
          <w:szCs w:val="21"/>
        </w:rPr>
        <w:t>2.提交首次磋商响应文件截止时间后，供应商不得撤回、修改磋商响应文件。</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（八）响应无效的情形</w:t>
      </w:r>
    </w:p>
    <w:p>
      <w:pPr>
        <w:pStyle w:val="20"/>
        <w:snapToGrid w:val="0"/>
        <w:spacing w:line="360" w:lineRule="auto"/>
        <w:ind w:firstLine="411" w:firstLineChars="196"/>
        <w:rPr>
          <w:rFonts w:ascii="宋体" w:hAnsi="宋体" w:cs="宋体"/>
          <w:szCs w:val="21"/>
        </w:rPr>
      </w:pPr>
      <w:r>
        <w:rPr>
          <w:rFonts w:hint="eastAsia" w:ascii="宋体" w:hAnsi="宋体" w:cs="宋体"/>
          <w:szCs w:val="21"/>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pPr>
        <w:pStyle w:val="20"/>
        <w:snapToGrid w:val="0"/>
        <w:spacing w:line="360" w:lineRule="auto"/>
        <w:ind w:firstLine="411" w:firstLineChars="196"/>
        <w:rPr>
          <w:rFonts w:ascii="宋体" w:hAnsi="宋体" w:cs="宋体"/>
          <w:szCs w:val="21"/>
        </w:rPr>
      </w:pPr>
      <w:r>
        <w:rPr>
          <w:rFonts w:hint="eastAsia" w:ascii="宋体" w:hAnsi="宋体" w:cs="宋体"/>
          <w:szCs w:val="21"/>
        </w:rPr>
        <w:t>1.在</w:t>
      </w:r>
      <w:r>
        <w:rPr>
          <w:rFonts w:hint="eastAsia"/>
        </w:rPr>
        <w:t>资格审查、</w:t>
      </w:r>
      <w:r>
        <w:rPr>
          <w:rFonts w:hint="eastAsia" w:ascii="宋体" w:hAnsi="宋体" w:cs="宋体"/>
          <w:szCs w:val="21"/>
        </w:rPr>
        <w:t>符合性审查和商务评审时，如发现下列情形之一的，响应文件将被视为无效：</w:t>
      </w:r>
    </w:p>
    <w:p>
      <w:pPr>
        <w:pStyle w:val="20"/>
        <w:snapToGrid w:val="0"/>
        <w:spacing w:line="360" w:lineRule="auto"/>
        <w:ind w:firstLine="411" w:firstLineChars="196"/>
        <w:rPr>
          <w:rFonts w:ascii="宋体" w:hAnsi="宋体" w:cs="宋体"/>
          <w:szCs w:val="21"/>
        </w:rPr>
      </w:pPr>
      <w:r>
        <w:rPr>
          <w:rFonts w:hint="eastAsia" w:ascii="宋体" w:hAnsi="宋体" w:cs="宋体"/>
          <w:szCs w:val="21"/>
        </w:rPr>
        <w:t>（1）资格证明文件不全的，或者不符合磋商文件标明的资格要求的；</w:t>
      </w:r>
    </w:p>
    <w:p>
      <w:pPr>
        <w:pStyle w:val="20"/>
        <w:snapToGrid w:val="0"/>
        <w:spacing w:line="360" w:lineRule="auto"/>
        <w:ind w:firstLine="411" w:firstLineChars="196"/>
        <w:rPr>
          <w:rFonts w:ascii="宋体" w:hAnsi="宋体" w:cs="宋体"/>
          <w:szCs w:val="21"/>
        </w:rPr>
      </w:pPr>
      <w:r>
        <w:rPr>
          <w:rFonts w:hint="eastAsia" w:ascii="宋体" w:hAnsi="宋体" w:cs="宋体"/>
          <w:szCs w:val="21"/>
        </w:rPr>
        <w:t>（2）磋商响应文件无法定代表人签字,或未提供法定代表人授权委托书、供应商声明书或者填写项目不齐全的；</w:t>
      </w:r>
    </w:p>
    <w:p>
      <w:pPr>
        <w:pStyle w:val="20"/>
        <w:snapToGrid w:val="0"/>
        <w:spacing w:line="360" w:lineRule="auto"/>
        <w:ind w:firstLine="411" w:firstLineChars="196"/>
        <w:rPr>
          <w:rFonts w:ascii="宋体" w:hAnsi="宋体" w:cs="宋体"/>
          <w:szCs w:val="21"/>
        </w:rPr>
      </w:pPr>
      <w:r>
        <w:rPr>
          <w:rFonts w:hint="eastAsia" w:ascii="宋体" w:hAnsi="宋体" w:cs="宋体"/>
          <w:szCs w:val="21"/>
        </w:rPr>
        <w:t xml:space="preserve">（3）供应商代表人未能出具身份证明或与法定代表人授权委托人身份不符的； </w:t>
      </w:r>
    </w:p>
    <w:p>
      <w:pPr>
        <w:pStyle w:val="20"/>
        <w:snapToGrid w:val="0"/>
        <w:spacing w:line="360" w:lineRule="auto"/>
        <w:ind w:firstLine="411" w:firstLineChars="196"/>
        <w:rPr>
          <w:rFonts w:ascii="宋体" w:hAnsi="宋体" w:cs="宋体"/>
          <w:szCs w:val="21"/>
        </w:rPr>
      </w:pPr>
      <w:r>
        <w:rPr>
          <w:rFonts w:hint="eastAsia" w:ascii="宋体" w:hAnsi="宋体" w:cs="宋体"/>
          <w:szCs w:val="21"/>
        </w:rPr>
        <w:t>（4）磋商响应文件内容虚假的；</w:t>
      </w:r>
    </w:p>
    <w:p>
      <w:pPr>
        <w:pStyle w:val="20"/>
        <w:snapToGrid w:val="0"/>
        <w:spacing w:line="360" w:lineRule="auto"/>
        <w:ind w:firstLine="411" w:firstLineChars="196"/>
        <w:rPr>
          <w:rFonts w:ascii="宋体" w:hAnsi="宋体" w:cs="宋体"/>
          <w:szCs w:val="21"/>
        </w:rPr>
      </w:pPr>
      <w:r>
        <w:rPr>
          <w:rFonts w:hint="eastAsia" w:ascii="宋体" w:hAnsi="宋体" w:cs="宋体"/>
          <w:szCs w:val="21"/>
        </w:rPr>
        <w:t>（5）磋商响应文件的实质性内容未使用中文表述、意思表述不明确、前后矛盾或者使用计量单位不符合磋商文件要求的（经磋商小组认定并允许其当场更正的笔误除外）；</w:t>
      </w:r>
    </w:p>
    <w:p>
      <w:pPr>
        <w:pStyle w:val="20"/>
        <w:snapToGrid w:val="0"/>
        <w:spacing w:line="360" w:lineRule="auto"/>
        <w:ind w:firstLine="411" w:firstLineChars="196"/>
        <w:rPr>
          <w:rFonts w:ascii="宋体" w:hAnsi="宋体" w:cs="宋体"/>
          <w:snapToGrid w:val="0"/>
          <w:szCs w:val="21"/>
        </w:rPr>
      </w:pPr>
      <w:r>
        <w:rPr>
          <w:rFonts w:hint="eastAsia" w:ascii="宋体" w:hAnsi="宋体" w:cs="宋体"/>
          <w:szCs w:val="21"/>
        </w:rPr>
        <w:t>（</w:t>
      </w:r>
      <w:r>
        <w:rPr>
          <w:rFonts w:hint="eastAsia" w:ascii="宋体" w:hAnsi="宋体" w:cs="宋体"/>
          <w:snapToGrid w:val="0"/>
          <w:szCs w:val="21"/>
        </w:rPr>
        <w:t>6）磋商响应文件有效期不能满足磋商文件要求的；</w:t>
      </w:r>
    </w:p>
    <w:p>
      <w:pPr>
        <w:pStyle w:val="20"/>
        <w:snapToGrid w:val="0"/>
        <w:spacing w:line="360" w:lineRule="auto"/>
        <w:ind w:firstLine="411" w:firstLineChars="196"/>
        <w:rPr>
          <w:rFonts w:ascii="宋体" w:hAnsi="宋体" w:cs="宋体"/>
          <w:szCs w:val="21"/>
        </w:rPr>
      </w:pPr>
      <w:r>
        <w:rPr>
          <w:rFonts w:hint="eastAsia" w:ascii="宋体" w:hAnsi="宋体" w:cs="宋体"/>
          <w:szCs w:val="21"/>
        </w:rPr>
        <w:t>（7）未实质性响应磋商文件要求或者响应文件有采购人不能接受的附加条件的；</w:t>
      </w:r>
    </w:p>
    <w:p>
      <w:pPr>
        <w:pStyle w:val="20"/>
        <w:snapToGrid w:val="0"/>
        <w:spacing w:line="360" w:lineRule="auto"/>
        <w:ind w:firstLine="411" w:firstLineChars="196"/>
        <w:rPr>
          <w:rFonts w:ascii="宋体" w:hAnsi="宋体" w:cs="宋体"/>
          <w:szCs w:val="21"/>
        </w:rPr>
      </w:pPr>
      <w:r>
        <w:rPr>
          <w:rFonts w:hint="eastAsia" w:ascii="宋体" w:hAnsi="宋体" w:cs="宋体"/>
          <w:szCs w:val="21"/>
        </w:rPr>
        <w:t>（8）超过递交响应文件截止时间送达的或未按规定地点送达的；</w:t>
      </w:r>
    </w:p>
    <w:p>
      <w:pPr>
        <w:pStyle w:val="20"/>
        <w:snapToGrid w:val="0"/>
        <w:spacing w:line="360" w:lineRule="auto"/>
        <w:ind w:firstLine="411" w:firstLineChars="196"/>
        <w:rPr>
          <w:rFonts w:ascii="宋体" w:hAnsi="宋体" w:cs="宋体"/>
          <w:szCs w:val="21"/>
        </w:rPr>
      </w:pPr>
      <w:r>
        <w:rPr>
          <w:rFonts w:hint="eastAsia" w:ascii="宋体" w:hAnsi="宋体" w:cs="宋体"/>
          <w:szCs w:val="21"/>
        </w:rPr>
        <w:t>（9）未按规定密封、签章的；</w:t>
      </w:r>
    </w:p>
    <w:p>
      <w:pPr>
        <w:pStyle w:val="20"/>
        <w:snapToGrid w:val="0"/>
        <w:spacing w:line="360" w:lineRule="auto"/>
        <w:ind w:firstLine="411" w:firstLineChars="196"/>
        <w:rPr>
          <w:rFonts w:ascii="宋体" w:hAnsi="宋体" w:cs="宋体"/>
          <w:szCs w:val="21"/>
        </w:rPr>
      </w:pPr>
      <w:r>
        <w:rPr>
          <w:rFonts w:hint="eastAsia" w:ascii="宋体" w:hAnsi="宋体" w:cs="宋体"/>
          <w:szCs w:val="21"/>
        </w:rPr>
        <w:t xml:space="preserve">（10）磋商响应文件的关键内容字迹模糊、无法辨认的,或者响应文件中经修正的内容字迹模糊难以辩认或者修改处未按规定签名盖章的； </w:t>
      </w:r>
    </w:p>
    <w:p>
      <w:pPr>
        <w:pStyle w:val="20"/>
        <w:snapToGrid w:val="0"/>
        <w:spacing w:line="360" w:lineRule="auto"/>
        <w:ind w:firstLine="413" w:firstLineChars="196"/>
        <w:rPr>
          <w:rFonts w:ascii="宋体" w:hAnsi="宋体" w:cs="宋体"/>
          <w:b/>
          <w:bCs/>
          <w:szCs w:val="21"/>
        </w:rPr>
      </w:pPr>
      <w:r>
        <w:rPr>
          <w:rFonts w:hint="eastAsia" w:ascii="宋体" w:hAnsi="宋体" w:cs="宋体"/>
          <w:b/>
          <w:bCs/>
          <w:szCs w:val="21"/>
        </w:rPr>
        <w:t>2.在技术评审时，如发现下列情形之一的，响应文件将被视为无效：</w:t>
      </w:r>
    </w:p>
    <w:p>
      <w:pPr>
        <w:pStyle w:val="20"/>
        <w:snapToGrid w:val="0"/>
        <w:spacing w:line="360" w:lineRule="auto"/>
        <w:ind w:firstLine="411" w:firstLineChars="196"/>
        <w:rPr>
          <w:rFonts w:ascii="宋体" w:hAnsi="宋体" w:cs="宋体"/>
          <w:szCs w:val="21"/>
        </w:rPr>
      </w:pPr>
      <w:r>
        <w:rPr>
          <w:rFonts w:hint="eastAsia" w:ascii="宋体" w:hAnsi="宋体" w:cs="宋体"/>
          <w:szCs w:val="21"/>
        </w:rPr>
        <w:t>（1）响应文件标明的响应或偏离与事实不符或虚假响应的；</w:t>
      </w:r>
    </w:p>
    <w:p>
      <w:pPr>
        <w:pStyle w:val="20"/>
        <w:snapToGrid w:val="0"/>
        <w:spacing w:line="360" w:lineRule="auto"/>
        <w:ind w:firstLine="411" w:firstLineChars="196"/>
        <w:rPr>
          <w:rFonts w:ascii="宋体" w:hAnsi="宋体" w:cs="宋体"/>
          <w:szCs w:val="21"/>
        </w:rPr>
      </w:pPr>
      <w:r>
        <w:rPr>
          <w:rFonts w:hint="eastAsia" w:ascii="宋体" w:hAnsi="宋体" w:cs="宋体"/>
          <w:szCs w:val="21"/>
        </w:rPr>
        <w:t>（2）</w:t>
      </w:r>
      <w:r>
        <w:rPr>
          <w:rFonts w:hint="eastAsia" w:ascii="宋体" w:hAnsi="宋体" w:cs="宋体"/>
          <w:snapToGrid w:val="0"/>
          <w:szCs w:val="21"/>
        </w:rPr>
        <w:t>明显不符合磋商</w:t>
      </w:r>
      <w:r>
        <w:rPr>
          <w:rFonts w:hint="eastAsia" w:ascii="宋体" w:hAnsi="宋体" w:cs="宋体"/>
          <w:szCs w:val="21"/>
        </w:rPr>
        <w:t>采购</w:t>
      </w:r>
      <w:r>
        <w:rPr>
          <w:rFonts w:hint="eastAsia" w:ascii="宋体" w:hAnsi="宋体" w:cs="宋体"/>
          <w:snapToGrid w:val="0"/>
          <w:szCs w:val="21"/>
        </w:rPr>
        <w:t>文件要求的，或者与</w:t>
      </w:r>
      <w:r>
        <w:rPr>
          <w:rFonts w:hint="eastAsia" w:ascii="宋体" w:hAnsi="宋体" w:cs="宋体"/>
          <w:szCs w:val="21"/>
        </w:rPr>
        <w:t>磋商采购文件中标“▲”的条款发生实质性偏离的；</w:t>
      </w:r>
    </w:p>
    <w:p>
      <w:pPr>
        <w:pStyle w:val="20"/>
        <w:snapToGrid w:val="0"/>
        <w:spacing w:line="360" w:lineRule="auto"/>
        <w:ind w:firstLine="411" w:firstLineChars="196"/>
        <w:rPr>
          <w:rFonts w:ascii="宋体" w:hAnsi="宋体" w:cs="宋体"/>
          <w:szCs w:val="21"/>
        </w:rPr>
      </w:pPr>
      <w:r>
        <w:rPr>
          <w:rFonts w:hint="eastAsia" w:ascii="宋体" w:hAnsi="宋体" w:cs="宋体"/>
          <w:szCs w:val="21"/>
        </w:rPr>
        <w:t>（3）响应文件技术方案不明确，存在一个或一个以上备选（替代）方案的；</w:t>
      </w:r>
    </w:p>
    <w:p>
      <w:pPr>
        <w:pStyle w:val="20"/>
        <w:snapToGrid w:val="0"/>
        <w:spacing w:line="360" w:lineRule="auto"/>
        <w:ind w:firstLine="413" w:firstLineChars="196"/>
        <w:rPr>
          <w:rFonts w:ascii="宋体" w:hAnsi="宋体" w:cs="宋体"/>
          <w:b/>
          <w:bCs/>
          <w:szCs w:val="21"/>
        </w:rPr>
      </w:pPr>
      <w:r>
        <w:rPr>
          <w:rFonts w:hint="eastAsia" w:ascii="宋体" w:hAnsi="宋体" w:cs="宋体"/>
          <w:b/>
          <w:bCs/>
          <w:szCs w:val="21"/>
        </w:rPr>
        <w:t>3.在报价评审时，如发现下列情形之一的，响应文件将被视为无效：</w:t>
      </w:r>
    </w:p>
    <w:p>
      <w:pPr>
        <w:pStyle w:val="20"/>
        <w:snapToGrid w:val="0"/>
        <w:spacing w:line="360" w:lineRule="auto"/>
        <w:ind w:firstLine="411" w:firstLineChars="196"/>
        <w:rPr>
          <w:rFonts w:ascii="宋体" w:hAnsi="宋体" w:cs="宋体"/>
          <w:szCs w:val="21"/>
        </w:rPr>
      </w:pPr>
      <w:r>
        <w:rPr>
          <w:rFonts w:hint="eastAsia" w:ascii="宋体" w:hAnsi="宋体" w:cs="宋体"/>
          <w:szCs w:val="21"/>
        </w:rPr>
        <w:t>（1）未采用响应文件要求的报价形式或超过采购预算（最高限价）报价的；</w:t>
      </w:r>
    </w:p>
    <w:p>
      <w:pPr>
        <w:pStyle w:val="20"/>
        <w:snapToGrid w:val="0"/>
        <w:spacing w:line="360" w:lineRule="auto"/>
        <w:ind w:firstLine="411" w:firstLineChars="196"/>
        <w:rPr>
          <w:rStyle w:val="58"/>
        </w:rPr>
      </w:pPr>
      <w:r>
        <w:rPr>
          <w:rFonts w:hint="eastAsia" w:ascii="宋体" w:hAnsi="宋体" w:cs="宋体"/>
          <w:szCs w:val="21"/>
        </w:rPr>
        <w:t>（2）报价具有选择性；</w:t>
      </w:r>
    </w:p>
    <w:p>
      <w:pPr>
        <w:pStyle w:val="20"/>
        <w:snapToGrid w:val="0"/>
        <w:spacing w:line="360" w:lineRule="auto"/>
        <w:ind w:firstLine="411" w:firstLineChars="196"/>
        <w:rPr>
          <w:rFonts w:ascii="宋体" w:hAnsi="宋体" w:cs="宋体"/>
          <w:szCs w:val="21"/>
        </w:rPr>
      </w:pPr>
      <w:r>
        <w:rPr>
          <w:rFonts w:hint="eastAsia" w:ascii="宋体" w:hAnsi="宋体" w:cs="宋体"/>
          <w:szCs w:val="21"/>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pPr>
        <w:pStyle w:val="20"/>
        <w:snapToGrid w:val="0"/>
        <w:spacing w:line="360" w:lineRule="auto"/>
        <w:ind w:firstLine="413" w:firstLineChars="196"/>
        <w:rPr>
          <w:rFonts w:ascii="宋体" w:hAnsi="宋体" w:cs="宋体"/>
          <w:b/>
          <w:szCs w:val="21"/>
        </w:rPr>
      </w:pPr>
      <w:r>
        <w:rPr>
          <w:rFonts w:hint="eastAsia" w:ascii="宋体" w:hAnsi="宋体" w:cs="宋体"/>
          <w:b/>
          <w:szCs w:val="21"/>
        </w:rPr>
        <w:t>4如采购过程中发现供应商有行贿犯罪记录的视为无效响应或取消成交资格。</w:t>
      </w:r>
    </w:p>
    <w:p>
      <w:pPr>
        <w:pStyle w:val="20"/>
        <w:snapToGrid w:val="0"/>
        <w:spacing w:line="360" w:lineRule="auto"/>
        <w:ind w:firstLine="413" w:firstLineChars="196"/>
        <w:rPr>
          <w:rFonts w:ascii="宋体" w:hAnsi="宋体" w:cs="宋体"/>
          <w:b/>
          <w:szCs w:val="21"/>
        </w:rPr>
      </w:pP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四、磋商程序</w:t>
      </w:r>
    </w:p>
    <w:p>
      <w:pPr>
        <w:pStyle w:val="25"/>
        <w:snapToGrid w:val="0"/>
        <w:spacing w:beforeLines="0" w:afterLines="0" w:line="360" w:lineRule="auto"/>
        <w:ind w:firstLine="413" w:firstLineChars="196"/>
        <w:rPr>
          <w:rFonts w:hint="default" w:hAnsi="宋体" w:cs="宋体"/>
          <w:b/>
        </w:rPr>
      </w:pPr>
      <w:r>
        <w:rPr>
          <w:rFonts w:hAnsi="宋体" w:cs="宋体"/>
          <w:b/>
        </w:rPr>
        <w:t>（一）磋商准备</w:t>
      </w:r>
    </w:p>
    <w:p>
      <w:pPr>
        <w:pStyle w:val="25"/>
        <w:snapToGrid w:val="0"/>
        <w:spacing w:beforeLines="0" w:afterLines="0" w:line="360" w:lineRule="auto"/>
        <w:ind w:firstLine="420" w:firstLineChars="200"/>
        <w:rPr>
          <w:rFonts w:hint="default" w:hAnsi="宋体" w:cs="宋体"/>
          <w:bCs/>
        </w:rPr>
      </w:pPr>
      <w:r>
        <w:rPr>
          <w:rFonts w:hAnsi="宋体" w:cs="宋体"/>
          <w:bCs/>
        </w:rPr>
        <w:t>采购代理机构将在规定的时间和地点进行磋商，供应商的法定代表人或其授权代表应参加磋商并签到。供应商的法定代表人或其授权代表未按时签到的，视同放弃磋商权利，认可磋商结果。</w:t>
      </w:r>
    </w:p>
    <w:p>
      <w:pPr>
        <w:pStyle w:val="25"/>
        <w:snapToGrid w:val="0"/>
        <w:spacing w:beforeLines="0" w:afterLines="0" w:line="360" w:lineRule="auto"/>
        <w:ind w:firstLine="413" w:firstLineChars="196"/>
        <w:rPr>
          <w:rFonts w:hint="default" w:hAnsi="宋体" w:cs="宋体"/>
          <w:b/>
        </w:rPr>
      </w:pPr>
      <w:r>
        <w:rPr>
          <w:rFonts w:hAnsi="宋体" w:cs="宋体"/>
          <w:b/>
        </w:rPr>
        <w:t>（二） 磋商程序：</w:t>
      </w:r>
    </w:p>
    <w:p>
      <w:pPr>
        <w:pStyle w:val="25"/>
        <w:snapToGrid w:val="0"/>
        <w:spacing w:before="120" w:after="120"/>
        <w:ind w:firstLine="420" w:firstLineChars="200"/>
        <w:rPr>
          <w:rFonts w:hint="default" w:hAnsi="宋体" w:cs="宋体"/>
          <w:bCs/>
        </w:rPr>
      </w:pPr>
      <w:r>
        <w:rPr>
          <w:rFonts w:hAnsi="宋体" w:cs="宋体"/>
          <w:bCs/>
        </w:rPr>
        <w:t>1.供应商在提交响应文件截止</w:t>
      </w:r>
      <w:r>
        <w:rPr>
          <w:rFonts w:hint="eastAsia" w:hAnsi="宋体" w:cs="宋体"/>
          <w:bCs/>
          <w:lang w:val="en-US" w:eastAsia="zh-CN"/>
        </w:rPr>
        <w:t xml:space="preserve"> </w:t>
      </w:r>
      <w:r>
        <w:rPr>
          <w:rFonts w:hAnsi="宋体" w:cs="宋体"/>
          <w:bCs/>
        </w:rPr>
        <w:t>时间之前报到，并提交响应文件。</w:t>
      </w:r>
    </w:p>
    <w:p>
      <w:pPr>
        <w:pStyle w:val="25"/>
        <w:snapToGrid w:val="0"/>
        <w:spacing w:before="120" w:after="120"/>
        <w:ind w:firstLine="420" w:firstLineChars="200"/>
        <w:rPr>
          <w:rFonts w:hint="default" w:hAnsi="宋体" w:cs="宋体"/>
        </w:rPr>
      </w:pPr>
      <w:r>
        <w:rPr>
          <w:rFonts w:hAnsi="宋体" w:cs="宋体"/>
        </w:rPr>
        <w:t>2.采购人、采购代理机构对响应文件的资格条件进行</w:t>
      </w:r>
      <w:r>
        <w:rPr>
          <w:rFonts w:hAnsi="宋体" w:cs="宋体"/>
          <w:bCs/>
        </w:rPr>
        <w:t>审查</w:t>
      </w:r>
      <w:r>
        <w:rPr>
          <w:rFonts w:hAnsi="宋体" w:cs="宋体"/>
        </w:rPr>
        <w:t>。</w:t>
      </w:r>
    </w:p>
    <w:p>
      <w:pPr>
        <w:pStyle w:val="25"/>
        <w:snapToGrid w:val="0"/>
        <w:spacing w:before="120" w:after="120"/>
        <w:ind w:firstLine="420" w:firstLineChars="200"/>
        <w:rPr>
          <w:rFonts w:hint="default" w:hAnsi="宋体" w:cs="宋体"/>
          <w:bCs/>
        </w:rPr>
      </w:pPr>
      <w:r>
        <w:rPr>
          <w:rFonts w:hAnsi="宋体" w:cs="宋体"/>
        </w:rPr>
        <w:t>3.</w:t>
      </w:r>
      <w:r>
        <w:rPr>
          <w:rFonts w:hAnsi="宋体" w:cs="宋体"/>
          <w:bCs/>
        </w:rPr>
        <w:t>磋商小组在对响应文件的有效性、完整性和响应程度进行审查，不符合符合性审查、商务和技术审查的供应商将被拒绝。</w:t>
      </w:r>
    </w:p>
    <w:p>
      <w:pPr>
        <w:pStyle w:val="25"/>
        <w:snapToGrid w:val="0"/>
        <w:spacing w:before="120" w:after="120"/>
        <w:ind w:firstLine="420" w:firstLineChars="200"/>
        <w:rPr>
          <w:rFonts w:hint="default" w:hAnsi="宋体" w:cs="宋体"/>
          <w:bCs/>
        </w:rPr>
      </w:pPr>
      <w:r>
        <w:rPr>
          <w:rFonts w:hAnsi="宋体" w:cs="宋体"/>
          <w:bCs/>
        </w:rPr>
        <w:t>4.磋商小组依照顺序与进入磋商的单一供应商分别进行磋商。</w:t>
      </w:r>
    </w:p>
    <w:p>
      <w:pPr>
        <w:pStyle w:val="25"/>
        <w:snapToGrid w:val="0"/>
        <w:spacing w:beforeLines="0" w:afterLines="0" w:line="360" w:lineRule="auto"/>
        <w:ind w:firstLine="422" w:firstLineChars="200"/>
        <w:rPr>
          <w:rFonts w:hint="default" w:hAnsi="宋体"/>
          <w:b/>
          <w:szCs w:val="21"/>
        </w:rPr>
      </w:pPr>
      <w:r>
        <w:rPr>
          <w:rFonts w:hAnsi="宋体"/>
          <w:b/>
          <w:szCs w:val="21"/>
        </w:rPr>
        <w:t>电子招投标开标程序：</w:t>
      </w:r>
    </w:p>
    <w:p>
      <w:pPr>
        <w:pStyle w:val="25"/>
        <w:numPr>
          <w:ilvl w:val="0"/>
          <w:numId w:val="5"/>
        </w:numPr>
        <w:snapToGrid w:val="0"/>
        <w:spacing w:beforeLines="0" w:afterLines="0" w:line="360" w:lineRule="auto"/>
        <w:ind w:firstLine="420" w:firstLineChars="200"/>
        <w:rPr>
          <w:rFonts w:hint="default" w:hAnsi="宋体"/>
          <w:bCs/>
          <w:szCs w:val="21"/>
        </w:rPr>
      </w:pPr>
      <w:r>
        <w:rPr>
          <w:rFonts w:hAnsi="宋体"/>
          <w:bCs/>
          <w:szCs w:val="21"/>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hAnsi="宋体" w:cs="宋体"/>
          <w:b/>
          <w:bCs/>
          <w:u w:val="single"/>
        </w:rPr>
        <w:t>30</w:t>
      </w:r>
      <w:r>
        <w:rPr>
          <w:rFonts w:hAnsi="宋体" w:cs="宋体"/>
          <w:b/>
          <w:bCs/>
        </w:rPr>
        <w:t>分钟</w:t>
      </w:r>
      <w:r>
        <w:rPr>
          <w:rFonts w:hAnsi="宋体"/>
          <w:bCs/>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pPr>
        <w:pStyle w:val="25"/>
        <w:numPr>
          <w:ilvl w:val="0"/>
          <w:numId w:val="5"/>
        </w:numPr>
        <w:snapToGrid w:val="0"/>
        <w:spacing w:beforeLines="0" w:afterLines="0" w:line="360" w:lineRule="auto"/>
        <w:ind w:firstLine="420" w:firstLineChars="200"/>
        <w:rPr>
          <w:rFonts w:hint="default" w:hAnsi="宋体"/>
          <w:bCs/>
          <w:szCs w:val="21"/>
        </w:rPr>
      </w:pPr>
      <w:r>
        <w:rPr>
          <w:rFonts w:hAnsi="宋体"/>
          <w:bCs/>
          <w:szCs w:val="21"/>
        </w:rPr>
        <w:t>采购人或采购代理机构对磋商响应供应商的资格进行审查，资格审查结束后进入符合性审查和资信技术的评审工作。</w:t>
      </w:r>
    </w:p>
    <w:p>
      <w:pPr>
        <w:pStyle w:val="25"/>
        <w:snapToGrid w:val="0"/>
        <w:spacing w:beforeLines="0" w:afterLines="0" w:line="360" w:lineRule="auto"/>
        <w:ind w:firstLine="420" w:firstLineChars="200"/>
        <w:rPr>
          <w:rFonts w:hint="default" w:hAnsi="宋体"/>
          <w:bCs/>
          <w:szCs w:val="21"/>
        </w:rPr>
      </w:pPr>
      <w:r>
        <w:rPr>
          <w:rFonts w:hAnsi="宋体"/>
          <w:bCs/>
          <w:szCs w:val="21"/>
        </w:rPr>
        <w:t>（3）符合性审查、资信技术评审结束后，公布符合性审查、资信技术评审无效供应商名称及理由；公布经资信技术评审后有效磋商响应供应商的名单。</w:t>
      </w:r>
    </w:p>
    <w:p>
      <w:pPr>
        <w:pStyle w:val="25"/>
        <w:snapToGrid w:val="0"/>
        <w:spacing w:beforeLines="0" w:afterLines="0" w:line="360" w:lineRule="auto"/>
        <w:ind w:firstLine="420" w:firstLineChars="200"/>
        <w:rPr>
          <w:rFonts w:hint="default" w:hAnsi="宋体"/>
          <w:bCs/>
          <w:szCs w:val="21"/>
        </w:rPr>
      </w:pPr>
      <w:r>
        <w:rPr>
          <w:rFonts w:hAnsi="宋体"/>
          <w:bCs/>
          <w:szCs w:val="21"/>
        </w:rPr>
        <w:t>（4）磋商小组对各响应单位在“政府采购云平台”上进行在线磋商。</w:t>
      </w:r>
    </w:p>
    <w:p>
      <w:pPr>
        <w:pStyle w:val="25"/>
        <w:snapToGrid w:val="0"/>
        <w:spacing w:beforeLines="0" w:afterLines="0" w:line="360" w:lineRule="auto"/>
        <w:ind w:firstLine="420" w:firstLineChars="200"/>
        <w:rPr>
          <w:rFonts w:hint="default" w:hAnsi="宋体"/>
          <w:bCs/>
          <w:szCs w:val="21"/>
        </w:rPr>
      </w:pPr>
      <w:r>
        <w:rPr>
          <w:rFonts w:hAnsi="宋体"/>
          <w:bCs/>
          <w:szCs w:val="21"/>
        </w:rPr>
        <w:t>（5）磋商结束后，开启符合性审查、资信技术评审有效磋商响应供应商的初次报价文件，经磋商小组评审及磋商，要求所有实质性响应的供应商在规定时间内提交最后报价，采购代理机构向各磋商响应供应商发出最终报价文件通知，由供应商按磋商文件规定的时间内自行填写最终报价加盖签章并上传。</w:t>
      </w:r>
    </w:p>
    <w:p>
      <w:pPr>
        <w:pStyle w:val="25"/>
        <w:snapToGrid w:val="0"/>
        <w:spacing w:beforeLines="0" w:afterLines="0" w:line="360" w:lineRule="auto"/>
        <w:ind w:firstLine="420" w:firstLineChars="200"/>
        <w:rPr>
          <w:rFonts w:hint="default" w:hAnsi="宋体"/>
          <w:bCs/>
          <w:szCs w:val="21"/>
        </w:rPr>
      </w:pPr>
      <w:r>
        <w:rPr>
          <w:rFonts w:hAnsi="宋体"/>
          <w:bCs/>
          <w:szCs w:val="21"/>
        </w:rPr>
        <w:t>（6）最后报价是磋商响应文件的有效组成部分。</w:t>
      </w:r>
    </w:p>
    <w:p>
      <w:pPr>
        <w:pStyle w:val="25"/>
        <w:snapToGrid w:val="0"/>
        <w:spacing w:beforeLines="0" w:afterLines="0" w:line="360" w:lineRule="auto"/>
        <w:ind w:firstLine="420" w:firstLineChars="200"/>
        <w:rPr>
          <w:rFonts w:hint="default" w:hAnsi="宋体"/>
          <w:bCs/>
          <w:szCs w:val="21"/>
        </w:rPr>
      </w:pPr>
      <w:r>
        <w:rPr>
          <w:rFonts w:hAnsi="宋体"/>
          <w:bCs/>
          <w:szCs w:val="21"/>
        </w:rPr>
        <w:t>（7）已提交首次磋商响应文件的供应商，在提交最后报价之前，若因磋商文件实质性变动导致供应商无法满足采购需求的，允许供应商退出磋商。</w:t>
      </w:r>
    </w:p>
    <w:p>
      <w:pPr>
        <w:pStyle w:val="25"/>
        <w:snapToGrid w:val="0"/>
        <w:spacing w:beforeLines="0" w:afterLines="0" w:line="360" w:lineRule="auto"/>
        <w:ind w:firstLine="420" w:firstLineChars="200"/>
        <w:rPr>
          <w:rFonts w:hint="default" w:hAnsi="宋体"/>
          <w:bCs/>
          <w:szCs w:val="21"/>
        </w:rPr>
      </w:pPr>
      <w:r>
        <w:rPr>
          <w:rFonts w:hAnsi="宋体"/>
          <w:bCs/>
          <w:szCs w:val="21"/>
        </w:rPr>
        <w:t>（8）公布其得分情况。供应商予以确认。（不予确认的应说明理由，否则视为无异议）</w:t>
      </w:r>
    </w:p>
    <w:p>
      <w:pPr>
        <w:pStyle w:val="43"/>
        <w:widowControl w:val="0"/>
        <w:snapToGrid w:val="0"/>
        <w:spacing w:beforeAutospacing="0" w:afterAutospacing="0" w:line="360" w:lineRule="auto"/>
        <w:ind w:firstLine="420" w:firstLineChars="200"/>
        <w:jc w:val="both"/>
        <w:rPr>
          <w:rFonts w:hAnsi="宋体"/>
          <w:bCs/>
          <w:sz w:val="21"/>
          <w:szCs w:val="21"/>
        </w:rPr>
      </w:pPr>
      <w:r>
        <w:rPr>
          <w:rFonts w:hint="eastAsia" w:hAnsi="宋体"/>
          <w:bCs/>
          <w:sz w:val="21"/>
          <w:szCs w:val="21"/>
        </w:rPr>
        <w:t>（9）磋商小组根据综合评分情况，每标项按照评审得分由高到低顺序推荐3名及以上成交候选供应商，并编写评审报告。若评审得分相同，则报价低者为成交候选人；评审得分且最终报价相同的则由抽签决定成交候选人。</w:t>
      </w:r>
    </w:p>
    <w:p>
      <w:pPr>
        <w:pStyle w:val="25"/>
        <w:snapToGrid w:val="0"/>
        <w:spacing w:beforeLines="0" w:afterLines="0" w:line="360" w:lineRule="auto"/>
        <w:ind w:firstLine="420" w:firstLineChars="200"/>
        <w:rPr>
          <w:rFonts w:hint="default" w:hAnsi="宋体"/>
          <w:bCs/>
          <w:szCs w:val="21"/>
        </w:rPr>
      </w:pPr>
      <w:r>
        <w:rPr>
          <w:rFonts w:hAnsi="宋体"/>
          <w:bCs/>
          <w:szCs w:val="21"/>
        </w:rPr>
        <w:t>（10）评审结束后，公布成交候选供应商名单，及采购人最终确定成交供应商名单的时间和公告方式等。</w:t>
      </w:r>
    </w:p>
    <w:p>
      <w:pPr>
        <w:pStyle w:val="43"/>
        <w:widowControl w:val="0"/>
        <w:snapToGrid w:val="0"/>
        <w:spacing w:beforeLines="50" w:beforeAutospacing="0" w:afterLines="50" w:afterAutospacing="0" w:line="360" w:lineRule="auto"/>
        <w:ind w:firstLine="420" w:firstLineChars="200"/>
        <w:jc w:val="both"/>
        <w:rPr>
          <w:rFonts w:hAnsi="宋体"/>
          <w:bCs/>
          <w:sz w:val="21"/>
          <w:szCs w:val="21"/>
        </w:rPr>
      </w:pPr>
      <w:r>
        <w:rPr>
          <w:rFonts w:hint="eastAsia" w:hAnsi="宋体"/>
          <w:bCs/>
          <w:sz w:val="21"/>
          <w:szCs w:val="21"/>
        </w:rPr>
        <w:t>注：在磋商过程中，磋商小组可以根据磋商文件和磋商情况实质性变动采购需求中的技术、服务要求（即本磋商文件第二章 采购需求）以及合同草案条款（即本磋商文件第五章 采购合同）；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pPr>
        <w:pStyle w:val="14"/>
        <w:widowControl w:val="0"/>
        <w:tabs>
          <w:tab w:val="clear" w:pos="454"/>
        </w:tabs>
        <w:snapToGrid w:val="0"/>
        <w:spacing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五、评审</w:t>
      </w:r>
    </w:p>
    <w:p>
      <w:pPr>
        <w:pStyle w:val="25"/>
        <w:snapToGrid w:val="0"/>
        <w:spacing w:beforeLines="0" w:afterLines="0" w:line="360" w:lineRule="auto"/>
        <w:ind w:left="690" w:leftChars="228" w:hanging="211" w:hangingChars="100"/>
        <w:rPr>
          <w:rFonts w:hint="default" w:hAnsi="宋体" w:cs="宋体"/>
          <w:b/>
        </w:rPr>
      </w:pPr>
      <w:r>
        <w:rPr>
          <w:rFonts w:hAnsi="宋体" w:cs="宋体"/>
          <w:b/>
        </w:rPr>
        <w:t>（一）组建磋商小组</w:t>
      </w:r>
    </w:p>
    <w:p>
      <w:pPr>
        <w:pStyle w:val="25"/>
        <w:snapToGrid w:val="0"/>
        <w:spacing w:beforeLines="0" w:afterLines="0" w:line="360" w:lineRule="auto"/>
        <w:ind w:firstLine="420" w:firstLineChars="200"/>
        <w:rPr>
          <w:rFonts w:hint="default" w:hAnsi="宋体" w:cs="宋体"/>
        </w:rPr>
      </w:pPr>
      <w:r>
        <w:rPr>
          <w:rFonts w:hAnsi="宋体" w:cs="宋体"/>
        </w:rPr>
        <w:t>磋商小组由政府采购评审专家或采购人代表共3人或以上单数组成，其中评审专家人数不得少于磋商小组成员总数的2/3。</w:t>
      </w:r>
    </w:p>
    <w:p>
      <w:pPr>
        <w:pStyle w:val="25"/>
        <w:snapToGrid w:val="0"/>
        <w:spacing w:beforeLines="0" w:afterLines="0" w:line="360" w:lineRule="auto"/>
        <w:ind w:left="690" w:leftChars="228" w:hanging="211" w:hangingChars="100"/>
        <w:rPr>
          <w:rFonts w:hint="default" w:hAnsi="宋体" w:cs="宋体"/>
          <w:b/>
        </w:rPr>
      </w:pPr>
      <w:r>
        <w:rPr>
          <w:rFonts w:hAnsi="宋体" w:cs="宋体"/>
          <w:b/>
        </w:rPr>
        <w:t>（二）评审的方式</w:t>
      </w:r>
    </w:p>
    <w:p>
      <w:pPr>
        <w:pStyle w:val="25"/>
        <w:snapToGrid w:val="0"/>
        <w:spacing w:beforeLines="0" w:afterLines="0" w:line="360" w:lineRule="auto"/>
        <w:ind w:left="689" w:leftChars="228" w:hanging="210" w:hangingChars="100"/>
        <w:rPr>
          <w:rFonts w:hint="default" w:hAnsi="宋体" w:cs="宋体"/>
        </w:rPr>
      </w:pPr>
      <w:r>
        <w:rPr>
          <w:rFonts w:hAnsi="宋体" w:cs="宋体"/>
        </w:rPr>
        <w:t>本项目采用不公开方式评审，评审的依据为磋商采购文件和响应文件。</w:t>
      </w:r>
    </w:p>
    <w:p>
      <w:pPr>
        <w:pStyle w:val="25"/>
        <w:snapToGrid w:val="0"/>
        <w:spacing w:beforeLines="0" w:afterLines="0" w:line="360" w:lineRule="auto"/>
        <w:ind w:left="690" w:leftChars="228" w:hanging="211" w:hangingChars="100"/>
        <w:rPr>
          <w:rFonts w:hint="default" w:hAnsi="宋体" w:cs="宋体"/>
          <w:b/>
        </w:rPr>
      </w:pPr>
      <w:r>
        <w:rPr>
          <w:rFonts w:hAnsi="宋体" w:cs="宋体"/>
          <w:b/>
        </w:rPr>
        <w:t>（三）</w:t>
      </w:r>
      <w:r>
        <w:rPr>
          <w:rFonts w:hAnsi="宋体" w:cs="宋体"/>
          <w:b/>
          <w:bCs/>
        </w:rPr>
        <w:t>评审程序</w:t>
      </w:r>
    </w:p>
    <w:p>
      <w:pPr>
        <w:snapToGrid w:val="0"/>
        <w:spacing w:line="360" w:lineRule="auto"/>
        <w:ind w:firstLine="413" w:firstLineChars="196"/>
        <w:rPr>
          <w:rFonts w:ascii="宋体" w:hAnsi="宋体" w:cs="宋体"/>
          <w:b/>
          <w:szCs w:val="21"/>
        </w:rPr>
      </w:pPr>
      <w:r>
        <w:rPr>
          <w:rFonts w:hint="eastAsia" w:ascii="宋体" w:hAnsi="宋体" w:cs="宋体"/>
          <w:b/>
          <w:szCs w:val="21"/>
        </w:rPr>
        <w:t>1.形式审查</w:t>
      </w:r>
    </w:p>
    <w:p>
      <w:pPr>
        <w:snapToGrid w:val="0"/>
        <w:spacing w:line="360" w:lineRule="auto"/>
        <w:ind w:firstLine="420" w:firstLineChars="200"/>
        <w:rPr>
          <w:rFonts w:ascii="宋体" w:hAnsi="宋体" w:cs="宋体"/>
          <w:b/>
          <w:szCs w:val="21"/>
        </w:rPr>
      </w:pPr>
      <w:r>
        <w:rPr>
          <w:rFonts w:hint="eastAsia" w:ascii="宋体" w:hAnsi="宋体" w:cs="宋体"/>
          <w:szCs w:val="21"/>
        </w:rPr>
        <w:t>采购人代表和代理机构工作人员协助磋商小组对供应商的资格和响应文件的完整性、合法性等进行审查。</w:t>
      </w:r>
    </w:p>
    <w:p>
      <w:pPr>
        <w:snapToGrid w:val="0"/>
        <w:spacing w:line="360" w:lineRule="auto"/>
        <w:ind w:firstLine="413" w:firstLineChars="196"/>
        <w:rPr>
          <w:rFonts w:ascii="宋体" w:hAnsi="宋体" w:cs="宋体"/>
          <w:b/>
          <w:szCs w:val="21"/>
        </w:rPr>
      </w:pPr>
      <w:r>
        <w:rPr>
          <w:rFonts w:hint="eastAsia" w:ascii="宋体" w:hAnsi="宋体" w:cs="宋体"/>
          <w:b/>
          <w:szCs w:val="21"/>
        </w:rPr>
        <w:t>2.实质审查与比较</w:t>
      </w:r>
    </w:p>
    <w:p>
      <w:pPr>
        <w:snapToGrid w:val="0"/>
        <w:spacing w:line="360" w:lineRule="auto"/>
        <w:ind w:firstLine="420" w:firstLineChars="200"/>
        <w:rPr>
          <w:rFonts w:ascii="宋体" w:hAnsi="宋体" w:cs="宋体"/>
          <w:szCs w:val="21"/>
        </w:rPr>
      </w:pPr>
      <w:r>
        <w:rPr>
          <w:rFonts w:hint="eastAsia" w:ascii="宋体" w:hAnsi="宋体" w:cs="宋体"/>
          <w:szCs w:val="21"/>
        </w:rPr>
        <w:t>（1）磋商小组审查响应文件的实质性内容是否符合磋商采购文件的实质性要求。</w:t>
      </w:r>
    </w:p>
    <w:p>
      <w:pPr>
        <w:snapToGrid w:val="0"/>
        <w:spacing w:line="360" w:lineRule="auto"/>
        <w:ind w:firstLine="420" w:firstLineChars="200"/>
        <w:rPr>
          <w:rFonts w:ascii="宋体" w:hAnsi="宋体" w:cs="宋体"/>
          <w:szCs w:val="21"/>
        </w:rPr>
      </w:pPr>
      <w:r>
        <w:rPr>
          <w:rFonts w:hint="eastAsia" w:ascii="宋体" w:hAnsi="宋体" w:cs="宋体"/>
          <w:szCs w:val="21"/>
        </w:rPr>
        <w:t>（2）磋商小组将根据供应商的响应文件进行审查、核对,如有疑问,将对供应商进行询问,供应商要向磋商小组澄清有关问题,并最终以书面形式进行答复。</w:t>
      </w:r>
    </w:p>
    <w:p>
      <w:pPr>
        <w:snapToGrid w:val="0"/>
        <w:spacing w:line="360" w:lineRule="auto"/>
        <w:ind w:firstLine="420" w:firstLineChars="200"/>
        <w:rPr>
          <w:rFonts w:ascii="宋体" w:hAnsi="宋体" w:cs="宋体"/>
          <w:szCs w:val="21"/>
        </w:rPr>
      </w:pPr>
      <w:r>
        <w:rPr>
          <w:rFonts w:hint="eastAsia" w:ascii="宋体" w:hAnsi="宋体" w:cs="宋体"/>
          <w:szCs w:val="21"/>
        </w:rPr>
        <w:t>供应商代表未到场或者拒绝澄清或者澄清的内容改变了响应文件的实质性内容的，磋商小组有权对该响应文件作出不利于供应商的评判。</w:t>
      </w:r>
    </w:p>
    <w:p>
      <w:pPr>
        <w:snapToGrid w:val="0"/>
        <w:spacing w:line="360" w:lineRule="auto"/>
        <w:ind w:firstLine="420" w:firstLineChars="200"/>
        <w:rPr>
          <w:rFonts w:ascii="宋体" w:hAnsi="宋体" w:cs="宋体"/>
          <w:szCs w:val="21"/>
        </w:rPr>
      </w:pPr>
      <w:r>
        <w:rPr>
          <w:rFonts w:hint="eastAsia" w:ascii="宋体" w:hAnsi="宋体" w:cs="宋体"/>
          <w:szCs w:val="21"/>
        </w:rPr>
        <w:t>（3）各供应商的技术商务得分为所有磋商小组成员的有效评分的算术平均数，由指定专人进行计算复核。</w:t>
      </w:r>
    </w:p>
    <w:p>
      <w:pPr>
        <w:snapToGrid w:val="0"/>
        <w:spacing w:line="360" w:lineRule="auto"/>
        <w:ind w:firstLine="420" w:firstLineChars="200"/>
        <w:rPr>
          <w:rFonts w:ascii="宋体" w:hAnsi="宋体" w:cs="宋体"/>
          <w:szCs w:val="21"/>
        </w:rPr>
      </w:pPr>
      <w:r>
        <w:rPr>
          <w:rFonts w:hint="eastAsia" w:ascii="宋体" w:hAnsi="宋体" w:cs="宋体"/>
          <w:szCs w:val="21"/>
        </w:rPr>
        <w:t>（4）代理机构工作人员协助磋商小组根据本项目的评分标准计算各供应商的报价得分。</w:t>
      </w:r>
    </w:p>
    <w:p>
      <w:pPr>
        <w:snapToGrid w:val="0"/>
        <w:spacing w:line="360" w:lineRule="auto"/>
        <w:ind w:firstLine="420" w:firstLineChars="200"/>
        <w:rPr>
          <w:rFonts w:ascii="宋体" w:hAnsi="宋体" w:cs="宋体"/>
          <w:szCs w:val="21"/>
        </w:rPr>
      </w:pPr>
      <w:r>
        <w:rPr>
          <w:rFonts w:hint="eastAsia" w:ascii="宋体" w:hAnsi="宋体" w:cs="宋体"/>
          <w:szCs w:val="21"/>
        </w:rPr>
        <w:t>（5）磋商小组完成评审后,评审成员对各部分得分汇总，计算出本项目最终得分。磋商小组按评审原则推荐成交候选供应商同时起草评审报告。</w:t>
      </w:r>
    </w:p>
    <w:p>
      <w:pPr>
        <w:snapToGrid w:val="0"/>
        <w:spacing w:line="360" w:lineRule="auto"/>
        <w:ind w:firstLine="422" w:firstLineChars="200"/>
        <w:rPr>
          <w:rFonts w:ascii="宋体" w:hAnsi="宋体" w:cs="宋体"/>
          <w:b/>
          <w:szCs w:val="21"/>
        </w:rPr>
      </w:pPr>
      <w:r>
        <w:rPr>
          <w:rFonts w:hint="eastAsia" w:ascii="宋体" w:hAnsi="宋体" w:cs="宋体"/>
          <w:b/>
          <w:szCs w:val="21"/>
        </w:rPr>
        <w:t>（四）澄清问题的形式</w:t>
      </w:r>
    </w:p>
    <w:p>
      <w:pPr>
        <w:snapToGrid w:val="0"/>
        <w:spacing w:line="360" w:lineRule="auto"/>
        <w:ind w:firstLine="420" w:firstLineChars="200"/>
        <w:rPr>
          <w:rFonts w:ascii="宋体" w:hAnsi="宋体" w:cs="宋体"/>
          <w:szCs w:val="21"/>
        </w:rPr>
      </w:pPr>
      <w:r>
        <w:rPr>
          <w:rFonts w:hint="eastAsia" w:ascii="宋体" w:hAnsi="宋体" w:cs="宋体"/>
          <w:szCs w:val="21"/>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pPr>
        <w:snapToGrid w:val="0"/>
        <w:spacing w:line="360" w:lineRule="auto"/>
        <w:ind w:firstLine="422" w:firstLineChars="200"/>
        <w:rPr>
          <w:rFonts w:ascii="宋体" w:hAnsi="宋体" w:cs="宋体"/>
          <w:b/>
          <w:szCs w:val="21"/>
        </w:rPr>
      </w:pPr>
      <w:r>
        <w:rPr>
          <w:rFonts w:hint="eastAsia" w:ascii="宋体" w:hAnsi="宋体" w:cs="宋体"/>
          <w:b/>
          <w:szCs w:val="21"/>
        </w:rPr>
        <w:t>（五） 错误修正</w:t>
      </w:r>
    </w:p>
    <w:p>
      <w:pPr>
        <w:snapToGrid w:val="0"/>
        <w:spacing w:line="360" w:lineRule="auto"/>
        <w:ind w:firstLine="420" w:firstLineChars="200"/>
        <w:rPr>
          <w:rFonts w:ascii="宋体" w:hAnsi="宋体" w:cs="宋体"/>
          <w:szCs w:val="21"/>
        </w:rPr>
      </w:pPr>
      <w:r>
        <w:rPr>
          <w:rFonts w:hint="eastAsia" w:ascii="宋体" w:hAnsi="宋体" w:cs="宋体"/>
          <w:szCs w:val="21"/>
        </w:rPr>
        <w:t>响应文件如果出现计算或表达上的错误，修正错误的原则如下：</w:t>
      </w:r>
    </w:p>
    <w:p>
      <w:pPr>
        <w:snapToGrid w:val="0"/>
        <w:spacing w:line="360" w:lineRule="auto"/>
        <w:ind w:firstLine="420" w:firstLineChars="200"/>
        <w:rPr>
          <w:rFonts w:ascii="宋体" w:hAnsi="宋体" w:cs="宋体"/>
          <w:szCs w:val="21"/>
        </w:rPr>
      </w:pPr>
      <w:r>
        <w:rPr>
          <w:rFonts w:hint="eastAsia" w:ascii="宋体" w:hAnsi="宋体" w:cs="宋体"/>
          <w:szCs w:val="21"/>
        </w:rPr>
        <w:t>1.响应文件的大写金额和小写金额不一致的，以大写金额为准；</w:t>
      </w:r>
    </w:p>
    <w:p>
      <w:pPr>
        <w:snapToGrid w:val="0"/>
        <w:spacing w:line="360" w:lineRule="auto"/>
        <w:ind w:firstLine="420" w:firstLineChars="200"/>
        <w:rPr>
          <w:rFonts w:ascii="宋体" w:hAnsi="宋体" w:cs="宋体"/>
          <w:szCs w:val="21"/>
        </w:rPr>
      </w:pPr>
      <w:r>
        <w:rPr>
          <w:rFonts w:hint="eastAsia" w:ascii="宋体" w:hAnsi="宋体" w:cs="宋体"/>
          <w:szCs w:val="21"/>
        </w:rPr>
        <w:t>2.政采云平台填报的开标一览表中的初次的报价与上传的报价文件中开标一览表的初次的报价不一致的，以上传的报价文件为准；</w:t>
      </w:r>
    </w:p>
    <w:p>
      <w:pPr>
        <w:snapToGrid w:val="0"/>
        <w:spacing w:line="360" w:lineRule="auto"/>
        <w:ind w:firstLine="420" w:firstLineChars="200"/>
        <w:rPr>
          <w:rFonts w:ascii="宋体" w:hAnsi="宋体" w:cs="宋体"/>
          <w:szCs w:val="21"/>
        </w:rPr>
      </w:pPr>
      <w:r>
        <w:rPr>
          <w:rFonts w:hint="eastAsia" w:ascii="宋体" w:hAnsi="宋体" w:cs="宋体"/>
          <w:szCs w:val="21"/>
        </w:rPr>
        <w:t>3.总价与按单价汇总金额不一致的，以单价金额计算结果为准；</w:t>
      </w:r>
    </w:p>
    <w:p>
      <w:pPr>
        <w:snapToGrid w:val="0"/>
        <w:spacing w:line="360" w:lineRule="auto"/>
        <w:ind w:firstLine="420" w:firstLineChars="200"/>
        <w:rPr>
          <w:rFonts w:ascii="宋体" w:hAnsi="宋体" w:cs="宋体"/>
          <w:szCs w:val="21"/>
        </w:rPr>
      </w:pPr>
      <w:r>
        <w:rPr>
          <w:rFonts w:hint="eastAsia" w:ascii="宋体" w:hAnsi="宋体" w:cs="宋体"/>
          <w:szCs w:val="21"/>
        </w:rPr>
        <w:t>4.对不同文字文本响应文件的解释发生异议的，以中文文本为准。</w:t>
      </w:r>
    </w:p>
    <w:p>
      <w:pPr>
        <w:snapToGrid w:val="0"/>
        <w:spacing w:line="360" w:lineRule="auto"/>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同时出现两种以上不一致的，按照前款规定的顺序修正。修正后的报价按照磋商响应文件澄清的规定经供应商确认后产生约束力，供应商不确认的，其响应无效。</w:t>
      </w:r>
    </w:p>
    <w:p>
      <w:pPr>
        <w:pStyle w:val="43"/>
        <w:widowControl w:val="0"/>
        <w:tabs>
          <w:tab w:val="left" w:pos="630"/>
        </w:tabs>
        <w:snapToGrid w:val="0"/>
        <w:spacing w:beforeLines="50" w:beforeAutospacing="0" w:afterLines="50" w:afterAutospacing="0" w:line="360" w:lineRule="auto"/>
        <w:ind w:firstLine="413" w:firstLineChars="196"/>
        <w:jc w:val="both"/>
        <w:rPr>
          <w:rFonts w:ascii="宋体" w:hAnsi="宋体" w:cs="宋体"/>
          <w:b/>
          <w:sz w:val="21"/>
          <w:szCs w:val="21"/>
        </w:rPr>
      </w:pPr>
      <w:r>
        <w:rPr>
          <w:rFonts w:hint="eastAsia" w:ascii="宋体" w:hAnsi="宋体" w:cs="宋体"/>
          <w:b/>
          <w:kern w:val="2"/>
          <w:sz w:val="21"/>
          <w:szCs w:val="21"/>
        </w:rPr>
        <w:t>（六）评审原则和评审办法</w:t>
      </w:r>
    </w:p>
    <w:p>
      <w:pPr>
        <w:pStyle w:val="43"/>
        <w:widowControl w:val="0"/>
        <w:snapToGrid w:val="0"/>
        <w:spacing w:beforeLines="50" w:beforeAutospacing="0" w:afterLines="50" w:afterAutospacing="0" w:line="360" w:lineRule="auto"/>
        <w:ind w:firstLine="420" w:firstLineChars="200"/>
        <w:jc w:val="both"/>
        <w:rPr>
          <w:rFonts w:ascii="宋体" w:hAnsi="宋体" w:cs="宋体"/>
          <w:sz w:val="21"/>
          <w:szCs w:val="21"/>
        </w:rPr>
      </w:pPr>
      <w:r>
        <w:rPr>
          <w:rFonts w:hint="eastAsia" w:ascii="宋体" w:hAnsi="宋体" w:cs="宋体"/>
          <w:kern w:val="2"/>
          <w:sz w:val="21"/>
          <w:szCs w:val="21"/>
        </w:rPr>
        <w:t>1.评审原则。磋商小组必须公平、公正、客观，不带任何倾向性和启发性；不得向外界透露任何与评审有关的内容；任何单位和个人不得干扰、影响评审的正常进行；磋商小组及有关工作人员不得私下与供应商接触。</w:t>
      </w:r>
    </w:p>
    <w:p>
      <w:pPr>
        <w:pStyle w:val="43"/>
        <w:widowControl w:val="0"/>
        <w:snapToGrid w:val="0"/>
        <w:spacing w:beforeLines="50" w:beforeAutospacing="0" w:afterLines="50" w:afterAutospacing="0" w:line="360" w:lineRule="auto"/>
        <w:ind w:firstLine="420" w:firstLineChars="200"/>
        <w:jc w:val="both"/>
        <w:rPr>
          <w:rFonts w:ascii="宋体" w:hAnsi="宋体" w:cs="宋体"/>
          <w:sz w:val="21"/>
          <w:szCs w:val="21"/>
        </w:rPr>
      </w:pPr>
      <w:r>
        <w:rPr>
          <w:rFonts w:hint="eastAsia" w:ascii="宋体" w:hAnsi="宋体" w:cs="宋体"/>
          <w:kern w:val="2"/>
          <w:sz w:val="21"/>
          <w:szCs w:val="21"/>
        </w:rPr>
        <w:t>2.评审办法。本项目评审办法是</w:t>
      </w:r>
      <w:r>
        <w:rPr>
          <w:rFonts w:hint="eastAsia" w:ascii="宋体" w:hAnsi="宋体" w:cs="宋体"/>
          <w:b/>
          <w:kern w:val="2"/>
          <w:sz w:val="21"/>
          <w:szCs w:val="21"/>
          <w:u w:val="single"/>
        </w:rPr>
        <w:t xml:space="preserve"> 综合评分法</w:t>
      </w:r>
      <w:r>
        <w:rPr>
          <w:rFonts w:hint="eastAsia" w:ascii="宋体" w:hAnsi="宋体" w:cs="宋体"/>
          <w:kern w:val="2"/>
          <w:sz w:val="21"/>
          <w:szCs w:val="21"/>
          <w:u w:val="single"/>
        </w:rPr>
        <w:t xml:space="preserve"> </w:t>
      </w:r>
      <w:r>
        <w:rPr>
          <w:rFonts w:hint="eastAsia" w:ascii="宋体" w:hAnsi="宋体" w:cs="宋体"/>
          <w:kern w:val="2"/>
          <w:sz w:val="21"/>
          <w:szCs w:val="21"/>
        </w:rPr>
        <w:t>，具体评审内容及评分标准等具体见《第四章：评审办法及评分标准》。</w:t>
      </w:r>
    </w:p>
    <w:p>
      <w:pPr>
        <w:pStyle w:val="43"/>
        <w:widowControl w:val="0"/>
        <w:snapToGrid w:val="0"/>
        <w:spacing w:beforeLines="50" w:beforeAutospacing="0" w:afterLines="50" w:afterAutospacing="0" w:line="360" w:lineRule="auto"/>
        <w:ind w:firstLine="422" w:firstLineChars="200"/>
        <w:jc w:val="both"/>
        <w:rPr>
          <w:rFonts w:ascii="宋体" w:hAnsi="宋体" w:cs="宋体"/>
          <w:b/>
          <w:bCs/>
          <w:sz w:val="21"/>
          <w:szCs w:val="21"/>
        </w:rPr>
      </w:pPr>
      <w:r>
        <w:rPr>
          <w:rFonts w:hint="eastAsia" w:ascii="宋体" w:hAnsi="宋体" w:cs="宋体"/>
          <w:b/>
          <w:kern w:val="2"/>
          <w:sz w:val="21"/>
          <w:szCs w:val="21"/>
        </w:rPr>
        <w:t>六、确定成交供应商：</w:t>
      </w:r>
      <w:r>
        <w:rPr>
          <w:rFonts w:hint="eastAsia" w:ascii="宋体" w:hAnsi="宋体" w:cs="宋体"/>
          <w:b/>
          <w:bCs/>
          <w:kern w:val="2"/>
          <w:sz w:val="21"/>
          <w:szCs w:val="21"/>
        </w:rPr>
        <w:t>本项目由采购人确定成交供应商。</w:t>
      </w:r>
    </w:p>
    <w:p>
      <w:pPr>
        <w:snapToGrid w:val="0"/>
        <w:spacing w:line="360" w:lineRule="auto"/>
        <w:ind w:firstLine="420" w:firstLineChars="200"/>
        <w:rPr>
          <w:rFonts w:ascii="宋体" w:hAnsi="宋体" w:cs="宋体"/>
          <w:szCs w:val="21"/>
        </w:rPr>
      </w:pPr>
      <w:r>
        <w:rPr>
          <w:rFonts w:hint="eastAsia" w:ascii="宋体" w:hAnsi="宋体" w:cs="宋体"/>
          <w:szCs w:val="21"/>
        </w:rPr>
        <w:t>采购代理机构在评标结束后2个工作日内将评审报告交采购人确认，采购人自收到评审报告之日起5个工作日内在评审报告推荐的每标项成交候选供应商中按由高到低的顺序确定成交供应商，并在浙江政府采购网政采云平台、宁波市公共资源交易网（北仑区分网）和</w:t>
      </w:r>
      <w:r>
        <w:rPr>
          <w:rFonts w:hint="eastAsia" w:ascii="宋体" w:hAnsi="宋体" w:cs="宋体"/>
          <w:bCs/>
          <w:szCs w:val="21"/>
        </w:rPr>
        <w:t>宁波中基国际招标有限公司网上</w:t>
      </w:r>
      <w:r>
        <w:rPr>
          <w:rFonts w:hint="eastAsia" w:ascii="宋体" w:hAnsi="宋体" w:cs="宋体"/>
          <w:szCs w:val="21"/>
        </w:rPr>
        <w:t>对成交结果进行公示。</w:t>
      </w:r>
    </w:p>
    <w:p>
      <w:pPr>
        <w:pStyle w:val="43"/>
        <w:widowControl w:val="0"/>
        <w:snapToGrid w:val="0"/>
        <w:spacing w:beforeLines="50" w:beforeAutospacing="0" w:afterLines="50" w:afterAutospacing="0" w:line="360" w:lineRule="auto"/>
        <w:ind w:firstLine="420"/>
        <w:jc w:val="both"/>
        <w:rPr>
          <w:rFonts w:ascii="宋体" w:hAnsi="宋体" w:cs="宋体"/>
          <w:szCs w:val="21"/>
        </w:rPr>
      </w:pPr>
      <w:r>
        <w:rPr>
          <w:rFonts w:hint="eastAsia" w:ascii="宋体" w:hAnsi="宋体" w:cs="宋体"/>
          <w:kern w:val="2"/>
          <w:sz w:val="21"/>
          <w:szCs w:val="21"/>
        </w:rPr>
        <w:t xml:space="preserve">其他事项：供应商认为该成交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pPr>
        <w:pStyle w:val="43"/>
        <w:widowControl w:val="0"/>
        <w:snapToGrid w:val="0"/>
        <w:spacing w:beforeLines="50" w:beforeAutospacing="0" w:afterLines="50" w:afterAutospacing="0" w:line="360" w:lineRule="auto"/>
        <w:ind w:firstLine="422" w:firstLineChars="200"/>
        <w:jc w:val="both"/>
        <w:rPr>
          <w:rFonts w:ascii="宋体" w:hAnsi="宋体" w:cs="宋体"/>
          <w:b/>
          <w:sz w:val="21"/>
          <w:szCs w:val="21"/>
        </w:rPr>
      </w:pPr>
      <w:r>
        <w:rPr>
          <w:rFonts w:hint="eastAsia" w:ascii="宋体" w:hAnsi="宋体" w:cs="宋体"/>
          <w:b/>
          <w:kern w:val="2"/>
          <w:sz w:val="21"/>
          <w:szCs w:val="21"/>
        </w:rPr>
        <w:t>七、合同授予</w:t>
      </w:r>
    </w:p>
    <w:p>
      <w:pPr>
        <w:snapToGrid w:val="0"/>
        <w:spacing w:line="360" w:lineRule="auto"/>
        <w:ind w:firstLine="420" w:firstLineChars="200"/>
        <w:rPr>
          <w:rFonts w:ascii="宋体" w:hAnsi="宋体" w:cs="宋体"/>
        </w:rPr>
      </w:pPr>
      <w:r>
        <w:rPr>
          <w:rFonts w:hint="eastAsia" w:ascii="宋体" w:hAnsi="宋体" w:cs="宋体"/>
          <w:szCs w:val="21"/>
        </w:rPr>
        <w:t>1.采购人与成交供应商应当在《成交通知书》发出之日起</w:t>
      </w:r>
      <w:r>
        <w:rPr>
          <w:rFonts w:hint="eastAsia" w:ascii="宋体" w:hAnsi="宋体" w:cs="宋体"/>
          <w:b/>
          <w:szCs w:val="21"/>
          <w:u w:val="single"/>
        </w:rPr>
        <w:t>30</w:t>
      </w:r>
      <w:r>
        <w:rPr>
          <w:rFonts w:hint="eastAsia" w:ascii="宋体" w:hAnsi="宋体" w:cs="宋体"/>
          <w:szCs w:val="21"/>
        </w:rPr>
        <w:t>日内签订合同。</w:t>
      </w:r>
    </w:p>
    <w:p>
      <w:pPr>
        <w:tabs>
          <w:tab w:val="left" w:pos="518"/>
        </w:tabs>
        <w:adjustRightInd w:val="0"/>
        <w:snapToGrid w:val="0"/>
        <w:spacing w:line="360" w:lineRule="auto"/>
        <w:ind w:firstLine="241" w:firstLineChars="100"/>
        <w:rPr>
          <w:rFonts w:ascii="宋体" w:hAnsi="宋体" w:cs="宋体"/>
          <w:b/>
          <w:szCs w:val="21"/>
        </w:rPr>
      </w:pPr>
      <w:r>
        <w:rPr>
          <w:rFonts w:hint="eastAsia" w:ascii="宋体" w:hAnsi="宋体" w:cs="宋体"/>
          <w:b/>
          <w:sz w:val="24"/>
        </w:rPr>
        <w:t xml:space="preserve"> </w:t>
      </w:r>
      <w:r>
        <w:rPr>
          <w:rFonts w:hint="eastAsia" w:ascii="宋体" w:hAnsi="宋体" w:cs="宋体"/>
          <w:b/>
          <w:szCs w:val="21"/>
        </w:rPr>
        <w:t xml:space="preserve"> 八、特别说明</w:t>
      </w:r>
    </w:p>
    <w:p>
      <w:pPr>
        <w:snapToGrid w:val="0"/>
        <w:spacing w:line="360" w:lineRule="auto"/>
        <w:ind w:firstLine="420" w:firstLineChars="200"/>
        <w:rPr>
          <w:rFonts w:ascii="宋体" w:hAnsi="宋体" w:cs="宋体"/>
        </w:rPr>
      </w:pPr>
      <w:r>
        <w:rPr>
          <w:rFonts w:hint="eastAsia" w:ascii="宋体" w:hAnsi="宋体" w:cs="宋体"/>
        </w:rPr>
        <w:t xml:space="preserve">1.本项目 </w:t>
      </w:r>
      <w:r>
        <w:rPr>
          <w:rFonts w:hint="eastAsia" w:ascii="宋体" w:hAnsi="宋体" w:cs="宋体"/>
          <w:b/>
          <w:bCs/>
          <w:u w:val="single"/>
        </w:rPr>
        <w:t xml:space="preserve"> 是 </w:t>
      </w:r>
      <w:r>
        <w:rPr>
          <w:rFonts w:hint="eastAsia" w:ascii="宋体" w:hAnsi="宋体" w:cs="宋体"/>
        </w:rPr>
        <w:t>专门面向中小企业采购。</w:t>
      </w:r>
    </w:p>
    <w:p>
      <w:pPr>
        <w:snapToGrid w:val="0"/>
        <w:spacing w:line="360" w:lineRule="auto"/>
        <w:ind w:firstLine="420" w:firstLineChars="200"/>
        <w:rPr>
          <w:rFonts w:ascii="宋体" w:hAnsi="宋体" w:cs="宋体"/>
        </w:rPr>
      </w:pPr>
      <w:r>
        <w:rPr>
          <w:rFonts w:hint="eastAsia" w:ascii="宋体" w:hAnsi="宋体" w:cs="宋体"/>
        </w:rPr>
        <w:t>2.本项目对应的中小企业划分标准所属行业：</w:t>
      </w:r>
      <w:r>
        <w:rPr>
          <w:rFonts w:hint="eastAsia" w:ascii="宋体" w:hAnsi="宋体" w:cs="宋体"/>
          <w:u w:val="single"/>
        </w:rPr>
        <w:t xml:space="preserve"> 租赁和商务服务业  </w:t>
      </w:r>
      <w:r>
        <w:rPr>
          <w:rFonts w:hint="eastAsia" w:ascii="宋体" w:hAnsi="宋体" w:cs="宋体"/>
        </w:rPr>
        <w:t xml:space="preserve">。 </w:t>
      </w:r>
    </w:p>
    <w:p>
      <w:pPr>
        <w:snapToGrid w:val="0"/>
        <w:spacing w:line="360" w:lineRule="auto"/>
        <w:ind w:firstLine="420" w:firstLineChars="200"/>
        <w:rPr>
          <w:rFonts w:ascii="宋体" w:hAnsi="宋体" w:cs="宋体"/>
        </w:rPr>
      </w:pPr>
      <w:r>
        <w:rPr>
          <w:rFonts w:hint="eastAsia" w:ascii="宋体" w:hAnsi="宋体" w:cs="宋体"/>
        </w:rPr>
        <w:t>3.中小企业是指中华人民共和国境内依法设立，依据国务院批准的中小企业划分标准确定的中型企业、小型企业和微型企业，但与大企业的负责人为同一人，或者与大企业存在直接控股、管理关系的除外。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pPr>
        <w:snapToGrid w:val="0"/>
        <w:spacing w:line="360" w:lineRule="auto"/>
        <w:ind w:firstLine="420" w:firstLineChars="200"/>
        <w:rPr>
          <w:rFonts w:ascii="宋体" w:hAnsi="宋体" w:cs="宋体"/>
        </w:rPr>
      </w:pPr>
      <w:r>
        <w:rPr>
          <w:rFonts w:hint="eastAsia" w:ascii="宋体" w:hAnsi="宋体" w:cs="宋体"/>
        </w:rPr>
        <w:t>国务院批准的中小企业划分标准：具体见工信部联企业[2011]300号。</w:t>
      </w:r>
    </w:p>
    <w:p>
      <w:pPr>
        <w:snapToGrid w:val="0"/>
        <w:spacing w:line="360" w:lineRule="auto"/>
        <w:ind w:firstLine="420" w:firstLineChars="200"/>
        <w:rPr>
          <w:rFonts w:ascii="宋体" w:hAnsi="宋体" w:cs="宋体"/>
        </w:rPr>
      </w:pPr>
      <w:r>
        <w:rPr>
          <w:rFonts w:hint="eastAsia" w:ascii="宋体" w:hAnsi="宋体" w:cs="宋体"/>
        </w:rPr>
        <w:t>4.在政府采购活动中，供应商提供的货物、工程或者服务符合下列情形的，可享受中型、小型、微型企业（以下简称中小企业）的政策：</w:t>
      </w:r>
    </w:p>
    <w:p>
      <w:pPr>
        <w:spacing w:line="360" w:lineRule="auto"/>
        <w:rPr>
          <w:rFonts w:ascii="宋体" w:hAnsi="宋体" w:cs="宋体"/>
        </w:rPr>
      </w:pPr>
      <w:r>
        <w:rPr>
          <w:rFonts w:hint="eastAsia" w:ascii="宋体" w:hAnsi="宋体" w:cs="宋体"/>
        </w:rPr>
        <w:t>（1）在货物采购项目中，货物由中小企业制造，即货物由中小企业生产且使用该中小企业商号或者注册商标；</w:t>
      </w:r>
    </w:p>
    <w:p>
      <w:pPr>
        <w:spacing w:line="360" w:lineRule="auto"/>
        <w:rPr>
          <w:rFonts w:ascii="宋体" w:hAnsi="宋体" w:cs="宋体"/>
        </w:rPr>
      </w:pPr>
      <w:r>
        <w:rPr>
          <w:rFonts w:hint="eastAsia" w:ascii="宋体" w:hAnsi="宋体" w:cs="宋体"/>
        </w:rPr>
        <w:t>（2）在工程采购项目中，工程由中小企业承建，即工程施工单位为中小企业；</w:t>
      </w:r>
    </w:p>
    <w:p>
      <w:pPr>
        <w:spacing w:line="360" w:lineRule="auto"/>
        <w:rPr>
          <w:rFonts w:ascii="宋体" w:hAnsi="宋体" w:cs="宋体"/>
        </w:rPr>
      </w:pPr>
      <w:r>
        <w:rPr>
          <w:rFonts w:hint="eastAsia" w:ascii="宋体" w:hAnsi="宋体" w:cs="宋体"/>
        </w:rPr>
        <w:t>（3）在服务采购项目中，服务由中小企业承接，即提供服务的人员为中小企业依照《中华人民共和国劳动合同法》订立劳动合同的从业人员。</w:t>
      </w:r>
    </w:p>
    <w:p>
      <w:pPr>
        <w:snapToGrid w:val="0"/>
        <w:spacing w:line="360" w:lineRule="auto"/>
        <w:ind w:firstLine="420" w:firstLineChars="200"/>
        <w:rPr>
          <w:rFonts w:ascii="宋体" w:hAnsi="宋体" w:cs="宋体"/>
        </w:rPr>
      </w:pPr>
      <w:r>
        <w:rPr>
          <w:rFonts w:hint="eastAsia" w:ascii="宋体" w:hAnsi="宋体" w:cs="宋体"/>
        </w:rPr>
        <w:t>5.在货物采购项目中，供应商提供的货物既有中小企业制造货物，也有大型企业制造货物的，不享受的中小的政策。</w:t>
      </w:r>
    </w:p>
    <w:p>
      <w:pPr>
        <w:snapToGrid w:val="0"/>
        <w:spacing w:line="360" w:lineRule="auto"/>
        <w:ind w:firstLine="420" w:firstLineChars="200"/>
        <w:rPr>
          <w:rFonts w:ascii="宋体" w:hAnsi="宋体" w:cs="宋体"/>
        </w:rPr>
      </w:pPr>
      <w:r>
        <w:rPr>
          <w:rFonts w:hint="eastAsia" w:ascii="宋体" w:hAnsi="宋体" w:cs="宋体"/>
        </w:rPr>
        <w:t>6.中小企业应按照采购文件格式要求提供《中小企业声明函》。</w:t>
      </w:r>
    </w:p>
    <w:p>
      <w:pPr>
        <w:snapToGrid w:val="0"/>
        <w:spacing w:line="360" w:lineRule="auto"/>
        <w:ind w:firstLine="420" w:firstLineChars="200"/>
        <w:rPr>
          <w:rFonts w:ascii="宋体" w:hAnsi="宋体" w:cs="宋体"/>
        </w:rPr>
      </w:pPr>
      <w:r>
        <w:rPr>
          <w:rFonts w:hint="eastAsia" w:ascii="宋体" w:hAnsi="宋体" w:cs="宋体"/>
        </w:rPr>
        <w:t>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line="360" w:lineRule="auto"/>
        <w:ind w:firstLine="420" w:firstLineChars="200"/>
        <w:rPr>
          <w:rFonts w:ascii="宋体" w:hAnsi="宋体" w:cs="宋体"/>
        </w:rPr>
      </w:pPr>
      <w:r>
        <w:rPr>
          <w:rFonts w:hint="eastAsia" w:ascii="宋体" w:hAnsi="宋体" w:cs="宋体"/>
        </w:rPr>
        <w:t>8.根据《关于促进残疾人就业政府采购政策的通知》（财库[2017]141号）规定，在政府采购活动中，残疾人福利性单位视同小型、微型企业。残疾人福利性单位参加政府采购活动时，提供《残疾人福利性单位声明函》。</w:t>
      </w:r>
    </w:p>
    <w:p>
      <w:pPr>
        <w:snapToGrid w:val="0"/>
        <w:spacing w:line="360" w:lineRule="auto"/>
        <w:ind w:firstLine="420" w:firstLineChars="200"/>
        <w:rPr>
          <w:rFonts w:ascii="宋体" w:hAnsi="宋体" w:cs="宋体"/>
        </w:rPr>
      </w:pPr>
      <w:r>
        <w:rPr>
          <w:rFonts w:hint="eastAsia" w:ascii="宋体" w:hAnsi="宋体" w:cs="宋体"/>
        </w:rPr>
        <w:t>9.按规定享受扶持政策获得政府采购合同的，小微企业不得将合同分包给大中型企业，中型企业不得将合同分包给大型企业。</w:t>
      </w:r>
    </w:p>
    <w:p>
      <w:pPr>
        <w:snapToGrid w:val="0"/>
        <w:spacing w:line="360" w:lineRule="auto"/>
        <w:ind w:firstLine="420" w:firstLineChars="200"/>
        <w:rPr>
          <w:rFonts w:ascii="宋体" w:hAnsi="宋体" w:cs="宋体"/>
        </w:rPr>
      </w:pPr>
      <w:r>
        <w:rPr>
          <w:rFonts w:hint="eastAsia" w:ascii="宋体" w:hAnsi="宋体" w:cs="宋体"/>
        </w:rPr>
        <w:t>10.供应商按照《政府采购促进中小企业发展管理办法》规定提供声明函内容不实的，属于提供虚假材料谋取中标、成交，依照《中华人民共和国政府采购法》等国家有关规定追究相应责任。</w:t>
      </w:r>
    </w:p>
    <w:p>
      <w:pPr>
        <w:snapToGrid w:val="0"/>
        <w:spacing w:line="360" w:lineRule="auto"/>
        <w:ind w:firstLine="420" w:firstLineChars="200"/>
        <w:rPr>
          <w:rFonts w:ascii="宋体" w:hAnsi="宋体" w:cs="宋体"/>
        </w:rPr>
      </w:pPr>
      <w:r>
        <w:rPr>
          <w:rFonts w:hint="eastAsia" w:ascii="宋体" w:hAnsi="宋体" w:cs="宋体"/>
        </w:rPr>
        <w:t>11.《中小企业声明函》由参加磋商的供应商提交，如供应商为代理商，须自行采集制造商的中小企业划分类型信息填入相应栏目并对其真实性负责。</w:t>
      </w:r>
    </w:p>
    <w:p>
      <w:pPr>
        <w:pStyle w:val="25"/>
        <w:snapToGrid w:val="0"/>
        <w:spacing w:beforeLines="0" w:afterLines="0" w:line="360" w:lineRule="auto"/>
        <w:jc w:val="center"/>
        <w:rPr>
          <w:rFonts w:hint="default" w:hAnsi="宋体" w:cs="宋体"/>
          <w:b/>
          <w:sz w:val="28"/>
          <w:szCs w:val="28"/>
        </w:rPr>
        <w:sectPr>
          <w:pgSz w:w="11906" w:h="16838"/>
          <w:pgMar w:top="1474" w:right="1797" w:bottom="1247" w:left="1797" w:header="851" w:footer="851" w:gutter="0"/>
          <w:cols w:space="720" w:num="1"/>
          <w:titlePg/>
          <w:docGrid w:linePitch="312" w:charSpace="0"/>
        </w:sectPr>
      </w:pPr>
      <w:bookmarkStart w:id="3" w:name="_Toc23195"/>
    </w:p>
    <w:p>
      <w:pPr>
        <w:pStyle w:val="25"/>
        <w:snapToGrid w:val="0"/>
        <w:spacing w:beforeLines="0" w:afterLines="0" w:line="360" w:lineRule="auto"/>
        <w:jc w:val="center"/>
        <w:rPr>
          <w:rFonts w:hint="default" w:hAnsi="宋体" w:cs="宋体"/>
          <w:b/>
          <w:sz w:val="28"/>
          <w:szCs w:val="28"/>
        </w:rPr>
      </w:pPr>
      <w:r>
        <w:rPr>
          <w:rFonts w:hAnsi="宋体" w:cs="宋体"/>
          <w:b/>
          <w:sz w:val="28"/>
          <w:szCs w:val="28"/>
        </w:rPr>
        <w:t>第四章  评审办法及评分标准</w:t>
      </w:r>
      <w:bookmarkEnd w:id="3"/>
    </w:p>
    <w:p>
      <w:pPr>
        <w:pStyle w:val="28"/>
        <w:spacing w:line="360" w:lineRule="auto"/>
        <w:ind w:firstLine="626" w:firstLineChars="297"/>
        <w:rPr>
          <w:rFonts w:hint="default" w:ascii="宋体" w:eastAsia="宋体" w:cs="宋体"/>
          <w:color w:val="auto"/>
          <w:sz w:val="21"/>
          <w:szCs w:val="21"/>
        </w:rPr>
      </w:pPr>
      <w:r>
        <w:rPr>
          <w:rFonts w:ascii="宋体" w:eastAsia="宋体" w:cs="宋体"/>
          <w:color w:val="auto"/>
          <w:sz w:val="21"/>
          <w:szCs w:val="21"/>
        </w:rPr>
        <w:t>本办法严格遵照《中华人民共和国政府采购法》、《中华人民共和国政府采购法实施条例》、《政府采购竞争性磋商采购方式管理暂行办法》，结合项目所在地政府有关政府采购规定和项目的实际情况制定。</w:t>
      </w:r>
    </w:p>
    <w:p>
      <w:pPr>
        <w:spacing w:line="360" w:lineRule="auto"/>
        <w:rPr>
          <w:rFonts w:ascii="宋体" w:hAnsi="宋体" w:cs="宋体"/>
          <w:b/>
          <w:bCs/>
          <w:szCs w:val="21"/>
        </w:rPr>
      </w:pPr>
      <w:r>
        <w:rPr>
          <w:rFonts w:hint="eastAsia" w:ascii="宋体" w:hAnsi="宋体" w:cs="宋体"/>
          <w:b/>
          <w:bCs/>
          <w:szCs w:val="21"/>
        </w:rPr>
        <w:t>一. 总则</w:t>
      </w:r>
    </w:p>
    <w:p>
      <w:pPr>
        <w:spacing w:line="360" w:lineRule="auto"/>
        <w:ind w:firstLine="420" w:firstLineChars="200"/>
        <w:rPr>
          <w:rFonts w:ascii="宋体" w:hAnsi="宋体" w:cs="宋体"/>
          <w:szCs w:val="21"/>
        </w:rPr>
      </w:pPr>
      <w:r>
        <w:rPr>
          <w:rFonts w:hint="eastAsia" w:ascii="宋体" w:hAnsi="宋体" w:cs="宋体"/>
          <w:szCs w:val="21"/>
        </w:rPr>
        <w:t>本次磋商遵循公平、公正、科学、择优的原则依法进行，磋商活动及当事人接受依法实施的监督。本次磋商采用综合评分法。</w:t>
      </w:r>
    </w:p>
    <w:p>
      <w:pPr>
        <w:spacing w:line="360" w:lineRule="auto"/>
        <w:rPr>
          <w:rFonts w:ascii="宋体" w:hAnsi="宋体" w:cs="宋体"/>
          <w:b/>
          <w:bCs/>
          <w:szCs w:val="21"/>
        </w:rPr>
      </w:pPr>
      <w:r>
        <w:rPr>
          <w:rFonts w:hint="eastAsia" w:ascii="宋体" w:hAnsi="宋体" w:cs="宋体"/>
          <w:b/>
          <w:bCs/>
          <w:szCs w:val="21"/>
        </w:rPr>
        <w:t>二. 评审组织</w:t>
      </w:r>
    </w:p>
    <w:p>
      <w:pPr>
        <w:spacing w:line="360" w:lineRule="auto"/>
        <w:ind w:firstLine="420" w:firstLineChars="200"/>
        <w:rPr>
          <w:rFonts w:ascii="宋体" w:hAnsi="宋体" w:cs="宋体"/>
          <w:szCs w:val="21"/>
        </w:rPr>
      </w:pPr>
      <w:r>
        <w:rPr>
          <w:rFonts w:hint="eastAsia" w:ascii="宋体" w:hAnsi="宋体" w:cs="宋体"/>
          <w:szCs w:val="21"/>
        </w:rPr>
        <w:t>磋商小组：采购人和采购机构根据采购项目的内容特点按照法律法规规定组建磋商小组。磋商小组由采购人、技术、经济等方面专家等有关人员组成。</w:t>
      </w:r>
    </w:p>
    <w:p>
      <w:pPr>
        <w:spacing w:line="360" w:lineRule="auto"/>
        <w:rPr>
          <w:rFonts w:ascii="宋体" w:hAnsi="宋体" w:cs="宋体"/>
          <w:b/>
          <w:bCs/>
          <w:szCs w:val="21"/>
        </w:rPr>
      </w:pPr>
      <w:r>
        <w:rPr>
          <w:rFonts w:hint="eastAsia" w:ascii="宋体" w:hAnsi="宋体" w:cs="宋体"/>
          <w:b/>
          <w:bCs/>
          <w:szCs w:val="21"/>
        </w:rPr>
        <w:t>三．磋商程序</w:t>
      </w:r>
    </w:p>
    <w:p>
      <w:pPr>
        <w:pStyle w:val="25"/>
        <w:snapToGrid w:val="0"/>
        <w:spacing w:beforeLines="0" w:afterLines="0" w:line="360" w:lineRule="auto"/>
        <w:ind w:firstLine="420" w:firstLineChars="200"/>
        <w:rPr>
          <w:rFonts w:hint="default" w:hAnsi="宋体"/>
          <w:bCs/>
          <w:szCs w:val="21"/>
        </w:rPr>
      </w:pPr>
      <w:r>
        <w:rPr>
          <w:rFonts w:hAnsi="宋体"/>
          <w:bCs/>
          <w:szCs w:val="21"/>
        </w:rP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hAnsi="宋体" w:cs="宋体"/>
          <w:u w:val="single"/>
        </w:rPr>
        <w:t xml:space="preserve"> 30 </w:t>
      </w:r>
      <w:r>
        <w:rPr>
          <w:rFonts w:hAnsi="宋体" w:cs="宋体"/>
        </w:rPr>
        <w:t>分钟</w:t>
      </w:r>
      <w:r>
        <w:rPr>
          <w:rFonts w:hAnsi="宋体"/>
          <w:bCs/>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pPr>
        <w:pStyle w:val="25"/>
        <w:snapToGrid w:val="0"/>
        <w:spacing w:beforeLines="0" w:afterLines="0" w:line="360" w:lineRule="auto"/>
        <w:ind w:firstLine="420" w:firstLineChars="200"/>
        <w:rPr>
          <w:rFonts w:hint="default" w:hAnsi="宋体"/>
          <w:bCs/>
          <w:szCs w:val="21"/>
        </w:rPr>
      </w:pPr>
      <w:r>
        <w:rPr>
          <w:rFonts w:hAnsi="宋体"/>
          <w:bCs/>
          <w:szCs w:val="21"/>
        </w:rPr>
        <w:t>（2）采购人或采购代理机构对磋商响应供应商的资格进行审查，资格审查结束后进入符合性审查评审工作。</w:t>
      </w:r>
    </w:p>
    <w:p>
      <w:pPr>
        <w:pStyle w:val="25"/>
        <w:snapToGrid w:val="0"/>
        <w:spacing w:beforeLines="0" w:afterLines="0" w:line="360" w:lineRule="auto"/>
        <w:ind w:firstLine="420" w:firstLineChars="200"/>
        <w:rPr>
          <w:rFonts w:hint="default" w:hAnsi="宋体"/>
          <w:bCs/>
          <w:szCs w:val="21"/>
        </w:rPr>
      </w:pPr>
      <w:r>
        <w:rPr>
          <w:rFonts w:hAnsi="宋体"/>
          <w:bCs/>
          <w:szCs w:val="21"/>
        </w:rPr>
        <w:t>（3）符合性审查结束后，对有效磋商响应供应商进入资信技术评审，并在“政府采购云平台”上进行在线磋商。</w:t>
      </w:r>
    </w:p>
    <w:p>
      <w:pPr>
        <w:pStyle w:val="25"/>
        <w:snapToGrid w:val="0"/>
        <w:spacing w:beforeLines="0" w:afterLines="0" w:line="360" w:lineRule="auto"/>
        <w:ind w:firstLine="420" w:firstLineChars="200"/>
        <w:rPr>
          <w:rFonts w:hint="default" w:hAnsi="宋体"/>
          <w:bCs/>
          <w:szCs w:val="21"/>
        </w:rPr>
      </w:pPr>
      <w:r>
        <w:rPr>
          <w:rFonts w:hAnsi="宋体"/>
          <w:bCs/>
          <w:szCs w:val="21"/>
        </w:rP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pPr>
        <w:pStyle w:val="25"/>
        <w:snapToGrid w:val="0"/>
        <w:spacing w:beforeLines="0" w:afterLines="0" w:line="360" w:lineRule="auto"/>
        <w:ind w:firstLine="420" w:firstLineChars="200"/>
        <w:rPr>
          <w:rFonts w:hint="default" w:hAnsi="宋体"/>
          <w:bCs/>
          <w:szCs w:val="21"/>
        </w:rPr>
      </w:pPr>
      <w:r>
        <w:rPr>
          <w:rFonts w:hAnsi="宋体"/>
          <w:bCs/>
          <w:szCs w:val="21"/>
        </w:rPr>
        <w:t>（4）最后报价是磋商响应文件的有效组成部分。</w:t>
      </w:r>
    </w:p>
    <w:p>
      <w:pPr>
        <w:pStyle w:val="25"/>
        <w:snapToGrid w:val="0"/>
        <w:spacing w:beforeLines="0" w:afterLines="0" w:line="360" w:lineRule="auto"/>
        <w:ind w:firstLine="420" w:firstLineChars="200"/>
        <w:rPr>
          <w:rFonts w:hint="default" w:hAnsi="宋体"/>
          <w:bCs/>
          <w:szCs w:val="21"/>
        </w:rPr>
      </w:pPr>
      <w:r>
        <w:rPr>
          <w:rFonts w:hAnsi="宋体"/>
          <w:bCs/>
          <w:szCs w:val="21"/>
        </w:rPr>
        <w:t>（5）已提交首次磋商响应文件的供应商，在提交最后报价之前，若因磋商文件实质性变动导致供应商无法满足采购需求的，允许供应商退出磋商。</w:t>
      </w:r>
    </w:p>
    <w:p>
      <w:pPr>
        <w:pStyle w:val="25"/>
        <w:snapToGrid w:val="0"/>
        <w:spacing w:beforeLines="0" w:afterLines="0" w:line="360" w:lineRule="auto"/>
        <w:ind w:firstLine="420" w:firstLineChars="200"/>
        <w:rPr>
          <w:rFonts w:hint="default" w:hAnsi="宋体"/>
          <w:bCs/>
          <w:szCs w:val="21"/>
        </w:rPr>
      </w:pPr>
      <w:r>
        <w:rPr>
          <w:rFonts w:hAnsi="宋体"/>
          <w:bCs/>
          <w:szCs w:val="21"/>
        </w:rPr>
        <w:t>（6）公布其得分情况。供应商予以确认。（不予确认的应说明理由，否则视为无异议）</w:t>
      </w:r>
    </w:p>
    <w:p>
      <w:pPr>
        <w:pStyle w:val="43"/>
        <w:widowControl w:val="0"/>
        <w:snapToGrid w:val="0"/>
        <w:spacing w:beforeAutospacing="0" w:afterAutospacing="0" w:line="360" w:lineRule="auto"/>
        <w:ind w:firstLine="420" w:firstLineChars="200"/>
        <w:jc w:val="both"/>
        <w:rPr>
          <w:rFonts w:hAnsi="宋体"/>
          <w:bCs/>
          <w:sz w:val="21"/>
          <w:szCs w:val="21"/>
        </w:rPr>
      </w:pPr>
      <w:r>
        <w:rPr>
          <w:rFonts w:hint="eastAsia" w:hAnsi="宋体"/>
          <w:bCs/>
          <w:sz w:val="21"/>
          <w:szCs w:val="21"/>
        </w:rPr>
        <w:t>（7）磋商小组根据综合评分情况，按照评审得分由高到低顺序推荐3名及以上成交候选供应商，并编写评审报告。若评审得分相同，则报价低者为成交候选人；评审得分且最终报价相同的则由抽签决定成交候选人。</w:t>
      </w:r>
    </w:p>
    <w:p>
      <w:pPr>
        <w:pStyle w:val="25"/>
        <w:snapToGrid w:val="0"/>
        <w:spacing w:beforeLines="0" w:afterLines="0" w:line="360" w:lineRule="auto"/>
        <w:ind w:firstLine="420" w:firstLineChars="200"/>
        <w:rPr>
          <w:rFonts w:hint="default" w:hAnsi="宋体"/>
          <w:bCs/>
          <w:szCs w:val="21"/>
        </w:rPr>
      </w:pPr>
      <w:r>
        <w:rPr>
          <w:rFonts w:hAnsi="宋体"/>
          <w:bCs/>
          <w:szCs w:val="21"/>
        </w:rPr>
        <w:t>（8）评审结束后，公布成交候选供应商名单，及采购人最终确定成交供应商名单的时间和公告方式等。</w:t>
      </w:r>
    </w:p>
    <w:p>
      <w:pPr>
        <w:spacing w:line="360" w:lineRule="auto"/>
        <w:rPr>
          <w:rFonts w:ascii="宋体" w:hAnsi="宋体" w:cs="宋体"/>
          <w:b/>
          <w:bCs/>
          <w:szCs w:val="21"/>
        </w:rPr>
      </w:pPr>
      <w:r>
        <w:rPr>
          <w:rFonts w:hint="eastAsia" w:ascii="宋体" w:hAnsi="宋体" w:cs="宋体"/>
          <w:b/>
          <w:bCs/>
          <w:szCs w:val="21"/>
        </w:rPr>
        <w:t>四.评审程序</w:t>
      </w:r>
    </w:p>
    <w:p>
      <w:pPr>
        <w:pStyle w:val="43"/>
        <w:widowControl w:val="0"/>
        <w:snapToGrid w:val="0"/>
        <w:spacing w:beforeAutospacing="0" w:afterAutospacing="0" w:line="360" w:lineRule="auto"/>
        <w:ind w:firstLine="472" w:firstLineChars="225"/>
        <w:jc w:val="both"/>
        <w:rPr>
          <w:rFonts w:ascii="宋体" w:hAnsi="宋体" w:cs="宋体"/>
          <w:szCs w:val="21"/>
        </w:rPr>
      </w:pPr>
      <w:r>
        <w:rPr>
          <w:rFonts w:hint="eastAsia" w:ascii="宋体" w:hAnsi="宋体" w:cs="宋体"/>
          <w:kern w:val="2"/>
          <w:sz w:val="21"/>
          <w:szCs w:val="21"/>
        </w:rPr>
        <w:t>1. 响应文件初审。初审分为资格性检查和符合性检查。</w:t>
      </w:r>
    </w:p>
    <w:p>
      <w:pPr>
        <w:spacing w:line="360" w:lineRule="auto"/>
        <w:ind w:firstLine="420" w:firstLineChars="200"/>
        <w:rPr>
          <w:rFonts w:ascii="宋体" w:hAnsi="宋体" w:cs="宋体"/>
          <w:szCs w:val="21"/>
        </w:rPr>
      </w:pPr>
      <w:r>
        <w:rPr>
          <w:rFonts w:hint="eastAsia" w:ascii="宋体" w:hAnsi="宋体" w:cs="宋体"/>
          <w:szCs w:val="21"/>
        </w:rPr>
        <w:t>资格性检查。依据法律法规和磋商采购文件的规定，对响应文件中的资格证明、等进行审查，以确定供应商是否具备报价资格。</w:t>
      </w:r>
    </w:p>
    <w:p>
      <w:pPr>
        <w:spacing w:line="360" w:lineRule="auto"/>
        <w:ind w:firstLine="420" w:firstLineChars="200"/>
        <w:rPr>
          <w:rFonts w:ascii="宋体" w:hAnsi="宋体" w:cs="宋体"/>
          <w:szCs w:val="21"/>
        </w:rPr>
      </w:pPr>
      <w:r>
        <w:rPr>
          <w:rFonts w:hint="eastAsia" w:ascii="宋体" w:hAnsi="宋体" w:cs="宋体"/>
          <w:szCs w:val="21"/>
        </w:rPr>
        <w:t>符合性检查。依据磋商采购文件的规定，从响应文件的有效性、完整性和对磋商采购文件的响应程度进行审查，以确定是否对磋商采购文件的实质性要求作出响应。</w:t>
      </w:r>
    </w:p>
    <w:p>
      <w:pPr>
        <w:pStyle w:val="43"/>
        <w:widowControl w:val="0"/>
        <w:snapToGrid w:val="0"/>
        <w:spacing w:beforeAutospacing="0" w:afterAutospacing="0" w:line="360" w:lineRule="auto"/>
        <w:ind w:firstLine="472" w:firstLineChars="225"/>
        <w:jc w:val="both"/>
        <w:rPr>
          <w:rFonts w:ascii="宋体" w:hAnsi="宋体" w:cs="宋体"/>
          <w:sz w:val="21"/>
          <w:szCs w:val="21"/>
        </w:rPr>
      </w:pPr>
      <w:r>
        <w:rPr>
          <w:rFonts w:hint="eastAsia" w:ascii="宋体" w:hAnsi="宋体" w:cs="宋体"/>
          <w:kern w:val="2"/>
          <w:sz w:val="21"/>
          <w:szCs w:val="21"/>
        </w:rPr>
        <w:t>2.澄清问题</w:t>
      </w:r>
    </w:p>
    <w:p>
      <w:pPr>
        <w:spacing w:line="360" w:lineRule="auto"/>
        <w:ind w:firstLine="420" w:firstLineChars="200"/>
        <w:rPr>
          <w:rFonts w:ascii="宋体" w:hAnsi="宋体" w:cs="宋体"/>
          <w:szCs w:val="21"/>
        </w:rPr>
      </w:pPr>
      <w:r>
        <w:rPr>
          <w:rFonts w:hint="eastAsia" w:ascii="宋体" w:hAnsi="宋体" w:cs="宋体"/>
          <w:szCs w:val="21"/>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pPr>
        <w:pStyle w:val="43"/>
        <w:widowControl w:val="0"/>
        <w:snapToGrid w:val="0"/>
        <w:spacing w:beforeAutospacing="0" w:afterAutospacing="0" w:line="360" w:lineRule="auto"/>
        <w:ind w:firstLine="472" w:firstLineChars="225"/>
        <w:jc w:val="both"/>
        <w:rPr>
          <w:rFonts w:ascii="宋体" w:hAnsi="宋体" w:cs="宋体"/>
          <w:sz w:val="21"/>
          <w:szCs w:val="21"/>
        </w:rPr>
      </w:pPr>
      <w:r>
        <w:rPr>
          <w:rFonts w:hint="eastAsia" w:ascii="宋体" w:hAnsi="宋体" w:cs="宋体"/>
          <w:kern w:val="2"/>
          <w:sz w:val="21"/>
          <w:szCs w:val="21"/>
        </w:rPr>
        <w:t>3.详细评审</w:t>
      </w:r>
    </w:p>
    <w:p>
      <w:pPr>
        <w:spacing w:line="360" w:lineRule="auto"/>
        <w:ind w:firstLine="420" w:firstLineChars="200"/>
        <w:rPr>
          <w:rFonts w:ascii="宋体" w:hAnsi="宋体" w:cs="宋体"/>
          <w:szCs w:val="21"/>
        </w:rPr>
      </w:pPr>
      <w:r>
        <w:rPr>
          <w:rFonts w:hint="eastAsia" w:ascii="宋体" w:hAnsi="宋体" w:cs="宋体"/>
          <w:szCs w:val="21"/>
        </w:rPr>
        <w:t>磋商小组对初步评审合格的响应文件，依照本办法对商务技术内容作进一步评审、比较。磋商小组成员经过阅标、审标和询标，对供应商进行综合打分。</w:t>
      </w:r>
    </w:p>
    <w:p>
      <w:pPr>
        <w:spacing w:line="360" w:lineRule="auto"/>
        <w:ind w:firstLine="420" w:firstLineChars="200"/>
        <w:rPr>
          <w:rFonts w:ascii="宋体" w:hAnsi="宋体" w:cs="宋体"/>
          <w:color w:val="000000"/>
          <w:szCs w:val="21"/>
        </w:rPr>
      </w:pPr>
      <w:r>
        <w:rPr>
          <w:rFonts w:hint="eastAsia" w:ascii="宋体" w:hAnsi="宋体" w:cs="宋体"/>
          <w:szCs w:val="21"/>
        </w:rPr>
        <w:t>评委打分参照本部分附表：评分标准表。其中商务技术部分由各磋商小组成员打分，根据供应商的响应文件及相关澄清文件，进行独立打分。评委打分采用记名方式（小数点后保留一位小数）。报价分经磋商小组评审后按评分标准表进行统一计算（小数点后保留一位小</w:t>
      </w:r>
      <w:r>
        <w:rPr>
          <w:rFonts w:hint="eastAsia" w:ascii="宋体" w:hAnsi="宋体" w:cs="宋体"/>
          <w:color w:val="000000"/>
          <w:szCs w:val="21"/>
        </w:rPr>
        <w:t>数）。</w:t>
      </w:r>
    </w:p>
    <w:p>
      <w:pPr>
        <w:spacing w:line="360" w:lineRule="auto"/>
        <w:ind w:firstLine="525" w:firstLineChars="250"/>
        <w:rPr>
          <w:rFonts w:ascii="宋体" w:hAnsi="宋体" w:cs="宋体"/>
          <w:color w:val="000000"/>
          <w:szCs w:val="21"/>
        </w:rPr>
      </w:pPr>
      <w:r>
        <w:rPr>
          <w:rFonts w:hint="eastAsia" w:ascii="宋体" w:hAnsi="宋体" w:cs="宋体"/>
          <w:color w:val="000000"/>
          <w:szCs w:val="21"/>
        </w:rPr>
        <w:t>4.如果在</w:t>
      </w:r>
      <w:r>
        <w:rPr>
          <w:rFonts w:hint="eastAsia"/>
          <w:color w:val="000000"/>
        </w:rPr>
        <w:t>参加磋商时</w:t>
      </w:r>
      <w:r>
        <w:rPr>
          <w:rFonts w:hint="eastAsia" w:ascii="宋体" w:hAnsi="宋体" w:cs="宋体"/>
          <w:color w:val="000000"/>
          <w:szCs w:val="21"/>
        </w:rPr>
        <w:t>只有两家供应商或在评标过程中实际有效供应商只有两家，竞争性磋商采购 活动可以以继续进行。如果只有一家，采购人或者采购代理机构应当终止竞争性磋商采购活动，发布项目终止公告并说明原因，重新开展采购活动。</w:t>
      </w:r>
    </w:p>
    <w:p>
      <w:pPr>
        <w:pStyle w:val="43"/>
        <w:widowControl w:val="0"/>
        <w:snapToGrid w:val="0"/>
        <w:spacing w:beforeAutospacing="0" w:afterAutospacing="0" w:line="360" w:lineRule="auto"/>
        <w:ind w:firstLine="472" w:firstLineChars="225"/>
        <w:jc w:val="both"/>
        <w:rPr>
          <w:rFonts w:ascii="宋体" w:hAnsi="宋体" w:cs="宋体"/>
          <w:sz w:val="21"/>
          <w:szCs w:val="21"/>
        </w:rPr>
      </w:pPr>
      <w:r>
        <w:rPr>
          <w:rFonts w:hint="eastAsia" w:ascii="宋体" w:hAnsi="宋体" w:cs="宋体"/>
          <w:kern w:val="2"/>
          <w:sz w:val="21"/>
          <w:szCs w:val="21"/>
        </w:rPr>
        <w:t>5.成交候选人确定</w:t>
      </w:r>
    </w:p>
    <w:p>
      <w:pPr>
        <w:pStyle w:val="43"/>
        <w:widowControl w:val="0"/>
        <w:snapToGrid w:val="0"/>
        <w:spacing w:beforeAutospacing="0" w:afterAutospacing="0" w:line="360" w:lineRule="auto"/>
        <w:ind w:firstLine="420" w:firstLineChars="200"/>
        <w:jc w:val="both"/>
        <w:rPr>
          <w:rFonts w:ascii="宋体" w:hAnsi="宋体" w:cs="宋体"/>
          <w:kern w:val="2"/>
          <w:sz w:val="21"/>
          <w:szCs w:val="21"/>
        </w:rPr>
      </w:pPr>
      <w:r>
        <w:rPr>
          <w:rFonts w:hint="eastAsia" w:ascii="宋体" w:hAnsi="宋体" w:cs="宋体"/>
          <w:color w:val="000000"/>
          <w:kern w:val="2"/>
          <w:sz w:val="21"/>
          <w:szCs w:val="21"/>
        </w:rPr>
        <w:t>磋商小组根据供应商的综合得分（报价、商务技术得分之和）高低排定顺序，排名第1至3名的供应商为第一、二、三成交候选人；供应商综合得分相同的则报价低者优先，报价也相同的，则由供应商抽签决定；</w:t>
      </w:r>
      <w:r>
        <w:rPr>
          <w:rFonts w:hint="eastAsia" w:ascii="宋体" w:hAnsi="宋体" w:cs="宋体"/>
          <w:kern w:val="2"/>
          <w:sz w:val="21"/>
          <w:szCs w:val="21"/>
        </w:rPr>
        <w:t>如评审过程中出现本磋商采购文件未尽事宜，则由磋商小组讨论决定。</w:t>
      </w:r>
    </w:p>
    <w:p>
      <w:pPr>
        <w:pStyle w:val="43"/>
        <w:widowControl w:val="0"/>
        <w:snapToGrid w:val="0"/>
        <w:spacing w:beforeAutospacing="0" w:afterAutospacing="0" w:line="360" w:lineRule="auto"/>
        <w:ind w:firstLine="472" w:firstLineChars="225"/>
        <w:jc w:val="both"/>
        <w:rPr>
          <w:rFonts w:ascii="宋体" w:hAnsi="宋体" w:cs="宋体"/>
          <w:kern w:val="2"/>
          <w:sz w:val="21"/>
          <w:szCs w:val="21"/>
        </w:rPr>
      </w:pPr>
      <w:r>
        <w:rPr>
          <w:rFonts w:hint="eastAsia" w:ascii="宋体" w:hAnsi="宋体" w:cs="宋体"/>
          <w:kern w:val="2"/>
          <w:sz w:val="21"/>
          <w:szCs w:val="21"/>
        </w:rPr>
        <w:t>6.成交结果公告</w:t>
      </w:r>
    </w:p>
    <w:p>
      <w:pPr>
        <w:widowControl/>
        <w:spacing w:line="360" w:lineRule="auto"/>
        <w:jc w:val="left"/>
        <w:rPr>
          <w:rFonts w:ascii="宋体" w:hAnsi="宋体" w:cs="宋体"/>
        </w:rPr>
      </w:pPr>
      <w:r>
        <w:rPr>
          <w:rFonts w:hint="eastAsia" w:ascii="宋体" w:hAnsi="宋体" w:cs="宋体"/>
          <w:szCs w:val="21"/>
        </w:rPr>
        <w:t xml:space="preserve">    采购机构将成交结果在政府采购指定媒体上公示，根据成交结果公告和决标结果，向成交人发出确定成交通知书。</w:t>
      </w:r>
    </w:p>
    <w:p>
      <w:pPr>
        <w:pStyle w:val="28"/>
        <w:numPr>
          <w:ilvl w:val="0"/>
          <w:numId w:val="6"/>
        </w:numPr>
        <w:spacing w:line="360" w:lineRule="auto"/>
        <w:ind w:firstLine="420" w:firstLineChars="200"/>
        <w:rPr>
          <w:rFonts w:hint="default" w:ascii="宋体" w:eastAsia="宋体" w:cs="宋体"/>
          <w:b w:val="0"/>
          <w:color w:val="auto"/>
          <w:sz w:val="21"/>
          <w:szCs w:val="21"/>
        </w:rPr>
        <w:sectPr>
          <w:pgSz w:w="11906" w:h="16838"/>
          <w:pgMar w:top="1474" w:right="1797" w:bottom="1247" w:left="1797" w:header="851" w:footer="851" w:gutter="0"/>
          <w:cols w:space="720" w:num="1"/>
          <w:titlePg/>
          <w:docGrid w:linePitch="312" w:charSpace="0"/>
        </w:sectPr>
      </w:pPr>
    </w:p>
    <w:p>
      <w:pPr>
        <w:pStyle w:val="28"/>
        <w:numPr>
          <w:ilvl w:val="0"/>
          <w:numId w:val="6"/>
        </w:numPr>
        <w:spacing w:line="360" w:lineRule="auto"/>
        <w:ind w:firstLine="420" w:firstLineChars="200"/>
        <w:rPr>
          <w:rFonts w:hint="default" w:ascii="宋体" w:eastAsia="宋体" w:cs="宋体"/>
          <w:b w:val="0"/>
          <w:color w:val="auto"/>
          <w:sz w:val="21"/>
          <w:szCs w:val="21"/>
        </w:rPr>
      </w:pPr>
      <w:r>
        <w:rPr>
          <w:rFonts w:ascii="宋体" w:eastAsia="宋体" w:cs="宋体"/>
          <w:b w:val="0"/>
          <w:color w:val="auto"/>
          <w:sz w:val="21"/>
          <w:szCs w:val="21"/>
        </w:rPr>
        <w:t>评分标准</w:t>
      </w:r>
      <w:bookmarkStart w:id="4" w:name="_Toc20990"/>
    </w:p>
    <w:tbl>
      <w:tblPr>
        <w:tblStyle w:val="47"/>
        <w:tblpPr w:leftFromText="180" w:rightFromText="180" w:vertAnchor="text" w:horzAnchor="margin" w:tblpX="-668" w:tblpY="370"/>
        <w:tblW w:w="997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59"/>
        <w:gridCol w:w="8346"/>
        <w:gridCol w:w="10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trPr>
        <w:tc>
          <w:tcPr>
            <w:tcW w:w="559" w:type="dxa"/>
            <w:tcBorders>
              <w:left w:val="single" w:color="auto" w:sz="4" w:space="0"/>
              <w:right w:val="single" w:color="auto" w:sz="4" w:space="0"/>
            </w:tcBorders>
            <w:vAlign w:val="center"/>
          </w:tcPr>
          <w:p>
            <w:pPr>
              <w:pStyle w:val="70"/>
              <w:jc w:val="center"/>
              <w:rPr>
                <w:rFonts w:ascii="宋体" w:hAnsi="宋体" w:cs="宋体"/>
                <w:b/>
                <w:color w:val="auto"/>
                <w:kern w:val="2"/>
                <w:sz w:val="21"/>
                <w:szCs w:val="21"/>
              </w:rPr>
            </w:pPr>
            <w:r>
              <w:rPr>
                <w:rFonts w:hint="eastAsia" w:ascii="宋体" w:hAnsi="宋体" w:cs="宋体"/>
                <w:b/>
                <w:color w:val="auto"/>
                <w:kern w:val="2"/>
                <w:sz w:val="21"/>
                <w:szCs w:val="21"/>
              </w:rPr>
              <w:t>分值</w:t>
            </w:r>
          </w:p>
        </w:tc>
        <w:tc>
          <w:tcPr>
            <w:tcW w:w="8346" w:type="dxa"/>
            <w:tcBorders>
              <w:left w:val="single" w:color="auto" w:sz="4" w:space="0"/>
              <w:bottom w:val="single" w:color="auto" w:sz="4" w:space="0"/>
            </w:tcBorders>
            <w:vAlign w:val="center"/>
          </w:tcPr>
          <w:p>
            <w:pPr>
              <w:pStyle w:val="70"/>
              <w:jc w:val="center"/>
              <w:rPr>
                <w:rFonts w:ascii="宋体" w:hAnsi="宋体" w:cs="宋体"/>
                <w:b/>
                <w:color w:val="auto"/>
                <w:kern w:val="2"/>
                <w:sz w:val="21"/>
                <w:szCs w:val="21"/>
              </w:rPr>
            </w:pPr>
            <w:r>
              <w:rPr>
                <w:rFonts w:hint="eastAsia" w:ascii="宋体" w:hAnsi="宋体" w:cs="宋体"/>
                <w:b/>
                <w:color w:val="auto"/>
                <w:kern w:val="2"/>
                <w:sz w:val="21"/>
                <w:szCs w:val="21"/>
              </w:rPr>
              <w:t>评分内容</w:t>
            </w:r>
          </w:p>
        </w:tc>
        <w:tc>
          <w:tcPr>
            <w:tcW w:w="1065" w:type="dxa"/>
            <w:tcBorders>
              <w:left w:val="single" w:color="auto" w:sz="4" w:space="0"/>
              <w:bottom w:val="single" w:color="auto" w:sz="4" w:space="0"/>
            </w:tcBorders>
            <w:vAlign w:val="center"/>
          </w:tcPr>
          <w:p>
            <w:pPr>
              <w:pStyle w:val="70"/>
              <w:jc w:val="center"/>
              <w:rPr>
                <w:rFonts w:ascii="宋体" w:hAnsi="宋体" w:cs="宋体"/>
                <w:b/>
                <w:color w:val="auto"/>
                <w:kern w:val="2"/>
                <w:sz w:val="21"/>
                <w:szCs w:val="21"/>
              </w:rPr>
            </w:pPr>
            <w:r>
              <w:rPr>
                <w:rFonts w:hint="eastAsia" w:ascii="宋体" w:hAnsi="宋体" w:cs="宋体"/>
                <w:b/>
                <w:color w:val="auto"/>
                <w:kern w:val="2"/>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6" w:hRule="atLeast"/>
        </w:trPr>
        <w:tc>
          <w:tcPr>
            <w:tcW w:w="559" w:type="dxa"/>
            <w:vMerge w:val="restart"/>
            <w:tcBorders>
              <w:left w:val="single" w:color="auto" w:sz="4" w:space="0"/>
              <w:right w:val="single" w:color="auto" w:sz="4" w:space="0"/>
            </w:tcBorders>
            <w:vAlign w:val="center"/>
          </w:tcPr>
          <w:p>
            <w:pPr>
              <w:pStyle w:val="70"/>
              <w:jc w:val="center"/>
              <w:rPr>
                <w:rFonts w:ascii="宋体" w:hAnsi="宋体" w:cs="宋体"/>
                <w:b/>
                <w:color w:val="auto"/>
                <w:kern w:val="2"/>
                <w:sz w:val="21"/>
                <w:szCs w:val="21"/>
              </w:rPr>
            </w:pPr>
          </w:p>
          <w:p>
            <w:pPr>
              <w:pStyle w:val="70"/>
              <w:jc w:val="center"/>
              <w:rPr>
                <w:rFonts w:ascii="宋体" w:hAnsi="宋体" w:cs="宋体"/>
                <w:b/>
                <w:color w:val="auto"/>
                <w:kern w:val="2"/>
                <w:sz w:val="21"/>
                <w:szCs w:val="21"/>
              </w:rPr>
            </w:pPr>
            <w:r>
              <w:rPr>
                <w:rFonts w:hint="eastAsia" w:ascii="宋体" w:hAnsi="宋体" w:cs="宋体"/>
                <w:b/>
                <w:color w:val="auto"/>
                <w:kern w:val="2"/>
                <w:sz w:val="21"/>
                <w:szCs w:val="21"/>
              </w:rPr>
              <w:t>商务技术部</w:t>
            </w:r>
          </w:p>
          <w:p>
            <w:pPr>
              <w:pStyle w:val="70"/>
              <w:jc w:val="center"/>
              <w:rPr>
                <w:rFonts w:ascii="宋体" w:hAnsi="宋体" w:cs="宋体"/>
                <w:b/>
                <w:color w:val="auto"/>
                <w:kern w:val="2"/>
                <w:sz w:val="21"/>
                <w:szCs w:val="21"/>
              </w:rPr>
            </w:pPr>
            <w:r>
              <w:rPr>
                <w:rFonts w:hint="eastAsia" w:ascii="宋体" w:hAnsi="宋体" w:cs="宋体"/>
                <w:b/>
                <w:color w:val="auto"/>
                <w:kern w:val="2"/>
                <w:sz w:val="21"/>
                <w:szCs w:val="21"/>
                <w:lang w:val="en-US" w:eastAsia="zh-CN"/>
              </w:rPr>
              <w:t>90</w:t>
            </w:r>
            <w:r>
              <w:rPr>
                <w:rFonts w:hint="eastAsia" w:ascii="宋体" w:hAnsi="宋体" w:cs="宋体"/>
                <w:b/>
                <w:color w:val="auto"/>
                <w:kern w:val="2"/>
                <w:sz w:val="21"/>
                <w:szCs w:val="21"/>
              </w:rPr>
              <w:t>分</w:t>
            </w:r>
          </w:p>
          <w:p>
            <w:pPr>
              <w:pStyle w:val="70"/>
              <w:jc w:val="center"/>
              <w:rPr>
                <w:rFonts w:ascii="宋体" w:hAnsi="宋体" w:cs="宋体"/>
                <w:b/>
                <w:color w:val="auto"/>
                <w:kern w:val="2"/>
                <w:sz w:val="21"/>
                <w:szCs w:val="21"/>
              </w:rPr>
            </w:pPr>
          </w:p>
        </w:tc>
        <w:tc>
          <w:tcPr>
            <w:tcW w:w="8346" w:type="dxa"/>
            <w:tcBorders>
              <w:left w:val="single" w:color="auto" w:sz="4" w:space="0"/>
              <w:bottom w:val="single" w:color="auto" w:sz="4" w:space="0"/>
            </w:tcBorders>
            <w:vAlign w:val="center"/>
          </w:tcPr>
          <w:p>
            <w:pPr>
              <w:pStyle w:val="70"/>
              <w:spacing w:line="360" w:lineRule="auto"/>
              <w:jc w:val="both"/>
              <w:rPr>
                <w:rFonts w:ascii="宋体" w:hAnsi="宋体" w:cs="宋体"/>
                <w:b/>
                <w:color w:val="auto"/>
                <w:kern w:val="2"/>
                <w:sz w:val="21"/>
                <w:szCs w:val="21"/>
              </w:rPr>
            </w:pPr>
            <w:r>
              <w:rPr>
                <w:rFonts w:hint="eastAsia" w:ascii="宋体" w:hAnsi="宋体" w:cs="宋体"/>
                <w:b/>
                <w:color w:val="auto"/>
                <w:kern w:val="2"/>
                <w:sz w:val="21"/>
                <w:szCs w:val="21"/>
              </w:rPr>
              <w:t xml:space="preserve">项目总体了解情况（3分）                                        </w:t>
            </w:r>
          </w:p>
          <w:p>
            <w:pPr>
              <w:pStyle w:val="70"/>
              <w:spacing w:line="360" w:lineRule="auto"/>
              <w:jc w:val="both"/>
              <w:rPr>
                <w:rFonts w:ascii="宋体" w:hAnsi="宋体" w:cs="宋体"/>
                <w:color w:val="auto"/>
                <w:kern w:val="2"/>
                <w:sz w:val="21"/>
                <w:szCs w:val="21"/>
              </w:rPr>
            </w:pPr>
            <w:r>
              <w:rPr>
                <w:rFonts w:hint="eastAsia" w:ascii="宋体" w:hAnsi="宋体" w:cs="宋体"/>
                <w:color w:val="auto"/>
                <w:kern w:val="2"/>
                <w:sz w:val="21"/>
                <w:szCs w:val="21"/>
              </w:rPr>
              <w:t>对本项目具体服务需求的了解情况，了解充分、分析到位的得3分，了解较为充分、分析笼统的得2分，考虑不够充分的得1分，无方案得0分。</w:t>
            </w:r>
          </w:p>
        </w:tc>
        <w:tc>
          <w:tcPr>
            <w:tcW w:w="1065" w:type="dxa"/>
            <w:tcBorders>
              <w:left w:val="single" w:color="auto" w:sz="4" w:space="0"/>
              <w:bottom w:val="single" w:color="auto" w:sz="4" w:space="0"/>
            </w:tcBorders>
            <w:vAlign w:val="center"/>
          </w:tcPr>
          <w:p>
            <w:pPr>
              <w:pStyle w:val="70"/>
              <w:spacing w:line="360" w:lineRule="auto"/>
              <w:jc w:val="center"/>
              <w:rPr>
                <w:rFonts w:ascii="宋体" w:hAnsi="宋体" w:cs="宋体"/>
                <w:color w:val="auto"/>
                <w:kern w:val="2"/>
                <w:sz w:val="21"/>
                <w:szCs w:val="21"/>
              </w:rPr>
            </w:pPr>
            <w:r>
              <w:rPr>
                <w:rFonts w:hint="eastAsia" w:ascii="宋体" w:hAnsi="宋体" w:cs="宋体"/>
                <w:color w:val="auto"/>
                <w:kern w:val="2"/>
                <w:sz w:val="21"/>
                <w:szCs w:val="21"/>
              </w:rPr>
              <w:t>主观分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559" w:type="dxa"/>
            <w:vMerge w:val="continue"/>
            <w:tcBorders>
              <w:left w:val="single" w:color="auto" w:sz="4" w:space="0"/>
              <w:right w:val="single" w:color="auto" w:sz="4" w:space="0"/>
            </w:tcBorders>
            <w:vAlign w:val="center"/>
          </w:tcPr>
          <w:p>
            <w:pPr>
              <w:pStyle w:val="70"/>
              <w:jc w:val="center"/>
              <w:rPr>
                <w:rFonts w:ascii="宋体" w:hAnsi="宋体" w:cs="宋体"/>
                <w:b/>
                <w:color w:val="auto"/>
                <w:kern w:val="2"/>
                <w:sz w:val="21"/>
                <w:szCs w:val="21"/>
              </w:rPr>
            </w:pPr>
          </w:p>
        </w:tc>
        <w:tc>
          <w:tcPr>
            <w:tcW w:w="8346" w:type="dxa"/>
            <w:tcBorders>
              <w:left w:val="single" w:color="auto" w:sz="4" w:space="0"/>
              <w:bottom w:val="single" w:color="auto" w:sz="4" w:space="0"/>
            </w:tcBorders>
            <w:vAlign w:val="center"/>
          </w:tcPr>
          <w:p>
            <w:pPr>
              <w:widowControl/>
              <w:spacing w:line="360" w:lineRule="auto"/>
              <w:rPr>
                <w:rFonts w:ascii="宋体" w:hAnsi="宋体" w:cs="宋体"/>
                <w:b/>
                <w:szCs w:val="21"/>
                <w:lang w:val="zh-CN"/>
              </w:rPr>
            </w:pPr>
            <w:r>
              <w:rPr>
                <w:rFonts w:hint="eastAsia" w:ascii="宋体" w:hAnsi="宋体" w:cs="宋体"/>
                <w:b/>
                <w:szCs w:val="21"/>
                <w:lang w:val="zh-CN"/>
              </w:rPr>
              <w:t>报名审核</w:t>
            </w:r>
            <w:r>
              <w:rPr>
                <w:rFonts w:hint="eastAsia" w:ascii="宋体" w:hAnsi="宋体" w:cs="宋体"/>
                <w:b/>
                <w:szCs w:val="21"/>
              </w:rPr>
              <w:t>流程</w:t>
            </w:r>
            <w:r>
              <w:rPr>
                <w:rFonts w:hint="eastAsia" w:ascii="宋体" w:hAnsi="宋体" w:cs="宋体"/>
                <w:b/>
                <w:szCs w:val="21"/>
                <w:lang w:val="zh-CN"/>
              </w:rPr>
              <w:t>（</w:t>
            </w:r>
            <w:r>
              <w:rPr>
                <w:rFonts w:hint="eastAsia" w:ascii="宋体" w:hAnsi="宋体" w:cs="宋体"/>
                <w:b/>
                <w:szCs w:val="21"/>
              </w:rPr>
              <w:t>3分</w:t>
            </w:r>
            <w:r>
              <w:rPr>
                <w:rFonts w:hint="eastAsia" w:ascii="宋体" w:hAnsi="宋体" w:cs="宋体"/>
                <w:b/>
                <w:szCs w:val="21"/>
                <w:lang w:val="zh-CN"/>
              </w:rPr>
              <w:t>）</w:t>
            </w:r>
          </w:p>
          <w:p>
            <w:pPr>
              <w:pStyle w:val="70"/>
              <w:spacing w:line="360" w:lineRule="auto"/>
              <w:jc w:val="both"/>
              <w:rPr>
                <w:rFonts w:ascii="宋体" w:hAnsi="宋体" w:cs="宋体"/>
                <w:color w:val="auto"/>
                <w:kern w:val="2"/>
                <w:sz w:val="21"/>
                <w:szCs w:val="21"/>
              </w:rPr>
            </w:pPr>
            <w:r>
              <w:rPr>
                <w:rFonts w:hint="eastAsia" w:ascii="宋体" w:hAnsi="宋体" w:cs="宋体"/>
                <w:color w:val="auto"/>
                <w:sz w:val="21"/>
                <w:szCs w:val="21"/>
              </w:rPr>
              <w:t>根据供应商提供的</w:t>
            </w:r>
            <w:r>
              <w:rPr>
                <w:rFonts w:hint="eastAsia" w:ascii="宋体" w:hAnsi="宋体" w:cs="宋体"/>
                <w:color w:val="auto"/>
                <w:kern w:val="2"/>
                <w:sz w:val="21"/>
                <w:szCs w:val="21"/>
                <w:lang w:val="zh-CN"/>
              </w:rPr>
              <w:t>报名审核流程、审核</w:t>
            </w:r>
            <w:r>
              <w:rPr>
                <w:rFonts w:hint="eastAsia" w:ascii="宋体" w:hAnsi="宋体" w:cs="宋体"/>
                <w:color w:val="auto"/>
                <w:kern w:val="2"/>
                <w:sz w:val="21"/>
                <w:szCs w:val="21"/>
              </w:rPr>
              <w:t>方案</w:t>
            </w:r>
            <w:r>
              <w:rPr>
                <w:rFonts w:hint="eastAsia" w:ascii="宋体" w:hAnsi="宋体" w:cs="宋体"/>
                <w:color w:val="auto"/>
                <w:kern w:val="2"/>
                <w:sz w:val="21"/>
                <w:szCs w:val="21"/>
                <w:lang w:val="zh-CN"/>
              </w:rPr>
              <w:t>，</w:t>
            </w:r>
            <w:r>
              <w:rPr>
                <w:rFonts w:hint="eastAsia" w:ascii="宋体" w:hAnsi="宋体" w:cs="宋体"/>
                <w:color w:val="auto"/>
                <w:sz w:val="21"/>
                <w:szCs w:val="21"/>
              </w:rPr>
              <w:t>方案完善全面、考虑充分得3分，方案较完善、考虑较充分得2分，方案考虑不够充分得1分，无方案得0分。</w:t>
            </w:r>
          </w:p>
        </w:tc>
        <w:tc>
          <w:tcPr>
            <w:tcW w:w="1065" w:type="dxa"/>
            <w:tcBorders>
              <w:left w:val="single" w:color="auto" w:sz="4" w:space="0"/>
              <w:bottom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8" w:hRule="atLeast"/>
        </w:trPr>
        <w:tc>
          <w:tcPr>
            <w:tcW w:w="559" w:type="dxa"/>
            <w:vMerge w:val="continue"/>
            <w:tcBorders>
              <w:left w:val="single" w:color="auto" w:sz="4" w:space="0"/>
              <w:right w:val="single" w:color="auto" w:sz="4" w:space="0"/>
            </w:tcBorders>
            <w:vAlign w:val="center"/>
          </w:tcPr>
          <w:p>
            <w:pPr>
              <w:pStyle w:val="70"/>
              <w:jc w:val="center"/>
              <w:rPr>
                <w:rFonts w:ascii="宋体" w:hAnsi="宋体" w:cs="宋体"/>
                <w:b/>
                <w:color w:val="auto"/>
                <w:kern w:val="2"/>
                <w:sz w:val="21"/>
                <w:szCs w:val="21"/>
              </w:rPr>
            </w:pPr>
          </w:p>
        </w:tc>
        <w:tc>
          <w:tcPr>
            <w:tcW w:w="8346" w:type="dxa"/>
            <w:tcBorders>
              <w:left w:val="single" w:color="auto" w:sz="4" w:space="0"/>
              <w:bottom w:val="single" w:color="auto" w:sz="4" w:space="0"/>
            </w:tcBorders>
            <w:vAlign w:val="center"/>
          </w:tcPr>
          <w:p>
            <w:pPr>
              <w:widowControl/>
              <w:spacing w:line="360" w:lineRule="auto"/>
              <w:rPr>
                <w:rFonts w:ascii="宋体" w:hAnsi="宋体" w:cs="宋体"/>
                <w:b/>
                <w:szCs w:val="21"/>
                <w:lang w:val="zh-CN"/>
              </w:rPr>
            </w:pPr>
            <w:r>
              <w:rPr>
                <w:rFonts w:hint="eastAsia" w:ascii="宋体" w:hAnsi="宋体" w:cs="宋体"/>
                <w:b/>
                <w:szCs w:val="21"/>
                <w:lang w:val="zh-CN"/>
              </w:rPr>
              <w:t>笔试、面试</w:t>
            </w:r>
            <w:r>
              <w:rPr>
                <w:rFonts w:hint="eastAsia" w:ascii="宋体" w:hAnsi="宋体" w:cs="宋体"/>
                <w:b/>
                <w:szCs w:val="21"/>
              </w:rPr>
              <w:t>服务方案</w:t>
            </w:r>
            <w:r>
              <w:rPr>
                <w:rFonts w:hint="eastAsia" w:ascii="宋体" w:hAnsi="宋体" w:cs="宋体"/>
                <w:b/>
                <w:szCs w:val="21"/>
                <w:lang w:val="zh-CN"/>
              </w:rPr>
              <w:t>（</w:t>
            </w:r>
            <w:r>
              <w:rPr>
                <w:rFonts w:hint="eastAsia" w:ascii="宋体" w:hAnsi="宋体" w:cs="宋体"/>
                <w:b/>
                <w:szCs w:val="21"/>
              </w:rPr>
              <w:t>12分</w:t>
            </w:r>
            <w:r>
              <w:rPr>
                <w:rFonts w:hint="eastAsia" w:ascii="宋体" w:hAnsi="宋体" w:cs="宋体"/>
                <w:b/>
                <w:szCs w:val="21"/>
                <w:lang w:val="zh-CN"/>
              </w:rPr>
              <w:t>）</w:t>
            </w:r>
          </w:p>
          <w:p>
            <w:pPr>
              <w:pStyle w:val="70"/>
              <w:spacing w:line="360" w:lineRule="auto"/>
              <w:jc w:val="both"/>
              <w:rPr>
                <w:rFonts w:ascii="宋体" w:hAnsi="宋体" w:cs="宋体"/>
                <w:color w:val="auto"/>
                <w:sz w:val="21"/>
                <w:szCs w:val="21"/>
              </w:rPr>
            </w:pPr>
            <w:r>
              <w:rPr>
                <w:rFonts w:hint="eastAsia" w:ascii="宋体" w:hAnsi="宋体" w:cs="宋体"/>
                <w:color w:val="auto"/>
                <w:sz w:val="21"/>
                <w:szCs w:val="21"/>
              </w:rPr>
              <w:t>1、根据供应商提供的</w:t>
            </w:r>
            <w:r>
              <w:rPr>
                <w:rFonts w:hint="eastAsia" w:ascii="宋体" w:hAnsi="宋体" w:cs="宋体"/>
                <w:color w:val="auto"/>
                <w:sz w:val="21"/>
                <w:szCs w:val="21"/>
                <w:lang w:val="zh-CN"/>
              </w:rPr>
              <w:t>笔试方案，包括笔试场地考务安排、考务人员安排等，</w:t>
            </w:r>
            <w:r>
              <w:rPr>
                <w:rFonts w:hint="eastAsia" w:ascii="宋体" w:hAnsi="宋体" w:cs="宋体"/>
                <w:color w:val="auto"/>
                <w:sz w:val="21"/>
                <w:szCs w:val="21"/>
              </w:rPr>
              <w:t>方案完善全面、考虑充分得3分，方案较完善、考虑较充分得2分，方案考虑不够充分得1分，无方案得0分。</w:t>
            </w:r>
          </w:p>
          <w:p>
            <w:pPr>
              <w:pStyle w:val="70"/>
              <w:spacing w:line="360" w:lineRule="auto"/>
              <w:jc w:val="both"/>
              <w:rPr>
                <w:rFonts w:ascii="宋体" w:hAnsi="宋体" w:cs="宋体"/>
                <w:color w:val="auto"/>
                <w:sz w:val="21"/>
                <w:szCs w:val="21"/>
              </w:rPr>
            </w:pPr>
            <w:r>
              <w:rPr>
                <w:rFonts w:hint="eastAsia" w:ascii="宋体" w:hAnsi="宋体" w:cs="宋体"/>
                <w:color w:val="auto"/>
                <w:sz w:val="21"/>
                <w:szCs w:val="21"/>
              </w:rPr>
              <w:t>2、根据供应商提供的面试</w:t>
            </w:r>
            <w:r>
              <w:rPr>
                <w:rFonts w:hint="eastAsia" w:ascii="宋体" w:hAnsi="宋体" w:cs="宋体"/>
                <w:color w:val="auto"/>
                <w:sz w:val="21"/>
                <w:szCs w:val="21"/>
                <w:lang w:val="zh-CN"/>
              </w:rPr>
              <w:t>方案，包括</w:t>
            </w:r>
            <w:r>
              <w:rPr>
                <w:rFonts w:hint="eastAsia" w:ascii="宋体" w:hAnsi="宋体" w:cs="宋体"/>
                <w:color w:val="auto"/>
                <w:sz w:val="21"/>
                <w:szCs w:val="21"/>
              </w:rPr>
              <w:t>面试</w:t>
            </w:r>
            <w:r>
              <w:rPr>
                <w:rFonts w:hint="eastAsia" w:ascii="宋体" w:hAnsi="宋体" w:cs="宋体"/>
                <w:color w:val="auto"/>
                <w:sz w:val="21"/>
                <w:szCs w:val="21"/>
                <w:lang w:val="zh-CN"/>
              </w:rPr>
              <w:t>场地考务安排、</w:t>
            </w:r>
            <w:r>
              <w:rPr>
                <w:rFonts w:hint="eastAsia" w:ascii="宋体" w:hAnsi="宋体" w:cs="宋体"/>
                <w:color w:val="auto"/>
                <w:sz w:val="21"/>
                <w:szCs w:val="21"/>
              </w:rPr>
              <w:t>面试</w:t>
            </w:r>
            <w:r>
              <w:rPr>
                <w:rFonts w:hint="eastAsia" w:ascii="宋体" w:hAnsi="宋体" w:cs="宋体"/>
                <w:color w:val="auto"/>
                <w:sz w:val="21"/>
                <w:szCs w:val="21"/>
                <w:lang w:val="zh-CN"/>
              </w:rPr>
              <w:t>人员安排等，</w:t>
            </w:r>
            <w:r>
              <w:rPr>
                <w:rFonts w:hint="eastAsia" w:ascii="宋体" w:hAnsi="宋体" w:cs="宋体"/>
                <w:color w:val="auto"/>
                <w:sz w:val="21"/>
                <w:szCs w:val="21"/>
              </w:rPr>
              <w:t>方案完善全面、考虑充分得3分，方案较完善、考虑较充分得2分，方案考虑不够充分得1分，无方案得0分。</w:t>
            </w:r>
          </w:p>
          <w:p>
            <w:pPr>
              <w:pStyle w:val="70"/>
              <w:spacing w:line="360" w:lineRule="auto"/>
              <w:jc w:val="both"/>
              <w:rPr>
                <w:rFonts w:ascii="宋体" w:hAnsi="宋体" w:cs="宋体"/>
                <w:color w:val="auto"/>
                <w:sz w:val="21"/>
                <w:szCs w:val="21"/>
              </w:rPr>
            </w:pPr>
            <w:r>
              <w:rPr>
                <w:rFonts w:hint="eastAsia" w:ascii="宋体" w:hAnsi="宋体" w:cs="宋体"/>
                <w:color w:val="auto"/>
                <w:sz w:val="21"/>
                <w:szCs w:val="21"/>
              </w:rPr>
              <w:t>3、</w:t>
            </w:r>
            <w:r>
              <w:rPr>
                <w:rFonts w:hint="eastAsia" w:ascii="宋体" w:hAnsi="宋体" w:cs="宋体"/>
                <w:color w:val="auto"/>
                <w:sz w:val="21"/>
                <w:szCs w:val="21"/>
                <w:lang w:val="zh-CN"/>
              </w:rPr>
              <w:t>根据</w:t>
            </w:r>
            <w:r>
              <w:rPr>
                <w:rFonts w:hint="eastAsia" w:ascii="宋体" w:hAnsi="宋体" w:cs="宋体"/>
                <w:color w:val="auto"/>
                <w:sz w:val="21"/>
                <w:szCs w:val="21"/>
              </w:rPr>
              <w:t>提供的供应商</w:t>
            </w:r>
            <w:r>
              <w:rPr>
                <w:rFonts w:hint="eastAsia" w:ascii="宋体" w:hAnsi="宋体" w:cs="宋体"/>
                <w:color w:val="auto"/>
                <w:sz w:val="21"/>
                <w:szCs w:val="21"/>
                <w:lang w:val="zh-CN"/>
              </w:rPr>
              <w:t>笔试、面试题目的第三方专业命题机构题库丰富程度，</w:t>
            </w:r>
            <w:r>
              <w:rPr>
                <w:rFonts w:hint="eastAsia" w:ascii="宋体" w:hAnsi="宋体" w:cs="宋体"/>
                <w:color w:val="auto"/>
                <w:sz w:val="21"/>
                <w:szCs w:val="21"/>
              </w:rPr>
              <w:t>命题机构题库丰富的得3分，题库较丰富的得2分，题库少的得1分，未提供的得0分。</w:t>
            </w:r>
          </w:p>
          <w:p>
            <w:pPr>
              <w:pStyle w:val="70"/>
              <w:spacing w:line="360" w:lineRule="auto"/>
              <w:jc w:val="both"/>
              <w:rPr>
                <w:rFonts w:ascii="宋体" w:hAnsi="宋体" w:cs="宋体"/>
                <w:b/>
                <w:bCs/>
                <w:color w:val="auto"/>
                <w:kern w:val="2"/>
                <w:sz w:val="21"/>
                <w:szCs w:val="21"/>
              </w:rPr>
            </w:pPr>
            <w:r>
              <w:rPr>
                <w:rFonts w:hint="eastAsia" w:ascii="宋体" w:hAnsi="宋体" w:cs="宋体"/>
                <w:color w:val="auto"/>
                <w:sz w:val="21"/>
                <w:szCs w:val="21"/>
              </w:rPr>
              <w:t>4</w:t>
            </w:r>
            <w:r>
              <w:rPr>
                <w:rFonts w:hint="eastAsia" w:ascii="宋体" w:hAnsi="宋体" w:cs="宋体"/>
                <w:color w:val="auto"/>
                <w:sz w:val="21"/>
                <w:szCs w:val="21"/>
                <w:lang w:val="zh-CN"/>
              </w:rPr>
              <w:t>、根据</w:t>
            </w:r>
            <w:r>
              <w:rPr>
                <w:rFonts w:hint="eastAsia" w:ascii="宋体" w:hAnsi="宋体" w:cs="宋体"/>
                <w:color w:val="auto"/>
                <w:sz w:val="21"/>
                <w:szCs w:val="21"/>
              </w:rPr>
              <w:t>供应商</w:t>
            </w:r>
            <w:r>
              <w:rPr>
                <w:rFonts w:hint="eastAsia" w:ascii="宋体" w:hAnsi="宋体" w:cs="宋体"/>
                <w:color w:val="auto"/>
                <w:sz w:val="21"/>
                <w:szCs w:val="21"/>
                <w:lang w:val="zh-CN"/>
              </w:rPr>
              <w:t>笔试、面试题目的</w:t>
            </w:r>
            <w:r>
              <w:rPr>
                <w:rFonts w:hint="eastAsia" w:ascii="宋体" w:hAnsi="宋体" w:cs="宋体"/>
                <w:color w:val="auto"/>
                <w:sz w:val="21"/>
                <w:szCs w:val="21"/>
              </w:rPr>
              <w:t>保密方案及公平性保证措施</w:t>
            </w:r>
            <w:r>
              <w:rPr>
                <w:rFonts w:hint="eastAsia" w:ascii="宋体" w:hAnsi="宋体" w:cs="宋体"/>
                <w:color w:val="auto"/>
                <w:sz w:val="21"/>
                <w:szCs w:val="21"/>
                <w:lang w:val="zh-CN"/>
              </w:rPr>
              <w:t>，方案考虑充分措施有效得3分，方案合理措施一般得2分，方案考虑不够充分得1分，无方案得0分</w:t>
            </w:r>
            <w:r>
              <w:rPr>
                <w:rFonts w:hint="eastAsia" w:ascii="宋体" w:hAnsi="宋体" w:cs="宋体"/>
                <w:color w:val="auto"/>
                <w:sz w:val="21"/>
                <w:szCs w:val="21"/>
              </w:rPr>
              <w:t>。</w:t>
            </w:r>
          </w:p>
        </w:tc>
        <w:tc>
          <w:tcPr>
            <w:tcW w:w="1065" w:type="dxa"/>
            <w:tcBorders>
              <w:left w:val="single" w:color="auto" w:sz="4" w:space="0"/>
              <w:bottom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2" w:hRule="atLeast"/>
        </w:trPr>
        <w:tc>
          <w:tcPr>
            <w:tcW w:w="559" w:type="dxa"/>
            <w:vMerge w:val="continue"/>
            <w:tcBorders>
              <w:left w:val="single" w:color="auto" w:sz="4" w:space="0"/>
              <w:right w:val="single" w:color="auto" w:sz="4" w:space="0"/>
            </w:tcBorders>
            <w:vAlign w:val="center"/>
          </w:tcPr>
          <w:p>
            <w:pPr>
              <w:pStyle w:val="70"/>
              <w:jc w:val="center"/>
              <w:rPr>
                <w:rFonts w:ascii="宋体" w:hAnsi="宋体" w:cs="宋体"/>
                <w:b/>
                <w:color w:val="auto"/>
                <w:kern w:val="2"/>
                <w:sz w:val="21"/>
                <w:szCs w:val="21"/>
              </w:rPr>
            </w:pPr>
          </w:p>
        </w:tc>
        <w:tc>
          <w:tcPr>
            <w:tcW w:w="8346" w:type="dxa"/>
            <w:tcBorders>
              <w:left w:val="single" w:color="auto" w:sz="4" w:space="0"/>
              <w:bottom w:val="single" w:color="auto" w:sz="4" w:space="0"/>
            </w:tcBorders>
            <w:vAlign w:val="center"/>
          </w:tcPr>
          <w:p>
            <w:pPr>
              <w:pStyle w:val="70"/>
              <w:spacing w:line="360" w:lineRule="auto"/>
              <w:jc w:val="both"/>
              <w:rPr>
                <w:rFonts w:ascii="宋体" w:hAnsi="宋体" w:cs="宋体"/>
                <w:b/>
                <w:color w:val="auto"/>
                <w:kern w:val="2"/>
                <w:sz w:val="21"/>
                <w:szCs w:val="21"/>
              </w:rPr>
            </w:pPr>
            <w:r>
              <w:rPr>
                <w:rFonts w:hint="eastAsia" w:ascii="宋体" w:hAnsi="宋体" w:cs="宋体"/>
                <w:b/>
                <w:color w:val="auto"/>
                <w:kern w:val="2"/>
                <w:sz w:val="21"/>
                <w:szCs w:val="21"/>
              </w:rPr>
              <w:t>资格复审和体检服务方案（6分）</w:t>
            </w:r>
          </w:p>
          <w:p>
            <w:pPr>
              <w:pStyle w:val="70"/>
              <w:spacing w:line="360" w:lineRule="auto"/>
              <w:jc w:val="both"/>
              <w:rPr>
                <w:rFonts w:ascii="宋体" w:hAnsi="宋体" w:cs="宋体"/>
                <w:color w:val="auto"/>
                <w:sz w:val="21"/>
                <w:szCs w:val="21"/>
              </w:rPr>
            </w:pPr>
            <w:r>
              <w:rPr>
                <w:rFonts w:hint="eastAsia" w:ascii="宋体" w:hAnsi="宋体" w:cs="宋体"/>
                <w:color w:val="auto"/>
                <w:sz w:val="21"/>
                <w:szCs w:val="21"/>
              </w:rPr>
              <w:t>1、根据供应商提供的</w:t>
            </w:r>
            <w:r>
              <w:rPr>
                <w:rFonts w:hint="eastAsia" w:ascii="宋体" w:hAnsi="宋体" w:cs="宋体"/>
                <w:color w:val="auto"/>
                <w:kern w:val="2"/>
                <w:sz w:val="21"/>
                <w:szCs w:val="21"/>
                <w:lang w:val="zh-CN"/>
              </w:rPr>
              <w:t>组织现场资格复审的</w:t>
            </w:r>
            <w:r>
              <w:rPr>
                <w:rFonts w:hint="eastAsia" w:ascii="宋体" w:hAnsi="宋体" w:cs="宋体"/>
                <w:color w:val="auto"/>
                <w:kern w:val="2"/>
                <w:sz w:val="21"/>
                <w:szCs w:val="21"/>
              </w:rPr>
              <w:t>整体</w:t>
            </w:r>
            <w:r>
              <w:rPr>
                <w:rFonts w:hint="eastAsia" w:ascii="宋体" w:hAnsi="宋体" w:cs="宋体"/>
                <w:color w:val="auto"/>
                <w:kern w:val="2"/>
                <w:sz w:val="21"/>
                <w:szCs w:val="21"/>
                <w:lang w:val="zh-CN"/>
              </w:rPr>
              <w:t>方案，</w:t>
            </w:r>
            <w:r>
              <w:rPr>
                <w:rFonts w:hint="eastAsia" w:ascii="宋体" w:hAnsi="宋体" w:cs="宋体"/>
                <w:color w:val="auto"/>
                <w:sz w:val="21"/>
                <w:szCs w:val="21"/>
              </w:rPr>
              <w:t>方案完善全面、考虑充分得3分，方案较完善、考虑较充分得2分，方案考虑不够充分得1分，无方案得0分。</w:t>
            </w:r>
          </w:p>
          <w:p>
            <w:pPr>
              <w:pStyle w:val="70"/>
              <w:spacing w:line="360" w:lineRule="auto"/>
              <w:jc w:val="both"/>
              <w:rPr>
                <w:rFonts w:ascii="宋体" w:hAnsi="宋体" w:cs="宋体"/>
                <w:color w:val="auto"/>
                <w:kern w:val="2"/>
                <w:sz w:val="21"/>
                <w:szCs w:val="21"/>
              </w:rPr>
            </w:pPr>
            <w:r>
              <w:rPr>
                <w:rFonts w:hint="eastAsia" w:ascii="宋体" w:hAnsi="宋体" w:cs="宋体"/>
                <w:color w:val="auto"/>
                <w:kern w:val="2"/>
                <w:sz w:val="21"/>
                <w:szCs w:val="21"/>
              </w:rPr>
              <w:t>2、</w:t>
            </w:r>
            <w:r>
              <w:rPr>
                <w:rFonts w:hint="eastAsia" w:ascii="宋体" w:hAnsi="宋体" w:cs="宋体"/>
                <w:color w:val="auto"/>
                <w:sz w:val="21"/>
                <w:szCs w:val="21"/>
              </w:rPr>
              <w:t>根据供应商提供的</w:t>
            </w:r>
            <w:r>
              <w:rPr>
                <w:rFonts w:hint="eastAsia" w:ascii="宋体" w:hAnsi="宋体" w:cs="宋体"/>
                <w:color w:val="auto"/>
                <w:kern w:val="2"/>
                <w:sz w:val="21"/>
                <w:szCs w:val="21"/>
                <w:lang w:val="zh-CN"/>
              </w:rPr>
              <w:t>组织体检服务的方案，包括通知方式、接送方式、人员核查等，</w:t>
            </w:r>
            <w:r>
              <w:rPr>
                <w:rFonts w:hint="eastAsia" w:ascii="宋体" w:hAnsi="宋体" w:cs="宋体"/>
                <w:color w:val="auto"/>
                <w:sz w:val="21"/>
                <w:szCs w:val="21"/>
              </w:rPr>
              <w:t>方案完善全面、考虑充分得3分，方案较完善、考虑较充分得2分，方案考虑不够充分得1分，无方案得0分</w:t>
            </w:r>
            <w:r>
              <w:rPr>
                <w:rFonts w:hint="eastAsia" w:ascii="宋体" w:hAnsi="宋体" w:cs="宋体"/>
                <w:color w:val="auto"/>
                <w:kern w:val="2"/>
                <w:sz w:val="21"/>
                <w:szCs w:val="21"/>
              </w:rPr>
              <w:t xml:space="preserve">。    </w:t>
            </w:r>
          </w:p>
        </w:tc>
        <w:tc>
          <w:tcPr>
            <w:tcW w:w="1065" w:type="dxa"/>
            <w:tcBorders>
              <w:left w:val="single" w:color="auto" w:sz="4" w:space="0"/>
              <w:bottom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1" w:hRule="atLeast"/>
        </w:trPr>
        <w:tc>
          <w:tcPr>
            <w:tcW w:w="559" w:type="dxa"/>
            <w:vMerge w:val="continue"/>
            <w:tcBorders>
              <w:left w:val="single" w:color="auto" w:sz="4" w:space="0"/>
              <w:right w:val="single" w:color="auto" w:sz="4" w:space="0"/>
            </w:tcBorders>
            <w:vAlign w:val="center"/>
          </w:tcPr>
          <w:p>
            <w:pPr>
              <w:pStyle w:val="70"/>
              <w:jc w:val="center"/>
              <w:rPr>
                <w:rFonts w:ascii="宋体" w:hAnsi="宋体" w:cs="宋体"/>
                <w:b/>
                <w:color w:val="auto"/>
                <w:kern w:val="2"/>
                <w:sz w:val="21"/>
                <w:szCs w:val="21"/>
              </w:rPr>
            </w:pPr>
          </w:p>
          <w:p>
            <w:pPr>
              <w:pStyle w:val="70"/>
              <w:jc w:val="center"/>
              <w:rPr>
                <w:rFonts w:ascii="宋体" w:hAnsi="宋体" w:cs="宋体"/>
                <w:b/>
                <w:color w:val="auto"/>
                <w:kern w:val="2"/>
                <w:sz w:val="21"/>
                <w:szCs w:val="21"/>
              </w:rPr>
            </w:pPr>
          </w:p>
        </w:tc>
        <w:tc>
          <w:tcPr>
            <w:tcW w:w="8346" w:type="dxa"/>
            <w:tcBorders>
              <w:left w:val="single" w:color="auto" w:sz="4" w:space="0"/>
              <w:bottom w:val="single" w:color="auto" w:sz="4" w:space="0"/>
            </w:tcBorders>
            <w:vAlign w:val="center"/>
          </w:tcPr>
          <w:p>
            <w:pPr>
              <w:pStyle w:val="70"/>
              <w:spacing w:line="360" w:lineRule="auto"/>
              <w:jc w:val="both"/>
              <w:rPr>
                <w:rFonts w:ascii="宋体" w:hAnsi="宋体" w:cs="宋体"/>
                <w:b/>
                <w:bCs/>
                <w:color w:val="auto"/>
                <w:kern w:val="2"/>
                <w:sz w:val="21"/>
                <w:szCs w:val="21"/>
              </w:rPr>
            </w:pPr>
            <w:r>
              <w:rPr>
                <w:rFonts w:hint="eastAsia" w:ascii="宋体" w:hAnsi="宋体" w:cs="宋体"/>
                <w:b/>
                <w:bCs/>
                <w:color w:val="auto"/>
                <w:kern w:val="2"/>
                <w:sz w:val="21"/>
                <w:szCs w:val="21"/>
              </w:rPr>
              <w:t>录用及人员通知服务方案（3分）</w:t>
            </w:r>
          </w:p>
          <w:p>
            <w:pPr>
              <w:pStyle w:val="70"/>
              <w:spacing w:line="360" w:lineRule="auto"/>
              <w:jc w:val="both"/>
              <w:rPr>
                <w:rFonts w:ascii="宋体" w:hAnsi="宋体" w:cs="宋体"/>
                <w:color w:val="auto"/>
                <w:kern w:val="2"/>
                <w:sz w:val="21"/>
                <w:szCs w:val="21"/>
              </w:rPr>
            </w:pPr>
            <w:r>
              <w:rPr>
                <w:rFonts w:hint="eastAsia" w:ascii="宋体" w:hAnsi="宋体" w:cs="宋体"/>
                <w:color w:val="auto"/>
                <w:sz w:val="21"/>
                <w:szCs w:val="21"/>
              </w:rPr>
              <w:t>根据供应商提供的</w:t>
            </w:r>
            <w:r>
              <w:rPr>
                <w:rFonts w:hint="eastAsia" w:ascii="宋体" w:hAnsi="宋体" w:cs="宋体"/>
                <w:color w:val="auto"/>
                <w:kern w:val="2"/>
                <w:sz w:val="21"/>
                <w:szCs w:val="21"/>
                <w:lang w:val="zh-CN"/>
              </w:rPr>
              <w:t>录用及人员通知服务方案，</w:t>
            </w:r>
            <w:r>
              <w:rPr>
                <w:rFonts w:hint="eastAsia" w:ascii="宋体" w:hAnsi="宋体" w:cs="宋体"/>
                <w:color w:val="auto"/>
                <w:sz w:val="21"/>
                <w:szCs w:val="21"/>
              </w:rPr>
              <w:t>方案完善全面、考虑充分得3分，方案较完善、考虑较充分得2分，方案考虑不够充分得1分，无方案得0分。</w:t>
            </w:r>
          </w:p>
        </w:tc>
        <w:tc>
          <w:tcPr>
            <w:tcW w:w="1065" w:type="dxa"/>
            <w:tcBorders>
              <w:left w:val="single" w:color="auto" w:sz="4" w:space="0"/>
              <w:bottom w:val="single" w:color="auto" w:sz="4" w:space="0"/>
            </w:tcBorders>
            <w:vAlign w:val="center"/>
          </w:tcPr>
          <w:p>
            <w:pPr>
              <w:pStyle w:val="70"/>
              <w:spacing w:line="360" w:lineRule="auto"/>
              <w:jc w:val="center"/>
              <w:rPr>
                <w:rFonts w:ascii="宋体" w:hAnsi="宋体" w:cs="宋体"/>
                <w:color w:val="auto"/>
                <w:sz w:val="21"/>
                <w:szCs w:val="21"/>
              </w:rPr>
            </w:pPr>
            <w:r>
              <w:rPr>
                <w:rFonts w:hint="eastAsia" w:ascii="宋体" w:hAnsi="宋体" w:cs="宋体"/>
                <w:color w:val="auto"/>
                <w:kern w:val="2"/>
                <w:sz w:val="21"/>
                <w:szCs w:val="21"/>
              </w:rPr>
              <w:t>主观分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1" w:hRule="atLeast"/>
        </w:trPr>
        <w:tc>
          <w:tcPr>
            <w:tcW w:w="559" w:type="dxa"/>
            <w:vMerge w:val="continue"/>
            <w:tcBorders>
              <w:left w:val="single" w:color="auto" w:sz="4" w:space="0"/>
              <w:right w:val="single" w:color="auto" w:sz="4" w:space="0"/>
            </w:tcBorders>
            <w:vAlign w:val="center"/>
          </w:tcPr>
          <w:p>
            <w:pPr>
              <w:pStyle w:val="70"/>
              <w:jc w:val="center"/>
              <w:rPr>
                <w:rFonts w:ascii="宋体" w:hAnsi="宋体" w:cs="宋体"/>
                <w:b/>
                <w:color w:val="auto"/>
                <w:kern w:val="2"/>
                <w:sz w:val="21"/>
                <w:szCs w:val="21"/>
              </w:rPr>
            </w:pPr>
          </w:p>
        </w:tc>
        <w:tc>
          <w:tcPr>
            <w:tcW w:w="8346" w:type="dxa"/>
            <w:tcBorders>
              <w:bottom w:val="single" w:color="auto" w:sz="4" w:space="0"/>
            </w:tcBorders>
            <w:vAlign w:val="center"/>
          </w:tcPr>
          <w:p>
            <w:pPr>
              <w:pStyle w:val="70"/>
              <w:spacing w:line="360" w:lineRule="auto"/>
              <w:jc w:val="both"/>
              <w:rPr>
                <w:rFonts w:ascii="宋体" w:hAnsi="宋体" w:cs="宋体"/>
                <w:b/>
                <w:color w:val="auto"/>
                <w:kern w:val="2"/>
                <w:sz w:val="21"/>
                <w:szCs w:val="21"/>
              </w:rPr>
            </w:pPr>
            <w:r>
              <w:rPr>
                <w:rFonts w:hint="eastAsia" w:ascii="宋体" w:hAnsi="宋体" w:cs="宋体"/>
                <w:b/>
                <w:color w:val="auto"/>
                <w:kern w:val="2"/>
                <w:sz w:val="21"/>
                <w:szCs w:val="21"/>
              </w:rPr>
              <w:t xml:space="preserve">服务保障方案（6分）                                        </w:t>
            </w:r>
          </w:p>
          <w:p>
            <w:pPr>
              <w:pStyle w:val="70"/>
              <w:spacing w:line="360" w:lineRule="auto"/>
              <w:jc w:val="both"/>
              <w:rPr>
                <w:rFonts w:ascii="宋体" w:hAnsi="宋体" w:cs="宋体"/>
                <w:color w:val="auto"/>
                <w:sz w:val="21"/>
                <w:szCs w:val="21"/>
              </w:rPr>
            </w:pPr>
            <w:r>
              <w:rPr>
                <w:rFonts w:hint="eastAsia" w:ascii="宋体" w:hAnsi="宋体" w:cs="宋体"/>
                <w:color w:val="auto"/>
                <w:kern w:val="2"/>
                <w:sz w:val="21"/>
                <w:szCs w:val="21"/>
              </w:rPr>
              <w:t>1、</w:t>
            </w:r>
            <w:r>
              <w:rPr>
                <w:rFonts w:hint="eastAsia" w:ascii="宋体" w:hAnsi="宋体" w:cs="宋体"/>
                <w:color w:val="auto"/>
                <w:sz w:val="21"/>
                <w:szCs w:val="21"/>
              </w:rPr>
              <w:t>根据供应商提供的法务保障方案，包括是否具有法务团队或合作单位、是否具有处理能力及处理经验，方案完善全面、考虑充分得3分，方案较完善、考虑较充分得2分，方案考虑不够充分得1分，无方案得0分。</w:t>
            </w:r>
          </w:p>
          <w:p>
            <w:pPr>
              <w:pStyle w:val="70"/>
              <w:spacing w:line="360" w:lineRule="auto"/>
              <w:jc w:val="both"/>
              <w:rPr>
                <w:rFonts w:ascii="宋体" w:hAnsi="宋体" w:cs="宋体"/>
                <w:color w:val="auto"/>
                <w:kern w:val="2"/>
                <w:sz w:val="21"/>
                <w:szCs w:val="21"/>
              </w:rPr>
            </w:pPr>
            <w:r>
              <w:rPr>
                <w:rFonts w:hint="eastAsia" w:ascii="宋体" w:hAnsi="宋体" w:cs="宋体"/>
                <w:color w:val="auto"/>
                <w:kern w:val="2"/>
                <w:sz w:val="21"/>
                <w:szCs w:val="21"/>
              </w:rPr>
              <w:t>2、</w:t>
            </w:r>
            <w:r>
              <w:rPr>
                <w:rFonts w:hint="eastAsia" w:ascii="宋体" w:hAnsi="宋体" w:cs="宋体"/>
                <w:color w:val="auto"/>
                <w:sz w:val="21"/>
                <w:szCs w:val="21"/>
              </w:rPr>
              <w:t>根据供应商提供的劳务纠纷处理方案，包括是否具有处理能力及处理经验，方案完善全面、考虑充分得3分，方案较完善、考虑较充分得2分，方案考虑不够充分得1分，无方案得0分</w:t>
            </w:r>
          </w:p>
        </w:tc>
        <w:tc>
          <w:tcPr>
            <w:tcW w:w="1065" w:type="dxa"/>
            <w:tcBorders>
              <w:bottom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1" w:hRule="atLeast"/>
        </w:trPr>
        <w:tc>
          <w:tcPr>
            <w:tcW w:w="559" w:type="dxa"/>
            <w:vMerge w:val="continue"/>
            <w:tcBorders>
              <w:left w:val="single" w:color="auto" w:sz="4" w:space="0"/>
              <w:right w:val="single" w:color="auto" w:sz="4" w:space="0"/>
            </w:tcBorders>
            <w:vAlign w:val="center"/>
          </w:tcPr>
          <w:p>
            <w:pPr>
              <w:pStyle w:val="70"/>
              <w:jc w:val="center"/>
              <w:rPr>
                <w:rFonts w:ascii="宋体" w:hAnsi="宋体" w:cs="宋体"/>
                <w:b/>
                <w:color w:val="auto"/>
                <w:kern w:val="2"/>
                <w:sz w:val="21"/>
                <w:szCs w:val="21"/>
              </w:rPr>
            </w:pPr>
          </w:p>
        </w:tc>
        <w:tc>
          <w:tcPr>
            <w:tcW w:w="8346" w:type="dxa"/>
            <w:tcBorders>
              <w:bottom w:val="single" w:color="auto" w:sz="4" w:space="0"/>
            </w:tcBorders>
            <w:vAlign w:val="center"/>
          </w:tcPr>
          <w:p>
            <w:pPr>
              <w:pStyle w:val="70"/>
              <w:spacing w:line="360" w:lineRule="auto"/>
              <w:jc w:val="both"/>
              <w:rPr>
                <w:rFonts w:ascii="宋体" w:hAnsi="宋体" w:cs="宋体"/>
                <w:b/>
                <w:color w:val="auto"/>
                <w:kern w:val="2"/>
                <w:sz w:val="21"/>
                <w:szCs w:val="21"/>
              </w:rPr>
            </w:pPr>
            <w:r>
              <w:rPr>
                <w:rFonts w:hint="eastAsia" w:ascii="宋体" w:hAnsi="宋体" w:cs="宋体"/>
                <w:b/>
                <w:color w:val="auto"/>
                <w:kern w:val="2"/>
                <w:sz w:val="21"/>
                <w:szCs w:val="21"/>
              </w:rPr>
              <w:t xml:space="preserve">员工培训方案（3分）                                        </w:t>
            </w:r>
          </w:p>
          <w:p>
            <w:pPr>
              <w:pStyle w:val="70"/>
              <w:spacing w:line="360" w:lineRule="auto"/>
              <w:jc w:val="both"/>
              <w:rPr>
                <w:rFonts w:ascii="宋体" w:hAnsi="宋体" w:cs="宋体"/>
                <w:color w:val="auto"/>
                <w:kern w:val="2"/>
                <w:sz w:val="21"/>
                <w:szCs w:val="21"/>
              </w:rPr>
            </w:pPr>
            <w:r>
              <w:rPr>
                <w:rFonts w:hint="eastAsia" w:ascii="宋体" w:hAnsi="宋体" w:cs="宋体"/>
                <w:color w:val="auto"/>
                <w:sz w:val="21"/>
                <w:szCs w:val="21"/>
              </w:rPr>
              <w:t>根据供应商提供的员工培训方案</w:t>
            </w:r>
            <w:r>
              <w:rPr>
                <w:rFonts w:hint="eastAsia" w:ascii="宋体" w:hAnsi="宋体" w:cs="宋体"/>
                <w:color w:val="auto"/>
                <w:kern w:val="2"/>
                <w:sz w:val="21"/>
                <w:szCs w:val="21"/>
              </w:rPr>
              <w:t>，包括培训时间、培训场地、培训事项等，</w:t>
            </w:r>
            <w:r>
              <w:rPr>
                <w:rFonts w:hint="eastAsia" w:ascii="宋体" w:hAnsi="宋体" w:cs="宋体"/>
                <w:color w:val="auto"/>
                <w:sz w:val="21"/>
                <w:szCs w:val="21"/>
              </w:rPr>
              <w:t>方案完善全面、考虑充分得3分，方案较完善、较合理得2分，方案考虑不够充分得1分，无方案得0分</w:t>
            </w:r>
            <w:r>
              <w:rPr>
                <w:rFonts w:hint="eastAsia" w:ascii="宋体" w:hAnsi="宋体" w:cs="宋体"/>
                <w:color w:val="auto"/>
                <w:kern w:val="2"/>
                <w:sz w:val="21"/>
                <w:szCs w:val="21"/>
              </w:rPr>
              <w:t xml:space="preserve">。 </w:t>
            </w:r>
          </w:p>
        </w:tc>
        <w:tc>
          <w:tcPr>
            <w:tcW w:w="1065" w:type="dxa"/>
            <w:tcBorders>
              <w:bottom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4" w:hRule="atLeast"/>
        </w:trPr>
        <w:tc>
          <w:tcPr>
            <w:tcW w:w="559" w:type="dxa"/>
            <w:vMerge w:val="continue"/>
            <w:tcBorders>
              <w:left w:val="single" w:color="auto" w:sz="4" w:space="0"/>
              <w:right w:val="single" w:color="auto" w:sz="4" w:space="0"/>
            </w:tcBorders>
            <w:vAlign w:val="center"/>
          </w:tcPr>
          <w:p>
            <w:pPr>
              <w:pStyle w:val="70"/>
              <w:jc w:val="center"/>
              <w:rPr>
                <w:rFonts w:ascii="宋体" w:hAnsi="宋体" w:cs="宋体"/>
                <w:b/>
                <w:color w:val="auto"/>
                <w:kern w:val="2"/>
                <w:sz w:val="21"/>
                <w:szCs w:val="21"/>
              </w:rPr>
            </w:pPr>
          </w:p>
        </w:tc>
        <w:tc>
          <w:tcPr>
            <w:tcW w:w="8346" w:type="dxa"/>
            <w:tcBorders>
              <w:bottom w:val="single" w:color="auto" w:sz="4" w:space="0"/>
            </w:tcBorders>
            <w:vAlign w:val="center"/>
          </w:tcPr>
          <w:p>
            <w:pPr>
              <w:pStyle w:val="70"/>
              <w:spacing w:line="360" w:lineRule="auto"/>
              <w:jc w:val="both"/>
              <w:rPr>
                <w:rFonts w:ascii="宋体" w:hAnsi="宋体" w:cs="宋体"/>
                <w:b/>
                <w:bCs/>
                <w:color w:val="auto"/>
                <w:sz w:val="21"/>
                <w:szCs w:val="21"/>
              </w:rPr>
            </w:pPr>
            <w:r>
              <w:rPr>
                <w:rFonts w:hint="eastAsia" w:ascii="宋体" w:hAnsi="宋体" w:cs="宋体"/>
                <w:b/>
                <w:bCs/>
                <w:color w:val="auto"/>
                <w:sz w:val="21"/>
                <w:szCs w:val="21"/>
              </w:rPr>
              <w:t>管理制度（9分）</w:t>
            </w:r>
          </w:p>
          <w:p>
            <w:pPr>
              <w:pStyle w:val="70"/>
              <w:numPr>
                <w:ilvl w:val="0"/>
                <w:numId w:val="7"/>
              </w:numPr>
              <w:spacing w:line="360" w:lineRule="auto"/>
              <w:jc w:val="both"/>
              <w:rPr>
                <w:rFonts w:ascii="宋体" w:hAnsi="宋体" w:cs="宋体"/>
                <w:color w:val="auto"/>
                <w:sz w:val="21"/>
                <w:szCs w:val="21"/>
              </w:rPr>
            </w:pPr>
            <w:r>
              <w:rPr>
                <w:rFonts w:hint="eastAsia" w:ascii="宋体" w:hAnsi="宋体" w:cs="宋体"/>
                <w:color w:val="auto"/>
                <w:sz w:val="21"/>
                <w:szCs w:val="21"/>
              </w:rPr>
              <w:t>根据供应商提供的人力资源管理制度，包括入离职管理制度、薪酬福利制度、年休假管理制度、招聘管理制度、培训管理制度，制度完善全面、考虑充分得3分，制度较完善、较合理得2分，方案考虑不够充分得1分，无方案得0分。</w:t>
            </w:r>
          </w:p>
          <w:p>
            <w:pPr>
              <w:pStyle w:val="70"/>
              <w:numPr>
                <w:ilvl w:val="0"/>
                <w:numId w:val="7"/>
              </w:numPr>
              <w:spacing w:line="360" w:lineRule="auto"/>
              <w:jc w:val="both"/>
              <w:rPr>
                <w:rFonts w:ascii="宋体" w:hAnsi="宋体" w:cs="宋体"/>
                <w:color w:val="auto"/>
                <w:sz w:val="21"/>
                <w:szCs w:val="21"/>
              </w:rPr>
            </w:pPr>
            <w:r>
              <w:rPr>
                <w:rFonts w:hint="eastAsia" w:ascii="宋体" w:hAnsi="宋体" w:cs="宋体"/>
                <w:color w:val="auto"/>
                <w:sz w:val="21"/>
                <w:szCs w:val="21"/>
              </w:rPr>
              <w:t>根据供应商提供的文档管理制度，包括合同管理制度、档案管理制度，制度完善全面、考虑充分得3分，制度较完善、较合理得2分，方案考虑不够充分得1分，无方案得0分。</w:t>
            </w:r>
          </w:p>
          <w:p>
            <w:pPr>
              <w:numPr>
                <w:ilvl w:val="0"/>
                <w:numId w:val="7"/>
              </w:numPr>
              <w:autoSpaceDE w:val="0"/>
              <w:autoSpaceDN w:val="0"/>
              <w:adjustRightInd w:val="0"/>
              <w:spacing w:line="360" w:lineRule="auto"/>
              <w:rPr>
                <w:rFonts w:ascii="宋体" w:hAnsi="宋体" w:cs="宋体"/>
                <w:szCs w:val="21"/>
              </w:rPr>
            </w:pPr>
            <w:r>
              <w:rPr>
                <w:rFonts w:hint="eastAsia" w:ascii="宋体" w:hAnsi="宋体" w:cs="宋体"/>
                <w:szCs w:val="21"/>
              </w:rPr>
              <w:t>根据供应商提供的员工管理制度，包括员工奖惩管理制度、日常行为准则、仪容仪表管理制度、工作餐管理制度、值班管理（交接班)、服务质量管理制度、办公设备使用管理制度等，制度完善全面、考虑充分得3分，制度较完善、较合理得2分，方案考虑不够充分得1分，无方案得0分。</w:t>
            </w:r>
          </w:p>
        </w:tc>
        <w:tc>
          <w:tcPr>
            <w:tcW w:w="1065" w:type="dxa"/>
            <w:tcBorders>
              <w:bottom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主观分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59" w:type="dxa"/>
            <w:vMerge w:val="continue"/>
            <w:tcBorders>
              <w:left w:val="single" w:color="auto" w:sz="4" w:space="0"/>
              <w:right w:val="single" w:color="auto" w:sz="4" w:space="0"/>
            </w:tcBorders>
            <w:vAlign w:val="center"/>
          </w:tcPr>
          <w:p>
            <w:pPr>
              <w:pStyle w:val="70"/>
              <w:jc w:val="center"/>
              <w:rPr>
                <w:rFonts w:ascii="宋体" w:hAnsi="宋体" w:cs="宋体"/>
                <w:b/>
                <w:color w:val="auto"/>
                <w:kern w:val="2"/>
                <w:sz w:val="21"/>
                <w:szCs w:val="21"/>
              </w:rPr>
            </w:pPr>
          </w:p>
        </w:tc>
        <w:tc>
          <w:tcPr>
            <w:tcW w:w="8346" w:type="dxa"/>
            <w:tcBorders>
              <w:bottom w:val="single" w:color="auto" w:sz="4" w:space="0"/>
            </w:tcBorders>
            <w:vAlign w:val="center"/>
          </w:tcPr>
          <w:p>
            <w:pPr>
              <w:autoSpaceDE w:val="0"/>
              <w:autoSpaceDN w:val="0"/>
              <w:adjustRightInd w:val="0"/>
              <w:spacing w:line="360" w:lineRule="auto"/>
              <w:rPr>
                <w:rFonts w:ascii="宋体" w:hAnsi="宋体" w:cs="宋体"/>
                <w:b/>
                <w:bCs/>
                <w:szCs w:val="21"/>
              </w:rPr>
            </w:pPr>
            <w:r>
              <w:rPr>
                <w:rFonts w:hint="eastAsia" w:ascii="宋体" w:hAnsi="宋体" w:cs="宋体"/>
                <w:b/>
                <w:bCs/>
                <w:szCs w:val="21"/>
              </w:rPr>
              <w:t>管理系统先进性（6分）</w:t>
            </w:r>
          </w:p>
          <w:p>
            <w:pPr>
              <w:autoSpaceDE w:val="0"/>
              <w:autoSpaceDN w:val="0"/>
              <w:adjustRightInd w:val="0"/>
              <w:spacing w:line="360" w:lineRule="auto"/>
              <w:rPr>
                <w:rFonts w:ascii="宋体" w:hAnsi="宋体" w:cs="宋体"/>
                <w:szCs w:val="21"/>
              </w:rPr>
            </w:pPr>
            <w:r>
              <w:rPr>
                <w:rFonts w:hint="eastAsia" w:ascii="宋体" w:hAnsi="宋体" w:cs="宋体"/>
                <w:szCs w:val="21"/>
              </w:rPr>
              <w:t>供应商具备人力资源管理平台系统、电子合同签约平台、雇员服务系统的，每个系统得2分，最多可得6分。</w:t>
            </w:r>
          </w:p>
          <w:p>
            <w:pPr>
              <w:autoSpaceDE w:val="0"/>
              <w:autoSpaceDN w:val="0"/>
              <w:adjustRightInd w:val="0"/>
              <w:spacing w:line="360" w:lineRule="auto"/>
              <w:rPr>
                <w:rFonts w:ascii="宋体" w:hAnsi="宋体" w:cs="宋体"/>
                <w:szCs w:val="21"/>
              </w:rPr>
            </w:pPr>
            <w:r>
              <w:rPr>
                <w:rFonts w:hint="eastAsia" w:ascii="宋体" w:hAnsi="宋体" w:cs="宋体"/>
                <w:szCs w:val="21"/>
              </w:rPr>
              <w:t>响应文件中提供与软件平台签订的合同或协议及能体现以上系统内容的截图，否则不得分。</w:t>
            </w:r>
          </w:p>
        </w:tc>
        <w:tc>
          <w:tcPr>
            <w:tcW w:w="1065" w:type="dxa"/>
            <w:tcBorders>
              <w:bottom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客观分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1" w:hRule="atLeast"/>
        </w:trPr>
        <w:tc>
          <w:tcPr>
            <w:tcW w:w="559" w:type="dxa"/>
            <w:vMerge w:val="continue"/>
            <w:tcBorders>
              <w:left w:val="single" w:color="auto" w:sz="4" w:space="0"/>
              <w:right w:val="single" w:color="auto" w:sz="4" w:space="0"/>
            </w:tcBorders>
            <w:vAlign w:val="center"/>
          </w:tcPr>
          <w:p>
            <w:pPr>
              <w:pStyle w:val="70"/>
              <w:jc w:val="center"/>
              <w:rPr>
                <w:rFonts w:ascii="宋体" w:hAnsi="宋体" w:cs="宋体"/>
                <w:b/>
                <w:color w:val="auto"/>
                <w:kern w:val="2"/>
                <w:sz w:val="21"/>
                <w:szCs w:val="21"/>
              </w:rPr>
            </w:pPr>
          </w:p>
        </w:tc>
        <w:tc>
          <w:tcPr>
            <w:tcW w:w="8346" w:type="dxa"/>
            <w:tcBorders>
              <w:bottom w:val="single" w:color="auto" w:sz="4" w:space="0"/>
            </w:tcBorders>
            <w:vAlign w:val="center"/>
          </w:tcPr>
          <w:p>
            <w:pPr>
              <w:autoSpaceDE w:val="0"/>
              <w:autoSpaceDN w:val="0"/>
              <w:adjustRightInd w:val="0"/>
              <w:spacing w:line="360" w:lineRule="auto"/>
              <w:rPr>
                <w:rFonts w:ascii="宋体" w:hAnsi="宋体" w:cs="宋体"/>
                <w:b/>
                <w:bCs/>
                <w:szCs w:val="21"/>
              </w:rPr>
            </w:pPr>
            <w:r>
              <w:rPr>
                <w:rFonts w:hint="eastAsia" w:ascii="宋体" w:hAnsi="宋体" w:cs="宋体"/>
                <w:b/>
                <w:bCs/>
                <w:szCs w:val="21"/>
              </w:rPr>
              <w:t>突发事件应急预案（6分）</w:t>
            </w:r>
          </w:p>
          <w:p>
            <w:pPr>
              <w:pStyle w:val="70"/>
              <w:spacing w:line="360" w:lineRule="auto"/>
              <w:jc w:val="both"/>
              <w:rPr>
                <w:rFonts w:ascii="宋体" w:hAnsi="宋体" w:cs="宋体"/>
                <w:color w:val="auto"/>
                <w:sz w:val="21"/>
                <w:szCs w:val="21"/>
              </w:rPr>
            </w:pPr>
            <w:r>
              <w:rPr>
                <w:rFonts w:hint="eastAsia" w:ascii="宋体" w:hAnsi="宋体" w:cs="宋体"/>
                <w:color w:val="auto"/>
                <w:sz w:val="21"/>
                <w:szCs w:val="21"/>
              </w:rPr>
              <w:t>1、根据供应商提供的针对报名临时取消、得分争议的应急预案，方案完善全面、考虑充分得3分，方案较完善、考虑较充分得2分，方案考虑不够充分得1分，无方案得0分。</w:t>
            </w:r>
          </w:p>
          <w:p>
            <w:pPr>
              <w:pStyle w:val="70"/>
              <w:spacing w:line="360" w:lineRule="auto"/>
              <w:jc w:val="both"/>
              <w:rPr>
                <w:rFonts w:ascii="宋体" w:hAnsi="宋体" w:cs="宋体"/>
                <w:color w:val="auto"/>
                <w:sz w:val="21"/>
                <w:szCs w:val="21"/>
              </w:rPr>
            </w:pPr>
            <w:r>
              <w:rPr>
                <w:rFonts w:hint="eastAsia" w:ascii="宋体" w:hAnsi="宋体" w:cs="宋体"/>
                <w:color w:val="auto"/>
                <w:sz w:val="21"/>
                <w:szCs w:val="21"/>
              </w:rPr>
              <w:t>2、根据供应商提供的针对</w:t>
            </w:r>
            <w:r>
              <w:rPr>
                <w:rFonts w:hint="eastAsia" w:ascii="宋体" w:hAnsi="宋体" w:cs="宋体"/>
                <w:color w:val="auto"/>
                <w:kern w:val="2"/>
                <w:sz w:val="21"/>
                <w:szCs w:val="21"/>
              </w:rPr>
              <w:t>笔试/面试突发事件的</w:t>
            </w:r>
            <w:r>
              <w:rPr>
                <w:rFonts w:hint="eastAsia" w:ascii="宋体" w:hAnsi="宋体" w:cs="宋体"/>
                <w:color w:val="auto"/>
                <w:sz w:val="21"/>
                <w:szCs w:val="21"/>
              </w:rPr>
              <w:t>应急预案，方案完善全面、考虑充分得3分，方案较完善、考虑较充分得2分，方案考虑不够充分得1分，无方案得0分。</w:t>
            </w:r>
          </w:p>
        </w:tc>
        <w:tc>
          <w:tcPr>
            <w:tcW w:w="1065" w:type="dxa"/>
            <w:tcBorders>
              <w:bottom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5" w:hRule="atLeast"/>
        </w:trPr>
        <w:tc>
          <w:tcPr>
            <w:tcW w:w="559" w:type="dxa"/>
            <w:vMerge w:val="continue"/>
            <w:tcBorders>
              <w:left w:val="single" w:color="auto" w:sz="4" w:space="0"/>
              <w:right w:val="single" w:color="auto" w:sz="4" w:space="0"/>
            </w:tcBorders>
            <w:vAlign w:val="center"/>
          </w:tcPr>
          <w:p>
            <w:pPr>
              <w:pStyle w:val="70"/>
              <w:jc w:val="center"/>
              <w:rPr>
                <w:rFonts w:ascii="宋体" w:hAnsi="宋体" w:cs="宋体"/>
                <w:b/>
                <w:color w:val="auto"/>
                <w:kern w:val="2"/>
                <w:sz w:val="21"/>
                <w:szCs w:val="21"/>
              </w:rPr>
            </w:pPr>
          </w:p>
        </w:tc>
        <w:tc>
          <w:tcPr>
            <w:tcW w:w="8346" w:type="dxa"/>
            <w:tcBorders>
              <w:bottom w:val="single" w:color="auto" w:sz="4" w:space="0"/>
            </w:tcBorders>
            <w:vAlign w:val="center"/>
          </w:tcPr>
          <w:p>
            <w:pPr>
              <w:pStyle w:val="70"/>
              <w:spacing w:line="360" w:lineRule="auto"/>
              <w:jc w:val="both"/>
              <w:rPr>
                <w:rFonts w:ascii="宋体" w:hAnsi="宋体" w:cs="宋体"/>
                <w:b/>
                <w:bCs/>
                <w:color w:val="auto"/>
                <w:sz w:val="21"/>
                <w:szCs w:val="21"/>
              </w:rPr>
            </w:pPr>
            <w:r>
              <w:rPr>
                <w:rFonts w:hint="eastAsia" w:ascii="宋体" w:hAnsi="宋体" w:cs="宋体"/>
                <w:b/>
                <w:bCs/>
                <w:color w:val="auto"/>
                <w:sz w:val="21"/>
                <w:szCs w:val="21"/>
              </w:rPr>
              <w:t>疫情防控方案（3分）</w:t>
            </w:r>
          </w:p>
          <w:p>
            <w:pPr>
              <w:pStyle w:val="70"/>
              <w:spacing w:line="360" w:lineRule="auto"/>
              <w:jc w:val="both"/>
              <w:rPr>
                <w:rFonts w:ascii="宋体" w:hAnsi="宋体" w:cs="宋体"/>
                <w:color w:val="auto"/>
                <w:sz w:val="21"/>
                <w:szCs w:val="21"/>
              </w:rPr>
            </w:pPr>
            <w:r>
              <w:rPr>
                <w:rFonts w:hint="eastAsia" w:ascii="宋体" w:hAnsi="宋体" w:cs="宋体"/>
                <w:color w:val="auto"/>
                <w:sz w:val="21"/>
                <w:szCs w:val="21"/>
              </w:rPr>
              <w:t>根据供应商提供的疫情防控方案，方案完善全面、考虑充分得3分，方案较完善、考虑较充分得2分，方案考虑不够充分得1分，无方案得0分。</w:t>
            </w:r>
          </w:p>
        </w:tc>
        <w:tc>
          <w:tcPr>
            <w:tcW w:w="1065" w:type="dxa"/>
            <w:tcBorders>
              <w:bottom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94" w:hRule="atLeast"/>
        </w:trPr>
        <w:tc>
          <w:tcPr>
            <w:tcW w:w="559" w:type="dxa"/>
            <w:vMerge w:val="continue"/>
            <w:tcBorders>
              <w:left w:val="single" w:color="auto" w:sz="4" w:space="0"/>
              <w:right w:val="single" w:color="auto" w:sz="4" w:space="0"/>
            </w:tcBorders>
            <w:vAlign w:val="center"/>
          </w:tcPr>
          <w:p>
            <w:pPr>
              <w:pStyle w:val="70"/>
              <w:jc w:val="center"/>
              <w:rPr>
                <w:rFonts w:ascii="宋体" w:hAnsi="宋体" w:cs="宋体"/>
                <w:b/>
                <w:color w:val="auto"/>
                <w:kern w:val="2"/>
                <w:sz w:val="21"/>
                <w:szCs w:val="21"/>
              </w:rPr>
            </w:pPr>
          </w:p>
        </w:tc>
        <w:tc>
          <w:tcPr>
            <w:tcW w:w="8346" w:type="dxa"/>
            <w:tcBorders>
              <w:bottom w:val="single" w:color="auto" w:sz="4" w:space="0"/>
            </w:tcBorders>
            <w:vAlign w:val="center"/>
          </w:tcPr>
          <w:p>
            <w:pPr>
              <w:pStyle w:val="70"/>
              <w:spacing w:line="360" w:lineRule="auto"/>
              <w:jc w:val="both"/>
              <w:rPr>
                <w:rFonts w:ascii="宋体" w:hAnsi="宋体" w:cs="宋体"/>
                <w:b/>
                <w:bCs/>
                <w:color w:val="auto"/>
                <w:sz w:val="21"/>
                <w:szCs w:val="21"/>
              </w:rPr>
            </w:pPr>
            <w:r>
              <w:rPr>
                <w:rFonts w:hint="eastAsia" w:ascii="宋体" w:hAnsi="宋体" w:cs="宋体"/>
                <w:b/>
                <w:bCs/>
                <w:color w:val="auto"/>
                <w:sz w:val="21"/>
                <w:szCs w:val="21"/>
              </w:rPr>
              <w:t>服务承诺（3分）</w:t>
            </w:r>
          </w:p>
          <w:p>
            <w:pPr>
              <w:pStyle w:val="70"/>
              <w:spacing w:line="360" w:lineRule="auto"/>
              <w:jc w:val="both"/>
              <w:rPr>
                <w:rFonts w:ascii="宋体" w:hAnsi="宋体" w:cs="宋体"/>
                <w:color w:val="auto"/>
                <w:sz w:val="21"/>
                <w:szCs w:val="21"/>
              </w:rPr>
            </w:pPr>
            <w:r>
              <w:rPr>
                <w:rFonts w:hint="eastAsia" w:ascii="宋体" w:hAnsi="宋体" w:cs="宋体"/>
                <w:color w:val="auto"/>
                <w:sz w:val="21"/>
                <w:szCs w:val="21"/>
              </w:rPr>
              <w:t>根据供应商提供的服务承诺承诺内容、执行方式等，承诺内容符合项目实际、执行方式操作性强的得3分，承诺内容较符合项目实际、执行方式操作性较强的得2分，承诺内容笼统、与实际有偏差的得1分，无方案得0分。</w:t>
            </w:r>
          </w:p>
        </w:tc>
        <w:tc>
          <w:tcPr>
            <w:tcW w:w="1065" w:type="dxa"/>
            <w:tcBorders>
              <w:bottom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2" w:hRule="atLeast"/>
        </w:trPr>
        <w:tc>
          <w:tcPr>
            <w:tcW w:w="559" w:type="dxa"/>
            <w:vMerge w:val="continue"/>
            <w:tcBorders>
              <w:left w:val="single" w:color="auto" w:sz="4" w:space="0"/>
              <w:right w:val="single" w:color="auto" w:sz="4" w:space="0"/>
            </w:tcBorders>
          </w:tcPr>
          <w:p>
            <w:pPr>
              <w:pStyle w:val="70"/>
              <w:rPr>
                <w:rFonts w:ascii="宋体" w:hAnsi="宋体" w:cs="宋体"/>
                <w:color w:val="auto"/>
                <w:kern w:val="2"/>
                <w:sz w:val="21"/>
                <w:szCs w:val="21"/>
              </w:rPr>
            </w:pPr>
          </w:p>
        </w:tc>
        <w:tc>
          <w:tcPr>
            <w:tcW w:w="8346" w:type="dxa"/>
            <w:vAlign w:val="center"/>
          </w:tcPr>
          <w:p>
            <w:pPr>
              <w:pStyle w:val="70"/>
              <w:spacing w:line="360" w:lineRule="auto"/>
              <w:jc w:val="both"/>
              <w:rPr>
                <w:rFonts w:ascii="宋体" w:hAnsi="宋体" w:cs="宋体"/>
                <w:b/>
                <w:color w:val="auto"/>
                <w:kern w:val="2"/>
                <w:sz w:val="21"/>
                <w:szCs w:val="21"/>
              </w:rPr>
            </w:pPr>
            <w:r>
              <w:rPr>
                <w:rFonts w:hint="eastAsia" w:ascii="宋体" w:hAnsi="宋体" w:cs="宋体"/>
                <w:b/>
                <w:color w:val="auto"/>
                <w:kern w:val="2"/>
                <w:sz w:val="21"/>
                <w:szCs w:val="21"/>
              </w:rPr>
              <w:t xml:space="preserve">项目组成员配备（15分）                                          </w:t>
            </w:r>
          </w:p>
          <w:p>
            <w:pPr>
              <w:pStyle w:val="70"/>
              <w:numPr>
                <w:ilvl w:val="0"/>
                <w:numId w:val="8"/>
              </w:numPr>
              <w:spacing w:line="360" w:lineRule="auto"/>
              <w:jc w:val="both"/>
              <w:rPr>
                <w:rFonts w:ascii="宋体" w:hAnsi="宋体" w:cs="宋体"/>
                <w:color w:val="auto"/>
                <w:sz w:val="21"/>
                <w:szCs w:val="21"/>
              </w:rPr>
            </w:pPr>
            <w:r>
              <w:rPr>
                <w:rFonts w:hint="eastAsia" w:ascii="宋体" w:hAnsi="宋体" w:cs="宋体"/>
                <w:color w:val="auto"/>
                <w:sz w:val="21"/>
                <w:szCs w:val="21"/>
              </w:rPr>
              <w:t>拟投入的实施团队成员具有高级职称证书的，每具有1名得1分，最多可得5分；</w:t>
            </w:r>
          </w:p>
          <w:p>
            <w:pPr>
              <w:pStyle w:val="70"/>
              <w:numPr>
                <w:ilvl w:val="0"/>
                <w:numId w:val="8"/>
              </w:numPr>
              <w:spacing w:line="360" w:lineRule="auto"/>
              <w:jc w:val="both"/>
              <w:rPr>
                <w:rFonts w:ascii="宋体" w:hAnsi="宋体" w:cs="宋体"/>
                <w:color w:val="auto"/>
                <w:sz w:val="21"/>
                <w:szCs w:val="21"/>
              </w:rPr>
            </w:pPr>
            <w:r>
              <w:rPr>
                <w:rFonts w:hint="eastAsia" w:ascii="宋体" w:hAnsi="宋体" w:cs="宋体"/>
                <w:color w:val="auto"/>
                <w:sz w:val="21"/>
                <w:szCs w:val="21"/>
              </w:rPr>
              <w:t>拟投入的实施团队成员具有二级及以上人力资源管理师证书的，每具有1名得0.5分，最多可得5分；</w:t>
            </w:r>
          </w:p>
          <w:p>
            <w:pPr>
              <w:pStyle w:val="70"/>
              <w:numPr>
                <w:ilvl w:val="0"/>
                <w:numId w:val="8"/>
              </w:numPr>
              <w:spacing w:line="360" w:lineRule="auto"/>
              <w:jc w:val="both"/>
              <w:rPr>
                <w:rFonts w:ascii="宋体" w:hAnsi="宋体" w:cs="宋体"/>
                <w:color w:val="auto"/>
                <w:sz w:val="21"/>
                <w:szCs w:val="21"/>
              </w:rPr>
            </w:pPr>
            <w:r>
              <w:rPr>
                <w:rFonts w:hint="eastAsia" w:ascii="宋体" w:hAnsi="宋体" w:cs="宋体"/>
                <w:color w:val="auto"/>
                <w:sz w:val="21"/>
                <w:szCs w:val="21"/>
              </w:rPr>
              <w:t>拟投入的实施团队成员具有劳动关系协调员证书的，每具有1名得0.25分，最多可得5分。</w:t>
            </w:r>
          </w:p>
          <w:p>
            <w:pPr>
              <w:pStyle w:val="70"/>
              <w:spacing w:line="360" w:lineRule="auto"/>
              <w:jc w:val="both"/>
              <w:rPr>
                <w:rFonts w:ascii="宋体" w:hAnsi="宋体" w:cs="宋体"/>
                <w:color w:val="auto"/>
                <w:kern w:val="2"/>
                <w:sz w:val="21"/>
                <w:szCs w:val="21"/>
              </w:rPr>
            </w:pPr>
            <w:r>
              <w:rPr>
                <w:rFonts w:hint="eastAsia" w:ascii="宋体" w:hAnsi="宋体" w:cs="宋体"/>
                <w:color w:val="auto"/>
                <w:sz w:val="21"/>
                <w:szCs w:val="21"/>
              </w:rPr>
              <w:t>响应文件中提供投入本项目的成员表、人员职称证书复印件加盖公章以及社保部门出具的由供应商为其缴纳的距离提交首次磋商响应文件截止时间前三个月内任意一个月的社保缴纳证明材料复印件加盖公章。</w:t>
            </w:r>
          </w:p>
        </w:tc>
        <w:tc>
          <w:tcPr>
            <w:tcW w:w="1065"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客观分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67" w:hRule="atLeast"/>
        </w:trPr>
        <w:tc>
          <w:tcPr>
            <w:tcW w:w="559" w:type="dxa"/>
            <w:vMerge w:val="continue"/>
            <w:tcBorders>
              <w:left w:val="single" w:color="auto" w:sz="4" w:space="0"/>
              <w:right w:val="single" w:color="auto" w:sz="4" w:space="0"/>
            </w:tcBorders>
          </w:tcPr>
          <w:p>
            <w:pPr>
              <w:pStyle w:val="70"/>
              <w:rPr>
                <w:rFonts w:ascii="宋体" w:hAnsi="宋体" w:cs="宋体"/>
                <w:color w:val="auto"/>
                <w:kern w:val="2"/>
                <w:sz w:val="21"/>
                <w:szCs w:val="21"/>
              </w:rPr>
            </w:pPr>
          </w:p>
        </w:tc>
        <w:tc>
          <w:tcPr>
            <w:tcW w:w="8346" w:type="dxa"/>
            <w:vAlign w:val="center"/>
          </w:tcPr>
          <w:p>
            <w:pPr>
              <w:pStyle w:val="70"/>
              <w:spacing w:line="360" w:lineRule="auto"/>
              <w:jc w:val="both"/>
              <w:rPr>
                <w:rFonts w:ascii="宋体" w:hAnsi="宋体" w:cs="宋体"/>
                <w:b/>
                <w:bCs/>
                <w:color w:val="auto"/>
                <w:sz w:val="21"/>
                <w:szCs w:val="21"/>
              </w:rPr>
            </w:pPr>
            <w:r>
              <w:rPr>
                <w:rFonts w:hint="eastAsia" w:ascii="宋体" w:hAnsi="宋体" w:cs="宋体"/>
                <w:b/>
                <w:bCs/>
                <w:color w:val="auto"/>
                <w:sz w:val="21"/>
                <w:szCs w:val="21"/>
              </w:rPr>
              <w:t>业绩分（1分）</w:t>
            </w:r>
          </w:p>
          <w:p>
            <w:pPr>
              <w:pStyle w:val="70"/>
              <w:spacing w:line="360" w:lineRule="auto"/>
              <w:jc w:val="both"/>
              <w:rPr>
                <w:rFonts w:ascii="宋体" w:hAnsi="宋体" w:cs="宋体"/>
                <w:color w:val="auto"/>
                <w:sz w:val="21"/>
                <w:szCs w:val="21"/>
              </w:rPr>
            </w:pPr>
            <w:r>
              <w:rPr>
                <w:rFonts w:hint="eastAsia" w:ascii="宋体" w:hAnsi="宋体" w:cs="宋体"/>
                <w:color w:val="auto"/>
                <w:sz w:val="21"/>
                <w:szCs w:val="21"/>
              </w:rPr>
              <w:t>2020年1月1日至今（以合同签订之日为准），供应商承担过同类招聘服务项目业绩，每个合同得0.5分 ，最高得1分。</w:t>
            </w:r>
          </w:p>
          <w:p>
            <w:pPr>
              <w:pStyle w:val="70"/>
              <w:spacing w:line="360" w:lineRule="auto"/>
              <w:jc w:val="both"/>
              <w:rPr>
                <w:rFonts w:ascii="宋体" w:hAnsi="宋体" w:cs="宋体"/>
                <w:color w:val="auto"/>
                <w:sz w:val="21"/>
                <w:szCs w:val="21"/>
              </w:rPr>
            </w:pPr>
            <w:r>
              <w:rPr>
                <w:rFonts w:hint="eastAsia" w:ascii="宋体" w:hAnsi="宋体" w:cs="宋体"/>
                <w:color w:val="auto"/>
                <w:sz w:val="21"/>
                <w:szCs w:val="21"/>
              </w:rPr>
              <w:t>响应文件中需提供合同复印件加盖公章</w:t>
            </w:r>
            <w:r>
              <w:rPr>
                <w:rFonts w:hint="eastAsia" w:ascii="宋体" w:hAnsi="宋体" w:cs="宋体"/>
                <w:sz w:val="21"/>
                <w:szCs w:val="21"/>
              </w:rPr>
              <w:t>，</w:t>
            </w:r>
            <w:r>
              <w:rPr>
                <w:rFonts w:hint="eastAsia" w:ascii="宋体" w:hAnsi="宋体" w:cs="宋体"/>
                <w:color w:val="auto"/>
                <w:sz w:val="21"/>
                <w:szCs w:val="21"/>
              </w:rPr>
              <w:t>未提供不得分。</w:t>
            </w:r>
          </w:p>
        </w:tc>
        <w:tc>
          <w:tcPr>
            <w:tcW w:w="1065"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客观分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6" w:hRule="atLeast"/>
        </w:trPr>
        <w:tc>
          <w:tcPr>
            <w:tcW w:w="559" w:type="dxa"/>
            <w:vMerge w:val="continue"/>
            <w:tcBorders>
              <w:left w:val="single" w:color="auto" w:sz="4" w:space="0"/>
              <w:right w:val="single" w:color="auto" w:sz="4" w:space="0"/>
            </w:tcBorders>
          </w:tcPr>
          <w:p>
            <w:pPr>
              <w:pStyle w:val="70"/>
              <w:rPr>
                <w:rFonts w:ascii="宋体" w:hAnsi="宋体" w:cs="宋体"/>
                <w:color w:val="auto"/>
                <w:kern w:val="2"/>
                <w:sz w:val="21"/>
                <w:szCs w:val="21"/>
              </w:rPr>
            </w:pPr>
          </w:p>
        </w:tc>
        <w:tc>
          <w:tcPr>
            <w:tcW w:w="8346" w:type="dxa"/>
            <w:vAlign w:val="center"/>
          </w:tcPr>
          <w:p>
            <w:pPr>
              <w:pStyle w:val="70"/>
              <w:spacing w:line="360" w:lineRule="auto"/>
              <w:jc w:val="both"/>
              <w:rPr>
                <w:rFonts w:ascii="宋体" w:hAnsi="宋体" w:cs="宋体"/>
                <w:b/>
                <w:bCs/>
                <w:color w:val="auto"/>
                <w:sz w:val="21"/>
                <w:szCs w:val="21"/>
              </w:rPr>
            </w:pPr>
            <w:r>
              <w:rPr>
                <w:rFonts w:hint="eastAsia" w:ascii="宋体" w:hAnsi="宋体" w:cs="宋体"/>
                <w:b/>
                <w:bCs/>
                <w:color w:val="auto"/>
                <w:sz w:val="21"/>
                <w:szCs w:val="21"/>
              </w:rPr>
              <w:t>体系认证证书（4分）</w:t>
            </w:r>
          </w:p>
          <w:p>
            <w:pPr>
              <w:pStyle w:val="70"/>
              <w:spacing w:line="360" w:lineRule="auto"/>
              <w:jc w:val="both"/>
              <w:rPr>
                <w:rFonts w:ascii="宋体" w:hAnsi="宋体" w:cs="宋体"/>
                <w:color w:val="auto"/>
                <w:sz w:val="21"/>
                <w:szCs w:val="21"/>
              </w:rPr>
            </w:pPr>
            <w:r>
              <w:rPr>
                <w:rFonts w:hint="eastAsia" w:ascii="宋体" w:hAnsi="宋体" w:cs="宋体"/>
                <w:color w:val="auto"/>
                <w:sz w:val="21"/>
                <w:szCs w:val="21"/>
              </w:rPr>
              <w:t>供应商具有质量管理体系认证证书的得1分；供应商具有职业健康安全管理体系认证证书的得1分；供应商具有信息安全管理体系认证证书的得1分；供应商具有环境管理体系认证证书的得1分。</w:t>
            </w:r>
          </w:p>
          <w:p>
            <w:pPr>
              <w:pStyle w:val="70"/>
              <w:spacing w:line="360" w:lineRule="auto"/>
              <w:jc w:val="both"/>
              <w:rPr>
                <w:rFonts w:ascii="宋体" w:hAnsi="宋体" w:cs="宋体"/>
                <w:color w:val="auto"/>
                <w:sz w:val="21"/>
                <w:szCs w:val="21"/>
              </w:rPr>
            </w:pPr>
            <w:r>
              <w:rPr>
                <w:rFonts w:hint="eastAsia" w:ascii="宋体" w:hAnsi="宋体" w:cs="宋体"/>
                <w:color w:val="auto"/>
                <w:sz w:val="21"/>
                <w:szCs w:val="21"/>
              </w:rPr>
              <w:t>响应文件中提供有效期内的认证证书复印件及“全国认证认可信息公共服务平台http：//cx.cnca.cn”查询截图并加盖供应商公章</w:t>
            </w:r>
            <w:r>
              <w:rPr>
                <w:rFonts w:hint="eastAsia" w:ascii="宋体" w:hAnsi="宋体" w:cs="宋体"/>
                <w:sz w:val="21"/>
                <w:szCs w:val="21"/>
              </w:rPr>
              <w:t>，</w:t>
            </w:r>
            <w:r>
              <w:rPr>
                <w:rFonts w:hint="eastAsia" w:ascii="宋体" w:hAnsi="宋体" w:cs="宋体"/>
                <w:color w:val="auto"/>
                <w:sz w:val="21"/>
                <w:szCs w:val="21"/>
              </w:rPr>
              <w:t>未提供不得分。</w:t>
            </w:r>
          </w:p>
        </w:tc>
        <w:tc>
          <w:tcPr>
            <w:tcW w:w="1065"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客观分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559" w:type="dxa"/>
            <w:vMerge w:val="continue"/>
            <w:tcBorders>
              <w:left w:val="single" w:color="auto" w:sz="4" w:space="0"/>
              <w:right w:val="single" w:color="auto" w:sz="4" w:space="0"/>
            </w:tcBorders>
          </w:tcPr>
          <w:p>
            <w:pPr>
              <w:pStyle w:val="70"/>
              <w:rPr>
                <w:rFonts w:ascii="宋体" w:hAnsi="宋体" w:cs="宋体"/>
                <w:color w:val="auto"/>
                <w:kern w:val="2"/>
                <w:sz w:val="21"/>
                <w:szCs w:val="21"/>
              </w:rPr>
            </w:pPr>
          </w:p>
        </w:tc>
        <w:tc>
          <w:tcPr>
            <w:tcW w:w="8346" w:type="dxa"/>
            <w:vAlign w:val="center"/>
          </w:tcPr>
          <w:p>
            <w:pPr>
              <w:pStyle w:val="70"/>
              <w:spacing w:line="360" w:lineRule="auto"/>
              <w:jc w:val="both"/>
              <w:rPr>
                <w:rFonts w:ascii="宋体" w:hAnsi="宋体" w:cs="宋体"/>
                <w:b/>
                <w:color w:val="auto"/>
                <w:kern w:val="2"/>
                <w:sz w:val="21"/>
                <w:szCs w:val="21"/>
              </w:rPr>
            </w:pPr>
            <w:r>
              <w:rPr>
                <w:rFonts w:hint="eastAsia" w:ascii="宋体" w:hAnsi="宋体" w:cs="宋体"/>
                <w:b/>
                <w:color w:val="auto"/>
                <w:kern w:val="2"/>
                <w:sz w:val="21"/>
                <w:szCs w:val="21"/>
              </w:rPr>
              <w:t>商务条款响应（</w:t>
            </w:r>
            <w:r>
              <w:rPr>
                <w:rFonts w:hint="eastAsia" w:ascii="宋体" w:hAnsi="宋体" w:cs="宋体"/>
                <w:b/>
                <w:color w:val="auto"/>
                <w:kern w:val="2"/>
                <w:sz w:val="21"/>
                <w:szCs w:val="21"/>
                <w:lang w:val="en-US" w:eastAsia="zh-CN"/>
              </w:rPr>
              <w:t>5</w:t>
            </w:r>
            <w:r>
              <w:rPr>
                <w:rFonts w:hint="eastAsia" w:ascii="宋体" w:hAnsi="宋体" w:cs="宋体"/>
                <w:b/>
                <w:color w:val="auto"/>
                <w:kern w:val="2"/>
                <w:sz w:val="21"/>
                <w:szCs w:val="21"/>
              </w:rPr>
              <w:t>分）</w:t>
            </w:r>
          </w:p>
          <w:p>
            <w:pPr>
              <w:pStyle w:val="70"/>
              <w:spacing w:line="360" w:lineRule="auto"/>
              <w:jc w:val="both"/>
              <w:rPr>
                <w:rFonts w:ascii="宋体" w:hAnsi="宋体" w:cs="宋体"/>
                <w:color w:val="auto"/>
                <w:kern w:val="2"/>
                <w:sz w:val="21"/>
                <w:szCs w:val="21"/>
              </w:rPr>
            </w:pPr>
            <w:r>
              <w:rPr>
                <w:rFonts w:hint="eastAsia" w:ascii="宋体" w:hAnsi="宋体" w:cs="宋体"/>
                <w:bCs/>
                <w:color w:val="auto"/>
                <w:kern w:val="2"/>
                <w:sz w:val="21"/>
                <w:szCs w:val="21"/>
              </w:rPr>
              <w:t>磋商小组根据供应商提供的磋商响应文件，对其针对本采购文件中第二章-采购需求：“（三）商务需求”的响应情况进行评审，完全满足需求的得满分</w:t>
            </w:r>
            <w:r>
              <w:rPr>
                <w:rFonts w:hint="eastAsia" w:ascii="宋体" w:hAnsi="宋体" w:cs="宋体"/>
                <w:bCs/>
                <w:color w:val="auto"/>
                <w:kern w:val="2"/>
                <w:sz w:val="21"/>
                <w:szCs w:val="21"/>
                <w:lang w:val="en-US" w:eastAsia="zh-CN"/>
              </w:rPr>
              <w:t>5</w:t>
            </w:r>
            <w:r>
              <w:rPr>
                <w:rFonts w:hint="eastAsia" w:ascii="宋体" w:hAnsi="宋体" w:cs="宋体"/>
                <w:bCs/>
                <w:color w:val="auto"/>
                <w:kern w:val="2"/>
                <w:sz w:val="21"/>
                <w:szCs w:val="21"/>
              </w:rPr>
              <w:t>分，若存在任何负偏离的，每负偏离一条扣1分，</w:t>
            </w:r>
            <w:r>
              <w:rPr>
                <w:rFonts w:hint="eastAsia" w:ascii="宋体" w:hAnsi="宋体" w:cs="宋体"/>
                <w:bCs/>
                <w:color w:val="auto"/>
                <w:kern w:val="2"/>
                <w:sz w:val="21"/>
                <w:szCs w:val="21"/>
                <w:lang w:val="en-US" w:eastAsia="zh-CN"/>
              </w:rPr>
              <w:t>5</w:t>
            </w:r>
            <w:r>
              <w:rPr>
                <w:rFonts w:hint="eastAsia" w:ascii="宋体" w:hAnsi="宋体" w:cs="宋体"/>
                <w:bCs/>
                <w:color w:val="auto"/>
                <w:kern w:val="2"/>
                <w:sz w:val="21"/>
                <w:szCs w:val="21"/>
              </w:rPr>
              <w:t>分扣完为止。</w:t>
            </w:r>
          </w:p>
        </w:tc>
        <w:tc>
          <w:tcPr>
            <w:tcW w:w="1065" w:type="dxa"/>
            <w:vAlign w:val="center"/>
          </w:tcPr>
          <w:p>
            <w:pPr>
              <w:autoSpaceDE w:val="0"/>
              <w:autoSpaceDN w:val="0"/>
              <w:adjustRightInd w:val="0"/>
              <w:spacing w:line="360" w:lineRule="auto"/>
              <w:jc w:val="center"/>
              <w:rPr>
                <w:rFonts w:ascii="宋体" w:hAnsi="宋体" w:cs="宋体"/>
                <w:bCs/>
                <w:szCs w:val="21"/>
              </w:rPr>
            </w:pPr>
            <w:r>
              <w:rPr>
                <w:rFonts w:hint="eastAsia" w:ascii="宋体" w:hAnsi="宋体" w:cs="宋体"/>
                <w:szCs w:val="21"/>
              </w:rPr>
              <w:t>客观分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1" w:hRule="atLeast"/>
        </w:trPr>
        <w:tc>
          <w:tcPr>
            <w:tcW w:w="559" w:type="dxa"/>
            <w:vMerge w:val="continue"/>
            <w:tcBorders>
              <w:left w:val="single" w:color="auto" w:sz="4" w:space="0"/>
              <w:right w:val="single" w:color="auto" w:sz="4" w:space="0"/>
            </w:tcBorders>
          </w:tcPr>
          <w:p>
            <w:pPr>
              <w:pStyle w:val="70"/>
              <w:rPr>
                <w:rFonts w:ascii="宋体" w:hAnsi="宋体" w:cs="宋体"/>
                <w:b/>
                <w:color w:val="auto"/>
                <w:kern w:val="2"/>
                <w:sz w:val="21"/>
                <w:szCs w:val="21"/>
              </w:rPr>
            </w:pPr>
          </w:p>
        </w:tc>
        <w:tc>
          <w:tcPr>
            <w:tcW w:w="8346" w:type="dxa"/>
            <w:vAlign w:val="center"/>
          </w:tcPr>
          <w:p>
            <w:pPr>
              <w:pStyle w:val="70"/>
              <w:spacing w:line="360" w:lineRule="auto"/>
              <w:jc w:val="both"/>
              <w:rPr>
                <w:rFonts w:ascii="宋体" w:hAnsi="宋体" w:cs="宋体"/>
                <w:b/>
                <w:color w:val="auto"/>
                <w:kern w:val="2"/>
                <w:sz w:val="21"/>
                <w:szCs w:val="21"/>
              </w:rPr>
            </w:pPr>
            <w:r>
              <w:rPr>
                <w:rFonts w:hint="eastAsia" w:ascii="宋体" w:hAnsi="宋体" w:cs="宋体"/>
                <w:b/>
                <w:color w:val="auto"/>
                <w:kern w:val="2"/>
                <w:sz w:val="21"/>
                <w:szCs w:val="21"/>
              </w:rPr>
              <w:t>政策分（</w:t>
            </w:r>
            <w:r>
              <w:rPr>
                <w:rFonts w:hint="eastAsia" w:ascii="宋体" w:hAnsi="宋体" w:cs="宋体"/>
                <w:b/>
                <w:color w:val="auto"/>
                <w:kern w:val="2"/>
                <w:sz w:val="21"/>
                <w:szCs w:val="21"/>
                <w:lang w:val="en-US" w:eastAsia="zh-CN"/>
              </w:rPr>
              <w:t>2</w:t>
            </w:r>
            <w:r>
              <w:rPr>
                <w:rFonts w:hint="eastAsia" w:ascii="宋体" w:hAnsi="宋体" w:cs="宋体"/>
                <w:b/>
                <w:color w:val="auto"/>
                <w:kern w:val="2"/>
                <w:sz w:val="21"/>
                <w:szCs w:val="21"/>
              </w:rPr>
              <w:t xml:space="preserve">分）  </w:t>
            </w:r>
          </w:p>
          <w:p>
            <w:pPr>
              <w:pStyle w:val="70"/>
              <w:spacing w:line="360" w:lineRule="auto"/>
              <w:jc w:val="both"/>
              <w:rPr>
                <w:rFonts w:ascii="宋体" w:hAnsi="宋体" w:cs="宋体"/>
                <w:bCs/>
                <w:color w:val="auto"/>
                <w:kern w:val="2"/>
                <w:sz w:val="21"/>
                <w:szCs w:val="21"/>
              </w:rPr>
            </w:pPr>
            <w:r>
              <w:rPr>
                <w:rFonts w:hint="eastAsia" w:ascii="宋体" w:hAnsi="宋体" w:cs="宋体"/>
                <w:bCs/>
                <w:color w:val="auto"/>
                <w:kern w:val="2"/>
                <w:sz w:val="21"/>
                <w:szCs w:val="21"/>
              </w:rPr>
              <w:t>供应商是国家认定的不发达地区或少数民族地区企业的得</w:t>
            </w:r>
            <w:r>
              <w:rPr>
                <w:rFonts w:hint="eastAsia" w:ascii="宋体" w:hAnsi="宋体" w:cs="宋体"/>
                <w:bCs/>
                <w:color w:val="auto"/>
                <w:kern w:val="2"/>
                <w:sz w:val="21"/>
                <w:szCs w:val="21"/>
                <w:lang w:val="en-US" w:eastAsia="zh-CN"/>
              </w:rPr>
              <w:t>2</w:t>
            </w:r>
            <w:r>
              <w:rPr>
                <w:rFonts w:hint="eastAsia" w:ascii="宋体" w:hAnsi="宋体" w:cs="宋体"/>
                <w:bCs/>
                <w:color w:val="auto"/>
                <w:kern w:val="2"/>
                <w:sz w:val="21"/>
                <w:szCs w:val="21"/>
              </w:rPr>
              <w:t>分。</w:t>
            </w:r>
          </w:p>
          <w:p>
            <w:pPr>
              <w:pStyle w:val="70"/>
              <w:spacing w:line="360" w:lineRule="auto"/>
              <w:jc w:val="both"/>
              <w:rPr>
                <w:rFonts w:ascii="宋体" w:hAnsi="宋体" w:cs="宋体"/>
                <w:b/>
                <w:color w:val="auto"/>
                <w:kern w:val="2"/>
                <w:sz w:val="21"/>
                <w:szCs w:val="21"/>
              </w:rPr>
            </w:pPr>
            <w:r>
              <w:rPr>
                <w:rFonts w:hint="eastAsia" w:ascii="宋体" w:hAnsi="宋体" w:cs="宋体"/>
                <w:bCs/>
                <w:color w:val="auto"/>
                <w:kern w:val="2"/>
                <w:sz w:val="21"/>
                <w:szCs w:val="21"/>
              </w:rPr>
              <w:t>注：响应文件中提供第三方证明材料并加盖公章。</w:t>
            </w:r>
          </w:p>
        </w:tc>
        <w:tc>
          <w:tcPr>
            <w:tcW w:w="1065" w:type="dxa"/>
            <w:vAlign w:val="center"/>
          </w:tcPr>
          <w:p>
            <w:pPr>
              <w:autoSpaceDE w:val="0"/>
              <w:autoSpaceDN w:val="0"/>
              <w:adjustRightInd w:val="0"/>
              <w:spacing w:line="360" w:lineRule="auto"/>
              <w:jc w:val="center"/>
              <w:rPr>
                <w:rFonts w:ascii="宋体" w:hAnsi="宋体" w:cs="宋体"/>
                <w:bCs/>
                <w:szCs w:val="21"/>
              </w:rPr>
            </w:pPr>
            <w:r>
              <w:rPr>
                <w:rFonts w:hint="eastAsia" w:ascii="宋体" w:hAnsi="宋体" w:cs="宋体"/>
                <w:szCs w:val="21"/>
              </w:rPr>
              <w:t>客观分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9" w:hRule="atLeast"/>
        </w:trPr>
        <w:tc>
          <w:tcPr>
            <w:tcW w:w="559" w:type="dxa"/>
            <w:tcBorders>
              <w:top w:val="single" w:color="auto" w:sz="4" w:space="0"/>
              <w:left w:val="single" w:color="auto" w:sz="4" w:space="0"/>
              <w:bottom w:val="single" w:color="auto" w:sz="4" w:space="0"/>
            </w:tcBorders>
            <w:vAlign w:val="center"/>
          </w:tcPr>
          <w:p>
            <w:pPr>
              <w:pStyle w:val="70"/>
              <w:jc w:val="center"/>
              <w:rPr>
                <w:rFonts w:ascii="宋体" w:hAnsi="宋体" w:cs="宋体"/>
                <w:color w:val="auto"/>
                <w:kern w:val="2"/>
                <w:sz w:val="21"/>
                <w:szCs w:val="21"/>
              </w:rPr>
            </w:pPr>
            <w:r>
              <w:rPr>
                <w:rFonts w:hint="eastAsia" w:ascii="宋体" w:hAnsi="宋体" w:cs="宋体"/>
                <w:b/>
                <w:color w:val="auto"/>
                <w:kern w:val="2"/>
                <w:sz w:val="21"/>
                <w:szCs w:val="21"/>
              </w:rPr>
              <w:t>价格分1</w:t>
            </w:r>
            <w:r>
              <w:rPr>
                <w:rFonts w:hint="eastAsia" w:ascii="宋体" w:hAnsi="宋体" w:cs="宋体"/>
                <w:b/>
                <w:color w:val="auto"/>
                <w:kern w:val="2"/>
                <w:sz w:val="21"/>
                <w:szCs w:val="21"/>
                <w:lang w:val="en-US" w:eastAsia="zh-CN"/>
              </w:rPr>
              <w:t>0</w:t>
            </w:r>
            <w:r>
              <w:rPr>
                <w:rFonts w:hint="eastAsia" w:ascii="宋体" w:hAnsi="宋体" w:cs="宋体"/>
                <w:b/>
                <w:color w:val="auto"/>
                <w:kern w:val="2"/>
                <w:sz w:val="21"/>
                <w:szCs w:val="21"/>
              </w:rPr>
              <w:t>分</w:t>
            </w:r>
          </w:p>
        </w:tc>
        <w:tc>
          <w:tcPr>
            <w:tcW w:w="8346" w:type="dxa"/>
            <w:vAlign w:val="center"/>
          </w:tcPr>
          <w:p>
            <w:pPr>
              <w:spacing w:line="360" w:lineRule="auto"/>
              <w:rPr>
                <w:rFonts w:ascii="宋体" w:hAnsi="宋体" w:cs="宋体"/>
                <w:szCs w:val="21"/>
              </w:rPr>
            </w:pPr>
            <w:r>
              <w:rPr>
                <w:rFonts w:hint="eastAsia" w:ascii="宋体" w:hAnsi="宋体" w:cs="宋体"/>
                <w:szCs w:val="21"/>
              </w:rPr>
              <w:t>满足磋商采购文件要求且最低的最终报价为磋商基准价，得1</w:t>
            </w:r>
            <w:r>
              <w:rPr>
                <w:rFonts w:hint="eastAsia" w:ascii="宋体" w:hAnsi="宋体" w:cs="宋体"/>
                <w:szCs w:val="21"/>
                <w:lang w:val="en-US" w:eastAsia="zh-CN"/>
              </w:rPr>
              <w:t>0</w:t>
            </w:r>
            <w:r>
              <w:rPr>
                <w:rFonts w:hint="eastAsia" w:ascii="宋体" w:hAnsi="宋体" w:cs="宋体"/>
                <w:szCs w:val="21"/>
              </w:rPr>
              <w:t>分；</w:t>
            </w:r>
          </w:p>
          <w:p>
            <w:pPr>
              <w:spacing w:line="360" w:lineRule="auto"/>
              <w:rPr>
                <w:rFonts w:ascii="宋体" w:hAnsi="宋体" w:cs="宋体"/>
                <w:szCs w:val="21"/>
              </w:rPr>
            </w:pPr>
            <w:r>
              <w:rPr>
                <w:rFonts w:hint="eastAsia" w:ascii="宋体" w:hAnsi="宋体" w:cs="宋体"/>
                <w:szCs w:val="21"/>
              </w:rPr>
              <w:t>其他供应商的价格得分计算公式如下：</w:t>
            </w:r>
          </w:p>
          <w:p>
            <w:pPr>
              <w:spacing w:line="360" w:lineRule="auto"/>
              <w:rPr>
                <w:rFonts w:ascii="宋体" w:hAnsi="宋体" w:cs="宋体"/>
                <w:szCs w:val="21"/>
              </w:rPr>
            </w:pPr>
            <w:r>
              <w:rPr>
                <w:rFonts w:hint="eastAsia" w:ascii="宋体" w:hAnsi="宋体" w:cs="宋体"/>
                <w:szCs w:val="21"/>
              </w:rPr>
              <w:t>报价得分=（磋商基准价/最终报价）×1</w:t>
            </w:r>
            <w:r>
              <w:rPr>
                <w:rFonts w:hint="eastAsia" w:ascii="宋体" w:hAnsi="宋体" w:cs="宋体"/>
                <w:szCs w:val="21"/>
                <w:lang w:val="en-US" w:eastAsia="zh-CN"/>
              </w:rPr>
              <w:t>0</w:t>
            </w:r>
            <w:r>
              <w:rPr>
                <w:rFonts w:hint="eastAsia" w:ascii="宋体" w:hAnsi="宋体" w:cs="宋体"/>
                <w:szCs w:val="21"/>
              </w:rPr>
              <w:t>%×100。</w:t>
            </w:r>
          </w:p>
          <w:p>
            <w:pPr>
              <w:spacing w:line="360" w:lineRule="auto"/>
              <w:rPr>
                <w:rFonts w:ascii="宋体" w:hAnsi="宋体" w:cs="宋体"/>
                <w:szCs w:val="21"/>
              </w:rPr>
            </w:pPr>
            <w:r>
              <w:rPr>
                <w:rFonts w:hint="eastAsia" w:ascii="宋体" w:hAnsi="宋体" w:cs="宋体"/>
                <w:szCs w:val="21"/>
              </w:rPr>
              <w:t>报价得分以四舍五入保留小数点后二位。</w:t>
            </w:r>
          </w:p>
        </w:tc>
        <w:tc>
          <w:tcPr>
            <w:tcW w:w="1065" w:type="dxa"/>
            <w:vAlign w:val="center"/>
          </w:tcPr>
          <w:p>
            <w:pPr>
              <w:spacing w:line="360" w:lineRule="auto"/>
              <w:jc w:val="center"/>
              <w:rPr>
                <w:rFonts w:ascii="宋体" w:hAnsi="宋体" w:cs="宋体"/>
                <w:szCs w:val="21"/>
              </w:rPr>
            </w:pPr>
          </w:p>
        </w:tc>
      </w:tr>
    </w:tbl>
    <w:p>
      <w:pPr>
        <w:pStyle w:val="28"/>
        <w:spacing w:line="360" w:lineRule="auto"/>
        <w:ind w:firstLine="0" w:firstLineChars="0"/>
        <w:rPr>
          <w:rFonts w:hint="default" w:ascii="宋体" w:eastAsia="宋体" w:cs="宋体"/>
          <w:b w:val="0"/>
          <w:color w:val="auto"/>
          <w:sz w:val="21"/>
          <w:szCs w:val="21"/>
        </w:rPr>
      </w:pPr>
    </w:p>
    <w:p>
      <w:pPr>
        <w:pStyle w:val="4"/>
        <w:spacing w:line="28" w:lineRule="atLeast"/>
        <w:rPr>
          <w:rFonts w:hint="eastAsia" w:ascii="宋体" w:hAnsi="宋体" w:cs="宋体"/>
        </w:rPr>
        <w:sectPr>
          <w:pgSz w:w="11906" w:h="16838"/>
          <w:pgMar w:top="1474" w:right="1797" w:bottom="1247" w:left="1797" w:header="851" w:footer="851" w:gutter="0"/>
          <w:cols w:space="720" w:num="1"/>
          <w:titlePg/>
          <w:docGrid w:linePitch="312" w:charSpace="0"/>
        </w:sectPr>
      </w:pPr>
    </w:p>
    <w:p>
      <w:pPr>
        <w:pStyle w:val="4"/>
        <w:spacing w:line="28" w:lineRule="atLeast"/>
        <w:rPr>
          <w:rFonts w:ascii="宋体" w:hAnsi="宋体" w:cs="宋体"/>
        </w:rPr>
      </w:pPr>
      <w:r>
        <w:rPr>
          <w:rFonts w:hint="eastAsia" w:ascii="宋体" w:hAnsi="宋体" w:cs="宋体"/>
        </w:rPr>
        <w:t>第五章  采购合同</w:t>
      </w:r>
      <w:bookmarkEnd w:id="4"/>
    </w:p>
    <w:p>
      <w:pPr>
        <w:pStyle w:val="25"/>
        <w:snapToGrid w:val="0"/>
        <w:spacing w:before="120" w:after="120" w:line="276" w:lineRule="auto"/>
        <w:rPr>
          <w:rFonts w:hint="default"/>
          <w:b/>
          <w:bCs/>
        </w:rPr>
      </w:pPr>
    </w:p>
    <w:p>
      <w:pPr>
        <w:snapToGrid w:val="0"/>
        <w:spacing w:line="360" w:lineRule="auto"/>
        <w:ind w:firstLine="300"/>
        <w:rPr>
          <w:rFonts w:hAnsi="宋体" w:cs="宋体"/>
          <w:color w:val="000000"/>
          <w:u w:val="single"/>
        </w:rPr>
      </w:pPr>
      <w:r>
        <w:rPr>
          <w:rFonts w:hint="eastAsia" w:hAnsi="宋体" w:cs="宋体"/>
          <w:color w:val="000000"/>
        </w:rPr>
        <w:t>项目编号：</w:t>
      </w:r>
      <w:r>
        <w:rPr>
          <w:rFonts w:hint="eastAsia" w:hAnsi="宋体" w:cs="宋体"/>
          <w:color w:val="000000"/>
          <w:u w:val="single"/>
        </w:rPr>
        <w:t xml:space="preserve">           </w:t>
      </w:r>
    </w:p>
    <w:p>
      <w:pPr>
        <w:snapToGrid w:val="0"/>
        <w:spacing w:line="360" w:lineRule="auto"/>
        <w:ind w:firstLine="300"/>
        <w:rPr>
          <w:rFonts w:hAnsi="宋体" w:cs="宋体"/>
          <w:color w:val="000000"/>
          <w:u w:val="single"/>
        </w:rPr>
      </w:pPr>
      <w:r>
        <w:rPr>
          <w:rFonts w:hint="eastAsia" w:hAnsi="宋体" w:cs="宋体"/>
          <w:color w:val="000000"/>
        </w:rPr>
        <w:t>项目名称：</w:t>
      </w:r>
      <w:r>
        <w:rPr>
          <w:rFonts w:hint="eastAsia" w:hAnsi="宋体" w:cs="宋体"/>
          <w:color w:val="000000"/>
          <w:u w:val="single"/>
        </w:rPr>
        <w:t xml:space="preserve">                        </w:t>
      </w:r>
    </w:p>
    <w:p>
      <w:pPr>
        <w:snapToGrid w:val="0"/>
        <w:spacing w:line="360" w:lineRule="auto"/>
        <w:ind w:firstLine="300"/>
        <w:rPr>
          <w:rFonts w:hAnsi="宋体" w:cs="宋体"/>
          <w:color w:val="000000"/>
          <w:u w:val="single"/>
        </w:rPr>
      </w:pPr>
      <w:r>
        <w:rPr>
          <w:rFonts w:hint="eastAsia" w:hAnsi="宋体" w:cs="宋体"/>
          <w:color w:val="000000"/>
        </w:rPr>
        <w:t>合同编号：</w:t>
      </w:r>
      <w:r>
        <w:rPr>
          <w:rFonts w:hint="eastAsia" w:hAnsi="宋体" w:cs="宋体"/>
          <w:color w:val="000000"/>
          <w:u w:val="single"/>
        </w:rPr>
        <w:t xml:space="preserve">                </w:t>
      </w:r>
    </w:p>
    <w:p>
      <w:pPr>
        <w:snapToGrid w:val="0"/>
        <w:spacing w:line="360" w:lineRule="auto"/>
        <w:ind w:firstLine="300"/>
        <w:rPr>
          <w:rFonts w:hAnsi="宋体" w:cs="宋体"/>
          <w:color w:val="000000"/>
          <w:u w:val="thick"/>
        </w:rPr>
      </w:pPr>
      <w:r>
        <w:rPr>
          <w:rFonts w:hint="eastAsia" w:hAnsi="宋体" w:cs="宋体"/>
          <w:color w:val="000000"/>
        </w:rPr>
        <w:t>签约日期和地点：</w:t>
      </w:r>
      <w:r>
        <w:rPr>
          <w:rFonts w:hint="eastAsia" w:hAnsi="宋体" w:cs="宋体"/>
          <w:color w:val="000000"/>
          <w:u w:val="single"/>
        </w:rPr>
        <w:t xml:space="preserve">     </w:t>
      </w:r>
      <w:r>
        <w:rPr>
          <w:rFonts w:hint="eastAsia" w:hAnsi="宋体" w:cs="宋体"/>
          <w:color w:val="000000"/>
        </w:rPr>
        <w:t>年</w:t>
      </w:r>
      <w:r>
        <w:rPr>
          <w:rFonts w:hint="eastAsia" w:hAnsi="宋体" w:cs="宋体"/>
          <w:color w:val="000000"/>
          <w:u w:val="single"/>
        </w:rPr>
        <w:t xml:space="preserve">   </w:t>
      </w:r>
      <w:r>
        <w:rPr>
          <w:rFonts w:hint="eastAsia" w:hAnsi="宋体" w:cs="宋体"/>
          <w:color w:val="000000"/>
        </w:rPr>
        <w:t>月</w:t>
      </w:r>
      <w:r>
        <w:rPr>
          <w:rFonts w:hint="eastAsia" w:hAnsi="宋体" w:cs="宋体"/>
          <w:color w:val="000000"/>
          <w:u w:val="single"/>
        </w:rPr>
        <w:t xml:space="preserve">   </w:t>
      </w:r>
      <w:r>
        <w:rPr>
          <w:rFonts w:hint="eastAsia" w:hAnsi="宋体" w:cs="宋体"/>
          <w:color w:val="000000"/>
        </w:rPr>
        <w:t>日 于</w:t>
      </w:r>
      <w:r>
        <w:rPr>
          <w:rFonts w:hint="eastAsia" w:hAnsi="宋体" w:cs="宋体"/>
          <w:color w:val="000000"/>
          <w:u w:val="single"/>
        </w:rPr>
        <w:t xml:space="preserve">                 </w:t>
      </w:r>
      <w:r>
        <w:rPr>
          <w:rFonts w:hint="eastAsia" w:hAnsi="宋体" w:cs="宋体"/>
          <w:color w:val="000000"/>
        </w:rPr>
        <w:t xml:space="preserve">       </w:t>
      </w:r>
    </w:p>
    <w:p>
      <w:pPr>
        <w:snapToGrid w:val="0"/>
        <w:spacing w:line="360" w:lineRule="auto"/>
        <w:ind w:firstLine="300"/>
        <w:rPr>
          <w:rFonts w:hAnsi="宋体" w:cs="宋体"/>
          <w:color w:val="000000"/>
        </w:rPr>
      </w:pPr>
    </w:p>
    <w:p>
      <w:pPr>
        <w:adjustRightInd w:val="0"/>
        <w:snapToGrid w:val="0"/>
        <w:spacing w:line="360" w:lineRule="auto"/>
        <w:ind w:firstLine="420" w:firstLineChars="200"/>
        <w:rPr>
          <w:rFonts w:hAnsi="宋体" w:cs="宋体"/>
          <w:color w:val="000000"/>
        </w:rPr>
      </w:pPr>
      <w:r>
        <w:rPr>
          <w:rFonts w:hint="eastAsia" w:ascii="宋体" w:hAnsi="宋体" w:cs="宋体"/>
          <w:szCs w:val="21"/>
        </w:rPr>
        <w:t>根据《中华人民共和国政府采购法》、《中华人民共和国政府采购法实施条例》、《</w:t>
      </w:r>
      <w:r>
        <w:rPr>
          <w:rFonts w:hint="eastAsia" w:ascii="宋体" w:hAnsi="宋体" w:cs="宋体"/>
          <w:snapToGrid w:val="0"/>
          <w:color w:val="000000"/>
        </w:rPr>
        <w:t>政府采购竞争性磋商采购方式管理暂行办法</w:t>
      </w:r>
      <w:r>
        <w:rPr>
          <w:rFonts w:hint="eastAsia" w:ascii="宋体" w:hAnsi="宋体" w:cs="宋体"/>
          <w:szCs w:val="21"/>
        </w:rPr>
        <w:t>》等法律法规，</w:t>
      </w:r>
      <w:r>
        <w:rPr>
          <w:rFonts w:hint="eastAsia" w:ascii="宋体" w:hAnsi="宋体" w:cs="宋体"/>
          <w:szCs w:val="21"/>
          <w:u w:val="single"/>
        </w:rPr>
        <w:t xml:space="preserve">       项目名称    （项目编号：       ）</w:t>
      </w:r>
      <w:r>
        <w:rPr>
          <w:rFonts w:hint="eastAsia" w:ascii="宋体" w:hAnsi="宋体" w:cs="宋体"/>
          <w:szCs w:val="21"/>
        </w:rPr>
        <w:t xml:space="preserve">于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日，在北仑区（开发区）公共资源交易中心进行竞争性磋商采购，确定由乙方成交。按照《中华人民共和国民法典》的有关规定，在自愿、平等、公平、诚信的基础上，经双方协商一致，签订本合同。</w:t>
      </w:r>
    </w:p>
    <w:p>
      <w:pPr>
        <w:snapToGrid w:val="0"/>
        <w:spacing w:line="360" w:lineRule="auto"/>
        <w:ind w:firstLine="300"/>
        <w:rPr>
          <w:rFonts w:hAnsi="宋体" w:cs="宋体"/>
          <w:color w:val="000000"/>
          <w:u w:val="single"/>
        </w:rPr>
      </w:pPr>
      <w:r>
        <w:rPr>
          <w:rFonts w:hint="eastAsia" w:hAnsi="宋体" w:cs="宋体"/>
          <w:color w:val="000000"/>
        </w:rPr>
        <w:t xml:space="preserve">    本合同声明，作为附件，下述文件是合同的一部分，并与本合同一起阅读和解释：</w:t>
      </w:r>
    </w:p>
    <w:p>
      <w:pPr>
        <w:numPr>
          <w:ilvl w:val="0"/>
          <w:numId w:val="9"/>
        </w:numPr>
        <w:snapToGrid w:val="0"/>
        <w:spacing w:line="360" w:lineRule="auto"/>
        <w:rPr>
          <w:rFonts w:hAnsi="宋体" w:cs="宋体"/>
          <w:color w:val="000000"/>
        </w:rPr>
      </w:pPr>
      <w:r>
        <w:rPr>
          <w:rFonts w:hint="eastAsia" w:hAnsi="宋体" w:cs="宋体"/>
          <w:color w:val="000000"/>
        </w:rPr>
        <w:t>采购文件；</w:t>
      </w:r>
    </w:p>
    <w:p>
      <w:pPr>
        <w:numPr>
          <w:ilvl w:val="0"/>
          <w:numId w:val="9"/>
        </w:numPr>
        <w:snapToGrid w:val="0"/>
        <w:spacing w:line="360" w:lineRule="auto"/>
        <w:rPr>
          <w:rFonts w:hAnsi="宋体" w:cs="宋体"/>
          <w:color w:val="000000"/>
        </w:rPr>
      </w:pPr>
      <w:r>
        <w:rPr>
          <w:rFonts w:hint="eastAsia" w:hAnsi="宋体" w:cs="宋体"/>
          <w:color w:val="000000"/>
        </w:rPr>
        <w:t>卖方的磋商响应文件、卖方在磋商中提供的澄清文件；</w:t>
      </w:r>
    </w:p>
    <w:p>
      <w:pPr>
        <w:numPr>
          <w:ilvl w:val="0"/>
          <w:numId w:val="9"/>
        </w:numPr>
        <w:snapToGrid w:val="0"/>
        <w:spacing w:line="360" w:lineRule="auto"/>
        <w:rPr>
          <w:rFonts w:hAnsi="宋体" w:cs="宋体"/>
          <w:color w:val="000000"/>
        </w:rPr>
      </w:pPr>
      <w:r>
        <w:rPr>
          <w:rFonts w:hint="eastAsia" w:hAnsi="宋体" w:cs="宋体"/>
          <w:color w:val="000000"/>
        </w:rPr>
        <w:t>成交通知书；</w:t>
      </w:r>
    </w:p>
    <w:p>
      <w:pPr>
        <w:snapToGrid w:val="0"/>
        <w:spacing w:line="360" w:lineRule="auto"/>
        <w:ind w:firstLine="300"/>
        <w:rPr>
          <w:rFonts w:hAnsi="宋体" w:cs="宋体"/>
          <w:color w:val="000000"/>
        </w:rPr>
      </w:pPr>
      <w:r>
        <w:rPr>
          <w:rFonts w:hint="eastAsia" w:hAnsi="宋体" w:cs="宋体"/>
          <w:color w:val="000000"/>
        </w:rPr>
        <w:t>上述文件与合同若有不一致之处，文件的优先次序应为第一合同、第二附件。</w:t>
      </w:r>
    </w:p>
    <w:p>
      <w:pPr>
        <w:numPr>
          <w:ilvl w:val="0"/>
          <w:numId w:val="10"/>
        </w:numPr>
        <w:snapToGrid w:val="0"/>
        <w:spacing w:line="360" w:lineRule="auto"/>
        <w:rPr>
          <w:rFonts w:hAnsi="宋体" w:cs="宋体"/>
          <w:color w:val="000000"/>
        </w:rPr>
      </w:pPr>
      <w:r>
        <w:rPr>
          <w:rFonts w:hint="eastAsia" w:hAnsi="宋体" w:cs="宋体"/>
          <w:color w:val="000000"/>
        </w:rPr>
        <w:t>合同服务项目的名称、</w:t>
      </w:r>
      <w:r>
        <w:rPr>
          <w:rFonts w:hint="eastAsia" w:hAnsi="宋体" w:cs="宋体"/>
          <w:i/>
          <w:color w:val="000000"/>
        </w:rPr>
        <w:t>数量/服务期限</w:t>
      </w:r>
      <w:r>
        <w:rPr>
          <w:rFonts w:hint="eastAsia" w:hAnsi="宋体" w:cs="宋体"/>
          <w:color w:val="000000"/>
        </w:rPr>
        <w:t>及价格</w:t>
      </w:r>
    </w:p>
    <w:tbl>
      <w:tblPr>
        <w:tblStyle w:val="47"/>
        <w:tblW w:w="8137"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62"/>
        <w:gridCol w:w="2279"/>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00"/>
              <w:rPr>
                <w:rFonts w:hAnsi="宋体" w:cs="宋体"/>
                <w:color w:val="000000"/>
              </w:rPr>
            </w:pPr>
            <w:r>
              <w:rPr>
                <w:rFonts w:hint="eastAsia" w:hAnsi="宋体" w:cs="宋体"/>
                <w:color w:val="000000"/>
              </w:rPr>
              <w:t>服务项目名称</w:t>
            </w:r>
          </w:p>
        </w:tc>
        <w:tc>
          <w:tcPr>
            <w:tcW w:w="25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00"/>
              <w:rPr>
                <w:rFonts w:hAnsi="宋体" w:cs="宋体"/>
                <w:color w:val="000000"/>
              </w:rPr>
            </w:pPr>
            <w:r>
              <w:rPr>
                <w:rFonts w:hint="eastAsia" w:hAnsi="宋体" w:cs="宋体"/>
                <w:color w:val="000000"/>
              </w:rPr>
              <w:t>内   容</w:t>
            </w:r>
          </w:p>
        </w:tc>
        <w:tc>
          <w:tcPr>
            <w:tcW w:w="22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00"/>
              <w:rPr>
                <w:rFonts w:hAnsi="宋体" w:cs="宋体"/>
                <w:color w:val="000000"/>
              </w:rPr>
            </w:pPr>
            <w:r>
              <w:rPr>
                <w:rFonts w:hint="eastAsia" w:hAnsi="宋体" w:cs="宋体"/>
                <w:color w:val="000000"/>
              </w:rPr>
              <w:t>数 量/服务期限</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00"/>
              <w:rPr>
                <w:rFonts w:hAnsi="宋体" w:cs="宋体"/>
                <w:color w:val="000000"/>
              </w:rPr>
            </w:pPr>
            <w:r>
              <w:rPr>
                <w:rFonts w:hint="eastAsia" w:hAnsi="宋体" w:cs="宋体"/>
                <w:color w:val="000000"/>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2562"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2279"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2562"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2279"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2562"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2279"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00"/>
              <w:rPr>
                <w:rFonts w:hAnsi="宋体" w:cs="宋体"/>
                <w:color w:val="000000"/>
              </w:rPr>
            </w:pPr>
            <w:r>
              <w:rPr>
                <w:rFonts w:hint="eastAsia" w:hAnsi="宋体" w:cs="宋体"/>
                <w:color w:val="000000"/>
              </w:rPr>
              <w:t>合同价（大写金额）</w:t>
            </w:r>
          </w:p>
        </w:tc>
        <w:tc>
          <w:tcPr>
            <w:tcW w:w="3721" w:type="dxa"/>
            <w:gridSpan w:val="2"/>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r>
    </w:tbl>
    <w:p>
      <w:pPr>
        <w:snapToGrid w:val="0"/>
        <w:spacing w:line="360" w:lineRule="auto"/>
        <w:ind w:firstLine="300"/>
        <w:rPr>
          <w:rFonts w:hAnsi="宋体" w:cs="宋体"/>
          <w:color w:val="000000"/>
        </w:rPr>
      </w:pPr>
      <w:r>
        <w:rPr>
          <w:rFonts w:hint="eastAsia" w:hAnsi="宋体" w:cs="宋体"/>
          <w:color w:val="000000"/>
        </w:rPr>
        <w:t>本合同总价内包含的服务内容：</w:t>
      </w:r>
    </w:p>
    <w:p>
      <w:pPr>
        <w:snapToGrid w:val="0"/>
        <w:spacing w:line="360" w:lineRule="auto"/>
        <w:rPr>
          <w:rFonts w:hAnsi="宋体" w:cs="宋体"/>
          <w:color w:val="000000"/>
        </w:rPr>
      </w:pPr>
    </w:p>
    <w:p>
      <w:pPr>
        <w:snapToGrid w:val="0"/>
        <w:spacing w:line="360" w:lineRule="auto"/>
        <w:ind w:firstLine="300"/>
        <w:rPr>
          <w:rFonts w:hAnsi="宋体" w:cs="宋体"/>
          <w:color w:val="000000"/>
        </w:rPr>
      </w:pPr>
    </w:p>
    <w:p>
      <w:pPr>
        <w:snapToGrid w:val="0"/>
        <w:spacing w:line="360" w:lineRule="auto"/>
        <w:ind w:firstLine="300"/>
        <w:rPr>
          <w:rFonts w:hAnsi="宋体" w:cs="宋体"/>
          <w:b/>
          <w:color w:val="000000"/>
        </w:rPr>
      </w:pPr>
    </w:p>
    <w:p>
      <w:pPr>
        <w:snapToGrid w:val="0"/>
        <w:spacing w:line="360" w:lineRule="auto"/>
        <w:ind w:firstLine="300"/>
        <w:rPr>
          <w:rFonts w:hAnsi="宋体" w:cs="宋体"/>
          <w:color w:val="000000"/>
        </w:rPr>
      </w:pPr>
      <w:r>
        <w:rPr>
          <w:rFonts w:hint="eastAsia" w:hAnsi="宋体" w:cs="宋体"/>
          <w:b/>
          <w:color w:val="000000"/>
        </w:rPr>
        <w:t>3、付款方式及付款期</w:t>
      </w:r>
      <w:r>
        <w:rPr>
          <w:rFonts w:hint="eastAsia" w:hAnsi="宋体" w:cs="宋体"/>
          <w:color w:val="000000"/>
        </w:rPr>
        <w:t>：</w:t>
      </w:r>
    </w:p>
    <w:p>
      <w:pPr>
        <w:snapToGrid w:val="0"/>
        <w:spacing w:line="360" w:lineRule="auto"/>
        <w:ind w:firstLine="300"/>
        <w:rPr>
          <w:rFonts w:hAnsi="宋体" w:cs="宋体"/>
          <w:color w:val="000000"/>
        </w:rPr>
      </w:pPr>
    </w:p>
    <w:p>
      <w:pPr>
        <w:snapToGrid w:val="0"/>
        <w:spacing w:line="360" w:lineRule="auto"/>
        <w:ind w:firstLine="300"/>
        <w:rPr>
          <w:rFonts w:hAnsi="宋体" w:cs="宋体"/>
          <w:color w:val="000000"/>
        </w:rPr>
      </w:pPr>
    </w:p>
    <w:p>
      <w:pPr>
        <w:snapToGrid w:val="0"/>
        <w:spacing w:line="360" w:lineRule="auto"/>
        <w:ind w:firstLine="300"/>
        <w:rPr>
          <w:rFonts w:hAnsi="宋体" w:cs="宋体"/>
          <w:b/>
          <w:color w:val="000000"/>
        </w:rPr>
      </w:pPr>
      <w:r>
        <w:rPr>
          <w:rFonts w:hAnsi="宋体" w:cs="宋体"/>
          <w:b/>
          <w:color w:val="000000"/>
        </w:rPr>
        <w:t>4</w:t>
      </w:r>
      <w:r>
        <w:rPr>
          <w:rFonts w:hint="eastAsia" w:hAnsi="宋体" w:cs="宋体"/>
          <w:b/>
          <w:color w:val="000000"/>
        </w:rPr>
        <w:t>、使用合同文件和资料：</w:t>
      </w:r>
    </w:p>
    <w:p>
      <w:pPr>
        <w:snapToGrid w:val="0"/>
        <w:spacing w:line="360" w:lineRule="auto"/>
        <w:ind w:firstLine="300"/>
        <w:rPr>
          <w:rFonts w:hAnsi="宋体" w:cs="宋体"/>
          <w:color w:val="000000"/>
        </w:rPr>
      </w:pPr>
      <w:r>
        <w:rPr>
          <w:rFonts w:hAnsi="宋体" w:cs="宋体"/>
          <w:b/>
          <w:color w:val="000000"/>
        </w:rPr>
        <w:t>3</w:t>
      </w:r>
      <w:r>
        <w:rPr>
          <w:rFonts w:hint="eastAsia" w:hAnsi="宋体" w:cs="宋体"/>
          <w:b/>
          <w:color w:val="000000"/>
        </w:rPr>
        <w:t>.1</w:t>
      </w:r>
      <w:r>
        <w:rPr>
          <w:rFonts w:hint="eastAsia" w:hAnsi="宋体" w:cs="宋体"/>
          <w:color w:val="000000"/>
        </w:rPr>
        <w:t xml:space="preserve"> 没有买方事先书面同意，卖方不得将由买方或代表买方提供的有关合同或任何合同条文、计划、图纸或资料提供给与履行本合同无关的任何其他人。即使向与履行本合同有关的人员提供，也应注意保密并限于履行合同必须的范围。</w:t>
      </w:r>
    </w:p>
    <w:p>
      <w:pPr>
        <w:snapToGrid w:val="0"/>
        <w:spacing w:line="360" w:lineRule="auto"/>
        <w:ind w:firstLine="300"/>
        <w:rPr>
          <w:rFonts w:hAnsi="宋体" w:cs="宋体"/>
          <w:color w:val="000000"/>
        </w:rPr>
      </w:pPr>
      <w:r>
        <w:rPr>
          <w:rFonts w:hAnsi="宋体" w:cs="宋体"/>
          <w:b/>
          <w:color w:val="000000"/>
        </w:rPr>
        <w:t>3</w:t>
      </w:r>
      <w:r>
        <w:rPr>
          <w:rFonts w:hint="eastAsia" w:hAnsi="宋体" w:cs="宋体"/>
          <w:b/>
          <w:color w:val="000000"/>
        </w:rPr>
        <w:t>.2</w:t>
      </w:r>
      <w:r>
        <w:rPr>
          <w:rFonts w:hint="eastAsia" w:hAnsi="宋体" w:cs="宋体"/>
          <w:color w:val="000000"/>
        </w:rPr>
        <w:t xml:space="preserve"> 没有买方事先书面同意，除了履行本合同之外，卖方不应使用</w:t>
      </w:r>
      <w:r>
        <w:rPr>
          <w:rFonts w:hAnsi="宋体" w:cs="宋体"/>
          <w:b/>
          <w:color w:val="000000"/>
        </w:rPr>
        <w:t>3</w:t>
      </w:r>
      <w:r>
        <w:rPr>
          <w:rFonts w:hint="eastAsia" w:hAnsi="宋体" w:cs="宋体"/>
          <w:b/>
          <w:color w:val="000000"/>
        </w:rPr>
        <w:t>.1</w:t>
      </w:r>
      <w:r>
        <w:rPr>
          <w:rFonts w:hint="eastAsia" w:hAnsi="宋体" w:cs="宋体"/>
          <w:color w:val="000000"/>
        </w:rPr>
        <w:t>条款所列举的任何文件和资料。</w:t>
      </w:r>
    </w:p>
    <w:p>
      <w:pPr>
        <w:snapToGrid w:val="0"/>
        <w:spacing w:line="360" w:lineRule="auto"/>
        <w:ind w:firstLine="300"/>
        <w:rPr>
          <w:rFonts w:hAnsi="宋体" w:cs="宋体"/>
          <w:color w:val="000000"/>
        </w:rPr>
      </w:pPr>
      <w:r>
        <w:rPr>
          <w:rFonts w:hAnsi="宋体" w:cs="宋体"/>
          <w:b/>
          <w:color w:val="000000"/>
        </w:rPr>
        <w:t>3</w:t>
      </w:r>
      <w:r>
        <w:rPr>
          <w:rFonts w:hint="eastAsia" w:hAnsi="宋体" w:cs="宋体"/>
          <w:b/>
          <w:color w:val="000000"/>
        </w:rPr>
        <w:t xml:space="preserve">.3 </w:t>
      </w:r>
      <w:r>
        <w:rPr>
          <w:rFonts w:hint="eastAsia" w:hAnsi="宋体" w:cs="宋体"/>
          <w:color w:val="000000"/>
        </w:rPr>
        <w:t>除了合同本身外，</w:t>
      </w:r>
      <w:r>
        <w:rPr>
          <w:rFonts w:hint="eastAsia" w:hAnsi="宋体" w:cs="宋体"/>
          <w:b/>
          <w:color w:val="000000"/>
        </w:rPr>
        <w:t xml:space="preserve"> </w:t>
      </w:r>
      <w:r>
        <w:rPr>
          <w:rFonts w:hAnsi="宋体" w:cs="宋体"/>
          <w:b/>
          <w:color w:val="000000"/>
        </w:rPr>
        <w:t>3</w:t>
      </w:r>
      <w:r>
        <w:rPr>
          <w:rFonts w:hint="eastAsia" w:hAnsi="宋体" w:cs="宋体"/>
          <w:b/>
          <w:color w:val="000000"/>
        </w:rPr>
        <w:t>.1</w:t>
      </w:r>
      <w:r>
        <w:rPr>
          <w:rFonts w:hint="eastAsia" w:hAnsi="宋体" w:cs="宋体"/>
          <w:color w:val="000000"/>
        </w:rPr>
        <w:t>条款所列举的任何文件是买方的财产。如果买方有要求，卖方应在完成合同后将这些文件及全部复制件归还给买方。</w:t>
      </w:r>
    </w:p>
    <w:p>
      <w:pPr>
        <w:snapToGrid w:val="0"/>
        <w:spacing w:line="360" w:lineRule="auto"/>
        <w:ind w:firstLine="300"/>
        <w:rPr>
          <w:rFonts w:hAnsi="宋体" w:cs="宋体"/>
          <w:color w:val="000000"/>
        </w:rPr>
      </w:pPr>
      <w:r>
        <w:rPr>
          <w:rFonts w:hAnsi="宋体" w:cs="宋体"/>
          <w:b/>
          <w:color w:val="000000"/>
        </w:rPr>
        <w:t>4</w:t>
      </w:r>
      <w:r>
        <w:rPr>
          <w:rFonts w:hint="eastAsia" w:hAnsi="宋体" w:cs="宋体"/>
          <w:b/>
          <w:color w:val="000000"/>
        </w:rPr>
        <w:t>、履约保证金</w:t>
      </w:r>
    </w:p>
    <w:p>
      <w:pPr>
        <w:snapToGrid w:val="0"/>
        <w:spacing w:line="360" w:lineRule="auto"/>
        <w:ind w:firstLine="300"/>
        <w:rPr>
          <w:rFonts w:hAnsi="宋体" w:cs="宋体"/>
          <w:color w:val="000000"/>
          <w:u w:val="single"/>
        </w:rPr>
      </w:pPr>
      <w:r>
        <w:rPr>
          <w:rFonts w:hint="eastAsia" w:hAnsi="宋体" w:cs="宋体"/>
          <w:color w:val="000000"/>
        </w:rPr>
        <w:t xml:space="preserve"> </w:t>
      </w:r>
      <w:r>
        <w:rPr>
          <w:rFonts w:hAnsi="宋体" w:cs="宋体"/>
          <w:b/>
          <w:color w:val="000000"/>
        </w:rPr>
        <w:t>4</w:t>
      </w:r>
      <w:r>
        <w:rPr>
          <w:rFonts w:hint="eastAsia" w:hAnsi="宋体" w:cs="宋体"/>
          <w:b/>
          <w:color w:val="000000"/>
        </w:rPr>
        <w:t>.1</w:t>
      </w:r>
      <w:r>
        <w:rPr>
          <w:rFonts w:hint="eastAsia" w:hAnsi="宋体" w:cs="宋体"/>
          <w:color w:val="000000"/>
        </w:rPr>
        <w:t>履约保证金形式为</w:t>
      </w:r>
      <w:r>
        <w:rPr>
          <w:rFonts w:hint="eastAsia" w:hAnsi="宋体" w:cs="宋体"/>
          <w:color w:val="000000"/>
          <w:u w:val="single"/>
        </w:rPr>
        <w:t xml:space="preserve">       </w:t>
      </w:r>
      <w:r>
        <w:rPr>
          <w:rFonts w:hint="eastAsia" w:hAnsi="宋体" w:cs="宋体"/>
          <w:color w:val="000000"/>
        </w:rPr>
        <w:t>。</w:t>
      </w:r>
    </w:p>
    <w:p>
      <w:pPr>
        <w:snapToGrid w:val="0"/>
        <w:spacing w:line="360" w:lineRule="auto"/>
        <w:ind w:firstLine="300"/>
        <w:rPr>
          <w:rFonts w:hAnsi="宋体" w:cs="宋体"/>
          <w:color w:val="000000"/>
        </w:rPr>
      </w:pPr>
      <w:r>
        <w:rPr>
          <w:rFonts w:hint="eastAsia" w:hAnsi="宋体" w:cs="宋体"/>
          <w:b/>
          <w:color w:val="000000"/>
        </w:rPr>
        <w:t xml:space="preserve"> </w:t>
      </w:r>
      <w:r>
        <w:rPr>
          <w:rFonts w:hAnsi="宋体" w:cs="宋体"/>
          <w:b/>
          <w:color w:val="000000"/>
        </w:rPr>
        <w:t>4</w:t>
      </w:r>
      <w:r>
        <w:rPr>
          <w:rFonts w:hint="eastAsia" w:hAnsi="宋体" w:cs="宋体"/>
          <w:b/>
          <w:color w:val="000000"/>
        </w:rPr>
        <w:t>.2</w:t>
      </w:r>
      <w:r>
        <w:rPr>
          <w:rFonts w:hint="eastAsia" w:hAnsi="宋体" w:cs="宋体"/>
          <w:color w:val="000000"/>
        </w:rPr>
        <w:t>卖方提供的履约保证金保函应按采购文件所附的格式提供，与此有关的费用由卖方负担。履约保证金保函的有效期至卖方完成合同规定的义务时止。</w:t>
      </w:r>
    </w:p>
    <w:p>
      <w:pPr>
        <w:snapToGrid w:val="0"/>
        <w:spacing w:line="360" w:lineRule="auto"/>
        <w:ind w:firstLine="300"/>
        <w:rPr>
          <w:rFonts w:hAnsi="宋体" w:cs="宋体"/>
          <w:color w:val="000000"/>
        </w:rPr>
      </w:pPr>
      <w:r>
        <w:rPr>
          <w:rFonts w:hint="eastAsia" w:hAnsi="宋体" w:cs="宋体"/>
          <w:b/>
          <w:color w:val="000000"/>
        </w:rPr>
        <w:t xml:space="preserve"> </w:t>
      </w:r>
      <w:r>
        <w:rPr>
          <w:rFonts w:hAnsi="宋体" w:cs="宋体"/>
          <w:b/>
          <w:color w:val="000000"/>
        </w:rPr>
        <w:t>4</w:t>
      </w:r>
      <w:r>
        <w:rPr>
          <w:rFonts w:hint="eastAsia" w:hAnsi="宋体" w:cs="宋体"/>
          <w:b/>
          <w:color w:val="000000"/>
        </w:rPr>
        <w:t>.3</w:t>
      </w:r>
      <w:r>
        <w:rPr>
          <w:rFonts w:hint="eastAsia" w:hAnsi="宋体" w:cs="宋体"/>
          <w:color w:val="000000"/>
        </w:rPr>
        <w:t>如卖方未能履行合同规定的任何义务，买方有权从履约保证金中得到补偿。</w:t>
      </w:r>
    </w:p>
    <w:p>
      <w:pPr>
        <w:snapToGrid w:val="0"/>
        <w:spacing w:line="360" w:lineRule="auto"/>
        <w:ind w:firstLine="300"/>
        <w:rPr>
          <w:rFonts w:hAnsi="宋体" w:cs="宋体"/>
          <w:color w:val="000000"/>
        </w:rPr>
      </w:pPr>
      <w:r>
        <w:rPr>
          <w:rFonts w:hAnsi="宋体" w:cs="宋体"/>
          <w:b/>
          <w:bCs/>
          <w:color w:val="000000"/>
        </w:rPr>
        <w:t>5</w:t>
      </w:r>
      <w:r>
        <w:rPr>
          <w:rFonts w:hint="eastAsia" w:hAnsi="宋体" w:cs="宋体"/>
          <w:b/>
          <w:bCs/>
          <w:color w:val="000000"/>
        </w:rPr>
        <w:t>、知</w:t>
      </w:r>
      <w:r>
        <w:rPr>
          <w:rFonts w:hint="eastAsia" w:hAnsi="宋体" w:cs="宋体"/>
          <w:b/>
          <w:color w:val="000000"/>
        </w:rPr>
        <w:t>识产权</w:t>
      </w:r>
    </w:p>
    <w:p>
      <w:pPr>
        <w:snapToGrid w:val="0"/>
        <w:spacing w:line="360" w:lineRule="auto"/>
        <w:ind w:firstLine="300"/>
        <w:rPr>
          <w:rFonts w:hAnsi="宋体" w:cs="宋体"/>
          <w:color w:val="000000"/>
        </w:rPr>
      </w:pPr>
      <w:r>
        <w:rPr>
          <w:rFonts w:hint="eastAsia" w:hAnsi="宋体" w:cs="宋体"/>
          <w:color w:val="000000"/>
        </w:rPr>
        <w:t>卖方应保证提供服务过程中不会侵犯任何第三方的知识产权，如果任何第三方提出侵权指控，卖方须与第三方交涉并承担可能发生的一切法律责任和费用。</w:t>
      </w:r>
    </w:p>
    <w:p>
      <w:pPr>
        <w:snapToGrid w:val="0"/>
        <w:spacing w:line="360" w:lineRule="auto"/>
        <w:ind w:firstLine="300"/>
        <w:rPr>
          <w:rFonts w:hAnsi="宋体" w:cs="宋体"/>
          <w:color w:val="000000"/>
        </w:rPr>
      </w:pPr>
      <w:r>
        <w:rPr>
          <w:rFonts w:hAnsi="宋体" w:cs="宋体"/>
          <w:b/>
          <w:color w:val="000000"/>
        </w:rPr>
        <w:t>6</w:t>
      </w:r>
      <w:r>
        <w:rPr>
          <w:rFonts w:hint="eastAsia" w:hAnsi="宋体" w:cs="宋体"/>
          <w:b/>
          <w:color w:val="000000"/>
        </w:rPr>
        <w:t>、不可抗力</w:t>
      </w:r>
    </w:p>
    <w:p>
      <w:pPr>
        <w:snapToGrid w:val="0"/>
        <w:spacing w:line="360" w:lineRule="auto"/>
        <w:ind w:firstLine="300"/>
        <w:rPr>
          <w:rFonts w:hAnsi="宋体" w:cs="宋体"/>
          <w:color w:val="000000"/>
        </w:rPr>
      </w:pPr>
      <w:r>
        <w:rPr>
          <w:rFonts w:hAnsi="宋体" w:cs="宋体"/>
          <w:b/>
          <w:color w:val="000000"/>
        </w:rPr>
        <w:t>6</w:t>
      </w:r>
      <w:r>
        <w:rPr>
          <w:rFonts w:hint="eastAsia" w:hAnsi="宋体" w:cs="宋体"/>
          <w:b/>
          <w:color w:val="000000"/>
        </w:rPr>
        <w:t>.1</w:t>
      </w:r>
      <w:r>
        <w:rPr>
          <w:rFonts w:hint="eastAsia" w:hAnsi="宋体" w:cs="宋体"/>
          <w:color w:val="000000"/>
        </w:rPr>
        <w:t>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napToGrid w:val="0"/>
        <w:spacing w:line="360" w:lineRule="auto"/>
        <w:ind w:firstLine="300"/>
        <w:rPr>
          <w:rFonts w:hAnsi="宋体" w:cs="宋体"/>
          <w:color w:val="000000"/>
        </w:rPr>
      </w:pPr>
      <w:r>
        <w:rPr>
          <w:rFonts w:hint="eastAsia" w:hAnsi="宋体" w:cs="宋体"/>
          <w:b/>
          <w:color w:val="000000"/>
        </w:rPr>
        <w:t xml:space="preserve"> </w:t>
      </w:r>
      <w:r>
        <w:rPr>
          <w:rFonts w:hAnsi="宋体" w:cs="宋体"/>
          <w:b/>
          <w:color w:val="000000"/>
        </w:rPr>
        <w:t>6</w:t>
      </w:r>
      <w:r>
        <w:rPr>
          <w:rFonts w:hint="eastAsia" w:hAnsi="宋体" w:cs="宋体"/>
          <w:b/>
          <w:color w:val="000000"/>
        </w:rPr>
        <w:t>.2</w:t>
      </w:r>
      <w:r>
        <w:rPr>
          <w:rFonts w:hint="eastAsia" w:hAnsi="宋体" w:cs="宋体"/>
          <w:color w:val="000000"/>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napToGrid w:val="0"/>
        <w:spacing w:line="360" w:lineRule="auto"/>
        <w:ind w:firstLine="422" w:firstLineChars="200"/>
        <w:rPr>
          <w:rFonts w:hAnsi="宋体" w:cs="宋体"/>
          <w:color w:val="000000"/>
        </w:rPr>
      </w:pPr>
      <w:r>
        <w:rPr>
          <w:rFonts w:hAnsi="宋体" w:cs="宋体"/>
          <w:b/>
          <w:color w:val="000000"/>
        </w:rPr>
        <w:t>7</w:t>
      </w:r>
      <w:r>
        <w:rPr>
          <w:rFonts w:hint="eastAsia" w:hAnsi="宋体" w:cs="宋体"/>
          <w:b/>
          <w:color w:val="000000"/>
        </w:rPr>
        <w:t>.税费</w:t>
      </w:r>
    </w:p>
    <w:p>
      <w:pPr>
        <w:snapToGrid w:val="0"/>
        <w:spacing w:line="360" w:lineRule="auto"/>
        <w:ind w:firstLine="300"/>
        <w:rPr>
          <w:rFonts w:hAnsi="宋体" w:cs="宋体"/>
          <w:color w:val="000000"/>
        </w:rPr>
      </w:pPr>
      <w:r>
        <w:rPr>
          <w:rFonts w:hint="eastAsia" w:hAnsi="宋体" w:cs="宋体"/>
          <w:color w:val="000000"/>
        </w:rPr>
        <w:t xml:space="preserve"> </w:t>
      </w:r>
      <w:r>
        <w:rPr>
          <w:rFonts w:hAnsi="宋体" w:cs="宋体"/>
          <w:color w:val="000000"/>
        </w:rPr>
        <w:t>7</w:t>
      </w:r>
      <w:r>
        <w:rPr>
          <w:rFonts w:hint="eastAsia" w:hAnsi="宋体" w:cs="宋体"/>
          <w:b/>
          <w:color w:val="000000"/>
        </w:rPr>
        <w:t>.1</w:t>
      </w:r>
      <w:r>
        <w:rPr>
          <w:rFonts w:hint="eastAsia" w:hAnsi="宋体" w:cs="宋体"/>
          <w:color w:val="000000"/>
        </w:rPr>
        <w:t>根据国家现行税法对买方征收的与合同有关的一切税费均由买方负担。</w:t>
      </w:r>
    </w:p>
    <w:p>
      <w:pPr>
        <w:snapToGrid w:val="0"/>
        <w:spacing w:line="360" w:lineRule="auto"/>
        <w:ind w:firstLine="300"/>
        <w:rPr>
          <w:rFonts w:hAnsi="宋体" w:cs="宋体"/>
          <w:color w:val="000000"/>
        </w:rPr>
      </w:pPr>
      <w:r>
        <w:rPr>
          <w:rFonts w:hint="eastAsia" w:hAnsi="宋体" w:cs="宋体"/>
          <w:b/>
          <w:color w:val="000000"/>
        </w:rPr>
        <w:t xml:space="preserve"> </w:t>
      </w:r>
      <w:r>
        <w:rPr>
          <w:rFonts w:hAnsi="宋体" w:cs="宋体"/>
          <w:b/>
          <w:color w:val="000000"/>
        </w:rPr>
        <w:t>7</w:t>
      </w:r>
      <w:r>
        <w:rPr>
          <w:rFonts w:hint="eastAsia" w:hAnsi="宋体" w:cs="宋体"/>
          <w:b/>
          <w:color w:val="000000"/>
        </w:rPr>
        <w:t>.2</w:t>
      </w:r>
      <w:r>
        <w:rPr>
          <w:rFonts w:hint="eastAsia" w:hAnsi="宋体" w:cs="宋体"/>
          <w:color w:val="000000"/>
        </w:rPr>
        <w:t>根据国家现行税法对卖方征收的与合同有关的一切税费均由卖方负担。</w:t>
      </w:r>
    </w:p>
    <w:p>
      <w:pPr>
        <w:snapToGrid w:val="0"/>
        <w:spacing w:line="360" w:lineRule="auto"/>
        <w:ind w:firstLine="300"/>
        <w:rPr>
          <w:rFonts w:hAnsi="宋体" w:cs="宋体"/>
          <w:color w:val="000000"/>
        </w:rPr>
      </w:pPr>
      <w:r>
        <w:rPr>
          <w:rFonts w:hAnsi="宋体" w:cs="宋体"/>
          <w:b/>
          <w:color w:val="000000"/>
        </w:rPr>
        <w:t>8</w:t>
      </w:r>
      <w:r>
        <w:rPr>
          <w:rFonts w:hint="eastAsia" w:hAnsi="宋体" w:cs="宋体"/>
          <w:b/>
          <w:color w:val="000000"/>
        </w:rPr>
        <w:t>.违约终止合同</w:t>
      </w:r>
    </w:p>
    <w:p>
      <w:pPr>
        <w:snapToGrid w:val="0"/>
        <w:spacing w:line="360" w:lineRule="auto"/>
        <w:ind w:firstLine="300"/>
        <w:rPr>
          <w:rFonts w:hAnsi="宋体" w:cs="宋体"/>
          <w:color w:val="000000"/>
        </w:rPr>
      </w:pPr>
      <w:r>
        <w:rPr>
          <w:rFonts w:hint="eastAsia" w:hAnsi="宋体" w:cs="宋体"/>
          <w:b/>
          <w:color w:val="000000"/>
        </w:rPr>
        <w:t xml:space="preserve">   </w:t>
      </w:r>
      <w:r>
        <w:rPr>
          <w:rFonts w:hAnsi="宋体" w:cs="宋体"/>
          <w:b/>
          <w:color w:val="000000"/>
        </w:rPr>
        <w:t>8</w:t>
      </w:r>
      <w:r>
        <w:rPr>
          <w:rFonts w:hint="eastAsia" w:hAnsi="宋体" w:cs="宋体"/>
          <w:b/>
          <w:color w:val="000000"/>
        </w:rPr>
        <w:t>.1</w:t>
      </w:r>
      <w:r>
        <w:rPr>
          <w:rFonts w:hint="eastAsia" w:hAnsi="宋体" w:cs="宋体"/>
          <w:color w:val="000000"/>
        </w:rPr>
        <w:t>如果卖方有下述违约行为或采购文件中规定的其它违约行为的情况，买方可以向卖方发出书面违约通知，全部或部分地终止合同，在这些情况下，并不影响买方向卖方提出的索赔：</w:t>
      </w:r>
    </w:p>
    <w:p>
      <w:pPr>
        <w:numPr>
          <w:ilvl w:val="0"/>
          <w:numId w:val="11"/>
        </w:numPr>
        <w:snapToGrid w:val="0"/>
        <w:spacing w:line="360" w:lineRule="auto"/>
        <w:rPr>
          <w:rFonts w:hAnsi="宋体" w:cs="宋体"/>
          <w:color w:val="000000"/>
        </w:rPr>
      </w:pPr>
      <w:r>
        <w:rPr>
          <w:rFonts w:hint="eastAsia" w:hAnsi="宋体" w:cs="宋体"/>
          <w:color w:val="000000"/>
        </w:rPr>
        <w:t>卖方未能在合同规定的限期或买方同意延长的最终限期内提供全部或部分服务项目、技术文件；</w:t>
      </w:r>
    </w:p>
    <w:p>
      <w:pPr>
        <w:numPr>
          <w:ilvl w:val="0"/>
          <w:numId w:val="11"/>
        </w:numPr>
        <w:snapToGrid w:val="0"/>
        <w:spacing w:line="360" w:lineRule="auto"/>
        <w:rPr>
          <w:rFonts w:hAnsi="宋体" w:cs="宋体"/>
          <w:color w:val="000000"/>
        </w:rPr>
      </w:pPr>
      <w:r>
        <w:rPr>
          <w:rFonts w:hint="eastAsia" w:hAnsi="宋体" w:cs="宋体"/>
          <w:color w:val="000000"/>
        </w:rPr>
        <w:t>卖方未能使合同的服务项目达到合同附件规定的最低技术要求；</w:t>
      </w:r>
    </w:p>
    <w:p>
      <w:pPr>
        <w:snapToGrid w:val="0"/>
        <w:spacing w:line="360" w:lineRule="auto"/>
        <w:ind w:firstLine="300"/>
        <w:rPr>
          <w:rFonts w:hAnsi="宋体" w:cs="宋体"/>
          <w:color w:val="000000"/>
        </w:rPr>
      </w:pPr>
      <w:r>
        <w:rPr>
          <w:rFonts w:hint="eastAsia" w:hAnsi="宋体" w:cs="宋体"/>
          <w:color w:val="000000"/>
        </w:rPr>
        <w:t xml:space="preserve">(3)卖方未能履行合同规定的其它义务（细微义务除外），且卖方在收到买方发出的违约通知后30天内或经买方书面认可延长的时间内未能纠正其违约行为。 </w:t>
      </w:r>
    </w:p>
    <w:p>
      <w:pPr>
        <w:snapToGrid w:val="0"/>
        <w:spacing w:line="360" w:lineRule="auto"/>
        <w:ind w:firstLine="300"/>
        <w:rPr>
          <w:rFonts w:hAnsi="宋体" w:cs="宋体"/>
          <w:color w:val="000000"/>
        </w:rPr>
      </w:pPr>
      <w:r>
        <w:rPr>
          <w:rFonts w:hint="eastAsia" w:hAnsi="宋体" w:cs="宋体"/>
          <w:b/>
          <w:color w:val="000000"/>
        </w:rPr>
        <w:t xml:space="preserve">   </w:t>
      </w:r>
      <w:r>
        <w:rPr>
          <w:rFonts w:hAnsi="宋体" w:cs="宋体"/>
          <w:b/>
          <w:color w:val="000000"/>
        </w:rPr>
        <w:t>8</w:t>
      </w:r>
      <w:r>
        <w:rPr>
          <w:rFonts w:hint="eastAsia" w:hAnsi="宋体" w:cs="宋体"/>
          <w:b/>
          <w:color w:val="000000"/>
        </w:rPr>
        <w:t>.2</w:t>
      </w:r>
      <w:r>
        <w:rPr>
          <w:rFonts w:hint="eastAsia" w:hAnsi="宋体" w:cs="宋体"/>
          <w:color w:val="000000"/>
        </w:rPr>
        <w:t>在买方根据第</w:t>
      </w:r>
      <w:r>
        <w:rPr>
          <w:rFonts w:hAnsi="宋体" w:cs="宋体"/>
          <w:b/>
          <w:color w:val="000000"/>
        </w:rPr>
        <w:t>8</w:t>
      </w:r>
      <w:r>
        <w:rPr>
          <w:rFonts w:hint="eastAsia" w:hAnsi="宋体" w:cs="宋体"/>
          <w:b/>
          <w:color w:val="000000"/>
        </w:rPr>
        <w:t>.1</w:t>
      </w:r>
      <w:r>
        <w:rPr>
          <w:rFonts w:hint="eastAsia" w:hAnsi="宋体" w:cs="宋体"/>
          <w:color w:val="000000"/>
        </w:rPr>
        <w:t>条款规定，终止了全部或部分合同，买方可以依其认为适当的条件和方法向卖方或其他人购买与合同被终止部分同种的服务项目，卖方应对买方购买同种服务项目所超出的费用负责。而且卖方还应继续执行合同中未终止的部分。</w:t>
      </w:r>
    </w:p>
    <w:p>
      <w:pPr>
        <w:snapToGrid w:val="0"/>
        <w:spacing w:line="360" w:lineRule="auto"/>
        <w:ind w:firstLine="300"/>
        <w:rPr>
          <w:rFonts w:hAnsi="宋体" w:cs="宋体"/>
          <w:b/>
          <w:color w:val="000000"/>
        </w:rPr>
      </w:pPr>
      <w:r>
        <w:rPr>
          <w:rFonts w:hAnsi="宋体" w:cs="宋体"/>
          <w:b/>
          <w:color w:val="000000"/>
        </w:rPr>
        <w:t>9</w:t>
      </w:r>
      <w:r>
        <w:rPr>
          <w:rFonts w:hint="eastAsia" w:hAnsi="宋体" w:cs="宋体"/>
          <w:b/>
          <w:color w:val="000000"/>
        </w:rPr>
        <w:t>.其他情况终止合同</w:t>
      </w:r>
    </w:p>
    <w:p>
      <w:pPr>
        <w:snapToGrid w:val="0"/>
        <w:spacing w:line="360" w:lineRule="auto"/>
        <w:ind w:firstLine="300"/>
        <w:rPr>
          <w:rFonts w:hAnsi="宋体" w:cs="宋体"/>
          <w:color w:val="000000"/>
        </w:rPr>
      </w:pPr>
      <w:r>
        <w:rPr>
          <w:rFonts w:hint="eastAsia" w:hAnsi="宋体" w:cs="宋体"/>
          <w:color w:val="000000"/>
        </w:rPr>
        <w:t xml:space="preserve">   </w:t>
      </w:r>
      <w:r>
        <w:rPr>
          <w:rFonts w:hAnsi="宋体" w:cs="宋体"/>
          <w:b/>
          <w:color w:val="000000"/>
        </w:rPr>
        <w:t>9</w:t>
      </w:r>
      <w:r>
        <w:rPr>
          <w:rFonts w:hint="eastAsia" w:hAnsi="宋体" w:cs="宋体"/>
          <w:b/>
          <w:color w:val="000000"/>
        </w:rPr>
        <w:t>.1</w:t>
      </w:r>
      <w:r>
        <w:rPr>
          <w:rFonts w:hint="eastAsia" w:hAnsi="宋体" w:cs="宋体"/>
          <w:color w:val="000000"/>
        </w:rPr>
        <w:t>如果卖方破产或发生资不抵债的情况，买方可在任何时候以书面通知终止合同，而不给对方补偿。该终止合同将不损害或影响买方已经采取或将要采取的补救措施的权利。</w:t>
      </w:r>
    </w:p>
    <w:p>
      <w:pPr>
        <w:snapToGrid w:val="0"/>
        <w:spacing w:line="360" w:lineRule="auto"/>
        <w:ind w:firstLine="300"/>
        <w:rPr>
          <w:rFonts w:hAnsi="宋体" w:cs="宋体"/>
          <w:color w:val="000000"/>
        </w:rPr>
      </w:pPr>
      <w:r>
        <w:rPr>
          <w:rFonts w:hint="eastAsia" w:hAnsi="宋体" w:cs="宋体"/>
          <w:color w:val="000000"/>
        </w:rPr>
        <w:t xml:space="preserve">   </w:t>
      </w:r>
      <w:r>
        <w:rPr>
          <w:rFonts w:hAnsi="宋体" w:cs="宋体"/>
          <w:b/>
          <w:color w:val="000000"/>
        </w:rPr>
        <w:t>9</w:t>
      </w:r>
      <w:r>
        <w:rPr>
          <w:rFonts w:hint="eastAsia" w:hAnsi="宋体" w:cs="宋体"/>
          <w:b/>
          <w:color w:val="000000"/>
        </w:rPr>
        <w:t xml:space="preserve">.2 </w:t>
      </w:r>
      <w:r>
        <w:rPr>
          <w:rFonts w:hint="eastAsia" w:hAnsi="宋体" w:cs="宋体"/>
          <w:color w:val="000000"/>
        </w:rPr>
        <w:t>如果买方认定卖方在竞标、采购和合同执行等过程中有腐败或欺诈行为，买方有权在任何时候发出书面通知终止合同。</w:t>
      </w:r>
    </w:p>
    <w:p>
      <w:pPr>
        <w:snapToGrid w:val="0"/>
        <w:spacing w:line="360" w:lineRule="auto"/>
        <w:ind w:firstLine="300"/>
        <w:rPr>
          <w:rFonts w:hAnsi="宋体" w:cs="宋体"/>
          <w:color w:val="000000"/>
        </w:rPr>
      </w:pPr>
      <w:r>
        <w:rPr>
          <w:rFonts w:hint="eastAsia" w:hAnsi="宋体" w:cs="宋体"/>
          <w:color w:val="000000"/>
        </w:rPr>
        <w:t xml:space="preserve">   </w:t>
      </w:r>
      <w:r>
        <w:rPr>
          <w:rFonts w:hAnsi="宋体" w:cs="宋体"/>
          <w:b/>
          <w:color w:val="000000"/>
        </w:rPr>
        <w:t>9</w:t>
      </w:r>
      <w:r>
        <w:rPr>
          <w:rFonts w:hint="eastAsia" w:hAnsi="宋体" w:cs="宋体"/>
          <w:b/>
          <w:color w:val="000000"/>
        </w:rPr>
        <w:t>.3</w:t>
      </w:r>
      <w:r>
        <w:rPr>
          <w:rFonts w:hint="eastAsia" w:hAnsi="宋体" w:cs="宋体"/>
          <w:color w:val="000000"/>
        </w:rPr>
        <w:t>如果合同履行过程中出现危害国家利益和社会公众利益的，买方有权在任何时候发出书面通知终止合同。</w:t>
      </w:r>
    </w:p>
    <w:p>
      <w:pPr>
        <w:snapToGrid w:val="0"/>
        <w:spacing w:line="360" w:lineRule="auto"/>
        <w:ind w:firstLine="300"/>
        <w:rPr>
          <w:rFonts w:hAnsi="宋体" w:cs="宋体"/>
          <w:bCs/>
        </w:rPr>
      </w:pPr>
      <w:r>
        <w:rPr>
          <w:rFonts w:hint="eastAsia" w:hAnsi="宋体" w:cs="宋体"/>
          <w:b/>
          <w:color w:val="000000"/>
        </w:rPr>
        <w:t>1</w:t>
      </w:r>
      <w:r>
        <w:rPr>
          <w:rFonts w:hAnsi="宋体" w:cs="宋体"/>
          <w:b/>
          <w:color w:val="000000"/>
        </w:rPr>
        <w:t>0</w:t>
      </w:r>
      <w:r>
        <w:rPr>
          <w:rFonts w:hint="eastAsia" w:hAnsi="宋体" w:cs="宋体"/>
          <w:b/>
          <w:color w:val="000000"/>
        </w:rPr>
        <w:t>.转包和分包</w:t>
      </w:r>
    </w:p>
    <w:p>
      <w:pPr>
        <w:snapToGrid w:val="0"/>
        <w:spacing w:line="360" w:lineRule="auto"/>
        <w:ind w:firstLine="300"/>
        <w:rPr>
          <w:rFonts w:hAnsi="宋体" w:cs="宋体"/>
          <w:color w:val="000000"/>
        </w:rPr>
      </w:pPr>
      <w:r>
        <w:rPr>
          <w:rFonts w:hint="eastAsia" w:hAnsi="宋体" w:cs="宋体"/>
          <w:bCs/>
        </w:rPr>
        <w:t>10</w:t>
      </w:r>
      <w:r>
        <w:rPr>
          <w:rFonts w:hint="eastAsia" w:hAnsi="宋体" w:cs="宋体"/>
          <w:b/>
        </w:rPr>
        <w:t>.1</w:t>
      </w:r>
      <w:r>
        <w:rPr>
          <w:rFonts w:hint="eastAsia" w:hAnsi="宋体" w:cs="宋体"/>
        </w:rPr>
        <w:t>本项目不允许转包、分包</w:t>
      </w:r>
      <w:r>
        <w:rPr>
          <w:rFonts w:hint="eastAsia" w:hAnsi="宋体" w:cs="宋体"/>
          <w:color w:val="000000"/>
        </w:rPr>
        <w:t>。</w:t>
      </w:r>
    </w:p>
    <w:p>
      <w:pPr>
        <w:numPr>
          <w:ilvl w:val="0"/>
          <w:numId w:val="12"/>
        </w:numPr>
        <w:snapToGrid w:val="0"/>
        <w:spacing w:line="360" w:lineRule="auto"/>
        <w:ind w:firstLine="300"/>
        <w:rPr>
          <w:rFonts w:hAnsi="宋体" w:cs="宋体"/>
          <w:b/>
          <w:color w:val="000000"/>
        </w:rPr>
      </w:pPr>
      <w:r>
        <w:rPr>
          <w:rFonts w:hint="eastAsia" w:hAnsi="宋体" w:cs="宋体"/>
          <w:b/>
          <w:color w:val="000000"/>
        </w:rPr>
        <w:t>合同的协商变更与修改</w:t>
      </w:r>
    </w:p>
    <w:p>
      <w:pPr>
        <w:snapToGrid w:val="0"/>
        <w:spacing w:line="360" w:lineRule="auto"/>
        <w:ind w:firstLine="300"/>
        <w:rPr>
          <w:rFonts w:hAnsi="宋体" w:cs="宋体"/>
          <w:color w:val="000000"/>
        </w:rPr>
      </w:pPr>
      <w:r>
        <w:rPr>
          <w:rFonts w:hint="eastAsia" w:hAnsi="宋体" w:cs="宋体"/>
          <w:bCs/>
        </w:rPr>
        <w:t>1</w:t>
      </w:r>
      <w:r>
        <w:rPr>
          <w:rFonts w:hAnsi="宋体" w:cs="宋体"/>
          <w:bCs/>
        </w:rPr>
        <w:t>1</w:t>
      </w:r>
      <w:r>
        <w:rPr>
          <w:rFonts w:hint="eastAsia" w:hAnsi="宋体" w:cs="宋体"/>
          <w:bCs/>
        </w:rPr>
        <w:t>.1 合同双方不得擅自变更、中止或者终止合同。合同继续履行将损害国家利益和社会公共利益的，双方应当变更、中止或者终止合同。有过错的一方应当承担赔偿责任，双方都有过错的，各自承担相应的责任</w:t>
      </w:r>
      <w:r>
        <w:rPr>
          <w:rFonts w:hint="eastAsia" w:hAnsi="宋体" w:cs="宋体"/>
          <w:color w:val="000000"/>
        </w:rPr>
        <w:t>。</w:t>
      </w:r>
    </w:p>
    <w:p>
      <w:pPr>
        <w:snapToGrid w:val="0"/>
        <w:spacing w:line="360" w:lineRule="auto"/>
        <w:ind w:firstLine="300"/>
        <w:rPr>
          <w:rFonts w:hAnsi="宋体" w:cs="宋体"/>
          <w:color w:val="000000"/>
        </w:rPr>
      </w:pPr>
      <w:r>
        <w:rPr>
          <w:rFonts w:hint="eastAsia" w:hAnsi="宋体" w:cs="宋体"/>
          <w:b/>
          <w:color w:val="000000"/>
        </w:rPr>
        <w:t>1</w:t>
      </w:r>
      <w:r>
        <w:rPr>
          <w:rFonts w:hAnsi="宋体" w:cs="宋体"/>
          <w:b/>
          <w:color w:val="000000"/>
        </w:rPr>
        <w:t>2</w:t>
      </w:r>
      <w:r>
        <w:rPr>
          <w:rFonts w:hint="eastAsia" w:hAnsi="宋体" w:cs="宋体"/>
          <w:b/>
          <w:color w:val="000000"/>
        </w:rPr>
        <w:t>.争端的解决</w:t>
      </w:r>
    </w:p>
    <w:p>
      <w:pPr>
        <w:snapToGrid w:val="0"/>
        <w:spacing w:line="360" w:lineRule="auto"/>
        <w:ind w:firstLine="300"/>
        <w:rPr>
          <w:rFonts w:hAnsi="宋体" w:cs="宋体"/>
          <w:color w:val="000000"/>
        </w:rPr>
      </w:pPr>
      <w:r>
        <w:rPr>
          <w:rFonts w:hAnsi="宋体" w:cs="宋体"/>
          <w:color w:val="000000"/>
        </w:rPr>
        <w:t>12</w:t>
      </w:r>
      <w:r>
        <w:rPr>
          <w:rFonts w:hint="eastAsia" w:hAnsi="宋体" w:cs="宋体"/>
          <w:b/>
          <w:color w:val="000000"/>
        </w:rPr>
        <w:t>.1</w:t>
      </w:r>
      <w:r>
        <w:rPr>
          <w:rFonts w:hint="eastAsia" w:hAnsi="宋体" w:cs="宋体"/>
          <w:color w:val="000000"/>
        </w:rPr>
        <w:t xml:space="preserve"> 合同实施或与合同有关的一切争端应依据《中华人民共和国民法典》并通过双方协商解决。如果协商开始后六十天还不能解决，争端应提交仲裁或诉讼，仲裁和诉讼应在买方所在地进行。</w:t>
      </w:r>
    </w:p>
    <w:p>
      <w:pPr>
        <w:snapToGrid w:val="0"/>
        <w:spacing w:line="360" w:lineRule="auto"/>
        <w:ind w:firstLine="300"/>
        <w:rPr>
          <w:rFonts w:hAnsi="宋体" w:cs="宋体"/>
          <w:color w:val="000000"/>
        </w:rPr>
      </w:pPr>
      <w:r>
        <w:rPr>
          <w:rFonts w:hAnsi="宋体" w:cs="宋体"/>
          <w:color w:val="000000"/>
        </w:rPr>
        <w:t>12</w:t>
      </w:r>
      <w:r>
        <w:rPr>
          <w:rFonts w:hint="eastAsia" w:hAnsi="宋体" w:cs="宋体"/>
          <w:b/>
          <w:color w:val="000000"/>
        </w:rPr>
        <w:t xml:space="preserve">.2 </w:t>
      </w:r>
      <w:r>
        <w:rPr>
          <w:rFonts w:hint="eastAsia" w:hAnsi="宋体" w:cs="宋体"/>
          <w:color w:val="000000"/>
        </w:rPr>
        <w:t>仲裁或诉讼裁决应为最终裁决，对双方均有约束力。除另有裁决外，仲裁或诉讼费均应由败诉方负担。</w:t>
      </w:r>
    </w:p>
    <w:p>
      <w:pPr>
        <w:snapToGrid w:val="0"/>
        <w:spacing w:line="360" w:lineRule="auto"/>
        <w:ind w:firstLine="300"/>
        <w:rPr>
          <w:rFonts w:hAnsi="宋体" w:cs="宋体"/>
          <w:color w:val="000000"/>
        </w:rPr>
      </w:pPr>
      <w:r>
        <w:rPr>
          <w:rFonts w:hAnsi="宋体" w:cs="宋体"/>
          <w:color w:val="000000"/>
        </w:rPr>
        <w:t>12</w:t>
      </w:r>
      <w:r>
        <w:rPr>
          <w:rFonts w:hint="eastAsia" w:hAnsi="宋体" w:cs="宋体"/>
          <w:b/>
          <w:color w:val="000000"/>
        </w:rPr>
        <w:t>.3</w:t>
      </w:r>
      <w:r>
        <w:rPr>
          <w:rFonts w:hint="eastAsia" w:hAnsi="宋体" w:cs="宋体"/>
          <w:color w:val="000000"/>
        </w:rPr>
        <w:t xml:space="preserve"> 在仲裁或诉讼期间，除正在进行仲裁或诉讼的部分外，合同其他部分应继续执行。</w:t>
      </w:r>
    </w:p>
    <w:p>
      <w:pPr>
        <w:snapToGrid w:val="0"/>
        <w:spacing w:line="360" w:lineRule="auto"/>
        <w:ind w:firstLine="300"/>
        <w:rPr>
          <w:rFonts w:hAnsi="宋体" w:cs="宋体"/>
          <w:color w:val="000000"/>
        </w:rPr>
      </w:pPr>
      <w:r>
        <w:rPr>
          <w:rFonts w:hint="eastAsia" w:hAnsi="宋体" w:cs="宋体"/>
          <w:b/>
          <w:color w:val="000000"/>
        </w:rPr>
        <w:t>1</w:t>
      </w:r>
      <w:r>
        <w:rPr>
          <w:rFonts w:hAnsi="宋体" w:cs="宋体"/>
          <w:b/>
          <w:color w:val="000000"/>
        </w:rPr>
        <w:t>3</w:t>
      </w:r>
      <w:r>
        <w:rPr>
          <w:rFonts w:hint="eastAsia" w:hAnsi="宋体" w:cs="宋体"/>
          <w:b/>
          <w:color w:val="000000"/>
        </w:rPr>
        <w:t>.通知</w:t>
      </w:r>
    </w:p>
    <w:p>
      <w:pPr>
        <w:snapToGrid w:val="0"/>
        <w:spacing w:line="360" w:lineRule="auto"/>
        <w:ind w:firstLine="300"/>
        <w:rPr>
          <w:rFonts w:hAnsi="宋体" w:cs="宋体"/>
          <w:color w:val="000000"/>
        </w:rPr>
      </w:pPr>
      <w:r>
        <w:rPr>
          <w:rFonts w:hint="eastAsia" w:hAnsi="宋体" w:cs="宋体"/>
          <w:b/>
          <w:color w:val="000000"/>
        </w:rPr>
        <w:t>1</w:t>
      </w:r>
      <w:r>
        <w:rPr>
          <w:rFonts w:hAnsi="宋体" w:cs="宋体"/>
          <w:b/>
          <w:color w:val="000000"/>
        </w:rPr>
        <w:t>3</w:t>
      </w:r>
      <w:r>
        <w:rPr>
          <w:rFonts w:hint="eastAsia" w:hAnsi="宋体" w:cs="宋体"/>
          <w:b/>
          <w:color w:val="000000"/>
        </w:rPr>
        <w:t>.1</w:t>
      </w:r>
      <w:r>
        <w:rPr>
          <w:rFonts w:hint="eastAsia" w:hAnsi="宋体" w:cs="宋体"/>
          <w:color w:val="000000"/>
        </w:rPr>
        <w:t>本合同任何一方给另一方的通知，都应以书面或传真的形式发送，而另一方应以书面或传真形式确认，回复对方。</w:t>
      </w:r>
    </w:p>
    <w:p>
      <w:pPr>
        <w:snapToGrid w:val="0"/>
        <w:spacing w:line="360" w:lineRule="auto"/>
        <w:ind w:firstLine="300"/>
        <w:rPr>
          <w:rFonts w:hAnsi="宋体" w:cs="宋体"/>
          <w:color w:val="000000"/>
        </w:rPr>
      </w:pPr>
      <w:r>
        <w:rPr>
          <w:rFonts w:hAnsi="宋体" w:cs="宋体"/>
          <w:color w:val="000000"/>
        </w:rPr>
        <w:t>13</w:t>
      </w:r>
      <w:r>
        <w:rPr>
          <w:rFonts w:hint="eastAsia" w:hAnsi="宋体" w:cs="宋体"/>
          <w:b/>
          <w:color w:val="000000"/>
        </w:rPr>
        <w:t xml:space="preserve">.2 </w:t>
      </w:r>
      <w:r>
        <w:rPr>
          <w:rFonts w:hint="eastAsia" w:hAnsi="宋体" w:cs="宋体"/>
          <w:color w:val="000000"/>
        </w:rPr>
        <w:t>通知以送到日期或通知书的生效日起为生效日期，两者中以较晚的一个日期为准。</w:t>
      </w:r>
    </w:p>
    <w:p>
      <w:pPr>
        <w:snapToGrid w:val="0"/>
        <w:spacing w:line="360" w:lineRule="auto"/>
        <w:ind w:firstLine="300"/>
        <w:rPr>
          <w:rFonts w:hAnsi="宋体" w:cs="宋体"/>
          <w:b/>
          <w:color w:val="000000"/>
        </w:rPr>
      </w:pPr>
    </w:p>
    <w:p>
      <w:pPr>
        <w:snapToGrid w:val="0"/>
        <w:spacing w:line="360" w:lineRule="auto"/>
        <w:ind w:firstLine="300"/>
        <w:rPr>
          <w:rFonts w:hAnsi="宋体" w:cs="宋体"/>
          <w:color w:val="000000"/>
        </w:rPr>
      </w:pPr>
      <w:r>
        <w:rPr>
          <w:rFonts w:hint="eastAsia" w:hAnsi="宋体" w:cs="宋体"/>
          <w:b/>
          <w:color w:val="000000"/>
        </w:rPr>
        <w:t>1</w:t>
      </w:r>
      <w:r>
        <w:rPr>
          <w:rFonts w:hAnsi="宋体" w:cs="宋体"/>
          <w:b/>
          <w:color w:val="000000"/>
        </w:rPr>
        <w:t>4</w:t>
      </w:r>
      <w:r>
        <w:rPr>
          <w:rFonts w:hint="eastAsia" w:hAnsi="宋体" w:cs="宋体"/>
          <w:b/>
          <w:color w:val="000000"/>
        </w:rPr>
        <w:t>、</w:t>
      </w:r>
      <w:r>
        <w:rPr>
          <w:rFonts w:hint="eastAsia" w:hAnsi="宋体" w:cs="宋体"/>
          <w:color w:val="000000"/>
        </w:rPr>
        <w:t>鉴于买方将按照本合同向卖方支付款项，卖方在此保证全部按照合同的规定向买方提供服务并修补缺陷。</w:t>
      </w:r>
    </w:p>
    <w:p>
      <w:pPr>
        <w:snapToGrid w:val="0"/>
        <w:spacing w:line="360" w:lineRule="auto"/>
        <w:ind w:firstLine="300"/>
        <w:rPr>
          <w:rFonts w:hAnsi="宋体" w:cs="宋体"/>
          <w:b/>
          <w:color w:val="000000"/>
        </w:rPr>
      </w:pPr>
      <w:r>
        <w:rPr>
          <w:rFonts w:hint="eastAsia" w:hAnsi="宋体" w:cs="宋体"/>
          <w:color w:val="000000"/>
        </w:rPr>
        <w:t>鉴于卖方将按本合同规定提供服务并修补缺陷，买方在此保证按照合同规定的时间和方式向买方支付合同价或其它按合同应支付的金额。</w:t>
      </w:r>
    </w:p>
    <w:p>
      <w:pPr>
        <w:snapToGrid w:val="0"/>
        <w:spacing w:line="360" w:lineRule="auto"/>
        <w:ind w:firstLine="300"/>
        <w:rPr>
          <w:rFonts w:hAnsi="宋体" w:cs="宋体"/>
          <w:b/>
          <w:color w:val="000000"/>
        </w:rPr>
      </w:pPr>
      <w:r>
        <w:rPr>
          <w:rFonts w:hint="eastAsia" w:hAnsi="宋体" w:cs="宋体"/>
          <w:b/>
          <w:color w:val="000000"/>
        </w:rPr>
        <w:t>1</w:t>
      </w:r>
      <w:r>
        <w:rPr>
          <w:rFonts w:hAnsi="宋体" w:cs="宋体"/>
          <w:b/>
          <w:color w:val="000000"/>
        </w:rPr>
        <w:t>5</w:t>
      </w:r>
      <w:r>
        <w:rPr>
          <w:rFonts w:hint="eastAsia" w:hAnsi="宋体" w:cs="宋体"/>
          <w:b/>
          <w:color w:val="000000"/>
        </w:rPr>
        <w:t>、其他约定事项：</w:t>
      </w:r>
    </w:p>
    <w:p>
      <w:pPr>
        <w:snapToGrid w:val="0"/>
        <w:spacing w:line="360" w:lineRule="auto"/>
        <w:ind w:firstLine="300"/>
        <w:rPr>
          <w:rFonts w:hAnsi="宋体" w:cs="宋体"/>
          <w:b/>
          <w:color w:val="000000"/>
        </w:rPr>
      </w:pPr>
    </w:p>
    <w:p>
      <w:pPr>
        <w:snapToGrid w:val="0"/>
        <w:spacing w:line="360" w:lineRule="auto"/>
        <w:ind w:firstLine="300"/>
        <w:rPr>
          <w:rFonts w:hAnsi="宋体" w:cs="宋体"/>
          <w:b/>
          <w:color w:val="000000"/>
          <w:lang w:val="zh-CN"/>
        </w:rPr>
      </w:pPr>
      <w:r>
        <w:rPr>
          <w:rFonts w:hint="eastAsia" w:hAnsi="宋体" w:cs="宋体"/>
          <w:b/>
          <w:color w:val="000000"/>
          <w:lang w:val="zh-CN"/>
        </w:rPr>
        <w:t>1</w:t>
      </w:r>
      <w:r>
        <w:rPr>
          <w:rFonts w:hAnsi="宋体" w:cs="宋体"/>
          <w:b/>
          <w:color w:val="000000"/>
          <w:lang w:val="zh-CN"/>
        </w:rPr>
        <w:t>6</w:t>
      </w:r>
      <w:r>
        <w:rPr>
          <w:rFonts w:hint="eastAsia" w:hAnsi="宋体" w:cs="宋体"/>
          <w:b/>
          <w:color w:val="000000"/>
          <w:lang w:val="zh-CN"/>
        </w:rPr>
        <w:t>、本合同未尽事宜，遵照《中华人民共和国民法典》有关条文执行。</w:t>
      </w:r>
    </w:p>
    <w:p>
      <w:pPr>
        <w:snapToGrid w:val="0"/>
        <w:spacing w:line="360" w:lineRule="auto"/>
        <w:ind w:firstLine="300"/>
        <w:rPr>
          <w:rFonts w:hAnsi="宋体" w:cs="宋体"/>
          <w:color w:val="000000"/>
          <w:lang w:val="zh-CN"/>
        </w:rPr>
      </w:pPr>
      <w:r>
        <w:rPr>
          <w:rFonts w:hint="eastAsia" w:hAnsi="宋体" w:cs="宋体"/>
          <w:b/>
          <w:color w:val="000000"/>
          <w:lang w:val="zh-CN"/>
        </w:rPr>
        <w:t>1</w:t>
      </w:r>
      <w:r>
        <w:rPr>
          <w:rFonts w:hAnsi="宋体" w:cs="宋体"/>
          <w:b/>
          <w:color w:val="000000"/>
          <w:lang w:val="zh-CN"/>
        </w:rPr>
        <w:t>7</w:t>
      </w:r>
      <w:r>
        <w:rPr>
          <w:rFonts w:hint="eastAsia" w:hAnsi="宋体" w:cs="宋体"/>
          <w:b/>
          <w:color w:val="000000"/>
          <w:lang w:val="zh-CN"/>
        </w:rPr>
        <w:t>、</w:t>
      </w:r>
      <w:r>
        <w:rPr>
          <w:rFonts w:hint="eastAsia" w:hAnsi="宋体" w:cs="宋体"/>
          <w:color w:val="000000"/>
          <w:lang w:val="zh-CN"/>
        </w:rPr>
        <w:t>合同经双方授权代表签署，买卖双方加盖印章之后生效。</w:t>
      </w:r>
    </w:p>
    <w:p>
      <w:pPr>
        <w:snapToGrid w:val="0"/>
        <w:spacing w:line="360" w:lineRule="auto"/>
        <w:ind w:firstLine="300"/>
        <w:rPr>
          <w:rFonts w:hAnsi="宋体" w:cs="宋体"/>
          <w:color w:val="000000"/>
          <w:lang w:val="zh-CN"/>
        </w:rPr>
      </w:pPr>
      <w:r>
        <w:rPr>
          <w:rFonts w:hint="eastAsia" w:hAnsi="宋体" w:cs="宋体"/>
          <w:b/>
          <w:color w:val="000000"/>
          <w:lang w:val="zh-CN"/>
        </w:rPr>
        <w:t>1</w:t>
      </w:r>
      <w:r>
        <w:rPr>
          <w:rFonts w:hAnsi="宋体" w:cs="宋体"/>
          <w:b/>
          <w:color w:val="000000"/>
          <w:lang w:val="zh-CN"/>
        </w:rPr>
        <w:t>8</w:t>
      </w:r>
      <w:r>
        <w:rPr>
          <w:rFonts w:hint="eastAsia" w:hAnsi="宋体" w:cs="宋体"/>
          <w:b/>
          <w:color w:val="000000"/>
          <w:lang w:val="zh-CN"/>
        </w:rPr>
        <w:t>、</w:t>
      </w:r>
      <w:r>
        <w:rPr>
          <w:rFonts w:hint="eastAsia" w:hAnsi="宋体" w:cs="宋体"/>
          <w:color w:val="000000"/>
          <w:lang w:val="zh-CN"/>
        </w:rPr>
        <w:t>本合同一式</w:t>
      </w:r>
      <w:r>
        <w:rPr>
          <w:rFonts w:hint="eastAsia" w:hAnsi="宋体" w:cs="宋体"/>
          <w:color w:val="000000"/>
          <w:u w:val="single"/>
          <w:lang w:val="zh-CN"/>
        </w:rPr>
        <w:t xml:space="preserve">    </w:t>
      </w:r>
      <w:r>
        <w:rPr>
          <w:rFonts w:hint="eastAsia" w:hAnsi="宋体" w:cs="宋体"/>
          <w:color w:val="000000"/>
          <w:lang w:val="zh-CN"/>
        </w:rPr>
        <w:t>份，双方各执</w:t>
      </w:r>
      <w:r>
        <w:rPr>
          <w:rFonts w:hint="eastAsia" w:hAnsi="宋体" w:cs="宋体"/>
          <w:color w:val="000000"/>
          <w:u w:val="single"/>
          <w:lang w:val="zh-CN"/>
        </w:rPr>
        <w:t xml:space="preserve">    </w:t>
      </w:r>
      <w:r>
        <w:rPr>
          <w:rFonts w:hint="eastAsia" w:hAnsi="宋体" w:cs="宋体"/>
          <w:color w:val="000000"/>
          <w:lang w:val="zh-CN"/>
        </w:rPr>
        <w:t>份。</w:t>
      </w:r>
    </w:p>
    <w:p>
      <w:pPr>
        <w:snapToGrid w:val="0"/>
        <w:spacing w:line="360" w:lineRule="auto"/>
        <w:ind w:firstLine="300"/>
        <w:rPr>
          <w:rFonts w:hAnsi="宋体" w:cs="宋体"/>
          <w:color w:val="000000"/>
          <w:lang w:val="zh-CN"/>
        </w:rPr>
      </w:pPr>
    </w:p>
    <w:p>
      <w:pPr>
        <w:snapToGrid w:val="0"/>
        <w:spacing w:line="360" w:lineRule="auto"/>
        <w:ind w:firstLine="300"/>
        <w:rPr>
          <w:rFonts w:hAnsi="宋体" w:cs="宋体"/>
          <w:color w:val="000000"/>
          <w:lang w:val="zh-CN"/>
        </w:rPr>
      </w:pPr>
      <w:r>
        <w:rPr>
          <w:rFonts w:hint="eastAsia" w:hAnsi="宋体" w:cs="宋体"/>
          <w:color w:val="000000"/>
        </w:rPr>
        <w:t>甲</w:t>
      </w:r>
      <w:r>
        <w:rPr>
          <w:rFonts w:hint="eastAsia" w:hAnsi="宋体" w:cs="宋体"/>
          <w:color w:val="000000"/>
          <w:lang w:val="zh-CN"/>
        </w:rPr>
        <w:t xml:space="preserve">  方：                          </w:t>
      </w:r>
      <w:r>
        <w:rPr>
          <w:rFonts w:hint="eastAsia" w:hAnsi="宋体" w:cs="宋体"/>
          <w:color w:val="000000"/>
        </w:rPr>
        <w:t>乙</w:t>
      </w:r>
      <w:r>
        <w:rPr>
          <w:rFonts w:hint="eastAsia" w:hAnsi="宋体" w:cs="宋体"/>
          <w:color w:val="000000"/>
          <w:lang w:val="zh-CN"/>
        </w:rPr>
        <w:t xml:space="preserve">  方：              </w:t>
      </w:r>
    </w:p>
    <w:p>
      <w:pPr>
        <w:snapToGrid w:val="0"/>
        <w:spacing w:line="360" w:lineRule="auto"/>
        <w:ind w:firstLine="300"/>
        <w:rPr>
          <w:rFonts w:hAnsi="宋体" w:cs="宋体"/>
          <w:color w:val="000000"/>
          <w:lang w:val="zh-CN"/>
        </w:rPr>
      </w:pPr>
      <w:r>
        <w:rPr>
          <w:rFonts w:hint="eastAsia" w:hAnsi="宋体" w:cs="宋体"/>
          <w:color w:val="000000"/>
          <w:lang w:val="zh-CN"/>
        </w:rPr>
        <w:t>名  称：（印章）                   名  称：（印章）</w:t>
      </w:r>
    </w:p>
    <w:p>
      <w:pPr>
        <w:snapToGrid w:val="0"/>
        <w:spacing w:line="360" w:lineRule="auto"/>
        <w:ind w:firstLine="300"/>
        <w:rPr>
          <w:rFonts w:hAnsi="宋体" w:cs="宋体"/>
          <w:color w:val="000000"/>
          <w:lang w:val="zh-CN"/>
        </w:rPr>
      </w:pPr>
      <w:r>
        <w:rPr>
          <w:rFonts w:hint="eastAsia" w:hAnsi="宋体" w:cs="宋体"/>
          <w:color w:val="000000"/>
          <w:lang w:val="zh-CN"/>
        </w:rPr>
        <w:t xml:space="preserve">法人代表（签字）：                 法人代表（签字）： </w:t>
      </w:r>
    </w:p>
    <w:p>
      <w:pPr>
        <w:snapToGrid w:val="0"/>
        <w:spacing w:line="360" w:lineRule="auto"/>
        <w:ind w:firstLine="300"/>
        <w:rPr>
          <w:rFonts w:hAnsi="宋体" w:cs="宋体"/>
          <w:color w:val="000000"/>
          <w:lang w:val="zh-CN"/>
        </w:rPr>
      </w:pPr>
      <w:r>
        <w:rPr>
          <w:rFonts w:hint="eastAsia" w:hAnsi="宋体" w:cs="宋体"/>
          <w:color w:val="000000"/>
          <w:lang w:val="zh-CN"/>
        </w:rPr>
        <w:t>地    址：                        地    址：</w:t>
      </w:r>
    </w:p>
    <w:p>
      <w:pPr>
        <w:snapToGrid w:val="0"/>
        <w:spacing w:line="360" w:lineRule="auto"/>
        <w:ind w:firstLine="300"/>
        <w:rPr>
          <w:rFonts w:hAnsi="宋体" w:cs="宋体"/>
          <w:color w:val="000000"/>
          <w:lang w:val="zh-CN"/>
        </w:rPr>
      </w:pPr>
      <w:r>
        <w:rPr>
          <w:rFonts w:hint="eastAsia" w:hAnsi="宋体" w:cs="宋体"/>
          <w:color w:val="000000"/>
          <w:lang w:val="zh-CN"/>
        </w:rPr>
        <w:t>邮政编码：                        邮政编码：</w:t>
      </w:r>
    </w:p>
    <w:p>
      <w:pPr>
        <w:snapToGrid w:val="0"/>
        <w:spacing w:line="360" w:lineRule="auto"/>
        <w:ind w:firstLine="300"/>
        <w:rPr>
          <w:rFonts w:hAnsi="宋体" w:cs="宋体"/>
          <w:color w:val="000000"/>
          <w:lang w:val="zh-CN"/>
        </w:rPr>
      </w:pPr>
      <w:r>
        <w:rPr>
          <w:rFonts w:hint="eastAsia" w:hAnsi="宋体" w:cs="宋体"/>
          <w:color w:val="000000"/>
          <w:lang w:val="zh-CN"/>
        </w:rPr>
        <w:t xml:space="preserve">电    话：                        电    话： </w:t>
      </w:r>
    </w:p>
    <w:p>
      <w:pPr>
        <w:snapToGrid w:val="0"/>
        <w:spacing w:line="360" w:lineRule="auto"/>
        <w:ind w:firstLine="300"/>
        <w:rPr>
          <w:rFonts w:hAnsi="宋体" w:cs="宋体"/>
          <w:color w:val="000000"/>
          <w:lang w:val="zh-CN"/>
        </w:rPr>
      </w:pPr>
      <w:r>
        <w:rPr>
          <w:rFonts w:hint="eastAsia" w:hAnsi="宋体" w:cs="宋体"/>
          <w:color w:val="000000"/>
          <w:lang w:val="zh-CN"/>
        </w:rPr>
        <w:t>传    真：                        传    真：</w:t>
      </w:r>
    </w:p>
    <w:p>
      <w:pPr>
        <w:snapToGrid w:val="0"/>
        <w:spacing w:line="360" w:lineRule="auto"/>
        <w:ind w:firstLine="300"/>
        <w:rPr>
          <w:rFonts w:hAnsi="宋体" w:cs="宋体"/>
          <w:color w:val="000000"/>
          <w:lang w:val="zh-CN"/>
        </w:rPr>
      </w:pPr>
      <w:r>
        <w:rPr>
          <w:rFonts w:hint="eastAsia" w:hAnsi="宋体" w:cs="宋体"/>
          <w:color w:val="000000"/>
          <w:lang w:val="zh-CN"/>
        </w:rPr>
        <w:t xml:space="preserve">开户银行：                        开户银行：       </w:t>
      </w:r>
    </w:p>
    <w:p>
      <w:pPr>
        <w:snapToGrid w:val="0"/>
        <w:spacing w:line="360" w:lineRule="auto"/>
        <w:ind w:firstLine="300"/>
        <w:rPr>
          <w:rFonts w:hAnsi="宋体" w:cs="宋体"/>
          <w:color w:val="000000"/>
          <w:lang w:val="zh-CN"/>
        </w:rPr>
      </w:pPr>
      <w:r>
        <w:rPr>
          <w:rFonts w:hint="eastAsia" w:hAnsi="宋体" w:cs="宋体"/>
          <w:color w:val="000000"/>
          <w:lang w:val="zh-CN"/>
        </w:rPr>
        <w:t>帐    号：                        帐    号：</w:t>
      </w:r>
    </w:p>
    <w:p>
      <w:pPr>
        <w:snapToGrid w:val="0"/>
        <w:spacing w:line="360" w:lineRule="auto"/>
        <w:ind w:firstLine="300"/>
        <w:rPr>
          <w:rFonts w:hAnsi="宋体" w:cs="宋体"/>
          <w:color w:val="000000"/>
        </w:rPr>
      </w:pPr>
    </w:p>
    <w:p>
      <w:pPr>
        <w:snapToGrid w:val="0"/>
        <w:rPr>
          <w:rFonts w:hAnsi="宋体" w:cs="宋体"/>
          <w:color w:val="000000"/>
        </w:rPr>
      </w:pPr>
    </w:p>
    <w:p>
      <w:pPr>
        <w:spacing w:line="460" w:lineRule="exact"/>
        <w:ind w:right="480" w:firstLine="4410"/>
        <w:rPr>
          <w:rFonts w:ascii="宋体" w:hAnsi="宋体" w:cs="宋体"/>
          <w:kern w:val="1"/>
          <w:szCs w:val="21"/>
        </w:rPr>
      </w:pPr>
    </w:p>
    <w:p>
      <w:pPr>
        <w:spacing w:line="360" w:lineRule="auto"/>
        <w:rPr>
          <w:rFonts w:ascii="宋体" w:hAnsi="宋体" w:cs="宋体"/>
          <w:sz w:val="24"/>
        </w:rPr>
      </w:pPr>
      <w:r>
        <w:rPr>
          <w:rFonts w:hint="eastAsia" w:ascii="宋体" w:hAnsi="宋体"/>
          <w:sz w:val="32"/>
          <w:szCs w:val="32"/>
        </w:rPr>
        <w:br w:type="page"/>
      </w:r>
    </w:p>
    <w:p>
      <w:pPr>
        <w:widowControl/>
        <w:jc w:val="left"/>
        <w:rPr>
          <w:rFonts w:ascii="宋体" w:hAnsi="宋体" w:cs="宋体"/>
        </w:rPr>
      </w:pPr>
    </w:p>
    <w:p>
      <w:pPr>
        <w:pStyle w:val="4"/>
        <w:rPr>
          <w:rFonts w:ascii="宋体" w:hAnsi="宋体" w:cs="宋体"/>
        </w:rPr>
      </w:pPr>
      <w:bookmarkStart w:id="5" w:name="_Toc1823"/>
      <w:r>
        <w:rPr>
          <w:rFonts w:hint="eastAsia" w:ascii="宋体" w:hAnsi="宋体" w:cs="宋体"/>
        </w:rPr>
        <w:t>第六章  响应文件格式</w:t>
      </w:r>
      <w:bookmarkEnd w:id="5"/>
    </w:p>
    <w:p>
      <w:pPr>
        <w:rPr>
          <w:rFonts w:ascii="宋体" w:hAnsi="宋体" w:cs="宋体"/>
        </w:rPr>
      </w:pPr>
    </w:p>
    <w:p>
      <w:pPr>
        <w:rPr>
          <w:rFonts w:ascii="宋体" w:hAnsi="宋体" w:cs="宋体"/>
        </w:rPr>
      </w:pPr>
      <w:r>
        <w:rPr>
          <w:rFonts w:hint="eastAsia" w:ascii="宋体" w:hAnsi="宋体" w:cs="宋体"/>
        </w:rPr>
        <w:t>一、电子备份磋商响应文件外包装封面格式：</w:t>
      </w: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jc w:val="center"/>
        <w:rPr>
          <w:rFonts w:ascii="宋体" w:hAnsi="宋体" w:cs="宋体"/>
          <w:sz w:val="44"/>
          <w:szCs w:val="44"/>
        </w:rPr>
      </w:pPr>
      <w:r>
        <w:rPr>
          <w:rFonts w:hint="eastAsia" w:ascii="宋体" w:hAnsi="宋体" w:cs="宋体"/>
          <w:sz w:val="44"/>
          <w:szCs w:val="44"/>
        </w:rPr>
        <w:t>电子备份磋商响应文件</w:t>
      </w:r>
    </w:p>
    <w:p>
      <w:pPr>
        <w:rPr>
          <w:rFonts w:ascii="宋体" w:hAnsi="宋体" w:cs="宋体"/>
          <w:szCs w:val="21"/>
        </w:rPr>
      </w:pPr>
      <w:r>
        <w:rPr>
          <w:rFonts w:hint="eastAsia" w:ascii="宋体" w:hAnsi="宋体" w:cs="宋体"/>
        </w:rPr>
        <w:t xml:space="preserve"> </w:t>
      </w:r>
    </w:p>
    <w:p>
      <w:pPr>
        <w:spacing w:line="360" w:lineRule="auto"/>
        <w:rPr>
          <w:rFonts w:ascii="宋体" w:hAnsi="宋体" w:cs="宋体"/>
        </w:rPr>
      </w:pPr>
      <w:r>
        <w:rPr>
          <w:rFonts w:hint="eastAsia" w:ascii="宋体" w:hAnsi="宋体" w:cs="宋体"/>
        </w:rPr>
        <w:t xml:space="preserve">项目名称：                      </w:t>
      </w:r>
    </w:p>
    <w:p>
      <w:pPr>
        <w:spacing w:line="360" w:lineRule="auto"/>
        <w:rPr>
          <w:rFonts w:ascii="宋体" w:hAnsi="宋体" w:cs="宋体"/>
        </w:rPr>
      </w:pPr>
      <w:r>
        <w:rPr>
          <w:rFonts w:hint="eastAsia" w:ascii="宋体" w:hAnsi="宋体" w:cs="宋体"/>
        </w:rPr>
        <w:t xml:space="preserve">项目编号： </w:t>
      </w:r>
    </w:p>
    <w:p>
      <w:pPr>
        <w:spacing w:line="360" w:lineRule="auto"/>
        <w:rPr>
          <w:rFonts w:ascii="宋体" w:hAnsi="宋体" w:cs="宋体"/>
        </w:rPr>
      </w:pPr>
      <w:r>
        <w:rPr>
          <w:rFonts w:hint="eastAsia" w:ascii="宋体" w:hAnsi="宋体" w:cs="宋体"/>
        </w:rPr>
        <w:t>供应商名称：</w:t>
      </w:r>
    </w:p>
    <w:p>
      <w:pPr>
        <w:spacing w:line="360" w:lineRule="auto"/>
        <w:rPr>
          <w:rFonts w:ascii="宋体" w:hAnsi="宋体" w:cs="宋体"/>
        </w:rPr>
      </w:pPr>
      <w:r>
        <w:rPr>
          <w:rFonts w:hint="eastAsia" w:ascii="宋体" w:hAnsi="宋体" w:cs="宋体"/>
        </w:rPr>
        <w:t>供应商地址：</w:t>
      </w:r>
    </w:p>
    <w:p>
      <w:pPr>
        <w:spacing w:line="360" w:lineRule="auto"/>
        <w:ind w:firstLine="2310" w:firstLineChars="1100"/>
        <w:rPr>
          <w:rFonts w:ascii="宋体" w:hAnsi="宋体" w:cs="宋体"/>
        </w:rPr>
      </w:pPr>
      <w:r>
        <w:rPr>
          <w:rFonts w:hint="eastAsia" w:ascii="宋体" w:hAnsi="宋体" w:cs="宋体"/>
        </w:rPr>
        <w:t>在  年  月  日  时  分之前不得启封</w:t>
      </w:r>
    </w:p>
    <w:p>
      <w:pPr>
        <w:spacing w:line="360" w:lineRule="auto"/>
        <w:rPr>
          <w:rFonts w:ascii="宋体" w:hAnsi="宋体" w:cs="宋体"/>
        </w:rPr>
      </w:pPr>
      <w:r>
        <w:rPr>
          <w:rFonts w:hint="eastAsia" w:ascii="宋体" w:hAnsi="宋体" w:cs="宋体"/>
        </w:rPr>
        <w:t xml:space="preserve">      </w:t>
      </w:r>
    </w:p>
    <w:p>
      <w:pPr>
        <w:spacing w:line="360" w:lineRule="auto"/>
        <w:rPr>
          <w:rFonts w:ascii="宋体" w:hAnsi="宋体" w:cs="宋体"/>
        </w:rPr>
      </w:pPr>
      <w:r>
        <w:rPr>
          <w:rFonts w:hint="eastAsia" w:ascii="宋体" w:hAnsi="宋体" w:cs="宋体"/>
        </w:rPr>
        <w:t xml:space="preserve">                                                    （供应商公章）</w:t>
      </w:r>
    </w:p>
    <w:p>
      <w:pPr>
        <w:spacing w:line="360" w:lineRule="auto"/>
        <w:rPr>
          <w:rFonts w:ascii="宋体" w:hAnsi="宋体" w:cs="宋体"/>
        </w:rPr>
      </w:pPr>
      <w:r>
        <w:rPr>
          <w:rFonts w:hint="eastAsia" w:ascii="宋体" w:hAnsi="宋体" w:cs="宋体"/>
        </w:rPr>
        <w:t xml:space="preserve">                                                      年  月  日</w:t>
      </w:r>
    </w:p>
    <w:p>
      <w:pPr>
        <w:rPr>
          <w:rFonts w:ascii="宋体" w:hAnsi="宋体" w:cs="宋体"/>
        </w:rPr>
      </w:pPr>
      <w:r>
        <w:rPr>
          <w:rFonts w:hint="eastAsia" w:ascii="宋体" w:hAnsi="宋体" w:cs="宋体"/>
        </w:rPr>
        <w:t xml:space="preserve"> </w:t>
      </w:r>
    </w:p>
    <w:p>
      <w:pPr>
        <w:pStyle w:val="44"/>
        <w:rPr>
          <w:rFonts w:ascii="宋体" w:hAnsi="宋体" w:cs="宋体"/>
        </w:rPr>
      </w:pPr>
    </w:p>
    <w:p>
      <w:pPr>
        <w:rPr>
          <w:rFonts w:ascii="宋体" w:hAnsi="宋体" w:cs="宋体"/>
        </w:rPr>
      </w:pPr>
    </w:p>
    <w:p>
      <w:pPr>
        <w:pStyle w:val="44"/>
      </w:pPr>
    </w:p>
    <w:p>
      <w:pPr>
        <w:rPr>
          <w:rFonts w:ascii="宋体" w:hAnsi="宋体" w:cs="宋体"/>
        </w:rPr>
      </w:pPr>
    </w:p>
    <w:p>
      <w:pPr>
        <w:snapToGrid w:val="0"/>
        <w:spacing w:line="360" w:lineRule="auto"/>
        <w:ind w:firstLine="413" w:firstLineChars="196"/>
        <w:jc w:val="left"/>
        <w:rPr>
          <w:rFonts w:ascii="宋体" w:hAnsi="宋体" w:cs="宋体"/>
          <w:b/>
          <w:szCs w:val="21"/>
        </w:rPr>
      </w:pPr>
    </w:p>
    <w:p>
      <w:pPr>
        <w:snapToGrid w:val="0"/>
        <w:spacing w:line="360" w:lineRule="auto"/>
        <w:ind w:firstLine="413" w:firstLineChars="196"/>
        <w:jc w:val="left"/>
        <w:rPr>
          <w:rFonts w:ascii="宋体" w:hAnsi="宋体" w:cs="宋体"/>
          <w:b/>
          <w:szCs w:val="21"/>
        </w:rPr>
      </w:pPr>
    </w:p>
    <w:p>
      <w:pPr>
        <w:pStyle w:val="46"/>
        <w:ind w:firstLine="422"/>
        <w:rPr>
          <w:rFonts w:ascii="宋体" w:hAnsi="宋体" w:cs="宋体"/>
          <w:b/>
          <w:szCs w:val="21"/>
        </w:rPr>
      </w:pPr>
    </w:p>
    <w:p>
      <w:pPr>
        <w:pStyle w:val="46"/>
        <w:ind w:firstLine="422"/>
        <w:rPr>
          <w:rFonts w:ascii="宋体" w:hAnsi="宋体" w:cs="宋体"/>
          <w:b/>
          <w:szCs w:val="21"/>
        </w:rPr>
      </w:pPr>
    </w:p>
    <w:p>
      <w:pPr>
        <w:pStyle w:val="46"/>
        <w:ind w:firstLine="422"/>
        <w:rPr>
          <w:rFonts w:ascii="宋体" w:hAnsi="宋体" w:cs="宋体"/>
          <w:b/>
          <w:szCs w:val="21"/>
        </w:rPr>
      </w:pPr>
    </w:p>
    <w:p>
      <w:pPr>
        <w:snapToGrid w:val="0"/>
        <w:spacing w:line="360" w:lineRule="auto"/>
        <w:ind w:firstLine="413" w:firstLineChars="196"/>
        <w:jc w:val="left"/>
        <w:rPr>
          <w:rFonts w:ascii="宋体" w:hAnsi="宋体" w:cs="宋体"/>
          <w:b/>
          <w:szCs w:val="21"/>
        </w:rPr>
      </w:pPr>
    </w:p>
    <w:p>
      <w:pPr>
        <w:snapToGrid w:val="0"/>
        <w:spacing w:line="360" w:lineRule="auto"/>
        <w:ind w:firstLine="413" w:firstLineChars="196"/>
        <w:jc w:val="left"/>
        <w:rPr>
          <w:rFonts w:ascii="宋体" w:hAnsi="宋体" w:cs="宋体"/>
          <w:b/>
          <w:szCs w:val="21"/>
        </w:rPr>
        <w:sectPr>
          <w:pgSz w:w="11906" w:h="16838"/>
          <w:pgMar w:top="1474" w:right="1797" w:bottom="1247" w:left="1797" w:header="851" w:footer="851" w:gutter="0"/>
          <w:cols w:space="720" w:num="1"/>
          <w:titlePg/>
          <w:docGrid w:linePitch="312" w:charSpace="0"/>
        </w:sectPr>
      </w:pPr>
    </w:p>
    <w:p>
      <w:pPr>
        <w:tabs>
          <w:tab w:val="center" w:pos="4156"/>
        </w:tabs>
        <w:snapToGrid w:val="0"/>
        <w:spacing w:line="360" w:lineRule="auto"/>
        <w:ind w:firstLine="413" w:firstLineChars="196"/>
        <w:jc w:val="left"/>
        <w:rPr>
          <w:rFonts w:ascii="宋体" w:hAnsi="宋体" w:cs="宋体"/>
          <w:b/>
          <w:szCs w:val="21"/>
        </w:rPr>
      </w:pPr>
      <w:r>
        <w:rPr>
          <w:rFonts w:hint="eastAsia" w:ascii="宋体" w:hAnsi="宋体" w:cs="宋体"/>
          <w:b/>
          <w:szCs w:val="21"/>
        </w:rPr>
        <w:t>1、资格审核文件包括：</w:t>
      </w:r>
      <w:r>
        <w:rPr>
          <w:rFonts w:hint="eastAsia" w:ascii="宋体" w:hAnsi="宋体" w:cs="宋体"/>
          <w:b/>
          <w:szCs w:val="21"/>
        </w:rPr>
        <w:tab/>
      </w:r>
    </w:p>
    <w:p>
      <w:pPr>
        <w:snapToGrid w:val="0"/>
        <w:spacing w:line="360" w:lineRule="auto"/>
        <w:ind w:firstLine="420" w:firstLineChars="200"/>
        <w:jc w:val="left"/>
        <w:rPr>
          <w:rFonts w:ascii="宋体" w:hAnsi="宋体" w:cs="宋体"/>
          <w:szCs w:val="21"/>
        </w:rPr>
      </w:pPr>
      <w:r>
        <w:rPr>
          <w:rFonts w:hint="eastAsia" w:ascii="宋体" w:hAnsi="宋体" w:cs="宋体"/>
          <w:szCs w:val="21"/>
        </w:rPr>
        <w:t>1.1、资格条件自查表（格式附后）</w:t>
      </w:r>
    </w:p>
    <w:p>
      <w:pPr>
        <w:spacing w:line="360" w:lineRule="auto"/>
        <w:ind w:firstLine="420" w:firstLineChars="200"/>
        <w:rPr>
          <w:rFonts w:ascii="宋体" w:hAnsi="宋体" w:cs="宋体"/>
        </w:rPr>
      </w:pPr>
      <w:r>
        <w:rPr>
          <w:rFonts w:hint="eastAsia" w:ascii="宋体" w:hAnsi="宋体" w:cs="宋体"/>
          <w:szCs w:val="21"/>
        </w:rPr>
        <w:t>1</w:t>
      </w:r>
      <w:r>
        <w:rPr>
          <w:rFonts w:hint="eastAsia" w:ascii="宋体" w:hAnsi="宋体" w:cs="宋体"/>
        </w:rPr>
        <w:t>.2、有效的营业执照（或事业法人登记证）、其他组织（个体工商户）的营业执照或者民办非企业单位登记证书复印件并加盖公章，供应商如果有名称变更的，应提供由行政主管部门出具的变更证明文件；</w:t>
      </w:r>
    </w:p>
    <w:p>
      <w:pPr>
        <w:spacing w:line="360" w:lineRule="auto"/>
        <w:ind w:firstLine="420" w:firstLineChars="200"/>
        <w:rPr>
          <w:rFonts w:ascii="宋体" w:hAnsi="宋体" w:cs="宋体"/>
        </w:rPr>
      </w:pPr>
      <w:r>
        <w:rPr>
          <w:rFonts w:hint="eastAsia" w:ascii="宋体" w:hAnsi="宋体" w:cs="宋体"/>
        </w:rPr>
        <w:t>1.3、落实政府采购政策需满足的资格要求所对应的证明材料：本项目专门面向中小企业采购（监狱企业及残疾人福利性单位视同小型、微型企业）</w:t>
      </w:r>
    </w:p>
    <w:p>
      <w:pPr>
        <w:spacing w:line="360" w:lineRule="auto"/>
        <w:ind w:firstLine="420" w:firstLineChars="200"/>
        <w:rPr>
          <w:rFonts w:ascii="宋体" w:hAnsi="宋体" w:cs="宋体"/>
        </w:rPr>
      </w:pPr>
      <w:r>
        <w:rPr>
          <w:rFonts w:hint="eastAsia" w:ascii="宋体" w:hAnsi="宋体" w:cs="宋体"/>
        </w:rPr>
        <w:t>1.3.1、中小企业声明函（格式附后）；</w:t>
      </w:r>
    </w:p>
    <w:p>
      <w:pPr>
        <w:spacing w:line="360" w:lineRule="auto"/>
        <w:ind w:firstLine="420" w:firstLineChars="200"/>
        <w:rPr>
          <w:rFonts w:ascii="宋体" w:hAnsi="宋体" w:cs="宋体"/>
        </w:rPr>
      </w:pPr>
      <w:r>
        <w:rPr>
          <w:rFonts w:hint="eastAsia" w:ascii="宋体" w:hAnsi="宋体" w:cs="宋体"/>
        </w:rPr>
        <w:t>1.3.2、供应商为监狱企业的证明文件：省级以上监狱管理局、戒毒管理局（含新疆生产建设兵团）出具（如是，请提供）；</w:t>
      </w:r>
    </w:p>
    <w:p>
      <w:pPr>
        <w:spacing w:line="360" w:lineRule="auto"/>
        <w:ind w:firstLine="420" w:firstLineChars="200"/>
        <w:rPr>
          <w:rFonts w:ascii="宋体" w:hAnsi="宋体" w:cs="宋体"/>
        </w:rPr>
      </w:pPr>
      <w:r>
        <w:rPr>
          <w:rFonts w:hint="eastAsia" w:ascii="宋体" w:hAnsi="宋体" w:cs="宋体"/>
        </w:rPr>
        <w:t>1.3.3、残疾人福利性单位声明函（如是，请提供，格式附后）。</w:t>
      </w:r>
    </w:p>
    <w:p>
      <w:pPr>
        <w:spacing w:line="360" w:lineRule="auto"/>
        <w:ind w:firstLine="420" w:firstLineChars="200"/>
        <w:rPr>
          <w:rFonts w:ascii="宋体" w:hAnsi="宋体" w:cs="宋体"/>
        </w:rPr>
      </w:pPr>
      <w:r>
        <w:rPr>
          <w:rFonts w:hint="eastAsia" w:ascii="宋体" w:hAnsi="宋体" w:cs="宋体"/>
        </w:rPr>
        <w:t>1.4、磋商声明书（格式见附件）。</w:t>
      </w:r>
    </w:p>
    <w:p>
      <w:pPr>
        <w:spacing w:line="360" w:lineRule="auto"/>
        <w:ind w:firstLine="420" w:firstLineChars="200"/>
        <w:rPr>
          <w:rFonts w:ascii="宋体" w:hAnsi="宋体" w:cs="宋体"/>
        </w:rPr>
      </w:pPr>
      <w:r>
        <w:rPr>
          <w:rFonts w:hint="eastAsia" w:ascii="宋体" w:hAnsi="宋体" w:cs="宋体"/>
        </w:rPr>
        <w:t>1.5、人力资源服务许可证复印件并加盖公章。</w:t>
      </w:r>
    </w:p>
    <w:p>
      <w:pPr>
        <w:spacing w:line="400" w:lineRule="exact"/>
        <w:ind w:firstLine="420" w:firstLineChars="200"/>
      </w:pPr>
    </w:p>
    <w:p>
      <w:pPr>
        <w:rPr>
          <w:rFonts w:ascii="宋体" w:hAnsi="宋体" w:cs="宋体"/>
          <w:color w:val="0000FF"/>
        </w:rPr>
      </w:pPr>
    </w:p>
    <w:p>
      <w:pPr>
        <w:pStyle w:val="63"/>
      </w:pPr>
    </w:p>
    <w:p>
      <w:pPr>
        <w:snapToGrid w:val="0"/>
        <w:spacing w:beforeLines="50" w:after="50"/>
        <w:jc w:val="center"/>
        <w:outlineLvl w:val="1"/>
        <w:rPr>
          <w:rFonts w:ascii="宋体" w:hAnsi="宋体" w:cs="宋体"/>
        </w:rPr>
      </w:pPr>
    </w:p>
    <w:p>
      <w:pPr>
        <w:snapToGrid w:val="0"/>
        <w:spacing w:beforeLines="50" w:after="50"/>
        <w:jc w:val="center"/>
        <w:outlineLvl w:val="1"/>
        <w:rPr>
          <w:rFonts w:ascii="宋体" w:hAnsi="宋体" w:cs="宋体"/>
        </w:rPr>
      </w:pPr>
    </w:p>
    <w:p>
      <w:pPr>
        <w:snapToGrid w:val="0"/>
        <w:spacing w:beforeLines="50" w:after="50"/>
        <w:jc w:val="center"/>
        <w:outlineLvl w:val="1"/>
        <w:rPr>
          <w:rFonts w:ascii="宋体" w:hAnsi="宋体" w:cs="宋体"/>
        </w:rPr>
      </w:pPr>
    </w:p>
    <w:p>
      <w:pPr>
        <w:snapToGrid w:val="0"/>
        <w:spacing w:beforeLines="50" w:after="50"/>
        <w:jc w:val="center"/>
        <w:outlineLvl w:val="1"/>
        <w:rPr>
          <w:rFonts w:ascii="宋体" w:hAnsi="宋体" w:cs="宋体"/>
        </w:rPr>
      </w:pPr>
    </w:p>
    <w:p>
      <w:pPr>
        <w:snapToGrid w:val="0"/>
        <w:spacing w:beforeLines="50" w:after="50"/>
        <w:jc w:val="center"/>
        <w:outlineLvl w:val="1"/>
        <w:rPr>
          <w:rFonts w:ascii="宋体" w:hAnsi="宋体" w:cs="宋体"/>
        </w:rPr>
      </w:pPr>
    </w:p>
    <w:p>
      <w:pPr>
        <w:snapToGrid w:val="0"/>
        <w:spacing w:beforeLines="50" w:after="50"/>
        <w:jc w:val="center"/>
        <w:outlineLvl w:val="1"/>
        <w:rPr>
          <w:rFonts w:ascii="宋体" w:hAnsi="宋体" w:cs="宋体"/>
        </w:rPr>
      </w:pPr>
    </w:p>
    <w:p>
      <w:pPr>
        <w:snapToGrid w:val="0"/>
        <w:spacing w:beforeLines="50" w:after="50"/>
        <w:jc w:val="center"/>
        <w:outlineLvl w:val="1"/>
        <w:rPr>
          <w:rFonts w:ascii="宋体" w:hAnsi="宋体" w:cs="宋体"/>
        </w:rPr>
      </w:pPr>
    </w:p>
    <w:p>
      <w:pPr>
        <w:snapToGrid w:val="0"/>
        <w:spacing w:beforeLines="50" w:after="50"/>
        <w:jc w:val="center"/>
        <w:outlineLvl w:val="1"/>
        <w:rPr>
          <w:rFonts w:ascii="宋体" w:hAnsi="宋体" w:cs="宋体"/>
        </w:rPr>
      </w:pPr>
    </w:p>
    <w:p>
      <w:pPr>
        <w:snapToGrid w:val="0"/>
        <w:spacing w:beforeLines="50" w:after="50"/>
        <w:jc w:val="center"/>
        <w:outlineLvl w:val="1"/>
        <w:rPr>
          <w:rFonts w:ascii="宋体" w:hAnsi="宋体" w:cs="宋体"/>
        </w:rPr>
      </w:pPr>
    </w:p>
    <w:p>
      <w:pPr>
        <w:snapToGrid w:val="0"/>
        <w:spacing w:beforeLines="50" w:after="50"/>
        <w:jc w:val="center"/>
        <w:outlineLvl w:val="1"/>
        <w:rPr>
          <w:rFonts w:ascii="宋体" w:hAnsi="宋体" w:cs="宋体"/>
        </w:rPr>
      </w:pPr>
    </w:p>
    <w:p>
      <w:pPr>
        <w:snapToGrid w:val="0"/>
        <w:spacing w:beforeLines="50" w:after="50"/>
        <w:jc w:val="center"/>
        <w:outlineLvl w:val="1"/>
        <w:rPr>
          <w:rFonts w:ascii="宋体" w:hAnsi="宋体" w:cs="宋体"/>
        </w:rPr>
      </w:pPr>
    </w:p>
    <w:p>
      <w:pPr>
        <w:snapToGrid w:val="0"/>
        <w:spacing w:beforeLines="50" w:after="50"/>
        <w:jc w:val="center"/>
        <w:outlineLvl w:val="1"/>
        <w:rPr>
          <w:rFonts w:ascii="宋体" w:hAnsi="宋体" w:cs="宋体"/>
        </w:rPr>
      </w:pPr>
    </w:p>
    <w:p>
      <w:pPr>
        <w:snapToGrid w:val="0"/>
        <w:spacing w:beforeLines="50" w:after="50"/>
        <w:jc w:val="center"/>
        <w:outlineLvl w:val="1"/>
        <w:rPr>
          <w:rFonts w:ascii="宋体" w:hAnsi="宋体" w:cs="宋体"/>
        </w:rPr>
      </w:pPr>
    </w:p>
    <w:p>
      <w:pPr>
        <w:snapToGrid w:val="0"/>
        <w:spacing w:beforeLines="50" w:after="50"/>
        <w:jc w:val="center"/>
        <w:outlineLvl w:val="1"/>
        <w:rPr>
          <w:rFonts w:ascii="宋体" w:hAnsi="宋体" w:cs="宋体"/>
        </w:rPr>
      </w:pPr>
    </w:p>
    <w:p>
      <w:pPr>
        <w:snapToGrid w:val="0"/>
        <w:spacing w:beforeLines="50" w:after="50"/>
        <w:jc w:val="center"/>
        <w:outlineLvl w:val="1"/>
        <w:rPr>
          <w:rFonts w:ascii="宋体" w:hAnsi="宋体" w:cs="宋体"/>
        </w:rPr>
      </w:pPr>
    </w:p>
    <w:p>
      <w:pPr>
        <w:rPr>
          <w:rFonts w:ascii="宋体" w:hAnsi="宋体" w:cs="宋体"/>
          <w:b/>
        </w:rPr>
      </w:pPr>
      <w:r>
        <w:rPr>
          <w:rFonts w:hint="eastAsia" w:ascii="宋体" w:hAnsi="宋体" w:cs="宋体"/>
        </w:rPr>
        <w:br w:type="page"/>
      </w:r>
      <w:r>
        <w:rPr>
          <w:rFonts w:hint="eastAsia" w:ascii="宋体" w:hAnsi="宋体" w:cs="宋体"/>
        </w:rPr>
        <w:t>1、资格条件自查表；</w:t>
      </w:r>
    </w:p>
    <w:p>
      <w:pPr>
        <w:adjustRightInd w:val="0"/>
        <w:snapToGrid w:val="0"/>
        <w:jc w:val="center"/>
        <w:rPr>
          <w:rFonts w:ascii="宋体" w:hAnsi="宋体" w:cs="宋体"/>
          <w:b/>
          <w:sz w:val="24"/>
        </w:rPr>
      </w:pPr>
      <w:r>
        <w:rPr>
          <w:rFonts w:hint="eastAsia" w:ascii="宋体" w:hAnsi="宋体" w:cs="宋体"/>
          <w:b/>
          <w:sz w:val="24"/>
        </w:rPr>
        <w:t>资格条件自查表</w:t>
      </w:r>
    </w:p>
    <w:tbl>
      <w:tblPr>
        <w:tblStyle w:val="47"/>
        <w:tblW w:w="9037"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41"/>
        <w:gridCol w:w="4270"/>
        <w:gridCol w:w="1285"/>
        <w:gridCol w:w="2641"/>
      </w:tblGrid>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 w:hRule="atLeast"/>
          <w:jc w:val="center"/>
        </w:trPr>
        <w:tc>
          <w:tcPr>
            <w:tcW w:w="841" w:type="dxa"/>
            <w:tcBorders>
              <w:top w:val="single" w:color="auto" w:sz="12" w:space="0"/>
              <w:left w:val="single" w:color="auto" w:sz="12" w:space="0"/>
              <w:bottom w:val="outset" w:color="111111" w:sz="6" w:space="0"/>
              <w:right w:val="outset" w:color="111111" w:sz="6" w:space="0"/>
            </w:tcBorders>
            <w:vAlign w:val="center"/>
          </w:tcPr>
          <w:p>
            <w:pPr>
              <w:adjustRightInd w:val="0"/>
              <w:snapToGrid w:val="0"/>
              <w:spacing w:line="240" w:lineRule="exact"/>
              <w:jc w:val="center"/>
              <w:rPr>
                <w:rFonts w:ascii="宋体" w:hAnsi="宋体" w:cs="宋体"/>
                <w:szCs w:val="21"/>
              </w:rPr>
            </w:pPr>
            <w:r>
              <w:rPr>
                <w:rStyle w:val="50"/>
                <w:rFonts w:hint="eastAsia" w:ascii="宋体" w:hAnsi="宋体" w:cs="宋体"/>
                <w:kern w:val="2"/>
                <w:sz w:val="21"/>
                <w:szCs w:val="21"/>
                <w:lang w:eastAsia="zh-CN"/>
              </w:rPr>
              <w:t>评审内容</w:t>
            </w:r>
          </w:p>
        </w:tc>
        <w:tc>
          <w:tcPr>
            <w:tcW w:w="4270"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b/>
                <w:szCs w:val="21"/>
              </w:rPr>
              <w:t>磋商采购文件要求</w:t>
            </w:r>
          </w:p>
        </w:tc>
        <w:tc>
          <w:tcPr>
            <w:tcW w:w="128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240" w:lineRule="exact"/>
              <w:jc w:val="center"/>
              <w:rPr>
                <w:rFonts w:ascii="宋体" w:hAnsi="宋体" w:cs="宋体"/>
                <w:szCs w:val="21"/>
              </w:rPr>
            </w:pPr>
            <w:r>
              <w:rPr>
                <w:rStyle w:val="50"/>
                <w:rFonts w:hint="eastAsia" w:ascii="宋体" w:hAnsi="宋体" w:cs="宋体"/>
                <w:kern w:val="2"/>
                <w:sz w:val="21"/>
                <w:szCs w:val="21"/>
                <w:lang w:eastAsia="zh-CN"/>
              </w:rPr>
              <w:t>自查结论</w:t>
            </w:r>
          </w:p>
        </w:tc>
        <w:tc>
          <w:tcPr>
            <w:tcW w:w="2641" w:type="dxa"/>
            <w:tcBorders>
              <w:top w:val="single" w:color="auto" w:sz="12" w:space="0"/>
              <w:left w:val="outset" w:color="111111" w:sz="6" w:space="0"/>
              <w:bottom w:val="outset" w:color="111111" w:sz="6" w:space="0"/>
              <w:right w:val="single" w:color="auto" w:sz="12" w:space="0"/>
            </w:tcBorders>
            <w:vAlign w:val="center"/>
          </w:tcPr>
          <w:p>
            <w:pPr>
              <w:adjustRightInd w:val="0"/>
              <w:snapToGrid w:val="0"/>
              <w:spacing w:line="240" w:lineRule="exact"/>
              <w:jc w:val="center"/>
              <w:rPr>
                <w:rFonts w:ascii="宋体" w:hAnsi="宋体" w:cs="宋体"/>
                <w:szCs w:val="21"/>
              </w:rPr>
            </w:pPr>
            <w:r>
              <w:rPr>
                <w:rStyle w:val="50"/>
                <w:rFonts w:hint="eastAsia" w:ascii="宋体" w:hAnsi="宋体" w:cs="宋体"/>
                <w:kern w:val="2"/>
                <w:sz w:val="21"/>
                <w:szCs w:val="21"/>
                <w:lang w:eastAsia="zh-CN"/>
              </w:rPr>
              <w:t>证明资料</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286" w:hRule="atLeast"/>
          <w:jc w:val="center"/>
        </w:trPr>
        <w:tc>
          <w:tcPr>
            <w:tcW w:w="841" w:type="dxa"/>
            <w:vMerge w:val="restart"/>
            <w:tcBorders>
              <w:top w:val="outset" w:color="111111" w:sz="6" w:space="0"/>
              <w:left w:val="single" w:color="auto" w:sz="12" w:space="0"/>
              <w:bottom w:val="outset" w:color="111111" w:sz="6" w:space="0"/>
              <w:right w:val="outset" w:color="111111" w:sz="6" w:space="0"/>
            </w:tcBorders>
            <w:vAlign w:val="center"/>
          </w:tcPr>
          <w:p>
            <w:pPr>
              <w:pStyle w:val="88"/>
              <w:adjustRightInd w:val="0"/>
              <w:snapToGrid w:val="0"/>
              <w:spacing w:before="0" w:beforeAutospacing="0" w:after="0" w:afterAutospacing="0" w:line="240" w:lineRule="exact"/>
              <w:jc w:val="center"/>
              <w:rPr>
                <w:rFonts w:hint="default" w:cs="宋体"/>
                <w:b/>
                <w:kern w:val="2"/>
                <w:sz w:val="21"/>
                <w:szCs w:val="21"/>
              </w:rPr>
            </w:pPr>
            <w:r>
              <w:rPr>
                <w:rFonts w:cs="宋体"/>
                <w:b/>
                <w:kern w:val="2"/>
                <w:sz w:val="21"/>
                <w:szCs w:val="21"/>
              </w:rPr>
              <w:t>资</w:t>
            </w:r>
          </w:p>
          <w:p>
            <w:pPr>
              <w:pStyle w:val="88"/>
              <w:adjustRightInd w:val="0"/>
              <w:snapToGrid w:val="0"/>
              <w:spacing w:before="0" w:beforeAutospacing="0" w:after="0" w:afterAutospacing="0" w:line="240" w:lineRule="exact"/>
              <w:jc w:val="center"/>
              <w:rPr>
                <w:rFonts w:hint="default" w:cs="宋体"/>
                <w:b/>
                <w:kern w:val="2"/>
                <w:sz w:val="21"/>
                <w:szCs w:val="21"/>
              </w:rPr>
            </w:pPr>
            <w:r>
              <w:rPr>
                <w:rFonts w:cs="宋体"/>
                <w:b/>
                <w:kern w:val="2"/>
                <w:sz w:val="21"/>
                <w:szCs w:val="21"/>
              </w:rPr>
              <w:t>格</w:t>
            </w:r>
          </w:p>
          <w:p>
            <w:pPr>
              <w:pStyle w:val="88"/>
              <w:adjustRightInd w:val="0"/>
              <w:snapToGrid w:val="0"/>
              <w:spacing w:before="0" w:beforeAutospacing="0" w:after="0" w:afterAutospacing="0" w:line="240" w:lineRule="exact"/>
              <w:jc w:val="center"/>
              <w:rPr>
                <w:rFonts w:hint="default" w:cs="宋体"/>
                <w:b/>
                <w:kern w:val="2"/>
                <w:sz w:val="21"/>
                <w:szCs w:val="21"/>
              </w:rPr>
            </w:pPr>
            <w:r>
              <w:rPr>
                <w:rFonts w:cs="宋体"/>
                <w:b/>
                <w:kern w:val="2"/>
                <w:sz w:val="21"/>
                <w:szCs w:val="21"/>
              </w:rPr>
              <w:t>性</w:t>
            </w:r>
          </w:p>
          <w:p>
            <w:pPr>
              <w:pStyle w:val="88"/>
              <w:adjustRightInd w:val="0"/>
              <w:snapToGrid w:val="0"/>
              <w:spacing w:before="0" w:beforeAutospacing="0" w:after="0" w:afterAutospacing="0" w:line="240" w:lineRule="exact"/>
              <w:jc w:val="center"/>
              <w:rPr>
                <w:rFonts w:hint="default" w:cs="宋体"/>
                <w:b/>
                <w:kern w:val="2"/>
                <w:sz w:val="21"/>
                <w:szCs w:val="21"/>
              </w:rPr>
            </w:pPr>
            <w:r>
              <w:rPr>
                <w:rFonts w:cs="宋体"/>
                <w:b/>
                <w:kern w:val="2"/>
                <w:sz w:val="21"/>
                <w:szCs w:val="21"/>
              </w:rPr>
              <w:t>审</w:t>
            </w:r>
          </w:p>
          <w:p>
            <w:pPr>
              <w:pStyle w:val="88"/>
              <w:adjustRightInd w:val="0"/>
              <w:snapToGrid w:val="0"/>
              <w:spacing w:before="0" w:beforeAutospacing="0" w:after="0" w:afterAutospacing="0" w:line="240" w:lineRule="exact"/>
              <w:jc w:val="center"/>
              <w:rPr>
                <w:rFonts w:hint="default" w:cs="宋体"/>
                <w:b/>
                <w:kern w:val="2"/>
                <w:sz w:val="21"/>
                <w:szCs w:val="21"/>
              </w:rPr>
            </w:pPr>
            <w:r>
              <w:rPr>
                <w:rFonts w:cs="宋体"/>
                <w:b/>
                <w:kern w:val="2"/>
                <w:sz w:val="21"/>
                <w:szCs w:val="21"/>
              </w:rPr>
              <w:t>查</w:t>
            </w:r>
          </w:p>
        </w:tc>
        <w:tc>
          <w:tcPr>
            <w:tcW w:w="4270" w:type="dxa"/>
            <w:tcBorders>
              <w:top w:val="outset" w:color="111111" w:sz="6" w:space="0"/>
              <w:left w:val="outset" w:color="111111" w:sz="6" w:space="0"/>
              <w:bottom w:val="single" w:color="auto" w:sz="4"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1.符合《中华人民共和国政府采购法》第二十二条规定的供应商资格条件</w:t>
            </w:r>
          </w:p>
        </w:tc>
        <w:tc>
          <w:tcPr>
            <w:tcW w:w="1285" w:type="dxa"/>
            <w:vMerge w:val="restart"/>
            <w:tcBorders>
              <w:top w:val="outset" w:color="111111" w:sz="6" w:space="0"/>
              <w:left w:val="outset" w:color="111111" w:sz="6" w:space="0"/>
              <w:bottom w:val="single" w:color="auto" w:sz="2"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 xml:space="preserve">□通过 </w:t>
            </w:r>
          </w:p>
          <w:p>
            <w:pPr>
              <w:adjustRightInd w:val="0"/>
              <w:snapToGrid w:val="0"/>
              <w:spacing w:line="240" w:lineRule="exact"/>
              <w:rPr>
                <w:rFonts w:ascii="宋体" w:hAnsi="宋体" w:cs="宋体"/>
                <w:szCs w:val="21"/>
              </w:rPr>
            </w:pPr>
            <w:r>
              <w:rPr>
                <w:rFonts w:hint="eastAsia" w:ascii="宋体" w:hAnsi="宋体" w:cs="宋体"/>
                <w:szCs w:val="21"/>
              </w:rPr>
              <w:t>□不通过</w:t>
            </w:r>
          </w:p>
        </w:tc>
        <w:tc>
          <w:tcPr>
            <w:tcW w:w="2641" w:type="dxa"/>
            <w:tcBorders>
              <w:top w:val="outset" w:color="111111" w:sz="6" w:space="0"/>
              <w:left w:val="outset" w:color="111111" w:sz="6" w:space="0"/>
              <w:bottom w:val="single" w:color="auto" w:sz="4"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 xml:space="preserve">2. </w:t>
            </w:r>
            <w:r>
              <w:rPr>
                <w:rFonts w:hint="eastAsia" w:ascii="宋体" w:hAnsi="宋体" w:cs="宋体"/>
              </w:rPr>
              <w:t>有效的营业执照（或事业法人登记证）、其他组织（个体工商户）的营业执照或者民办非企业单位登记证书复印件并加盖公章，供应商如果有名称变更的，应提供由行政主管部门出具的变更证明文件</w:t>
            </w:r>
            <w:r>
              <w:rPr>
                <w:rFonts w:hint="eastAsia" w:ascii="宋体" w:hAnsi="宋体" w:cs="宋体"/>
                <w:szCs w:val="21"/>
              </w:rPr>
              <w:t>；</w:t>
            </w:r>
          </w:p>
        </w:tc>
        <w:tc>
          <w:tcPr>
            <w:tcW w:w="1285" w:type="dxa"/>
            <w:vMerge w:val="continue"/>
            <w:tcBorders>
              <w:top w:val="outset" w:color="111111" w:sz="6" w:space="0"/>
              <w:left w:val="outset" w:color="111111" w:sz="6" w:space="0"/>
              <w:bottom w:val="single" w:color="auto" w:sz="2" w:space="0"/>
              <w:right w:val="outset" w:color="111111" w:sz="6" w:space="0"/>
            </w:tcBorders>
            <w:vAlign w:val="center"/>
          </w:tcPr>
          <w:p>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3.供应商如果有名称变更的，应提供由行政主管部门出具的变更证明文件。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vAlign w:val="center"/>
          </w:tcPr>
          <w:p>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8"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Cs w:val="21"/>
              </w:rPr>
            </w:pPr>
            <w:r>
              <w:rPr>
                <w:rFonts w:hint="eastAsia" w:ascii="宋体" w:hAnsi="宋体" w:cs="宋体"/>
                <w:szCs w:val="20"/>
              </w:rPr>
              <w:t>4.</w:t>
            </w:r>
            <w:r>
              <w:rPr>
                <w:rFonts w:hint="eastAsia" w:ascii="宋体" w:hAnsi="宋体"/>
              </w:rPr>
              <w:t>单位负责人为同一人或者存在直接控股、管理关系的不同供应商，不得参加同一合同项下的政府采购活动。为采购项目提供整体设计、规范编制或者项目管理、监理、检测等服务的供应商，</w:t>
            </w:r>
            <w:r>
              <w:rPr>
                <w:rFonts w:hint="eastAsia"/>
              </w:rPr>
              <w:t>不得参加本项目磋商</w:t>
            </w:r>
            <w:r>
              <w:rPr>
                <w:rFonts w:hint="eastAsia" w:ascii="宋体" w:hAnsi="宋体" w:cs="宋体"/>
                <w:szCs w:val="20"/>
              </w:rPr>
              <w:t>。</w:t>
            </w:r>
          </w:p>
        </w:tc>
        <w:tc>
          <w:tcPr>
            <w:tcW w:w="128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 xml:space="preserve">□通过 </w:t>
            </w:r>
          </w:p>
          <w:p>
            <w:pPr>
              <w:adjustRightInd w:val="0"/>
              <w:snapToGrid w:val="0"/>
              <w:spacing w:line="240" w:lineRule="exact"/>
              <w:rPr>
                <w:rFonts w:ascii="宋体" w:hAnsi="宋体" w:cs="宋体"/>
                <w:szCs w:val="21"/>
              </w:rPr>
            </w:pPr>
            <w:r>
              <w:rPr>
                <w:rFonts w:hint="eastAsia" w:ascii="宋体" w:hAnsi="宋体" w:cs="宋体"/>
                <w:szCs w:val="21"/>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7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5.</w:t>
            </w:r>
            <w:r>
              <w:rPr>
                <w:rFonts w:hint="eastAsia" w:ascii="宋体" w:hAnsi="宋体" w:cs="宋体"/>
                <w:kern w:val="0"/>
                <w:szCs w:val="21"/>
              </w:rPr>
              <w:t>本项目不接受联合体磋商</w:t>
            </w:r>
            <w:r>
              <w:rPr>
                <w:rFonts w:hint="eastAsia" w:ascii="宋体" w:hAnsi="宋体" w:cs="宋体"/>
                <w:szCs w:val="21"/>
              </w:rPr>
              <w:t>。</w:t>
            </w:r>
          </w:p>
        </w:tc>
        <w:tc>
          <w:tcPr>
            <w:tcW w:w="128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□通过</w:t>
            </w:r>
          </w:p>
          <w:p>
            <w:pPr>
              <w:adjustRightInd w:val="0"/>
              <w:snapToGrid w:val="0"/>
              <w:spacing w:line="240" w:lineRule="exact"/>
              <w:rPr>
                <w:rFonts w:ascii="宋体" w:hAnsi="宋体" w:cs="宋体"/>
                <w:szCs w:val="21"/>
              </w:rPr>
            </w:pPr>
            <w:r>
              <w:rPr>
                <w:rFonts w:hint="eastAsia" w:ascii="宋体" w:hAnsi="宋体" w:cs="宋体"/>
                <w:szCs w:val="21"/>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7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6.</w:t>
            </w:r>
            <w:r>
              <w:rPr>
                <w:rFonts w:hint="eastAsia" w:ascii="宋体" w:hAnsi="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w:t>
            </w:r>
            <w:r>
              <w:rPr>
                <w:rFonts w:hint="eastAsia"/>
              </w:rPr>
              <w:t>采购代理机构</w:t>
            </w:r>
            <w:r>
              <w:rPr>
                <w:rFonts w:hint="eastAsia" w:ascii="宋体" w:hAnsi="宋体"/>
                <w:szCs w:val="21"/>
              </w:rPr>
              <w:t>在“信用中国”网站（www.creditchina.gov.cn）</w:t>
            </w:r>
            <w:r>
              <w:rPr>
                <w:rFonts w:hint="eastAsia" w:ascii="宋体" w:hAnsi="宋体"/>
              </w:rPr>
              <w:t>及中国政府采购网</w:t>
            </w:r>
            <w:r>
              <w:rPr>
                <w:rFonts w:hint="eastAsia" w:ascii="宋体" w:hAnsi="宋体"/>
                <w:szCs w:val="21"/>
              </w:rPr>
              <w:t>查询结果为准，如相关失信记录已失效，供应商需提供相关证明资料）</w:t>
            </w:r>
            <w:r>
              <w:rPr>
                <w:rFonts w:hint="eastAsia" w:ascii="宋体" w:hAnsi="宋体" w:cs="宋体"/>
                <w:szCs w:val="21"/>
              </w:rPr>
              <w:t>。</w:t>
            </w:r>
          </w:p>
        </w:tc>
        <w:tc>
          <w:tcPr>
            <w:tcW w:w="128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 xml:space="preserve">□通过 </w:t>
            </w:r>
          </w:p>
          <w:p>
            <w:pPr>
              <w:adjustRightInd w:val="0"/>
              <w:snapToGrid w:val="0"/>
              <w:spacing w:line="240" w:lineRule="exact"/>
              <w:rPr>
                <w:rFonts w:ascii="宋体" w:hAnsi="宋体" w:cs="宋体"/>
                <w:szCs w:val="21"/>
              </w:rPr>
            </w:pPr>
            <w:r>
              <w:rPr>
                <w:rFonts w:hint="eastAsia" w:ascii="宋体" w:hAnsi="宋体" w:cs="宋体"/>
                <w:szCs w:val="21"/>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7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6.</w:t>
            </w:r>
            <w:r>
              <w:rPr>
                <w:rFonts w:hint="eastAsia" w:ascii="宋体" w:hAnsi="宋体"/>
                <w:szCs w:val="21"/>
              </w:rPr>
              <w:t>磋商声明书</w:t>
            </w:r>
            <w:r>
              <w:rPr>
                <w:rFonts w:hint="eastAsia" w:ascii="宋体" w:hAnsi="宋体" w:cs="宋体"/>
                <w:szCs w:val="21"/>
              </w:rPr>
              <w:t>。</w:t>
            </w:r>
          </w:p>
        </w:tc>
        <w:tc>
          <w:tcPr>
            <w:tcW w:w="128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 xml:space="preserve">□通过 </w:t>
            </w:r>
          </w:p>
          <w:p>
            <w:pPr>
              <w:adjustRightInd w:val="0"/>
              <w:snapToGrid w:val="0"/>
              <w:spacing w:line="240" w:lineRule="exact"/>
              <w:rPr>
                <w:rFonts w:ascii="宋体" w:hAnsi="宋体" w:cs="宋体"/>
                <w:szCs w:val="21"/>
              </w:rPr>
            </w:pPr>
            <w:r>
              <w:rPr>
                <w:rFonts w:hint="eastAsia" w:ascii="宋体" w:hAnsi="宋体" w:cs="宋体"/>
                <w:szCs w:val="21"/>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7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7.具有</w:t>
            </w:r>
            <w:r>
              <w:rPr>
                <w:rFonts w:hint="eastAsia" w:ascii="宋体" w:hAnsi="宋体" w:cs="宋体"/>
              </w:rPr>
              <w:t>人力资源服务许可证，</w:t>
            </w:r>
          </w:p>
        </w:tc>
        <w:tc>
          <w:tcPr>
            <w:tcW w:w="128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 xml:space="preserve">□通过 </w:t>
            </w:r>
          </w:p>
          <w:p>
            <w:pPr>
              <w:adjustRightInd w:val="0"/>
              <w:snapToGrid w:val="0"/>
              <w:spacing w:line="240" w:lineRule="exact"/>
              <w:rPr>
                <w:rFonts w:ascii="宋体" w:hAnsi="宋体" w:cs="宋体"/>
                <w:szCs w:val="21"/>
              </w:rPr>
            </w:pPr>
            <w:r>
              <w:rPr>
                <w:rFonts w:hint="eastAsia" w:ascii="宋体" w:hAnsi="宋体" w:cs="宋体"/>
                <w:szCs w:val="21"/>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8.落实政府采购政策需满足的资格要求所对应的证明材料：本项目专门面向中小企业采购（监狱企业及残疾人福利性单位视同小型、微型企业）</w:t>
            </w:r>
          </w:p>
          <w:p>
            <w:pPr>
              <w:adjustRightInd w:val="0"/>
              <w:snapToGrid w:val="0"/>
              <w:spacing w:line="240" w:lineRule="exact"/>
              <w:rPr>
                <w:rFonts w:ascii="宋体" w:hAnsi="宋体" w:cs="宋体"/>
                <w:szCs w:val="21"/>
              </w:rPr>
            </w:pPr>
            <w:r>
              <w:rPr>
                <w:rFonts w:hint="eastAsia" w:ascii="宋体" w:hAnsi="宋体" w:cs="宋体"/>
                <w:szCs w:val="21"/>
              </w:rPr>
              <w:t>（1）中小企业声明函；</w:t>
            </w:r>
          </w:p>
          <w:p>
            <w:pPr>
              <w:adjustRightInd w:val="0"/>
              <w:snapToGrid w:val="0"/>
              <w:spacing w:line="240" w:lineRule="exact"/>
              <w:rPr>
                <w:rFonts w:ascii="宋体" w:hAnsi="宋体" w:cs="宋体"/>
                <w:szCs w:val="21"/>
              </w:rPr>
            </w:pPr>
            <w:r>
              <w:rPr>
                <w:rFonts w:hint="eastAsia" w:ascii="宋体" w:hAnsi="宋体" w:cs="宋体"/>
                <w:szCs w:val="21"/>
              </w:rPr>
              <w:t>（2）供应商为监狱企业的证明文件：省级以上监狱管理局、戒毒管理局（含新疆生产建设兵团）出具；</w:t>
            </w:r>
          </w:p>
          <w:p>
            <w:pPr>
              <w:adjustRightInd w:val="0"/>
              <w:snapToGrid w:val="0"/>
              <w:spacing w:line="240" w:lineRule="exact"/>
              <w:rPr>
                <w:rFonts w:ascii="宋体" w:hAnsi="宋体" w:cs="宋体"/>
                <w:szCs w:val="21"/>
              </w:rPr>
            </w:pPr>
            <w:r>
              <w:rPr>
                <w:rFonts w:hint="eastAsia" w:ascii="宋体" w:hAnsi="宋体" w:cs="宋体"/>
                <w:szCs w:val="21"/>
              </w:rPr>
              <w:t>（3）残疾人福利性单位声明函。</w:t>
            </w:r>
          </w:p>
        </w:tc>
        <w:tc>
          <w:tcPr>
            <w:tcW w:w="128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 xml:space="preserve">□通过 </w:t>
            </w:r>
          </w:p>
          <w:p>
            <w:pPr>
              <w:adjustRightInd w:val="0"/>
              <w:snapToGrid w:val="0"/>
              <w:spacing w:line="240" w:lineRule="exact"/>
              <w:rPr>
                <w:rFonts w:ascii="宋体" w:hAnsi="宋体" w:cs="宋体"/>
                <w:szCs w:val="21"/>
              </w:rPr>
            </w:pPr>
            <w:r>
              <w:rPr>
                <w:rFonts w:hint="eastAsia" w:ascii="宋体" w:hAnsi="宋体" w:cs="宋体"/>
                <w:szCs w:val="21"/>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w:t>
            </w:r>
          </w:p>
        </w:tc>
      </w:tr>
    </w:tbl>
    <w:p>
      <w:pPr>
        <w:rPr>
          <w:rFonts w:ascii="宋体" w:hAnsi="宋体" w:cs="宋体"/>
          <w:b/>
          <w:szCs w:val="21"/>
        </w:rPr>
      </w:pPr>
      <w:r>
        <w:rPr>
          <w:rFonts w:hint="eastAsia" w:ascii="宋体" w:hAnsi="宋体" w:cs="宋体"/>
          <w:b/>
          <w:szCs w:val="21"/>
        </w:rPr>
        <w:t>备注：供应商自查表将作为供应商有效性审查的重要内容之一，供应商必须严格按照其内容及序列要求在磋商响应文件中对应如实提供，对资格性证明文件的任何缺漏和不符合项将会直接导致磋商无效!</w:t>
      </w:r>
    </w:p>
    <w:p>
      <w:pPr>
        <w:pStyle w:val="46"/>
        <w:ind w:firstLine="422"/>
        <w:rPr>
          <w:rFonts w:ascii="宋体" w:hAnsi="宋体" w:cs="宋体"/>
          <w:b/>
          <w:szCs w:val="21"/>
          <w:lang w:val="en-US"/>
        </w:rPr>
      </w:pPr>
    </w:p>
    <w:p>
      <w:pPr>
        <w:pStyle w:val="46"/>
        <w:ind w:firstLine="422"/>
        <w:rPr>
          <w:rFonts w:ascii="宋体" w:hAnsi="宋体" w:cs="宋体"/>
          <w:b/>
          <w:szCs w:val="21"/>
          <w:lang w:val="en-US"/>
        </w:rPr>
      </w:pP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r>
        <w:rPr>
          <w:rFonts w:hint="eastAsia" w:ascii="宋体" w:hAnsi="宋体" w:cs="宋体"/>
        </w:rPr>
        <w:t xml:space="preserve">供应商盖章（公章）：             </w:t>
      </w:r>
    </w:p>
    <w:p>
      <w:pPr>
        <w:adjustRightInd w:val="0"/>
        <w:snapToGrid w:val="0"/>
        <w:spacing w:line="440" w:lineRule="exact"/>
        <w:jc w:val="right"/>
        <w:rPr>
          <w:rFonts w:ascii="宋体" w:hAnsi="宋体" w:cs="宋体"/>
        </w:rPr>
      </w:pPr>
      <w:r>
        <w:rPr>
          <w:rFonts w:hint="eastAsia" w:ascii="宋体" w:hAnsi="宋体" w:cs="宋体"/>
        </w:rPr>
        <w:t xml:space="preserve">           </w:t>
      </w:r>
    </w:p>
    <w:p>
      <w:pPr>
        <w:spacing w:line="360" w:lineRule="auto"/>
        <w:ind w:firstLine="420" w:firstLineChars="200"/>
        <w:rPr>
          <w:rFonts w:ascii="宋体" w:hAnsi="宋体" w:cs="宋体"/>
        </w:rPr>
      </w:pPr>
      <w:r>
        <w:rPr>
          <w:rFonts w:hint="eastAsia" w:ascii="宋体" w:hAnsi="宋体" w:cs="宋体"/>
        </w:rPr>
        <w:t xml:space="preserve">                                                           年  月  日</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rPr>
      </w:pPr>
      <w:r>
        <w:rPr>
          <w:rFonts w:hint="eastAsia" w:ascii="宋体" w:hAnsi="宋体" w:cs="宋体"/>
        </w:rPr>
        <w:t>2、有效的营业执照（或事业法人登记证）、其他组织（个体工商户）的营业执照或者民办非企业单位登记证书复印件并加盖公章，供应商如果有名称变更的，应提供由行政主管部门出具的变更证明文件；</w:t>
      </w:r>
    </w:p>
    <w:p>
      <w:pPr>
        <w:spacing w:line="360" w:lineRule="auto"/>
        <w:rPr>
          <w:rFonts w:ascii="宋体" w:hAnsi="宋体" w:cs="宋体"/>
        </w:rPr>
      </w:pPr>
    </w:p>
    <w:p>
      <w:pPr>
        <w:spacing w:line="360" w:lineRule="auto"/>
        <w:rPr>
          <w:rFonts w:ascii="宋体" w:hAnsi="宋体" w:cs="宋体"/>
        </w:rPr>
      </w:pPr>
    </w:p>
    <w:p>
      <w:pPr>
        <w:pStyle w:val="62"/>
      </w:pPr>
    </w:p>
    <w:p>
      <w:pPr>
        <w:rPr>
          <w:rFonts w:ascii="宋体" w:hAnsi="宋体" w:cs="宋体"/>
        </w:rPr>
        <w:sectPr>
          <w:pgSz w:w="11906" w:h="16838"/>
          <w:pgMar w:top="1474" w:right="1797" w:bottom="1247" w:left="1797" w:header="851" w:footer="851" w:gutter="0"/>
          <w:cols w:space="720" w:num="1"/>
          <w:titlePg/>
          <w:docGrid w:linePitch="312" w:charSpace="0"/>
        </w:sectPr>
      </w:pPr>
    </w:p>
    <w:p>
      <w:pPr>
        <w:spacing w:line="360" w:lineRule="auto"/>
        <w:jc w:val="left"/>
        <w:rPr>
          <w:rFonts w:ascii="宋体" w:hAnsi="宋体" w:cs="宋体"/>
          <w:szCs w:val="21"/>
        </w:rPr>
      </w:pPr>
      <w:r>
        <w:rPr>
          <w:rFonts w:hint="eastAsia" w:ascii="宋体" w:hAnsi="宋体" w:cs="宋体"/>
          <w:szCs w:val="21"/>
        </w:rPr>
        <w:t>3、中小企业声明函；</w:t>
      </w:r>
    </w:p>
    <w:p>
      <w:pPr>
        <w:pStyle w:val="43"/>
        <w:widowControl w:val="0"/>
        <w:spacing w:beforeAutospacing="0" w:after="120" w:afterAutospacing="0" w:line="520" w:lineRule="exact"/>
        <w:ind w:left="420" w:leftChars="200"/>
        <w:jc w:val="center"/>
        <w:rPr>
          <w:rFonts w:ascii="宋体" w:hAnsi="宋体" w:cs="宋体"/>
          <w:b/>
          <w:sz w:val="28"/>
          <w:szCs w:val="20"/>
        </w:rPr>
      </w:pPr>
      <w:r>
        <w:rPr>
          <w:rFonts w:hint="eastAsia" w:ascii="宋体" w:hAnsi="宋体" w:cs="宋体"/>
          <w:b/>
          <w:kern w:val="2"/>
          <w:sz w:val="28"/>
          <w:szCs w:val="20"/>
        </w:rPr>
        <w:t>中小企业声明函（服务）</w:t>
      </w:r>
    </w:p>
    <w:p>
      <w:pPr>
        <w:spacing w:line="588" w:lineRule="exact"/>
        <w:rPr>
          <w:rFonts w:ascii="宋体" w:hAnsi="宋体" w:cs="宋体"/>
          <w:b/>
          <w:spacing w:val="6"/>
          <w:sz w:val="30"/>
          <w:szCs w:val="30"/>
        </w:rPr>
      </w:pPr>
    </w:p>
    <w:p>
      <w:pPr>
        <w:spacing w:line="500" w:lineRule="exact"/>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宁波市北仑区民政局专职社区工作者招聘服务项目</w:t>
      </w:r>
      <w:r>
        <w:rPr>
          <w:rFonts w:hint="eastAsia" w:ascii="宋体" w:hAnsi="宋体" w:cs="宋体"/>
          <w:szCs w:val="21"/>
        </w:rPr>
        <w:t>采购活动，服务全部由符合政策要求的中小企业承接。相关企业的具体情况如下：</w:t>
      </w:r>
    </w:p>
    <w:p>
      <w:pPr>
        <w:spacing w:line="5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宁波市北仑区民政局专职社区工作者招聘服务项目</w:t>
      </w:r>
      <w:r>
        <w:rPr>
          <w:rFonts w:hint="eastAsia" w:ascii="宋体" w:hAnsi="宋体" w:cs="宋体"/>
          <w:szCs w:val="21"/>
        </w:rPr>
        <w:t>，属于</w:t>
      </w:r>
      <w:r>
        <w:rPr>
          <w:rFonts w:hint="eastAsia" w:ascii="宋体" w:hAnsi="宋体" w:cs="宋体"/>
          <w:iCs/>
          <w:szCs w:val="21"/>
          <w:u w:val="single"/>
        </w:rPr>
        <w:t>租赁和商务服务业</w:t>
      </w:r>
      <w:r>
        <w:rPr>
          <w:rFonts w:hint="eastAsia" w:ascii="宋体" w:hAnsi="宋体" w:cs="宋体"/>
          <w:szCs w:val="21"/>
        </w:rPr>
        <w:t>；承接企业为</w:t>
      </w:r>
      <w:r>
        <w:rPr>
          <w:rFonts w:hint="eastAsia" w:ascii="宋体" w:hAnsi="宋体" w:cs="宋体"/>
          <w:i/>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万元，资产总额为万元</w:t>
      </w:r>
      <w:r>
        <w:rPr>
          <w:rFonts w:hint="eastAsia" w:ascii="宋体" w:hAnsi="宋体" w:cs="宋体"/>
          <w:szCs w:val="21"/>
          <w:vertAlign w:val="superscript"/>
        </w:rPr>
        <w:t>1</w:t>
      </w:r>
      <w:r>
        <w:rPr>
          <w:rFonts w:hint="eastAsia" w:ascii="宋体" w:hAnsi="宋体" w:cs="宋体"/>
          <w:szCs w:val="21"/>
        </w:rPr>
        <w:t>，属于</w:t>
      </w:r>
      <w:r>
        <w:rPr>
          <w:rFonts w:hint="eastAsia" w:ascii="宋体" w:hAnsi="宋体" w:cs="宋体"/>
          <w:i/>
          <w:szCs w:val="21"/>
          <w:u w:val="single"/>
        </w:rPr>
        <w:t>（中型企业、小型企业、微型企业）</w:t>
      </w:r>
      <w:r>
        <w:rPr>
          <w:rFonts w:hint="eastAsia" w:ascii="宋体" w:hAnsi="宋体" w:cs="宋体"/>
          <w:szCs w:val="21"/>
        </w:rPr>
        <w:t>；</w:t>
      </w:r>
    </w:p>
    <w:p>
      <w:pPr>
        <w:spacing w:line="5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5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spacing w:line="500" w:lineRule="exact"/>
        <w:rPr>
          <w:rFonts w:ascii="宋体" w:hAnsi="宋体" w:cs="宋体"/>
          <w:szCs w:val="21"/>
        </w:rPr>
      </w:pPr>
      <w:r>
        <w:rPr>
          <w:rFonts w:hint="eastAsia" w:ascii="宋体" w:hAnsi="宋体" w:cs="宋体"/>
          <w:szCs w:val="21"/>
        </w:rPr>
        <w:t xml:space="preserve">                        </w:t>
      </w:r>
    </w:p>
    <w:p>
      <w:pPr>
        <w:spacing w:line="500" w:lineRule="exact"/>
        <w:rPr>
          <w:rFonts w:ascii="宋体" w:hAnsi="宋体" w:cs="宋体"/>
          <w:szCs w:val="21"/>
        </w:rPr>
      </w:pPr>
    </w:p>
    <w:p>
      <w:pPr>
        <w:spacing w:line="500" w:lineRule="exact"/>
        <w:ind w:firstLine="2310" w:firstLineChars="1100"/>
        <w:rPr>
          <w:rFonts w:ascii="宋体" w:hAnsi="宋体" w:cs="宋体"/>
          <w:szCs w:val="21"/>
        </w:rPr>
      </w:pPr>
      <w:r>
        <w:rPr>
          <w:rFonts w:hint="eastAsia" w:ascii="宋体" w:hAnsi="宋体" w:cs="宋体"/>
          <w:szCs w:val="21"/>
        </w:rPr>
        <w:t>企业名称（盖章）：</w:t>
      </w:r>
    </w:p>
    <w:p>
      <w:pPr>
        <w:spacing w:line="500" w:lineRule="exact"/>
        <w:rPr>
          <w:rFonts w:ascii="宋体" w:hAnsi="宋体" w:cs="宋体"/>
          <w:szCs w:val="21"/>
        </w:rPr>
      </w:pPr>
      <w:r>
        <w:rPr>
          <w:rFonts w:hint="eastAsia" w:ascii="宋体" w:hAnsi="宋体" w:cs="宋体"/>
          <w:szCs w:val="21"/>
        </w:rPr>
        <w:t xml:space="preserve">                        日期：</w:t>
      </w:r>
    </w:p>
    <w:p>
      <w:pPr>
        <w:rPr>
          <w:rFonts w:ascii="宋体" w:hAnsi="宋体" w:cs="宋体"/>
          <w:kern w:val="0"/>
          <w:szCs w:val="21"/>
          <w:vertAlign w:val="superscript"/>
        </w:rPr>
      </w:pPr>
    </w:p>
    <w:p>
      <w:pPr>
        <w:rPr>
          <w:rFonts w:ascii="宋体" w:hAnsi="宋体" w:cs="宋体"/>
          <w:kern w:val="0"/>
          <w:szCs w:val="21"/>
          <w:vertAlign w:val="superscript"/>
        </w:rPr>
      </w:pPr>
    </w:p>
    <w:p>
      <w:pPr>
        <w:numPr>
          <w:ilvl w:val="0"/>
          <w:numId w:val="13"/>
        </w:numPr>
        <w:spacing w:line="360" w:lineRule="auto"/>
        <w:rPr>
          <w:rFonts w:ascii="宋体" w:hAnsi="宋体" w:cs="宋体"/>
          <w:kern w:val="0"/>
          <w:szCs w:val="21"/>
        </w:rPr>
      </w:pPr>
      <w:r>
        <w:rPr>
          <w:rFonts w:hint="eastAsia" w:ascii="宋体" w:hAnsi="宋体" w:cs="宋体"/>
          <w:kern w:val="0"/>
          <w:szCs w:val="21"/>
        </w:rPr>
        <w:t>从业人员、营业收入、资产总额填报上一年度数据，无上一年度数据的新成立企业可不填报。</w:t>
      </w:r>
    </w:p>
    <w:p>
      <w:pPr>
        <w:numPr>
          <w:ilvl w:val="0"/>
          <w:numId w:val="13"/>
        </w:numPr>
        <w:spacing w:line="360" w:lineRule="auto"/>
        <w:rPr>
          <w:rFonts w:ascii="宋体" w:hAnsi="宋体" w:cs="宋体"/>
          <w:kern w:val="0"/>
          <w:szCs w:val="21"/>
        </w:rPr>
      </w:pPr>
      <w:r>
        <w:rPr>
          <w:rFonts w:hint="eastAsia" w:ascii="宋体" w:hAnsi="宋体" w:cs="宋体"/>
          <w:kern w:val="0"/>
          <w:szCs w:val="21"/>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20" w:firstLineChars="200"/>
        <w:rPr>
          <w:rFonts w:ascii="宋体" w:hAnsi="宋体" w:cs="宋体"/>
          <w:kern w:val="0"/>
          <w:szCs w:val="21"/>
        </w:rPr>
      </w:pPr>
    </w:p>
    <w:p>
      <w:pPr>
        <w:spacing w:line="360" w:lineRule="auto"/>
        <w:ind w:firstLine="420" w:firstLineChars="200"/>
      </w:pPr>
      <w:r>
        <w:rPr>
          <w:rFonts w:hint="eastAsia" w:ascii="宋体" w:hAnsi="宋体" w:cs="宋体"/>
          <w:kern w:val="0"/>
          <w:szCs w:val="21"/>
        </w:rPr>
        <w:t>风险提示：供应商应当对其出具的《中小企业声明函》真实性负责，供应商出具的《中小企业声明函》内容不实的，属于提供虚假材料谋取成交。</w:t>
      </w:r>
    </w:p>
    <w:p>
      <w:pPr>
        <w:rPr>
          <w:rFonts w:ascii="宋体" w:hAnsi="宋体" w:cs="宋体"/>
          <w:szCs w:val="21"/>
        </w:rPr>
      </w:pPr>
      <w:r>
        <w:rPr>
          <w:rFonts w:hint="eastAsia" w:ascii="宋体" w:hAnsi="宋体" w:cs="宋体"/>
          <w:szCs w:val="21"/>
        </w:rPr>
        <w:br w:type="page"/>
      </w:r>
    </w:p>
    <w:p>
      <w:pPr>
        <w:rPr>
          <w:rFonts w:ascii="宋体" w:hAnsi="宋体" w:cs="宋体"/>
          <w:szCs w:val="21"/>
        </w:rPr>
      </w:pPr>
      <w:r>
        <w:rPr>
          <w:rFonts w:hint="eastAsia" w:ascii="宋体" w:hAnsi="宋体" w:cs="宋体"/>
          <w:szCs w:val="21"/>
        </w:rPr>
        <w:t>4、残疾人福利性单位声明函，如是请提供；</w:t>
      </w:r>
    </w:p>
    <w:p>
      <w:pPr>
        <w:spacing w:line="480" w:lineRule="auto"/>
        <w:jc w:val="center"/>
        <w:rPr>
          <w:rFonts w:ascii="宋体" w:hAnsi="宋体" w:cs="宋体"/>
          <w:b/>
          <w:bCs/>
          <w:sz w:val="24"/>
        </w:rPr>
      </w:pPr>
    </w:p>
    <w:p>
      <w:pPr>
        <w:spacing w:line="480" w:lineRule="auto"/>
        <w:jc w:val="center"/>
        <w:rPr>
          <w:rFonts w:ascii="宋体" w:hAnsi="宋体" w:cs="宋体"/>
          <w:b/>
          <w:bCs/>
          <w:sz w:val="24"/>
        </w:rPr>
      </w:pPr>
      <w:r>
        <w:rPr>
          <w:rFonts w:hint="eastAsia" w:ascii="宋体" w:hAnsi="宋体" w:cs="宋体"/>
          <w:b/>
          <w:bCs/>
          <w:sz w:val="24"/>
        </w:rPr>
        <w:t>残疾人福利性单位声明函</w:t>
      </w:r>
    </w:p>
    <w:p>
      <w:pPr>
        <w:spacing w:line="48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rPr>
          <w:rFonts w:ascii="宋体" w:hAnsi="宋体" w:cs="宋体"/>
          <w:sz w:val="24"/>
        </w:rPr>
      </w:pPr>
      <w:r>
        <w:rPr>
          <w:rFonts w:hint="eastAsia" w:ascii="宋体" w:hAnsi="宋体" w:cs="宋体"/>
          <w:spacing w:val="6"/>
          <w:sz w:val="24"/>
        </w:rPr>
        <w:t>本单位对上述声明的真实性负责。如有虚假，将依法承担相应责任。</w:t>
      </w: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pStyle w:val="43"/>
        <w:spacing w:beforeAutospacing="0" w:afterAutospacing="0" w:line="360" w:lineRule="auto"/>
        <w:ind w:firstLine="420"/>
        <w:rPr>
          <w:rFonts w:ascii="宋体" w:hAnsi="宋体" w:cs="宋体"/>
          <w:szCs w:val="21"/>
        </w:rPr>
      </w:pPr>
    </w:p>
    <w:p>
      <w:pPr>
        <w:spacing w:line="360" w:lineRule="auto"/>
        <w:rPr>
          <w:rFonts w:ascii="宋体" w:hAnsi="宋体" w:cs="宋体"/>
        </w:rPr>
      </w:pPr>
      <w:r>
        <w:rPr>
          <w:rFonts w:hint="eastAsia" w:ascii="宋体" w:hAnsi="宋体" w:cs="宋体"/>
        </w:rPr>
        <w:t>供应商名称（公章）：</w:t>
      </w:r>
    </w:p>
    <w:p>
      <w:pPr>
        <w:spacing w:line="360" w:lineRule="auto"/>
        <w:rPr>
          <w:rFonts w:ascii="宋体" w:hAnsi="宋体" w:cs="宋体"/>
        </w:rPr>
      </w:pPr>
    </w:p>
    <w:p>
      <w:pPr>
        <w:pStyle w:val="43"/>
        <w:widowControl w:val="0"/>
        <w:tabs>
          <w:tab w:val="left" w:pos="2472"/>
        </w:tabs>
        <w:snapToGrid w:val="0"/>
        <w:spacing w:beforeLines="50" w:beforeAutospacing="0" w:afterAutospacing="0" w:line="360" w:lineRule="auto"/>
        <w:rPr>
          <w:rFonts w:ascii="宋体" w:hAnsi="宋体" w:cs="宋体"/>
          <w:sz w:val="21"/>
          <w:szCs w:val="21"/>
        </w:rPr>
      </w:pPr>
      <w:r>
        <w:rPr>
          <w:rFonts w:hint="eastAsia" w:ascii="宋体" w:hAnsi="宋体" w:cs="宋体"/>
          <w:sz w:val="20"/>
          <w:szCs w:val="21"/>
        </w:rPr>
        <w:t>日    期：</w:t>
      </w:r>
    </w:p>
    <w:p>
      <w:pPr>
        <w:spacing w:line="360" w:lineRule="auto"/>
        <w:ind w:firstLine="420" w:firstLineChars="200"/>
        <w:jc w:val="left"/>
        <w:rPr>
          <w:rFonts w:ascii="宋体" w:hAnsi="宋体" w:cs="宋体"/>
          <w:szCs w:val="21"/>
        </w:rPr>
      </w:pPr>
    </w:p>
    <w:p>
      <w:pPr>
        <w:rPr>
          <w:rFonts w:ascii="宋体" w:hAnsi="宋体" w:cs="宋体"/>
        </w:rPr>
      </w:pPr>
    </w:p>
    <w:p>
      <w:pPr>
        <w:pStyle w:val="46"/>
        <w:rPr>
          <w:rFonts w:ascii="宋体" w:hAnsi="宋体" w:cs="宋体"/>
        </w:rPr>
      </w:pPr>
    </w:p>
    <w:p>
      <w:pPr>
        <w:sectPr>
          <w:pgSz w:w="11906" w:h="16838"/>
          <w:pgMar w:top="1474" w:right="1797" w:bottom="1247" w:left="1797" w:header="851" w:footer="851" w:gutter="0"/>
          <w:cols w:space="720" w:num="1"/>
          <w:titlePg/>
          <w:docGrid w:linePitch="312" w:charSpace="0"/>
        </w:sectPr>
      </w:pPr>
    </w:p>
    <w:p>
      <w:pPr>
        <w:rPr>
          <w:rFonts w:ascii="宋体" w:hAnsi="宋体" w:cs="宋体"/>
          <w:szCs w:val="21"/>
        </w:rPr>
      </w:pPr>
      <w:r>
        <w:rPr>
          <w:rFonts w:hint="eastAsia" w:ascii="宋体" w:hAnsi="宋体" w:cs="宋体"/>
        </w:rPr>
        <w:t>5、</w:t>
      </w:r>
      <w:r>
        <w:rPr>
          <w:rFonts w:hint="eastAsia" w:ascii="宋体" w:hAnsi="宋体" w:cs="宋体"/>
          <w:szCs w:val="21"/>
        </w:rPr>
        <w:t>磋商声明书；</w:t>
      </w:r>
    </w:p>
    <w:p>
      <w:pPr>
        <w:snapToGrid w:val="0"/>
        <w:spacing w:beforeLines="50" w:after="50"/>
        <w:jc w:val="center"/>
        <w:rPr>
          <w:rFonts w:ascii="宋体" w:hAnsi="宋体" w:cs="宋体"/>
          <w:sz w:val="28"/>
          <w:szCs w:val="28"/>
        </w:rPr>
      </w:pPr>
      <w:r>
        <w:rPr>
          <w:rFonts w:hint="eastAsia" w:ascii="宋体" w:hAnsi="宋体" w:cs="宋体"/>
          <w:sz w:val="28"/>
          <w:szCs w:val="28"/>
        </w:rPr>
        <w:t>磋商声明书</w:t>
      </w:r>
    </w:p>
    <w:p>
      <w:pPr>
        <w:snapToGrid w:val="0"/>
        <w:spacing w:beforeLines="50" w:after="50"/>
        <w:rPr>
          <w:rFonts w:ascii="宋体" w:hAnsi="宋体" w:cs="宋体"/>
          <w:szCs w:val="21"/>
        </w:rPr>
      </w:pPr>
    </w:p>
    <w:p>
      <w:pPr>
        <w:snapToGrid w:val="0"/>
        <w:spacing w:beforeLines="50" w:after="50"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（采购单位名称）：</w:t>
      </w:r>
    </w:p>
    <w:p>
      <w:pPr>
        <w:snapToGrid w:val="0"/>
        <w:spacing w:beforeLines="50" w:line="360" w:lineRule="auto"/>
        <w:ind w:firstLine="424" w:firstLineChars="202"/>
        <w:rPr>
          <w:rFonts w:ascii="宋体" w:hAnsi="宋体" w:cs="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），我方愿意参加磋商，并声明：</w:t>
      </w:r>
    </w:p>
    <w:p>
      <w:pPr>
        <w:numPr>
          <w:ilvl w:val="0"/>
          <w:numId w:val="14"/>
        </w:numPr>
        <w:snapToGrid w:val="0"/>
        <w:spacing w:line="360" w:lineRule="auto"/>
        <w:ind w:firstLine="424" w:firstLineChars="202"/>
        <w:rPr>
          <w:rFonts w:ascii="宋体" w:hAnsi="宋体" w:cs="宋体"/>
          <w:bCs/>
          <w:szCs w:val="21"/>
        </w:rPr>
      </w:pPr>
      <w:r>
        <w:rPr>
          <w:rFonts w:hint="eastAsia" w:ascii="宋体" w:hAnsi="宋体" w:cs="宋体"/>
        </w:rPr>
        <w:t>我方具备</w:t>
      </w:r>
      <w:r>
        <w:rPr>
          <w:rFonts w:hint="eastAsia" w:ascii="宋体" w:hAnsi="宋体" w:cs="宋体"/>
          <w:bCs/>
          <w:szCs w:val="21"/>
        </w:rPr>
        <w:t>《中华人民共和国政府采购法》第二十二条规定资格条件：</w:t>
      </w:r>
    </w:p>
    <w:p>
      <w:pPr>
        <w:snapToGrid w:val="0"/>
        <w:spacing w:line="360" w:lineRule="auto"/>
        <w:ind w:firstLine="420" w:firstLineChars="200"/>
        <w:rPr>
          <w:rFonts w:ascii="宋体" w:hAnsi="宋体" w:cs="宋体"/>
          <w:bCs/>
          <w:szCs w:val="21"/>
        </w:rPr>
      </w:pPr>
      <w:r>
        <w:rPr>
          <w:rFonts w:hint="eastAsia" w:ascii="宋体" w:hAnsi="宋体" w:cs="宋体"/>
          <w:bCs/>
          <w:szCs w:val="21"/>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hAnsi="宋体" w:cs="宋体"/>
        </w:rPr>
      </w:pPr>
      <w:r>
        <w:rPr>
          <w:rFonts w:hint="eastAsia" w:ascii="宋体" w:hAnsi="宋体" w:cs="宋体"/>
        </w:rPr>
        <w:t>2、我方的法定代表人或单位负责人与所参加本采购项目的其他供应商的法定代表人或单位负责人不为同一人且与其他供应商之间不存在直接控股、管理关系。</w:t>
      </w:r>
    </w:p>
    <w:p>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pPr>
        <w:snapToGrid w:val="0"/>
        <w:spacing w:line="360" w:lineRule="auto"/>
        <w:ind w:firstLine="424" w:firstLineChars="202"/>
        <w:rPr>
          <w:rFonts w:ascii="宋体" w:hAnsi="宋体" w:cs="宋体"/>
          <w:bCs/>
          <w:szCs w:val="21"/>
        </w:rPr>
      </w:pPr>
      <w:r>
        <w:rPr>
          <w:rFonts w:hint="eastAsia" w:ascii="宋体" w:hAnsi="宋体" w:cs="宋体"/>
        </w:rPr>
        <w:t>4、我方</w:t>
      </w:r>
      <w:r>
        <w:rPr>
          <w:rFonts w:hint="eastAsia" w:ascii="宋体" w:hAnsi="宋体" w:cs="宋体"/>
          <w:bCs/>
          <w:szCs w:val="21"/>
        </w:rPr>
        <w:t>未被“信用中国”（www.creditchina.gov.cn)、中国政府采购网（www.ccgp.gov.cn）列入失信被执行人、重大税收违法案件当事人名单、政府采购严重违法失信行为记录名单。</w:t>
      </w:r>
    </w:p>
    <w:p>
      <w:pPr>
        <w:snapToGrid w:val="0"/>
        <w:spacing w:line="360" w:lineRule="auto"/>
        <w:ind w:firstLine="424" w:firstLineChars="202"/>
        <w:rPr>
          <w:rFonts w:ascii="宋体" w:hAnsi="宋体" w:cs="宋体"/>
        </w:rPr>
      </w:pPr>
      <w:r>
        <w:rPr>
          <w:rFonts w:hint="eastAsia" w:ascii="宋体" w:hAnsi="宋体" w:cs="宋体"/>
          <w:bCs/>
          <w:szCs w:val="21"/>
        </w:rPr>
        <w:t>我方对上述声明的真实性负责。</w:t>
      </w:r>
      <w:r>
        <w:rPr>
          <w:rFonts w:hint="eastAsia" w:ascii="宋体" w:hAnsi="宋体" w:cs="宋体"/>
        </w:rPr>
        <w:t>本次磋商采购活动中，如有违法、违规、弄虚作假行为，所造成的损失、不良后果及法律责任，一律由我我方承担。</w:t>
      </w:r>
    </w:p>
    <w:p>
      <w:pPr>
        <w:snapToGrid w:val="0"/>
        <w:spacing w:line="360" w:lineRule="auto"/>
        <w:ind w:left="425"/>
        <w:rPr>
          <w:rFonts w:hAnsi="宋体" w:cs="宋体"/>
          <w:b/>
          <w:color w:val="000000"/>
        </w:rPr>
      </w:pPr>
    </w:p>
    <w:p>
      <w:pPr>
        <w:snapToGrid w:val="0"/>
        <w:spacing w:line="360" w:lineRule="auto"/>
        <w:ind w:left="425"/>
        <w:rPr>
          <w:rFonts w:hAnsi="宋体" w:cs="宋体"/>
          <w:b/>
          <w:color w:val="000000"/>
        </w:rPr>
      </w:pPr>
    </w:p>
    <w:p>
      <w:pPr>
        <w:snapToGrid w:val="0"/>
        <w:spacing w:line="360" w:lineRule="auto"/>
        <w:ind w:left="425"/>
        <w:rPr>
          <w:rFonts w:hAnsi="宋体" w:cs="宋体"/>
          <w:color w:val="000000"/>
          <w:spacing w:val="4"/>
        </w:rPr>
      </w:pPr>
      <w:r>
        <w:rPr>
          <w:rFonts w:hint="eastAsia" w:hAnsi="宋体" w:cs="宋体"/>
          <w:b/>
          <w:color w:val="000000"/>
        </w:rPr>
        <w:t>特此声明！</w:t>
      </w:r>
    </w:p>
    <w:p>
      <w:pPr>
        <w:pStyle w:val="22"/>
        <w:tabs>
          <w:tab w:val="left" w:pos="939"/>
        </w:tabs>
        <w:snapToGrid w:val="0"/>
        <w:spacing w:line="360" w:lineRule="auto"/>
        <w:ind w:left="716" w:leftChars="150" w:hanging="401" w:hangingChars="191"/>
        <w:rPr>
          <w:rFonts w:ascii="宋体" w:hAnsi="宋体" w:cs="宋体"/>
          <w:sz w:val="21"/>
          <w:szCs w:val="21"/>
        </w:rPr>
      </w:pPr>
    </w:p>
    <w:p>
      <w:pPr>
        <w:pStyle w:val="85"/>
        <w:snapToGrid w:val="0"/>
        <w:spacing w:beforeLines="50"/>
        <w:ind w:firstLine="200"/>
        <w:rPr>
          <w:rFonts w:ascii="宋体" w:hAnsi="宋体" w:cs="宋体"/>
          <w:sz w:val="21"/>
          <w:szCs w:val="21"/>
        </w:rPr>
      </w:pPr>
    </w:p>
    <w:p>
      <w:pPr>
        <w:adjustRightInd w:val="0"/>
        <w:snapToGrid w:val="0"/>
        <w:spacing w:line="440" w:lineRule="exact"/>
        <w:jc w:val="right"/>
        <w:rPr>
          <w:rFonts w:ascii="宋体" w:hAnsi="宋体" w:cs="宋体"/>
        </w:rPr>
      </w:pPr>
      <w:r>
        <w:rPr>
          <w:rFonts w:hint="eastAsia" w:ascii="宋体" w:hAnsi="宋体" w:cs="宋体"/>
        </w:rPr>
        <w:t xml:space="preserve">供应商盖章（公章）：             </w:t>
      </w:r>
    </w:p>
    <w:p>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pPr>
        <w:adjustRightInd w:val="0"/>
        <w:snapToGrid w:val="0"/>
        <w:spacing w:line="440" w:lineRule="exact"/>
        <w:jc w:val="right"/>
        <w:rPr>
          <w:rFonts w:ascii="宋体" w:hAnsi="宋体" w:cs="宋体"/>
        </w:rPr>
      </w:pPr>
      <w:r>
        <w:rPr>
          <w:rFonts w:hint="eastAsia" w:ascii="宋体" w:hAnsi="宋体" w:cs="宋体"/>
        </w:rPr>
        <w:t xml:space="preserve">                                                              年  月  日</w:t>
      </w:r>
    </w:p>
    <w:p>
      <w:pPr>
        <w:snapToGrid w:val="0"/>
        <w:spacing w:line="360" w:lineRule="auto"/>
        <w:jc w:val="left"/>
        <w:rPr>
          <w:rFonts w:ascii="宋体" w:hAnsi="宋体" w:cs="宋体"/>
          <w:szCs w:val="21"/>
        </w:rPr>
      </w:pPr>
    </w:p>
    <w:p>
      <w:pPr>
        <w:pStyle w:val="46"/>
        <w:rPr>
          <w:rFonts w:ascii="宋体" w:hAnsi="宋体" w:cs="宋体"/>
          <w:szCs w:val="21"/>
        </w:rPr>
      </w:pPr>
    </w:p>
    <w:p>
      <w:pPr>
        <w:rPr>
          <w:rFonts w:ascii="宋体" w:hAnsi="宋体" w:cs="宋体"/>
          <w:szCs w:val="21"/>
        </w:rPr>
      </w:pPr>
    </w:p>
    <w:p>
      <w:pPr>
        <w:rPr>
          <w:rFonts w:ascii="宋体" w:hAnsi="宋体" w:cs="宋体"/>
          <w:b/>
          <w:bCs/>
        </w:rPr>
      </w:pPr>
    </w:p>
    <w:p>
      <w:pPr>
        <w:snapToGrid w:val="0"/>
        <w:spacing w:line="360" w:lineRule="auto"/>
        <w:ind w:firstLine="413" w:firstLineChars="196"/>
        <w:jc w:val="left"/>
        <w:rPr>
          <w:rFonts w:ascii="宋体" w:hAnsi="宋体" w:cs="宋体"/>
          <w:b/>
          <w:bCs/>
          <w:color w:val="000000"/>
          <w:szCs w:val="21"/>
        </w:rPr>
        <w:sectPr>
          <w:pgSz w:w="11906" w:h="16838"/>
          <w:pgMar w:top="1474" w:right="1797" w:bottom="1247" w:left="1797" w:header="851" w:footer="851" w:gutter="0"/>
          <w:cols w:space="720" w:num="1"/>
          <w:titlePg/>
          <w:docGrid w:linePitch="312" w:charSpace="0"/>
        </w:sectPr>
      </w:pPr>
    </w:p>
    <w:p>
      <w:pPr>
        <w:snapToGrid w:val="0"/>
        <w:spacing w:line="360" w:lineRule="auto"/>
        <w:ind w:firstLine="413" w:firstLineChars="196"/>
        <w:jc w:val="left"/>
        <w:rPr>
          <w:rFonts w:ascii="宋体" w:hAnsi="宋体" w:cs="宋体"/>
          <w:b/>
          <w:bCs/>
          <w:color w:val="000000"/>
          <w:szCs w:val="21"/>
        </w:rPr>
      </w:pPr>
      <w:r>
        <w:rPr>
          <w:rFonts w:hint="eastAsia" w:ascii="宋体" w:hAnsi="宋体" w:cs="宋体"/>
          <w:b/>
          <w:bCs/>
          <w:color w:val="000000"/>
          <w:szCs w:val="21"/>
        </w:rPr>
        <w:t>2、资信技术文件包括：</w:t>
      </w:r>
    </w:p>
    <w:p>
      <w:pPr>
        <w:spacing w:line="360" w:lineRule="auto"/>
        <w:ind w:firstLine="420" w:firstLineChars="200"/>
        <w:rPr>
          <w:rFonts w:ascii="宋体" w:hAnsi="宋体" w:cs="宋体"/>
        </w:rPr>
      </w:pPr>
      <w:r>
        <w:rPr>
          <w:rFonts w:hint="eastAsia" w:ascii="宋体" w:hAnsi="宋体" w:cs="宋体"/>
        </w:rPr>
        <w:t>2.1、符合性自查表（格式附后）；</w:t>
      </w:r>
    </w:p>
    <w:p>
      <w:pPr>
        <w:spacing w:line="360" w:lineRule="auto"/>
        <w:ind w:firstLine="420" w:firstLineChars="200"/>
        <w:rPr>
          <w:rFonts w:ascii="宋体" w:hAnsi="宋体" w:cs="宋体"/>
        </w:rPr>
      </w:pPr>
      <w:r>
        <w:rPr>
          <w:rFonts w:hint="eastAsia" w:ascii="宋体" w:hAnsi="宋体" w:cs="宋体"/>
        </w:rPr>
        <w:t>2.2、项目供应商响应表（格式附后）；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2.3、供应商一般情况（格式附后）；</w:t>
      </w:r>
    </w:p>
    <w:p>
      <w:pPr>
        <w:snapToGrid w:val="0"/>
        <w:spacing w:line="360" w:lineRule="auto"/>
        <w:ind w:firstLine="420" w:firstLineChars="200"/>
        <w:jc w:val="left"/>
      </w:pPr>
      <w:r>
        <w:rPr>
          <w:rFonts w:hint="eastAsia" w:ascii="宋体" w:hAnsi="宋体" w:cs="宋体"/>
          <w:szCs w:val="21"/>
        </w:rPr>
        <w:t>2.4、法定代表人身份证明、法定代表人授权书和被授权代表身份证复印件（供应商代表为法定代表人的提供法定代表人身份证明，供应商的代表若为非法定代表人的，还须提交法定代表人授权书及被授权代表在提交首次磋商响应文件截止日前二个月内任一月）(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2.5、商务条款响应（偏离）表(格式附后)；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2.6、服务条款响应（偏离）表（格式附后）；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2.7、项目总体了解情况；</w:t>
      </w:r>
    </w:p>
    <w:p>
      <w:pPr>
        <w:snapToGrid w:val="0"/>
        <w:spacing w:line="360" w:lineRule="auto"/>
        <w:ind w:firstLine="420" w:firstLineChars="200"/>
        <w:jc w:val="left"/>
        <w:rPr>
          <w:rFonts w:ascii="宋体" w:hAnsi="宋体" w:cs="宋体"/>
          <w:szCs w:val="21"/>
        </w:rPr>
      </w:pPr>
      <w:r>
        <w:rPr>
          <w:rFonts w:hint="eastAsia" w:ascii="宋体" w:hAnsi="宋体" w:cs="宋体"/>
          <w:szCs w:val="21"/>
        </w:rPr>
        <w:t>2.8、</w:t>
      </w:r>
      <w:r>
        <w:rPr>
          <w:rFonts w:hint="eastAsia" w:ascii="宋体" w:hAnsi="宋体" w:cs="宋体"/>
          <w:szCs w:val="21"/>
          <w:lang w:val="zh-CN"/>
        </w:rPr>
        <w:t>报名审核</w:t>
      </w:r>
      <w:r>
        <w:rPr>
          <w:rFonts w:hint="eastAsia" w:ascii="宋体" w:hAnsi="宋体" w:cs="宋体"/>
          <w:szCs w:val="21"/>
        </w:rPr>
        <w:t>流程；</w:t>
      </w:r>
    </w:p>
    <w:p>
      <w:pPr>
        <w:snapToGrid w:val="0"/>
        <w:spacing w:line="360" w:lineRule="auto"/>
        <w:ind w:firstLine="420" w:firstLineChars="200"/>
        <w:jc w:val="left"/>
        <w:rPr>
          <w:rFonts w:ascii="宋体" w:hAnsi="宋体" w:cs="宋体"/>
          <w:szCs w:val="21"/>
        </w:rPr>
      </w:pPr>
      <w:r>
        <w:rPr>
          <w:rFonts w:hint="eastAsia" w:ascii="宋体" w:hAnsi="宋体" w:cs="宋体"/>
          <w:szCs w:val="21"/>
        </w:rPr>
        <w:t>2.9、</w:t>
      </w:r>
      <w:r>
        <w:rPr>
          <w:rFonts w:hint="eastAsia" w:ascii="宋体" w:hAnsi="宋体" w:cs="宋体"/>
          <w:szCs w:val="21"/>
          <w:lang w:val="zh-CN"/>
        </w:rPr>
        <w:t>笔试、面试</w:t>
      </w:r>
      <w:r>
        <w:rPr>
          <w:rFonts w:hint="eastAsia" w:ascii="宋体" w:hAnsi="宋体" w:cs="宋体"/>
          <w:szCs w:val="21"/>
        </w:rPr>
        <w:t>服务方案；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2.10、资格复审和体检服务方案；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2.11、录用及人员通知服务方案；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2.12、服务保障方案；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2.13、员工培训方案；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2.14、管理制度；</w:t>
      </w:r>
    </w:p>
    <w:p>
      <w:pPr>
        <w:snapToGrid w:val="0"/>
        <w:spacing w:line="360" w:lineRule="auto"/>
        <w:ind w:firstLine="420" w:firstLineChars="200"/>
        <w:jc w:val="left"/>
        <w:rPr>
          <w:rFonts w:ascii="宋体" w:hAnsi="宋体" w:cs="宋体"/>
          <w:szCs w:val="21"/>
        </w:rPr>
      </w:pPr>
      <w:r>
        <w:rPr>
          <w:rFonts w:hint="eastAsia" w:ascii="宋体" w:hAnsi="宋体" w:cs="宋体"/>
          <w:szCs w:val="21"/>
        </w:rPr>
        <w:t>2.15、管理系统先进性；</w:t>
      </w:r>
    </w:p>
    <w:p>
      <w:pPr>
        <w:snapToGrid w:val="0"/>
        <w:spacing w:line="360" w:lineRule="auto"/>
        <w:ind w:firstLine="420" w:firstLineChars="200"/>
        <w:jc w:val="left"/>
        <w:rPr>
          <w:rFonts w:ascii="宋体" w:hAnsi="宋体" w:cs="宋体"/>
          <w:szCs w:val="21"/>
        </w:rPr>
      </w:pPr>
      <w:r>
        <w:rPr>
          <w:rFonts w:hint="eastAsia" w:ascii="宋体" w:hAnsi="宋体" w:cs="宋体"/>
          <w:szCs w:val="21"/>
        </w:rPr>
        <w:t>2.16、突发事件应急预案；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2.17、疫情防控方案；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2.18、服务承诺；</w:t>
      </w:r>
    </w:p>
    <w:p>
      <w:pPr>
        <w:snapToGrid w:val="0"/>
        <w:spacing w:line="360" w:lineRule="auto"/>
        <w:ind w:firstLine="420" w:firstLineChars="200"/>
        <w:jc w:val="left"/>
        <w:rPr>
          <w:rFonts w:ascii="宋体" w:hAnsi="宋体" w:cs="宋体"/>
          <w:szCs w:val="21"/>
        </w:rPr>
      </w:pPr>
      <w:r>
        <w:rPr>
          <w:rFonts w:hint="eastAsia" w:ascii="宋体" w:hAnsi="宋体" w:cs="宋体"/>
          <w:szCs w:val="21"/>
        </w:rPr>
        <w:t>2.19、拟投入本项目的成员表（格式附后）；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2.20、同类项目业绩表（格式附后）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2.21、磋商文件评分标准中要求提供的所有资料；</w:t>
      </w:r>
    </w:p>
    <w:p>
      <w:pPr>
        <w:snapToGrid w:val="0"/>
        <w:spacing w:line="360" w:lineRule="auto"/>
        <w:ind w:firstLine="420" w:firstLineChars="200"/>
        <w:jc w:val="left"/>
        <w:rPr>
          <w:rFonts w:ascii="宋体" w:hAnsi="宋体" w:cs="宋体"/>
          <w:szCs w:val="21"/>
        </w:rPr>
      </w:pPr>
      <w:r>
        <w:rPr>
          <w:rFonts w:hint="eastAsia" w:ascii="宋体" w:hAnsi="宋体" w:cs="宋体"/>
          <w:szCs w:val="21"/>
        </w:rPr>
        <w:t>2.22、</w:t>
      </w:r>
      <w:r>
        <w:rPr>
          <w:rFonts w:hint="eastAsia" w:ascii="宋体" w:hAnsi="宋体" w:cs="宋体"/>
          <w:szCs w:val="21"/>
          <w:lang w:val="zh-CN"/>
        </w:rPr>
        <w:t>其它本磋商文件要求提供的</w:t>
      </w:r>
      <w:r>
        <w:rPr>
          <w:rFonts w:hint="eastAsia" w:ascii="宋体" w:hAnsi="宋体" w:cs="宋体"/>
          <w:szCs w:val="21"/>
        </w:rPr>
        <w:t>证明</w:t>
      </w:r>
      <w:r>
        <w:rPr>
          <w:rFonts w:hint="eastAsia" w:ascii="宋体" w:hAnsi="宋体" w:cs="宋体"/>
          <w:szCs w:val="21"/>
          <w:lang w:val="zh-CN"/>
        </w:rPr>
        <w:t>材料。</w:t>
      </w:r>
    </w:p>
    <w:p>
      <w:pPr>
        <w:snapToGrid w:val="0"/>
        <w:spacing w:line="360" w:lineRule="auto"/>
        <w:ind w:firstLine="420" w:firstLineChars="200"/>
        <w:jc w:val="left"/>
        <w:rPr>
          <w:rFonts w:ascii="宋体" w:hAnsi="宋体" w:cs="宋体"/>
          <w:szCs w:val="21"/>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pStyle w:val="46"/>
        <w:rPr>
          <w:rFonts w:ascii="宋体" w:hAnsi="宋体" w:cs="宋体"/>
          <w:color w:val="000000"/>
        </w:rPr>
      </w:pPr>
    </w:p>
    <w:p>
      <w:pPr>
        <w:pStyle w:val="46"/>
        <w:rPr>
          <w:rFonts w:ascii="宋体" w:hAnsi="宋体" w:cs="宋体"/>
          <w:color w:val="000000"/>
        </w:rPr>
      </w:pPr>
    </w:p>
    <w:p>
      <w:pPr>
        <w:pStyle w:val="46"/>
        <w:rPr>
          <w:rFonts w:ascii="宋体" w:hAnsi="宋体" w:cs="宋体"/>
          <w:color w:val="000000"/>
        </w:rPr>
      </w:pPr>
    </w:p>
    <w:p>
      <w:pPr>
        <w:rPr>
          <w:rFonts w:ascii="宋体" w:hAnsi="宋体" w:cs="宋体"/>
          <w:color w:val="000000"/>
        </w:rPr>
      </w:pPr>
      <w:r>
        <w:rPr>
          <w:rFonts w:ascii="宋体" w:hAnsi="宋体" w:cs="宋体"/>
          <w:color w:val="000000"/>
        </w:rPr>
        <w:br w:type="page"/>
      </w:r>
    </w:p>
    <w:p>
      <w:pPr>
        <w:rPr>
          <w:rFonts w:ascii="宋体" w:hAnsi="宋体" w:cs="宋体"/>
          <w:color w:val="000000"/>
        </w:rPr>
      </w:pPr>
    </w:p>
    <w:p>
      <w:pPr>
        <w:snapToGrid w:val="0"/>
        <w:spacing w:line="360" w:lineRule="auto"/>
        <w:jc w:val="left"/>
        <w:rPr>
          <w:rFonts w:ascii="宋体" w:hAnsi="宋体" w:cs="宋体"/>
          <w:szCs w:val="21"/>
        </w:rPr>
      </w:pPr>
      <w:r>
        <w:rPr>
          <w:rFonts w:hint="eastAsia" w:ascii="宋体" w:hAnsi="宋体" w:cs="宋体"/>
        </w:rPr>
        <w:t>1</w:t>
      </w:r>
      <w:r>
        <w:rPr>
          <w:rFonts w:hint="eastAsia" w:ascii="宋体" w:hAnsi="宋体" w:cs="宋体"/>
          <w:szCs w:val="21"/>
        </w:rPr>
        <w:t>、符合性自查表；</w:t>
      </w:r>
    </w:p>
    <w:p>
      <w:pPr>
        <w:jc w:val="center"/>
        <w:rPr>
          <w:rFonts w:ascii="宋体" w:hAnsi="宋体" w:cs="宋体"/>
          <w:b/>
        </w:rPr>
      </w:pPr>
      <w:r>
        <w:rPr>
          <w:rFonts w:hint="eastAsia" w:ascii="宋体" w:hAnsi="宋体" w:cs="宋体"/>
          <w:b/>
        </w:rPr>
        <w:t>符合性自查表</w:t>
      </w:r>
    </w:p>
    <w:p>
      <w:pPr>
        <w:jc w:val="center"/>
        <w:rPr>
          <w:rFonts w:ascii="宋体" w:hAnsi="宋体" w:cs="宋体"/>
          <w:b/>
        </w:rPr>
      </w:pPr>
    </w:p>
    <w:tbl>
      <w:tblPr>
        <w:tblStyle w:val="47"/>
        <w:tblW w:w="8933"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31"/>
        <w:gridCol w:w="4221"/>
        <w:gridCol w:w="1270"/>
        <w:gridCol w:w="2611"/>
      </w:tblGrid>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szCs w:val="21"/>
              </w:rPr>
              <w:t>磋商采购</w:t>
            </w:r>
            <w:r>
              <w:rPr>
                <w:rFonts w:hint="eastAsia" w:ascii="宋体" w:hAnsi="宋体" w:cs="宋体"/>
              </w:rPr>
              <w:t>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rPr>
              <w:t>自查结论</w:t>
            </w:r>
          </w:p>
        </w:tc>
        <w:tc>
          <w:tcPr>
            <w:tcW w:w="2611" w:type="dxa"/>
            <w:tcBorders>
              <w:top w:val="single" w:color="auto" w:sz="12" w:space="0"/>
              <w:left w:val="outset" w:color="111111" w:sz="6" w:space="0"/>
              <w:bottom w:val="outset" w:color="111111" w:sz="6" w:space="0"/>
              <w:right w:val="single" w:color="auto" w:sz="12" w:space="0"/>
            </w:tcBorders>
            <w:vAlign w:val="center"/>
          </w:tcPr>
          <w:p>
            <w:pPr>
              <w:spacing w:line="240" w:lineRule="exact"/>
              <w:jc w:val="center"/>
              <w:rPr>
                <w:rFonts w:ascii="宋体" w:hAnsi="宋体" w:cs="宋体"/>
              </w:rPr>
            </w:pPr>
            <w:r>
              <w:rPr>
                <w:rFonts w:hint="eastAsia" w:ascii="宋体" w:hAnsi="宋体" w:cs="宋体"/>
              </w:rPr>
              <w:t>证明资料</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669" w:hRule="atLeast"/>
          <w:jc w:val="center"/>
        </w:trPr>
        <w:tc>
          <w:tcPr>
            <w:tcW w:w="831" w:type="dxa"/>
            <w:vMerge w:val="restart"/>
            <w:tcBorders>
              <w:top w:val="outset" w:color="111111" w:sz="6" w:space="0"/>
              <w:left w:val="single" w:color="auto" w:sz="12" w:space="0"/>
              <w:right w:val="outset" w:color="111111" w:sz="6" w:space="0"/>
            </w:tcBorders>
            <w:vAlign w:val="center"/>
          </w:tcPr>
          <w:p>
            <w:pPr>
              <w:pStyle w:val="88"/>
              <w:adjustRightInd w:val="0"/>
              <w:snapToGrid w:val="0"/>
              <w:spacing w:before="0" w:beforeAutospacing="0" w:after="0" w:afterAutospacing="0" w:line="240" w:lineRule="exact"/>
              <w:jc w:val="both"/>
              <w:rPr>
                <w:rFonts w:hint="default" w:cs="宋体"/>
              </w:rPr>
            </w:pPr>
            <w:r>
              <w:rPr>
                <w:rFonts w:cs="宋体"/>
                <w:b/>
                <w:kern w:val="2"/>
                <w:sz w:val="21"/>
                <w:szCs w:val="21"/>
              </w:rPr>
              <w:t>符合性审</w:t>
            </w:r>
            <w:r>
              <w:rPr>
                <w:rFonts w:cs="宋体"/>
                <w:b/>
                <w:szCs w:val="21"/>
              </w:rPr>
              <w:t>查</w:t>
            </w: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1、磋商响应文件完全满足磋商</w:t>
            </w:r>
            <w:r>
              <w:rPr>
                <w:rFonts w:hint="eastAsia" w:ascii="宋体" w:hAnsi="宋体" w:cs="宋体"/>
                <w:szCs w:val="21"/>
              </w:rPr>
              <w:t>采购</w:t>
            </w:r>
            <w:r>
              <w:rPr>
                <w:rFonts w:hint="eastAsia" w:ascii="宋体" w:hAnsi="宋体" w:cs="宋体"/>
              </w:rPr>
              <w:t>文件的实质性条款（即标注</w:t>
            </w:r>
            <w:r>
              <w:rPr>
                <w:rFonts w:hint="eastAsia" w:ascii="宋体" w:hAnsi="宋体" w:cs="宋体"/>
                <w:szCs w:val="21"/>
              </w:rPr>
              <w:t>▲</w:t>
            </w:r>
            <w:r>
              <w:rPr>
                <w:rFonts w:hint="eastAsia" w:ascii="宋体" w:hAnsi="宋体" w:cs="宋体"/>
              </w:rPr>
              <w:t>号条款）无负偏离的；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2、法定代表人证明书/法定代表人授权委托书。</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3、没有其他未实质性响应文件要求的。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4、磋商响应文件没有磋商</w:t>
            </w:r>
            <w:r>
              <w:rPr>
                <w:rFonts w:hint="eastAsia" w:ascii="宋体" w:hAnsi="宋体" w:cs="宋体"/>
                <w:szCs w:val="21"/>
              </w:rPr>
              <w:t>采购</w:t>
            </w:r>
            <w:r>
              <w:rPr>
                <w:rFonts w:hint="eastAsia" w:ascii="宋体" w:hAnsi="宋体" w:cs="宋体"/>
              </w:rPr>
              <w:t>文件中规定的其它无效磋商条款的；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5、按有关法律、法规、规章不属于磋商无效的。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bl>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r>
        <w:rPr>
          <w:rFonts w:hint="eastAsia" w:ascii="宋体" w:hAnsi="宋体" w:cs="宋体"/>
        </w:rPr>
        <w:t xml:space="preserve">供应商盖章（公章）：             </w:t>
      </w:r>
    </w:p>
    <w:p>
      <w:pPr>
        <w:adjustRightInd w:val="0"/>
        <w:snapToGrid w:val="0"/>
        <w:spacing w:line="440" w:lineRule="exact"/>
        <w:jc w:val="right"/>
        <w:rPr>
          <w:rFonts w:ascii="宋体" w:hAnsi="宋体" w:cs="宋体"/>
        </w:rPr>
      </w:pPr>
      <w:r>
        <w:rPr>
          <w:rFonts w:hint="eastAsia" w:ascii="宋体" w:hAnsi="宋体" w:cs="宋体"/>
        </w:rPr>
        <w:t xml:space="preserve">        </w:t>
      </w:r>
    </w:p>
    <w:p>
      <w:pPr>
        <w:adjustRightInd w:val="0"/>
        <w:snapToGrid w:val="0"/>
        <w:spacing w:line="440" w:lineRule="exact"/>
        <w:jc w:val="right"/>
        <w:rPr>
          <w:rFonts w:ascii="宋体" w:hAnsi="宋体" w:cs="宋体"/>
        </w:rPr>
      </w:pPr>
      <w:r>
        <w:rPr>
          <w:rFonts w:hint="eastAsia" w:ascii="宋体" w:hAnsi="宋体" w:cs="宋体"/>
        </w:rPr>
        <w:t xml:space="preserve">                               年  月  日</w:t>
      </w:r>
    </w:p>
    <w:p>
      <w:pPr>
        <w:adjustRightInd w:val="0"/>
        <w:snapToGrid w:val="0"/>
        <w:spacing w:line="440" w:lineRule="exact"/>
        <w:jc w:val="center"/>
        <w:rPr>
          <w:rFonts w:ascii="宋体" w:hAnsi="宋体" w:cs="宋体"/>
        </w:rPr>
      </w:pPr>
    </w:p>
    <w:p>
      <w:pPr>
        <w:rPr>
          <w:rFonts w:ascii="宋体" w:hAnsi="宋体" w:cs="宋体"/>
          <w:b/>
          <w:szCs w:val="21"/>
        </w:rPr>
      </w:pPr>
      <w:r>
        <w:rPr>
          <w:rFonts w:hint="eastAsia" w:ascii="宋体" w:hAnsi="宋体" w:cs="宋体"/>
          <w:b/>
          <w:szCs w:val="21"/>
        </w:rPr>
        <w:t>备注：供应商自查表将作为供应商有效性审查的重要内容之一，供应商必须严格按照其内容及序列要求在磋商响应文件中对应如实提供，对符合性证明文件的任何缺漏和不符合项将会直接导致磋商无效！</w:t>
      </w:r>
    </w:p>
    <w:p>
      <w:pPr>
        <w:rPr>
          <w:rFonts w:ascii="宋体" w:hAnsi="宋体" w:cs="宋体"/>
          <w:b/>
          <w:bCs/>
        </w:rPr>
        <w:sectPr>
          <w:pgSz w:w="11906" w:h="16838"/>
          <w:pgMar w:top="1474" w:right="1797" w:bottom="1247" w:left="1797" w:header="851" w:footer="851" w:gutter="0"/>
          <w:cols w:space="720" w:num="1"/>
          <w:titlePg/>
          <w:docGrid w:linePitch="312" w:charSpace="0"/>
        </w:sectPr>
      </w:pPr>
    </w:p>
    <w:p>
      <w:pPr>
        <w:snapToGrid w:val="0"/>
        <w:spacing w:line="360" w:lineRule="auto"/>
        <w:jc w:val="left"/>
        <w:rPr>
          <w:rFonts w:ascii="宋体" w:hAnsi="宋体" w:cs="宋体"/>
          <w:szCs w:val="21"/>
        </w:rPr>
      </w:pPr>
      <w:r>
        <w:rPr>
          <w:rFonts w:hint="eastAsia" w:ascii="宋体" w:hAnsi="宋体" w:cs="宋体"/>
          <w:szCs w:val="21"/>
        </w:rPr>
        <w:t>2、项目供应商响应表；</w:t>
      </w:r>
    </w:p>
    <w:p>
      <w:pPr>
        <w:jc w:val="center"/>
        <w:rPr>
          <w:rFonts w:ascii="宋体" w:hAnsi="宋体" w:cs="宋体"/>
          <w:b/>
          <w:sz w:val="32"/>
          <w:szCs w:val="32"/>
        </w:rPr>
      </w:pPr>
      <w:r>
        <w:rPr>
          <w:rFonts w:hint="eastAsia" w:ascii="宋体" w:hAnsi="宋体" w:cs="宋体"/>
          <w:b/>
          <w:sz w:val="32"/>
          <w:szCs w:val="32"/>
        </w:rPr>
        <w:t>项目供应商响应表</w:t>
      </w:r>
    </w:p>
    <w:p>
      <w:pPr>
        <w:rPr>
          <w:rFonts w:ascii="宋体" w:hAnsi="宋体" w:cs="宋体"/>
        </w:rPr>
      </w:pPr>
    </w:p>
    <w:p>
      <w:pPr>
        <w:rPr>
          <w:rFonts w:ascii="宋体" w:hAnsi="宋体" w:cs="宋体"/>
        </w:rPr>
      </w:pPr>
      <w:r>
        <w:rPr>
          <w:rFonts w:hint="eastAsia" w:ascii="宋体" w:hAnsi="宋体" w:cs="宋体"/>
        </w:rPr>
        <w:t xml:space="preserve">项目编号：                      项目名称：     </w:t>
      </w:r>
    </w:p>
    <w:p>
      <w:pPr>
        <w:rPr>
          <w:rFonts w:ascii="宋体" w:hAnsi="宋体" w:cs="宋体"/>
        </w:rPr>
      </w:pPr>
      <w:r>
        <w:rPr>
          <w:rFonts w:hint="eastAsia" w:ascii="宋体" w:hAnsi="宋体" w:cs="宋体"/>
        </w:rPr>
        <w:t xml:space="preserve">        </w:t>
      </w:r>
    </w:p>
    <w:tbl>
      <w:tblPr>
        <w:tblStyle w:val="47"/>
        <w:tblW w:w="9540" w:type="dxa"/>
        <w:tblInd w:w="-157" w:type="dxa"/>
        <w:tblLayout w:type="fixed"/>
        <w:tblCellMar>
          <w:top w:w="0" w:type="dxa"/>
          <w:left w:w="108" w:type="dxa"/>
          <w:bottom w:w="0" w:type="dxa"/>
          <w:right w:w="108" w:type="dxa"/>
        </w:tblCellMar>
      </w:tblPr>
      <w:tblGrid>
        <w:gridCol w:w="816"/>
        <w:gridCol w:w="4651"/>
        <w:gridCol w:w="1372"/>
        <w:gridCol w:w="1356"/>
        <w:gridCol w:w="1345"/>
      </w:tblGrid>
      <w:tr>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序号</w:t>
            </w:r>
          </w:p>
        </w:tc>
        <w:tc>
          <w:tcPr>
            <w:tcW w:w="4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评审内容</w:t>
            </w: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自评分</w:t>
            </w: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说明</w:t>
            </w: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证明文件</w:t>
            </w:r>
          </w:p>
        </w:tc>
      </w:tr>
      <w:tr>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nil"/>
              <w:left w:val="nil"/>
              <w:bottom w:val="single" w:color="auto" w:sz="4" w:space="0"/>
              <w:right w:val="single" w:color="auto" w:sz="4" w:space="0"/>
            </w:tcBorders>
            <w:vAlign w:val="center"/>
          </w:tcPr>
          <w:p>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pPr>
              <w:jc w:val="center"/>
              <w:rPr>
                <w:rFonts w:ascii="宋体" w:hAnsi="宋体" w:cs="宋体"/>
              </w:rPr>
            </w:pPr>
          </w:p>
        </w:tc>
        <w:tc>
          <w:tcPr>
            <w:tcW w:w="1345"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nil"/>
              <w:left w:val="nil"/>
              <w:bottom w:val="single" w:color="auto" w:sz="4" w:space="0"/>
              <w:right w:val="single" w:color="auto" w:sz="4" w:space="0"/>
            </w:tcBorders>
            <w:vAlign w:val="center"/>
          </w:tcPr>
          <w:p>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pPr>
              <w:jc w:val="center"/>
              <w:rPr>
                <w:rFonts w:ascii="宋体" w:hAnsi="宋体" w:cs="宋体"/>
              </w:rPr>
            </w:pPr>
          </w:p>
        </w:tc>
        <w:tc>
          <w:tcPr>
            <w:tcW w:w="1345"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nil"/>
              <w:left w:val="nil"/>
              <w:bottom w:val="single" w:color="auto" w:sz="4" w:space="0"/>
              <w:right w:val="single" w:color="auto" w:sz="4" w:space="0"/>
            </w:tcBorders>
            <w:vAlign w:val="center"/>
          </w:tcPr>
          <w:p>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pPr>
              <w:jc w:val="center"/>
              <w:rPr>
                <w:rFonts w:ascii="宋体" w:hAnsi="宋体" w:cs="宋体"/>
              </w:rPr>
            </w:pPr>
          </w:p>
        </w:tc>
        <w:tc>
          <w:tcPr>
            <w:tcW w:w="1345"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nil"/>
              <w:left w:val="nil"/>
              <w:bottom w:val="single" w:color="auto" w:sz="4" w:space="0"/>
              <w:right w:val="single" w:color="auto" w:sz="4" w:space="0"/>
            </w:tcBorders>
            <w:vAlign w:val="center"/>
          </w:tcPr>
          <w:p>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pPr>
              <w:jc w:val="center"/>
              <w:rPr>
                <w:rFonts w:ascii="宋体" w:hAnsi="宋体" w:cs="宋体"/>
              </w:rPr>
            </w:pPr>
          </w:p>
        </w:tc>
        <w:tc>
          <w:tcPr>
            <w:tcW w:w="1345"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bl>
    <w:p>
      <w:pPr>
        <w:spacing w:line="400" w:lineRule="exact"/>
        <w:rPr>
          <w:rFonts w:ascii="宋体" w:hAnsi="宋体" w:cs="宋体"/>
          <w:b/>
        </w:rPr>
      </w:pPr>
      <w:r>
        <w:rPr>
          <w:rFonts w:hint="eastAsia" w:ascii="宋体" w:hAnsi="宋体" w:cs="宋体"/>
          <w:b/>
        </w:rPr>
        <w:t>根据评分标准逐条填写（</w:t>
      </w:r>
      <w:r>
        <w:rPr>
          <w:rFonts w:hint="eastAsia" w:ascii="宋体" w:hAnsi="宋体" w:cs="宋体"/>
          <w:b/>
          <w:szCs w:val="21"/>
        </w:rPr>
        <w:t>价格部分除外</w:t>
      </w:r>
      <w:r>
        <w:rPr>
          <w:rFonts w:hint="eastAsia" w:ascii="宋体" w:hAnsi="宋体" w:cs="宋体"/>
          <w:b/>
        </w:rPr>
        <w:t>）</w:t>
      </w:r>
    </w:p>
    <w:p>
      <w:pPr>
        <w:spacing w:line="400" w:lineRule="exact"/>
        <w:rPr>
          <w:rFonts w:ascii="宋体" w:hAnsi="宋体" w:cs="宋体"/>
          <w:b/>
        </w:rPr>
      </w:pPr>
    </w:p>
    <w:p>
      <w:pPr>
        <w:spacing w:line="400" w:lineRule="exact"/>
        <w:ind w:firstLine="3150" w:firstLineChars="1500"/>
        <w:jc w:val="right"/>
        <w:rPr>
          <w:rFonts w:ascii="宋体" w:hAnsi="宋体" w:cs="宋体"/>
          <w:szCs w:val="21"/>
        </w:rPr>
      </w:pPr>
      <w:r>
        <w:rPr>
          <w:rFonts w:hint="eastAsia" w:ascii="宋体" w:hAnsi="宋体" w:cs="宋体"/>
          <w:szCs w:val="21"/>
        </w:rPr>
        <w:t xml:space="preserve">供应商盖章（公章）：             </w:t>
      </w:r>
    </w:p>
    <w:p>
      <w:pPr>
        <w:spacing w:line="360" w:lineRule="auto"/>
        <w:rPr>
          <w:rFonts w:ascii="宋体" w:hAnsi="宋体" w:cs="宋体"/>
          <w:szCs w:val="21"/>
        </w:rPr>
      </w:pPr>
    </w:p>
    <w:p>
      <w:pPr>
        <w:spacing w:line="360" w:lineRule="auto"/>
        <w:ind w:firstLine="3255" w:firstLineChars="1550"/>
        <w:jc w:val="right"/>
        <w:rPr>
          <w:rFonts w:ascii="宋体" w:hAnsi="宋体" w:cs="宋体"/>
          <w:szCs w:val="21"/>
        </w:rPr>
      </w:pPr>
      <w:r>
        <w:rPr>
          <w:rFonts w:hint="eastAsia" w:ascii="宋体" w:hAnsi="宋体" w:cs="宋体"/>
          <w:szCs w:val="21"/>
        </w:rPr>
        <w:t xml:space="preserve">          </w:t>
      </w:r>
    </w:p>
    <w:p>
      <w:pPr>
        <w:spacing w:line="400" w:lineRule="exact"/>
        <w:ind w:left="525" w:leftChars="250" w:firstLine="1470" w:firstLineChars="700"/>
        <w:rPr>
          <w:rFonts w:ascii="宋体" w:hAnsi="宋体" w:cs="宋体"/>
          <w:szCs w:val="21"/>
        </w:rPr>
      </w:pPr>
    </w:p>
    <w:p>
      <w:pPr>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宋体" w:hAnsi="宋体" w:cs="宋体"/>
          <w:b/>
          <w:bCs/>
        </w:rPr>
      </w:pPr>
    </w:p>
    <w:p>
      <w:pPr>
        <w:pStyle w:val="44"/>
        <w:rPr>
          <w:rFonts w:ascii="宋体" w:hAnsi="宋体" w:cs="宋体"/>
          <w:szCs w:val="21"/>
        </w:rPr>
      </w:pPr>
    </w:p>
    <w:p>
      <w:pPr>
        <w:rPr>
          <w:rFonts w:ascii="宋体" w:hAnsi="宋体" w:cs="宋体"/>
          <w:szCs w:val="21"/>
        </w:rPr>
      </w:pPr>
    </w:p>
    <w:p>
      <w:pPr>
        <w:rPr>
          <w:rFonts w:ascii="宋体" w:hAnsi="宋体" w:cs="宋体"/>
          <w:b/>
          <w:bCs/>
        </w:rPr>
      </w:pPr>
    </w:p>
    <w:p>
      <w:pPr>
        <w:snapToGrid w:val="0"/>
        <w:spacing w:line="360" w:lineRule="auto"/>
        <w:jc w:val="left"/>
        <w:rPr>
          <w:rFonts w:ascii="宋体" w:hAnsi="宋体" w:cs="宋体"/>
          <w:szCs w:val="21"/>
        </w:rPr>
      </w:pPr>
      <w:r>
        <w:rPr>
          <w:rFonts w:hint="eastAsia" w:ascii="宋体" w:hAnsi="宋体" w:cs="宋体"/>
        </w:rPr>
        <w:t>3、</w:t>
      </w:r>
      <w:r>
        <w:rPr>
          <w:rFonts w:hint="eastAsia" w:ascii="宋体" w:hAnsi="宋体" w:cs="宋体"/>
          <w:szCs w:val="21"/>
        </w:rPr>
        <w:t>供应商一般情况；</w:t>
      </w:r>
    </w:p>
    <w:p>
      <w:pPr>
        <w:snapToGrid w:val="0"/>
        <w:spacing w:before="50" w:afterLines="50"/>
        <w:jc w:val="center"/>
        <w:rPr>
          <w:rFonts w:ascii="宋体" w:hAnsi="宋体" w:cs="宋体"/>
          <w:sz w:val="28"/>
          <w:szCs w:val="28"/>
        </w:rPr>
      </w:pPr>
      <w:r>
        <w:rPr>
          <w:rFonts w:hint="eastAsia" w:ascii="宋体" w:hAnsi="宋体" w:cs="宋体"/>
          <w:sz w:val="28"/>
          <w:szCs w:val="28"/>
        </w:rPr>
        <w:t>供应商一般情况表</w:t>
      </w:r>
    </w:p>
    <w:tbl>
      <w:tblPr>
        <w:tblStyle w:val="47"/>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供应商名称</w:t>
            </w:r>
          </w:p>
        </w:tc>
        <w:tc>
          <w:tcPr>
            <w:tcW w:w="7302" w:type="dxa"/>
            <w:gridSpan w:val="1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注册地址</w:t>
            </w:r>
          </w:p>
        </w:tc>
        <w:tc>
          <w:tcPr>
            <w:tcW w:w="3647" w:type="dxa"/>
            <w:gridSpan w:val="4"/>
            <w:vAlign w:val="center"/>
          </w:tcPr>
          <w:p>
            <w:pPr>
              <w:spacing w:line="360" w:lineRule="auto"/>
              <w:jc w:val="center"/>
              <w:rPr>
                <w:rFonts w:ascii="宋体" w:hAnsi="宋体" w:cs="宋体"/>
                <w:szCs w:val="21"/>
              </w:rPr>
            </w:pPr>
          </w:p>
        </w:tc>
        <w:tc>
          <w:tcPr>
            <w:tcW w:w="1602" w:type="dxa"/>
            <w:gridSpan w:val="3"/>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2053" w:type="dxa"/>
            <w:gridSpan w:val="3"/>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vAlign w:val="center"/>
          </w:tcPr>
          <w:p>
            <w:pPr>
              <w:spacing w:line="360" w:lineRule="auto"/>
              <w:jc w:val="center"/>
              <w:rPr>
                <w:rFonts w:ascii="宋体" w:hAnsi="宋体" w:cs="宋体"/>
                <w:szCs w:val="21"/>
              </w:rPr>
            </w:pPr>
            <w:r>
              <w:rPr>
                <w:rFonts w:hint="eastAsia" w:ascii="宋体" w:hAnsi="宋体" w:cs="宋体"/>
                <w:szCs w:val="21"/>
              </w:rPr>
              <w:t>联系方式</w:t>
            </w:r>
          </w:p>
        </w:tc>
        <w:tc>
          <w:tcPr>
            <w:tcW w:w="1283" w:type="dxa"/>
            <w:gridSpan w:val="2"/>
            <w:vAlign w:val="center"/>
          </w:tcPr>
          <w:p>
            <w:pPr>
              <w:spacing w:line="360" w:lineRule="auto"/>
              <w:jc w:val="center"/>
              <w:rPr>
                <w:rFonts w:ascii="宋体" w:hAnsi="宋体" w:cs="宋体"/>
                <w:szCs w:val="21"/>
              </w:rPr>
            </w:pPr>
            <w:r>
              <w:rPr>
                <w:rFonts w:hint="eastAsia" w:ascii="宋体" w:hAnsi="宋体" w:cs="宋体"/>
                <w:szCs w:val="21"/>
              </w:rPr>
              <w:t>联系人</w:t>
            </w:r>
          </w:p>
        </w:tc>
        <w:tc>
          <w:tcPr>
            <w:tcW w:w="2364" w:type="dxa"/>
            <w:gridSpan w:val="2"/>
            <w:vAlign w:val="center"/>
          </w:tcPr>
          <w:p>
            <w:pPr>
              <w:spacing w:line="360" w:lineRule="auto"/>
              <w:jc w:val="center"/>
              <w:rPr>
                <w:rFonts w:ascii="宋体" w:hAnsi="宋体" w:cs="宋体"/>
                <w:szCs w:val="21"/>
              </w:rPr>
            </w:pPr>
          </w:p>
        </w:tc>
        <w:tc>
          <w:tcPr>
            <w:tcW w:w="1602" w:type="dxa"/>
            <w:gridSpan w:val="3"/>
            <w:vAlign w:val="center"/>
          </w:tcPr>
          <w:p>
            <w:pPr>
              <w:spacing w:line="360" w:lineRule="auto"/>
              <w:jc w:val="center"/>
              <w:rPr>
                <w:rFonts w:ascii="宋体" w:hAnsi="宋体" w:cs="宋体"/>
                <w:szCs w:val="21"/>
              </w:rPr>
            </w:pPr>
            <w:r>
              <w:rPr>
                <w:rFonts w:hint="eastAsia" w:ascii="宋体" w:hAnsi="宋体" w:cs="宋体"/>
                <w:szCs w:val="21"/>
              </w:rPr>
              <w:t>电话</w:t>
            </w:r>
          </w:p>
        </w:tc>
        <w:tc>
          <w:tcPr>
            <w:tcW w:w="2053" w:type="dxa"/>
            <w:gridSpan w:val="3"/>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vAlign w:val="center"/>
          </w:tcPr>
          <w:p>
            <w:pPr>
              <w:spacing w:line="360" w:lineRule="auto"/>
              <w:jc w:val="center"/>
              <w:rPr>
                <w:rFonts w:ascii="宋体" w:hAnsi="宋体" w:cs="宋体"/>
                <w:szCs w:val="21"/>
              </w:rPr>
            </w:pPr>
          </w:p>
        </w:tc>
        <w:tc>
          <w:tcPr>
            <w:tcW w:w="1283" w:type="dxa"/>
            <w:gridSpan w:val="2"/>
            <w:vAlign w:val="center"/>
          </w:tcPr>
          <w:p>
            <w:pPr>
              <w:spacing w:line="360" w:lineRule="auto"/>
              <w:jc w:val="center"/>
              <w:rPr>
                <w:rFonts w:ascii="宋体" w:hAnsi="宋体" w:cs="宋体"/>
                <w:szCs w:val="21"/>
              </w:rPr>
            </w:pPr>
            <w:r>
              <w:rPr>
                <w:rFonts w:hint="eastAsia" w:ascii="宋体" w:hAnsi="宋体" w:cs="宋体"/>
                <w:szCs w:val="21"/>
              </w:rPr>
              <w:t>传真</w:t>
            </w:r>
          </w:p>
        </w:tc>
        <w:tc>
          <w:tcPr>
            <w:tcW w:w="2364" w:type="dxa"/>
            <w:gridSpan w:val="2"/>
            <w:vAlign w:val="center"/>
          </w:tcPr>
          <w:p>
            <w:pPr>
              <w:spacing w:line="360" w:lineRule="auto"/>
              <w:jc w:val="center"/>
              <w:rPr>
                <w:rFonts w:ascii="宋体" w:hAnsi="宋体" w:cs="宋体"/>
                <w:szCs w:val="21"/>
              </w:rPr>
            </w:pPr>
          </w:p>
        </w:tc>
        <w:tc>
          <w:tcPr>
            <w:tcW w:w="1602" w:type="dxa"/>
            <w:gridSpan w:val="3"/>
            <w:vAlign w:val="center"/>
          </w:tcPr>
          <w:p>
            <w:pPr>
              <w:spacing w:line="360" w:lineRule="auto"/>
              <w:jc w:val="center"/>
              <w:rPr>
                <w:rFonts w:ascii="宋体" w:hAnsi="宋体" w:cs="宋体"/>
                <w:szCs w:val="21"/>
              </w:rPr>
            </w:pPr>
            <w:r>
              <w:rPr>
                <w:rFonts w:hint="eastAsia" w:ascii="宋体" w:hAnsi="宋体" w:cs="宋体"/>
                <w:szCs w:val="21"/>
              </w:rPr>
              <w:t>网址</w:t>
            </w:r>
          </w:p>
        </w:tc>
        <w:tc>
          <w:tcPr>
            <w:tcW w:w="2053" w:type="dxa"/>
            <w:gridSpan w:val="3"/>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组织结构</w:t>
            </w:r>
          </w:p>
        </w:tc>
        <w:tc>
          <w:tcPr>
            <w:tcW w:w="7302" w:type="dxa"/>
            <w:gridSpan w:val="1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法定代表人</w:t>
            </w:r>
          </w:p>
        </w:tc>
        <w:tc>
          <w:tcPr>
            <w:tcW w:w="974"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661" w:type="dxa"/>
            <w:gridSpan w:val="2"/>
            <w:vAlign w:val="center"/>
          </w:tcPr>
          <w:p>
            <w:pPr>
              <w:spacing w:line="360" w:lineRule="auto"/>
              <w:jc w:val="center"/>
              <w:rPr>
                <w:rFonts w:ascii="宋体" w:hAnsi="宋体" w:cs="宋体"/>
                <w:szCs w:val="21"/>
              </w:rPr>
            </w:pPr>
          </w:p>
        </w:tc>
        <w:tc>
          <w:tcPr>
            <w:tcW w:w="1361" w:type="dxa"/>
            <w:gridSpan w:val="2"/>
            <w:vAlign w:val="center"/>
          </w:tcPr>
          <w:p>
            <w:pPr>
              <w:spacing w:line="360" w:lineRule="auto"/>
              <w:jc w:val="center"/>
              <w:rPr>
                <w:rFonts w:ascii="宋体" w:hAnsi="宋体" w:cs="宋体"/>
                <w:szCs w:val="21"/>
              </w:rPr>
            </w:pPr>
            <w:r>
              <w:rPr>
                <w:rFonts w:hint="eastAsia" w:ascii="宋体" w:hAnsi="宋体" w:cs="宋体"/>
                <w:szCs w:val="21"/>
              </w:rPr>
              <w:t>技术职称</w:t>
            </w:r>
          </w:p>
        </w:tc>
        <w:tc>
          <w:tcPr>
            <w:tcW w:w="1074" w:type="dxa"/>
            <w:vAlign w:val="center"/>
          </w:tcPr>
          <w:p>
            <w:pPr>
              <w:spacing w:line="360" w:lineRule="auto"/>
              <w:jc w:val="center"/>
              <w:rPr>
                <w:rFonts w:ascii="宋体" w:hAnsi="宋体" w:cs="宋体"/>
                <w:szCs w:val="21"/>
              </w:rPr>
            </w:pPr>
          </w:p>
        </w:tc>
        <w:tc>
          <w:tcPr>
            <w:tcW w:w="816" w:type="dxa"/>
            <w:gridSpan w:val="3"/>
            <w:vAlign w:val="center"/>
          </w:tcPr>
          <w:p>
            <w:pPr>
              <w:spacing w:line="360" w:lineRule="auto"/>
              <w:jc w:val="center"/>
              <w:rPr>
                <w:rFonts w:ascii="宋体" w:hAnsi="宋体" w:cs="宋体"/>
                <w:szCs w:val="21"/>
              </w:rPr>
            </w:pPr>
            <w:r>
              <w:rPr>
                <w:rFonts w:hint="eastAsia" w:ascii="宋体" w:hAnsi="宋体" w:cs="宋体"/>
                <w:szCs w:val="21"/>
              </w:rPr>
              <w:t>电话</w:t>
            </w:r>
          </w:p>
        </w:tc>
        <w:tc>
          <w:tcPr>
            <w:tcW w:w="1416"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技术负责人</w:t>
            </w:r>
          </w:p>
        </w:tc>
        <w:tc>
          <w:tcPr>
            <w:tcW w:w="974"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661" w:type="dxa"/>
            <w:gridSpan w:val="2"/>
            <w:vAlign w:val="center"/>
          </w:tcPr>
          <w:p>
            <w:pPr>
              <w:spacing w:line="360" w:lineRule="auto"/>
              <w:jc w:val="center"/>
              <w:rPr>
                <w:rFonts w:ascii="宋体" w:hAnsi="宋体" w:cs="宋体"/>
                <w:szCs w:val="21"/>
              </w:rPr>
            </w:pPr>
          </w:p>
        </w:tc>
        <w:tc>
          <w:tcPr>
            <w:tcW w:w="1361" w:type="dxa"/>
            <w:gridSpan w:val="2"/>
            <w:vAlign w:val="center"/>
          </w:tcPr>
          <w:p>
            <w:pPr>
              <w:spacing w:line="360" w:lineRule="auto"/>
              <w:jc w:val="center"/>
              <w:rPr>
                <w:rFonts w:ascii="宋体" w:hAnsi="宋体" w:cs="宋体"/>
                <w:szCs w:val="21"/>
              </w:rPr>
            </w:pPr>
            <w:r>
              <w:rPr>
                <w:rFonts w:hint="eastAsia" w:ascii="宋体" w:hAnsi="宋体" w:cs="宋体"/>
                <w:szCs w:val="21"/>
              </w:rPr>
              <w:t>技术职称</w:t>
            </w:r>
          </w:p>
        </w:tc>
        <w:tc>
          <w:tcPr>
            <w:tcW w:w="1074" w:type="dxa"/>
            <w:vAlign w:val="center"/>
          </w:tcPr>
          <w:p>
            <w:pPr>
              <w:spacing w:line="360" w:lineRule="auto"/>
              <w:jc w:val="center"/>
              <w:rPr>
                <w:rFonts w:ascii="宋体" w:hAnsi="宋体" w:cs="宋体"/>
                <w:szCs w:val="21"/>
              </w:rPr>
            </w:pPr>
          </w:p>
        </w:tc>
        <w:tc>
          <w:tcPr>
            <w:tcW w:w="816" w:type="dxa"/>
            <w:gridSpan w:val="3"/>
            <w:vAlign w:val="center"/>
          </w:tcPr>
          <w:p>
            <w:pPr>
              <w:spacing w:line="360" w:lineRule="auto"/>
              <w:jc w:val="center"/>
              <w:rPr>
                <w:rFonts w:ascii="宋体" w:hAnsi="宋体" w:cs="宋体"/>
                <w:szCs w:val="21"/>
              </w:rPr>
            </w:pPr>
            <w:r>
              <w:rPr>
                <w:rFonts w:hint="eastAsia" w:ascii="宋体" w:hAnsi="宋体" w:cs="宋体"/>
                <w:szCs w:val="21"/>
              </w:rPr>
              <w:t>电话</w:t>
            </w:r>
          </w:p>
        </w:tc>
        <w:tc>
          <w:tcPr>
            <w:tcW w:w="1416"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2635" w:type="dxa"/>
            <w:gridSpan w:val="3"/>
            <w:vAlign w:val="center"/>
          </w:tcPr>
          <w:p>
            <w:pPr>
              <w:spacing w:line="360" w:lineRule="auto"/>
              <w:jc w:val="center"/>
              <w:rPr>
                <w:rFonts w:ascii="宋体" w:hAnsi="宋体" w:cs="宋体"/>
                <w:szCs w:val="21"/>
              </w:rPr>
            </w:pPr>
          </w:p>
        </w:tc>
        <w:tc>
          <w:tcPr>
            <w:tcW w:w="4667" w:type="dxa"/>
            <w:gridSpan w:val="7"/>
            <w:vAlign w:val="center"/>
          </w:tcPr>
          <w:p>
            <w:pPr>
              <w:spacing w:line="360" w:lineRule="auto"/>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企业资质等级</w:t>
            </w:r>
          </w:p>
        </w:tc>
        <w:tc>
          <w:tcPr>
            <w:tcW w:w="2635" w:type="dxa"/>
            <w:gridSpan w:val="3"/>
            <w:vAlign w:val="center"/>
          </w:tcPr>
          <w:p>
            <w:pPr>
              <w:spacing w:line="360" w:lineRule="auto"/>
              <w:jc w:val="center"/>
              <w:rPr>
                <w:rFonts w:ascii="宋体" w:hAnsi="宋体" w:cs="宋体"/>
                <w:szCs w:val="21"/>
              </w:rPr>
            </w:pPr>
          </w:p>
        </w:tc>
        <w:tc>
          <w:tcPr>
            <w:tcW w:w="1012" w:type="dxa"/>
            <w:vMerge w:val="restart"/>
            <w:vAlign w:val="center"/>
          </w:tcPr>
          <w:p>
            <w:pPr>
              <w:spacing w:line="360" w:lineRule="auto"/>
              <w:jc w:val="center"/>
              <w:rPr>
                <w:rFonts w:ascii="宋体" w:hAnsi="宋体" w:cs="宋体"/>
                <w:szCs w:val="21"/>
              </w:rPr>
            </w:pPr>
            <w:r>
              <w:rPr>
                <w:rFonts w:hint="eastAsia" w:ascii="宋体" w:hAnsi="宋体" w:cs="宋体"/>
                <w:szCs w:val="21"/>
              </w:rPr>
              <w:t>其中</w:t>
            </w:r>
          </w:p>
        </w:tc>
        <w:tc>
          <w:tcPr>
            <w:tcW w:w="1954" w:type="dxa"/>
            <w:gridSpan w:val="4"/>
            <w:vAlign w:val="center"/>
          </w:tcPr>
          <w:p>
            <w:pPr>
              <w:spacing w:line="360" w:lineRule="auto"/>
              <w:jc w:val="center"/>
              <w:rPr>
                <w:rFonts w:ascii="宋体" w:hAnsi="宋体" w:cs="宋体"/>
                <w:szCs w:val="21"/>
              </w:rPr>
            </w:pPr>
            <w:r>
              <w:rPr>
                <w:rFonts w:hint="eastAsia" w:ascii="宋体" w:hAnsi="宋体" w:cs="宋体"/>
                <w:szCs w:val="21"/>
              </w:rPr>
              <w:t>高级职称人员</w:t>
            </w:r>
          </w:p>
        </w:tc>
        <w:tc>
          <w:tcPr>
            <w:tcW w:w="1701"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营业执照号</w:t>
            </w:r>
          </w:p>
        </w:tc>
        <w:tc>
          <w:tcPr>
            <w:tcW w:w="2635" w:type="dxa"/>
            <w:gridSpan w:val="3"/>
            <w:vAlign w:val="center"/>
          </w:tcPr>
          <w:p>
            <w:pPr>
              <w:spacing w:line="360" w:lineRule="auto"/>
              <w:jc w:val="center"/>
              <w:rPr>
                <w:rFonts w:ascii="宋体" w:hAnsi="宋体" w:cs="宋体"/>
                <w:szCs w:val="21"/>
              </w:rPr>
            </w:pPr>
          </w:p>
        </w:tc>
        <w:tc>
          <w:tcPr>
            <w:tcW w:w="1012" w:type="dxa"/>
            <w:vMerge w:val="continue"/>
            <w:vAlign w:val="center"/>
          </w:tcPr>
          <w:p>
            <w:pPr>
              <w:spacing w:line="360" w:lineRule="auto"/>
              <w:jc w:val="center"/>
              <w:rPr>
                <w:rFonts w:ascii="宋体" w:hAnsi="宋体" w:cs="宋体"/>
                <w:szCs w:val="21"/>
              </w:rPr>
            </w:pPr>
          </w:p>
        </w:tc>
        <w:tc>
          <w:tcPr>
            <w:tcW w:w="1954" w:type="dxa"/>
            <w:gridSpan w:val="4"/>
            <w:vAlign w:val="center"/>
          </w:tcPr>
          <w:p>
            <w:pPr>
              <w:spacing w:line="360" w:lineRule="auto"/>
              <w:jc w:val="center"/>
              <w:rPr>
                <w:rFonts w:ascii="宋体" w:hAnsi="宋体" w:cs="宋体"/>
                <w:szCs w:val="21"/>
              </w:rPr>
            </w:pPr>
            <w:r>
              <w:rPr>
                <w:rFonts w:hint="eastAsia" w:ascii="宋体" w:hAnsi="宋体" w:cs="宋体"/>
                <w:szCs w:val="21"/>
              </w:rPr>
              <w:t>中级职称人员</w:t>
            </w:r>
          </w:p>
        </w:tc>
        <w:tc>
          <w:tcPr>
            <w:tcW w:w="1701"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2635" w:type="dxa"/>
            <w:gridSpan w:val="3"/>
            <w:vAlign w:val="center"/>
          </w:tcPr>
          <w:p>
            <w:pPr>
              <w:spacing w:line="360" w:lineRule="auto"/>
              <w:jc w:val="center"/>
              <w:rPr>
                <w:rFonts w:ascii="宋体" w:hAnsi="宋体" w:cs="宋体"/>
                <w:szCs w:val="21"/>
              </w:rPr>
            </w:pPr>
          </w:p>
        </w:tc>
        <w:tc>
          <w:tcPr>
            <w:tcW w:w="1012" w:type="dxa"/>
            <w:vMerge w:val="continue"/>
            <w:vAlign w:val="center"/>
          </w:tcPr>
          <w:p>
            <w:pPr>
              <w:spacing w:line="360" w:lineRule="auto"/>
              <w:jc w:val="center"/>
              <w:rPr>
                <w:rFonts w:ascii="宋体" w:hAnsi="宋体" w:cs="宋体"/>
                <w:szCs w:val="21"/>
              </w:rPr>
            </w:pPr>
          </w:p>
        </w:tc>
        <w:tc>
          <w:tcPr>
            <w:tcW w:w="1954" w:type="dxa"/>
            <w:gridSpan w:val="4"/>
            <w:vAlign w:val="center"/>
          </w:tcPr>
          <w:p>
            <w:pPr>
              <w:spacing w:line="360" w:lineRule="auto"/>
              <w:jc w:val="center"/>
              <w:rPr>
                <w:rFonts w:ascii="宋体" w:hAnsi="宋体" w:cs="宋体"/>
                <w:szCs w:val="21"/>
              </w:rPr>
            </w:pPr>
            <w:r>
              <w:rPr>
                <w:rFonts w:hint="eastAsia" w:ascii="宋体" w:hAnsi="宋体" w:cs="宋体"/>
                <w:szCs w:val="21"/>
              </w:rPr>
              <w:t>初级职称人员</w:t>
            </w:r>
          </w:p>
        </w:tc>
        <w:tc>
          <w:tcPr>
            <w:tcW w:w="1701"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开户银行</w:t>
            </w:r>
          </w:p>
        </w:tc>
        <w:tc>
          <w:tcPr>
            <w:tcW w:w="2635" w:type="dxa"/>
            <w:gridSpan w:val="3"/>
            <w:vAlign w:val="center"/>
          </w:tcPr>
          <w:p>
            <w:pPr>
              <w:spacing w:line="360" w:lineRule="auto"/>
              <w:jc w:val="center"/>
              <w:rPr>
                <w:rFonts w:ascii="宋体" w:hAnsi="宋体" w:cs="宋体"/>
                <w:szCs w:val="21"/>
              </w:rPr>
            </w:pPr>
          </w:p>
        </w:tc>
        <w:tc>
          <w:tcPr>
            <w:tcW w:w="1012" w:type="dxa"/>
            <w:vMerge w:val="continue"/>
            <w:vAlign w:val="center"/>
          </w:tcPr>
          <w:p>
            <w:pPr>
              <w:spacing w:line="360" w:lineRule="auto"/>
              <w:jc w:val="center"/>
              <w:rPr>
                <w:rFonts w:ascii="宋体" w:hAnsi="宋体" w:cs="宋体"/>
                <w:szCs w:val="21"/>
              </w:rPr>
            </w:pPr>
          </w:p>
        </w:tc>
        <w:tc>
          <w:tcPr>
            <w:tcW w:w="1954" w:type="dxa"/>
            <w:gridSpan w:val="4"/>
            <w:vAlign w:val="center"/>
          </w:tcPr>
          <w:p>
            <w:pPr>
              <w:spacing w:line="360" w:lineRule="auto"/>
              <w:jc w:val="center"/>
              <w:rPr>
                <w:rFonts w:ascii="宋体" w:hAnsi="宋体" w:cs="宋体"/>
                <w:szCs w:val="21"/>
              </w:rPr>
            </w:pPr>
          </w:p>
        </w:tc>
        <w:tc>
          <w:tcPr>
            <w:tcW w:w="1701"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账号</w:t>
            </w:r>
          </w:p>
        </w:tc>
        <w:tc>
          <w:tcPr>
            <w:tcW w:w="2635" w:type="dxa"/>
            <w:gridSpan w:val="3"/>
            <w:vAlign w:val="center"/>
          </w:tcPr>
          <w:p>
            <w:pPr>
              <w:spacing w:line="360" w:lineRule="auto"/>
              <w:jc w:val="center"/>
              <w:rPr>
                <w:rFonts w:ascii="宋体" w:hAnsi="宋体" w:cs="宋体"/>
                <w:szCs w:val="21"/>
              </w:rPr>
            </w:pPr>
          </w:p>
        </w:tc>
        <w:tc>
          <w:tcPr>
            <w:tcW w:w="1012" w:type="dxa"/>
            <w:vMerge w:val="continue"/>
            <w:vAlign w:val="center"/>
          </w:tcPr>
          <w:p>
            <w:pPr>
              <w:spacing w:line="360" w:lineRule="auto"/>
              <w:jc w:val="center"/>
              <w:rPr>
                <w:rFonts w:ascii="宋体" w:hAnsi="宋体" w:cs="宋体"/>
                <w:szCs w:val="21"/>
              </w:rPr>
            </w:pPr>
          </w:p>
        </w:tc>
        <w:tc>
          <w:tcPr>
            <w:tcW w:w="1954" w:type="dxa"/>
            <w:gridSpan w:val="4"/>
            <w:vAlign w:val="center"/>
          </w:tcPr>
          <w:p>
            <w:pPr>
              <w:spacing w:line="360" w:lineRule="auto"/>
              <w:jc w:val="center"/>
              <w:rPr>
                <w:rFonts w:ascii="宋体" w:hAnsi="宋体" w:cs="宋体"/>
                <w:szCs w:val="21"/>
              </w:rPr>
            </w:pPr>
          </w:p>
        </w:tc>
        <w:tc>
          <w:tcPr>
            <w:tcW w:w="1701"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vAlign w:val="center"/>
          </w:tcPr>
          <w:p>
            <w:pPr>
              <w:spacing w:line="360" w:lineRule="auto"/>
              <w:jc w:val="center"/>
              <w:rPr>
                <w:rFonts w:ascii="宋体" w:hAnsi="宋体" w:cs="宋体"/>
                <w:szCs w:val="21"/>
              </w:rPr>
            </w:pPr>
            <w:r>
              <w:rPr>
                <w:rFonts w:hint="eastAsia" w:ascii="宋体" w:hAnsi="宋体" w:cs="宋体"/>
                <w:szCs w:val="21"/>
              </w:rPr>
              <w:t>经营范围</w:t>
            </w:r>
          </w:p>
        </w:tc>
        <w:tc>
          <w:tcPr>
            <w:tcW w:w="7302" w:type="dxa"/>
            <w:gridSpan w:val="1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vAlign w:val="center"/>
          </w:tcPr>
          <w:p>
            <w:pPr>
              <w:spacing w:line="360" w:lineRule="auto"/>
              <w:jc w:val="center"/>
              <w:rPr>
                <w:rFonts w:ascii="宋体" w:hAnsi="宋体" w:cs="宋体"/>
                <w:szCs w:val="21"/>
              </w:rPr>
            </w:pPr>
            <w:r>
              <w:rPr>
                <w:rFonts w:hint="eastAsia" w:ascii="宋体" w:hAnsi="宋体" w:cs="宋体"/>
                <w:szCs w:val="21"/>
              </w:rPr>
              <w:t>备注</w:t>
            </w:r>
          </w:p>
        </w:tc>
        <w:tc>
          <w:tcPr>
            <w:tcW w:w="7302" w:type="dxa"/>
            <w:gridSpan w:val="10"/>
            <w:vAlign w:val="center"/>
          </w:tcPr>
          <w:p>
            <w:pPr>
              <w:spacing w:line="360" w:lineRule="auto"/>
              <w:jc w:val="center"/>
              <w:rPr>
                <w:rFonts w:ascii="宋体" w:hAnsi="宋体" w:cs="宋体"/>
                <w:szCs w:val="21"/>
              </w:rPr>
            </w:pPr>
          </w:p>
        </w:tc>
      </w:tr>
    </w:tbl>
    <w:p>
      <w:pPr>
        <w:spacing w:line="400" w:lineRule="exact"/>
        <w:ind w:firstLine="3150" w:firstLineChars="1500"/>
        <w:jc w:val="right"/>
        <w:rPr>
          <w:rFonts w:ascii="宋体" w:hAnsi="宋体" w:cs="宋体"/>
          <w:szCs w:val="21"/>
        </w:rPr>
      </w:pPr>
      <w:r>
        <w:rPr>
          <w:rFonts w:hint="eastAsia" w:ascii="宋体" w:hAnsi="宋体" w:cs="宋体"/>
          <w:szCs w:val="21"/>
        </w:rPr>
        <w:t xml:space="preserve">供应商盖章（公章）：             </w:t>
      </w:r>
    </w:p>
    <w:p>
      <w:pPr>
        <w:spacing w:line="360" w:lineRule="auto"/>
        <w:rPr>
          <w:rFonts w:ascii="宋体" w:hAnsi="宋体" w:cs="宋体"/>
          <w:szCs w:val="21"/>
        </w:rPr>
      </w:pPr>
    </w:p>
    <w:p>
      <w:pPr>
        <w:spacing w:line="360" w:lineRule="auto"/>
        <w:ind w:firstLine="3255" w:firstLineChars="1550"/>
        <w:jc w:val="right"/>
        <w:rPr>
          <w:rFonts w:ascii="宋体" w:hAnsi="宋体" w:cs="宋体"/>
          <w:szCs w:val="21"/>
        </w:rPr>
      </w:pPr>
      <w:r>
        <w:rPr>
          <w:rFonts w:hint="eastAsia" w:ascii="宋体" w:hAnsi="宋体" w:cs="宋体"/>
          <w:szCs w:val="21"/>
        </w:rPr>
        <w:t xml:space="preserve">          </w:t>
      </w:r>
    </w:p>
    <w:p>
      <w:pPr>
        <w:spacing w:line="400" w:lineRule="exact"/>
        <w:ind w:left="525" w:leftChars="250" w:firstLine="1470" w:firstLineChars="700"/>
        <w:rPr>
          <w:rFonts w:ascii="宋体" w:hAnsi="宋体" w:cs="宋体"/>
          <w:szCs w:val="21"/>
        </w:rPr>
      </w:pPr>
    </w:p>
    <w:p>
      <w:pPr>
        <w:snapToGrid w:val="0"/>
        <w:spacing w:line="360" w:lineRule="auto"/>
        <w:jc w:val="lef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44"/>
        <w:rPr>
          <w:rFonts w:ascii="宋体" w:hAnsi="宋体" w:cs="宋体"/>
          <w:szCs w:val="21"/>
        </w:rPr>
      </w:pPr>
    </w:p>
    <w:p>
      <w:pPr>
        <w:snapToGrid w:val="0"/>
        <w:spacing w:line="360" w:lineRule="auto"/>
        <w:jc w:val="left"/>
        <w:rPr>
          <w:rFonts w:ascii="宋体" w:hAnsi="宋体" w:cs="宋体"/>
          <w:szCs w:val="21"/>
        </w:rPr>
      </w:pPr>
      <w:r>
        <w:rPr>
          <w:rFonts w:hint="eastAsia" w:ascii="宋体" w:hAnsi="宋体" w:cs="宋体"/>
          <w:szCs w:val="21"/>
        </w:rPr>
        <w:br w:type="page"/>
      </w:r>
      <w:r>
        <w:rPr>
          <w:rFonts w:hint="eastAsia" w:ascii="宋体" w:hAnsi="宋体" w:cs="宋体"/>
          <w:szCs w:val="21"/>
        </w:rPr>
        <w:t>4、法定代表人身份证明或法定代表人授权书和被授权代表身份证复印件（供应商代表为法定代表人的提供法定代表人身份证明，供应商的代表若为非法定代表人的，须提交法定代表人授权书及被授权代表在提交首次磋商响应文件截止日前二个月内任一月）</w:t>
      </w:r>
    </w:p>
    <w:p>
      <w:pPr>
        <w:snapToGrid w:val="0"/>
        <w:spacing w:beforeLines="50" w:after="50" w:line="360" w:lineRule="auto"/>
        <w:jc w:val="center"/>
        <w:rPr>
          <w:rFonts w:ascii="宋体" w:hAnsi="宋体" w:cs="宋体"/>
          <w:b/>
          <w:sz w:val="28"/>
          <w:szCs w:val="28"/>
        </w:rPr>
      </w:pPr>
      <w:r>
        <w:rPr>
          <w:rFonts w:hint="eastAsia" w:ascii="宋体" w:hAnsi="宋体" w:cs="宋体"/>
          <w:b/>
          <w:sz w:val="28"/>
          <w:szCs w:val="28"/>
        </w:rPr>
        <w:t>法定代表人授权委托书</w:t>
      </w:r>
    </w:p>
    <w:p>
      <w:pPr>
        <w:spacing w:line="360" w:lineRule="auto"/>
        <w:jc w:val="center"/>
        <w:rPr>
          <w:rFonts w:ascii="宋体" w:hAnsi="宋体" w:cs="宋体"/>
          <w:b/>
          <w:sz w:val="32"/>
          <w:szCs w:val="32"/>
        </w:rPr>
      </w:pPr>
      <w:r>
        <w:rPr>
          <w:rFonts w:hint="eastAsia" w:ascii="宋体" w:hAnsi="宋体" w:cs="宋体"/>
          <w:bCs/>
          <w:sz w:val="24"/>
        </w:rPr>
        <w:t>（法定代表人来磋商的，此表不用）</w:t>
      </w:r>
    </w:p>
    <w:p>
      <w:pPr>
        <w:snapToGrid w:val="0"/>
        <w:spacing w:beforeLines="50" w:after="50"/>
        <w:jc w:val="center"/>
        <w:rPr>
          <w:rFonts w:ascii="宋体" w:hAnsi="宋体" w:cs="宋体"/>
          <w:b/>
          <w:sz w:val="28"/>
          <w:szCs w:val="28"/>
        </w:rPr>
      </w:pPr>
    </w:p>
    <w:p>
      <w:pPr>
        <w:snapToGrid w:val="0"/>
        <w:spacing w:beforeLines="50" w:after="50"/>
        <w:rPr>
          <w:rFonts w:ascii="宋体" w:hAnsi="宋体" w:cs="宋体"/>
          <w:b/>
          <w:bCs/>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（采购单位名称）</w:t>
      </w:r>
      <w:r>
        <w:rPr>
          <w:rFonts w:hint="eastAsia" w:ascii="宋体" w:hAnsi="宋体" w:cs="宋体"/>
          <w:b/>
          <w:bCs/>
          <w:szCs w:val="21"/>
        </w:rPr>
        <w:t xml:space="preserve"> </w:t>
      </w:r>
      <w:r>
        <w:rPr>
          <w:rFonts w:hint="eastAsia" w:ascii="宋体" w:hAnsi="宋体" w:cs="宋体"/>
          <w:szCs w:val="21"/>
        </w:rPr>
        <w:t>：</w:t>
      </w:r>
    </w:p>
    <w:p>
      <w:pPr>
        <w:snapToGrid w:val="0"/>
        <w:spacing w:beforeLines="50" w:after="50" w:line="360" w:lineRule="auto"/>
        <w:ind w:firstLine="630" w:firstLineChars="300"/>
        <w:rPr>
          <w:rFonts w:ascii="宋体" w:hAnsi="宋体" w:cs="宋体"/>
          <w:szCs w:val="21"/>
        </w:rPr>
      </w:pPr>
    </w:p>
    <w:p>
      <w:pPr>
        <w:snapToGrid w:val="0"/>
        <w:spacing w:beforeLines="50" w:after="50" w:line="360" w:lineRule="auto"/>
        <w:ind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（供应商名称）的法定代表人，现授权委托本单位在职职工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w:t>
      </w:r>
      <w:r>
        <w:rPr>
          <w:rFonts w:hint="eastAsia" w:ascii="宋体" w:hAnsi="宋体" w:cs="宋体"/>
          <w:szCs w:val="21"/>
        </w:rPr>
        <w:t>项目的磋商活动，并代表我方全权办理针对上述项目的磋商、评审、签约等具体事务和签署相关文件。</w:t>
      </w:r>
    </w:p>
    <w:p>
      <w:pPr>
        <w:snapToGrid w:val="0"/>
        <w:spacing w:beforeLines="50" w:after="50" w:line="360" w:lineRule="auto"/>
        <w:rPr>
          <w:rFonts w:ascii="宋体" w:hAnsi="宋体" w:cs="宋体"/>
          <w:szCs w:val="21"/>
        </w:rPr>
      </w:pPr>
      <w:r>
        <w:rPr>
          <w:rFonts w:hint="eastAsia" w:ascii="宋体" w:hAnsi="宋体" w:cs="宋体"/>
          <w:szCs w:val="21"/>
        </w:rPr>
        <w:t xml:space="preserve">    我方对被授权人的签名事项负全部责任。</w:t>
      </w:r>
    </w:p>
    <w:p>
      <w:pPr>
        <w:snapToGrid w:val="0"/>
        <w:spacing w:beforeLines="50" w:after="50" w:line="360" w:lineRule="auto"/>
        <w:ind w:firstLine="420" w:firstLineChars="200"/>
        <w:rPr>
          <w:rFonts w:ascii="宋体" w:hAnsi="宋体" w:cs="宋体"/>
          <w:szCs w:val="21"/>
        </w:rPr>
      </w:pPr>
      <w:r>
        <w:rPr>
          <w:rFonts w:hint="eastAsia" w:ascii="宋体" w:hAnsi="宋体" w:cs="宋体"/>
          <w:szCs w:val="21"/>
          <w:u w:val="single"/>
        </w:rPr>
        <w:t>在撤销授权的书面通知以前，本授权书一直有效。</w:t>
      </w:r>
      <w:r>
        <w:rPr>
          <w:rFonts w:hint="eastAsia" w:ascii="宋体" w:hAnsi="宋体" w:cs="宋体"/>
          <w:szCs w:val="21"/>
        </w:rPr>
        <w:t>被授权人在授权书有效期内签署的所有文件不因授权的撤销而失效。</w:t>
      </w:r>
    </w:p>
    <w:p>
      <w:pPr>
        <w:snapToGrid w:val="0"/>
        <w:spacing w:beforeLines="50" w:after="50" w:line="360" w:lineRule="auto"/>
        <w:ind w:firstLine="420" w:firstLineChars="200"/>
        <w:rPr>
          <w:rFonts w:ascii="宋体" w:hAnsi="宋体" w:cs="宋体"/>
          <w:szCs w:val="21"/>
        </w:rPr>
      </w:pPr>
      <w:r>
        <w:rPr>
          <w:rFonts w:hint="eastAsia" w:ascii="宋体" w:hAnsi="宋体" w:cs="宋体"/>
          <w:szCs w:val="21"/>
        </w:rPr>
        <w:t>被授权人无转委托权，特此委托。</w:t>
      </w:r>
    </w:p>
    <w:p>
      <w:pPr>
        <w:snapToGrid w:val="0"/>
        <w:spacing w:beforeLines="50" w:after="50"/>
        <w:rPr>
          <w:rFonts w:ascii="宋体" w:hAnsi="宋体" w:cs="宋体"/>
          <w:szCs w:val="21"/>
        </w:rPr>
      </w:pPr>
    </w:p>
    <w:p>
      <w:pPr>
        <w:snapToGrid w:val="0"/>
        <w:spacing w:beforeLines="50" w:after="50"/>
        <w:rPr>
          <w:rFonts w:ascii="宋体" w:hAnsi="宋体" w:cs="宋体"/>
          <w:szCs w:val="21"/>
        </w:rPr>
      </w:pPr>
    </w:p>
    <w:p>
      <w:pPr>
        <w:snapToGrid w:val="0"/>
        <w:spacing w:beforeLines="50" w:after="50"/>
        <w:rPr>
          <w:rFonts w:ascii="宋体" w:hAnsi="宋体" w:cs="宋体"/>
          <w:szCs w:val="21"/>
        </w:rPr>
      </w:pPr>
    </w:p>
    <w:p>
      <w:pPr>
        <w:snapToGrid w:val="0"/>
        <w:spacing w:beforeLines="50" w:after="50"/>
        <w:rPr>
          <w:rFonts w:ascii="宋体" w:hAnsi="宋体" w:cs="宋体"/>
          <w:szCs w:val="21"/>
          <w:u w:val="single"/>
        </w:rPr>
      </w:pPr>
      <w:r>
        <w:rPr>
          <w:rFonts w:hint="eastAsia" w:ascii="宋体" w:hAnsi="宋体" w:cs="宋体"/>
          <w:szCs w:val="21"/>
        </w:rPr>
        <w:t>被授权人签名：</w:t>
      </w:r>
      <w:r>
        <w:rPr>
          <w:rFonts w:hint="eastAsia" w:ascii="宋体" w:hAnsi="宋体" w:cs="宋体"/>
          <w:szCs w:val="21"/>
          <w:u w:val="single"/>
        </w:rPr>
        <w:t xml:space="preserve">          </w:t>
      </w:r>
      <w:r>
        <w:rPr>
          <w:rFonts w:hint="eastAsia" w:ascii="宋体" w:hAnsi="宋体" w:cs="宋体"/>
          <w:szCs w:val="21"/>
        </w:rPr>
        <w:t xml:space="preserve">                 法定代表人签名：</w:t>
      </w:r>
      <w:r>
        <w:rPr>
          <w:rFonts w:hint="eastAsia" w:ascii="宋体" w:hAnsi="宋体" w:cs="宋体"/>
          <w:szCs w:val="21"/>
          <w:u w:val="single"/>
        </w:rPr>
        <w:t xml:space="preserve">          </w:t>
      </w:r>
    </w:p>
    <w:p>
      <w:pPr>
        <w:snapToGrid w:val="0"/>
        <w:spacing w:beforeLines="50" w:after="50"/>
        <w:ind w:firstLine="840" w:firstLineChars="4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snapToGrid w:val="0"/>
        <w:spacing w:beforeLines="50" w:after="50"/>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pPr>
        <w:snapToGrid w:val="0"/>
        <w:spacing w:beforeLines="50" w:after="50"/>
        <w:rPr>
          <w:rFonts w:ascii="宋体" w:hAnsi="宋体" w:cs="宋体"/>
          <w:szCs w:val="21"/>
        </w:rPr>
      </w:pPr>
      <w:r>
        <w:rPr>
          <w:rFonts w:hint="eastAsia" w:ascii="宋体" w:hAnsi="宋体" w:cs="宋体"/>
          <w:szCs w:val="21"/>
        </w:rPr>
        <w:t xml:space="preserve">                                   </w:t>
      </w:r>
    </w:p>
    <w:p>
      <w:pPr>
        <w:snapToGrid w:val="0"/>
        <w:spacing w:beforeLines="50" w:after="50"/>
        <w:ind w:firstLine="5460" w:firstLineChars="2600"/>
        <w:rPr>
          <w:rFonts w:ascii="宋体" w:hAnsi="宋体" w:cs="宋体"/>
          <w:szCs w:val="21"/>
        </w:rPr>
      </w:pPr>
      <w:r>
        <w:rPr>
          <w:rFonts w:hint="eastAsia" w:ascii="宋体" w:hAnsi="宋体" w:cs="宋体"/>
          <w:szCs w:val="21"/>
        </w:rPr>
        <w:t xml:space="preserve">  供应商盖章（公章）：</w:t>
      </w:r>
    </w:p>
    <w:p>
      <w:pPr>
        <w:snapToGrid w:val="0"/>
        <w:spacing w:beforeLines="50" w:after="50"/>
        <w:jc w:val="center"/>
        <w:rPr>
          <w:rFonts w:ascii="宋体" w:hAnsi="宋体" w:cs="宋体"/>
          <w:szCs w:val="21"/>
        </w:rPr>
      </w:pPr>
      <w:r>
        <w:rPr>
          <w:rFonts w:hint="eastAsia" w:ascii="宋体" w:hAnsi="宋体" w:cs="宋体"/>
          <w:szCs w:val="21"/>
        </w:rPr>
        <w:t xml:space="preserve">                                        年    月    日</w:t>
      </w:r>
    </w:p>
    <w:p>
      <w:pPr>
        <w:snapToGrid w:val="0"/>
        <w:spacing w:beforeLines="50" w:after="50"/>
        <w:ind w:firstLine="3150" w:firstLineChars="1500"/>
        <w:rPr>
          <w:rFonts w:ascii="宋体" w:hAnsi="宋体" w:cs="宋体"/>
          <w:szCs w:val="21"/>
        </w:rPr>
      </w:pPr>
    </w:p>
    <w:p>
      <w:pPr>
        <w:snapToGrid w:val="0"/>
        <w:spacing w:before="50" w:afterLines="50"/>
        <w:jc w:val="left"/>
        <w:rPr>
          <w:rFonts w:ascii="宋体" w:hAnsi="宋体" w:cs="宋体"/>
          <w:szCs w:val="21"/>
        </w:rPr>
      </w:pPr>
    </w:p>
    <w:p>
      <w:pPr>
        <w:snapToGrid w:val="0"/>
        <w:spacing w:before="50" w:afterLines="50"/>
        <w:jc w:val="left"/>
        <w:rPr>
          <w:rFonts w:ascii="宋体" w:hAnsi="宋体" w:cs="宋体"/>
          <w:szCs w:val="21"/>
        </w:rPr>
      </w:pPr>
    </w:p>
    <w:p>
      <w:pPr>
        <w:rPr>
          <w:rFonts w:ascii="宋体" w:hAnsi="宋体" w:cs="宋体"/>
        </w:rPr>
      </w:pPr>
      <w:r>
        <w:rPr>
          <w:rFonts w:hint="eastAsia" w:ascii="宋体" w:hAnsi="宋体" w:cs="宋体"/>
          <w:b/>
          <w:bCs/>
        </w:rPr>
        <w:t>附被授权代表身份证复印件（正反面）及被授权代表在开标前二个月内任一月的养老保险缴纳证明资料</w:t>
      </w:r>
    </w:p>
    <w:p>
      <w:pPr>
        <w:snapToGrid w:val="0"/>
        <w:spacing w:before="50" w:afterLines="50"/>
        <w:jc w:val="left"/>
        <w:rPr>
          <w:rFonts w:ascii="宋体" w:hAnsi="宋体" w:cs="宋体"/>
          <w:szCs w:val="21"/>
        </w:rPr>
      </w:pPr>
    </w:p>
    <w:p>
      <w:pPr>
        <w:rPr>
          <w:rFonts w:ascii="宋体" w:hAnsi="宋体" w:cs="宋体"/>
          <w:b/>
          <w:bCs/>
        </w:rPr>
      </w:pPr>
    </w:p>
    <w:p>
      <w:pPr>
        <w:pStyle w:val="46"/>
      </w:pPr>
    </w:p>
    <w:p>
      <w:pPr>
        <w:snapToGrid w:val="0"/>
        <w:spacing w:before="50" w:afterLines="50"/>
        <w:jc w:val="left"/>
        <w:rPr>
          <w:rFonts w:ascii="宋体" w:hAnsi="宋体" w:cs="宋体"/>
          <w:szCs w:val="21"/>
        </w:rPr>
      </w:pPr>
    </w:p>
    <w:p>
      <w:pPr>
        <w:spacing w:line="480" w:lineRule="exact"/>
        <w:jc w:val="center"/>
        <w:rPr>
          <w:rFonts w:ascii="宋体" w:hAnsi="宋体" w:cs="宋体"/>
          <w:b/>
          <w:sz w:val="30"/>
        </w:rPr>
      </w:pPr>
      <w:r>
        <w:rPr>
          <w:rFonts w:hint="eastAsia" w:ascii="宋体" w:hAnsi="宋体" w:cs="宋体"/>
          <w:b/>
          <w:sz w:val="30"/>
        </w:rPr>
        <w:t>法定代表人身份证明书</w:t>
      </w:r>
    </w:p>
    <w:p>
      <w:pPr>
        <w:spacing w:line="480" w:lineRule="exact"/>
        <w:jc w:val="center"/>
        <w:rPr>
          <w:rFonts w:ascii="宋体" w:hAnsi="宋体" w:cs="宋体"/>
          <w:b/>
          <w:sz w:val="28"/>
        </w:rPr>
      </w:pPr>
    </w:p>
    <w:p>
      <w:pPr>
        <w:spacing w:line="960" w:lineRule="exact"/>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960" w:lineRule="exact"/>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 xml:space="preserve">                                                              </w:t>
      </w:r>
    </w:p>
    <w:p>
      <w:pPr>
        <w:spacing w:line="960" w:lineRule="exac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pPr>
        <w:spacing w:line="96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960" w:lineRule="exact"/>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pPr>
        <w:spacing w:line="960" w:lineRule="exact"/>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960" w:lineRule="exact"/>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(报价单位名称)                     </w:t>
      </w:r>
      <w:r>
        <w:rPr>
          <w:rFonts w:hint="eastAsia" w:ascii="宋体" w:hAnsi="宋体" w:cs="宋体"/>
          <w:sz w:val="24"/>
        </w:rPr>
        <w:t>的法定代表人。</w:t>
      </w:r>
    </w:p>
    <w:p>
      <w:pPr>
        <w:spacing w:line="960" w:lineRule="exact"/>
        <w:rPr>
          <w:rFonts w:ascii="宋体" w:hAnsi="宋体" w:cs="宋体"/>
          <w:sz w:val="24"/>
        </w:rPr>
      </w:pPr>
    </w:p>
    <w:p>
      <w:pPr>
        <w:spacing w:line="960" w:lineRule="exact"/>
        <w:rPr>
          <w:rFonts w:ascii="宋体" w:hAnsi="宋体" w:cs="宋体"/>
          <w:sz w:val="24"/>
        </w:rPr>
      </w:pPr>
      <w:r>
        <w:rPr>
          <w:rFonts w:hint="eastAsia" w:ascii="宋体" w:hAnsi="宋体" w:cs="宋体"/>
          <w:sz w:val="24"/>
        </w:rPr>
        <w:t>特此证明。</w:t>
      </w:r>
    </w:p>
    <w:p>
      <w:pPr>
        <w:spacing w:line="960" w:lineRule="exact"/>
        <w:rPr>
          <w:rFonts w:ascii="宋体" w:hAnsi="宋体" w:cs="宋体"/>
          <w:sz w:val="24"/>
          <w:u w:val="single"/>
        </w:rPr>
      </w:pPr>
      <w:r>
        <w:rPr>
          <w:rFonts w:hint="eastAsia" w:ascii="宋体" w:hAnsi="宋体" w:cs="宋体"/>
          <w:sz w:val="24"/>
        </w:rPr>
        <w:t xml:space="preserve">                            供应商盖章：</w:t>
      </w:r>
      <w:r>
        <w:rPr>
          <w:rFonts w:hint="eastAsia" w:ascii="宋体" w:hAnsi="宋体" w:cs="宋体"/>
          <w:sz w:val="24"/>
          <w:u w:val="single"/>
        </w:rPr>
        <w:t xml:space="preserve">               (公章)             </w:t>
      </w:r>
    </w:p>
    <w:p>
      <w:pPr>
        <w:widowControl/>
        <w:jc w:val="left"/>
        <w:rPr>
          <w:rFonts w:ascii="宋体" w:hAnsi="宋体" w:cs="宋体"/>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before="50" w:afterLines="50"/>
        <w:jc w:val="left"/>
        <w:rPr>
          <w:rFonts w:ascii="宋体" w:hAnsi="宋体" w:cs="宋体"/>
          <w:b/>
          <w:bCs/>
          <w:sz w:val="30"/>
          <w:szCs w:val="30"/>
        </w:rPr>
      </w:pPr>
    </w:p>
    <w:p>
      <w:pPr>
        <w:snapToGrid w:val="0"/>
        <w:spacing w:line="360" w:lineRule="auto"/>
        <w:jc w:val="left"/>
        <w:rPr>
          <w:rFonts w:ascii="宋体" w:hAnsi="宋体" w:cs="宋体"/>
          <w:szCs w:val="21"/>
        </w:rPr>
      </w:pPr>
      <w:r>
        <w:rPr>
          <w:rFonts w:hint="eastAsia" w:ascii="宋体" w:hAnsi="宋体" w:cs="宋体"/>
          <w:b/>
          <w:szCs w:val="21"/>
        </w:rPr>
        <w:t>附法定代表人身份证复印件（正反面）：</w:t>
      </w:r>
    </w:p>
    <w:p>
      <w:pPr>
        <w:rPr>
          <w:rFonts w:ascii="宋体" w:hAnsi="宋体" w:cs="宋体"/>
          <w:b/>
          <w:bCs/>
        </w:rPr>
      </w:pPr>
    </w:p>
    <w:p>
      <w:pPr>
        <w:snapToGrid w:val="0"/>
        <w:spacing w:line="480" w:lineRule="auto"/>
        <w:jc w:val="left"/>
        <w:rPr>
          <w:rFonts w:ascii="宋体" w:hAnsi="宋体" w:cs="宋体"/>
          <w:szCs w:val="21"/>
        </w:rPr>
      </w:pPr>
      <w:r>
        <w:rPr>
          <w:rFonts w:hint="eastAsia" w:ascii="宋体" w:hAnsi="宋体" w:cs="宋体"/>
          <w:szCs w:val="21"/>
        </w:rPr>
        <w:br w:type="page"/>
      </w:r>
      <w:r>
        <w:rPr>
          <w:rFonts w:hint="eastAsia" w:ascii="宋体" w:hAnsi="宋体" w:cs="宋体"/>
          <w:szCs w:val="21"/>
        </w:rPr>
        <w:t>5、商务条款响应表；</w:t>
      </w:r>
    </w:p>
    <w:p>
      <w:pPr>
        <w:spacing w:line="480" w:lineRule="auto"/>
        <w:jc w:val="center"/>
        <w:rPr>
          <w:rFonts w:ascii="宋体" w:hAnsi="宋体" w:cs="宋体"/>
          <w:b/>
          <w:spacing w:val="20"/>
          <w:sz w:val="28"/>
          <w:szCs w:val="32"/>
        </w:rPr>
      </w:pPr>
      <w:r>
        <w:rPr>
          <w:rFonts w:hint="eastAsia" w:ascii="宋体" w:hAnsi="宋体" w:cs="宋体"/>
          <w:b/>
          <w:spacing w:val="20"/>
          <w:sz w:val="28"/>
          <w:szCs w:val="32"/>
        </w:rPr>
        <w:t>商务条款响应（偏离）表</w:t>
      </w:r>
    </w:p>
    <w:p>
      <w:pPr>
        <w:spacing w:line="360" w:lineRule="auto"/>
        <w:ind w:left="540"/>
        <w:jc w:val="center"/>
        <w:rPr>
          <w:rFonts w:ascii="宋体" w:hAnsi="宋体" w:cs="宋体"/>
          <w:b/>
          <w:sz w:val="28"/>
          <w:szCs w:val="30"/>
        </w:rPr>
      </w:pPr>
    </w:p>
    <w:p>
      <w:pPr>
        <w:snapToGrid w:val="0"/>
        <w:spacing w:before="50" w:after="50"/>
        <w:ind w:firstLine="210" w:firstLineChars="100"/>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p>
    <w:tbl>
      <w:tblPr>
        <w:tblStyle w:val="47"/>
        <w:tblpPr w:leftFromText="180" w:rightFromText="180" w:vertAnchor="text" w:horzAnchor="page" w:tblpX="1517" w:tblpY="354"/>
        <w:tblW w:w="902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1638"/>
        <w:gridCol w:w="2322"/>
        <w:gridCol w:w="2700"/>
        <w:gridCol w:w="13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pPr>
              <w:adjustRightInd w:val="0"/>
              <w:snapToGrid w:val="0"/>
              <w:jc w:val="center"/>
              <w:rPr>
                <w:rFonts w:ascii="宋体" w:hAnsi="宋体" w:cs="宋体"/>
                <w:spacing w:val="20"/>
                <w:szCs w:val="21"/>
              </w:rPr>
            </w:pPr>
            <w:r>
              <w:rPr>
                <w:rFonts w:hint="eastAsia" w:ascii="宋体" w:hAnsi="宋体" w:cs="宋体"/>
                <w:spacing w:val="20"/>
                <w:szCs w:val="21"/>
              </w:rPr>
              <w:t>序号</w:t>
            </w:r>
          </w:p>
        </w:tc>
        <w:tc>
          <w:tcPr>
            <w:tcW w:w="1638" w:type="dxa"/>
            <w:vAlign w:val="center"/>
          </w:tcPr>
          <w:p>
            <w:pPr>
              <w:adjustRightInd w:val="0"/>
              <w:snapToGrid w:val="0"/>
              <w:jc w:val="center"/>
              <w:rPr>
                <w:rFonts w:ascii="宋体" w:hAnsi="宋体" w:cs="宋体"/>
                <w:spacing w:val="20"/>
                <w:szCs w:val="21"/>
              </w:rPr>
            </w:pPr>
            <w:r>
              <w:rPr>
                <w:rFonts w:hint="eastAsia" w:ascii="宋体" w:hAnsi="宋体" w:cs="宋体"/>
                <w:spacing w:val="20"/>
                <w:szCs w:val="21"/>
              </w:rPr>
              <w:t>内 容</w:t>
            </w:r>
          </w:p>
        </w:tc>
        <w:tc>
          <w:tcPr>
            <w:tcW w:w="2322" w:type="dxa"/>
            <w:vAlign w:val="center"/>
          </w:tcPr>
          <w:p>
            <w:pPr>
              <w:adjustRightInd w:val="0"/>
              <w:snapToGrid w:val="0"/>
              <w:jc w:val="center"/>
              <w:rPr>
                <w:rFonts w:ascii="宋体" w:hAnsi="宋体" w:cs="宋体"/>
                <w:spacing w:val="20"/>
                <w:szCs w:val="21"/>
              </w:rPr>
            </w:pPr>
            <w:r>
              <w:rPr>
                <w:rFonts w:hint="eastAsia" w:ascii="宋体" w:hAnsi="宋体" w:cs="宋体"/>
                <w:spacing w:val="20"/>
                <w:szCs w:val="21"/>
              </w:rPr>
              <w:t>磋商采购文件要求</w:t>
            </w:r>
          </w:p>
        </w:tc>
        <w:tc>
          <w:tcPr>
            <w:tcW w:w="2700" w:type="dxa"/>
            <w:vAlign w:val="center"/>
          </w:tcPr>
          <w:p>
            <w:pPr>
              <w:adjustRightInd w:val="0"/>
              <w:snapToGrid w:val="0"/>
              <w:jc w:val="center"/>
              <w:rPr>
                <w:rFonts w:ascii="宋体" w:hAnsi="宋体" w:cs="宋体"/>
                <w:spacing w:val="20"/>
                <w:szCs w:val="21"/>
              </w:rPr>
            </w:pPr>
            <w:r>
              <w:rPr>
                <w:rFonts w:hint="eastAsia" w:ascii="宋体" w:hAnsi="宋体" w:cs="宋体"/>
                <w:spacing w:val="20"/>
                <w:szCs w:val="21"/>
              </w:rPr>
              <w:t>响应内容</w:t>
            </w:r>
          </w:p>
        </w:tc>
        <w:tc>
          <w:tcPr>
            <w:tcW w:w="1356" w:type="dxa"/>
            <w:vAlign w:val="center"/>
          </w:tcPr>
          <w:p>
            <w:pPr>
              <w:adjustRightInd w:val="0"/>
              <w:snapToGrid w:val="0"/>
              <w:jc w:val="center"/>
              <w:rPr>
                <w:rFonts w:ascii="宋体" w:hAnsi="宋体" w:cs="宋体"/>
                <w:spacing w:val="20"/>
                <w:szCs w:val="21"/>
              </w:rPr>
            </w:pPr>
            <w:r>
              <w:rPr>
                <w:rFonts w:hint="eastAsia" w:ascii="宋体" w:hAnsi="宋体" w:cs="宋体"/>
                <w:spacing w:val="2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pPr>
              <w:adjustRightInd w:val="0"/>
              <w:snapToGrid w:val="0"/>
              <w:spacing w:line="360" w:lineRule="auto"/>
              <w:jc w:val="center"/>
              <w:rPr>
                <w:rFonts w:ascii="宋体" w:hAnsi="宋体" w:cs="宋体"/>
                <w:spacing w:val="20"/>
                <w:szCs w:val="21"/>
              </w:rPr>
            </w:pPr>
            <w:r>
              <w:rPr>
                <w:rFonts w:hint="eastAsia" w:ascii="宋体" w:hAnsi="宋体" w:cs="宋体"/>
                <w:spacing w:val="20"/>
                <w:szCs w:val="21"/>
              </w:rPr>
              <w:t>1</w:t>
            </w:r>
          </w:p>
        </w:tc>
        <w:tc>
          <w:tcPr>
            <w:tcW w:w="1638" w:type="dxa"/>
            <w:vAlign w:val="center"/>
          </w:tcPr>
          <w:p>
            <w:pPr>
              <w:adjustRightInd w:val="0"/>
              <w:snapToGrid w:val="0"/>
              <w:spacing w:line="360" w:lineRule="auto"/>
              <w:jc w:val="center"/>
              <w:rPr>
                <w:rFonts w:ascii="宋体" w:hAnsi="宋体" w:cs="宋体"/>
                <w:spacing w:val="20"/>
                <w:szCs w:val="21"/>
              </w:rPr>
            </w:pPr>
          </w:p>
        </w:tc>
        <w:tc>
          <w:tcPr>
            <w:tcW w:w="2322" w:type="dxa"/>
            <w:vAlign w:val="center"/>
          </w:tcPr>
          <w:p>
            <w:pPr>
              <w:adjustRightInd w:val="0"/>
              <w:snapToGrid w:val="0"/>
              <w:spacing w:line="360" w:lineRule="auto"/>
              <w:jc w:val="center"/>
              <w:rPr>
                <w:rFonts w:ascii="宋体" w:hAnsi="宋体" w:cs="宋体"/>
                <w:spacing w:val="20"/>
                <w:szCs w:val="21"/>
              </w:rPr>
            </w:pPr>
          </w:p>
        </w:tc>
        <w:tc>
          <w:tcPr>
            <w:tcW w:w="2700" w:type="dxa"/>
            <w:vAlign w:val="center"/>
          </w:tcPr>
          <w:p>
            <w:pPr>
              <w:adjustRightInd w:val="0"/>
              <w:snapToGrid w:val="0"/>
              <w:jc w:val="center"/>
              <w:rPr>
                <w:rFonts w:ascii="宋体" w:hAnsi="宋体" w:cs="宋体"/>
                <w:spacing w:val="20"/>
                <w:szCs w:val="21"/>
              </w:rPr>
            </w:pPr>
          </w:p>
        </w:tc>
        <w:tc>
          <w:tcPr>
            <w:tcW w:w="1356" w:type="dxa"/>
            <w:vAlign w:val="center"/>
          </w:tcPr>
          <w:p>
            <w:pPr>
              <w:adjustRightInd w:val="0"/>
              <w:snapToGrid w:val="0"/>
              <w:jc w:val="center"/>
              <w:rPr>
                <w:rFonts w:ascii="宋体" w:hAnsi="宋体" w:cs="宋体"/>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pPr>
              <w:adjustRightInd w:val="0"/>
              <w:snapToGrid w:val="0"/>
              <w:spacing w:line="360" w:lineRule="auto"/>
              <w:jc w:val="center"/>
              <w:rPr>
                <w:rFonts w:ascii="宋体" w:hAnsi="宋体" w:cs="宋体"/>
                <w:spacing w:val="20"/>
                <w:szCs w:val="21"/>
              </w:rPr>
            </w:pPr>
            <w:r>
              <w:rPr>
                <w:rFonts w:hint="eastAsia" w:ascii="宋体" w:hAnsi="宋体" w:cs="宋体"/>
                <w:spacing w:val="20"/>
                <w:szCs w:val="21"/>
              </w:rPr>
              <w:t>2</w:t>
            </w:r>
          </w:p>
        </w:tc>
        <w:tc>
          <w:tcPr>
            <w:tcW w:w="1638" w:type="dxa"/>
            <w:vAlign w:val="center"/>
          </w:tcPr>
          <w:p>
            <w:pPr>
              <w:adjustRightInd w:val="0"/>
              <w:snapToGrid w:val="0"/>
              <w:spacing w:line="360" w:lineRule="auto"/>
              <w:jc w:val="center"/>
              <w:rPr>
                <w:rFonts w:ascii="宋体" w:hAnsi="宋体" w:cs="宋体"/>
                <w:spacing w:val="20"/>
                <w:szCs w:val="21"/>
              </w:rPr>
            </w:pPr>
          </w:p>
        </w:tc>
        <w:tc>
          <w:tcPr>
            <w:tcW w:w="2322" w:type="dxa"/>
            <w:vAlign w:val="center"/>
          </w:tcPr>
          <w:p>
            <w:pPr>
              <w:adjustRightInd w:val="0"/>
              <w:snapToGrid w:val="0"/>
              <w:spacing w:line="360" w:lineRule="auto"/>
              <w:jc w:val="center"/>
              <w:rPr>
                <w:rFonts w:ascii="宋体" w:hAnsi="宋体" w:cs="宋体"/>
                <w:spacing w:val="20"/>
                <w:szCs w:val="21"/>
              </w:rPr>
            </w:pPr>
          </w:p>
        </w:tc>
        <w:tc>
          <w:tcPr>
            <w:tcW w:w="2700" w:type="dxa"/>
            <w:vAlign w:val="center"/>
          </w:tcPr>
          <w:p>
            <w:pPr>
              <w:adjustRightInd w:val="0"/>
              <w:snapToGrid w:val="0"/>
              <w:jc w:val="center"/>
              <w:rPr>
                <w:rFonts w:ascii="宋体" w:hAnsi="宋体" w:cs="宋体"/>
                <w:spacing w:val="20"/>
                <w:szCs w:val="21"/>
              </w:rPr>
            </w:pPr>
          </w:p>
        </w:tc>
        <w:tc>
          <w:tcPr>
            <w:tcW w:w="1356" w:type="dxa"/>
            <w:vAlign w:val="center"/>
          </w:tcPr>
          <w:p>
            <w:pPr>
              <w:adjustRightInd w:val="0"/>
              <w:snapToGrid w:val="0"/>
              <w:jc w:val="center"/>
              <w:rPr>
                <w:rFonts w:ascii="宋体" w:hAnsi="宋体" w:cs="宋体"/>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pPr>
              <w:adjustRightInd w:val="0"/>
              <w:snapToGrid w:val="0"/>
              <w:spacing w:line="360" w:lineRule="auto"/>
              <w:jc w:val="center"/>
              <w:rPr>
                <w:rFonts w:ascii="宋体" w:hAnsi="宋体" w:cs="宋体"/>
                <w:spacing w:val="20"/>
                <w:szCs w:val="21"/>
              </w:rPr>
            </w:pPr>
            <w:r>
              <w:rPr>
                <w:rFonts w:hint="eastAsia" w:ascii="宋体" w:hAnsi="宋体" w:cs="宋体"/>
                <w:spacing w:val="20"/>
                <w:szCs w:val="21"/>
              </w:rPr>
              <w:t>3</w:t>
            </w:r>
          </w:p>
        </w:tc>
        <w:tc>
          <w:tcPr>
            <w:tcW w:w="1638" w:type="dxa"/>
            <w:vAlign w:val="center"/>
          </w:tcPr>
          <w:p>
            <w:pPr>
              <w:adjustRightInd w:val="0"/>
              <w:snapToGrid w:val="0"/>
              <w:spacing w:line="360" w:lineRule="auto"/>
              <w:jc w:val="center"/>
              <w:rPr>
                <w:rFonts w:ascii="宋体" w:hAnsi="宋体" w:cs="宋体"/>
                <w:spacing w:val="20"/>
                <w:szCs w:val="21"/>
              </w:rPr>
            </w:pPr>
          </w:p>
        </w:tc>
        <w:tc>
          <w:tcPr>
            <w:tcW w:w="2322" w:type="dxa"/>
            <w:vAlign w:val="center"/>
          </w:tcPr>
          <w:p>
            <w:pPr>
              <w:adjustRightInd w:val="0"/>
              <w:snapToGrid w:val="0"/>
              <w:spacing w:line="360" w:lineRule="auto"/>
              <w:jc w:val="center"/>
              <w:rPr>
                <w:rFonts w:ascii="宋体" w:hAnsi="宋体" w:cs="宋体"/>
                <w:spacing w:val="20"/>
                <w:szCs w:val="21"/>
              </w:rPr>
            </w:pPr>
          </w:p>
        </w:tc>
        <w:tc>
          <w:tcPr>
            <w:tcW w:w="2700" w:type="dxa"/>
            <w:vAlign w:val="center"/>
          </w:tcPr>
          <w:p>
            <w:pPr>
              <w:adjustRightInd w:val="0"/>
              <w:snapToGrid w:val="0"/>
              <w:jc w:val="center"/>
              <w:rPr>
                <w:rFonts w:ascii="宋体" w:hAnsi="宋体" w:cs="宋体"/>
                <w:spacing w:val="20"/>
                <w:szCs w:val="21"/>
              </w:rPr>
            </w:pPr>
          </w:p>
        </w:tc>
        <w:tc>
          <w:tcPr>
            <w:tcW w:w="1356" w:type="dxa"/>
            <w:vAlign w:val="center"/>
          </w:tcPr>
          <w:p>
            <w:pPr>
              <w:adjustRightInd w:val="0"/>
              <w:snapToGrid w:val="0"/>
              <w:jc w:val="center"/>
              <w:rPr>
                <w:rFonts w:ascii="宋体" w:hAnsi="宋体" w:cs="宋体"/>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pPr>
              <w:adjustRightInd w:val="0"/>
              <w:snapToGrid w:val="0"/>
              <w:spacing w:line="360" w:lineRule="auto"/>
              <w:jc w:val="center"/>
              <w:rPr>
                <w:rFonts w:ascii="宋体" w:hAnsi="宋体" w:cs="宋体"/>
                <w:spacing w:val="20"/>
                <w:szCs w:val="21"/>
              </w:rPr>
            </w:pPr>
            <w:r>
              <w:rPr>
                <w:rFonts w:hint="eastAsia" w:ascii="宋体" w:hAnsi="宋体" w:cs="宋体"/>
                <w:spacing w:val="20"/>
                <w:szCs w:val="21"/>
              </w:rPr>
              <w:t>4</w:t>
            </w:r>
          </w:p>
        </w:tc>
        <w:tc>
          <w:tcPr>
            <w:tcW w:w="1638" w:type="dxa"/>
            <w:vAlign w:val="center"/>
          </w:tcPr>
          <w:p>
            <w:pPr>
              <w:adjustRightInd w:val="0"/>
              <w:snapToGrid w:val="0"/>
              <w:spacing w:line="360" w:lineRule="auto"/>
              <w:jc w:val="center"/>
              <w:rPr>
                <w:rFonts w:ascii="宋体" w:hAnsi="宋体" w:cs="宋体"/>
                <w:spacing w:val="20"/>
                <w:szCs w:val="21"/>
              </w:rPr>
            </w:pPr>
          </w:p>
        </w:tc>
        <w:tc>
          <w:tcPr>
            <w:tcW w:w="2322" w:type="dxa"/>
            <w:vAlign w:val="center"/>
          </w:tcPr>
          <w:p>
            <w:pPr>
              <w:spacing w:line="360" w:lineRule="auto"/>
              <w:rPr>
                <w:rFonts w:ascii="宋体" w:hAnsi="宋体" w:cs="宋体"/>
                <w:spacing w:val="20"/>
                <w:szCs w:val="21"/>
              </w:rPr>
            </w:pPr>
          </w:p>
        </w:tc>
        <w:tc>
          <w:tcPr>
            <w:tcW w:w="2700" w:type="dxa"/>
            <w:vAlign w:val="center"/>
          </w:tcPr>
          <w:p>
            <w:pPr>
              <w:adjustRightInd w:val="0"/>
              <w:snapToGrid w:val="0"/>
              <w:jc w:val="center"/>
              <w:rPr>
                <w:rFonts w:ascii="宋体" w:hAnsi="宋体" w:cs="宋体"/>
                <w:spacing w:val="20"/>
                <w:szCs w:val="21"/>
              </w:rPr>
            </w:pPr>
          </w:p>
        </w:tc>
        <w:tc>
          <w:tcPr>
            <w:tcW w:w="1356" w:type="dxa"/>
            <w:vAlign w:val="center"/>
          </w:tcPr>
          <w:p>
            <w:pPr>
              <w:adjustRightInd w:val="0"/>
              <w:snapToGrid w:val="0"/>
              <w:jc w:val="center"/>
              <w:rPr>
                <w:rFonts w:ascii="宋体" w:hAnsi="宋体" w:cs="宋体"/>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pPr>
              <w:adjustRightInd w:val="0"/>
              <w:snapToGrid w:val="0"/>
              <w:jc w:val="center"/>
              <w:rPr>
                <w:rFonts w:ascii="宋体" w:hAnsi="宋体" w:cs="宋体"/>
                <w:spacing w:val="20"/>
                <w:szCs w:val="21"/>
              </w:rPr>
            </w:pPr>
          </w:p>
        </w:tc>
        <w:tc>
          <w:tcPr>
            <w:tcW w:w="1638" w:type="dxa"/>
            <w:vAlign w:val="center"/>
          </w:tcPr>
          <w:p>
            <w:pPr>
              <w:adjustRightInd w:val="0"/>
              <w:snapToGrid w:val="0"/>
              <w:jc w:val="center"/>
              <w:rPr>
                <w:rFonts w:ascii="宋体" w:hAnsi="宋体" w:cs="宋体"/>
                <w:spacing w:val="20"/>
                <w:szCs w:val="21"/>
              </w:rPr>
            </w:pPr>
          </w:p>
        </w:tc>
        <w:tc>
          <w:tcPr>
            <w:tcW w:w="2322" w:type="dxa"/>
            <w:vAlign w:val="center"/>
          </w:tcPr>
          <w:p>
            <w:pPr>
              <w:adjustRightInd w:val="0"/>
              <w:snapToGrid w:val="0"/>
              <w:jc w:val="center"/>
              <w:rPr>
                <w:rFonts w:ascii="宋体" w:hAnsi="宋体" w:cs="宋体"/>
                <w:spacing w:val="20"/>
                <w:szCs w:val="21"/>
              </w:rPr>
            </w:pPr>
          </w:p>
        </w:tc>
        <w:tc>
          <w:tcPr>
            <w:tcW w:w="2700" w:type="dxa"/>
            <w:vAlign w:val="center"/>
          </w:tcPr>
          <w:p>
            <w:pPr>
              <w:adjustRightInd w:val="0"/>
              <w:snapToGrid w:val="0"/>
              <w:jc w:val="center"/>
              <w:rPr>
                <w:rFonts w:ascii="宋体" w:hAnsi="宋体" w:cs="宋体"/>
                <w:spacing w:val="20"/>
                <w:szCs w:val="21"/>
              </w:rPr>
            </w:pPr>
          </w:p>
        </w:tc>
        <w:tc>
          <w:tcPr>
            <w:tcW w:w="1356" w:type="dxa"/>
            <w:vAlign w:val="center"/>
          </w:tcPr>
          <w:p>
            <w:pPr>
              <w:adjustRightInd w:val="0"/>
              <w:snapToGrid w:val="0"/>
              <w:jc w:val="center"/>
              <w:rPr>
                <w:rFonts w:ascii="宋体" w:hAnsi="宋体" w:cs="宋体"/>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pPr>
              <w:adjustRightInd w:val="0"/>
              <w:snapToGrid w:val="0"/>
              <w:jc w:val="center"/>
              <w:rPr>
                <w:rFonts w:ascii="宋体" w:hAnsi="宋体" w:cs="宋体"/>
                <w:spacing w:val="20"/>
                <w:szCs w:val="21"/>
              </w:rPr>
            </w:pPr>
          </w:p>
        </w:tc>
        <w:tc>
          <w:tcPr>
            <w:tcW w:w="1638" w:type="dxa"/>
            <w:vAlign w:val="center"/>
          </w:tcPr>
          <w:p>
            <w:pPr>
              <w:adjustRightInd w:val="0"/>
              <w:snapToGrid w:val="0"/>
              <w:jc w:val="center"/>
              <w:rPr>
                <w:rFonts w:ascii="宋体" w:hAnsi="宋体" w:cs="宋体"/>
                <w:spacing w:val="20"/>
                <w:szCs w:val="21"/>
              </w:rPr>
            </w:pPr>
          </w:p>
        </w:tc>
        <w:tc>
          <w:tcPr>
            <w:tcW w:w="2322" w:type="dxa"/>
            <w:vAlign w:val="center"/>
          </w:tcPr>
          <w:p>
            <w:pPr>
              <w:adjustRightInd w:val="0"/>
              <w:snapToGrid w:val="0"/>
              <w:jc w:val="center"/>
              <w:rPr>
                <w:rFonts w:ascii="宋体" w:hAnsi="宋体" w:cs="宋体"/>
                <w:spacing w:val="20"/>
                <w:szCs w:val="21"/>
              </w:rPr>
            </w:pPr>
          </w:p>
        </w:tc>
        <w:tc>
          <w:tcPr>
            <w:tcW w:w="2700" w:type="dxa"/>
            <w:vAlign w:val="center"/>
          </w:tcPr>
          <w:p>
            <w:pPr>
              <w:adjustRightInd w:val="0"/>
              <w:snapToGrid w:val="0"/>
              <w:jc w:val="center"/>
              <w:rPr>
                <w:rFonts w:ascii="宋体" w:hAnsi="宋体" w:cs="宋体"/>
                <w:spacing w:val="20"/>
                <w:szCs w:val="21"/>
              </w:rPr>
            </w:pPr>
          </w:p>
        </w:tc>
        <w:tc>
          <w:tcPr>
            <w:tcW w:w="1356" w:type="dxa"/>
            <w:vAlign w:val="center"/>
          </w:tcPr>
          <w:p>
            <w:pPr>
              <w:adjustRightInd w:val="0"/>
              <w:snapToGrid w:val="0"/>
              <w:jc w:val="center"/>
              <w:rPr>
                <w:rFonts w:ascii="宋体" w:hAnsi="宋体" w:cs="宋体"/>
                <w:spacing w:val="20"/>
                <w:szCs w:val="21"/>
              </w:rPr>
            </w:pPr>
          </w:p>
        </w:tc>
      </w:tr>
    </w:tbl>
    <w:p>
      <w:pPr>
        <w:snapToGrid w:val="0"/>
        <w:spacing w:before="50" w:after="50"/>
        <w:ind w:right="-817" w:rightChars="-389"/>
        <w:rPr>
          <w:rFonts w:ascii="宋体" w:hAnsi="宋体" w:cs="宋体"/>
          <w:szCs w:val="21"/>
        </w:rPr>
      </w:pPr>
    </w:p>
    <w:p>
      <w:pPr>
        <w:snapToGrid w:val="0"/>
        <w:spacing w:before="50" w:after="50"/>
        <w:ind w:left="-23" w:leftChars="-22" w:right="-817" w:rightChars="-389" w:hanging="23" w:hangingChars="11"/>
        <w:rPr>
          <w:rFonts w:ascii="宋体" w:hAnsi="宋体" w:cs="宋体"/>
          <w:szCs w:val="21"/>
        </w:rPr>
      </w:pPr>
    </w:p>
    <w:p>
      <w:pPr>
        <w:adjustRightInd w:val="0"/>
        <w:snapToGrid w:val="0"/>
        <w:spacing w:line="440" w:lineRule="exact"/>
        <w:rPr>
          <w:rFonts w:ascii="宋体" w:hAnsi="宋体" w:cs="宋体"/>
          <w:b/>
          <w:color w:val="000000"/>
        </w:rPr>
      </w:pPr>
      <w:r>
        <w:rPr>
          <w:rFonts w:hint="eastAsia" w:ascii="宋体" w:hAnsi="宋体" w:cs="宋体"/>
          <w:b/>
          <w:color w:val="000000"/>
          <w:szCs w:val="21"/>
        </w:rPr>
        <w:t>注：供应商应对照采购文件第二章采购需求中的“二、商务需求”各条款逐条填写；</w:t>
      </w:r>
      <w:r>
        <w:rPr>
          <w:rFonts w:hint="eastAsia" w:ascii="宋体" w:hAnsi="宋体" w:cs="宋体"/>
          <w:b/>
          <w:color w:val="000000"/>
        </w:rPr>
        <w:t>若无负偏离也可在本表第一行中醒目标明“无商务条款负偏离”的字样，无商务条款负偏离即完全响应采购文件的商务要求。</w:t>
      </w: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r>
        <w:rPr>
          <w:rFonts w:hint="eastAsia" w:ascii="宋体" w:hAnsi="宋体" w:cs="宋体"/>
        </w:rPr>
        <w:t xml:space="preserve">供应商盖章（公章）：             </w:t>
      </w:r>
    </w:p>
    <w:p>
      <w:pPr>
        <w:adjustRightInd w:val="0"/>
        <w:snapToGrid w:val="0"/>
        <w:spacing w:line="440" w:lineRule="exact"/>
        <w:jc w:val="right"/>
        <w:rPr>
          <w:rFonts w:ascii="宋体" w:hAnsi="宋体" w:cs="宋体"/>
        </w:rPr>
      </w:pPr>
      <w:r>
        <w:rPr>
          <w:rFonts w:hint="eastAsia" w:ascii="宋体" w:hAnsi="宋体" w:cs="宋体"/>
        </w:rPr>
        <w:t xml:space="preserve">         </w:t>
      </w:r>
    </w:p>
    <w:p>
      <w:pPr>
        <w:spacing w:line="360" w:lineRule="auto"/>
        <w:jc w:val="left"/>
        <w:rPr>
          <w:rFonts w:ascii="宋体" w:hAnsi="宋体" w:cs="宋体"/>
          <w:szCs w:val="21"/>
        </w:rPr>
      </w:pPr>
      <w:r>
        <w:rPr>
          <w:rFonts w:hint="eastAsia" w:ascii="宋体" w:hAnsi="宋体" w:cs="宋体"/>
        </w:rPr>
        <w:t xml:space="preserve">                                                                   年  月  日</w:t>
      </w:r>
    </w:p>
    <w:p>
      <w:pPr>
        <w:spacing w:line="360" w:lineRule="auto"/>
        <w:jc w:val="left"/>
        <w:rPr>
          <w:rFonts w:ascii="宋体" w:hAnsi="宋体" w:cs="宋体"/>
          <w:szCs w:val="21"/>
        </w:rPr>
      </w:pPr>
    </w:p>
    <w:p>
      <w:pPr>
        <w:pStyle w:val="46"/>
      </w:pPr>
    </w:p>
    <w:p>
      <w:pPr>
        <w:spacing w:line="360" w:lineRule="auto"/>
        <w:jc w:val="left"/>
        <w:rPr>
          <w:rFonts w:ascii="宋体" w:hAnsi="宋体" w:cs="宋体"/>
          <w:szCs w:val="21"/>
        </w:rPr>
      </w:pPr>
    </w:p>
    <w:p>
      <w:pPr>
        <w:pStyle w:val="63"/>
        <w:rPr>
          <w:rFonts w:hAnsi="宋体" w:cs="宋体"/>
          <w:szCs w:val="21"/>
        </w:rPr>
      </w:pPr>
    </w:p>
    <w:p>
      <w:pPr>
        <w:pStyle w:val="63"/>
        <w:rPr>
          <w:rFonts w:hAnsi="宋体" w:cs="宋体"/>
          <w:szCs w:val="21"/>
        </w:rPr>
      </w:pPr>
    </w:p>
    <w:p>
      <w:pPr>
        <w:pStyle w:val="63"/>
        <w:rPr>
          <w:rFonts w:hAnsi="宋体" w:cs="宋体"/>
          <w:szCs w:val="21"/>
        </w:rPr>
      </w:pPr>
    </w:p>
    <w:p>
      <w:pPr>
        <w:pStyle w:val="63"/>
        <w:rPr>
          <w:rFonts w:hAnsi="宋体" w:cs="宋体"/>
          <w:szCs w:val="21"/>
        </w:rPr>
      </w:pPr>
    </w:p>
    <w:p>
      <w:pPr>
        <w:pStyle w:val="63"/>
        <w:rPr>
          <w:rFonts w:hAnsi="宋体" w:cs="宋体"/>
          <w:szCs w:val="21"/>
        </w:rPr>
      </w:pPr>
    </w:p>
    <w:p>
      <w:pPr>
        <w:pStyle w:val="63"/>
        <w:rPr>
          <w:rFonts w:hAnsi="宋体" w:cs="宋体"/>
          <w:szCs w:val="21"/>
        </w:rPr>
      </w:pPr>
    </w:p>
    <w:p>
      <w:pPr>
        <w:snapToGrid w:val="0"/>
        <w:spacing w:line="480" w:lineRule="auto"/>
        <w:jc w:val="left"/>
        <w:rPr>
          <w:rFonts w:ascii="宋体" w:hAnsi="宋体" w:cs="宋体"/>
          <w:szCs w:val="21"/>
        </w:rPr>
      </w:pPr>
      <w:r>
        <w:rPr>
          <w:rFonts w:hint="eastAsia" w:ascii="宋体" w:hAnsi="宋体" w:cs="宋体"/>
          <w:szCs w:val="21"/>
        </w:rPr>
        <w:t>6、服务条款响应（偏离）表；</w:t>
      </w:r>
    </w:p>
    <w:p>
      <w:pPr>
        <w:spacing w:line="480" w:lineRule="auto"/>
        <w:jc w:val="center"/>
        <w:rPr>
          <w:rFonts w:ascii="宋体" w:hAnsi="宋体" w:cs="宋体"/>
          <w:b/>
          <w:spacing w:val="20"/>
          <w:sz w:val="28"/>
          <w:szCs w:val="32"/>
        </w:rPr>
      </w:pPr>
      <w:r>
        <w:rPr>
          <w:rFonts w:hint="eastAsia" w:ascii="宋体" w:hAnsi="宋体" w:cs="宋体"/>
          <w:b/>
          <w:spacing w:val="20"/>
          <w:sz w:val="28"/>
          <w:szCs w:val="32"/>
        </w:rPr>
        <w:t>服务条款响应（偏离）表</w:t>
      </w:r>
    </w:p>
    <w:p>
      <w:pPr>
        <w:spacing w:line="360" w:lineRule="auto"/>
        <w:ind w:left="540"/>
        <w:jc w:val="center"/>
        <w:rPr>
          <w:rFonts w:ascii="宋体" w:hAnsi="宋体" w:cs="宋体"/>
          <w:b/>
          <w:sz w:val="28"/>
          <w:szCs w:val="30"/>
        </w:rPr>
      </w:pPr>
    </w:p>
    <w:p>
      <w:pPr>
        <w:snapToGrid w:val="0"/>
        <w:spacing w:before="50" w:after="50"/>
        <w:ind w:firstLine="210" w:firstLineChars="100"/>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p>
    <w:tbl>
      <w:tblPr>
        <w:tblStyle w:val="47"/>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3836"/>
        <w:gridCol w:w="273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adjustRightInd w:val="0"/>
              <w:snapToGrid w:val="0"/>
              <w:jc w:val="center"/>
              <w:rPr>
                <w:rFonts w:ascii="宋体" w:hAnsi="宋体" w:cs="宋体"/>
                <w:b/>
                <w:bCs/>
                <w:spacing w:val="20"/>
                <w:szCs w:val="21"/>
              </w:rPr>
            </w:pPr>
            <w:r>
              <w:rPr>
                <w:rFonts w:hint="eastAsia" w:ascii="宋体" w:hAnsi="宋体" w:cs="宋体"/>
                <w:b/>
                <w:bCs/>
                <w:spacing w:val="20"/>
                <w:szCs w:val="21"/>
              </w:rPr>
              <w:t>序号</w:t>
            </w:r>
          </w:p>
        </w:tc>
        <w:tc>
          <w:tcPr>
            <w:tcW w:w="3836" w:type="dxa"/>
            <w:vAlign w:val="center"/>
          </w:tcPr>
          <w:p>
            <w:pPr>
              <w:adjustRightInd w:val="0"/>
              <w:snapToGrid w:val="0"/>
              <w:jc w:val="center"/>
              <w:rPr>
                <w:rFonts w:ascii="宋体" w:hAnsi="宋体" w:cs="宋体"/>
                <w:b/>
                <w:bCs/>
                <w:spacing w:val="20"/>
                <w:szCs w:val="21"/>
              </w:rPr>
            </w:pPr>
            <w:r>
              <w:rPr>
                <w:rFonts w:hint="eastAsia" w:ascii="宋体" w:hAnsi="宋体" w:cs="宋体"/>
                <w:b/>
                <w:bCs/>
                <w:spacing w:val="20"/>
                <w:szCs w:val="21"/>
              </w:rPr>
              <w:t>磋商采购文件要求</w:t>
            </w:r>
          </w:p>
        </w:tc>
        <w:tc>
          <w:tcPr>
            <w:tcW w:w="2735" w:type="dxa"/>
            <w:vAlign w:val="center"/>
          </w:tcPr>
          <w:p>
            <w:pPr>
              <w:adjustRightInd w:val="0"/>
              <w:snapToGrid w:val="0"/>
              <w:jc w:val="center"/>
              <w:rPr>
                <w:rFonts w:ascii="宋体" w:hAnsi="宋体" w:cs="宋体"/>
                <w:b/>
                <w:bCs/>
                <w:spacing w:val="20"/>
                <w:szCs w:val="21"/>
              </w:rPr>
            </w:pPr>
            <w:r>
              <w:rPr>
                <w:rFonts w:hint="eastAsia" w:ascii="宋体" w:hAnsi="宋体" w:cs="宋体"/>
                <w:b/>
                <w:bCs/>
                <w:spacing w:val="20"/>
                <w:szCs w:val="21"/>
              </w:rPr>
              <w:t>响应内容</w:t>
            </w:r>
          </w:p>
        </w:tc>
        <w:tc>
          <w:tcPr>
            <w:tcW w:w="1695" w:type="dxa"/>
            <w:vAlign w:val="center"/>
          </w:tcPr>
          <w:p>
            <w:pPr>
              <w:adjustRightInd w:val="0"/>
              <w:snapToGrid w:val="0"/>
              <w:jc w:val="center"/>
              <w:rPr>
                <w:rFonts w:ascii="宋体" w:hAnsi="宋体" w:cs="宋体"/>
                <w:b/>
                <w:bCs/>
                <w:spacing w:val="20"/>
                <w:szCs w:val="21"/>
              </w:rPr>
            </w:pPr>
            <w:r>
              <w:rPr>
                <w:rFonts w:hint="eastAsia" w:ascii="宋体" w:hAnsi="宋体" w:cs="宋体"/>
                <w:b/>
                <w:bCs/>
                <w:spacing w:val="20"/>
                <w:szCs w:val="21"/>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1</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2</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3</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4</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5</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6</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7</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8</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9</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10</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11</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12</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12" w:type="dxa"/>
            <w:vAlign w:val="center"/>
          </w:tcPr>
          <w:p>
            <w:pPr>
              <w:jc w:val="center"/>
              <w:rPr>
                <w:rFonts w:ascii="宋体" w:hAnsi="宋体"/>
              </w:rPr>
            </w:pPr>
            <w:r>
              <w:rPr>
                <w:rFonts w:hint="eastAsia" w:ascii="宋体" w:hAnsi="宋体"/>
              </w:rPr>
              <w:t>13</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bl>
    <w:p>
      <w:pPr>
        <w:adjustRightInd w:val="0"/>
        <w:snapToGrid w:val="0"/>
        <w:spacing w:line="440" w:lineRule="exact"/>
        <w:rPr>
          <w:rFonts w:ascii="宋体" w:hAnsi="宋体" w:cs="宋体"/>
          <w:b/>
          <w:color w:val="000000"/>
        </w:rPr>
      </w:pPr>
      <w:r>
        <w:rPr>
          <w:rFonts w:hint="eastAsia" w:ascii="宋体" w:hAnsi="宋体" w:cs="宋体"/>
          <w:b/>
          <w:color w:val="000000"/>
          <w:szCs w:val="21"/>
        </w:rPr>
        <w:t>注：供应商应对照采购文件第二章采购需求中的所有条款（除“二、商务需求”）逐条填写；</w:t>
      </w:r>
      <w:r>
        <w:rPr>
          <w:rFonts w:hint="eastAsia" w:ascii="宋体" w:hAnsi="宋体" w:cs="宋体"/>
          <w:b/>
          <w:color w:val="000000"/>
        </w:rPr>
        <w:t>若无负偏离也可在本表第一行中醒目标明“无服务条款负偏离”的字样，无服务条款负偏离即完全响应采购文件的服务要求。</w:t>
      </w: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r>
        <w:rPr>
          <w:rFonts w:hint="eastAsia" w:ascii="宋体" w:hAnsi="宋体" w:cs="宋体"/>
        </w:rPr>
        <w:t xml:space="preserve">供应商盖章（公章）：             </w:t>
      </w:r>
    </w:p>
    <w:p>
      <w:pPr>
        <w:adjustRightInd w:val="0"/>
        <w:snapToGrid w:val="0"/>
        <w:spacing w:line="440" w:lineRule="exact"/>
        <w:jc w:val="right"/>
        <w:rPr>
          <w:rFonts w:ascii="宋体" w:hAnsi="宋体" w:cs="宋体"/>
        </w:rPr>
      </w:pPr>
      <w:r>
        <w:rPr>
          <w:rFonts w:hint="eastAsia" w:ascii="宋体" w:hAnsi="宋体" w:cs="宋体"/>
        </w:rPr>
        <w:t xml:space="preserve">           </w:t>
      </w:r>
    </w:p>
    <w:p>
      <w:pPr>
        <w:spacing w:line="360" w:lineRule="auto"/>
        <w:jc w:val="left"/>
        <w:rPr>
          <w:rFonts w:ascii="宋体" w:hAnsi="宋体" w:cs="宋体"/>
          <w:szCs w:val="21"/>
        </w:rPr>
      </w:pPr>
      <w:r>
        <w:rPr>
          <w:rFonts w:hint="eastAsia" w:ascii="宋体" w:hAnsi="宋体" w:cs="宋体"/>
        </w:rPr>
        <w:t xml:space="preserve">                                                                   年  月  日</w:t>
      </w:r>
    </w:p>
    <w:p>
      <w:pPr>
        <w:spacing w:line="360" w:lineRule="auto"/>
        <w:jc w:val="left"/>
        <w:rPr>
          <w:rFonts w:ascii="宋体" w:hAnsi="宋体" w:cs="宋体"/>
          <w:szCs w:val="21"/>
        </w:rPr>
      </w:pPr>
    </w:p>
    <w:p>
      <w:pPr>
        <w:pStyle w:val="63"/>
        <w:ind w:left="0" w:firstLine="0"/>
        <w:rPr>
          <w:rFonts w:hAnsi="宋体" w:cs="宋体"/>
          <w:szCs w:val="21"/>
        </w:rPr>
        <w:sectPr>
          <w:pgSz w:w="11906" w:h="16838"/>
          <w:pgMar w:top="1474" w:right="1797" w:bottom="1247" w:left="1797" w:header="851" w:footer="851" w:gutter="0"/>
          <w:cols w:space="720" w:num="1"/>
          <w:titlePg/>
          <w:docGrid w:linePitch="312" w:charSpace="0"/>
        </w:sectPr>
      </w:pPr>
    </w:p>
    <w:p>
      <w:pPr>
        <w:snapToGrid w:val="0"/>
        <w:spacing w:line="360" w:lineRule="auto"/>
        <w:jc w:val="left"/>
        <w:rPr>
          <w:rFonts w:ascii="宋体" w:hAnsi="宋体" w:cs="宋体"/>
          <w:szCs w:val="21"/>
        </w:rPr>
      </w:pPr>
      <w:r>
        <w:rPr>
          <w:rFonts w:hint="eastAsia" w:ascii="宋体" w:hAnsi="宋体" w:cs="宋体"/>
          <w:szCs w:val="21"/>
        </w:rPr>
        <w:t>7、项目总体了解情况；</w:t>
      </w:r>
    </w:p>
    <w:p>
      <w:pPr>
        <w:snapToGrid w:val="0"/>
        <w:spacing w:line="360" w:lineRule="auto"/>
        <w:jc w:val="left"/>
        <w:rPr>
          <w:rFonts w:ascii="宋体" w:hAnsi="宋体" w:cs="宋体"/>
          <w:szCs w:val="21"/>
        </w:rPr>
      </w:pPr>
      <w:r>
        <w:rPr>
          <w:rFonts w:hint="eastAsia" w:ascii="宋体" w:hAnsi="宋体" w:cs="宋体"/>
          <w:szCs w:val="21"/>
        </w:rPr>
        <w:t>8、报名审核流程；</w:t>
      </w:r>
    </w:p>
    <w:p>
      <w:pPr>
        <w:snapToGrid w:val="0"/>
        <w:spacing w:line="360" w:lineRule="auto"/>
        <w:jc w:val="left"/>
        <w:rPr>
          <w:rFonts w:ascii="宋体" w:hAnsi="宋体" w:cs="宋体"/>
          <w:szCs w:val="21"/>
        </w:rPr>
      </w:pPr>
      <w:r>
        <w:rPr>
          <w:rFonts w:hint="eastAsia" w:ascii="宋体" w:hAnsi="宋体" w:cs="宋体"/>
          <w:szCs w:val="21"/>
        </w:rPr>
        <w:t>9、笔试、面试服务方案；</w:t>
      </w:r>
    </w:p>
    <w:p>
      <w:pPr>
        <w:snapToGrid w:val="0"/>
        <w:spacing w:line="360" w:lineRule="auto"/>
        <w:jc w:val="left"/>
        <w:rPr>
          <w:rFonts w:ascii="宋体" w:hAnsi="宋体" w:cs="宋体"/>
          <w:szCs w:val="21"/>
        </w:rPr>
      </w:pPr>
      <w:r>
        <w:rPr>
          <w:rFonts w:hint="eastAsia" w:ascii="宋体" w:hAnsi="宋体" w:cs="宋体"/>
          <w:szCs w:val="21"/>
        </w:rPr>
        <w:t>10、资格复审和体检服务方案；</w:t>
      </w:r>
    </w:p>
    <w:p>
      <w:pPr>
        <w:snapToGrid w:val="0"/>
        <w:spacing w:line="360" w:lineRule="auto"/>
        <w:jc w:val="left"/>
        <w:rPr>
          <w:rFonts w:ascii="宋体" w:hAnsi="宋体" w:cs="宋体"/>
          <w:szCs w:val="21"/>
        </w:rPr>
      </w:pPr>
      <w:r>
        <w:rPr>
          <w:rFonts w:hint="eastAsia" w:ascii="宋体" w:hAnsi="宋体" w:cs="宋体"/>
          <w:szCs w:val="21"/>
        </w:rPr>
        <w:t>11、录用及人员通知服务方案；</w:t>
      </w:r>
    </w:p>
    <w:p>
      <w:pPr>
        <w:snapToGrid w:val="0"/>
        <w:spacing w:line="360" w:lineRule="auto"/>
        <w:jc w:val="left"/>
        <w:rPr>
          <w:rFonts w:ascii="宋体" w:hAnsi="宋体" w:cs="宋体"/>
          <w:szCs w:val="21"/>
        </w:rPr>
      </w:pPr>
      <w:r>
        <w:rPr>
          <w:rFonts w:hint="eastAsia" w:ascii="宋体" w:hAnsi="宋体" w:cs="宋体"/>
          <w:szCs w:val="21"/>
        </w:rPr>
        <w:t>12、服务保障方案；</w:t>
      </w:r>
    </w:p>
    <w:p>
      <w:pPr>
        <w:snapToGrid w:val="0"/>
        <w:spacing w:line="360" w:lineRule="auto"/>
        <w:jc w:val="left"/>
        <w:rPr>
          <w:rFonts w:ascii="宋体" w:hAnsi="宋体" w:cs="宋体"/>
          <w:szCs w:val="21"/>
        </w:rPr>
      </w:pPr>
      <w:r>
        <w:rPr>
          <w:rFonts w:hint="eastAsia" w:ascii="宋体" w:hAnsi="宋体" w:cs="宋体"/>
          <w:szCs w:val="21"/>
        </w:rPr>
        <w:t>13、员工培训方案；</w:t>
      </w:r>
    </w:p>
    <w:p>
      <w:pPr>
        <w:snapToGrid w:val="0"/>
        <w:spacing w:line="360" w:lineRule="auto"/>
        <w:jc w:val="left"/>
        <w:rPr>
          <w:rFonts w:ascii="宋体" w:hAnsi="宋体" w:cs="宋体"/>
          <w:szCs w:val="21"/>
        </w:rPr>
      </w:pPr>
      <w:r>
        <w:rPr>
          <w:rFonts w:hint="eastAsia" w:ascii="宋体" w:hAnsi="宋体" w:cs="宋体"/>
          <w:szCs w:val="21"/>
        </w:rPr>
        <w:t>14、管理制度；</w:t>
      </w:r>
    </w:p>
    <w:p>
      <w:pPr>
        <w:snapToGrid w:val="0"/>
        <w:spacing w:line="360" w:lineRule="auto"/>
        <w:jc w:val="left"/>
        <w:rPr>
          <w:rFonts w:ascii="宋体" w:hAnsi="宋体" w:cs="宋体"/>
          <w:szCs w:val="21"/>
        </w:rPr>
      </w:pPr>
      <w:r>
        <w:rPr>
          <w:rFonts w:hint="eastAsia" w:ascii="宋体" w:hAnsi="宋体" w:cs="宋体"/>
          <w:szCs w:val="21"/>
        </w:rPr>
        <w:t>15、管理系统先进性；</w:t>
      </w:r>
    </w:p>
    <w:p>
      <w:pPr>
        <w:snapToGrid w:val="0"/>
        <w:spacing w:line="360" w:lineRule="auto"/>
        <w:jc w:val="left"/>
        <w:rPr>
          <w:rFonts w:ascii="宋体" w:hAnsi="宋体" w:cs="宋体"/>
          <w:szCs w:val="21"/>
        </w:rPr>
      </w:pPr>
      <w:r>
        <w:rPr>
          <w:rFonts w:hint="eastAsia" w:ascii="宋体" w:hAnsi="宋体" w:cs="宋体"/>
          <w:szCs w:val="21"/>
        </w:rPr>
        <w:t>16、突发事件应急预案；</w:t>
      </w:r>
    </w:p>
    <w:p>
      <w:pPr>
        <w:snapToGrid w:val="0"/>
        <w:spacing w:line="360" w:lineRule="auto"/>
        <w:jc w:val="left"/>
        <w:rPr>
          <w:rFonts w:ascii="宋体" w:hAnsi="宋体" w:cs="宋体"/>
          <w:szCs w:val="21"/>
        </w:rPr>
      </w:pPr>
      <w:r>
        <w:rPr>
          <w:rFonts w:hint="eastAsia" w:ascii="宋体" w:hAnsi="宋体" w:cs="宋体"/>
          <w:szCs w:val="21"/>
        </w:rPr>
        <w:t>17、疫情防控方案；</w:t>
      </w:r>
    </w:p>
    <w:p>
      <w:pPr>
        <w:snapToGrid w:val="0"/>
        <w:spacing w:line="360" w:lineRule="auto"/>
        <w:jc w:val="left"/>
        <w:rPr>
          <w:rFonts w:ascii="宋体" w:hAnsi="宋体" w:cs="宋体"/>
          <w:szCs w:val="21"/>
        </w:rPr>
      </w:pPr>
      <w:r>
        <w:rPr>
          <w:rFonts w:hint="eastAsia" w:ascii="宋体" w:hAnsi="宋体" w:cs="宋体"/>
          <w:szCs w:val="21"/>
        </w:rPr>
        <w:t>18、服务承诺；</w:t>
      </w:r>
    </w:p>
    <w:p>
      <w:pPr>
        <w:pStyle w:val="46"/>
      </w:pPr>
    </w:p>
    <w:p>
      <w:pPr>
        <w:rPr>
          <w:rFonts w:ascii="宋体" w:hAnsi="宋体" w:cs="宋体"/>
          <w:b/>
          <w:bCs/>
        </w:rPr>
      </w:pPr>
    </w:p>
    <w:p>
      <w:pPr>
        <w:pStyle w:val="44"/>
        <w:sectPr>
          <w:pgSz w:w="11906" w:h="16838"/>
          <w:pgMar w:top="1474" w:right="1797" w:bottom="1247" w:left="1797" w:header="851" w:footer="851" w:gutter="0"/>
          <w:cols w:space="720" w:num="1"/>
          <w:titlePg/>
          <w:docGrid w:linePitch="312" w:charSpace="0"/>
        </w:sectPr>
      </w:pPr>
    </w:p>
    <w:p>
      <w:pPr>
        <w:snapToGrid w:val="0"/>
        <w:spacing w:line="360" w:lineRule="auto"/>
        <w:jc w:val="left"/>
        <w:rPr>
          <w:rFonts w:ascii="宋体" w:hAnsi="宋体" w:cs="宋体"/>
          <w:szCs w:val="21"/>
        </w:rPr>
      </w:pPr>
      <w:r>
        <w:rPr>
          <w:rFonts w:hint="eastAsia" w:ascii="宋体" w:hAnsi="宋体" w:cs="宋体"/>
          <w:szCs w:val="21"/>
        </w:rPr>
        <w:t>19、拟投入本项目的成员表；</w:t>
      </w:r>
    </w:p>
    <w:p>
      <w:pPr>
        <w:pStyle w:val="43"/>
        <w:widowControl w:val="0"/>
        <w:spacing w:beforeAutospacing="0" w:afterAutospacing="0" w:line="360" w:lineRule="auto"/>
        <w:ind w:firstLine="301"/>
        <w:jc w:val="center"/>
        <w:rPr>
          <w:rFonts w:ascii="宋体" w:hAnsi="宋体" w:cs="宋体"/>
          <w:b/>
          <w:spacing w:val="-4"/>
          <w:kern w:val="2"/>
          <w:sz w:val="21"/>
          <w:szCs w:val="21"/>
          <w:lang w:val="zh-CN"/>
        </w:rPr>
      </w:pPr>
    </w:p>
    <w:p>
      <w:pPr>
        <w:pStyle w:val="43"/>
        <w:widowControl w:val="0"/>
        <w:spacing w:beforeAutospacing="0" w:afterAutospacing="0" w:line="360" w:lineRule="auto"/>
        <w:ind w:firstLine="301"/>
        <w:jc w:val="center"/>
        <w:rPr>
          <w:rFonts w:ascii="宋体" w:hAnsi="宋体" w:cs="宋体"/>
          <w:sz w:val="21"/>
          <w:szCs w:val="21"/>
        </w:rPr>
      </w:pPr>
      <w:r>
        <w:rPr>
          <w:rFonts w:hint="eastAsia" w:ascii="宋体" w:hAnsi="宋体" w:cs="宋体"/>
          <w:b/>
          <w:spacing w:val="-4"/>
          <w:kern w:val="2"/>
          <w:sz w:val="21"/>
          <w:szCs w:val="21"/>
          <w:lang w:val="zh-CN"/>
        </w:rPr>
        <w:t>拟投入本项目的</w:t>
      </w:r>
      <w:r>
        <w:rPr>
          <w:rFonts w:hint="eastAsia" w:ascii="宋体" w:hAnsi="宋体" w:cs="宋体"/>
          <w:b/>
          <w:spacing w:val="-4"/>
          <w:kern w:val="2"/>
          <w:sz w:val="21"/>
          <w:szCs w:val="21"/>
        </w:rPr>
        <w:t>成员表</w:t>
      </w:r>
    </w:p>
    <w:p>
      <w:pPr>
        <w:pStyle w:val="43"/>
        <w:widowControl w:val="0"/>
        <w:spacing w:beforeAutospacing="0" w:afterAutospacing="0" w:line="360" w:lineRule="auto"/>
        <w:jc w:val="both"/>
        <w:rPr>
          <w:rFonts w:ascii="宋体" w:hAnsi="宋体" w:cs="宋体"/>
          <w:b/>
          <w:sz w:val="21"/>
          <w:szCs w:val="21"/>
        </w:rPr>
      </w:pPr>
      <w:r>
        <w:rPr>
          <w:rFonts w:hint="eastAsia" w:ascii="宋体" w:hAnsi="宋体" w:cs="宋体"/>
          <w:spacing w:val="-4"/>
          <w:kern w:val="2"/>
          <w:sz w:val="21"/>
          <w:szCs w:val="21"/>
        </w:rPr>
        <w:t>项目名称：</w:t>
      </w:r>
      <w:r>
        <w:rPr>
          <w:rFonts w:hint="eastAsia" w:ascii="宋体" w:hAnsi="宋体" w:cs="宋体"/>
          <w:spacing w:val="-4"/>
          <w:kern w:val="2"/>
          <w:sz w:val="21"/>
          <w:szCs w:val="21"/>
          <w:u w:val="single"/>
        </w:rPr>
        <w:t xml:space="preserve">                            </w:t>
      </w:r>
      <w:r>
        <w:rPr>
          <w:rFonts w:hint="eastAsia" w:ascii="宋体" w:hAnsi="宋体" w:cs="宋体"/>
          <w:spacing w:val="-4"/>
          <w:kern w:val="2"/>
          <w:sz w:val="21"/>
          <w:szCs w:val="21"/>
        </w:rPr>
        <w:t xml:space="preserve"> 项目编号：</w:t>
      </w:r>
      <w:r>
        <w:rPr>
          <w:rFonts w:hint="eastAsia" w:ascii="宋体" w:hAnsi="宋体" w:cs="宋体"/>
          <w:spacing w:val="-4"/>
          <w:kern w:val="2"/>
          <w:sz w:val="21"/>
          <w:szCs w:val="21"/>
          <w:u w:val="single"/>
        </w:rPr>
        <w:t xml:space="preserve">                   </w:t>
      </w:r>
      <w:r>
        <w:rPr>
          <w:rFonts w:hint="eastAsia" w:ascii="宋体" w:hAnsi="宋体" w:cs="宋体"/>
          <w:spacing w:val="-4"/>
          <w:kern w:val="2"/>
          <w:sz w:val="21"/>
          <w:szCs w:val="21"/>
        </w:rPr>
        <w:t xml:space="preserve">  </w:t>
      </w:r>
    </w:p>
    <w:tbl>
      <w:tblPr>
        <w:tblStyle w:val="47"/>
        <w:tblW w:w="9076"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56"/>
        <w:gridCol w:w="1200"/>
        <w:gridCol w:w="764"/>
        <w:gridCol w:w="436"/>
        <w:gridCol w:w="1184"/>
        <w:gridCol w:w="1260"/>
        <w:gridCol w:w="720"/>
        <w:gridCol w:w="145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2056" w:type="dxa"/>
            <w:tcBorders>
              <w:top w:val="single" w:color="auto" w:sz="4" w:space="0"/>
              <w:left w:val="single" w:color="auto" w:sz="4"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姓  名</w:t>
            </w:r>
          </w:p>
        </w:tc>
        <w:tc>
          <w:tcPr>
            <w:tcW w:w="1200" w:type="dxa"/>
            <w:tcBorders>
              <w:top w:val="single" w:color="auto" w:sz="4" w:space="0"/>
              <w:left w:val="single" w:color="auto" w:sz="2" w:space="0"/>
              <w:bottom w:val="single" w:color="auto" w:sz="2" w:space="0"/>
              <w:right w:val="single" w:color="auto" w:sz="2" w:space="0"/>
            </w:tcBorders>
            <w:vAlign w:val="center"/>
          </w:tcPr>
          <w:p>
            <w:pPr>
              <w:rPr>
                <w:rFonts w:ascii="宋体" w:hAnsi="宋体" w:cs="宋体"/>
                <w:szCs w:val="21"/>
              </w:rPr>
            </w:pPr>
          </w:p>
        </w:tc>
        <w:tc>
          <w:tcPr>
            <w:tcW w:w="1200" w:type="dxa"/>
            <w:gridSpan w:val="2"/>
            <w:tcBorders>
              <w:top w:val="single" w:color="auto" w:sz="4" w:space="0"/>
              <w:left w:val="single" w:color="auto" w:sz="2"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年  龄</w:t>
            </w:r>
          </w:p>
        </w:tc>
        <w:tc>
          <w:tcPr>
            <w:tcW w:w="1184" w:type="dxa"/>
            <w:tcBorders>
              <w:top w:val="single" w:color="auto" w:sz="4" w:space="0"/>
              <w:left w:val="single" w:color="auto" w:sz="2" w:space="0"/>
              <w:bottom w:val="single" w:color="auto" w:sz="2" w:space="0"/>
              <w:right w:val="single" w:color="auto" w:sz="2" w:space="0"/>
            </w:tcBorders>
            <w:vAlign w:val="center"/>
          </w:tcPr>
          <w:p>
            <w:pPr>
              <w:rPr>
                <w:rFonts w:ascii="宋体" w:hAnsi="宋体" w:cs="宋体"/>
                <w:szCs w:val="21"/>
              </w:rPr>
            </w:pPr>
          </w:p>
        </w:tc>
        <w:tc>
          <w:tcPr>
            <w:tcW w:w="1980" w:type="dxa"/>
            <w:gridSpan w:val="2"/>
            <w:tcBorders>
              <w:top w:val="single" w:color="auto" w:sz="4" w:space="0"/>
              <w:left w:val="single" w:color="auto" w:sz="2"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性  别</w:t>
            </w:r>
          </w:p>
        </w:tc>
        <w:tc>
          <w:tcPr>
            <w:tcW w:w="1456" w:type="dxa"/>
            <w:tcBorders>
              <w:top w:val="single" w:color="auto" w:sz="4" w:space="0"/>
              <w:left w:val="single" w:color="auto" w:sz="2" w:space="0"/>
              <w:bottom w:val="single" w:color="auto" w:sz="2"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88" w:hRule="atLeast"/>
          <w:jc w:val="center"/>
        </w:trPr>
        <w:tc>
          <w:tcPr>
            <w:tcW w:w="2056" w:type="dxa"/>
            <w:tcBorders>
              <w:top w:val="single" w:color="auto" w:sz="2" w:space="0"/>
              <w:left w:val="single" w:color="auto" w:sz="4"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身份证号码</w:t>
            </w:r>
          </w:p>
        </w:tc>
        <w:tc>
          <w:tcPr>
            <w:tcW w:w="3584" w:type="dxa"/>
            <w:gridSpan w:val="4"/>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p>
        </w:tc>
        <w:tc>
          <w:tcPr>
            <w:tcW w:w="198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专  业</w:t>
            </w:r>
          </w:p>
        </w:tc>
        <w:tc>
          <w:tcPr>
            <w:tcW w:w="1456" w:type="dxa"/>
            <w:tcBorders>
              <w:top w:val="single" w:color="auto" w:sz="2" w:space="0"/>
              <w:left w:val="single" w:color="auto" w:sz="2" w:space="0"/>
              <w:bottom w:val="single" w:color="auto" w:sz="2"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1" w:hRule="atLeast"/>
          <w:jc w:val="center"/>
        </w:trPr>
        <w:tc>
          <w:tcPr>
            <w:tcW w:w="2056" w:type="dxa"/>
            <w:tcBorders>
              <w:top w:val="single" w:color="auto" w:sz="2" w:space="0"/>
              <w:left w:val="single" w:color="auto" w:sz="4"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职  称</w:t>
            </w:r>
          </w:p>
        </w:tc>
        <w:tc>
          <w:tcPr>
            <w:tcW w:w="1200" w:type="dxa"/>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p>
        </w:tc>
        <w:tc>
          <w:tcPr>
            <w:tcW w:w="120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职  务</w:t>
            </w:r>
          </w:p>
        </w:tc>
        <w:tc>
          <w:tcPr>
            <w:tcW w:w="1184" w:type="dxa"/>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p>
        </w:tc>
        <w:tc>
          <w:tcPr>
            <w:tcW w:w="198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拟在本合同中担任的职务</w:t>
            </w:r>
          </w:p>
        </w:tc>
        <w:tc>
          <w:tcPr>
            <w:tcW w:w="1456" w:type="dxa"/>
            <w:tcBorders>
              <w:top w:val="single" w:color="auto" w:sz="2" w:space="0"/>
              <w:left w:val="single" w:color="auto" w:sz="2" w:space="0"/>
              <w:bottom w:val="single" w:color="auto" w:sz="2"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369" w:hRule="atLeast"/>
          <w:jc w:val="center"/>
        </w:trPr>
        <w:tc>
          <w:tcPr>
            <w:tcW w:w="2056" w:type="dxa"/>
            <w:tcBorders>
              <w:top w:val="single" w:color="auto" w:sz="2" w:space="0"/>
              <w:left w:val="single" w:color="auto" w:sz="4"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毕业学校</w:t>
            </w:r>
          </w:p>
        </w:tc>
        <w:tc>
          <w:tcPr>
            <w:tcW w:w="7020" w:type="dxa"/>
            <w:gridSpan w:val="7"/>
            <w:tcBorders>
              <w:top w:val="single" w:color="auto" w:sz="2" w:space="0"/>
              <w:left w:val="single" w:color="auto" w:sz="2" w:space="0"/>
              <w:bottom w:val="single" w:color="auto" w:sz="2" w:space="0"/>
              <w:right w:val="single" w:color="auto" w:sz="4" w:space="0"/>
            </w:tcBorders>
            <w:vAlign w:val="center"/>
          </w:tcPr>
          <w:p>
            <w:pP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月毕业于</w:t>
            </w:r>
            <w:r>
              <w:rPr>
                <w:rFonts w:hint="eastAsia" w:ascii="宋体" w:hAnsi="宋体" w:cs="宋体"/>
                <w:szCs w:val="21"/>
                <w:u w:val="single"/>
              </w:rPr>
              <w:t xml:space="preserve">       </w:t>
            </w:r>
            <w:r>
              <w:rPr>
                <w:rFonts w:hint="eastAsia" w:ascii="宋体" w:hAnsi="宋体" w:cs="宋体"/>
                <w:szCs w:val="21"/>
              </w:rPr>
              <w:t>学</w:t>
            </w:r>
            <w:r>
              <w:rPr>
                <w:rFonts w:hint="eastAsia" w:ascii="宋体" w:hAnsi="宋体" w:cs="宋体"/>
                <w:szCs w:val="21"/>
                <w:u w:val="single"/>
              </w:rPr>
              <w:t xml:space="preserve">     </w:t>
            </w:r>
            <w:r>
              <w:rPr>
                <w:rFonts w:hint="eastAsia" w:ascii="宋体" w:hAnsi="宋体" w:cs="宋体"/>
                <w:szCs w:val="21"/>
              </w:rPr>
              <w:t>系（科），学制</w:t>
            </w:r>
            <w:r>
              <w:rPr>
                <w:rFonts w:hint="eastAsia" w:ascii="宋体" w:hAnsi="宋体" w:cs="宋体"/>
                <w:szCs w:val="21"/>
                <w:u w:val="single"/>
              </w:rPr>
              <w:t xml:space="preserve">  </w:t>
            </w:r>
            <w:r>
              <w:rPr>
                <w:rFonts w:hint="eastAsia" w:ascii="宋体" w:hAnsi="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27" w:hRule="atLeast"/>
          <w:jc w:val="center"/>
        </w:trPr>
        <w:tc>
          <w:tcPr>
            <w:tcW w:w="2056" w:type="dxa"/>
            <w:vMerge w:val="restart"/>
            <w:tcBorders>
              <w:top w:val="single" w:color="auto" w:sz="2" w:space="0"/>
              <w:left w:val="single" w:color="auto" w:sz="4"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项目经历</w:t>
            </w:r>
          </w:p>
        </w:tc>
        <w:tc>
          <w:tcPr>
            <w:tcW w:w="1964"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年</w:t>
            </w:r>
          </w:p>
        </w:tc>
        <w:tc>
          <w:tcPr>
            <w:tcW w:w="2880"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参加过的项目</w:t>
            </w:r>
          </w:p>
        </w:tc>
        <w:tc>
          <w:tcPr>
            <w:tcW w:w="2176"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cs="宋体"/>
                <w:szCs w:val="21"/>
              </w:rPr>
            </w:pPr>
            <w:r>
              <w:rPr>
                <w:rFonts w:hint="eastAsia" w:ascii="宋体" w:hAnsi="宋体" w:cs="宋体"/>
                <w:szCs w:val="21"/>
              </w:rPr>
              <w:t>担任何职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460" w:hRule="atLeast"/>
          <w:jc w:val="center"/>
        </w:trPr>
        <w:tc>
          <w:tcPr>
            <w:tcW w:w="2056" w:type="dxa"/>
            <w:vMerge w:val="continue"/>
            <w:tcBorders>
              <w:top w:val="single" w:color="auto" w:sz="2" w:space="0"/>
              <w:left w:val="single" w:color="auto" w:sz="4" w:space="0"/>
              <w:bottom w:val="single" w:color="auto" w:sz="2" w:space="0"/>
              <w:right w:val="single" w:color="auto" w:sz="2" w:space="0"/>
            </w:tcBorders>
            <w:vAlign w:val="center"/>
          </w:tcPr>
          <w:p>
            <w:pPr>
              <w:rPr>
                <w:rFonts w:ascii="宋体" w:hAnsi="宋体" w:cs="宋体"/>
                <w:sz w:val="20"/>
                <w:szCs w:val="20"/>
              </w:rPr>
            </w:pPr>
          </w:p>
        </w:tc>
        <w:tc>
          <w:tcPr>
            <w:tcW w:w="1964"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p>
        </w:tc>
        <w:tc>
          <w:tcPr>
            <w:tcW w:w="2880"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p>
        </w:tc>
        <w:tc>
          <w:tcPr>
            <w:tcW w:w="2176" w:type="dxa"/>
            <w:gridSpan w:val="2"/>
            <w:tcBorders>
              <w:top w:val="single" w:color="auto" w:sz="2" w:space="0"/>
              <w:left w:val="single" w:color="auto" w:sz="2" w:space="0"/>
              <w:bottom w:val="single" w:color="auto" w:sz="2"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426" w:hRule="atLeast"/>
          <w:jc w:val="center"/>
        </w:trPr>
        <w:tc>
          <w:tcPr>
            <w:tcW w:w="2056" w:type="dxa"/>
            <w:tcBorders>
              <w:top w:val="single" w:color="auto" w:sz="2" w:space="0"/>
              <w:left w:val="single" w:color="auto" w:sz="4" w:space="0"/>
              <w:bottom w:val="single" w:color="auto" w:sz="4" w:space="0"/>
              <w:right w:val="single" w:color="auto" w:sz="2" w:space="0"/>
            </w:tcBorders>
            <w:vAlign w:val="center"/>
          </w:tcPr>
          <w:p>
            <w:pPr>
              <w:rPr>
                <w:rFonts w:ascii="宋体" w:hAnsi="宋体" w:cs="宋体"/>
                <w:szCs w:val="21"/>
              </w:rPr>
            </w:pPr>
            <w:r>
              <w:rPr>
                <w:rFonts w:hint="eastAsia" w:ascii="宋体" w:hAnsi="宋体" w:cs="宋体"/>
                <w:szCs w:val="21"/>
              </w:rPr>
              <w:t>证  书</w:t>
            </w:r>
          </w:p>
        </w:tc>
        <w:tc>
          <w:tcPr>
            <w:tcW w:w="7020" w:type="dxa"/>
            <w:gridSpan w:val="7"/>
            <w:tcBorders>
              <w:top w:val="single" w:color="auto" w:sz="2" w:space="0"/>
              <w:left w:val="single" w:color="auto" w:sz="2" w:space="0"/>
              <w:bottom w:val="single" w:color="auto" w:sz="4" w:space="0"/>
              <w:right w:val="single" w:color="auto" w:sz="4" w:space="0"/>
            </w:tcBorders>
          </w:tcPr>
          <w:p>
            <w:pPr>
              <w:rPr>
                <w:rFonts w:ascii="宋体" w:hAnsi="宋体" w:cs="宋体"/>
                <w:szCs w:val="21"/>
              </w:rPr>
            </w:pPr>
          </w:p>
        </w:tc>
      </w:tr>
    </w:tbl>
    <w:p>
      <w:pPr>
        <w:pStyle w:val="43"/>
        <w:widowControl w:val="0"/>
        <w:spacing w:beforeAutospacing="0" w:afterAutospacing="0" w:line="360" w:lineRule="auto"/>
        <w:ind w:firstLine="301"/>
        <w:jc w:val="both"/>
        <w:rPr>
          <w:rFonts w:ascii="宋体" w:hAnsi="宋体" w:cs="宋体"/>
          <w:kern w:val="2"/>
          <w:sz w:val="21"/>
          <w:szCs w:val="21"/>
        </w:rPr>
      </w:pPr>
      <w:r>
        <w:rPr>
          <w:rFonts w:hint="eastAsia" w:ascii="宋体" w:hAnsi="宋体" w:cs="宋体"/>
          <w:kern w:val="2"/>
          <w:sz w:val="21"/>
          <w:szCs w:val="21"/>
        </w:rPr>
        <w:t>备注：1、根据评分标准要求，在表后提供人员的相关证明材料。</w:t>
      </w:r>
    </w:p>
    <w:p>
      <w:pPr>
        <w:pStyle w:val="43"/>
        <w:widowControl w:val="0"/>
        <w:spacing w:beforeAutospacing="0" w:afterAutospacing="0" w:line="360" w:lineRule="auto"/>
        <w:ind w:firstLine="301"/>
        <w:jc w:val="both"/>
        <w:rPr>
          <w:rFonts w:ascii="宋体" w:hAnsi="宋体" w:cs="宋体"/>
          <w:kern w:val="2"/>
          <w:sz w:val="21"/>
          <w:szCs w:val="21"/>
        </w:rPr>
      </w:pPr>
      <w:r>
        <w:rPr>
          <w:rFonts w:hint="eastAsia" w:ascii="宋体" w:hAnsi="宋体" w:cs="宋体"/>
          <w:kern w:val="2"/>
          <w:sz w:val="21"/>
          <w:szCs w:val="21"/>
        </w:rPr>
        <w:t>2、一人一表。</w:t>
      </w:r>
    </w:p>
    <w:p>
      <w:pPr>
        <w:pStyle w:val="43"/>
        <w:widowControl w:val="0"/>
        <w:spacing w:beforeAutospacing="0" w:afterAutospacing="0" w:line="360" w:lineRule="auto"/>
        <w:ind w:firstLine="301"/>
        <w:jc w:val="both"/>
        <w:rPr>
          <w:rFonts w:ascii="宋体" w:hAnsi="宋体" w:cs="宋体"/>
          <w:sz w:val="21"/>
          <w:szCs w:val="21"/>
        </w:rPr>
      </w:pPr>
    </w:p>
    <w:p>
      <w:pPr>
        <w:pStyle w:val="43"/>
        <w:widowControl w:val="0"/>
        <w:spacing w:beforeAutospacing="0" w:afterAutospacing="0" w:line="360" w:lineRule="auto"/>
        <w:ind w:firstLine="301"/>
        <w:jc w:val="both"/>
        <w:rPr>
          <w:rFonts w:ascii="宋体" w:hAnsi="宋体" w:cs="宋体"/>
          <w:sz w:val="21"/>
          <w:szCs w:val="21"/>
        </w:rPr>
      </w:pP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r>
        <w:rPr>
          <w:rFonts w:hint="eastAsia" w:ascii="宋体" w:hAnsi="宋体" w:cs="宋体"/>
        </w:rPr>
        <w:t xml:space="preserve">供应商盖章（公章）：             </w:t>
      </w:r>
    </w:p>
    <w:p>
      <w:pPr>
        <w:adjustRightInd w:val="0"/>
        <w:snapToGrid w:val="0"/>
        <w:spacing w:line="440" w:lineRule="exact"/>
        <w:jc w:val="right"/>
        <w:rPr>
          <w:rFonts w:ascii="宋体" w:hAnsi="宋体" w:cs="宋体"/>
        </w:rPr>
      </w:pPr>
      <w:r>
        <w:rPr>
          <w:rFonts w:hint="eastAsia" w:ascii="宋体" w:hAnsi="宋体" w:cs="宋体"/>
        </w:rPr>
        <w:t xml:space="preserve">          </w:t>
      </w:r>
    </w:p>
    <w:p>
      <w:pPr>
        <w:spacing w:line="360" w:lineRule="auto"/>
        <w:jc w:val="left"/>
        <w:rPr>
          <w:rFonts w:ascii="宋体" w:hAnsi="宋体" w:cs="宋体"/>
          <w:szCs w:val="21"/>
        </w:rPr>
      </w:pPr>
      <w:r>
        <w:rPr>
          <w:rFonts w:hint="eastAsia" w:ascii="宋体" w:hAnsi="宋体" w:cs="宋体"/>
        </w:rPr>
        <w:t xml:space="preserve">                                                                   年  月  日</w:t>
      </w: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r>
        <w:rPr>
          <w:rFonts w:hint="eastAsia" w:ascii="宋体" w:hAnsi="宋体" w:cs="宋体"/>
          <w:szCs w:val="21"/>
        </w:rPr>
        <w:t>20、同类项目业绩表；</w:t>
      </w:r>
    </w:p>
    <w:p>
      <w:pPr>
        <w:pStyle w:val="43"/>
        <w:widowControl w:val="0"/>
        <w:spacing w:beforeAutospacing="0" w:afterAutospacing="0" w:line="360" w:lineRule="auto"/>
        <w:ind w:firstLine="301"/>
        <w:jc w:val="center"/>
        <w:rPr>
          <w:rFonts w:ascii="宋体" w:hAnsi="宋体" w:cs="宋体"/>
          <w:b/>
          <w:spacing w:val="-4"/>
          <w:kern w:val="2"/>
          <w:sz w:val="21"/>
          <w:szCs w:val="21"/>
          <w:lang w:val="zh-CN"/>
        </w:rPr>
      </w:pPr>
      <w:r>
        <w:rPr>
          <w:rFonts w:hint="eastAsia" w:ascii="宋体" w:hAnsi="宋体" w:cs="宋体"/>
          <w:b/>
          <w:spacing w:val="-4"/>
          <w:kern w:val="2"/>
          <w:sz w:val="21"/>
          <w:szCs w:val="21"/>
          <w:lang w:val="zh-CN"/>
        </w:rPr>
        <w:t>同类项目业绩表</w:t>
      </w:r>
    </w:p>
    <w:p>
      <w:pPr>
        <w:pStyle w:val="32"/>
        <w:rPr>
          <w:rFonts w:ascii="宋体" w:hAnsi="宋体" w:cs="宋体"/>
          <w:szCs w:val="21"/>
        </w:rPr>
      </w:pPr>
    </w:p>
    <w:p>
      <w:pPr>
        <w:spacing w:line="360" w:lineRule="auto"/>
        <w:rPr>
          <w:rFonts w:ascii="宋体" w:hAnsi="宋体" w:cs="宋体"/>
          <w:b/>
          <w:kern w:val="0"/>
          <w:szCs w:val="21"/>
        </w:rPr>
      </w:pPr>
      <w:r>
        <w:rPr>
          <w:rFonts w:hint="eastAsia" w:ascii="宋体" w:hAnsi="宋体" w:cs="宋体"/>
          <w:spacing w:val="-4"/>
          <w:szCs w:val="21"/>
        </w:rPr>
        <w:t>项目名称：</w:t>
      </w:r>
      <w:r>
        <w:rPr>
          <w:rFonts w:hint="eastAsia" w:ascii="宋体" w:hAnsi="宋体" w:cs="宋体"/>
          <w:spacing w:val="-4"/>
          <w:szCs w:val="21"/>
          <w:u w:val="single"/>
        </w:rPr>
        <w:t xml:space="preserve">                            </w:t>
      </w:r>
      <w:r>
        <w:rPr>
          <w:rFonts w:hint="eastAsia" w:ascii="宋体" w:hAnsi="宋体" w:cs="宋体"/>
          <w:spacing w:val="-4"/>
          <w:szCs w:val="21"/>
        </w:rPr>
        <w:t xml:space="preserve"> 项目编号：</w:t>
      </w:r>
      <w:r>
        <w:rPr>
          <w:rFonts w:hint="eastAsia" w:ascii="宋体" w:hAnsi="宋体" w:cs="宋体"/>
          <w:spacing w:val="-4"/>
          <w:szCs w:val="21"/>
          <w:u w:val="single"/>
        </w:rPr>
        <w:t xml:space="preserve">                   </w:t>
      </w:r>
      <w:r>
        <w:rPr>
          <w:rFonts w:hint="eastAsia" w:ascii="宋体" w:hAnsi="宋体" w:cs="宋体"/>
          <w:spacing w:val="-4"/>
          <w:szCs w:val="21"/>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4" w:type="dxa"/>
            <w:vAlign w:val="center"/>
          </w:tcPr>
          <w:p>
            <w:pPr>
              <w:widowControl/>
              <w:tabs>
                <w:tab w:val="left" w:pos="3165"/>
              </w:tabs>
              <w:jc w:val="left"/>
              <w:rPr>
                <w:rFonts w:ascii="宋体" w:hAnsi="宋体" w:cs="宋体"/>
                <w:kern w:val="0"/>
                <w:szCs w:val="21"/>
              </w:rPr>
            </w:pPr>
            <w:r>
              <w:rPr>
                <w:rFonts w:hint="eastAsia" w:ascii="宋体" w:hAnsi="宋体" w:cs="宋体"/>
                <w:kern w:val="0"/>
                <w:szCs w:val="21"/>
              </w:rPr>
              <w:t>序号</w:t>
            </w:r>
          </w:p>
        </w:tc>
        <w:tc>
          <w:tcPr>
            <w:tcW w:w="1783" w:type="dxa"/>
            <w:vAlign w:val="center"/>
          </w:tcPr>
          <w:p>
            <w:pPr>
              <w:widowControl/>
              <w:tabs>
                <w:tab w:val="left" w:pos="3165"/>
              </w:tabs>
              <w:jc w:val="center"/>
              <w:rPr>
                <w:rFonts w:ascii="宋体" w:hAnsi="宋体" w:cs="宋体"/>
                <w:kern w:val="0"/>
                <w:szCs w:val="21"/>
              </w:rPr>
            </w:pPr>
            <w:r>
              <w:rPr>
                <w:rFonts w:hint="eastAsia" w:ascii="宋体" w:hAnsi="宋体" w:cs="宋体"/>
                <w:kern w:val="0"/>
                <w:szCs w:val="21"/>
              </w:rPr>
              <w:t>项目名称</w:t>
            </w:r>
          </w:p>
        </w:tc>
        <w:tc>
          <w:tcPr>
            <w:tcW w:w="1192" w:type="dxa"/>
            <w:vAlign w:val="center"/>
          </w:tcPr>
          <w:p>
            <w:pPr>
              <w:widowControl/>
              <w:tabs>
                <w:tab w:val="left" w:pos="3165"/>
              </w:tabs>
              <w:jc w:val="left"/>
              <w:rPr>
                <w:rFonts w:ascii="宋体" w:hAnsi="宋体" w:cs="宋体"/>
                <w:kern w:val="0"/>
                <w:szCs w:val="21"/>
              </w:rPr>
            </w:pPr>
            <w:r>
              <w:rPr>
                <w:rFonts w:hint="eastAsia" w:ascii="宋体" w:hAnsi="宋体" w:cs="宋体"/>
                <w:kern w:val="0"/>
                <w:szCs w:val="21"/>
              </w:rPr>
              <w:t>业主单位</w:t>
            </w:r>
          </w:p>
        </w:tc>
        <w:tc>
          <w:tcPr>
            <w:tcW w:w="1192" w:type="dxa"/>
            <w:vAlign w:val="center"/>
          </w:tcPr>
          <w:p>
            <w:pPr>
              <w:widowControl/>
              <w:tabs>
                <w:tab w:val="left" w:pos="3165"/>
              </w:tabs>
              <w:jc w:val="left"/>
              <w:rPr>
                <w:rFonts w:ascii="宋体" w:hAnsi="宋体" w:cs="宋体"/>
                <w:kern w:val="0"/>
                <w:szCs w:val="21"/>
              </w:rPr>
            </w:pPr>
            <w:r>
              <w:rPr>
                <w:rFonts w:hint="eastAsia" w:ascii="宋体" w:hAnsi="宋体" w:cs="宋体"/>
                <w:kern w:val="0"/>
                <w:szCs w:val="21"/>
              </w:rPr>
              <w:t>合同金额</w:t>
            </w:r>
          </w:p>
        </w:tc>
        <w:tc>
          <w:tcPr>
            <w:tcW w:w="1638" w:type="dxa"/>
            <w:vAlign w:val="center"/>
          </w:tcPr>
          <w:p>
            <w:pPr>
              <w:widowControl/>
              <w:tabs>
                <w:tab w:val="left" w:pos="3165"/>
              </w:tabs>
              <w:jc w:val="left"/>
              <w:rPr>
                <w:rFonts w:ascii="宋体" w:hAnsi="宋体" w:cs="宋体"/>
                <w:kern w:val="0"/>
                <w:szCs w:val="21"/>
              </w:rPr>
            </w:pPr>
            <w:r>
              <w:rPr>
                <w:rFonts w:hint="eastAsia" w:ascii="宋体" w:hAnsi="宋体" w:cs="宋体"/>
                <w:kern w:val="0"/>
                <w:szCs w:val="21"/>
              </w:rPr>
              <w:t>合同签订日期</w:t>
            </w:r>
          </w:p>
        </w:tc>
        <w:tc>
          <w:tcPr>
            <w:tcW w:w="1869" w:type="dxa"/>
            <w:vAlign w:val="center"/>
          </w:tcPr>
          <w:p>
            <w:pPr>
              <w:widowControl/>
              <w:tabs>
                <w:tab w:val="left" w:pos="3165"/>
              </w:tabs>
              <w:jc w:val="center"/>
              <w:rPr>
                <w:rFonts w:ascii="宋体" w:hAnsi="宋体" w:cs="宋体"/>
                <w:kern w:val="0"/>
                <w:szCs w:val="21"/>
              </w:rPr>
            </w:pPr>
            <w:r>
              <w:rPr>
                <w:rFonts w:hint="eastAsia" w:ascii="宋体" w:hAnsi="宋体" w:cs="宋体"/>
                <w:kern w:val="0"/>
                <w:szCs w:val="21"/>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bl>
    <w:p>
      <w:pPr>
        <w:widowControl/>
        <w:tabs>
          <w:tab w:val="left" w:pos="3165"/>
        </w:tabs>
        <w:jc w:val="left"/>
        <w:rPr>
          <w:rFonts w:ascii="宋体" w:hAnsi="宋体" w:cs="宋体"/>
          <w:kern w:val="0"/>
          <w:szCs w:val="21"/>
        </w:rPr>
      </w:pPr>
      <w:r>
        <w:rPr>
          <w:rFonts w:hint="eastAsia" w:ascii="宋体" w:hAnsi="宋体" w:cs="宋体"/>
          <w:kern w:val="0"/>
          <w:szCs w:val="21"/>
        </w:rPr>
        <w:t>注：</w:t>
      </w:r>
    </w:p>
    <w:p>
      <w:pPr>
        <w:widowControl/>
        <w:autoSpaceDE w:val="0"/>
        <w:autoSpaceDN w:val="0"/>
        <w:spacing w:line="386" w:lineRule="exact"/>
        <w:ind w:left="420" w:hanging="420" w:hangingChars="200"/>
        <w:jc w:val="left"/>
        <w:rPr>
          <w:rFonts w:ascii="宋体" w:hAnsi="宋体" w:cs="宋体"/>
          <w:b/>
          <w:kern w:val="0"/>
          <w:szCs w:val="21"/>
        </w:rPr>
      </w:pPr>
      <w:r>
        <w:rPr>
          <w:rFonts w:hint="eastAsia" w:ascii="宋体" w:hAnsi="宋体" w:cs="宋体"/>
          <w:kern w:val="0"/>
          <w:szCs w:val="21"/>
        </w:rPr>
        <w:t>1．供应商所提供合同必须是真实有效的。在合同签订前，如采购人经核实后发现与实际情况不符，取消其中标资格，并按有关规定处理。</w:t>
      </w:r>
    </w:p>
    <w:p>
      <w:pPr>
        <w:widowControl/>
        <w:autoSpaceDE w:val="0"/>
        <w:autoSpaceDN w:val="0"/>
        <w:spacing w:line="386" w:lineRule="exact"/>
        <w:jc w:val="left"/>
        <w:rPr>
          <w:rFonts w:ascii="宋体" w:hAnsi="宋体" w:cs="宋体"/>
          <w:kern w:val="0"/>
          <w:szCs w:val="21"/>
        </w:rPr>
      </w:pPr>
      <w:r>
        <w:rPr>
          <w:rFonts w:hint="eastAsia" w:ascii="宋体" w:hAnsi="宋体" w:cs="宋体"/>
          <w:kern w:val="0"/>
          <w:szCs w:val="21"/>
        </w:rPr>
        <w:t>2．此表在不改变表式的情况下，可自行制作。</w:t>
      </w:r>
    </w:p>
    <w:p>
      <w:pPr>
        <w:pStyle w:val="32"/>
        <w:rPr>
          <w:rFonts w:ascii="宋体" w:hAnsi="宋体" w:cs="宋体"/>
          <w:szCs w:val="21"/>
        </w:rPr>
      </w:pPr>
    </w:p>
    <w:p>
      <w:pPr>
        <w:pStyle w:val="32"/>
        <w:rPr>
          <w:rFonts w:ascii="宋体" w:hAnsi="宋体" w:cs="宋体"/>
          <w:szCs w:val="21"/>
        </w:rPr>
      </w:pPr>
    </w:p>
    <w:p>
      <w:pPr>
        <w:pStyle w:val="32"/>
        <w:rPr>
          <w:rFonts w:ascii="宋体" w:hAnsi="宋体" w:cs="宋体"/>
          <w:szCs w:val="21"/>
        </w:rPr>
      </w:pPr>
    </w:p>
    <w:p>
      <w:pPr>
        <w:pStyle w:val="32"/>
        <w:rPr>
          <w:rFonts w:ascii="宋体" w:hAnsi="宋体" w:cs="宋体"/>
          <w:szCs w:val="21"/>
        </w:rPr>
      </w:pPr>
    </w:p>
    <w:p>
      <w:pPr>
        <w:adjustRightInd w:val="0"/>
        <w:snapToGrid w:val="0"/>
        <w:spacing w:line="440" w:lineRule="exact"/>
        <w:jc w:val="right"/>
        <w:rPr>
          <w:rFonts w:ascii="宋体" w:hAnsi="宋体" w:cs="宋体"/>
        </w:rPr>
      </w:pPr>
      <w:r>
        <w:rPr>
          <w:rFonts w:hint="eastAsia" w:ascii="宋体" w:hAnsi="宋体" w:cs="宋体"/>
        </w:rPr>
        <w:t xml:space="preserve">供应商盖章（公章）：             </w:t>
      </w:r>
    </w:p>
    <w:p>
      <w:pPr>
        <w:adjustRightInd w:val="0"/>
        <w:snapToGrid w:val="0"/>
        <w:spacing w:line="440" w:lineRule="exact"/>
        <w:jc w:val="right"/>
        <w:rPr>
          <w:rFonts w:ascii="宋体" w:hAnsi="宋体" w:cs="宋体"/>
        </w:rPr>
      </w:pPr>
      <w:r>
        <w:rPr>
          <w:rFonts w:hint="eastAsia" w:ascii="宋体" w:hAnsi="宋体" w:cs="宋体"/>
        </w:rPr>
        <w:t xml:space="preserve">          </w:t>
      </w:r>
    </w:p>
    <w:p>
      <w:pPr>
        <w:spacing w:line="360" w:lineRule="auto"/>
        <w:jc w:val="left"/>
        <w:rPr>
          <w:rFonts w:ascii="宋体" w:hAnsi="宋体" w:cs="宋体"/>
          <w:szCs w:val="21"/>
        </w:rPr>
      </w:pPr>
      <w:r>
        <w:rPr>
          <w:rFonts w:hint="eastAsia" w:ascii="宋体" w:hAnsi="宋体" w:cs="宋体"/>
        </w:rPr>
        <w:t xml:space="preserve">                                                                   年  月  日</w:t>
      </w: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numPr>
          <w:ilvl w:val="0"/>
          <w:numId w:val="15"/>
        </w:numPr>
        <w:snapToGrid w:val="0"/>
        <w:spacing w:line="360" w:lineRule="auto"/>
        <w:jc w:val="left"/>
        <w:rPr>
          <w:rFonts w:ascii="宋体" w:hAnsi="宋体" w:cs="宋体"/>
          <w:szCs w:val="21"/>
        </w:rPr>
        <w:sectPr>
          <w:pgSz w:w="11906" w:h="16838"/>
          <w:pgMar w:top="1474" w:right="1797" w:bottom="1247" w:left="1797" w:header="851" w:footer="851" w:gutter="0"/>
          <w:cols w:space="720" w:num="1"/>
          <w:titlePg/>
          <w:docGrid w:linePitch="312" w:charSpace="0"/>
        </w:sectPr>
      </w:pPr>
    </w:p>
    <w:p>
      <w:pPr>
        <w:snapToGrid w:val="0"/>
        <w:spacing w:line="360" w:lineRule="auto"/>
        <w:jc w:val="left"/>
        <w:rPr>
          <w:rFonts w:ascii="宋体" w:hAnsi="宋体" w:cs="宋体"/>
          <w:szCs w:val="21"/>
        </w:rPr>
      </w:pPr>
      <w:r>
        <w:rPr>
          <w:rFonts w:hint="eastAsia" w:ascii="宋体" w:hAnsi="宋体" w:cs="宋体"/>
          <w:szCs w:val="21"/>
        </w:rPr>
        <w:t>21、磋商文件评分标准中要求提供的所有资料；</w:t>
      </w:r>
    </w:p>
    <w:p>
      <w:pPr>
        <w:snapToGrid w:val="0"/>
        <w:spacing w:line="360" w:lineRule="auto"/>
        <w:jc w:val="left"/>
        <w:rPr>
          <w:rFonts w:ascii="宋体" w:hAnsi="宋体" w:cs="宋体"/>
          <w:szCs w:val="21"/>
        </w:rPr>
      </w:pPr>
      <w:r>
        <w:rPr>
          <w:rFonts w:hint="eastAsia" w:ascii="宋体" w:hAnsi="宋体" w:cs="宋体"/>
          <w:szCs w:val="21"/>
        </w:rPr>
        <w:t>22、其它本磋商文件要求提供的证明材料。</w:t>
      </w: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ind w:firstLine="411" w:firstLineChars="196"/>
        <w:jc w:val="left"/>
        <w:rPr>
          <w:rFonts w:ascii="宋体" w:hAnsi="宋体" w:cs="宋体"/>
          <w:b/>
          <w:bCs/>
          <w:szCs w:val="21"/>
        </w:rPr>
      </w:pPr>
      <w:r>
        <w:rPr>
          <w:rFonts w:hint="eastAsia" w:ascii="宋体" w:hAnsi="宋体" w:cs="宋体"/>
        </w:rPr>
        <w:br w:type="page"/>
      </w:r>
      <w:r>
        <w:rPr>
          <w:rFonts w:hint="eastAsia" w:ascii="宋体" w:hAnsi="宋体" w:cs="宋体"/>
          <w:b/>
          <w:bCs/>
          <w:szCs w:val="21"/>
        </w:rPr>
        <w:t>3、报价文件包括：</w:t>
      </w:r>
    </w:p>
    <w:p>
      <w:pPr>
        <w:snapToGrid w:val="0"/>
        <w:spacing w:line="360" w:lineRule="auto"/>
        <w:ind w:firstLine="420" w:firstLineChars="200"/>
        <w:jc w:val="left"/>
        <w:rPr>
          <w:rFonts w:ascii="宋体" w:hAnsi="宋体" w:cs="宋体"/>
          <w:b/>
          <w:szCs w:val="21"/>
        </w:rPr>
      </w:pPr>
      <w:r>
        <w:rPr>
          <w:rFonts w:hint="eastAsia" w:ascii="宋体" w:hAnsi="宋体" w:cs="宋体"/>
          <w:szCs w:val="21"/>
        </w:rPr>
        <w:t>3.1、磋商响应书（格式附后）；</w:t>
      </w:r>
    </w:p>
    <w:p>
      <w:pPr>
        <w:snapToGrid w:val="0"/>
        <w:spacing w:line="360" w:lineRule="auto"/>
        <w:ind w:firstLine="420"/>
        <w:jc w:val="left"/>
        <w:rPr>
          <w:rFonts w:ascii="宋体" w:hAnsi="宋体" w:cs="宋体"/>
          <w:szCs w:val="21"/>
        </w:rPr>
      </w:pPr>
      <w:r>
        <w:rPr>
          <w:rFonts w:hint="eastAsia" w:ascii="宋体" w:hAnsi="宋体" w:cs="宋体"/>
          <w:szCs w:val="21"/>
        </w:rPr>
        <w:t>3.2、初次报价表（格式附后）；</w:t>
      </w:r>
    </w:p>
    <w:p>
      <w:pPr>
        <w:widowControl/>
        <w:spacing w:line="360" w:lineRule="auto"/>
        <w:ind w:firstLine="420" w:firstLineChars="200"/>
        <w:jc w:val="left"/>
        <w:rPr>
          <w:rFonts w:ascii="宋体" w:hAnsi="宋体"/>
          <w:szCs w:val="21"/>
        </w:rPr>
      </w:pPr>
      <w:r>
        <w:rPr>
          <w:rFonts w:hint="eastAsia" w:ascii="宋体" w:hAnsi="宋体" w:cs="宋体"/>
          <w:szCs w:val="21"/>
        </w:rPr>
        <w:t>3.3、</w:t>
      </w:r>
      <w:r>
        <w:rPr>
          <w:rFonts w:hint="eastAsia" w:ascii="宋体" w:hAnsi="宋体"/>
          <w:szCs w:val="21"/>
        </w:rPr>
        <w:t>分项报价表（格式自拟）；</w:t>
      </w:r>
    </w:p>
    <w:p>
      <w:pPr>
        <w:widowControl/>
        <w:spacing w:line="360" w:lineRule="auto"/>
        <w:ind w:firstLine="420" w:firstLineChars="200"/>
        <w:jc w:val="left"/>
        <w:rPr>
          <w:rFonts w:ascii="宋体" w:hAnsi="宋体" w:cs="宋体"/>
          <w:szCs w:val="21"/>
        </w:rPr>
      </w:pPr>
      <w:r>
        <w:rPr>
          <w:rFonts w:hint="eastAsia" w:ascii="宋体" w:hAnsi="宋体"/>
          <w:szCs w:val="21"/>
        </w:rPr>
        <w:t>3.4、</w:t>
      </w:r>
      <w:r>
        <w:rPr>
          <w:rFonts w:hint="eastAsia" w:hAnsi="宋体" w:cs="宋体"/>
          <w:szCs w:val="21"/>
        </w:rPr>
        <w:t>确定成交服务费支付承诺函（格式附后）</w:t>
      </w:r>
      <w:r>
        <w:rPr>
          <w:rFonts w:hint="eastAsia" w:ascii="宋体" w:hAnsi="宋体" w:cs="宋体"/>
          <w:szCs w:val="21"/>
        </w:rPr>
        <w:t>；</w:t>
      </w:r>
    </w:p>
    <w:p>
      <w:pPr>
        <w:pStyle w:val="63"/>
        <w:spacing w:line="360" w:lineRule="auto"/>
        <w:ind w:left="0" w:firstLine="0"/>
      </w:pPr>
      <w:r>
        <w:rPr>
          <w:rFonts w:hint="eastAsia" w:hAnsi="宋体" w:cs="宋体"/>
          <w:szCs w:val="21"/>
        </w:rPr>
        <w:t xml:space="preserve">    3.4、其它本磋商文件要求提供的报价部分材料。</w:t>
      </w:r>
    </w:p>
    <w:p>
      <w:pPr>
        <w:pStyle w:val="63"/>
        <w:ind w:left="0" w:firstLine="0"/>
      </w:pPr>
    </w:p>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rPr>
          <w:rFonts w:ascii="宋体" w:hAnsi="宋体" w:cs="宋体"/>
          <w:b/>
        </w:rPr>
      </w:pPr>
    </w:p>
    <w:p>
      <w:pPr>
        <w:spacing w:line="360" w:lineRule="auto"/>
        <w:jc w:val="left"/>
        <w:rPr>
          <w:rFonts w:ascii="宋体" w:hAnsi="宋体" w:cs="宋体"/>
          <w:szCs w:val="21"/>
        </w:rPr>
        <w:sectPr>
          <w:pgSz w:w="11906" w:h="16838"/>
          <w:pgMar w:top="1474" w:right="1797" w:bottom="1247" w:left="1797" w:header="851" w:footer="851" w:gutter="0"/>
          <w:cols w:space="720" w:num="1"/>
          <w:titlePg/>
          <w:docGrid w:linePitch="312" w:charSpace="0"/>
        </w:sectPr>
      </w:pPr>
    </w:p>
    <w:p>
      <w:pPr>
        <w:spacing w:line="360" w:lineRule="auto"/>
        <w:jc w:val="left"/>
        <w:rPr>
          <w:rFonts w:ascii="宋体" w:hAnsi="宋体" w:cs="宋体"/>
          <w:szCs w:val="21"/>
        </w:rPr>
      </w:pPr>
      <w:r>
        <w:rPr>
          <w:rFonts w:hint="eastAsia" w:ascii="宋体" w:hAnsi="宋体" w:cs="宋体"/>
          <w:szCs w:val="21"/>
        </w:rPr>
        <w:t>1、磋商响应书；</w:t>
      </w:r>
    </w:p>
    <w:p>
      <w:pPr>
        <w:snapToGrid w:val="0"/>
        <w:spacing w:beforeLines="50" w:after="50"/>
        <w:jc w:val="center"/>
        <w:rPr>
          <w:rFonts w:ascii="宋体" w:hAnsi="宋体" w:cs="宋体"/>
          <w:b/>
          <w:szCs w:val="21"/>
        </w:rPr>
      </w:pPr>
      <w:r>
        <w:rPr>
          <w:rFonts w:hint="eastAsia" w:ascii="宋体" w:hAnsi="宋体" w:cs="宋体"/>
          <w:b/>
          <w:szCs w:val="21"/>
        </w:rPr>
        <w:t>磋商响应书</w:t>
      </w:r>
    </w:p>
    <w:p>
      <w:pPr>
        <w:spacing w:line="540" w:lineRule="exact"/>
        <w:jc w:val="left"/>
        <w:rPr>
          <w:rFonts w:ascii="宋体" w:hAnsi="宋体" w:cs="宋体"/>
          <w:szCs w:val="21"/>
        </w:rPr>
      </w:pPr>
      <w:r>
        <w:rPr>
          <w:rFonts w:hint="eastAsia" w:ascii="宋体" w:hAnsi="宋体" w:cs="宋体"/>
          <w:szCs w:val="21"/>
        </w:rPr>
        <w:t>致：宁波中基国际招标有限公司：</w:t>
      </w:r>
    </w:p>
    <w:p>
      <w:pPr>
        <w:spacing w:line="5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(磋商响应方全称)授权</w:t>
      </w:r>
      <w:r>
        <w:rPr>
          <w:rFonts w:hint="eastAsia" w:ascii="宋体" w:hAnsi="宋体" w:cs="宋体"/>
          <w:szCs w:val="21"/>
          <w:u w:val="single"/>
        </w:rPr>
        <w:t xml:space="preserve">       </w:t>
      </w:r>
      <w:r>
        <w:rPr>
          <w:rFonts w:hint="eastAsia" w:ascii="宋体" w:hAnsi="宋体" w:cs="宋体"/>
          <w:szCs w:val="21"/>
        </w:rPr>
        <w:t>（全名、职务）为全权代表，参加贵方组织的</w:t>
      </w:r>
      <w:r>
        <w:rPr>
          <w:rFonts w:hint="eastAsia" w:ascii="宋体" w:hAnsi="宋体" w:cs="宋体"/>
          <w:szCs w:val="21"/>
          <w:u w:val="single"/>
        </w:rPr>
        <w:t xml:space="preserve">               </w:t>
      </w:r>
      <w:r>
        <w:rPr>
          <w:rFonts w:hint="eastAsia" w:ascii="宋体" w:hAnsi="宋体" w:cs="宋体"/>
          <w:szCs w:val="21"/>
        </w:rPr>
        <w:t>（竞争性磋商采购项目名称）（编号为             ）（标项：）竞争性磋商有关活动，并进行磋商。为此：</w:t>
      </w:r>
    </w:p>
    <w:p>
      <w:pPr>
        <w:spacing w:line="540" w:lineRule="exact"/>
        <w:ind w:firstLine="420" w:firstLineChars="200"/>
        <w:jc w:val="left"/>
        <w:rPr>
          <w:rFonts w:ascii="宋体" w:hAnsi="宋体" w:cs="宋体"/>
          <w:szCs w:val="21"/>
        </w:rPr>
      </w:pPr>
      <w:r>
        <w:rPr>
          <w:rFonts w:hint="eastAsia" w:ascii="宋体" w:hAnsi="宋体" w:cs="宋体"/>
          <w:szCs w:val="21"/>
        </w:rPr>
        <w:t>1、提供磋商须知规定的全部磋商响应文件。</w:t>
      </w:r>
    </w:p>
    <w:p>
      <w:pPr>
        <w:spacing w:line="540" w:lineRule="exact"/>
        <w:ind w:firstLine="420" w:firstLineChars="200"/>
        <w:jc w:val="left"/>
        <w:rPr>
          <w:rFonts w:ascii="宋体" w:hAnsi="宋体" w:cs="宋体"/>
          <w:szCs w:val="21"/>
        </w:rPr>
      </w:pPr>
      <w:r>
        <w:rPr>
          <w:rFonts w:hint="eastAsia" w:ascii="宋体" w:hAnsi="宋体" w:cs="宋体"/>
          <w:szCs w:val="21"/>
        </w:rPr>
        <w:t>2、磋商响应方承诺承担所发生的所有费用。</w:t>
      </w:r>
    </w:p>
    <w:p>
      <w:pPr>
        <w:spacing w:line="540" w:lineRule="exact"/>
        <w:ind w:firstLine="436" w:firstLineChars="208"/>
        <w:jc w:val="left"/>
        <w:rPr>
          <w:rFonts w:ascii="宋体" w:hAnsi="宋体" w:cs="宋体"/>
          <w:szCs w:val="21"/>
        </w:rPr>
      </w:pPr>
      <w:r>
        <w:rPr>
          <w:rFonts w:hint="eastAsia" w:ascii="宋体" w:hAnsi="宋体" w:cs="宋体"/>
          <w:szCs w:val="21"/>
        </w:rPr>
        <w:t>3、磋商响应方已详细审查全部竞争性磋商采购文件，同意磋商响应须知的各项要求。</w:t>
      </w:r>
    </w:p>
    <w:p>
      <w:pPr>
        <w:spacing w:line="540" w:lineRule="exact"/>
        <w:ind w:firstLine="436" w:firstLineChars="208"/>
        <w:jc w:val="left"/>
        <w:rPr>
          <w:rFonts w:ascii="宋体" w:hAnsi="宋体" w:cs="宋体"/>
          <w:szCs w:val="21"/>
        </w:rPr>
      </w:pPr>
      <w:r>
        <w:rPr>
          <w:rFonts w:hint="eastAsia" w:ascii="宋体" w:hAnsi="宋体" w:cs="宋体"/>
          <w:szCs w:val="21"/>
        </w:rPr>
        <w:t>4、若成交，磋商响应方将按竞争性磋商采购文件规定履行合同责任和义务。</w:t>
      </w:r>
    </w:p>
    <w:p>
      <w:pPr>
        <w:spacing w:line="540" w:lineRule="exact"/>
        <w:ind w:firstLine="420" w:firstLineChars="200"/>
        <w:jc w:val="left"/>
        <w:rPr>
          <w:rFonts w:ascii="宋体" w:hAnsi="宋体" w:cs="宋体"/>
          <w:szCs w:val="21"/>
        </w:rPr>
      </w:pPr>
      <w:r>
        <w:rPr>
          <w:rFonts w:hint="eastAsia" w:ascii="宋体" w:hAnsi="宋体" w:cs="宋体"/>
          <w:szCs w:val="21"/>
        </w:rPr>
        <w:t>5、磋商响应文件自磋商日起有效期为90天。</w:t>
      </w:r>
    </w:p>
    <w:p>
      <w:pPr>
        <w:spacing w:line="540" w:lineRule="exact"/>
        <w:ind w:firstLine="436" w:firstLineChars="208"/>
        <w:jc w:val="left"/>
        <w:rPr>
          <w:rFonts w:ascii="宋体" w:hAnsi="宋体" w:cs="宋体"/>
          <w:szCs w:val="21"/>
        </w:rPr>
      </w:pPr>
      <w:r>
        <w:rPr>
          <w:rFonts w:hint="eastAsia" w:ascii="宋体" w:hAnsi="宋体" w:cs="宋体"/>
          <w:szCs w:val="21"/>
        </w:rPr>
        <w:t>6、磋商响应方同意提供按照贵方可能要求的与其磋商响应有关的一切数据或资料，并保证其真实性、合法性。</w:t>
      </w:r>
    </w:p>
    <w:p>
      <w:pPr>
        <w:spacing w:line="540" w:lineRule="exact"/>
        <w:jc w:val="left"/>
        <w:rPr>
          <w:rFonts w:ascii="宋体" w:hAnsi="宋体" w:cs="宋体"/>
          <w:szCs w:val="21"/>
        </w:rPr>
      </w:pPr>
      <w:r>
        <w:rPr>
          <w:rFonts w:hint="eastAsia" w:ascii="宋体" w:hAnsi="宋体" w:cs="宋体"/>
          <w:szCs w:val="21"/>
        </w:rPr>
        <w:t xml:space="preserve">    7、我方与本竞争性磋商有关的一切正式来往通讯请寄：</w:t>
      </w:r>
    </w:p>
    <w:p>
      <w:pPr>
        <w:spacing w:line="540" w:lineRule="exact"/>
        <w:ind w:left="540" w:firstLine="30"/>
        <w:jc w:val="left"/>
        <w:rPr>
          <w:rFonts w:ascii="宋体" w:hAnsi="宋体" w:cs="宋体"/>
          <w:szCs w:val="21"/>
        </w:rPr>
      </w:pPr>
      <w:r>
        <w:rPr>
          <w:rFonts w:hint="eastAsia" w:ascii="宋体" w:hAnsi="宋体" w:cs="宋体"/>
          <w:szCs w:val="21"/>
        </w:rPr>
        <w:t xml:space="preserve">       地址：</w:t>
      </w:r>
      <w:r>
        <w:rPr>
          <w:rFonts w:hint="eastAsia" w:ascii="宋体" w:hAnsi="宋体" w:cs="宋体"/>
          <w:szCs w:val="21"/>
          <w:u w:val="single"/>
        </w:rPr>
        <w:t xml:space="preserve">                  </w:t>
      </w:r>
      <w:r>
        <w:rPr>
          <w:rFonts w:hint="eastAsia" w:ascii="宋体" w:hAnsi="宋体" w:cs="宋体"/>
          <w:szCs w:val="21"/>
        </w:rPr>
        <w:t>电话：</w:t>
      </w:r>
      <w:r>
        <w:rPr>
          <w:rFonts w:hint="eastAsia" w:ascii="宋体" w:hAnsi="宋体" w:cs="宋体"/>
          <w:szCs w:val="21"/>
          <w:u w:val="single"/>
        </w:rPr>
        <w:t xml:space="preserve">               </w:t>
      </w:r>
    </w:p>
    <w:p>
      <w:pPr>
        <w:spacing w:line="540" w:lineRule="exact"/>
        <w:ind w:left="540" w:firstLine="30"/>
        <w:jc w:val="left"/>
        <w:rPr>
          <w:rFonts w:ascii="宋体" w:hAnsi="宋体" w:cs="宋体"/>
          <w:szCs w:val="21"/>
        </w:rPr>
      </w:pPr>
      <w:r>
        <w:rPr>
          <w:rFonts w:hint="eastAsia" w:ascii="宋体" w:hAnsi="宋体" w:cs="宋体"/>
          <w:szCs w:val="21"/>
        </w:rPr>
        <w:t xml:space="preserve">       磋商响应方名称：</w:t>
      </w:r>
      <w:r>
        <w:rPr>
          <w:rFonts w:hint="eastAsia" w:ascii="宋体" w:hAnsi="宋体" w:cs="宋体"/>
          <w:szCs w:val="21"/>
          <w:u w:val="single"/>
        </w:rPr>
        <w:t xml:space="preserve">                             </w:t>
      </w:r>
      <w:r>
        <w:rPr>
          <w:rFonts w:hint="eastAsia" w:ascii="宋体" w:hAnsi="宋体" w:cs="宋体"/>
          <w:szCs w:val="21"/>
        </w:rPr>
        <w:t>（公章）</w:t>
      </w:r>
    </w:p>
    <w:p>
      <w:pPr>
        <w:spacing w:line="540" w:lineRule="exact"/>
        <w:ind w:left="540" w:leftChars="257" w:firstLine="760" w:firstLineChars="362"/>
        <w:jc w:val="left"/>
        <w:rPr>
          <w:rFonts w:ascii="宋体" w:hAnsi="宋体" w:cs="宋体"/>
          <w:szCs w:val="21"/>
        </w:rPr>
      </w:pPr>
      <w:r>
        <w:rPr>
          <w:rFonts w:hint="eastAsia" w:ascii="宋体" w:hAnsi="宋体" w:cs="宋体"/>
          <w:szCs w:val="21"/>
        </w:rPr>
        <w:t>法定代表人</w:t>
      </w:r>
      <w:r>
        <w:rPr>
          <w:rFonts w:hint="eastAsia" w:ascii="宋体" w:hAnsi="宋体" w:cs="宋体"/>
          <w:spacing w:val="20"/>
          <w:szCs w:val="21"/>
        </w:rPr>
        <w:t>或授权代表</w:t>
      </w:r>
      <w:r>
        <w:rPr>
          <w:rFonts w:hint="eastAsia" w:ascii="宋体" w:hAnsi="宋体" w:cs="宋体"/>
          <w:szCs w:val="21"/>
        </w:rPr>
        <w:t>签字或盖章：</w:t>
      </w:r>
      <w:r>
        <w:rPr>
          <w:rFonts w:hint="eastAsia" w:ascii="宋体" w:hAnsi="宋体" w:cs="宋体"/>
          <w:szCs w:val="21"/>
          <w:u w:val="single"/>
        </w:rPr>
        <w:t xml:space="preserve">                  </w:t>
      </w:r>
    </w:p>
    <w:p>
      <w:pPr>
        <w:spacing w:line="540" w:lineRule="exact"/>
        <w:ind w:left="540" w:leftChars="257" w:firstLine="760" w:firstLineChars="362"/>
        <w:jc w:val="left"/>
        <w:rPr>
          <w:rFonts w:ascii="宋体" w:hAnsi="宋体" w:cs="宋体"/>
          <w:szCs w:val="21"/>
        </w:rPr>
      </w:pPr>
      <w:r>
        <w:rPr>
          <w:rFonts w:hint="eastAsia" w:ascii="宋体" w:hAnsi="宋体" w:cs="宋体"/>
          <w:szCs w:val="21"/>
        </w:rPr>
        <w:t>磋商日期：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rPr>
          <w:rFonts w:ascii="宋体" w:hAnsi="宋体" w:cs="宋体"/>
          <w:b/>
          <w:bCs/>
        </w:rPr>
      </w:pPr>
    </w:p>
    <w:p>
      <w:pPr>
        <w:spacing w:line="360" w:lineRule="auto"/>
        <w:jc w:val="left"/>
        <w:rPr>
          <w:rFonts w:ascii="宋体" w:hAnsi="宋体" w:cs="宋体"/>
          <w:szCs w:val="21"/>
        </w:rPr>
      </w:pPr>
      <w:r>
        <w:rPr>
          <w:rFonts w:hint="eastAsia" w:ascii="宋体" w:hAnsi="宋体" w:cs="宋体"/>
          <w:szCs w:val="21"/>
        </w:rPr>
        <w:br w:type="page"/>
      </w:r>
      <w:r>
        <w:rPr>
          <w:rFonts w:hint="eastAsia" w:ascii="宋体" w:hAnsi="宋体" w:cs="宋体"/>
          <w:szCs w:val="21"/>
        </w:rPr>
        <w:t>2、初次报价表；</w:t>
      </w:r>
    </w:p>
    <w:p>
      <w:pPr>
        <w:snapToGrid w:val="0"/>
        <w:spacing w:before="50" w:after="50"/>
        <w:jc w:val="center"/>
        <w:rPr>
          <w:rFonts w:ascii="宋体" w:hAnsi="宋体" w:cs="宋体"/>
          <w:b/>
          <w:szCs w:val="21"/>
        </w:rPr>
      </w:pPr>
    </w:p>
    <w:p>
      <w:pPr>
        <w:snapToGrid w:val="0"/>
        <w:spacing w:before="50" w:after="50"/>
        <w:jc w:val="center"/>
        <w:rPr>
          <w:rFonts w:ascii="宋体" w:hAnsi="宋体" w:cs="宋体"/>
          <w:b/>
          <w:sz w:val="28"/>
          <w:szCs w:val="28"/>
        </w:rPr>
      </w:pPr>
      <w:r>
        <w:rPr>
          <w:rFonts w:hint="eastAsia" w:ascii="宋体" w:hAnsi="宋体" w:cs="宋体"/>
          <w:b/>
          <w:sz w:val="28"/>
          <w:szCs w:val="28"/>
        </w:rPr>
        <w:t>初次报价表</w:t>
      </w:r>
    </w:p>
    <w:p>
      <w:pPr>
        <w:pStyle w:val="63"/>
      </w:pPr>
    </w:p>
    <w:p>
      <w:pPr>
        <w:snapToGrid w:val="0"/>
        <w:spacing w:before="50" w:after="50"/>
        <w:ind w:firstLine="210" w:firstLineChars="100"/>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p>
    <w:tbl>
      <w:tblPr>
        <w:tblStyle w:val="47"/>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718"/>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859" w:type="dxa"/>
            <w:vAlign w:val="center"/>
          </w:tcPr>
          <w:p>
            <w:pPr>
              <w:spacing w:line="460" w:lineRule="exact"/>
              <w:jc w:val="center"/>
              <w:rPr>
                <w:rFonts w:ascii="宋体" w:hAnsi="宋体"/>
                <w:b/>
                <w:bCs/>
                <w:szCs w:val="21"/>
              </w:rPr>
            </w:pPr>
            <w:r>
              <w:rPr>
                <w:rFonts w:ascii="宋体" w:hAnsi="宋体"/>
                <w:b/>
                <w:bCs/>
                <w:szCs w:val="21"/>
              </w:rPr>
              <w:t>序号</w:t>
            </w:r>
          </w:p>
        </w:tc>
        <w:tc>
          <w:tcPr>
            <w:tcW w:w="4718" w:type="dxa"/>
            <w:vAlign w:val="center"/>
          </w:tcPr>
          <w:p>
            <w:pPr>
              <w:spacing w:line="460" w:lineRule="exact"/>
              <w:jc w:val="center"/>
              <w:rPr>
                <w:rFonts w:ascii="宋体" w:hAnsi="宋体"/>
                <w:b/>
                <w:bCs/>
                <w:szCs w:val="21"/>
              </w:rPr>
            </w:pPr>
            <w:r>
              <w:rPr>
                <w:rFonts w:hint="eastAsia" w:ascii="宋体" w:hAnsi="宋体"/>
                <w:b/>
                <w:bCs/>
                <w:szCs w:val="21"/>
              </w:rPr>
              <w:t>项目名称</w:t>
            </w:r>
          </w:p>
        </w:tc>
        <w:tc>
          <w:tcPr>
            <w:tcW w:w="3301" w:type="dxa"/>
            <w:vAlign w:val="center"/>
          </w:tcPr>
          <w:p>
            <w:pPr>
              <w:spacing w:line="460" w:lineRule="exact"/>
              <w:jc w:val="center"/>
              <w:rPr>
                <w:rFonts w:ascii="宋体" w:hAnsi="宋体"/>
                <w:b/>
                <w:bCs/>
                <w:szCs w:val="21"/>
              </w:rPr>
            </w:pPr>
            <w:r>
              <w:rPr>
                <w:rFonts w:hint="eastAsia" w:ascii="宋体" w:hAnsi="宋体"/>
                <w:b/>
                <w:bCs/>
                <w:szCs w:val="21"/>
              </w:rPr>
              <w:t>报价</w:t>
            </w:r>
            <w:r>
              <w:rPr>
                <w:rFonts w:ascii="宋体" w:hAnsi="宋体"/>
                <w:b/>
                <w:bCs/>
                <w:szCs w:val="21"/>
              </w:rPr>
              <w:t>（</w:t>
            </w:r>
            <w:r>
              <w:rPr>
                <w:rFonts w:hint="eastAsia" w:ascii="宋体" w:hAnsi="宋体"/>
                <w:b/>
                <w:bCs/>
                <w:szCs w:val="21"/>
              </w:rPr>
              <w:t>元</w:t>
            </w:r>
            <w:r>
              <w:rPr>
                <w:rFonts w:ascii="宋体" w:hAns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859" w:type="dxa"/>
            <w:vAlign w:val="center"/>
          </w:tcPr>
          <w:p>
            <w:pPr>
              <w:spacing w:line="460" w:lineRule="exact"/>
              <w:jc w:val="center"/>
              <w:rPr>
                <w:rFonts w:ascii="宋体" w:hAnsi="宋体"/>
                <w:szCs w:val="21"/>
              </w:rPr>
            </w:pPr>
            <w:r>
              <w:rPr>
                <w:rFonts w:ascii="宋体" w:hAnsi="宋体"/>
                <w:szCs w:val="21"/>
              </w:rPr>
              <w:t>1</w:t>
            </w:r>
          </w:p>
        </w:tc>
        <w:tc>
          <w:tcPr>
            <w:tcW w:w="4718" w:type="dxa"/>
            <w:vAlign w:val="center"/>
          </w:tcPr>
          <w:p>
            <w:pPr>
              <w:spacing w:line="460" w:lineRule="exact"/>
              <w:jc w:val="center"/>
              <w:rPr>
                <w:rFonts w:ascii="宋体" w:hAnsi="宋体"/>
                <w:szCs w:val="21"/>
              </w:rPr>
            </w:pPr>
          </w:p>
        </w:tc>
        <w:tc>
          <w:tcPr>
            <w:tcW w:w="3301" w:type="dxa"/>
            <w:vAlign w:val="center"/>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5577" w:type="dxa"/>
            <w:gridSpan w:val="2"/>
            <w:vAlign w:val="center"/>
          </w:tcPr>
          <w:p>
            <w:pPr>
              <w:adjustRightInd w:val="0"/>
              <w:snapToGrid w:val="0"/>
              <w:jc w:val="center"/>
              <w:rPr>
                <w:rFonts w:ascii="宋体" w:hAnsi="宋体"/>
                <w:szCs w:val="21"/>
              </w:rPr>
            </w:pPr>
            <w:r>
              <w:rPr>
                <w:rFonts w:hint="eastAsia" w:ascii="宋体" w:hAnsi="宋体"/>
                <w:b/>
                <w:bCs/>
                <w:szCs w:val="21"/>
              </w:rPr>
              <w:t>报价（大写）</w:t>
            </w:r>
          </w:p>
        </w:tc>
        <w:tc>
          <w:tcPr>
            <w:tcW w:w="3301" w:type="dxa"/>
          </w:tcPr>
          <w:p>
            <w:pPr>
              <w:spacing w:line="460" w:lineRule="exact"/>
              <w:jc w:val="center"/>
              <w:rPr>
                <w:rFonts w:ascii="宋体" w:hAnsi="宋体"/>
                <w:szCs w:val="21"/>
              </w:rPr>
            </w:pPr>
          </w:p>
        </w:tc>
      </w:tr>
    </w:tbl>
    <w:p>
      <w:pPr>
        <w:snapToGrid w:val="0"/>
        <w:spacing w:before="50" w:after="50"/>
        <w:jc w:val="left"/>
        <w:rPr>
          <w:rFonts w:ascii="宋体" w:hAnsi="宋体" w:cs="宋体"/>
          <w:szCs w:val="21"/>
        </w:rPr>
      </w:pPr>
    </w:p>
    <w:p>
      <w:pPr>
        <w:snapToGrid w:val="0"/>
        <w:spacing w:before="50" w:after="50" w:line="360" w:lineRule="auto"/>
        <w:jc w:val="left"/>
        <w:rPr>
          <w:rFonts w:ascii="宋体" w:hAnsi="宋体" w:cs="宋体"/>
          <w:szCs w:val="21"/>
        </w:rPr>
      </w:pPr>
      <w:r>
        <w:rPr>
          <w:rFonts w:hint="eastAsia" w:ascii="宋体" w:hAnsi="宋体" w:cs="宋体"/>
          <w:szCs w:val="21"/>
        </w:rPr>
        <w:t>注: 报价一经涂改，应在涂改处加盖单位公章或者由法定代表人或授权委托人签字或盖章，否则其报作无效处理。</w:t>
      </w:r>
    </w:p>
    <w:p>
      <w:pPr>
        <w:pStyle w:val="62"/>
        <w:rPr>
          <w:rFonts w:hAnsi="宋体" w:cs="宋体"/>
          <w:szCs w:val="21"/>
        </w:rPr>
      </w:pPr>
    </w:p>
    <w:p>
      <w:pPr>
        <w:pStyle w:val="62"/>
        <w:rPr>
          <w:rFonts w:hAnsi="宋体" w:cs="宋体"/>
          <w:szCs w:val="21"/>
        </w:rPr>
      </w:pPr>
    </w:p>
    <w:p>
      <w:pPr>
        <w:snapToGrid w:val="0"/>
        <w:spacing w:before="50" w:after="50"/>
        <w:ind w:left="-21" w:leftChars="-72" w:right="-817" w:rightChars="-389" w:hanging="130" w:hangingChars="62"/>
        <w:rPr>
          <w:rFonts w:ascii="宋体" w:hAnsi="宋体" w:cs="宋体"/>
          <w:szCs w:val="21"/>
        </w:rPr>
      </w:pPr>
    </w:p>
    <w:p>
      <w:pPr>
        <w:adjustRightInd w:val="0"/>
        <w:snapToGrid w:val="0"/>
        <w:spacing w:line="440" w:lineRule="exact"/>
        <w:jc w:val="right"/>
        <w:rPr>
          <w:rFonts w:ascii="宋体" w:hAnsi="宋体" w:cs="宋体"/>
        </w:rPr>
      </w:pPr>
      <w:r>
        <w:rPr>
          <w:rFonts w:hint="eastAsia" w:ascii="宋体" w:hAnsi="宋体" w:cs="宋体"/>
        </w:rPr>
        <w:t xml:space="preserve">供应商盖章（公章）：             </w:t>
      </w:r>
    </w:p>
    <w:p>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pPr>
        <w:spacing w:line="360" w:lineRule="auto"/>
        <w:jc w:val="left"/>
        <w:rPr>
          <w:rFonts w:ascii="宋体" w:hAnsi="宋体" w:cs="宋体"/>
        </w:rPr>
      </w:pPr>
      <w:r>
        <w:rPr>
          <w:rFonts w:hint="eastAsia" w:ascii="宋体" w:hAnsi="宋体" w:cs="宋体"/>
        </w:rPr>
        <w:t xml:space="preserve">                                                                   年  月  日</w:t>
      </w:r>
    </w:p>
    <w:p>
      <w:pPr>
        <w:adjustRightInd w:val="0"/>
        <w:snapToGrid w:val="0"/>
        <w:spacing w:line="440" w:lineRule="exact"/>
        <w:jc w:val="right"/>
        <w:rPr>
          <w:rFonts w:ascii="宋体" w:hAnsi="宋体" w:cs="宋体"/>
        </w:rPr>
      </w:pPr>
    </w:p>
    <w:p>
      <w:pPr>
        <w:spacing w:line="360" w:lineRule="auto"/>
        <w:jc w:val="left"/>
        <w:rPr>
          <w:rFonts w:ascii="宋体" w:hAnsi="宋体" w:cs="宋体"/>
        </w:rPr>
      </w:pPr>
    </w:p>
    <w:p>
      <w:pPr>
        <w:spacing w:line="360" w:lineRule="auto"/>
        <w:jc w:val="left"/>
        <w:rPr>
          <w:rFonts w:ascii="宋体" w:hAnsi="宋体" w:cs="宋体"/>
        </w:rPr>
      </w:pPr>
    </w:p>
    <w:p>
      <w:pPr>
        <w:pStyle w:val="44"/>
        <w:rPr>
          <w:rFonts w:ascii="宋体" w:hAnsi="宋体" w:cs="宋体"/>
          <w:szCs w:val="21"/>
        </w:rPr>
      </w:pPr>
      <w:r>
        <w:rPr>
          <w:rFonts w:hint="eastAsia" w:ascii="宋体" w:hAnsi="宋体" w:cs="宋体"/>
          <w:color w:val="FF0000"/>
          <w:szCs w:val="21"/>
        </w:rPr>
        <w:br w:type="page"/>
      </w:r>
    </w:p>
    <w:p>
      <w:pPr>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3、分项报价表（格式自拟）；</w:t>
      </w:r>
    </w:p>
    <w:p>
      <w:pPr>
        <w:spacing w:line="360" w:lineRule="auto"/>
        <w:jc w:val="left"/>
        <w:rPr>
          <w:rFonts w:ascii="宋体" w:hAnsi="宋体" w:cs="宋体"/>
          <w:szCs w:val="21"/>
        </w:rPr>
      </w:pPr>
      <w:r>
        <w:rPr>
          <w:rFonts w:hint="eastAsia" w:ascii="宋体" w:hAnsi="宋体" w:cs="宋体"/>
          <w:szCs w:val="21"/>
        </w:rPr>
        <w:t>4、确定成交服务费支付承诺函；</w:t>
      </w:r>
    </w:p>
    <w:p>
      <w:pPr>
        <w:pStyle w:val="46"/>
        <w:rPr>
          <w:rFonts w:ascii="宋体" w:hAnsi="宋体" w:cs="宋体"/>
          <w:szCs w:val="21"/>
          <w:lang w:val="en-US"/>
        </w:rPr>
      </w:pPr>
    </w:p>
    <w:p>
      <w:pPr>
        <w:spacing w:line="360" w:lineRule="auto"/>
        <w:jc w:val="center"/>
        <w:rPr>
          <w:rFonts w:ascii="宋体" w:hAnsi="宋体" w:cs="宋体"/>
          <w:b/>
          <w:spacing w:val="20"/>
          <w:sz w:val="28"/>
          <w:szCs w:val="32"/>
        </w:rPr>
      </w:pPr>
      <w:r>
        <w:rPr>
          <w:rFonts w:hint="eastAsia" w:ascii="宋体" w:hAnsi="宋体" w:cs="宋体"/>
          <w:b/>
          <w:spacing w:val="20"/>
          <w:sz w:val="28"/>
          <w:szCs w:val="32"/>
        </w:rPr>
        <w:t>确定成交服务费支付承诺函</w:t>
      </w:r>
    </w:p>
    <w:p>
      <w:pPr>
        <w:spacing w:line="360" w:lineRule="auto"/>
        <w:ind w:left="540"/>
        <w:jc w:val="center"/>
        <w:rPr>
          <w:rFonts w:ascii="宋体" w:hAnsi="宋体" w:cs="宋体"/>
          <w:b/>
          <w:sz w:val="28"/>
          <w:szCs w:val="30"/>
        </w:rPr>
      </w:pPr>
    </w:p>
    <w:p>
      <w:pPr>
        <w:widowControl/>
        <w:spacing w:line="360" w:lineRule="auto"/>
        <w:rPr>
          <w:rFonts w:ascii="宋体" w:hAnsi="宋体" w:cs="宋体"/>
          <w:b/>
          <w:spacing w:val="-4"/>
          <w:szCs w:val="21"/>
        </w:rPr>
      </w:pPr>
      <w:r>
        <w:rPr>
          <w:rFonts w:hint="eastAsia" w:ascii="宋体" w:hAnsi="宋体" w:cs="宋体"/>
          <w:b/>
          <w:spacing w:val="-4"/>
          <w:szCs w:val="21"/>
        </w:rPr>
        <w:t>致：宁波中基国际招标有限公司</w:t>
      </w:r>
    </w:p>
    <w:p>
      <w:pPr>
        <w:widowControl/>
        <w:spacing w:line="360" w:lineRule="auto"/>
        <w:ind w:firstLine="404" w:firstLineChars="200"/>
        <w:rPr>
          <w:rFonts w:ascii="宋体" w:hAnsi="宋体" w:cs="宋体"/>
          <w:bCs/>
          <w:spacing w:val="-4"/>
          <w:szCs w:val="21"/>
        </w:rPr>
      </w:pPr>
      <w:r>
        <w:rPr>
          <w:rFonts w:hint="eastAsia" w:ascii="宋体" w:hAnsi="宋体" w:cs="宋体"/>
          <w:bCs/>
          <w:i/>
          <w:iCs/>
          <w:spacing w:val="-4"/>
          <w:szCs w:val="21"/>
          <w:u w:val="single"/>
        </w:rPr>
        <w:t>供应商单位名称</w:t>
      </w:r>
      <w:r>
        <w:rPr>
          <w:rFonts w:hint="eastAsia" w:ascii="宋体" w:hAnsi="宋体" w:cs="宋体"/>
          <w:bCs/>
          <w:spacing w:val="-4"/>
          <w:szCs w:val="21"/>
        </w:rPr>
        <w:t>郑重承诺：</w:t>
      </w:r>
    </w:p>
    <w:p>
      <w:pPr>
        <w:widowControl/>
        <w:spacing w:line="360" w:lineRule="auto"/>
        <w:ind w:firstLine="404" w:firstLineChars="200"/>
        <w:rPr>
          <w:rFonts w:ascii="宋体" w:hAnsi="宋体" w:cs="宋体"/>
          <w:szCs w:val="21"/>
        </w:rPr>
      </w:pPr>
      <w:r>
        <w:rPr>
          <w:rFonts w:hint="eastAsia" w:ascii="宋体" w:hAnsi="宋体" w:cs="宋体"/>
          <w:bCs/>
          <w:spacing w:val="-4"/>
          <w:szCs w:val="21"/>
        </w:rPr>
        <w:t>若我司在</w:t>
      </w:r>
      <w:r>
        <w:rPr>
          <w:rFonts w:hint="eastAsia" w:ascii="宋体" w:hAnsi="宋体" w:cs="宋体"/>
          <w:bCs/>
          <w:spacing w:val="-4"/>
          <w:szCs w:val="21"/>
          <w:u w:val="single"/>
        </w:rPr>
        <w:t xml:space="preserve">                </w:t>
      </w:r>
      <w:r>
        <w:rPr>
          <w:rFonts w:hint="eastAsia" w:ascii="宋体" w:hAnsi="宋体" w:cs="宋体"/>
          <w:bCs/>
          <w:spacing w:val="-4"/>
          <w:szCs w:val="21"/>
        </w:rPr>
        <w:t>项目（以下简称“本项目”）中有幸中标，我司将严格按照本项目</w:t>
      </w:r>
      <w:r>
        <w:rPr>
          <w:rFonts w:hint="eastAsia" w:ascii="宋体" w:hAnsi="宋体" w:cs="宋体"/>
          <w:szCs w:val="21"/>
        </w:rPr>
        <w:t>成交服务费的规定，在本项目结果公示期满后5个工作日内</w:t>
      </w:r>
      <w:r>
        <w:rPr>
          <w:rFonts w:hint="eastAsia" w:ascii="宋体" w:hAnsi="宋体" w:cs="宋体"/>
        </w:rPr>
        <w:t>向本代理机构支付</w:t>
      </w:r>
      <w:r>
        <w:rPr>
          <w:rFonts w:hint="eastAsia" w:hAnsi="宋体" w:cs="宋体"/>
        </w:rPr>
        <w:t>成交</w:t>
      </w:r>
      <w:r>
        <w:rPr>
          <w:rFonts w:hint="eastAsia" w:ascii="宋体" w:hAnsi="宋体" w:cs="宋体"/>
        </w:rPr>
        <w:t>服务费</w:t>
      </w:r>
      <w:r>
        <w:rPr>
          <w:rFonts w:hint="eastAsia" w:ascii="宋体" w:hAnsi="宋体" w:cs="宋体"/>
          <w:szCs w:val="21"/>
        </w:rPr>
        <w:t>。</w:t>
      </w:r>
    </w:p>
    <w:p>
      <w:pPr>
        <w:widowControl/>
        <w:spacing w:line="360" w:lineRule="auto"/>
        <w:ind w:firstLine="420" w:firstLineChars="200"/>
        <w:rPr>
          <w:rFonts w:ascii="宋体" w:hAnsi="宋体" w:cs="宋体"/>
          <w:szCs w:val="21"/>
        </w:rPr>
      </w:pPr>
      <w:r>
        <w:rPr>
          <w:rFonts w:hint="eastAsia" w:ascii="宋体" w:hAnsi="宋体" w:cs="宋体"/>
          <w:szCs w:val="21"/>
        </w:rPr>
        <w:t>若我司未按上述承诺内容执行，我司自愿承担本项目成交服务费200%的违约金，且在结果公示期满后5个工作日内支付上述违约金，否则由此引起的一切法律责任和经济责任由我司承担。</w:t>
      </w:r>
    </w:p>
    <w:p>
      <w:pPr>
        <w:snapToGrid w:val="0"/>
        <w:spacing w:before="50" w:after="50"/>
        <w:ind w:left="-24" w:leftChars="-22" w:right="-817" w:rightChars="-389" w:hanging="22" w:hangingChars="11"/>
        <w:rPr>
          <w:rFonts w:ascii="宋体" w:hAnsi="宋体" w:cs="宋体"/>
          <w:b/>
          <w:spacing w:val="-4"/>
          <w:szCs w:val="21"/>
        </w:rPr>
      </w:pPr>
    </w:p>
    <w:p>
      <w:pPr>
        <w:snapToGrid w:val="0"/>
        <w:spacing w:before="50" w:after="50"/>
        <w:ind w:left="-24" w:leftChars="-22" w:right="-817" w:rightChars="-389" w:hanging="22" w:hangingChars="11"/>
        <w:rPr>
          <w:rFonts w:ascii="宋体" w:hAnsi="宋体" w:cs="宋体"/>
          <w:szCs w:val="21"/>
        </w:rPr>
      </w:pPr>
      <w:r>
        <w:rPr>
          <w:rFonts w:hint="eastAsia" w:ascii="宋体" w:hAnsi="宋体" w:cs="宋体"/>
          <w:b/>
          <w:spacing w:val="-4"/>
          <w:szCs w:val="21"/>
        </w:rPr>
        <w:t>特此承诺！</w:t>
      </w:r>
    </w:p>
    <w:p>
      <w:pPr>
        <w:snapToGrid w:val="0"/>
        <w:spacing w:before="50" w:after="50"/>
        <w:ind w:left="-23" w:leftChars="-22" w:right="-817" w:rightChars="-389" w:hanging="23" w:hangingChars="11"/>
        <w:rPr>
          <w:rFonts w:ascii="宋体" w:hAnsi="宋体" w:cs="宋体"/>
          <w:szCs w:val="21"/>
        </w:rPr>
      </w:pPr>
    </w:p>
    <w:p>
      <w:pPr>
        <w:snapToGrid w:val="0"/>
        <w:spacing w:before="50" w:after="50" w:line="360" w:lineRule="auto"/>
        <w:ind w:left="-23" w:leftChars="-22" w:right="-817" w:rightChars="-389" w:hanging="23" w:hangingChars="11"/>
        <w:rPr>
          <w:rFonts w:ascii="宋体" w:hAnsi="宋体" w:cs="宋体"/>
          <w:szCs w:val="21"/>
        </w:rPr>
      </w:pPr>
    </w:p>
    <w:p>
      <w:pPr>
        <w:snapToGrid w:val="0"/>
        <w:spacing w:before="50" w:after="50" w:line="360" w:lineRule="auto"/>
        <w:ind w:left="-23" w:leftChars="-22" w:right="-817" w:rightChars="-389" w:hanging="23" w:hangingChars="11"/>
        <w:rPr>
          <w:rFonts w:ascii="宋体" w:hAnsi="宋体" w:cs="宋体"/>
          <w:szCs w:val="21"/>
        </w:rPr>
      </w:pPr>
    </w:p>
    <w:p>
      <w:pPr>
        <w:snapToGrid w:val="0"/>
        <w:spacing w:before="50" w:after="50" w:line="360" w:lineRule="auto"/>
        <w:ind w:left="-23" w:leftChars="-22" w:right="-817" w:rightChars="-389" w:hanging="23" w:hangingChars="11"/>
        <w:rPr>
          <w:rFonts w:ascii="宋体" w:hAnsi="宋体" w:cs="宋体"/>
          <w:szCs w:val="21"/>
        </w:rPr>
      </w:pPr>
      <w:r>
        <w:rPr>
          <w:rFonts w:hint="eastAsia" w:ascii="宋体" w:hAnsi="宋体" w:cs="宋体"/>
          <w:szCs w:val="21"/>
        </w:rPr>
        <w:t xml:space="preserve">                   </w:t>
      </w:r>
    </w:p>
    <w:p>
      <w:pPr>
        <w:tabs>
          <w:tab w:val="left" w:pos="606"/>
        </w:tabs>
        <w:rPr>
          <w:rFonts w:ascii="宋体" w:hAnsi="宋体" w:cs="宋体"/>
          <w:szCs w:val="21"/>
        </w:rPr>
      </w:pPr>
      <w:r>
        <w:rPr>
          <w:rFonts w:hint="eastAsia" w:ascii="宋体" w:hAnsi="宋体" w:cs="宋体"/>
          <w:szCs w:val="21"/>
        </w:rPr>
        <w:t xml:space="preserve">供应商（公章）：                                     </w:t>
      </w:r>
    </w:p>
    <w:p>
      <w:pPr>
        <w:tabs>
          <w:tab w:val="left" w:pos="606"/>
        </w:tabs>
        <w:rPr>
          <w:rFonts w:ascii="宋体" w:hAnsi="宋体" w:cs="宋体"/>
          <w:szCs w:val="21"/>
        </w:rPr>
      </w:pPr>
    </w:p>
    <w:p>
      <w:pPr>
        <w:tabs>
          <w:tab w:val="left" w:pos="606"/>
        </w:tabs>
        <w:rPr>
          <w:rFonts w:ascii="宋体" w:hAnsi="宋体" w:cs="宋体"/>
          <w:szCs w:val="21"/>
        </w:rPr>
      </w:pPr>
      <w:r>
        <w:rPr>
          <w:rFonts w:hint="eastAsia" w:ascii="宋体" w:hAnsi="宋体" w:cs="宋体"/>
          <w:szCs w:val="21"/>
        </w:rPr>
        <w:t>日期：    年   月   日</w:t>
      </w:r>
    </w:p>
    <w:p>
      <w:pPr>
        <w:pStyle w:val="46"/>
        <w:rPr>
          <w:rFonts w:ascii="宋体" w:hAnsi="宋体" w:cs="宋体"/>
          <w:szCs w:val="21"/>
        </w:rPr>
      </w:pPr>
    </w:p>
    <w:p>
      <w:pPr>
        <w:rPr>
          <w:rFonts w:ascii="宋体" w:hAnsi="宋体" w:cs="宋体"/>
          <w:szCs w:val="21"/>
        </w:rPr>
      </w:pPr>
    </w:p>
    <w:p>
      <w:pPr>
        <w:pStyle w:val="46"/>
        <w:rPr>
          <w:rFonts w:ascii="宋体" w:hAnsi="宋体" w:cs="宋体"/>
          <w:szCs w:val="21"/>
        </w:rPr>
      </w:pPr>
    </w:p>
    <w:p>
      <w:pPr>
        <w:rPr>
          <w:rFonts w:ascii="宋体" w:hAnsi="宋体" w:cs="宋体"/>
          <w:szCs w:val="21"/>
        </w:rPr>
      </w:pPr>
    </w:p>
    <w:p>
      <w:pPr>
        <w:pStyle w:val="46"/>
        <w:rPr>
          <w:rFonts w:ascii="宋体" w:hAnsi="宋体" w:cs="宋体"/>
          <w:szCs w:val="21"/>
        </w:rPr>
      </w:pPr>
    </w:p>
    <w:p>
      <w:pPr>
        <w:rPr>
          <w:rFonts w:ascii="宋体" w:hAnsi="宋体" w:cs="宋体"/>
          <w:szCs w:val="21"/>
        </w:rPr>
      </w:pPr>
    </w:p>
    <w:p>
      <w:pPr>
        <w:pStyle w:val="46"/>
        <w:sectPr>
          <w:pgSz w:w="11906" w:h="16838"/>
          <w:pgMar w:top="1474" w:right="1797" w:bottom="1247" w:left="1797" w:header="851" w:footer="851" w:gutter="0"/>
          <w:cols w:space="720" w:num="1"/>
          <w:titlePg/>
          <w:docGrid w:linePitch="312" w:charSpace="0"/>
        </w:sectPr>
      </w:pPr>
    </w:p>
    <w:p>
      <w:pPr>
        <w:spacing w:line="360" w:lineRule="auto"/>
        <w:jc w:val="left"/>
      </w:pPr>
      <w:r>
        <w:rPr>
          <w:rFonts w:hint="eastAsia" w:ascii="宋体" w:hAnsi="宋体" w:cs="宋体"/>
          <w:szCs w:val="21"/>
        </w:rPr>
        <w:t>5、其它本磋商文件要求提供的报价部分材料。</w:t>
      </w:r>
    </w:p>
    <w:p>
      <w:pPr>
        <w:tabs>
          <w:tab w:val="left" w:pos="606"/>
        </w:tabs>
        <w:rPr>
          <w:rFonts w:ascii="宋体" w:hAnsi="宋体" w:cs="宋体"/>
          <w:b/>
          <w:bCs/>
          <w:sz w:val="30"/>
          <w:szCs w:val="30"/>
        </w:rPr>
      </w:pPr>
    </w:p>
    <w:p>
      <w:pPr>
        <w:pStyle w:val="44"/>
        <w:rPr>
          <w:rFonts w:ascii="宋体" w:hAnsi="宋体" w:cs="宋体"/>
          <w:sz w:val="30"/>
          <w:szCs w:val="30"/>
        </w:rPr>
      </w:pPr>
    </w:p>
    <w:p>
      <w:pPr>
        <w:rPr>
          <w:rFonts w:ascii="宋体" w:hAnsi="宋体" w:cs="宋体"/>
          <w:b/>
          <w:bCs/>
          <w:sz w:val="30"/>
          <w:szCs w:val="30"/>
        </w:rPr>
      </w:pPr>
    </w:p>
    <w:p>
      <w:pPr>
        <w:pStyle w:val="44"/>
        <w:rPr>
          <w:rFonts w:ascii="宋体" w:hAnsi="宋体" w:cs="宋体"/>
          <w:sz w:val="30"/>
          <w:szCs w:val="30"/>
        </w:rPr>
      </w:pPr>
    </w:p>
    <w:p>
      <w:pPr>
        <w:rPr>
          <w:rFonts w:ascii="宋体" w:hAnsi="宋体" w:cs="宋体"/>
          <w:b/>
          <w:bCs/>
        </w:rPr>
      </w:pPr>
    </w:p>
    <w:p/>
    <w:p>
      <w:pPr>
        <w:pStyle w:val="46"/>
        <w:rPr>
          <w:rFonts w:ascii="宋体" w:hAnsi="宋体" w:cs="宋体"/>
          <w:szCs w:val="21"/>
          <w:lang w:val="en-US"/>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napToGrid w:val="0"/>
        <w:spacing w:before="50" w:after="50"/>
        <w:jc w:val="left"/>
        <w:rPr>
          <w:rFonts w:ascii="宋体" w:hAnsi="宋体" w:cs="宋体"/>
          <w:b/>
          <w:bCs/>
          <w:sz w:val="28"/>
          <w:szCs w:val="28"/>
        </w:rPr>
      </w:pPr>
    </w:p>
    <w:sectPr>
      <w:pgSz w:w="11906" w:h="16838"/>
      <w:pgMar w:top="1474" w:right="1797" w:bottom="1247" w:left="1797"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aco">
    <w:altName w:val="Courier New"/>
    <w:panose1 w:val="00000000000000000000"/>
    <w:charset w:val="00"/>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汉鼎简细圆">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tabs>
        <w:tab w:val="clear" w:pos="4153"/>
        <w:tab w:val="clear" w:pos="8306"/>
      </w:tabs>
      <w:rPr>
        <w:rStyle w:val="51"/>
      </w:rPr>
    </w:pPr>
    <w:r>
      <w:fldChar w:fldCharType="begin"/>
    </w:r>
    <w:r>
      <w:rPr>
        <w:rStyle w:val="51"/>
      </w:rPr>
      <w:instrText xml:space="preserve">PAGE  </w:instrText>
    </w:r>
    <w:r>
      <w:fldChar w:fldCharType="separate"/>
    </w:r>
    <w:r>
      <w:rPr>
        <w:rStyle w:val="51"/>
      </w:rPr>
      <w:t>54</w:t>
    </w:r>
    <w:r>
      <w:fldChar w:fldCharType="end"/>
    </w:r>
  </w:p>
  <w:p>
    <w:pPr>
      <w:pStyle w:val="31"/>
      <w:tabs>
        <w:tab w:val="clear" w:pos="4153"/>
        <w:tab w:val="clear" w:pos="8306"/>
      </w:tabs>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pict>
        <v:shape id="_x0000_s4101" o:spid="_x0000_s4101" o:spt="202" type="#_x0000_t202"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DHlD30gEAAKcDAAAOAAAAAAAAAAEAIAAAAB4BAABk&#10;cnMvZTJvRG9jLnhtbFBLBQYAAAAABgAGAFkBAABiBQAAAAA=&#10;">
          <v:path/>
          <v:fill on="f" focussize="0,0"/>
          <v:stroke on="f" joinstyle="miter"/>
          <v:imagedata o:title=""/>
          <o:lock v:ext="edit"/>
          <v:textbox inset="0mm,0mm,0mm,0mm" style="mso-fit-shape-to-text:t;">
            <w:txbxContent>
              <w:p>
                <w:pPr>
                  <w:pStyle w:val="31"/>
                  <w:jc w:val="center"/>
                </w:pPr>
                <w:r>
                  <w:fldChar w:fldCharType="begin"/>
                </w:r>
                <w:r>
                  <w:instrText xml:space="preserve"> PAGE   \* MERGEFORMAT </w:instrText>
                </w:r>
                <w:r>
                  <w:fldChar w:fldCharType="separate"/>
                </w:r>
                <w: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1</w: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r>
      <w:pict>
        <v:shape id="_x0000_s4098" o:spid="_x0000_s4098" o:spt="202" type="#_x0000_t202"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Bx8o09MBAACnAwAADgAAAAAAAAABACAAAAAeAQAA&#10;ZHJzL2Uyb0RvYy54bWxQSwUGAAAAAAYABgBZAQAAYwUAAAAA&#10;">
          <v:path/>
          <v:fill on="f" focussize="0,0"/>
          <v:stroke on="f" joinstyle="miter"/>
          <v:imagedata o:title=""/>
          <o:lock v:ext="edit"/>
          <v:textbox inset="0mm,0mm,0mm,0mm" style="mso-fit-shape-to-text:t;">
            <w:txbxContent>
              <w:p>
                <w:pPr>
                  <w:pStyle w:val="31"/>
                </w:pPr>
                <w:r>
                  <w:fldChar w:fldCharType="begin"/>
                </w:r>
                <w:r>
                  <w:rPr>
                    <w:rStyle w:val="51"/>
                  </w:rPr>
                  <w:instrText xml:space="preserve"> PAGE  </w:instrText>
                </w:r>
                <w:r>
                  <w:fldChar w:fldCharType="separate"/>
                </w:r>
                <w:r>
                  <w:rPr>
                    <w:rStyle w:val="51"/>
                  </w:rPr>
                  <w:t>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pict>
        <v:shape id="_x0000_s4097" o:spid="_x0000_s4097" o:spt="202" type="#_x0000_t202" style="position:absolute;left:0pt;height:144pt;width:144pt;mso-position-horizontal:center;mso-position-horizontal-relative:margin;mso-position-vertical:top;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oZ8UttABAACnAwAADgAAAAAAAAABACAAAAAeAQAAZHJz&#10;L2Uyb0RvYy54bWxQSwUGAAAAAAYABgBZAQAAY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w:r>
  </w:p>
  <w:p>
    <w:pPr>
      <w:pStyle w:val="31"/>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tabs>
        <w:tab w:val="clear" w:pos="4153"/>
        <w:tab w:val="clear" w:pos="8306"/>
      </w:tabs>
      <w:rPr>
        <w:rStyle w:val="51"/>
      </w:rPr>
    </w:pPr>
    <w:r>
      <w:fldChar w:fldCharType="begin"/>
    </w:r>
    <w:r>
      <w:rPr>
        <w:rStyle w:val="51"/>
      </w:rPr>
      <w:instrText xml:space="preserve">PAGE  </w:instrText>
    </w:r>
    <w:r>
      <w:fldChar w:fldCharType="separate"/>
    </w:r>
    <w:r>
      <w:rPr>
        <w:rStyle w:val="51"/>
      </w:rPr>
      <w:t>5</w:t>
    </w:r>
    <w:r>
      <w:fldChar w:fldCharType="end"/>
    </w:r>
  </w:p>
  <w:p>
    <w:pPr>
      <w:pStyle w:val="31"/>
      <w:tabs>
        <w:tab w:val="clear" w:pos="4153"/>
        <w:tab w:val="clear" w:pos="8306"/>
      </w:tabs>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pict>
        <v:shape id="文本框 1028" o:spid="_x0000_s4099"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rqHiytMBAACnAwAADgAAAAAAAAABACAAAAAeAQAA&#10;ZHJzL2Uyb0RvYy54bWxQSwUGAAAAAAYABgBZAQAAYwUAAAAA&#10;">
          <v:path/>
          <v:fill on="f" focussize="0,0"/>
          <v:stroke on="f" joinstyle="miter"/>
          <v:imagedata o:title=""/>
          <o:lock v:ext="edit"/>
          <v:textbox inset="0mm,0mm,0mm,0mm" style="mso-fit-shape-to-text:t;">
            <w:txbxContent>
              <w:p>
                <w:pPr>
                  <w:pStyle w:val="31"/>
                  <w:jc w:val="center"/>
                </w:pPr>
                <w:r>
                  <w:fldChar w:fldCharType="begin"/>
                </w:r>
                <w:r>
                  <w:instrText xml:space="preserve"> PAGE   \* MERGEFORMAT </w:instrText>
                </w:r>
                <w:r>
                  <w:fldChar w:fldCharType="separate"/>
                </w:r>
                <w:r>
                  <w:t>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tabs>
        <w:tab w:val="clear" w:pos="4153"/>
        <w:tab w:val="clear" w:pos="8306"/>
      </w:tabs>
      <w:rPr>
        <w:rStyle w:val="51"/>
      </w:rPr>
    </w:pPr>
    <w:r>
      <w:fldChar w:fldCharType="begin"/>
    </w:r>
    <w:r>
      <w:rPr>
        <w:rStyle w:val="51"/>
      </w:rPr>
      <w:instrText xml:space="preserve">PAGE  </w:instrText>
    </w:r>
    <w:r>
      <w:fldChar w:fldCharType="separate"/>
    </w:r>
    <w:r>
      <w:rPr>
        <w:rStyle w:val="51"/>
      </w:rPr>
      <w:t>7</w:t>
    </w:r>
    <w:r>
      <w:fldChar w:fldCharType="end"/>
    </w:r>
  </w:p>
  <w:p>
    <w:pPr>
      <w:pStyle w:val="31"/>
      <w:tabs>
        <w:tab w:val="clear" w:pos="4153"/>
        <w:tab w:val="clear" w:pos="8306"/>
      </w:tabs>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pict>
        <v:shape id="_x0000_s4100" o:spid="_x0000_s4100"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AIk1H0gEAAKcDAAAOAAAAAAAAAAEAIAAAAB4BAABk&#10;cnMvZTJvRG9jLnhtbFBLBQYAAAAABgAGAFkBAABiBQAAAAA=&#10;">
          <v:path/>
          <v:fill on="f" focussize="0,0"/>
          <v:stroke on="f" joinstyle="miter"/>
          <v:imagedata o:title=""/>
          <o:lock v:ext="edit"/>
          <v:textbox inset="0mm,0mm,0mm,0mm" style="mso-fit-shape-to-text:t;">
            <w:txbxContent>
              <w:p>
                <w:pPr>
                  <w:pStyle w:val="31"/>
                  <w:jc w:val="center"/>
                </w:pPr>
                <w:r>
                  <w:fldChar w:fldCharType="begin"/>
                </w:r>
                <w:r>
                  <w:instrText xml:space="preserve"> PAGE   \* MERGEFORMAT </w:instrText>
                </w:r>
                <w:r>
                  <w:fldChar w:fldCharType="separate"/>
                </w:r>
                <w:r>
                  <w:t>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84CD2"/>
    <w:multiLevelType w:val="singleLevel"/>
    <w:tmpl w:val="99284CD2"/>
    <w:lvl w:ilvl="0" w:tentative="0">
      <w:start w:val="1"/>
      <w:numFmt w:val="decimal"/>
      <w:suff w:val="nothing"/>
      <w:lvlText w:val="%1、"/>
      <w:lvlJc w:val="left"/>
    </w:lvl>
  </w:abstractNum>
  <w:abstractNum w:abstractNumId="1">
    <w:nsid w:val="C3AF05D6"/>
    <w:multiLevelType w:val="singleLevel"/>
    <w:tmpl w:val="C3AF05D6"/>
    <w:lvl w:ilvl="0" w:tentative="0">
      <w:start w:val="1"/>
      <w:numFmt w:val="decimal"/>
      <w:lvlText w:val="%1."/>
      <w:lvlJc w:val="left"/>
      <w:pPr>
        <w:tabs>
          <w:tab w:val="left" w:pos="312"/>
        </w:tabs>
      </w:pPr>
    </w:lvl>
  </w:abstractNum>
  <w:abstractNum w:abstractNumId="2">
    <w:nsid w:val="CCDC82DC"/>
    <w:multiLevelType w:val="singleLevel"/>
    <w:tmpl w:val="CCDC82DC"/>
    <w:lvl w:ilvl="0" w:tentative="0">
      <w:start w:val="1"/>
      <w:numFmt w:val="decimal"/>
      <w:suff w:val="nothing"/>
      <w:lvlText w:val="（%1）"/>
      <w:lvlJc w:val="left"/>
    </w:lvl>
  </w:abstractNum>
  <w:abstractNum w:abstractNumId="3">
    <w:nsid w:val="DA605ABB"/>
    <w:multiLevelType w:val="singleLevel"/>
    <w:tmpl w:val="DA605ABB"/>
    <w:lvl w:ilvl="0" w:tentative="0">
      <w:start w:val="7"/>
      <w:numFmt w:val="decimal"/>
      <w:suff w:val="nothing"/>
      <w:lvlText w:val="%1、"/>
      <w:lvlJc w:val="left"/>
    </w:lvl>
  </w:abstractNum>
  <w:abstractNum w:abstractNumId="4">
    <w:nsid w:val="F45CC801"/>
    <w:multiLevelType w:val="singleLevel"/>
    <w:tmpl w:val="F45CC801"/>
    <w:lvl w:ilvl="0" w:tentative="0">
      <w:start w:val="1"/>
      <w:numFmt w:val="decimal"/>
      <w:suff w:val="nothing"/>
      <w:lvlText w:val="%1、"/>
      <w:lvlJc w:val="left"/>
    </w:lvl>
  </w:abstractNum>
  <w:abstractNum w:abstractNumId="5">
    <w:nsid w:val="F5BB2F13"/>
    <w:multiLevelType w:val="singleLevel"/>
    <w:tmpl w:val="F5BB2F13"/>
    <w:lvl w:ilvl="0" w:tentative="0">
      <w:start w:val="11"/>
      <w:numFmt w:val="decimal"/>
      <w:lvlText w:val="%1."/>
      <w:lvlJc w:val="left"/>
      <w:pPr>
        <w:tabs>
          <w:tab w:val="left" w:pos="312"/>
        </w:tabs>
      </w:pPr>
    </w:lvl>
  </w:abstractNum>
  <w:abstractNum w:abstractNumId="6">
    <w:nsid w:val="00000002"/>
    <w:multiLevelType w:val="multilevel"/>
    <w:tmpl w:val="00000002"/>
    <w:lvl w:ilvl="0" w:tentative="0">
      <w:start w:val="1"/>
      <w:numFmt w:val="decimal"/>
      <w:lvlText w:val="%1、"/>
      <w:lvlJc w:val="left"/>
      <w:pPr>
        <w:tabs>
          <w:tab w:val="left" w:pos="772"/>
        </w:tabs>
        <w:ind w:left="772" w:hanging="360"/>
      </w:pPr>
    </w:lvl>
    <w:lvl w:ilvl="1" w:tentative="0">
      <w:start w:val="1"/>
      <w:numFmt w:val="lowerLetter"/>
      <w:lvlText w:val="%2)"/>
      <w:lvlJc w:val="left"/>
      <w:pPr>
        <w:tabs>
          <w:tab w:val="left" w:pos="1252"/>
        </w:tabs>
        <w:ind w:left="1252" w:hanging="420"/>
      </w:pPr>
    </w:lvl>
    <w:lvl w:ilvl="2" w:tentative="0">
      <w:start w:val="1"/>
      <w:numFmt w:val="lowerRoman"/>
      <w:lvlText w:val="%3."/>
      <w:lvlJc w:val="right"/>
      <w:pPr>
        <w:tabs>
          <w:tab w:val="left" w:pos="1672"/>
        </w:tabs>
        <w:ind w:left="1672" w:hanging="420"/>
      </w:pPr>
    </w:lvl>
    <w:lvl w:ilvl="3" w:tentative="0">
      <w:start w:val="1"/>
      <w:numFmt w:val="decimal"/>
      <w:lvlText w:val="%4."/>
      <w:lvlJc w:val="left"/>
      <w:pPr>
        <w:tabs>
          <w:tab w:val="left" w:pos="2092"/>
        </w:tabs>
        <w:ind w:left="2092" w:hanging="420"/>
      </w:pPr>
    </w:lvl>
    <w:lvl w:ilvl="4" w:tentative="0">
      <w:start w:val="1"/>
      <w:numFmt w:val="lowerLetter"/>
      <w:lvlText w:val="%5)"/>
      <w:lvlJc w:val="left"/>
      <w:pPr>
        <w:tabs>
          <w:tab w:val="left" w:pos="2512"/>
        </w:tabs>
        <w:ind w:left="2512" w:hanging="420"/>
      </w:pPr>
    </w:lvl>
    <w:lvl w:ilvl="5" w:tentative="0">
      <w:start w:val="1"/>
      <w:numFmt w:val="lowerRoman"/>
      <w:lvlText w:val="%6."/>
      <w:lvlJc w:val="right"/>
      <w:pPr>
        <w:tabs>
          <w:tab w:val="left" w:pos="2932"/>
        </w:tabs>
        <w:ind w:left="2932" w:hanging="420"/>
      </w:pPr>
    </w:lvl>
    <w:lvl w:ilvl="6" w:tentative="0">
      <w:start w:val="1"/>
      <w:numFmt w:val="decimal"/>
      <w:lvlText w:val="%7."/>
      <w:lvlJc w:val="left"/>
      <w:pPr>
        <w:tabs>
          <w:tab w:val="left" w:pos="3352"/>
        </w:tabs>
        <w:ind w:left="3352" w:hanging="420"/>
      </w:pPr>
    </w:lvl>
    <w:lvl w:ilvl="7" w:tentative="0">
      <w:start w:val="1"/>
      <w:numFmt w:val="lowerLetter"/>
      <w:lvlText w:val="%8)"/>
      <w:lvlJc w:val="left"/>
      <w:pPr>
        <w:tabs>
          <w:tab w:val="left" w:pos="3772"/>
        </w:tabs>
        <w:ind w:left="3772" w:hanging="420"/>
      </w:pPr>
    </w:lvl>
    <w:lvl w:ilvl="8" w:tentative="0">
      <w:start w:val="1"/>
      <w:numFmt w:val="lowerRoman"/>
      <w:lvlText w:val="%9."/>
      <w:lvlJc w:val="right"/>
      <w:pPr>
        <w:tabs>
          <w:tab w:val="left" w:pos="4192"/>
        </w:tabs>
        <w:ind w:left="4192" w:hanging="420"/>
      </w:pPr>
    </w:lvl>
  </w:abstractNum>
  <w:abstractNum w:abstractNumId="7">
    <w:nsid w:val="00000006"/>
    <w:multiLevelType w:val="singleLevel"/>
    <w:tmpl w:val="00000006"/>
    <w:lvl w:ilvl="0" w:tentative="0">
      <w:start w:val="1"/>
      <w:numFmt w:val="decimal"/>
      <w:lvlText w:val="(%1)"/>
      <w:lvlJc w:val="left"/>
      <w:pPr>
        <w:tabs>
          <w:tab w:val="left" w:pos="875"/>
        </w:tabs>
        <w:ind w:left="175" w:firstLine="340"/>
      </w:pPr>
    </w:lvl>
  </w:abstractNum>
  <w:abstractNum w:abstractNumId="8">
    <w:nsid w:val="00000009"/>
    <w:multiLevelType w:val="singleLevel"/>
    <w:tmpl w:val="00000009"/>
    <w:lvl w:ilvl="0" w:tentative="0">
      <w:start w:val="1"/>
      <w:numFmt w:val="lowerLetter"/>
      <w:lvlText w:val="%1."/>
      <w:lvlJc w:val="left"/>
      <w:pPr>
        <w:tabs>
          <w:tab w:val="left" w:pos="360"/>
        </w:tabs>
        <w:ind w:left="301" w:hanging="301"/>
      </w:pPr>
    </w:lvl>
  </w:abstractNum>
  <w:abstractNum w:abstractNumId="9">
    <w:nsid w:val="00000018"/>
    <w:multiLevelType w:val="singleLevel"/>
    <w:tmpl w:val="00000018"/>
    <w:lvl w:ilvl="0" w:tentative="0">
      <w:start w:val="1"/>
      <w:numFmt w:val="decimal"/>
      <w:suff w:val="nothing"/>
      <w:lvlText w:val="（%1）"/>
      <w:lvlJc w:val="left"/>
      <w:pPr>
        <w:ind w:left="0" w:firstLine="400"/>
      </w:pPr>
      <w:rPr>
        <w:rFonts w:hint="default"/>
      </w:rPr>
    </w:lvl>
  </w:abstractNum>
  <w:abstractNum w:abstractNumId="10">
    <w:nsid w:val="00000021"/>
    <w:multiLevelType w:val="singleLevel"/>
    <w:tmpl w:val="00000021"/>
    <w:lvl w:ilvl="0" w:tentative="0">
      <w:start w:val="1"/>
      <w:numFmt w:val="decimal"/>
      <w:suff w:val="nothing"/>
      <w:lvlText w:val="%1、"/>
      <w:lvlJc w:val="left"/>
      <w:pPr>
        <w:ind w:left="0" w:firstLine="400"/>
      </w:pPr>
      <w:rPr>
        <w:rFonts w:hint="default"/>
      </w:rPr>
    </w:lvl>
  </w:abstractNum>
  <w:abstractNum w:abstractNumId="11">
    <w:nsid w:val="1F801569"/>
    <w:multiLevelType w:val="singleLevel"/>
    <w:tmpl w:val="1F801569"/>
    <w:lvl w:ilvl="0" w:tentative="0">
      <w:start w:val="1"/>
      <w:numFmt w:val="decimal"/>
      <w:suff w:val="nothing"/>
      <w:lvlText w:val="%1、"/>
      <w:lvlJc w:val="left"/>
    </w:lvl>
  </w:abstractNum>
  <w:abstractNum w:abstractNumId="12">
    <w:nsid w:val="567CFDD7"/>
    <w:multiLevelType w:val="singleLevel"/>
    <w:tmpl w:val="567CFDD7"/>
    <w:lvl w:ilvl="0" w:tentative="0">
      <w:start w:val="1"/>
      <w:numFmt w:val="decimal"/>
      <w:suff w:val="nothing"/>
      <w:lvlText w:val="%1、"/>
      <w:lvlJc w:val="left"/>
    </w:lvl>
  </w:abstractNum>
  <w:abstractNum w:abstractNumId="13">
    <w:nsid w:val="6047D57E"/>
    <w:multiLevelType w:val="singleLevel"/>
    <w:tmpl w:val="6047D57E"/>
    <w:lvl w:ilvl="0" w:tentative="0">
      <w:start w:val="1"/>
      <w:numFmt w:val="decimal"/>
      <w:suff w:val="nothing"/>
      <w:lvlText w:val="%1、"/>
      <w:lvlJc w:val="left"/>
    </w:lvl>
  </w:abstractNum>
  <w:abstractNum w:abstractNumId="14">
    <w:nsid w:val="7721298D"/>
    <w:multiLevelType w:val="singleLevel"/>
    <w:tmpl w:val="7721298D"/>
    <w:lvl w:ilvl="0" w:tentative="0">
      <w:start w:val="19"/>
      <w:numFmt w:val="decimal"/>
      <w:suff w:val="nothing"/>
      <w:lvlText w:val="%1、"/>
      <w:lvlJc w:val="left"/>
    </w:lvl>
  </w:abstractNum>
  <w:num w:numId="1">
    <w:abstractNumId w:val="10"/>
  </w:num>
  <w:num w:numId="2">
    <w:abstractNumId w:val="9"/>
  </w:num>
  <w:num w:numId="3">
    <w:abstractNumId w:val="0"/>
  </w:num>
  <w:num w:numId="4">
    <w:abstractNumId w:val="1"/>
  </w:num>
  <w:num w:numId="5">
    <w:abstractNumId w:val="2"/>
  </w:num>
  <w:num w:numId="6">
    <w:abstractNumId w:val="3"/>
  </w:num>
  <w:num w:numId="7">
    <w:abstractNumId w:val="13"/>
  </w:num>
  <w:num w:numId="8">
    <w:abstractNumId w:val="11"/>
  </w:num>
  <w:num w:numId="9">
    <w:abstractNumId w:val="8"/>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5"/>
  </w:num>
  <w:num w:numId="13">
    <w:abstractNumId w:val="4"/>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BookNames" w:val="year1_2;filetype1_2"/>
    <w:docVar w:name="commondata" w:val="eyJoZGlkIjoiYjI1YWQwMzdhODcxZTQ3NmQxZjc4MmViYmNiZmRhYjE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3729"/>
    <w:rsid w:val="00034874"/>
    <w:rsid w:val="00042B93"/>
    <w:rsid w:val="0005086F"/>
    <w:rsid w:val="000565F3"/>
    <w:rsid w:val="000607AB"/>
    <w:rsid w:val="000645F8"/>
    <w:rsid w:val="00073F51"/>
    <w:rsid w:val="0007667B"/>
    <w:rsid w:val="00081874"/>
    <w:rsid w:val="00093288"/>
    <w:rsid w:val="000978F2"/>
    <w:rsid w:val="000C2335"/>
    <w:rsid w:val="000E299C"/>
    <w:rsid w:val="000E2EF2"/>
    <w:rsid w:val="000E6422"/>
    <w:rsid w:val="000F61F1"/>
    <w:rsid w:val="001017FB"/>
    <w:rsid w:val="001153A2"/>
    <w:rsid w:val="001154D3"/>
    <w:rsid w:val="00132E6B"/>
    <w:rsid w:val="00133348"/>
    <w:rsid w:val="00141DD3"/>
    <w:rsid w:val="0014669A"/>
    <w:rsid w:val="001562EE"/>
    <w:rsid w:val="001622DF"/>
    <w:rsid w:val="00172A27"/>
    <w:rsid w:val="00176B49"/>
    <w:rsid w:val="00181FB8"/>
    <w:rsid w:val="00183EAB"/>
    <w:rsid w:val="001930B9"/>
    <w:rsid w:val="00196F1D"/>
    <w:rsid w:val="001B6E27"/>
    <w:rsid w:val="001B7B67"/>
    <w:rsid w:val="001C7E22"/>
    <w:rsid w:val="001D08EE"/>
    <w:rsid w:val="001E27CF"/>
    <w:rsid w:val="001E5C3E"/>
    <w:rsid w:val="001E5ECD"/>
    <w:rsid w:val="00212D97"/>
    <w:rsid w:val="00213100"/>
    <w:rsid w:val="00221CF2"/>
    <w:rsid w:val="002265DA"/>
    <w:rsid w:val="00236F73"/>
    <w:rsid w:val="00242FD9"/>
    <w:rsid w:val="0024524B"/>
    <w:rsid w:val="00255D48"/>
    <w:rsid w:val="0026234F"/>
    <w:rsid w:val="00276C50"/>
    <w:rsid w:val="002802D3"/>
    <w:rsid w:val="00294282"/>
    <w:rsid w:val="00295392"/>
    <w:rsid w:val="002A0DB7"/>
    <w:rsid w:val="002B12A3"/>
    <w:rsid w:val="002B4957"/>
    <w:rsid w:val="002D409E"/>
    <w:rsid w:val="0030635A"/>
    <w:rsid w:val="00307A3F"/>
    <w:rsid w:val="003223DA"/>
    <w:rsid w:val="00340C1B"/>
    <w:rsid w:val="00340F4E"/>
    <w:rsid w:val="00360140"/>
    <w:rsid w:val="00363FDC"/>
    <w:rsid w:val="0036734A"/>
    <w:rsid w:val="003917A6"/>
    <w:rsid w:val="00396FDF"/>
    <w:rsid w:val="003A1EDA"/>
    <w:rsid w:val="003E2EA5"/>
    <w:rsid w:val="003E5456"/>
    <w:rsid w:val="003F3554"/>
    <w:rsid w:val="003F71D5"/>
    <w:rsid w:val="00416EFF"/>
    <w:rsid w:val="00426631"/>
    <w:rsid w:val="004354CA"/>
    <w:rsid w:val="00466506"/>
    <w:rsid w:val="004944E0"/>
    <w:rsid w:val="004A0DD6"/>
    <w:rsid w:val="004A38EC"/>
    <w:rsid w:val="004C77F7"/>
    <w:rsid w:val="004D4017"/>
    <w:rsid w:val="004E056B"/>
    <w:rsid w:val="004E538E"/>
    <w:rsid w:val="005038A5"/>
    <w:rsid w:val="005060B0"/>
    <w:rsid w:val="00577F5D"/>
    <w:rsid w:val="0058089C"/>
    <w:rsid w:val="005948AE"/>
    <w:rsid w:val="00595B81"/>
    <w:rsid w:val="005B1D28"/>
    <w:rsid w:val="005C37EE"/>
    <w:rsid w:val="005C398D"/>
    <w:rsid w:val="005C453E"/>
    <w:rsid w:val="005E0217"/>
    <w:rsid w:val="005E2E4A"/>
    <w:rsid w:val="005E36F1"/>
    <w:rsid w:val="005F20F0"/>
    <w:rsid w:val="0060501F"/>
    <w:rsid w:val="00612103"/>
    <w:rsid w:val="006324FE"/>
    <w:rsid w:val="00632C6C"/>
    <w:rsid w:val="00646903"/>
    <w:rsid w:val="00663051"/>
    <w:rsid w:val="00665A78"/>
    <w:rsid w:val="006706F8"/>
    <w:rsid w:val="00674989"/>
    <w:rsid w:val="006828B1"/>
    <w:rsid w:val="006C1676"/>
    <w:rsid w:val="006D1330"/>
    <w:rsid w:val="006D2415"/>
    <w:rsid w:val="006D3CED"/>
    <w:rsid w:val="006F153C"/>
    <w:rsid w:val="006F7F1D"/>
    <w:rsid w:val="007021E9"/>
    <w:rsid w:val="00745E6E"/>
    <w:rsid w:val="007535AD"/>
    <w:rsid w:val="00753959"/>
    <w:rsid w:val="00754196"/>
    <w:rsid w:val="00761883"/>
    <w:rsid w:val="0078328F"/>
    <w:rsid w:val="007855B6"/>
    <w:rsid w:val="007873F4"/>
    <w:rsid w:val="007876C8"/>
    <w:rsid w:val="007D1EEB"/>
    <w:rsid w:val="0085421E"/>
    <w:rsid w:val="00857DAC"/>
    <w:rsid w:val="00867938"/>
    <w:rsid w:val="0088046F"/>
    <w:rsid w:val="00886A28"/>
    <w:rsid w:val="0089331F"/>
    <w:rsid w:val="008A4A5E"/>
    <w:rsid w:val="008D2667"/>
    <w:rsid w:val="00922EAE"/>
    <w:rsid w:val="00941F87"/>
    <w:rsid w:val="0095145B"/>
    <w:rsid w:val="0095385A"/>
    <w:rsid w:val="009748BB"/>
    <w:rsid w:val="00977202"/>
    <w:rsid w:val="009C63F8"/>
    <w:rsid w:val="009D05D1"/>
    <w:rsid w:val="009D438C"/>
    <w:rsid w:val="009D6193"/>
    <w:rsid w:val="009F3FA7"/>
    <w:rsid w:val="00A026AF"/>
    <w:rsid w:val="00A0669F"/>
    <w:rsid w:val="00A16618"/>
    <w:rsid w:val="00A238A8"/>
    <w:rsid w:val="00A25A36"/>
    <w:rsid w:val="00A43BD8"/>
    <w:rsid w:val="00A43F2E"/>
    <w:rsid w:val="00A86A7F"/>
    <w:rsid w:val="00A92A1A"/>
    <w:rsid w:val="00AA2BC6"/>
    <w:rsid w:val="00AB1DF4"/>
    <w:rsid w:val="00AC1214"/>
    <w:rsid w:val="00AF4C8B"/>
    <w:rsid w:val="00AF5BD2"/>
    <w:rsid w:val="00AF734F"/>
    <w:rsid w:val="00B0058D"/>
    <w:rsid w:val="00B30B08"/>
    <w:rsid w:val="00B72A31"/>
    <w:rsid w:val="00B951E3"/>
    <w:rsid w:val="00BA414D"/>
    <w:rsid w:val="00BA7F3D"/>
    <w:rsid w:val="00BB2364"/>
    <w:rsid w:val="00BC14DD"/>
    <w:rsid w:val="00BC2A10"/>
    <w:rsid w:val="00BD2D62"/>
    <w:rsid w:val="00BF45DE"/>
    <w:rsid w:val="00BF49E8"/>
    <w:rsid w:val="00C16677"/>
    <w:rsid w:val="00C250A9"/>
    <w:rsid w:val="00C400C7"/>
    <w:rsid w:val="00C50749"/>
    <w:rsid w:val="00C61BD8"/>
    <w:rsid w:val="00C62E44"/>
    <w:rsid w:val="00C91E26"/>
    <w:rsid w:val="00CC6E54"/>
    <w:rsid w:val="00CF49EB"/>
    <w:rsid w:val="00CF54EC"/>
    <w:rsid w:val="00CF721B"/>
    <w:rsid w:val="00CF7D2C"/>
    <w:rsid w:val="00D11129"/>
    <w:rsid w:val="00D12086"/>
    <w:rsid w:val="00D12C0A"/>
    <w:rsid w:val="00D2020D"/>
    <w:rsid w:val="00D272EA"/>
    <w:rsid w:val="00D54744"/>
    <w:rsid w:val="00D60942"/>
    <w:rsid w:val="00D7344E"/>
    <w:rsid w:val="00D738DD"/>
    <w:rsid w:val="00D842E3"/>
    <w:rsid w:val="00DA6CEF"/>
    <w:rsid w:val="00DC3A68"/>
    <w:rsid w:val="00DC4202"/>
    <w:rsid w:val="00DC79A7"/>
    <w:rsid w:val="00DD27F6"/>
    <w:rsid w:val="00DE3512"/>
    <w:rsid w:val="00DE686E"/>
    <w:rsid w:val="00DF0603"/>
    <w:rsid w:val="00E42854"/>
    <w:rsid w:val="00E456DA"/>
    <w:rsid w:val="00E46AA6"/>
    <w:rsid w:val="00E63787"/>
    <w:rsid w:val="00E655CE"/>
    <w:rsid w:val="00E677E8"/>
    <w:rsid w:val="00E72BF4"/>
    <w:rsid w:val="00E87E93"/>
    <w:rsid w:val="00EA597D"/>
    <w:rsid w:val="00EB1159"/>
    <w:rsid w:val="00EC75B9"/>
    <w:rsid w:val="00ED778D"/>
    <w:rsid w:val="00F10207"/>
    <w:rsid w:val="00F20F04"/>
    <w:rsid w:val="00F22EA2"/>
    <w:rsid w:val="00F7057C"/>
    <w:rsid w:val="00F71896"/>
    <w:rsid w:val="00FA178C"/>
    <w:rsid w:val="00FA5B3F"/>
    <w:rsid w:val="00FD51BE"/>
    <w:rsid w:val="00FE39F3"/>
    <w:rsid w:val="011C4E4A"/>
    <w:rsid w:val="013D0551"/>
    <w:rsid w:val="01403DD5"/>
    <w:rsid w:val="014922A8"/>
    <w:rsid w:val="016638E5"/>
    <w:rsid w:val="018C4316"/>
    <w:rsid w:val="01AE692A"/>
    <w:rsid w:val="01C14B70"/>
    <w:rsid w:val="01CA24CA"/>
    <w:rsid w:val="01E6062A"/>
    <w:rsid w:val="01EB595B"/>
    <w:rsid w:val="01F9274C"/>
    <w:rsid w:val="01FB23CB"/>
    <w:rsid w:val="021B2746"/>
    <w:rsid w:val="023006A7"/>
    <w:rsid w:val="0239483A"/>
    <w:rsid w:val="0255183C"/>
    <w:rsid w:val="025F5C4A"/>
    <w:rsid w:val="026268F8"/>
    <w:rsid w:val="027A460B"/>
    <w:rsid w:val="027D4F23"/>
    <w:rsid w:val="02831273"/>
    <w:rsid w:val="02BB280A"/>
    <w:rsid w:val="02C14B55"/>
    <w:rsid w:val="02C37C16"/>
    <w:rsid w:val="02C85C6E"/>
    <w:rsid w:val="03001C79"/>
    <w:rsid w:val="03072104"/>
    <w:rsid w:val="032F5A51"/>
    <w:rsid w:val="03653312"/>
    <w:rsid w:val="03811D99"/>
    <w:rsid w:val="038A08A0"/>
    <w:rsid w:val="03926FEA"/>
    <w:rsid w:val="039316AA"/>
    <w:rsid w:val="03B50904"/>
    <w:rsid w:val="03B84CAB"/>
    <w:rsid w:val="03D4133A"/>
    <w:rsid w:val="03D512B8"/>
    <w:rsid w:val="03E06D69"/>
    <w:rsid w:val="03E11169"/>
    <w:rsid w:val="03F11C32"/>
    <w:rsid w:val="03FD7EEE"/>
    <w:rsid w:val="041A4E47"/>
    <w:rsid w:val="041B03B1"/>
    <w:rsid w:val="042B4EFB"/>
    <w:rsid w:val="04361208"/>
    <w:rsid w:val="043B5968"/>
    <w:rsid w:val="044A7508"/>
    <w:rsid w:val="046E3ED2"/>
    <w:rsid w:val="047240D9"/>
    <w:rsid w:val="04740F72"/>
    <w:rsid w:val="048B67F2"/>
    <w:rsid w:val="04937E91"/>
    <w:rsid w:val="04D0657A"/>
    <w:rsid w:val="04D40DD7"/>
    <w:rsid w:val="04E10040"/>
    <w:rsid w:val="04FE3CBD"/>
    <w:rsid w:val="05360DAA"/>
    <w:rsid w:val="0539061F"/>
    <w:rsid w:val="05470FA1"/>
    <w:rsid w:val="056D0BAD"/>
    <w:rsid w:val="0570657B"/>
    <w:rsid w:val="05AA08B9"/>
    <w:rsid w:val="05AC7B3F"/>
    <w:rsid w:val="05AE4B27"/>
    <w:rsid w:val="05C631B5"/>
    <w:rsid w:val="05CA2975"/>
    <w:rsid w:val="05F73ED5"/>
    <w:rsid w:val="05FB28DB"/>
    <w:rsid w:val="06175C5C"/>
    <w:rsid w:val="061A4B16"/>
    <w:rsid w:val="062D43AF"/>
    <w:rsid w:val="0647337D"/>
    <w:rsid w:val="064733E5"/>
    <w:rsid w:val="06603905"/>
    <w:rsid w:val="066B7191"/>
    <w:rsid w:val="067611B1"/>
    <w:rsid w:val="067D5101"/>
    <w:rsid w:val="069408DC"/>
    <w:rsid w:val="069E1EDD"/>
    <w:rsid w:val="06A5364A"/>
    <w:rsid w:val="06AC3EBC"/>
    <w:rsid w:val="06BA1A15"/>
    <w:rsid w:val="06D303C0"/>
    <w:rsid w:val="06D825EF"/>
    <w:rsid w:val="06DD39BC"/>
    <w:rsid w:val="06E04599"/>
    <w:rsid w:val="06F44178"/>
    <w:rsid w:val="071B3E00"/>
    <w:rsid w:val="071E78C2"/>
    <w:rsid w:val="07357DC5"/>
    <w:rsid w:val="073F033F"/>
    <w:rsid w:val="073F6197"/>
    <w:rsid w:val="07502D39"/>
    <w:rsid w:val="07557695"/>
    <w:rsid w:val="075A3B1D"/>
    <w:rsid w:val="0766313B"/>
    <w:rsid w:val="078700D4"/>
    <w:rsid w:val="079176BC"/>
    <w:rsid w:val="079362CC"/>
    <w:rsid w:val="0795509E"/>
    <w:rsid w:val="079B47D6"/>
    <w:rsid w:val="07AF7441"/>
    <w:rsid w:val="07E32B27"/>
    <w:rsid w:val="07E33757"/>
    <w:rsid w:val="07E61182"/>
    <w:rsid w:val="07EA37C0"/>
    <w:rsid w:val="0805741E"/>
    <w:rsid w:val="081B7EE1"/>
    <w:rsid w:val="081D0F7A"/>
    <w:rsid w:val="08344B05"/>
    <w:rsid w:val="083A0258"/>
    <w:rsid w:val="08492802"/>
    <w:rsid w:val="084B6B2C"/>
    <w:rsid w:val="08A34DB8"/>
    <w:rsid w:val="08A453C3"/>
    <w:rsid w:val="08F12939"/>
    <w:rsid w:val="08F559EF"/>
    <w:rsid w:val="09143F49"/>
    <w:rsid w:val="091D6C80"/>
    <w:rsid w:val="09224EDB"/>
    <w:rsid w:val="092B1819"/>
    <w:rsid w:val="092E6516"/>
    <w:rsid w:val="0930416B"/>
    <w:rsid w:val="0932696F"/>
    <w:rsid w:val="0942133E"/>
    <w:rsid w:val="0949718A"/>
    <w:rsid w:val="095C7868"/>
    <w:rsid w:val="09603FDF"/>
    <w:rsid w:val="097430E9"/>
    <w:rsid w:val="09A97404"/>
    <w:rsid w:val="09B86E7F"/>
    <w:rsid w:val="09D11FA7"/>
    <w:rsid w:val="09DF2129"/>
    <w:rsid w:val="09E9581F"/>
    <w:rsid w:val="09EF6FD9"/>
    <w:rsid w:val="0A056F7E"/>
    <w:rsid w:val="0A216696"/>
    <w:rsid w:val="0A261FCD"/>
    <w:rsid w:val="0A3E0B69"/>
    <w:rsid w:val="0A5115FC"/>
    <w:rsid w:val="0A7D777E"/>
    <w:rsid w:val="0A88027D"/>
    <w:rsid w:val="0A937FFC"/>
    <w:rsid w:val="0A9877F2"/>
    <w:rsid w:val="0A9B24C4"/>
    <w:rsid w:val="0AA97A8C"/>
    <w:rsid w:val="0AAC0A11"/>
    <w:rsid w:val="0AAD3F32"/>
    <w:rsid w:val="0AB8292C"/>
    <w:rsid w:val="0ABA6E40"/>
    <w:rsid w:val="0AC959B0"/>
    <w:rsid w:val="0B002699"/>
    <w:rsid w:val="0B030D9D"/>
    <w:rsid w:val="0B0F4EB2"/>
    <w:rsid w:val="0B145A0F"/>
    <w:rsid w:val="0B356498"/>
    <w:rsid w:val="0B380146"/>
    <w:rsid w:val="0B45790A"/>
    <w:rsid w:val="0B4F55D7"/>
    <w:rsid w:val="0B6B16E2"/>
    <w:rsid w:val="0BBB537E"/>
    <w:rsid w:val="0BE20F7C"/>
    <w:rsid w:val="0C0449AF"/>
    <w:rsid w:val="0C062446"/>
    <w:rsid w:val="0C0D15D3"/>
    <w:rsid w:val="0C0F2856"/>
    <w:rsid w:val="0C563E8F"/>
    <w:rsid w:val="0C5806CC"/>
    <w:rsid w:val="0C5C000F"/>
    <w:rsid w:val="0C882C2F"/>
    <w:rsid w:val="0CAE6EDD"/>
    <w:rsid w:val="0CAF5F52"/>
    <w:rsid w:val="0CB023E0"/>
    <w:rsid w:val="0CB17E61"/>
    <w:rsid w:val="0CB5115D"/>
    <w:rsid w:val="0CBC03F1"/>
    <w:rsid w:val="0CC12F6C"/>
    <w:rsid w:val="0CDF5842"/>
    <w:rsid w:val="0CE95A3D"/>
    <w:rsid w:val="0CF674D7"/>
    <w:rsid w:val="0D164AED"/>
    <w:rsid w:val="0D2036CC"/>
    <w:rsid w:val="0D3835BD"/>
    <w:rsid w:val="0D533E18"/>
    <w:rsid w:val="0D544DED"/>
    <w:rsid w:val="0D5F188B"/>
    <w:rsid w:val="0D705DB5"/>
    <w:rsid w:val="0D7F708F"/>
    <w:rsid w:val="0DA64B5E"/>
    <w:rsid w:val="0DD34558"/>
    <w:rsid w:val="0DE9373B"/>
    <w:rsid w:val="0DEC5927"/>
    <w:rsid w:val="0E09339B"/>
    <w:rsid w:val="0E104561"/>
    <w:rsid w:val="0E233471"/>
    <w:rsid w:val="0E2C21E4"/>
    <w:rsid w:val="0E3B52DE"/>
    <w:rsid w:val="0E53523E"/>
    <w:rsid w:val="0E545297"/>
    <w:rsid w:val="0E5F7F76"/>
    <w:rsid w:val="0EA5017C"/>
    <w:rsid w:val="0EC82A4F"/>
    <w:rsid w:val="0ECF103B"/>
    <w:rsid w:val="0EFA142A"/>
    <w:rsid w:val="0F02074E"/>
    <w:rsid w:val="0F220B5F"/>
    <w:rsid w:val="0F2A39ED"/>
    <w:rsid w:val="0F564BF2"/>
    <w:rsid w:val="0F59642D"/>
    <w:rsid w:val="0F870025"/>
    <w:rsid w:val="0F8745AE"/>
    <w:rsid w:val="0F941CD9"/>
    <w:rsid w:val="0FA04CB1"/>
    <w:rsid w:val="0FBE4261"/>
    <w:rsid w:val="0FDA030E"/>
    <w:rsid w:val="0FFC1B47"/>
    <w:rsid w:val="103A342F"/>
    <w:rsid w:val="103A5325"/>
    <w:rsid w:val="10401E6C"/>
    <w:rsid w:val="10615E64"/>
    <w:rsid w:val="1076268B"/>
    <w:rsid w:val="108846C8"/>
    <w:rsid w:val="10946843"/>
    <w:rsid w:val="10A2368F"/>
    <w:rsid w:val="10C1524F"/>
    <w:rsid w:val="10DA460D"/>
    <w:rsid w:val="110A6481"/>
    <w:rsid w:val="112E5DD8"/>
    <w:rsid w:val="112F02CD"/>
    <w:rsid w:val="11313225"/>
    <w:rsid w:val="11593E0D"/>
    <w:rsid w:val="116936BC"/>
    <w:rsid w:val="116B57B4"/>
    <w:rsid w:val="11A60E3B"/>
    <w:rsid w:val="11A631C5"/>
    <w:rsid w:val="11B67C1F"/>
    <w:rsid w:val="11BD17A8"/>
    <w:rsid w:val="11CE6759"/>
    <w:rsid w:val="11E7715B"/>
    <w:rsid w:val="11FA3C58"/>
    <w:rsid w:val="123136DA"/>
    <w:rsid w:val="1249683B"/>
    <w:rsid w:val="126A263B"/>
    <w:rsid w:val="127C3928"/>
    <w:rsid w:val="12817F90"/>
    <w:rsid w:val="128C30FA"/>
    <w:rsid w:val="12B1333A"/>
    <w:rsid w:val="12B40F35"/>
    <w:rsid w:val="12BD714C"/>
    <w:rsid w:val="12BE6DCC"/>
    <w:rsid w:val="12C67A5C"/>
    <w:rsid w:val="12F560D3"/>
    <w:rsid w:val="13116BD7"/>
    <w:rsid w:val="13215AA1"/>
    <w:rsid w:val="13403EA3"/>
    <w:rsid w:val="1345328C"/>
    <w:rsid w:val="134A3454"/>
    <w:rsid w:val="134F0DA1"/>
    <w:rsid w:val="13616DE6"/>
    <w:rsid w:val="13694000"/>
    <w:rsid w:val="136E42FE"/>
    <w:rsid w:val="13755637"/>
    <w:rsid w:val="13CB4C46"/>
    <w:rsid w:val="13DC3D21"/>
    <w:rsid w:val="13E70CA6"/>
    <w:rsid w:val="13EF5201"/>
    <w:rsid w:val="13FA4473"/>
    <w:rsid w:val="140164DF"/>
    <w:rsid w:val="14126F1F"/>
    <w:rsid w:val="141512D0"/>
    <w:rsid w:val="14266C2B"/>
    <w:rsid w:val="1455273B"/>
    <w:rsid w:val="14605F6D"/>
    <w:rsid w:val="14613CE0"/>
    <w:rsid w:val="146B5B8E"/>
    <w:rsid w:val="146D5CB2"/>
    <w:rsid w:val="14831037"/>
    <w:rsid w:val="14876DE3"/>
    <w:rsid w:val="149A54DE"/>
    <w:rsid w:val="14A37A27"/>
    <w:rsid w:val="14A779A2"/>
    <w:rsid w:val="14AF0520"/>
    <w:rsid w:val="14BD12F6"/>
    <w:rsid w:val="14BD2115"/>
    <w:rsid w:val="14D3661F"/>
    <w:rsid w:val="14D633C7"/>
    <w:rsid w:val="15051A6F"/>
    <w:rsid w:val="15366197"/>
    <w:rsid w:val="153C1BD6"/>
    <w:rsid w:val="15490BFB"/>
    <w:rsid w:val="155A5748"/>
    <w:rsid w:val="155C20A7"/>
    <w:rsid w:val="15634C16"/>
    <w:rsid w:val="157D368F"/>
    <w:rsid w:val="15987458"/>
    <w:rsid w:val="159D274F"/>
    <w:rsid w:val="15A4110E"/>
    <w:rsid w:val="15A549E6"/>
    <w:rsid w:val="15CD1422"/>
    <w:rsid w:val="15DA63FA"/>
    <w:rsid w:val="15DC4AEB"/>
    <w:rsid w:val="15E30295"/>
    <w:rsid w:val="15E9694E"/>
    <w:rsid w:val="15EE2487"/>
    <w:rsid w:val="15F3690F"/>
    <w:rsid w:val="15F65679"/>
    <w:rsid w:val="16281367"/>
    <w:rsid w:val="16294BEB"/>
    <w:rsid w:val="163A1680"/>
    <w:rsid w:val="16591BE3"/>
    <w:rsid w:val="166C6BAA"/>
    <w:rsid w:val="166F3635"/>
    <w:rsid w:val="16826719"/>
    <w:rsid w:val="16BE2337"/>
    <w:rsid w:val="16C005E1"/>
    <w:rsid w:val="16C16063"/>
    <w:rsid w:val="16C8346F"/>
    <w:rsid w:val="16CD4FED"/>
    <w:rsid w:val="16F4327F"/>
    <w:rsid w:val="17232884"/>
    <w:rsid w:val="17414AAB"/>
    <w:rsid w:val="175262F2"/>
    <w:rsid w:val="1753596F"/>
    <w:rsid w:val="17580AD1"/>
    <w:rsid w:val="17756E0B"/>
    <w:rsid w:val="17B435B8"/>
    <w:rsid w:val="17C00667"/>
    <w:rsid w:val="17E93546"/>
    <w:rsid w:val="18014470"/>
    <w:rsid w:val="18286A71"/>
    <w:rsid w:val="182C45F3"/>
    <w:rsid w:val="18400311"/>
    <w:rsid w:val="185C1CA8"/>
    <w:rsid w:val="18713E11"/>
    <w:rsid w:val="187D0BB4"/>
    <w:rsid w:val="18815E05"/>
    <w:rsid w:val="188E5359"/>
    <w:rsid w:val="18A54F7E"/>
    <w:rsid w:val="18B22F8F"/>
    <w:rsid w:val="18DD095C"/>
    <w:rsid w:val="1909398F"/>
    <w:rsid w:val="191B713B"/>
    <w:rsid w:val="191D60F2"/>
    <w:rsid w:val="1940022E"/>
    <w:rsid w:val="196D3033"/>
    <w:rsid w:val="197106FD"/>
    <w:rsid w:val="19AB5862"/>
    <w:rsid w:val="19BC6971"/>
    <w:rsid w:val="19C85459"/>
    <w:rsid w:val="19CB4D61"/>
    <w:rsid w:val="19CD1BCF"/>
    <w:rsid w:val="19CE3D2F"/>
    <w:rsid w:val="1A06346A"/>
    <w:rsid w:val="1A135155"/>
    <w:rsid w:val="1A137378"/>
    <w:rsid w:val="1A153D8B"/>
    <w:rsid w:val="1A1A5B03"/>
    <w:rsid w:val="1A4A6A53"/>
    <w:rsid w:val="1A532241"/>
    <w:rsid w:val="1A61013B"/>
    <w:rsid w:val="1A947059"/>
    <w:rsid w:val="1A9F030B"/>
    <w:rsid w:val="1AA603B6"/>
    <w:rsid w:val="1ABF1CEA"/>
    <w:rsid w:val="1AC56AF5"/>
    <w:rsid w:val="1ACA5F38"/>
    <w:rsid w:val="1AD118AD"/>
    <w:rsid w:val="1AE16AA7"/>
    <w:rsid w:val="1AE43ED8"/>
    <w:rsid w:val="1AFC50D3"/>
    <w:rsid w:val="1B00553C"/>
    <w:rsid w:val="1B020FE2"/>
    <w:rsid w:val="1B325C0B"/>
    <w:rsid w:val="1B3B311E"/>
    <w:rsid w:val="1B6816C5"/>
    <w:rsid w:val="1B783F28"/>
    <w:rsid w:val="1B9F67D4"/>
    <w:rsid w:val="1BBD32C4"/>
    <w:rsid w:val="1BBD479F"/>
    <w:rsid w:val="1BC225A9"/>
    <w:rsid w:val="1BE55262"/>
    <w:rsid w:val="1BE608D3"/>
    <w:rsid w:val="1C024980"/>
    <w:rsid w:val="1C155A34"/>
    <w:rsid w:val="1C3D34E0"/>
    <w:rsid w:val="1C515FF8"/>
    <w:rsid w:val="1C787E02"/>
    <w:rsid w:val="1C8152B0"/>
    <w:rsid w:val="1C855C26"/>
    <w:rsid w:val="1CB0381F"/>
    <w:rsid w:val="1CB07F9C"/>
    <w:rsid w:val="1CBA5CE0"/>
    <w:rsid w:val="1CC77E16"/>
    <w:rsid w:val="1CD501DC"/>
    <w:rsid w:val="1CF27B0C"/>
    <w:rsid w:val="1CF63F94"/>
    <w:rsid w:val="1D073B79"/>
    <w:rsid w:val="1D0B4105"/>
    <w:rsid w:val="1D1A544D"/>
    <w:rsid w:val="1D214C55"/>
    <w:rsid w:val="1D40568D"/>
    <w:rsid w:val="1D5752B2"/>
    <w:rsid w:val="1D704503"/>
    <w:rsid w:val="1D803838"/>
    <w:rsid w:val="1D955020"/>
    <w:rsid w:val="1D965D9A"/>
    <w:rsid w:val="1DB1563A"/>
    <w:rsid w:val="1DB765D0"/>
    <w:rsid w:val="1E1D17F8"/>
    <w:rsid w:val="1E30136E"/>
    <w:rsid w:val="1E310498"/>
    <w:rsid w:val="1E4A4132"/>
    <w:rsid w:val="1E5E47E0"/>
    <w:rsid w:val="1E75718F"/>
    <w:rsid w:val="1E7E0A43"/>
    <w:rsid w:val="1E8767A7"/>
    <w:rsid w:val="1EA2166E"/>
    <w:rsid w:val="1EA44F54"/>
    <w:rsid w:val="1EA638ED"/>
    <w:rsid w:val="1EB31F6D"/>
    <w:rsid w:val="1EB94E31"/>
    <w:rsid w:val="1ED16D1D"/>
    <w:rsid w:val="1EDD1612"/>
    <w:rsid w:val="1EEA63E7"/>
    <w:rsid w:val="1EEF4083"/>
    <w:rsid w:val="1EF1200F"/>
    <w:rsid w:val="1F135208"/>
    <w:rsid w:val="1F3C0AC6"/>
    <w:rsid w:val="1F4202D5"/>
    <w:rsid w:val="1F4B0BE5"/>
    <w:rsid w:val="1F6D241E"/>
    <w:rsid w:val="1F7A702C"/>
    <w:rsid w:val="1FAC1F03"/>
    <w:rsid w:val="1FAC644F"/>
    <w:rsid w:val="1FBF00CD"/>
    <w:rsid w:val="1FF30BE6"/>
    <w:rsid w:val="1FF448B8"/>
    <w:rsid w:val="1FFB58CE"/>
    <w:rsid w:val="2063321F"/>
    <w:rsid w:val="207D1F99"/>
    <w:rsid w:val="208366E3"/>
    <w:rsid w:val="20887A0E"/>
    <w:rsid w:val="20A07C46"/>
    <w:rsid w:val="20A43A84"/>
    <w:rsid w:val="20B117B1"/>
    <w:rsid w:val="20EF0225"/>
    <w:rsid w:val="20FE7517"/>
    <w:rsid w:val="2131404A"/>
    <w:rsid w:val="21380790"/>
    <w:rsid w:val="2150026D"/>
    <w:rsid w:val="21561723"/>
    <w:rsid w:val="215D13F0"/>
    <w:rsid w:val="216072BD"/>
    <w:rsid w:val="218B0B78"/>
    <w:rsid w:val="219F5BB6"/>
    <w:rsid w:val="21A73C7F"/>
    <w:rsid w:val="21AC4ECC"/>
    <w:rsid w:val="21AF5E51"/>
    <w:rsid w:val="21C03222"/>
    <w:rsid w:val="22087046"/>
    <w:rsid w:val="221327CF"/>
    <w:rsid w:val="22181FFD"/>
    <w:rsid w:val="22462DE3"/>
    <w:rsid w:val="225D50DA"/>
    <w:rsid w:val="22680897"/>
    <w:rsid w:val="227A1C48"/>
    <w:rsid w:val="22BC1649"/>
    <w:rsid w:val="22D1722D"/>
    <w:rsid w:val="22D248B2"/>
    <w:rsid w:val="22FB0071"/>
    <w:rsid w:val="22FE6DF7"/>
    <w:rsid w:val="23073FD8"/>
    <w:rsid w:val="230A011E"/>
    <w:rsid w:val="231C43BD"/>
    <w:rsid w:val="232A34BF"/>
    <w:rsid w:val="23352B9A"/>
    <w:rsid w:val="23393FB0"/>
    <w:rsid w:val="23424069"/>
    <w:rsid w:val="236427ED"/>
    <w:rsid w:val="237A41C3"/>
    <w:rsid w:val="23A60BF2"/>
    <w:rsid w:val="23AE5916"/>
    <w:rsid w:val="23B21D9E"/>
    <w:rsid w:val="23B35750"/>
    <w:rsid w:val="23C63388"/>
    <w:rsid w:val="23E3036F"/>
    <w:rsid w:val="23F10C79"/>
    <w:rsid w:val="23FA1A88"/>
    <w:rsid w:val="23FA7F94"/>
    <w:rsid w:val="241F5EC5"/>
    <w:rsid w:val="242235D2"/>
    <w:rsid w:val="24237CFE"/>
    <w:rsid w:val="24286B52"/>
    <w:rsid w:val="24404E85"/>
    <w:rsid w:val="24537C79"/>
    <w:rsid w:val="24602299"/>
    <w:rsid w:val="24665F7B"/>
    <w:rsid w:val="24A021BF"/>
    <w:rsid w:val="24A061A3"/>
    <w:rsid w:val="24A41DF3"/>
    <w:rsid w:val="24B74DFE"/>
    <w:rsid w:val="24F15715"/>
    <w:rsid w:val="25170A64"/>
    <w:rsid w:val="25251422"/>
    <w:rsid w:val="25446CB1"/>
    <w:rsid w:val="25702FF9"/>
    <w:rsid w:val="258A70DA"/>
    <w:rsid w:val="25963238"/>
    <w:rsid w:val="25D42F86"/>
    <w:rsid w:val="25D761DE"/>
    <w:rsid w:val="25E22033"/>
    <w:rsid w:val="2605346E"/>
    <w:rsid w:val="261C01F5"/>
    <w:rsid w:val="261F3D78"/>
    <w:rsid w:val="2621539B"/>
    <w:rsid w:val="26230D61"/>
    <w:rsid w:val="262736D3"/>
    <w:rsid w:val="26490E0B"/>
    <w:rsid w:val="26590F8A"/>
    <w:rsid w:val="26683591"/>
    <w:rsid w:val="26697889"/>
    <w:rsid w:val="26936133"/>
    <w:rsid w:val="26BC2554"/>
    <w:rsid w:val="26C772B3"/>
    <w:rsid w:val="26D67448"/>
    <w:rsid w:val="26E044D4"/>
    <w:rsid w:val="26E85164"/>
    <w:rsid w:val="26FA47EA"/>
    <w:rsid w:val="271201A6"/>
    <w:rsid w:val="272A364F"/>
    <w:rsid w:val="274D3CA1"/>
    <w:rsid w:val="27762573"/>
    <w:rsid w:val="27775ECA"/>
    <w:rsid w:val="277E69C6"/>
    <w:rsid w:val="279852CA"/>
    <w:rsid w:val="27B70802"/>
    <w:rsid w:val="27C10CEA"/>
    <w:rsid w:val="27C943FB"/>
    <w:rsid w:val="27DB7BEF"/>
    <w:rsid w:val="27E221A8"/>
    <w:rsid w:val="27EF1D1C"/>
    <w:rsid w:val="27FD39DF"/>
    <w:rsid w:val="28017E2F"/>
    <w:rsid w:val="28061D38"/>
    <w:rsid w:val="2820795C"/>
    <w:rsid w:val="282E338D"/>
    <w:rsid w:val="2830097E"/>
    <w:rsid w:val="28760B41"/>
    <w:rsid w:val="287A7B7E"/>
    <w:rsid w:val="288E14D1"/>
    <w:rsid w:val="28987F11"/>
    <w:rsid w:val="289933AC"/>
    <w:rsid w:val="28A31FFD"/>
    <w:rsid w:val="28B94621"/>
    <w:rsid w:val="28D11361"/>
    <w:rsid w:val="28F52FE6"/>
    <w:rsid w:val="291E1C96"/>
    <w:rsid w:val="292540AD"/>
    <w:rsid w:val="292747F6"/>
    <w:rsid w:val="29610CF0"/>
    <w:rsid w:val="29833FBD"/>
    <w:rsid w:val="29842276"/>
    <w:rsid w:val="29BE6DF9"/>
    <w:rsid w:val="29C550ED"/>
    <w:rsid w:val="29DC7727"/>
    <w:rsid w:val="2A000BF9"/>
    <w:rsid w:val="2A002723"/>
    <w:rsid w:val="2A071FEF"/>
    <w:rsid w:val="2A1C1423"/>
    <w:rsid w:val="2A214F63"/>
    <w:rsid w:val="2A252C8B"/>
    <w:rsid w:val="2A3A09D3"/>
    <w:rsid w:val="2A49340C"/>
    <w:rsid w:val="2A5E4419"/>
    <w:rsid w:val="2A8E62A1"/>
    <w:rsid w:val="2A9A47E0"/>
    <w:rsid w:val="2AB276F7"/>
    <w:rsid w:val="2ABD0F93"/>
    <w:rsid w:val="2AC014CC"/>
    <w:rsid w:val="2AC40937"/>
    <w:rsid w:val="2AE06A07"/>
    <w:rsid w:val="2AE25969"/>
    <w:rsid w:val="2AF3600D"/>
    <w:rsid w:val="2AF8590E"/>
    <w:rsid w:val="2B0F7753"/>
    <w:rsid w:val="2B141BDE"/>
    <w:rsid w:val="2B444997"/>
    <w:rsid w:val="2B481AA5"/>
    <w:rsid w:val="2B754ED7"/>
    <w:rsid w:val="2B836ED3"/>
    <w:rsid w:val="2B843C38"/>
    <w:rsid w:val="2B9123EB"/>
    <w:rsid w:val="2BA91EAE"/>
    <w:rsid w:val="2BAB7D8B"/>
    <w:rsid w:val="2BB01839"/>
    <w:rsid w:val="2BB77B14"/>
    <w:rsid w:val="2BC445C2"/>
    <w:rsid w:val="2BDA7320"/>
    <w:rsid w:val="2BE13CC5"/>
    <w:rsid w:val="2BE6197E"/>
    <w:rsid w:val="2C08574B"/>
    <w:rsid w:val="2C111AF3"/>
    <w:rsid w:val="2C194DCC"/>
    <w:rsid w:val="2C32711B"/>
    <w:rsid w:val="2C4A0B21"/>
    <w:rsid w:val="2C57747C"/>
    <w:rsid w:val="2C6304CD"/>
    <w:rsid w:val="2C6C1A11"/>
    <w:rsid w:val="2C9337E9"/>
    <w:rsid w:val="2CA47A57"/>
    <w:rsid w:val="2CC04EFA"/>
    <w:rsid w:val="2CD312F7"/>
    <w:rsid w:val="2CD47877"/>
    <w:rsid w:val="2CD8794A"/>
    <w:rsid w:val="2CDD22AB"/>
    <w:rsid w:val="2CF14158"/>
    <w:rsid w:val="2D542AD1"/>
    <w:rsid w:val="2D5E7140"/>
    <w:rsid w:val="2D6A1E95"/>
    <w:rsid w:val="2D8C1AD6"/>
    <w:rsid w:val="2D9C779B"/>
    <w:rsid w:val="2DCE3DB2"/>
    <w:rsid w:val="2E0073EB"/>
    <w:rsid w:val="2E0F1B2C"/>
    <w:rsid w:val="2E275C40"/>
    <w:rsid w:val="2E386CA9"/>
    <w:rsid w:val="2E434587"/>
    <w:rsid w:val="2E4C7F04"/>
    <w:rsid w:val="2E8A6421"/>
    <w:rsid w:val="2EAA2466"/>
    <w:rsid w:val="2EF7039C"/>
    <w:rsid w:val="2F2161E0"/>
    <w:rsid w:val="2F634B73"/>
    <w:rsid w:val="2F6915D5"/>
    <w:rsid w:val="2F8C3F11"/>
    <w:rsid w:val="2F9A24B4"/>
    <w:rsid w:val="2F9D2A4F"/>
    <w:rsid w:val="2FA24459"/>
    <w:rsid w:val="2FA96F4C"/>
    <w:rsid w:val="2FC1267E"/>
    <w:rsid w:val="2FDB060F"/>
    <w:rsid w:val="2FDF0C54"/>
    <w:rsid w:val="2FE010F2"/>
    <w:rsid w:val="30180109"/>
    <w:rsid w:val="302931A8"/>
    <w:rsid w:val="302946D5"/>
    <w:rsid w:val="302A1CB4"/>
    <w:rsid w:val="302D5757"/>
    <w:rsid w:val="303423C1"/>
    <w:rsid w:val="30862FF6"/>
    <w:rsid w:val="30B04AEF"/>
    <w:rsid w:val="30B41466"/>
    <w:rsid w:val="30D065A7"/>
    <w:rsid w:val="30F545DF"/>
    <w:rsid w:val="30F80EDF"/>
    <w:rsid w:val="30FA3519"/>
    <w:rsid w:val="310B6887"/>
    <w:rsid w:val="31335F48"/>
    <w:rsid w:val="313C03FF"/>
    <w:rsid w:val="31630A2A"/>
    <w:rsid w:val="317373FF"/>
    <w:rsid w:val="31850D6A"/>
    <w:rsid w:val="31923564"/>
    <w:rsid w:val="319779EB"/>
    <w:rsid w:val="319971A1"/>
    <w:rsid w:val="319D7376"/>
    <w:rsid w:val="31A017C2"/>
    <w:rsid w:val="31A77C86"/>
    <w:rsid w:val="31B23231"/>
    <w:rsid w:val="31B54A1D"/>
    <w:rsid w:val="31C44360"/>
    <w:rsid w:val="31C547BF"/>
    <w:rsid w:val="31F445DA"/>
    <w:rsid w:val="320D07C4"/>
    <w:rsid w:val="321F7E2B"/>
    <w:rsid w:val="323A1E62"/>
    <w:rsid w:val="324167FF"/>
    <w:rsid w:val="325C699F"/>
    <w:rsid w:val="326017B2"/>
    <w:rsid w:val="32696EA6"/>
    <w:rsid w:val="3271734E"/>
    <w:rsid w:val="328A09D8"/>
    <w:rsid w:val="328A360A"/>
    <w:rsid w:val="32943DE2"/>
    <w:rsid w:val="32994C8F"/>
    <w:rsid w:val="32AF4C35"/>
    <w:rsid w:val="32C75B5F"/>
    <w:rsid w:val="32F15CEB"/>
    <w:rsid w:val="32F456AC"/>
    <w:rsid w:val="32F826CF"/>
    <w:rsid w:val="33110AF0"/>
    <w:rsid w:val="33196863"/>
    <w:rsid w:val="33463B9E"/>
    <w:rsid w:val="334E0377"/>
    <w:rsid w:val="33866E96"/>
    <w:rsid w:val="33B33968"/>
    <w:rsid w:val="33DA4730"/>
    <w:rsid w:val="33E67A6E"/>
    <w:rsid w:val="33F538A8"/>
    <w:rsid w:val="33FE2795"/>
    <w:rsid w:val="33FE365D"/>
    <w:rsid w:val="34010D5F"/>
    <w:rsid w:val="34022063"/>
    <w:rsid w:val="341E27E2"/>
    <w:rsid w:val="34290C6D"/>
    <w:rsid w:val="343018AE"/>
    <w:rsid w:val="344711FE"/>
    <w:rsid w:val="347702B5"/>
    <w:rsid w:val="34AB35B3"/>
    <w:rsid w:val="34B4557D"/>
    <w:rsid w:val="34E65B59"/>
    <w:rsid w:val="35117F50"/>
    <w:rsid w:val="352B0CD0"/>
    <w:rsid w:val="352E30B0"/>
    <w:rsid w:val="35370DDB"/>
    <w:rsid w:val="353847FC"/>
    <w:rsid w:val="356B2D42"/>
    <w:rsid w:val="356C34D3"/>
    <w:rsid w:val="35765D79"/>
    <w:rsid w:val="358974D0"/>
    <w:rsid w:val="359E1A84"/>
    <w:rsid w:val="35AC4564"/>
    <w:rsid w:val="35BD2339"/>
    <w:rsid w:val="35D56E72"/>
    <w:rsid w:val="35E21691"/>
    <w:rsid w:val="361F4DDC"/>
    <w:rsid w:val="3638534C"/>
    <w:rsid w:val="36463AD8"/>
    <w:rsid w:val="365915EC"/>
    <w:rsid w:val="36622AC7"/>
    <w:rsid w:val="366F41AC"/>
    <w:rsid w:val="36867804"/>
    <w:rsid w:val="368B3A58"/>
    <w:rsid w:val="369078C0"/>
    <w:rsid w:val="3692041D"/>
    <w:rsid w:val="369F5966"/>
    <w:rsid w:val="36A650A0"/>
    <w:rsid w:val="36AF3AB9"/>
    <w:rsid w:val="36B46F23"/>
    <w:rsid w:val="36B77FD3"/>
    <w:rsid w:val="36BC17BF"/>
    <w:rsid w:val="36D306DB"/>
    <w:rsid w:val="36DD498F"/>
    <w:rsid w:val="36E00AE7"/>
    <w:rsid w:val="36E90CED"/>
    <w:rsid w:val="36EA273A"/>
    <w:rsid w:val="36F20720"/>
    <w:rsid w:val="36FF5A0F"/>
    <w:rsid w:val="37126EBE"/>
    <w:rsid w:val="37247C7A"/>
    <w:rsid w:val="3728393C"/>
    <w:rsid w:val="37294CFB"/>
    <w:rsid w:val="374444CB"/>
    <w:rsid w:val="375F3C64"/>
    <w:rsid w:val="376D62BC"/>
    <w:rsid w:val="37A339E5"/>
    <w:rsid w:val="37AC75E6"/>
    <w:rsid w:val="37AD20FE"/>
    <w:rsid w:val="37B023BA"/>
    <w:rsid w:val="37B81356"/>
    <w:rsid w:val="37BC510A"/>
    <w:rsid w:val="37C31C07"/>
    <w:rsid w:val="37C91115"/>
    <w:rsid w:val="38186403"/>
    <w:rsid w:val="38196915"/>
    <w:rsid w:val="381F4E11"/>
    <w:rsid w:val="382D0007"/>
    <w:rsid w:val="383D1327"/>
    <w:rsid w:val="384C1DD6"/>
    <w:rsid w:val="385071B8"/>
    <w:rsid w:val="388E4794"/>
    <w:rsid w:val="38D44E43"/>
    <w:rsid w:val="38DB18A9"/>
    <w:rsid w:val="38EE3B16"/>
    <w:rsid w:val="39266E53"/>
    <w:rsid w:val="394B3B1F"/>
    <w:rsid w:val="396C04C1"/>
    <w:rsid w:val="39860813"/>
    <w:rsid w:val="39A00D1B"/>
    <w:rsid w:val="39A62C24"/>
    <w:rsid w:val="39B461E7"/>
    <w:rsid w:val="39C83836"/>
    <w:rsid w:val="39CB75E0"/>
    <w:rsid w:val="3A2172DA"/>
    <w:rsid w:val="3A282E30"/>
    <w:rsid w:val="3A3A78D9"/>
    <w:rsid w:val="3A45533A"/>
    <w:rsid w:val="3A5345B0"/>
    <w:rsid w:val="3A8418D9"/>
    <w:rsid w:val="3A856A0F"/>
    <w:rsid w:val="3A9E53BA"/>
    <w:rsid w:val="3AAE6C17"/>
    <w:rsid w:val="3AB25A08"/>
    <w:rsid w:val="3AC02961"/>
    <w:rsid w:val="3AC93CB0"/>
    <w:rsid w:val="3AD7420E"/>
    <w:rsid w:val="3ADA5C92"/>
    <w:rsid w:val="3AEB57BA"/>
    <w:rsid w:val="3AED09BD"/>
    <w:rsid w:val="3B21788B"/>
    <w:rsid w:val="3B3367A8"/>
    <w:rsid w:val="3B3C235E"/>
    <w:rsid w:val="3B3E24F7"/>
    <w:rsid w:val="3B591BE6"/>
    <w:rsid w:val="3B5B0FF1"/>
    <w:rsid w:val="3B866FF0"/>
    <w:rsid w:val="3B9802A1"/>
    <w:rsid w:val="3BAE5135"/>
    <w:rsid w:val="3BE1698B"/>
    <w:rsid w:val="3BF84AB4"/>
    <w:rsid w:val="3C022A83"/>
    <w:rsid w:val="3C1A5F11"/>
    <w:rsid w:val="3C6B6C2F"/>
    <w:rsid w:val="3C6F6A2C"/>
    <w:rsid w:val="3C73403C"/>
    <w:rsid w:val="3C7419FF"/>
    <w:rsid w:val="3C7B6ECA"/>
    <w:rsid w:val="3C8B38E1"/>
    <w:rsid w:val="3C963C27"/>
    <w:rsid w:val="3CB7554F"/>
    <w:rsid w:val="3CB934E6"/>
    <w:rsid w:val="3CC23BE0"/>
    <w:rsid w:val="3CDC2A56"/>
    <w:rsid w:val="3CED6CEC"/>
    <w:rsid w:val="3D2457CE"/>
    <w:rsid w:val="3D633FBB"/>
    <w:rsid w:val="3D8B4F9F"/>
    <w:rsid w:val="3DAA1B3A"/>
    <w:rsid w:val="3DC73669"/>
    <w:rsid w:val="3DD516A1"/>
    <w:rsid w:val="3DDC574A"/>
    <w:rsid w:val="3DDD5606"/>
    <w:rsid w:val="3DDF6FE4"/>
    <w:rsid w:val="3DE14212"/>
    <w:rsid w:val="3DE80662"/>
    <w:rsid w:val="3E013EFC"/>
    <w:rsid w:val="3E1666D0"/>
    <w:rsid w:val="3E166C6B"/>
    <w:rsid w:val="3E191DEE"/>
    <w:rsid w:val="3E367781"/>
    <w:rsid w:val="3E3A4820"/>
    <w:rsid w:val="3E55799F"/>
    <w:rsid w:val="3E57465D"/>
    <w:rsid w:val="3E5776D4"/>
    <w:rsid w:val="3E5B2CB7"/>
    <w:rsid w:val="3E602EFC"/>
    <w:rsid w:val="3E6E752C"/>
    <w:rsid w:val="3E7F7E7E"/>
    <w:rsid w:val="3E946E66"/>
    <w:rsid w:val="3EA55255"/>
    <w:rsid w:val="3EB97133"/>
    <w:rsid w:val="3EC559CD"/>
    <w:rsid w:val="3ECD0998"/>
    <w:rsid w:val="3ED34AA0"/>
    <w:rsid w:val="3ED467D9"/>
    <w:rsid w:val="3ED767A2"/>
    <w:rsid w:val="3ED90E36"/>
    <w:rsid w:val="3EDC512F"/>
    <w:rsid w:val="3EE65CBF"/>
    <w:rsid w:val="3EF75F59"/>
    <w:rsid w:val="3EFB01E2"/>
    <w:rsid w:val="3F040AF2"/>
    <w:rsid w:val="3F115EAA"/>
    <w:rsid w:val="3F4A0117"/>
    <w:rsid w:val="3F5476B7"/>
    <w:rsid w:val="3F575D4F"/>
    <w:rsid w:val="3F703EC7"/>
    <w:rsid w:val="3F7755AE"/>
    <w:rsid w:val="3F784362"/>
    <w:rsid w:val="3F8F0E81"/>
    <w:rsid w:val="3FA97081"/>
    <w:rsid w:val="3FAC0006"/>
    <w:rsid w:val="3FD41432"/>
    <w:rsid w:val="3FD7450D"/>
    <w:rsid w:val="3FDF4029"/>
    <w:rsid w:val="3FEE1BB9"/>
    <w:rsid w:val="4000558C"/>
    <w:rsid w:val="4004476C"/>
    <w:rsid w:val="40125F29"/>
    <w:rsid w:val="401A79C2"/>
    <w:rsid w:val="402506D4"/>
    <w:rsid w:val="40265029"/>
    <w:rsid w:val="40616830"/>
    <w:rsid w:val="409666BC"/>
    <w:rsid w:val="40985685"/>
    <w:rsid w:val="40AD7C89"/>
    <w:rsid w:val="41143736"/>
    <w:rsid w:val="412228A6"/>
    <w:rsid w:val="41533F32"/>
    <w:rsid w:val="41686EEB"/>
    <w:rsid w:val="417B15DD"/>
    <w:rsid w:val="418E7ED4"/>
    <w:rsid w:val="41A31EFF"/>
    <w:rsid w:val="41B6005B"/>
    <w:rsid w:val="41BB7D66"/>
    <w:rsid w:val="41BD66D4"/>
    <w:rsid w:val="41BE4334"/>
    <w:rsid w:val="42017F70"/>
    <w:rsid w:val="420F5C03"/>
    <w:rsid w:val="42153A51"/>
    <w:rsid w:val="421A3390"/>
    <w:rsid w:val="421A3603"/>
    <w:rsid w:val="4247183B"/>
    <w:rsid w:val="427D79FA"/>
    <w:rsid w:val="428033B6"/>
    <w:rsid w:val="42A92821"/>
    <w:rsid w:val="42C924A2"/>
    <w:rsid w:val="42D53AD6"/>
    <w:rsid w:val="42EE35DB"/>
    <w:rsid w:val="42FD02BB"/>
    <w:rsid w:val="43131C75"/>
    <w:rsid w:val="433957F4"/>
    <w:rsid w:val="433D5723"/>
    <w:rsid w:val="433F20E0"/>
    <w:rsid w:val="43675C5E"/>
    <w:rsid w:val="43707299"/>
    <w:rsid w:val="43775507"/>
    <w:rsid w:val="438C7FE1"/>
    <w:rsid w:val="43944CC8"/>
    <w:rsid w:val="43AF0674"/>
    <w:rsid w:val="43E64F48"/>
    <w:rsid w:val="43EE4803"/>
    <w:rsid w:val="440321DA"/>
    <w:rsid w:val="44197845"/>
    <w:rsid w:val="441E3CCD"/>
    <w:rsid w:val="44492A7E"/>
    <w:rsid w:val="444D287A"/>
    <w:rsid w:val="446E00EA"/>
    <w:rsid w:val="447D0175"/>
    <w:rsid w:val="44900788"/>
    <w:rsid w:val="44935D5F"/>
    <w:rsid w:val="44B717E2"/>
    <w:rsid w:val="44B94F10"/>
    <w:rsid w:val="44C531E1"/>
    <w:rsid w:val="44E55C94"/>
    <w:rsid w:val="45102FBE"/>
    <w:rsid w:val="452804B4"/>
    <w:rsid w:val="453A1779"/>
    <w:rsid w:val="453D477F"/>
    <w:rsid w:val="454318B1"/>
    <w:rsid w:val="455F3D5E"/>
    <w:rsid w:val="458225E9"/>
    <w:rsid w:val="458B0124"/>
    <w:rsid w:val="45957336"/>
    <w:rsid w:val="45A560D2"/>
    <w:rsid w:val="45A63B54"/>
    <w:rsid w:val="45B70821"/>
    <w:rsid w:val="45C36249"/>
    <w:rsid w:val="45C9178A"/>
    <w:rsid w:val="45DD0FA6"/>
    <w:rsid w:val="45E63D1F"/>
    <w:rsid w:val="45FE79D9"/>
    <w:rsid w:val="46325936"/>
    <w:rsid w:val="463E7D26"/>
    <w:rsid w:val="46676ED1"/>
    <w:rsid w:val="467416DD"/>
    <w:rsid w:val="467557DC"/>
    <w:rsid w:val="46887E14"/>
    <w:rsid w:val="46A63312"/>
    <w:rsid w:val="46BC6FF6"/>
    <w:rsid w:val="46C971CF"/>
    <w:rsid w:val="46DA6012"/>
    <w:rsid w:val="46FD06E2"/>
    <w:rsid w:val="47087F18"/>
    <w:rsid w:val="47192AFF"/>
    <w:rsid w:val="472C71AC"/>
    <w:rsid w:val="472D26D6"/>
    <w:rsid w:val="473C746D"/>
    <w:rsid w:val="473F25F0"/>
    <w:rsid w:val="475F2255"/>
    <w:rsid w:val="476B0149"/>
    <w:rsid w:val="478665E8"/>
    <w:rsid w:val="47A57696"/>
    <w:rsid w:val="47A67D79"/>
    <w:rsid w:val="47B45F58"/>
    <w:rsid w:val="47E1178E"/>
    <w:rsid w:val="47E330FE"/>
    <w:rsid w:val="47EA53B3"/>
    <w:rsid w:val="480239B3"/>
    <w:rsid w:val="48046FCD"/>
    <w:rsid w:val="480838CB"/>
    <w:rsid w:val="48180B08"/>
    <w:rsid w:val="482A0551"/>
    <w:rsid w:val="48410F28"/>
    <w:rsid w:val="484216B4"/>
    <w:rsid w:val="48427697"/>
    <w:rsid w:val="48441751"/>
    <w:rsid w:val="484C4515"/>
    <w:rsid w:val="48515DDD"/>
    <w:rsid w:val="48586940"/>
    <w:rsid w:val="485A61B3"/>
    <w:rsid w:val="48690DD9"/>
    <w:rsid w:val="486F32A8"/>
    <w:rsid w:val="4888168E"/>
    <w:rsid w:val="488E5795"/>
    <w:rsid w:val="489C032E"/>
    <w:rsid w:val="489C681A"/>
    <w:rsid w:val="489E019E"/>
    <w:rsid w:val="48D05305"/>
    <w:rsid w:val="48D2609A"/>
    <w:rsid w:val="48E776D1"/>
    <w:rsid w:val="49173C9A"/>
    <w:rsid w:val="491A2C39"/>
    <w:rsid w:val="49286DF6"/>
    <w:rsid w:val="493C4382"/>
    <w:rsid w:val="4945685B"/>
    <w:rsid w:val="495F62C2"/>
    <w:rsid w:val="496132B8"/>
    <w:rsid w:val="497256FA"/>
    <w:rsid w:val="49811327"/>
    <w:rsid w:val="49851E4A"/>
    <w:rsid w:val="49A21DDA"/>
    <w:rsid w:val="49A44193"/>
    <w:rsid w:val="49AC016B"/>
    <w:rsid w:val="49AC1756"/>
    <w:rsid w:val="49F40F6F"/>
    <w:rsid w:val="49F46361"/>
    <w:rsid w:val="4A066F4F"/>
    <w:rsid w:val="4A115D91"/>
    <w:rsid w:val="4A2E5F33"/>
    <w:rsid w:val="4A35264E"/>
    <w:rsid w:val="4A4079C5"/>
    <w:rsid w:val="4A4B193F"/>
    <w:rsid w:val="4A6D7D34"/>
    <w:rsid w:val="4A706FB0"/>
    <w:rsid w:val="4AA474C5"/>
    <w:rsid w:val="4AB94E26"/>
    <w:rsid w:val="4ABC69FE"/>
    <w:rsid w:val="4AE22D3E"/>
    <w:rsid w:val="4AE30B9B"/>
    <w:rsid w:val="4AFE065C"/>
    <w:rsid w:val="4AFE4718"/>
    <w:rsid w:val="4B061FAD"/>
    <w:rsid w:val="4B1059F7"/>
    <w:rsid w:val="4B1113E4"/>
    <w:rsid w:val="4B9530DE"/>
    <w:rsid w:val="4BBC34AF"/>
    <w:rsid w:val="4BC230D9"/>
    <w:rsid w:val="4BCA4BBB"/>
    <w:rsid w:val="4BE64593"/>
    <w:rsid w:val="4BE6658D"/>
    <w:rsid w:val="4BE80E60"/>
    <w:rsid w:val="4BF61673"/>
    <w:rsid w:val="4C0A1600"/>
    <w:rsid w:val="4C5111AC"/>
    <w:rsid w:val="4C5565E1"/>
    <w:rsid w:val="4C7D493E"/>
    <w:rsid w:val="4C9F7B85"/>
    <w:rsid w:val="4CB66108"/>
    <w:rsid w:val="4CBF2505"/>
    <w:rsid w:val="4CBF6115"/>
    <w:rsid w:val="4CC232C1"/>
    <w:rsid w:val="4D525661"/>
    <w:rsid w:val="4D5A10A1"/>
    <w:rsid w:val="4D600F69"/>
    <w:rsid w:val="4D6413F9"/>
    <w:rsid w:val="4D643629"/>
    <w:rsid w:val="4D697F34"/>
    <w:rsid w:val="4D854417"/>
    <w:rsid w:val="4D973F77"/>
    <w:rsid w:val="4DA77F04"/>
    <w:rsid w:val="4DAA5595"/>
    <w:rsid w:val="4DB07CAE"/>
    <w:rsid w:val="4DB87D11"/>
    <w:rsid w:val="4DBE1787"/>
    <w:rsid w:val="4DDD2519"/>
    <w:rsid w:val="4DDE3629"/>
    <w:rsid w:val="4E000887"/>
    <w:rsid w:val="4E076C7C"/>
    <w:rsid w:val="4E202BB9"/>
    <w:rsid w:val="4E3C3369"/>
    <w:rsid w:val="4E584C0B"/>
    <w:rsid w:val="4E7B0A2C"/>
    <w:rsid w:val="4E811958"/>
    <w:rsid w:val="4EA0220D"/>
    <w:rsid w:val="4EA657E6"/>
    <w:rsid w:val="4EB3158A"/>
    <w:rsid w:val="4ED2408B"/>
    <w:rsid w:val="4F047EFD"/>
    <w:rsid w:val="4F0A3E3B"/>
    <w:rsid w:val="4F0E65B7"/>
    <w:rsid w:val="4F166157"/>
    <w:rsid w:val="4F1A6654"/>
    <w:rsid w:val="4F1C1B57"/>
    <w:rsid w:val="4F3B240C"/>
    <w:rsid w:val="4F4C0B9C"/>
    <w:rsid w:val="4F953922"/>
    <w:rsid w:val="4FA76CEB"/>
    <w:rsid w:val="4FA914C2"/>
    <w:rsid w:val="4FB61D55"/>
    <w:rsid w:val="4FDF43BB"/>
    <w:rsid w:val="4FED6580"/>
    <w:rsid w:val="500873D1"/>
    <w:rsid w:val="502B3F12"/>
    <w:rsid w:val="503623AF"/>
    <w:rsid w:val="505A2284"/>
    <w:rsid w:val="505C4880"/>
    <w:rsid w:val="5074259F"/>
    <w:rsid w:val="50782A1B"/>
    <w:rsid w:val="508C58AA"/>
    <w:rsid w:val="509D165D"/>
    <w:rsid w:val="509D4BB0"/>
    <w:rsid w:val="509E1383"/>
    <w:rsid w:val="50B04E26"/>
    <w:rsid w:val="50BB6871"/>
    <w:rsid w:val="50BD483E"/>
    <w:rsid w:val="50EF7386"/>
    <w:rsid w:val="50F2458B"/>
    <w:rsid w:val="510F1693"/>
    <w:rsid w:val="511F238F"/>
    <w:rsid w:val="519251F1"/>
    <w:rsid w:val="51A14D79"/>
    <w:rsid w:val="51AA348A"/>
    <w:rsid w:val="51D4692E"/>
    <w:rsid w:val="51DE0460"/>
    <w:rsid w:val="51EC51F8"/>
    <w:rsid w:val="51F0037B"/>
    <w:rsid w:val="52054A9D"/>
    <w:rsid w:val="520646F0"/>
    <w:rsid w:val="521A11BF"/>
    <w:rsid w:val="52541DED"/>
    <w:rsid w:val="525A3ACB"/>
    <w:rsid w:val="526A1EE4"/>
    <w:rsid w:val="526A7283"/>
    <w:rsid w:val="526F1F4E"/>
    <w:rsid w:val="527139ED"/>
    <w:rsid w:val="528043E7"/>
    <w:rsid w:val="52866EC7"/>
    <w:rsid w:val="529935A4"/>
    <w:rsid w:val="52D809BA"/>
    <w:rsid w:val="52E175ED"/>
    <w:rsid w:val="531B2C88"/>
    <w:rsid w:val="532B0DEF"/>
    <w:rsid w:val="533A4676"/>
    <w:rsid w:val="534F55FA"/>
    <w:rsid w:val="53547C42"/>
    <w:rsid w:val="535A6678"/>
    <w:rsid w:val="535B51A9"/>
    <w:rsid w:val="536072D8"/>
    <w:rsid w:val="53785545"/>
    <w:rsid w:val="537E326C"/>
    <w:rsid w:val="53987432"/>
    <w:rsid w:val="53A90B19"/>
    <w:rsid w:val="53C56F29"/>
    <w:rsid w:val="53DC64C3"/>
    <w:rsid w:val="53E42854"/>
    <w:rsid w:val="53E6384B"/>
    <w:rsid w:val="53E920CE"/>
    <w:rsid w:val="53F229C4"/>
    <w:rsid w:val="53F67319"/>
    <w:rsid w:val="53FA781A"/>
    <w:rsid w:val="54270F5B"/>
    <w:rsid w:val="546137A6"/>
    <w:rsid w:val="54622945"/>
    <w:rsid w:val="548410C7"/>
    <w:rsid w:val="549B322B"/>
    <w:rsid w:val="54B062A7"/>
    <w:rsid w:val="54B7788A"/>
    <w:rsid w:val="54C51B6D"/>
    <w:rsid w:val="54C73F25"/>
    <w:rsid w:val="54CD1A2D"/>
    <w:rsid w:val="54F43371"/>
    <w:rsid w:val="55375EF3"/>
    <w:rsid w:val="55487179"/>
    <w:rsid w:val="55673984"/>
    <w:rsid w:val="556F5ADF"/>
    <w:rsid w:val="558B549E"/>
    <w:rsid w:val="55D36D5C"/>
    <w:rsid w:val="55DA2C4E"/>
    <w:rsid w:val="55DB02D6"/>
    <w:rsid w:val="55DF2B6F"/>
    <w:rsid w:val="55EF668D"/>
    <w:rsid w:val="55F1658E"/>
    <w:rsid w:val="560A7956"/>
    <w:rsid w:val="561305DB"/>
    <w:rsid w:val="562E599A"/>
    <w:rsid w:val="56356DBD"/>
    <w:rsid w:val="56476221"/>
    <w:rsid w:val="56685052"/>
    <w:rsid w:val="567A44AF"/>
    <w:rsid w:val="56D42AE2"/>
    <w:rsid w:val="572B11E4"/>
    <w:rsid w:val="572C49A5"/>
    <w:rsid w:val="572E4912"/>
    <w:rsid w:val="576A00F7"/>
    <w:rsid w:val="576B69C8"/>
    <w:rsid w:val="577647B0"/>
    <w:rsid w:val="577A5B0E"/>
    <w:rsid w:val="577B34F9"/>
    <w:rsid w:val="57966760"/>
    <w:rsid w:val="579933D8"/>
    <w:rsid w:val="57A747BD"/>
    <w:rsid w:val="57D15354"/>
    <w:rsid w:val="581B089C"/>
    <w:rsid w:val="58235328"/>
    <w:rsid w:val="582B6DC2"/>
    <w:rsid w:val="582C0A2F"/>
    <w:rsid w:val="58335770"/>
    <w:rsid w:val="5843585C"/>
    <w:rsid w:val="5855049B"/>
    <w:rsid w:val="58563E91"/>
    <w:rsid w:val="5873209E"/>
    <w:rsid w:val="588F2444"/>
    <w:rsid w:val="58CC6AFE"/>
    <w:rsid w:val="58FB771F"/>
    <w:rsid w:val="59223939"/>
    <w:rsid w:val="59473E05"/>
    <w:rsid w:val="595143D1"/>
    <w:rsid w:val="595F61E0"/>
    <w:rsid w:val="596E090A"/>
    <w:rsid w:val="597260F8"/>
    <w:rsid w:val="598A5B73"/>
    <w:rsid w:val="59A809A7"/>
    <w:rsid w:val="59B879B0"/>
    <w:rsid w:val="59BF03EB"/>
    <w:rsid w:val="59C82455"/>
    <w:rsid w:val="59D33DFF"/>
    <w:rsid w:val="59DB7EFC"/>
    <w:rsid w:val="59EE2AE2"/>
    <w:rsid w:val="59F37BA6"/>
    <w:rsid w:val="5A10384E"/>
    <w:rsid w:val="5A1B6BA5"/>
    <w:rsid w:val="5A27234F"/>
    <w:rsid w:val="5A284778"/>
    <w:rsid w:val="5A3144EA"/>
    <w:rsid w:val="5A490530"/>
    <w:rsid w:val="5A5C174F"/>
    <w:rsid w:val="5A627595"/>
    <w:rsid w:val="5A6C0056"/>
    <w:rsid w:val="5A7857FC"/>
    <w:rsid w:val="5A854212"/>
    <w:rsid w:val="5AE625AD"/>
    <w:rsid w:val="5B033ECE"/>
    <w:rsid w:val="5B0F50FF"/>
    <w:rsid w:val="5B15423B"/>
    <w:rsid w:val="5B222E74"/>
    <w:rsid w:val="5B276899"/>
    <w:rsid w:val="5B2A045C"/>
    <w:rsid w:val="5B4D0EAE"/>
    <w:rsid w:val="5B743B71"/>
    <w:rsid w:val="5B8A47F8"/>
    <w:rsid w:val="5B8E5344"/>
    <w:rsid w:val="5B97241C"/>
    <w:rsid w:val="5BD42235"/>
    <w:rsid w:val="5BE80ED6"/>
    <w:rsid w:val="5C05386A"/>
    <w:rsid w:val="5C140AA0"/>
    <w:rsid w:val="5C2D2BAB"/>
    <w:rsid w:val="5C502A5B"/>
    <w:rsid w:val="5C550687"/>
    <w:rsid w:val="5C5E10FC"/>
    <w:rsid w:val="5C5F40AD"/>
    <w:rsid w:val="5C6B224A"/>
    <w:rsid w:val="5C7652D1"/>
    <w:rsid w:val="5C872BB1"/>
    <w:rsid w:val="5C9A22E5"/>
    <w:rsid w:val="5CA574AE"/>
    <w:rsid w:val="5CC2663A"/>
    <w:rsid w:val="5CC41EA6"/>
    <w:rsid w:val="5CD97C20"/>
    <w:rsid w:val="5CE51A8C"/>
    <w:rsid w:val="5CEA77FF"/>
    <w:rsid w:val="5CEC15E8"/>
    <w:rsid w:val="5CFF3F21"/>
    <w:rsid w:val="5D0B7D34"/>
    <w:rsid w:val="5D0D495D"/>
    <w:rsid w:val="5D146959"/>
    <w:rsid w:val="5D3A7EBB"/>
    <w:rsid w:val="5D3B1572"/>
    <w:rsid w:val="5D4C25BD"/>
    <w:rsid w:val="5D522C41"/>
    <w:rsid w:val="5D6B014C"/>
    <w:rsid w:val="5D757882"/>
    <w:rsid w:val="5D7C6386"/>
    <w:rsid w:val="5D7F682B"/>
    <w:rsid w:val="5D926143"/>
    <w:rsid w:val="5DA14214"/>
    <w:rsid w:val="5DAD630F"/>
    <w:rsid w:val="5DC9596C"/>
    <w:rsid w:val="5DE211DC"/>
    <w:rsid w:val="5DEA53CE"/>
    <w:rsid w:val="5DFC166B"/>
    <w:rsid w:val="5E270BD4"/>
    <w:rsid w:val="5E4938BC"/>
    <w:rsid w:val="5E6D1F03"/>
    <w:rsid w:val="5E735E08"/>
    <w:rsid w:val="5E7F335C"/>
    <w:rsid w:val="5E8F172D"/>
    <w:rsid w:val="5EBF3F02"/>
    <w:rsid w:val="5EDE56B0"/>
    <w:rsid w:val="5EED3899"/>
    <w:rsid w:val="5EFC095C"/>
    <w:rsid w:val="5F0121C2"/>
    <w:rsid w:val="5F0458F0"/>
    <w:rsid w:val="5F0E1A83"/>
    <w:rsid w:val="5F28400E"/>
    <w:rsid w:val="5F327452"/>
    <w:rsid w:val="5F445F4A"/>
    <w:rsid w:val="5F5C2110"/>
    <w:rsid w:val="5F5F1052"/>
    <w:rsid w:val="5F94195C"/>
    <w:rsid w:val="5F963DCE"/>
    <w:rsid w:val="5F97719F"/>
    <w:rsid w:val="5F9E28D6"/>
    <w:rsid w:val="5FAE5324"/>
    <w:rsid w:val="5FB431E7"/>
    <w:rsid w:val="5FE86BBA"/>
    <w:rsid w:val="5FEC0DCE"/>
    <w:rsid w:val="60082CFC"/>
    <w:rsid w:val="603E0222"/>
    <w:rsid w:val="6043627C"/>
    <w:rsid w:val="604900C7"/>
    <w:rsid w:val="60591CCB"/>
    <w:rsid w:val="60634492"/>
    <w:rsid w:val="60930C08"/>
    <w:rsid w:val="60A7051F"/>
    <w:rsid w:val="60AC4865"/>
    <w:rsid w:val="60FF2451"/>
    <w:rsid w:val="61107BAD"/>
    <w:rsid w:val="61111374"/>
    <w:rsid w:val="61146189"/>
    <w:rsid w:val="61164C61"/>
    <w:rsid w:val="613C4296"/>
    <w:rsid w:val="613D6A91"/>
    <w:rsid w:val="614E4470"/>
    <w:rsid w:val="616E403C"/>
    <w:rsid w:val="618D5D4E"/>
    <w:rsid w:val="61B8034C"/>
    <w:rsid w:val="61DF7322"/>
    <w:rsid w:val="61F61766"/>
    <w:rsid w:val="61F749C9"/>
    <w:rsid w:val="62064D89"/>
    <w:rsid w:val="622B5F71"/>
    <w:rsid w:val="6236564C"/>
    <w:rsid w:val="62386B6C"/>
    <w:rsid w:val="627359C1"/>
    <w:rsid w:val="627D6E20"/>
    <w:rsid w:val="628F116F"/>
    <w:rsid w:val="62EE123C"/>
    <w:rsid w:val="638A3729"/>
    <w:rsid w:val="638E2319"/>
    <w:rsid w:val="63934F84"/>
    <w:rsid w:val="63A13700"/>
    <w:rsid w:val="63B9462A"/>
    <w:rsid w:val="63D8504F"/>
    <w:rsid w:val="63EF49BB"/>
    <w:rsid w:val="64231CC8"/>
    <w:rsid w:val="64406494"/>
    <w:rsid w:val="64466C5C"/>
    <w:rsid w:val="649446B1"/>
    <w:rsid w:val="64C115D9"/>
    <w:rsid w:val="64C76CCC"/>
    <w:rsid w:val="653C4DA1"/>
    <w:rsid w:val="65E85E2F"/>
    <w:rsid w:val="65EF204B"/>
    <w:rsid w:val="6608772D"/>
    <w:rsid w:val="660A5C65"/>
    <w:rsid w:val="660E5ACD"/>
    <w:rsid w:val="663E564D"/>
    <w:rsid w:val="665B5C8D"/>
    <w:rsid w:val="66800936"/>
    <w:rsid w:val="668A6147"/>
    <w:rsid w:val="66987326"/>
    <w:rsid w:val="66EF44E1"/>
    <w:rsid w:val="66FA5A00"/>
    <w:rsid w:val="67050F36"/>
    <w:rsid w:val="67084D16"/>
    <w:rsid w:val="67124C2F"/>
    <w:rsid w:val="673022C4"/>
    <w:rsid w:val="676550B0"/>
    <w:rsid w:val="6775314C"/>
    <w:rsid w:val="67854D44"/>
    <w:rsid w:val="67A55162"/>
    <w:rsid w:val="67B01CAC"/>
    <w:rsid w:val="67D2194D"/>
    <w:rsid w:val="67DB12E0"/>
    <w:rsid w:val="67E05F87"/>
    <w:rsid w:val="67E9310A"/>
    <w:rsid w:val="67F5111B"/>
    <w:rsid w:val="67F569EA"/>
    <w:rsid w:val="67F82A5A"/>
    <w:rsid w:val="682441E9"/>
    <w:rsid w:val="68376840"/>
    <w:rsid w:val="68477BF4"/>
    <w:rsid w:val="684D75AC"/>
    <w:rsid w:val="685664BC"/>
    <w:rsid w:val="6857334A"/>
    <w:rsid w:val="6872217B"/>
    <w:rsid w:val="689F1972"/>
    <w:rsid w:val="68CA210F"/>
    <w:rsid w:val="68DE6E9B"/>
    <w:rsid w:val="68EC23C5"/>
    <w:rsid w:val="68FF2C52"/>
    <w:rsid w:val="692C4A1B"/>
    <w:rsid w:val="693D704F"/>
    <w:rsid w:val="6958185A"/>
    <w:rsid w:val="69926809"/>
    <w:rsid w:val="69982163"/>
    <w:rsid w:val="69B45BF9"/>
    <w:rsid w:val="69B87035"/>
    <w:rsid w:val="69BD38FA"/>
    <w:rsid w:val="69BF12F3"/>
    <w:rsid w:val="69D75323"/>
    <w:rsid w:val="69D9099A"/>
    <w:rsid w:val="69DC71AB"/>
    <w:rsid w:val="6A047D85"/>
    <w:rsid w:val="6A0E00B0"/>
    <w:rsid w:val="6A396611"/>
    <w:rsid w:val="6A5B0C1A"/>
    <w:rsid w:val="6A6F052B"/>
    <w:rsid w:val="6A7A68BC"/>
    <w:rsid w:val="6A831A33"/>
    <w:rsid w:val="6A8A3D15"/>
    <w:rsid w:val="6A8F4E99"/>
    <w:rsid w:val="6A9361D5"/>
    <w:rsid w:val="6AA81989"/>
    <w:rsid w:val="6AAA5826"/>
    <w:rsid w:val="6AAE101D"/>
    <w:rsid w:val="6AC93222"/>
    <w:rsid w:val="6ADE393A"/>
    <w:rsid w:val="6B1000B4"/>
    <w:rsid w:val="6B350BCE"/>
    <w:rsid w:val="6B4673B3"/>
    <w:rsid w:val="6B555D23"/>
    <w:rsid w:val="6B693FC6"/>
    <w:rsid w:val="6B7A391D"/>
    <w:rsid w:val="6B876452"/>
    <w:rsid w:val="6B9B2216"/>
    <w:rsid w:val="6BA42B26"/>
    <w:rsid w:val="6BC932CD"/>
    <w:rsid w:val="6BCC1777"/>
    <w:rsid w:val="6C3B5CD1"/>
    <w:rsid w:val="6C3D0987"/>
    <w:rsid w:val="6C8268E6"/>
    <w:rsid w:val="6C920E9B"/>
    <w:rsid w:val="6C9D0D5B"/>
    <w:rsid w:val="6CB178DD"/>
    <w:rsid w:val="6CB40765"/>
    <w:rsid w:val="6CB53614"/>
    <w:rsid w:val="6CBE4128"/>
    <w:rsid w:val="6CD504C6"/>
    <w:rsid w:val="6CDB338B"/>
    <w:rsid w:val="6CF47014"/>
    <w:rsid w:val="6D167C60"/>
    <w:rsid w:val="6D195CC5"/>
    <w:rsid w:val="6D1A398C"/>
    <w:rsid w:val="6D2B3C26"/>
    <w:rsid w:val="6D2F59DD"/>
    <w:rsid w:val="6D3135B1"/>
    <w:rsid w:val="6D4F62A5"/>
    <w:rsid w:val="6D53301E"/>
    <w:rsid w:val="6D677318"/>
    <w:rsid w:val="6D850EE5"/>
    <w:rsid w:val="6D955854"/>
    <w:rsid w:val="6D9A270D"/>
    <w:rsid w:val="6DA96966"/>
    <w:rsid w:val="6DAF1C81"/>
    <w:rsid w:val="6DDE043D"/>
    <w:rsid w:val="6DE13755"/>
    <w:rsid w:val="6E4934CC"/>
    <w:rsid w:val="6E542DBE"/>
    <w:rsid w:val="6E805505"/>
    <w:rsid w:val="6E87570E"/>
    <w:rsid w:val="6E9049FF"/>
    <w:rsid w:val="6EA34C1E"/>
    <w:rsid w:val="6EAF44DA"/>
    <w:rsid w:val="6EB64A32"/>
    <w:rsid w:val="6EBA5637"/>
    <w:rsid w:val="6EC07254"/>
    <w:rsid w:val="6EC45F46"/>
    <w:rsid w:val="6EE840AB"/>
    <w:rsid w:val="6EEF260E"/>
    <w:rsid w:val="6F003B11"/>
    <w:rsid w:val="6F085736"/>
    <w:rsid w:val="6F300247"/>
    <w:rsid w:val="6F426814"/>
    <w:rsid w:val="6F44006E"/>
    <w:rsid w:val="6F470155"/>
    <w:rsid w:val="6F764172"/>
    <w:rsid w:val="6F796B1B"/>
    <w:rsid w:val="6F7C0057"/>
    <w:rsid w:val="6F8A2C0B"/>
    <w:rsid w:val="6F9A4E76"/>
    <w:rsid w:val="6FA604A6"/>
    <w:rsid w:val="6FE728C9"/>
    <w:rsid w:val="6FF34751"/>
    <w:rsid w:val="6FFB1846"/>
    <w:rsid w:val="700A616C"/>
    <w:rsid w:val="702A141D"/>
    <w:rsid w:val="7031357B"/>
    <w:rsid w:val="703C22B0"/>
    <w:rsid w:val="704C034C"/>
    <w:rsid w:val="705D3F3F"/>
    <w:rsid w:val="706246EE"/>
    <w:rsid w:val="70757086"/>
    <w:rsid w:val="707C30DB"/>
    <w:rsid w:val="707E4442"/>
    <w:rsid w:val="7086130D"/>
    <w:rsid w:val="708A5A8C"/>
    <w:rsid w:val="70A17A56"/>
    <w:rsid w:val="70E32AAB"/>
    <w:rsid w:val="70E46F2A"/>
    <w:rsid w:val="71013B5A"/>
    <w:rsid w:val="71222B82"/>
    <w:rsid w:val="713118C3"/>
    <w:rsid w:val="71392AA6"/>
    <w:rsid w:val="71550B08"/>
    <w:rsid w:val="71563B29"/>
    <w:rsid w:val="71614610"/>
    <w:rsid w:val="716A6E89"/>
    <w:rsid w:val="71702574"/>
    <w:rsid w:val="71743396"/>
    <w:rsid w:val="717D7200"/>
    <w:rsid w:val="719425B8"/>
    <w:rsid w:val="719748DD"/>
    <w:rsid w:val="71A3637F"/>
    <w:rsid w:val="71B167F3"/>
    <w:rsid w:val="71B72ABB"/>
    <w:rsid w:val="71BE7293"/>
    <w:rsid w:val="71C16E84"/>
    <w:rsid w:val="71D310CC"/>
    <w:rsid w:val="71D758D4"/>
    <w:rsid w:val="71E41366"/>
    <w:rsid w:val="72260ED8"/>
    <w:rsid w:val="722F5F60"/>
    <w:rsid w:val="723039E4"/>
    <w:rsid w:val="723F3FFF"/>
    <w:rsid w:val="72445F08"/>
    <w:rsid w:val="7278765C"/>
    <w:rsid w:val="729055BB"/>
    <w:rsid w:val="72A80534"/>
    <w:rsid w:val="72BD5542"/>
    <w:rsid w:val="72C806E0"/>
    <w:rsid w:val="72CA6864"/>
    <w:rsid w:val="72D466F0"/>
    <w:rsid w:val="72EF49CF"/>
    <w:rsid w:val="73120676"/>
    <w:rsid w:val="731E659E"/>
    <w:rsid w:val="73322EB4"/>
    <w:rsid w:val="734B7734"/>
    <w:rsid w:val="734C61FF"/>
    <w:rsid w:val="7359474B"/>
    <w:rsid w:val="736A2CDA"/>
    <w:rsid w:val="736E30AF"/>
    <w:rsid w:val="737047CE"/>
    <w:rsid w:val="73985535"/>
    <w:rsid w:val="73985CDC"/>
    <w:rsid w:val="739B421C"/>
    <w:rsid w:val="73C42D79"/>
    <w:rsid w:val="73C8734E"/>
    <w:rsid w:val="73C95D04"/>
    <w:rsid w:val="73F74B3B"/>
    <w:rsid w:val="740D54F4"/>
    <w:rsid w:val="74127549"/>
    <w:rsid w:val="74212E84"/>
    <w:rsid w:val="743A06D7"/>
    <w:rsid w:val="74707796"/>
    <w:rsid w:val="74890257"/>
    <w:rsid w:val="749D7B1B"/>
    <w:rsid w:val="74B526BE"/>
    <w:rsid w:val="74B7598C"/>
    <w:rsid w:val="74BC4E50"/>
    <w:rsid w:val="74F80689"/>
    <w:rsid w:val="74FE38FC"/>
    <w:rsid w:val="75180EA9"/>
    <w:rsid w:val="75635D7A"/>
    <w:rsid w:val="756A0989"/>
    <w:rsid w:val="759140E8"/>
    <w:rsid w:val="75A343E7"/>
    <w:rsid w:val="75A80DF0"/>
    <w:rsid w:val="75B01989"/>
    <w:rsid w:val="75CA6E32"/>
    <w:rsid w:val="75E21BF7"/>
    <w:rsid w:val="75EA1201"/>
    <w:rsid w:val="76024D10"/>
    <w:rsid w:val="76130306"/>
    <w:rsid w:val="76485F7A"/>
    <w:rsid w:val="76882384"/>
    <w:rsid w:val="768922C7"/>
    <w:rsid w:val="76921367"/>
    <w:rsid w:val="76954F1D"/>
    <w:rsid w:val="769E6A19"/>
    <w:rsid w:val="76B13F39"/>
    <w:rsid w:val="76BD2295"/>
    <w:rsid w:val="76D22047"/>
    <w:rsid w:val="7732281D"/>
    <w:rsid w:val="77334A1B"/>
    <w:rsid w:val="77575A53"/>
    <w:rsid w:val="775D04A1"/>
    <w:rsid w:val="7772721A"/>
    <w:rsid w:val="777420AA"/>
    <w:rsid w:val="77831323"/>
    <w:rsid w:val="77881C74"/>
    <w:rsid w:val="778F5A1E"/>
    <w:rsid w:val="77A25449"/>
    <w:rsid w:val="77C265CA"/>
    <w:rsid w:val="77F42135"/>
    <w:rsid w:val="77F52527"/>
    <w:rsid w:val="780465FD"/>
    <w:rsid w:val="781167E1"/>
    <w:rsid w:val="7820798D"/>
    <w:rsid w:val="78497DE7"/>
    <w:rsid w:val="78761BB0"/>
    <w:rsid w:val="787743D0"/>
    <w:rsid w:val="78810DE4"/>
    <w:rsid w:val="78C17335"/>
    <w:rsid w:val="78CF785B"/>
    <w:rsid w:val="78D16A46"/>
    <w:rsid w:val="78FB1E09"/>
    <w:rsid w:val="790268B6"/>
    <w:rsid w:val="79081F04"/>
    <w:rsid w:val="79263F52"/>
    <w:rsid w:val="79466A05"/>
    <w:rsid w:val="794D28FE"/>
    <w:rsid w:val="795F459E"/>
    <w:rsid w:val="79716E5F"/>
    <w:rsid w:val="79AD3C9C"/>
    <w:rsid w:val="79CC4128"/>
    <w:rsid w:val="79DB0C71"/>
    <w:rsid w:val="79E200E0"/>
    <w:rsid w:val="79F46BBE"/>
    <w:rsid w:val="79F53325"/>
    <w:rsid w:val="79F70E93"/>
    <w:rsid w:val="79F91D2C"/>
    <w:rsid w:val="7A1D2104"/>
    <w:rsid w:val="7A280B01"/>
    <w:rsid w:val="7A2A6E42"/>
    <w:rsid w:val="7A446928"/>
    <w:rsid w:val="7A5E03EF"/>
    <w:rsid w:val="7A7662F7"/>
    <w:rsid w:val="7A7909AF"/>
    <w:rsid w:val="7AAB2815"/>
    <w:rsid w:val="7AB03846"/>
    <w:rsid w:val="7AC107B9"/>
    <w:rsid w:val="7AC91F29"/>
    <w:rsid w:val="7AE9671A"/>
    <w:rsid w:val="7AF0143E"/>
    <w:rsid w:val="7B036F2D"/>
    <w:rsid w:val="7B183BCB"/>
    <w:rsid w:val="7B1A5686"/>
    <w:rsid w:val="7B1B6723"/>
    <w:rsid w:val="7B311C35"/>
    <w:rsid w:val="7B3665D4"/>
    <w:rsid w:val="7B4464CB"/>
    <w:rsid w:val="7BA30F8D"/>
    <w:rsid w:val="7BBA0B8A"/>
    <w:rsid w:val="7BBE2398"/>
    <w:rsid w:val="7BC5229C"/>
    <w:rsid w:val="7BDA2241"/>
    <w:rsid w:val="7BEF5236"/>
    <w:rsid w:val="7BF278E8"/>
    <w:rsid w:val="7C0C61ED"/>
    <w:rsid w:val="7C172A86"/>
    <w:rsid w:val="7C292048"/>
    <w:rsid w:val="7C3073CD"/>
    <w:rsid w:val="7C401BE6"/>
    <w:rsid w:val="7C501917"/>
    <w:rsid w:val="7CB3091A"/>
    <w:rsid w:val="7CD7355D"/>
    <w:rsid w:val="7CE71C3B"/>
    <w:rsid w:val="7D226D62"/>
    <w:rsid w:val="7D2A7D54"/>
    <w:rsid w:val="7D585F36"/>
    <w:rsid w:val="7D5C7423"/>
    <w:rsid w:val="7D707220"/>
    <w:rsid w:val="7D805DF5"/>
    <w:rsid w:val="7D866FAA"/>
    <w:rsid w:val="7D9A5194"/>
    <w:rsid w:val="7DB6653B"/>
    <w:rsid w:val="7DE50560"/>
    <w:rsid w:val="7DE95316"/>
    <w:rsid w:val="7E523C24"/>
    <w:rsid w:val="7E581CA6"/>
    <w:rsid w:val="7EA448D3"/>
    <w:rsid w:val="7EC7304C"/>
    <w:rsid w:val="7ECE5EAA"/>
    <w:rsid w:val="7ED50D87"/>
    <w:rsid w:val="7EDC02B0"/>
    <w:rsid w:val="7EDF27CE"/>
    <w:rsid w:val="7EE060CE"/>
    <w:rsid w:val="7EEB50D9"/>
    <w:rsid w:val="7EEB622F"/>
    <w:rsid w:val="7EF30172"/>
    <w:rsid w:val="7F0055F5"/>
    <w:rsid w:val="7F290FE6"/>
    <w:rsid w:val="7F2E06FD"/>
    <w:rsid w:val="7F392BC8"/>
    <w:rsid w:val="7F3D16DA"/>
    <w:rsid w:val="7F565277"/>
    <w:rsid w:val="7F7E65A7"/>
    <w:rsid w:val="7F876E0D"/>
    <w:rsid w:val="7F990663"/>
    <w:rsid w:val="7FAD611E"/>
    <w:rsid w:val="7FAF2411"/>
    <w:rsid w:val="7FBA65FC"/>
    <w:rsid w:val="7FC42854"/>
    <w:rsid w:val="7FCB71D5"/>
    <w:rsid w:val="7FD40848"/>
    <w:rsid w:val="CFDD3D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keepLines/>
      <w:spacing w:line="576" w:lineRule="auto"/>
      <w:jc w:val="center"/>
      <w:outlineLvl w:val="0"/>
    </w:pPr>
    <w:rPr>
      <w:b/>
      <w:bCs/>
      <w:kern w:val="44"/>
      <w:sz w:val="30"/>
      <w:szCs w:val="44"/>
    </w:rPr>
  </w:style>
  <w:style w:type="paragraph" w:styleId="5">
    <w:name w:val="heading 2"/>
    <w:basedOn w:val="1"/>
    <w:next w:val="1"/>
    <w:link w:val="166"/>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link w:val="104"/>
    <w:qFormat/>
    <w:uiPriority w:val="0"/>
    <w:pPr>
      <w:keepNext/>
      <w:keepLines/>
      <w:spacing w:line="415" w:lineRule="auto"/>
      <w:jc w:val="center"/>
      <w:outlineLvl w:val="2"/>
    </w:pPr>
    <w:rPr>
      <w:rFonts w:ascii="Calibri" w:hAnsi="Calibri"/>
      <w:b/>
      <w:bCs/>
      <w:sz w:val="28"/>
      <w:szCs w:val="32"/>
    </w:rPr>
  </w:style>
  <w:style w:type="paragraph" w:styleId="7">
    <w:name w:val="heading 4"/>
    <w:basedOn w:val="1"/>
    <w:next w:val="1"/>
    <w:link w:val="121"/>
    <w:qFormat/>
    <w:uiPriority w:val="0"/>
    <w:pPr>
      <w:keepNext/>
      <w:keepLines/>
      <w:spacing w:line="372" w:lineRule="auto"/>
      <w:outlineLvl w:val="3"/>
    </w:pPr>
    <w:rPr>
      <w:rFonts w:ascii="Arial" w:hAnsi="Arial" w:eastAsia="黑体"/>
      <w:b/>
      <w:bCs/>
      <w:sz w:val="28"/>
      <w:szCs w:val="28"/>
    </w:rPr>
  </w:style>
  <w:style w:type="paragraph" w:styleId="8">
    <w:name w:val="heading 5"/>
    <w:basedOn w:val="1"/>
    <w:next w:val="1"/>
    <w:link w:val="132"/>
    <w:qFormat/>
    <w:uiPriority w:val="0"/>
    <w:pPr>
      <w:keepNext/>
      <w:keepLines/>
      <w:tabs>
        <w:tab w:val="left" w:pos="1800"/>
      </w:tabs>
      <w:spacing w:line="374" w:lineRule="auto"/>
      <w:ind w:left="1800" w:hanging="1800"/>
      <w:outlineLvl w:val="4"/>
    </w:pPr>
    <w:rPr>
      <w:b/>
      <w:bCs/>
      <w:sz w:val="28"/>
      <w:szCs w:val="28"/>
    </w:rPr>
  </w:style>
  <w:style w:type="paragraph" w:styleId="9">
    <w:name w:val="heading 6"/>
    <w:basedOn w:val="1"/>
    <w:next w:val="1"/>
    <w:link w:val="164"/>
    <w:qFormat/>
    <w:uiPriority w:val="0"/>
    <w:pPr>
      <w:keepNext/>
      <w:keepLines/>
      <w:adjustRightInd w:val="0"/>
      <w:spacing w:line="319" w:lineRule="auto"/>
      <w:textAlignment w:val="baseline"/>
      <w:outlineLvl w:val="5"/>
    </w:pPr>
    <w:rPr>
      <w:rFonts w:ascii="Arial" w:hAnsi="Arial" w:eastAsia="黑体"/>
      <w:b/>
      <w:szCs w:val="20"/>
    </w:rPr>
  </w:style>
  <w:style w:type="paragraph" w:styleId="10">
    <w:name w:val="heading 7"/>
    <w:basedOn w:val="1"/>
    <w:next w:val="1"/>
    <w:link w:val="116"/>
    <w:qFormat/>
    <w:uiPriority w:val="0"/>
    <w:pPr>
      <w:keepNext/>
      <w:keepLines/>
      <w:adjustRightInd w:val="0"/>
      <w:spacing w:line="319" w:lineRule="auto"/>
      <w:textAlignment w:val="baseline"/>
      <w:outlineLvl w:val="6"/>
    </w:pPr>
    <w:rPr>
      <w:b/>
      <w:szCs w:val="20"/>
    </w:rPr>
  </w:style>
  <w:style w:type="paragraph" w:styleId="11">
    <w:name w:val="heading 8"/>
    <w:basedOn w:val="1"/>
    <w:next w:val="1"/>
    <w:link w:val="118"/>
    <w:qFormat/>
    <w:uiPriority w:val="0"/>
    <w:pPr>
      <w:keepNext/>
      <w:keepLines/>
      <w:adjustRightInd w:val="0"/>
      <w:spacing w:line="319" w:lineRule="auto"/>
      <w:textAlignment w:val="baseline"/>
      <w:outlineLvl w:val="7"/>
    </w:pPr>
    <w:rPr>
      <w:rFonts w:ascii="Arial" w:hAnsi="Arial" w:eastAsia="黑体"/>
      <w:szCs w:val="20"/>
    </w:rPr>
  </w:style>
  <w:style w:type="paragraph" w:styleId="12">
    <w:name w:val="heading 9"/>
    <w:basedOn w:val="1"/>
    <w:next w:val="1"/>
    <w:link w:val="160"/>
    <w:qFormat/>
    <w:uiPriority w:val="0"/>
    <w:pPr>
      <w:keepNext/>
      <w:keepLines/>
      <w:adjustRightInd w:val="0"/>
      <w:spacing w:line="319" w:lineRule="auto"/>
      <w:textAlignment w:val="baseline"/>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6"/>
    <w:qFormat/>
    <w:uiPriority w:val="0"/>
    <w:rPr>
      <w:sz w:val="28"/>
    </w:rPr>
  </w:style>
  <w:style w:type="paragraph" w:styleId="3">
    <w:name w:val="Body Text First Indent"/>
    <w:basedOn w:val="2"/>
    <w:next w:val="1"/>
    <w:unhideWhenUsed/>
    <w:qFormat/>
    <w:uiPriority w:val="99"/>
    <w:pPr>
      <w:ind w:firstLine="420" w:firstLineChars="100"/>
    </w:pPr>
    <w:rPr>
      <w:sz w:val="21"/>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1"/>
    <w:qFormat/>
    <w:uiPriority w:val="0"/>
    <w:pPr>
      <w:ind w:firstLine="420"/>
    </w:pPr>
    <w:rPr>
      <w:szCs w:val="20"/>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basedOn w:val="1"/>
    <w:link w:val="119"/>
    <w:qFormat/>
    <w:uiPriority w:val="0"/>
    <w:pPr>
      <w:jc w:val="left"/>
    </w:pPr>
  </w:style>
  <w:style w:type="paragraph" w:styleId="19">
    <w:name w:val="Body Text 3"/>
    <w:basedOn w:val="1"/>
    <w:link w:val="143"/>
    <w:qFormat/>
    <w:uiPriority w:val="0"/>
    <w:pPr>
      <w:snapToGrid w:val="0"/>
    </w:pPr>
    <w:rPr>
      <w:rFonts w:hAnsi="宋体" w:eastAsia="仿宋_GB2312"/>
      <w:b/>
      <w:bCs/>
      <w:sz w:val="24"/>
      <w:szCs w:val="20"/>
    </w:rPr>
  </w:style>
  <w:style w:type="paragraph" w:styleId="20">
    <w:name w:val="Body Text Indent"/>
    <w:basedOn w:val="1"/>
    <w:next w:val="1"/>
    <w:link w:val="144"/>
    <w:qFormat/>
    <w:uiPriority w:val="0"/>
    <w:pPr>
      <w:spacing w:line="200" w:lineRule="exact"/>
      <w:ind w:firstLine="301"/>
    </w:p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5"/>
    <w:basedOn w:val="1"/>
    <w:next w:val="1"/>
    <w:qFormat/>
    <w:uiPriority w:val="0"/>
    <w:pPr>
      <w:ind w:left="840"/>
      <w:jc w:val="left"/>
    </w:pPr>
    <w:rPr>
      <w:rFonts w:ascii="Calibri" w:hAnsi="Calibri" w:cs="Calibri"/>
      <w:sz w:val="18"/>
      <w:szCs w:val="18"/>
    </w:rPr>
  </w:style>
  <w:style w:type="paragraph" w:styleId="24">
    <w:name w:val="toc 3"/>
    <w:basedOn w:val="1"/>
    <w:next w:val="1"/>
    <w:qFormat/>
    <w:uiPriority w:val="0"/>
    <w:pPr>
      <w:ind w:left="840" w:leftChars="400"/>
    </w:pPr>
  </w:style>
  <w:style w:type="paragraph" w:styleId="25">
    <w:name w:val="Plain Text"/>
    <w:basedOn w:val="1"/>
    <w:next w:val="1"/>
    <w:link w:val="127"/>
    <w:qFormat/>
    <w:uiPriority w:val="0"/>
    <w:pPr>
      <w:spacing w:beforeLines="50" w:afterLines="50" w:line="400" w:lineRule="exact"/>
    </w:pPr>
    <w:rPr>
      <w:rFonts w:hint="eastAsia" w:ascii="宋体" w:hAnsi="Courier New"/>
      <w:kern w:val="0"/>
      <w:szCs w:val="20"/>
    </w:rPr>
  </w:style>
  <w:style w:type="paragraph" w:styleId="26">
    <w:name w:val="toc 8"/>
    <w:basedOn w:val="1"/>
    <w:next w:val="1"/>
    <w:qFormat/>
    <w:uiPriority w:val="0"/>
    <w:pPr>
      <w:ind w:left="1470"/>
      <w:jc w:val="left"/>
    </w:pPr>
    <w:rPr>
      <w:rFonts w:ascii="Calibri" w:hAnsi="Calibri" w:cs="Calibri"/>
      <w:sz w:val="18"/>
      <w:szCs w:val="18"/>
    </w:rPr>
  </w:style>
  <w:style w:type="paragraph" w:styleId="27">
    <w:name w:val="Date"/>
    <w:basedOn w:val="1"/>
    <w:next w:val="1"/>
    <w:link w:val="152"/>
    <w:qFormat/>
    <w:uiPriority w:val="0"/>
    <w:pPr>
      <w:ind w:left="2500" w:leftChars="2500"/>
    </w:pPr>
    <w:rPr>
      <w:rFonts w:eastAsia="楷体_GB2312"/>
      <w:sz w:val="32"/>
      <w:szCs w:val="20"/>
    </w:rPr>
  </w:style>
  <w:style w:type="paragraph" w:styleId="28">
    <w:name w:val="Body Text Indent 2"/>
    <w:basedOn w:val="1"/>
    <w:link w:val="156"/>
    <w:qFormat/>
    <w:uiPriority w:val="0"/>
    <w:pPr>
      <w:snapToGrid w:val="0"/>
      <w:ind w:firstLine="542" w:firstLineChars="225"/>
    </w:pPr>
    <w:rPr>
      <w:rFonts w:hint="eastAsia" w:ascii="仿宋_GB2312" w:hAnsi="宋体" w:eastAsia="仿宋_GB2312"/>
      <w:b/>
      <w:color w:val="000000"/>
      <w:sz w:val="24"/>
    </w:rPr>
  </w:style>
  <w:style w:type="paragraph" w:styleId="29">
    <w:name w:val="endnote text"/>
    <w:basedOn w:val="1"/>
    <w:link w:val="109"/>
    <w:qFormat/>
    <w:uiPriority w:val="0"/>
    <w:pPr>
      <w:snapToGrid w:val="0"/>
      <w:jc w:val="left"/>
    </w:pPr>
  </w:style>
  <w:style w:type="paragraph" w:styleId="30">
    <w:name w:val="Balloon Text"/>
    <w:basedOn w:val="1"/>
    <w:link w:val="150"/>
    <w:qFormat/>
    <w:uiPriority w:val="0"/>
    <w:rPr>
      <w:sz w:val="18"/>
      <w:szCs w:val="18"/>
    </w:rPr>
  </w:style>
  <w:style w:type="paragraph" w:styleId="31">
    <w:name w:val="footer"/>
    <w:basedOn w:val="1"/>
    <w:link w:val="146"/>
    <w:qFormat/>
    <w:uiPriority w:val="0"/>
    <w:pPr>
      <w:tabs>
        <w:tab w:val="center" w:pos="4153"/>
        <w:tab w:val="right" w:pos="8306"/>
      </w:tabs>
      <w:snapToGrid w:val="0"/>
      <w:jc w:val="left"/>
    </w:pPr>
    <w:rPr>
      <w:rFonts w:eastAsia="黑体"/>
      <w:snapToGrid w:val="0"/>
      <w:kern w:val="0"/>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link w:val="17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4">
    <w:name w:val="toc 1"/>
    <w:basedOn w:val="1"/>
    <w:next w:val="1"/>
    <w:qFormat/>
    <w:uiPriority w:val="0"/>
    <w:rPr>
      <w:b/>
      <w:sz w:val="32"/>
    </w:rPr>
  </w:style>
  <w:style w:type="paragraph" w:styleId="35">
    <w:name w:val="toc 4"/>
    <w:basedOn w:val="1"/>
    <w:next w:val="1"/>
    <w:qFormat/>
    <w:uiPriority w:val="0"/>
    <w:pPr>
      <w:ind w:left="630"/>
      <w:jc w:val="left"/>
    </w:pPr>
    <w:rPr>
      <w:rFonts w:ascii="Calibri" w:hAnsi="Calibri" w:cs="Calibri"/>
      <w:sz w:val="18"/>
      <w:szCs w:val="18"/>
    </w:rPr>
  </w:style>
  <w:style w:type="paragraph" w:styleId="36">
    <w:name w:val="List"/>
    <w:basedOn w:val="1"/>
    <w:qFormat/>
    <w:uiPriority w:val="0"/>
    <w:pPr>
      <w:ind w:left="200" w:hanging="200" w:hangingChars="200"/>
    </w:pPr>
    <w:rPr>
      <w:sz w:val="28"/>
    </w:rPr>
  </w:style>
  <w:style w:type="paragraph" w:styleId="37">
    <w:name w:val="footnote text"/>
    <w:basedOn w:val="1"/>
    <w:link w:val="153"/>
    <w:qFormat/>
    <w:uiPriority w:val="0"/>
    <w:pPr>
      <w:snapToGrid w:val="0"/>
      <w:jc w:val="left"/>
    </w:pPr>
    <w:rPr>
      <w:sz w:val="18"/>
      <w:szCs w:val="18"/>
    </w:rPr>
  </w:style>
  <w:style w:type="paragraph" w:styleId="38">
    <w:name w:val="toc 6"/>
    <w:basedOn w:val="1"/>
    <w:next w:val="1"/>
    <w:qFormat/>
    <w:uiPriority w:val="0"/>
    <w:pPr>
      <w:ind w:left="1050"/>
      <w:jc w:val="left"/>
    </w:pPr>
    <w:rPr>
      <w:rFonts w:ascii="Calibri" w:hAnsi="Calibri" w:cs="Calibri"/>
      <w:sz w:val="18"/>
      <w:szCs w:val="18"/>
    </w:rPr>
  </w:style>
  <w:style w:type="paragraph" w:styleId="39">
    <w:name w:val="Body Text Indent 3"/>
    <w:basedOn w:val="1"/>
    <w:link w:val="154"/>
    <w:qFormat/>
    <w:uiPriority w:val="0"/>
    <w:pPr>
      <w:snapToGrid w:val="0"/>
      <w:ind w:firstLine="480" w:firstLineChars="200"/>
      <w:jc w:val="left"/>
    </w:pPr>
    <w:rPr>
      <w:rFonts w:ascii="仿宋_GB2312" w:hAnsi="宋体" w:eastAsia="仿宋_GB2312"/>
      <w:color w:val="000000"/>
      <w:sz w:val="24"/>
    </w:rPr>
  </w:style>
  <w:style w:type="paragraph" w:styleId="40">
    <w:name w:val="toc 2"/>
    <w:basedOn w:val="1"/>
    <w:next w:val="1"/>
    <w:qFormat/>
    <w:uiPriority w:val="0"/>
    <w:pPr>
      <w:ind w:left="420" w:leftChars="200"/>
    </w:pPr>
  </w:style>
  <w:style w:type="paragraph" w:styleId="41">
    <w:name w:val="toc 9"/>
    <w:basedOn w:val="1"/>
    <w:next w:val="1"/>
    <w:qFormat/>
    <w:uiPriority w:val="0"/>
    <w:pPr>
      <w:ind w:left="1680"/>
      <w:jc w:val="left"/>
    </w:pPr>
    <w:rPr>
      <w:rFonts w:ascii="Calibri" w:hAnsi="Calibri" w:cs="Calibri"/>
      <w:sz w:val="18"/>
      <w:szCs w:val="18"/>
    </w:rPr>
  </w:style>
  <w:style w:type="paragraph" w:styleId="42">
    <w:name w:val="Body Text 2"/>
    <w:basedOn w:val="1"/>
    <w:link w:val="126"/>
    <w:qFormat/>
    <w:uiPriority w:val="0"/>
    <w:pPr>
      <w:widowControl/>
      <w:snapToGrid w:val="0"/>
      <w:spacing w:afterLines="50" w:line="400" w:lineRule="exact"/>
      <w:jc w:val="left"/>
    </w:pPr>
    <w:rPr>
      <w:rFonts w:ascii="宋体" w:hAnsi="宋体"/>
      <w:color w:val="000000"/>
      <w:sz w:val="24"/>
    </w:rPr>
  </w:style>
  <w:style w:type="paragraph" w:styleId="43">
    <w:name w:val="Normal (Web)"/>
    <w:basedOn w:val="1"/>
    <w:qFormat/>
    <w:uiPriority w:val="0"/>
    <w:pPr>
      <w:widowControl/>
      <w:spacing w:beforeAutospacing="1" w:afterAutospacing="1"/>
      <w:jc w:val="left"/>
    </w:pPr>
    <w:rPr>
      <w:kern w:val="0"/>
      <w:sz w:val="24"/>
    </w:rPr>
  </w:style>
  <w:style w:type="paragraph" w:styleId="44">
    <w:name w:val="Title"/>
    <w:basedOn w:val="1"/>
    <w:next w:val="1"/>
    <w:qFormat/>
    <w:uiPriority w:val="10"/>
    <w:pPr>
      <w:spacing w:before="240" w:after="60"/>
      <w:jc w:val="center"/>
      <w:outlineLvl w:val="0"/>
    </w:pPr>
    <w:rPr>
      <w:rFonts w:ascii="Cambria" w:hAnsi="Cambria"/>
      <w:b/>
      <w:bCs/>
      <w:sz w:val="32"/>
      <w:szCs w:val="32"/>
    </w:rPr>
  </w:style>
  <w:style w:type="paragraph" w:styleId="45">
    <w:name w:val="annotation subject"/>
    <w:basedOn w:val="18"/>
    <w:next w:val="18"/>
    <w:link w:val="165"/>
    <w:unhideWhenUsed/>
    <w:qFormat/>
    <w:uiPriority w:val="99"/>
    <w:rPr>
      <w:b/>
      <w:bCs/>
    </w:rPr>
  </w:style>
  <w:style w:type="paragraph" w:styleId="46">
    <w:name w:val="Body Text First Indent 2"/>
    <w:basedOn w:val="20"/>
    <w:next w:val="1"/>
    <w:qFormat/>
    <w:uiPriority w:val="0"/>
    <w:pPr>
      <w:ind w:firstLine="420" w:firstLineChars="200"/>
    </w:pPr>
    <w:rPr>
      <w:lang w:val="zh-CN"/>
    </w:rPr>
  </w:style>
  <w:style w:type="table" w:styleId="48">
    <w:name w:val="Table Grid"/>
    <w:basedOn w:val="4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rFonts w:ascii="Verdana" w:hAnsi="Verdana"/>
      <w:b/>
      <w:kern w:val="0"/>
      <w:sz w:val="20"/>
      <w:szCs w:val="20"/>
      <w:lang w:eastAsia="en-US"/>
    </w:rPr>
  </w:style>
  <w:style w:type="character" w:styleId="51">
    <w:name w:val="page number"/>
    <w:basedOn w:val="49"/>
    <w:qFormat/>
    <w:uiPriority w:val="0"/>
  </w:style>
  <w:style w:type="character" w:styleId="52">
    <w:name w:val="FollowedHyperlink"/>
    <w:basedOn w:val="49"/>
    <w:qFormat/>
    <w:uiPriority w:val="0"/>
    <w:rPr>
      <w:color w:val="2687D0"/>
      <w:u w:val="single"/>
    </w:rPr>
  </w:style>
  <w:style w:type="character" w:styleId="53">
    <w:name w:val="Emphasis"/>
    <w:basedOn w:val="49"/>
    <w:qFormat/>
    <w:uiPriority w:val="20"/>
  </w:style>
  <w:style w:type="character" w:styleId="54">
    <w:name w:val="HTML Definition"/>
    <w:basedOn w:val="49"/>
    <w:unhideWhenUsed/>
    <w:qFormat/>
    <w:uiPriority w:val="99"/>
  </w:style>
  <w:style w:type="character" w:styleId="55">
    <w:name w:val="HTML Variable"/>
    <w:basedOn w:val="49"/>
    <w:semiHidden/>
    <w:unhideWhenUsed/>
    <w:qFormat/>
    <w:uiPriority w:val="99"/>
  </w:style>
  <w:style w:type="character" w:styleId="56">
    <w:name w:val="Hyperlink"/>
    <w:basedOn w:val="49"/>
    <w:qFormat/>
    <w:uiPriority w:val="0"/>
    <w:rPr>
      <w:color w:val="2687D0"/>
      <w:u w:val="single"/>
    </w:rPr>
  </w:style>
  <w:style w:type="character" w:styleId="57">
    <w:name w:val="HTML Code"/>
    <w:basedOn w:val="49"/>
    <w:unhideWhenUsed/>
    <w:qFormat/>
    <w:uiPriority w:val="99"/>
    <w:rPr>
      <w:rFonts w:ascii="Monaco" w:hAnsi="Monaco" w:eastAsia="Monaco" w:cs="Monaco"/>
      <w:sz w:val="21"/>
      <w:szCs w:val="21"/>
    </w:rPr>
  </w:style>
  <w:style w:type="character" w:styleId="58">
    <w:name w:val="annotation reference"/>
    <w:qFormat/>
    <w:uiPriority w:val="0"/>
    <w:rPr>
      <w:sz w:val="21"/>
      <w:szCs w:val="21"/>
    </w:rPr>
  </w:style>
  <w:style w:type="character" w:styleId="59">
    <w:name w:val="HTML Cite"/>
    <w:basedOn w:val="49"/>
    <w:semiHidden/>
    <w:unhideWhenUsed/>
    <w:qFormat/>
    <w:uiPriority w:val="99"/>
  </w:style>
  <w:style w:type="character" w:styleId="60">
    <w:name w:val="HTML Keyboard"/>
    <w:basedOn w:val="49"/>
    <w:unhideWhenUsed/>
    <w:qFormat/>
    <w:uiPriority w:val="99"/>
    <w:rPr>
      <w:rFonts w:hint="default" w:ascii="Monaco" w:hAnsi="Monaco" w:eastAsia="Monaco" w:cs="Monaco"/>
      <w:sz w:val="21"/>
      <w:szCs w:val="21"/>
    </w:rPr>
  </w:style>
  <w:style w:type="character" w:styleId="61">
    <w:name w:val="HTML Sample"/>
    <w:basedOn w:val="49"/>
    <w:unhideWhenUsed/>
    <w:qFormat/>
    <w:uiPriority w:val="99"/>
    <w:rPr>
      <w:rFonts w:hint="default" w:ascii="Monaco" w:hAnsi="Monaco" w:eastAsia="Monaco" w:cs="Monaco"/>
      <w:sz w:val="21"/>
      <w:szCs w:val="21"/>
    </w:rPr>
  </w:style>
  <w:style w:type="paragraph" w:customStyle="1" w:styleId="62">
    <w:name w:val="正文1"/>
    <w:basedOn w:val="1"/>
    <w:qFormat/>
    <w:uiPriority w:val="0"/>
    <w:pPr>
      <w:adjustRightInd w:val="0"/>
      <w:spacing w:line="318" w:lineRule="atLeast"/>
      <w:ind w:left="369" w:firstLine="369"/>
      <w:textAlignment w:val="baseline"/>
    </w:pPr>
    <w:rPr>
      <w:rFonts w:ascii="宋体"/>
      <w:szCs w:val="20"/>
    </w:rPr>
  </w:style>
  <w:style w:type="paragraph" w:customStyle="1" w:styleId="63">
    <w:name w:val="正文2"/>
    <w:basedOn w:val="1"/>
    <w:qFormat/>
    <w:uiPriority w:val="0"/>
    <w:pPr>
      <w:adjustRightInd w:val="0"/>
      <w:spacing w:line="318" w:lineRule="atLeast"/>
      <w:ind w:left="369" w:firstLine="369"/>
      <w:textAlignment w:val="baseline"/>
    </w:pPr>
    <w:rPr>
      <w:rFonts w:ascii="宋体"/>
      <w:szCs w:val="20"/>
    </w:rPr>
  </w:style>
  <w:style w:type="paragraph" w:customStyle="1" w:styleId="64">
    <w:name w:val="样式 标题 3 +"/>
    <w:basedOn w:val="6"/>
    <w:qFormat/>
    <w:uiPriority w:val="0"/>
    <w:rPr>
      <w:kern w:val="0"/>
    </w:rPr>
  </w:style>
  <w:style w:type="paragraph" w:customStyle="1" w:styleId="65">
    <w:name w:val="正文段"/>
    <w:basedOn w:val="1"/>
    <w:qFormat/>
    <w:uiPriority w:val="0"/>
    <w:pPr>
      <w:widowControl/>
      <w:snapToGrid w:val="0"/>
      <w:spacing w:afterLines="50"/>
      <w:ind w:firstLine="200" w:firstLineChars="200"/>
    </w:pPr>
    <w:rPr>
      <w:kern w:val="0"/>
      <w:sz w:val="24"/>
      <w:szCs w:val="20"/>
    </w:rPr>
  </w:style>
  <w:style w:type="paragraph" w:customStyle="1" w:styleId="66">
    <w:name w:val="自由格式 A"/>
    <w:qFormat/>
    <w:uiPriority w:val="0"/>
    <w:rPr>
      <w:rFonts w:ascii="Helvetica" w:hAnsi="Helvetica" w:eastAsia="ヒラギノ角ゴ Pro W3" w:cs="Times New Roman"/>
      <w:color w:val="000000"/>
      <w:sz w:val="24"/>
      <w:lang w:val="en-US" w:eastAsia="zh-CN" w:bidi="ar-SA"/>
    </w:rPr>
  </w:style>
  <w:style w:type="paragraph" w:customStyle="1" w:styleId="67">
    <w:name w:val="Y_段"/>
    <w:basedOn w:val="1"/>
    <w:link w:val="110"/>
    <w:qFormat/>
    <w:uiPriority w:val="0"/>
    <w:pPr>
      <w:widowControl/>
      <w:spacing w:line="300" w:lineRule="auto"/>
      <w:ind w:firstLine="200" w:firstLineChars="200"/>
    </w:pPr>
    <w:rPr>
      <w:rFonts w:hint="eastAsia" w:ascii="宋体" w:hAnsi="Calibri" w:eastAsia="仿宋_GB2312"/>
      <w:kern w:val="0"/>
      <w:sz w:val="24"/>
      <w:szCs w:val="21"/>
    </w:rPr>
  </w:style>
  <w:style w:type="paragraph" w:customStyle="1" w:styleId="68">
    <w:name w:val="msolistparagraph"/>
    <w:basedOn w:val="1"/>
    <w:qFormat/>
    <w:uiPriority w:val="0"/>
    <w:pPr>
      <w:ind w:firstLine="420" w:firstLineChars="200"/>
    </w:pPr>
    <w:rPr>
      <w:rFonts w:ascii="Calibri" w:hAnsi="Calibri"/>
      <w:szCs w:val="22"/>
    </w:rPr>
  </w:style>
  <w:style w:type="paragraph" w:customStyle="1" w:styleId="69">
    <w:name w:val="Char"/>
    <w:basedOn w:val="1"/>
    <w:qFormat/>
    <w:uiPriority w:val="0"/>
    <w:pPr>
      <w:widowControl/>
      <w:spacing w:line="240" w:lineRule="exact"/>
      <w:jc w:val="left"/>
    </w:pPr>
    <w:rPr>
      <w:szCs w:val="20"/>
    </w:rPr>
  </w:style>
  <w:style w:type="paragraph" w:customStyle="1" w:styleId="7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1">
    <w:name w:val="列出段落1"/>
    <w:basedOn w:val="1"/>
    <w:qFormat/>
    <w:uiPriority w:val="0"/>
    <w:pPr>
      <w:ind w:firstLine="420" w:firstLineChars="200"/>
    </w:pPr>
    <w:rPr>
      <w:rFonts w:ascii="Calibri" w:hAnsi="Calibri"/>
      <w:szCs w:val="22"/>
    </w:rPr>
  </w:style>
  <w:style w:type="paragraph" w:customStyle="1" w:styleId="72">
    <w:name w:val="p17"/>
    <w:basedOn w:val="1"/>
    <w:qFormat/>
    <w:uiPriority w:val="0"/>
    <w:pPr>
      <w:widowControl/>
      <w:snapToGrid w:val="0"/>
      <w:spacing w:line="315" w:lineRule="atLeast"/>
      <w:ind w:firstLine="420"/>
      <w:jc w:val="left"/>
    </w:pPr>
    <w:rPr>
      <w:rFonts w:ascii="宋体" w:hAnsi="宋体" w:cs="宋体"/>
      <w:kern w:val="0"/>
      <w:szCs w:val="21"/>
    </w:rPr>
  </w:style>
  <w:style w:type="paragraph" w:customStyle="1" w:styleId="73">
    <w:name w:val="Char1"/>
    <w:basedOn w:val="1"/>
    <w:qFormat/>
    <w:uiPriority w:val="0"/>
    <w:rPr>
      <w:rFonts w:ascii="Tahoma" w:hAnsi="Tahoma"/>
      <w:sz w:val="24"/>
      <w:szCs w:val="20"/>
    </w:rPr>
  </w:style>
  <w:style w:type="paragraph" w:customStyle="1" w:styleId="74">
    <w:name w:val="Y_一级条标题"/>
    <w:basedOn w:val="1"/>
    <w:next w:val="67"/>
    <w:link w:val="102"/>
    <w:qFormat/>
    <w:uiPriority w:val="0"/>
    <w:pPr>
      <w:widowControl/>
      <w:tabs>
        <w:tab w:val="left" w:pos="360"/>
      </w:tabs>
      <w:spacing w:beforeLines="50" w:afterLines="50" w:line="300" w:lineRule="auto"/>
      <w:outlineLvl w:val="1"/>
    </w:pPr>
    <w:rPr>
      <w:rFonts w:hint="eastAsia" w:ascii="黑体" w:hAnsi="Calibri" w:eastAsia="黑体"/>
      <w:kern w:val="0"/>
      <w:sz w:val="24"/>
      <w:szCs w:val="21"/>
    </w:rPr>
  </w:style>
  <w:style w:type="paragraph" w:customStyle="1" w:styleId="75">
    <w:name w:val="Char2"/>
    <w:basedOn w:val="1"/>
    <w:qFormat/>
    <w:uiPriority w:val="0"/>
    <w:rPr>
      <w:rFonts w:ascii="仿宋_GB2312" w:eastAsia="仿宋_GB2312"/>
      <w:b/>
      <w:sz w:val="32"/>
      <w:szCs w:val="32"/>
    </w:rPr>
  </w:style>
  <w:style w:type="paragraph" w:customStyle="1" w:styleId="76">
    <w:name w:val="_Style 67"/>
    <w:unhideWhenUsed/>
    <w:qFormat/>
    <w:uiPriority w:val="99"/>
    <w:rPr>
      <w:rFonts w:ascii="Times New Roman" w:hAnsi="Times New Roman" w:eastAsia="宋体" w:cs="Times New Roman"/>
      <w:kern w:val="2"/>
      <w:sz w:val="21"/>
      <w:szCs w:val="24"/>
      <w:lang w:val="en-US" w:eastAsia="zh-CN" w:bidi="ar-SA"/>
    </w:rPr>
  </w:style>
  <w:style w:type="paragraph" w:customStyle="1" w:styleId="77">
    <w:name w:val="样式 标题 1 + 两端对齐"/>
    <w:basedOn w:val="5"/>
    <w:next w:val="5"/>
    <w:qFormat/>
    <w:uiPriority w:val="0"/>
    <w:pPr>
      <w:autoSpaceDE w:val="0"/>
      <w:autoSpaceDN w:val="0"/>
      <w:adjustRightInd w:val="0"/>
      <w:spacing w:line="240" w:lineRule="auto"/>
      <w:jc w:val="center"/>
    </w:pPr>
    <w:rPr>
      <w:rFonts w:ascii="汉鼎简细圆" w:hAnsi="Times New Roman" w:eastAsia="宋体" w:cs="宋体"/>
      <w:kern w:val="44"/>
      <w:sz w:val="28"/>
      <w:szCs w:val="20"/>
    </w:rPr>
  </w:style>
  <w:style w:type="paragraph" w:customStyle="1" w:styleId="78">
    <w:name w:val="Char Char Char Char Char Char Char Char Char Char Char Char1 Char"/>
    <w:basedOn w:val="17"/>
    <w:qFormat/>
    <w:uiPriority w:val="0"/>
    <w:rPr>
      <w:rFonts w:ascii="Tahoma" w:hAnsi="Tahoma"/>
      <w:sz w:val="24"/>
    </w:rPr>
  </w:style>
  <w:style w:type="paragraph" w:styleId="79">
    <w:name w:val="List Paragraph"/>
    <w:basedOn w:val="1"/>
    <w:qFormat/>
    <w:uiPriority w:val="0"/>
    <w:pPr>
      <w:ind w:firstLine="420" w:firstLineChars="200"/>
    </w:pPr>
    <w:rPr>
      <w:rFonts w:ascii="Calibri" w:hAnsi="Calibri"/>
      <w:szCs w:val="22"/>
    </w:rPr>
  </w:style>
  <w:style w:type="paragraph" w:customStyle="1" w:styleId="8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1">
    <w:name w:val="xl24"/>
    <w:basedOn w:val="1"/>
    <w:qFormat/>
    <w:uiPriority w:val="0"/>
    <w:pPr>
      <w:widowControl/>
      <w:spacing w:beforeAutospacing="1" w:afterAutospacing="1"/>
      <w:jc w:val="center"/>
      <w:textAlignment w:val="center"/>
    </w:pPr>
    <w:rPr>
      <w:rFonts w:ascii="宋体" w:hAnsi="宋体"/>
      <w:kern w:val="0"/>
      <w:sz w:val="24"/>
    </w:rPr>
  </w:style>
  <w:style w:type="paragraph" w:customStyle="1" w:styleId="82">
    <w:name w:val="List Paragraph1"/>
    <w:basedOn w:val="1"/>
    <w:qFormat/>
    <w:uiPriority w:val="0"/>
    <w:pPr>
      <w:ind w:firstLine="420" w:firstLineChars="200"/>
    </w:pPr>
    <w:rPr>
      <w:rFonts w:ascii="Calibri" w:hAnsi="Calibri" w:cs="Calibri"/>
    </w:rPr>
  </w:style>
  <w:style w:type="paragraph" w:customStyle="1" w:styleId="83">
    <w:name w:val="_Style 74"/>
    <w:basedOn w:val="4"/>
    <w:next w:val="1"/>
    <w:qFormat/>
    <w:uiPriority w:val="0"/>
    <w:pPr>
      <w:widowControl/>
      <w:spacing w:line="276" w:lineRule="auto"/>
      <w:jc w:val="left"/>
      <w:outlineLvl w:val="9"/>
    </w:pPr>
    <w:rPr>
      <w:rFonts w:ascii="Cambria" w:hAnsi="Cambria"/>
      <w:color w:val="365F91"/>
      <w:kern w:val="0"/>
      <w:sz w:val="28"/>
      <w:szCs w:val="28"/>
    </w:rPr>
  </w:style>
  <w:style w:type="paragraph" w:customStyle="1" w:styleId="84">
    <w:name w:val="xl66"/>
    <w:basedOn w:val="1"/>
    <w:qFormat/>
    <w:uiPriority w:val="0"/>
    <w:pPr>
      <w:widowControl/>
      <w:pBdr>
        <w:left w:val="single" w:color="auto" w:sz="4" w:space="0"/>
        <w:bottom w:val="single" w:color="auto" w:sz="4" w:space="0"/>
      </w:pBdr>
      <w:spacing w:beforeAutospacing="1" w:afterAutospacing="1"/>
      <w:jc w:val="center"/>
    </w:pPr>
    <w:rPr>
      <w:rFonts w:ascii="宋体" w:hAnsi="宋体"/>
      <w:kern w:val="0"/>
      <w:sz w:val="24"/>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paragraph" w:customStyle="1" w:styleId="86">
    <w:name w:val="Y_正文图标题"/>
    <w:basedOn w:val="1"/>
    <w:next w:val="67"/>
    <w:link w:val="138"/>
    <w:qFormat/>
    <w:uiPriority w:val="0"/>
    <w:pPr>
      <w:widowControl/>
      <w:spacing w:line="300" w:lineRule="auto"/>
      <w:jc w:val="center"/>
    </w:pPr>
    <w:rPr>
      <w:rFonts w:hint="eastAsia" w:ascii="黑体" w:hAnsi="Calibri" w:eastAsia="黑体"/>
      <w:kern w:val="0"/>
      <w:sz w:val="24"/>
      <w:szCs w:val="21"/>
    </w:rPr>
  </w:style>
  <w:style w:type="paragraph" w:customStyle="1" w:styleId="87">
    <w:name w:val="Char11"/>
    <w:basedOn w:val="1"/>
    <w:qFormat/>
    <w:uiPriority w:val="0"/>
    <w:rPr>
      <w:rFonts w:ascii="Tahoma" w:hAnsi="Tahoma"/>
      <w:sz w:val="24"/>
      <w:szCs w:val="20"/>
    </w:rPr>
  </w:style>
  <w:style w:type="paragraph" w:customStyle="1" w:styleId="88">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89">
    <w:name w:val="p0"/>
    <w:basedOn w:val="1"/>
    <w:qFormat/>
    <w:uiPriority w:val="0"/>
    <w:pPr>
      <w:widowControl/>
    </w:pPr>
    <w:rPr>
      <w:kern w:val="0"/>
      <w:szCs w:val="21"/>
    </w:rPr>
  </w:style>
  <w:style w:type="paragraph" w:customStyle="1" w:styleId="90">
    <w:name w:val="_Style 81"/>
    <w:basedOn w:val="1"/>
    <w:next w:val="1"/>
    <w:qFormat/>
    <w:uiPriority w:val="0"/>
    <w:pPr>
      <w:pBdr>
        <w:bottom w:val="single" w:color="auto" w:sz="6" w:space="1"/>
      </w:pBdr>
      <w:jc w:val="center"/>
    </w:pPr>
    <w:rPr>
      <w:rFonts w:ascii="Arial"/>
      <w:vanish/>
      <w:sz w:val="16"/>
    </w:rPr>
  </w:style>
  <w:style w:type="paragraph" w:customStyle="1" w:styleId="91">
    <w:name w:val="样式1"/>
    <w:basedOn w:val="7"/>
    <w:qFormat/>
    <w:uiPriority w:val="0"/>
  </w:style>
  <w:style w:type="paragraph" w:customStyle="1" w:styleId="92">
    <w:name w:val="地址内"/>
    <w:basedOn w:val="1"/>
    <w:qFormat/>
    <w:uiPriority w:val="0"/>
    <w:rPr>
      <w:szCs w:val="20"/>
    </w:rPr>
  </w:style>
  <w:style w:type="paragraph" w:customStyle="1" w:styleId="93">
    <w:name w:val="f1"/>
    <w:basedOn w:val="1"/>
    <w:qFormat/>
    <w:uiPriority w:val="0"/>
    <w:pPr>
      <w:widowControl/>
      <w:spacing w:beforeAutospacing="1" w:afterAutospacing="1"/>
      <w:jc w:val="center"/>
    </w:pPr>
    <w:rPr>
      <w:rFonts w:ascii="Helvetica" w:hAnsi="Helvetica" w:cs="Helvetica"/>
      <w:b/>
      <w:bCs/>
      <w:color w:val="FF8080"/>
      <w:spacing w:val="160"/>
      <w:kern w:val="0"/>
      <w:sz w:val="80"/>
      <w:szCs w:val="80"/>
    </w:rPr>
  </w:style>
  <w:style w:type="paragraph" w:customStyle="1" w:styleId="94">
    <w:name w:val="样式 标题 3 +1"/>
    <w:basedOn w:val="6"/>
    <w:qFormat/>
    <w:uiPriority w:val="0"/>
    <w:rPr>
      <w:kern w:val="0"/>
    </w:rPr>
  </w:style>
  <w:style w:type="paragraph" w:customStyle="1" w:styleId="95">
    <w:name w:val="big"/>
    <w:basedOn w:val="1"/>
    <w:qFormat/>
    <w:uiPriority w:val="0"/>
    <w:pPr>
      <w:widowControl/>
      <w:spacing w:beforeAutospacing="1" w:afterAutospacing="1"/>
      <w:jc w:val="left"/>
    </w:pPr>
    <w:rPr>
      <w:rFonts w:ascii="宋体" w:hAnsi="宋体"/>
      <w:kern w:val="0"/>
      <w:sz w:val="24"/>
    </w:rPr>
  </w:style>
  <w:style w:type="paragraph" w:customStyle="1" w:styleId="96">
    <w:name w:val="_Style 87"/>
    <w:basedOn w:val="1"/>
    <w:next w:val="1"/>
    <w:qFormat/>
    <w:uiPriority w:val="0"/>
    <w:pPr>
      <w:pBdr>
        <w:top w:val="single" w:color="auto" w:sz="6" w:space="1"/>
      </w:pBdr>
      <w:jc w:val="center"/>
    </w:pPr>
    <w:rPr>
      <w:rFonts w:ascii="Arial"/>
      <w:vanish/>
      <w:sz w:val="16"/>
    </w:rPr>
  </w:style>
  <w:style w:type="paragraph" w:customStyle="1" w:styleId="97">
    <w:name w:val="Y_二级条标题"/>
    <w:basedOn w:val="74"/>
    <w:next w:val="67"/>
    <w:qFormat/>
    <w:uiPriority w:val="0"/>
    <w:pPr>
      <w:outlineLvl w:val="2"/>
    </w:pPr>
  </w:style>
  <w:style w:type="paragraph" w:customStyle="1" w:styleId="98">
    <w:name w:val="此正文"/>
    <w:basedOn w:val="1"/>
    <w:qFormat/>
    <w:uiPriority w:val="0"/>
    <w:pPr>
      <w:spacing w:line="360" w:lineRule="auto"/>
      <w:ind w:firstLine="200" w:firstLineChars="200"/>
    </w:pPr>
    <w:rPr>
      <w:sz w:val="24"/>
    </w:rPr>
  </w:style>
  <w:style w:type="paragraph" w:customStyle="1" w:styleId="99">
    <w:name w:val="证文"/>
    <w:basedOn w:val="1"/>
    <w:qFormat/>
    <w:uiPriority w:val="0"/>
    <w:pPr>
      <w:spacing w:line="360" w:lineRule="auto"/>
    </w:pPr>
    <w:rPr>
      <w:sz w:val="24"/>
      <w:szCs w:val="20"/>
    </w:rPr>
  </w:style>
  <w:style w:type="character" w:customStyle="1" w:styleId="100">
    <w:name w:val="m_461"/>
    <w:qFormat/>
    <w:uiPriority w:val="0"/>
  </w:style>
  <w:style w:type="character" w:customStyle="1" w:styleId="101">
    <w:name w:val="m_491"/>
    <w:qFormat/>
    <w:uiPriority w:val="0"/>
  </w:style>
  <w:style w:type="character" w:customStyle="1" w:styleId="102">
    <w:name w:val="Y_一级条标题 Char Char"/>
    <w:link w:val="74"/>
    <w:qFormat/>
    <w:uiPriority w:val="0"/>
    <w:rPr>
      <w:rFonts w:hint="eastAsia" w:ascii="黑体" w:hAnsi="Calibri" w:eastAsia="黑体" w:cs="黑体"/>
      <w:sz w:val="24"/>
      <w:szCs w:val="21"/>
    </w:rPr>
  </w:style>
  <w:style w:type="character" w:customStyle="1" w:styleId="103">
    <w:name w:val="desc"/>
    <w:basedOn w:val="49"/>
    <w:qFormat/>
    <w:uiPriority w:val="0"/>
  </w:style>
  <w:style w:type="character" w:customStyle="1" w:styleId="104">
    <w:name w:val="标题 3 Char"/>
    <w:link w:val="6"/>
    <w:qFormat/>
    <w:uiPriority w:val="0"/>
    <w:rPr>
      <w:rFonts w:ascii="Calibri" w:hAnsi="Calibri"/>
      <w:b/>
      <w:bCs/>
      <w:kern w:val="2"/>
      <w:sz w:val="28"/>
      <w:szCs w:val="32"/>
    </w:rPr>
  </w:style>
  <w:style w:type="character" w:customStyle="1" w:styleId="105">
    <w:name w:val="ant-tree-switcher"/>
    <w:basedOn w:val="49"/>
    <w:qFormat/>
    <w:uiPriority w:val="0"/>
  </w:style>
  <w:style w:type="character" w:customStyle="1" w:styleId="106">
    <w:name w:val="select"/>
    <w:basedOn w:val="49"/>
    <w:qFormat/>
    <w:uiPriority w:val="0"/>
    <w:rPr>
      <w:color w:val="FFFFFF"/>
      <w:shd w:val="clear" w:color="auto" w:fill="3595F8"/>
    </w:rPr>
  </w:style>
  <w:style w:type="character" w:customStyle="1" w:styleId="107">
    <w:name w:val="ant-tree-icon_loading"/>
    <w:basedOn w:val="49"/>
    <w:qFormat/>
    <w:uiPriority w:val="0"/>
    <w:rPr>
      <w:shd w:val="clear" w:color="auto" w:fill="FFFFFF"/>
    </w:rPr>
  </w:style>
  <w:style w:type="character" w:customStyle="1" w:styleId="108">
    <w:name w:val="href-title"/>
    <w:basedOn w:val="49"/>
    <w:qFormat/>
    <w:uiPriority w:val="0"/>
  </w:style>
  <w:style w:type="character" w:customStyle="1" w:styleId="109">
    <w:name w:val="尾注文本 Char"/>
    <w:link w:val="29"/>
    <w:qFormat/>
    <w:uiPriority w:val="0"/>
    <w:rPr>
      <w:kern w:val="2"/>
      <w:sz w:val="21"/>
      <w:szCs w:val="24"/>
    </w:rPr>
  </w:style>
  <w:style w:type="character" w:customStyle="1" w:styleId="110">
    <w:name w:val="Y_段 Char Char"/>
    <w:link w:val="67"/>
    <w:qFormat/>
    <w:uiPriority w:val="0"/>
    <w:rPr>
      <w:rFonts w:hint="eastAsia" w:ascii="宋体" w:hAnsi="Calibri" w:eastAsia="仿宋_GB2312" w:cs="宋体"/>
      <w:sz w:val="24"/>
      <w:szCs w:val="21"/>
    </w:rPr>
  </w:style>
  <w:style w:type="character" w:customStyle="1" w:styleId="111">
    <w:name w:val="current"/>
    <w:basedOn w:val="49"/>
    <w:qFormat/>
    <w:uiPriority w:val="0"/>
    <w:rPr>
      <w:color w:val="FFFFFF"/>
      <w:bdr w:val="single" w:color="197AFF" w:sz="6" w:space="0"/>
      <w:shd w:val="clear" w:color="auto" w:fill="197AFF"/>
    </w:rPr>
  </w:style>
  <w:style w:type="character" w:customStyle="1" w:styleId="112">
    <w:name w:val="success"/>
    <w:basedOn w:val="49"/>
    <w:qFormat/>
    <w:uiPriority w:val="0"/>
    <w:rPr>
      <w:color w:val="2DC12D"/>
    </w:rPr>
  </w:style>
  <w:style w:type="character" w:customStyle="1" w:styleId="113">
    <w:name w:val="mistake1"/>
    <w:basedOn w:val="49"/>
    <w:qFormat/>
    <w:uiPriority w:val="0"/>
    <w:rPr>
      <w:color w:val="CCCCCC"/>
      <w:sz w:val="24"/>
      <w:szCs w:val="24"/>
    </w:rPr>
  </w:style>
  <w:style w:type="character" w:customStyle="1" w:styleId="114">
    <w:name w:val="next-item"/>
    <w:basedOn w:val="49"/>
    <w:qFormat/>
    <w:uiPriority w:val="0"/>
    <w:rPr>
      <w:color w:val="333333"/>
      <w:bdr w:val="single" w:color="CCD0D6" w:sz="6" w:space="0"/>
    </w:rPr>
  </w:style>
  <w:style w:type="character" w:customStyle="1" w:styleId="115">
    <w:name w:val="正文文本缩进 Char"/>
    <w:qFormat/>
    <w:uiPriority w:val="0"/>
    <w:rPr>
      <w:rFonts w:ascii="宋体" w:hAnsi="Courier New"/>
      <w:spacing w:val="-4"/>
      <w:kern w:val="2"/>
      <w:sz w:val="18"/>
    </w:rPr>
  </w:style>
  <w:style w:type="character" w:customStyle="1" w:styleId="116">
    <w:name w:val="标题 7 Char"/>
    <w:link w:val="10"/>
    <w:qFormat/>
    <w:uiPriority w:val="0"/>
    <w:rPr>
      <w:b/>
      <w:kern w:val="2"/>
      <w:sz w:val="21"/>
    </w:rPr>
  </w:style>
  <w:style w:type="character" w:customStyle="1" w:styleId="117">
    <w:name w:val="small2"/>
    <w:basedOn w:val="49"/>
    <w:qFormat/>
    <w:uiPriority w:val="0"/>
    <w:rPr>
      <w:sz w:val="21"/>
      <w:szCs w:val="21"/>
    </w:rPr>
  </w:style>
  <w:style w:type="character" w:customStyle="1" w:styleId="118">
    <w:name w:val="标题 8 Char"/>
    <w:link w:val="11"/>
    <w:qFormat/>
    <w:uiPriority w:val="0"/>
    <w:rPr>
      <w:rFonts w:ascii="Arial" w:hAnsi="Arial" w:eastAsia="黑体"/>
      <w:kern w:val="2"/>
      <w:sz w:val="21"/>
    </w:rPr>
  </w:style>
  <w:style w:type="character" w:customStyle="1" w:styleId="119">
    <w:name w:val="批注文字 Char1"/>
    <w:link w:val="18"/>
    <w:qFormat/>
    <w:uiPriority w:val="0"/>
    <w:rPr>
      <w:kern w:val="2"/>
      <w:sz w:val="21"/>
      <w:szCs w:val="24"/>
    </w:rPr>
  </w:style>
  <w:style w:type="character" w:customStyle="1" w:styleId="120">
    <w:name w:val="纯文本 Char1"/>
    <w:qFormat/>
    <w:uiPriority w:val="0"/>
    <w:rPr>
      <w:rFonts w:hint="eastAsia" w:ascii="宋体" w:hAnsi="Courier New" w:eastAsia="宋体" w:cs="Courier New"/>
      <w:kern w:val="2"/>
      <w:sz w:val="21"/>
      <w:szCs w:val="21"/>
    </w:rPr>
  </w:style>
  <w:style w:type="character" w:customStyle="1" w:styleId="121">
    <w:name w:val="标题 4 Char"/>
    <w:link w:val="7"/>
    <w:qFormat/>
    <w:uiPriority w:val="0"/>
    <w:rPr>
      <w:rFonts w:ascii="Arial" w:hAnsi="Arial" w:eastAsia="黑体"/>
      <w:b/>
      <w:bCs/>
      <w:kern w:val="2"/>
      <w:sz w:val="28"/>
      <w:szCs w:val="28"/>
    </w:rPr>
  </w:style>
  <w:style w:type="character" w:customStyle="1" w:styleId="122">
    <w:name w:val="large"/>
    <w:basedOn w:val="49"/>
    <w:qFormat/>
    <w:uiPriority w:val="0"/>
    <w:rPr>
      <w:color w:val="197AFF"/>
      <w:sz w:val="24"/>
      <w:szCs w:val="24"/>
    </w:rPr>
  </w:style>
  <w:style w:type="character" w:customStyle="1" w:styleId="123">
    <w:name w:val="right"/>
    <w:basedOn w:val="49"/>
    <w:qFormat/>
    <w:uiPriority w:val="0"/>
  </w:style>
  <w:style w:type="character" w:customStyle="1" w:styleId="124">
    <w:name w:val="small"/>
    <w:basedOn w:val="49"/>
    <w:qFormat/>
    <w:uiPriority w:val="0"/>
    <w:rPr>
      <w:color w:val="197AFF"/>
      <w:sz w:val="18"/>
      <w:szCs w:val="18"/>
    </w:rPr>
  </w:style>
  <w:style w:type="character" w:customStyle="1" w:styleId="125">
    <w:name w:val="checker-icon"/>
    <w:basedOn w:val="49"/>
    <w:qFormat/>
    <w:uiPriority w:val="0"/>
  </w:style>
  <w:style w:type="character" w:customStyle="1" w:styleId="126">
    <w:name w:val="正文文本 2 Char"/>
    <w:link w:val="42"/>
    <w:qFormat/>
    <w:uiPriority w:val="0"/>
    <w:rPr>
      <w:rFonts w:ascii="宋体" w:hAnsi="宋体"/>
      <w:color w:val="000000"/>
      <w:kern w:val="2"/>
      <w:sz w:val="24"/>
      <w:szCs w:val="24"/>
    </w:rPr>
  </w:style>
  <w:style w:type="character" w:customStyle="1" w:styleId="127">
    <w:name w:val="纯文本 Char2"/>
    <w:link w:val="25"/>
    <w:qFormat/>
    <w:uiPriority w:val="0"/>
    <w:rPr>
      <w:rFonts w:hint="eastAsia" w:ascii="宋体" w:hAnsi="Courier New" w:eastAsia="宋体" w:cs="宋体"/>
      <w:sz w:val="21"/>
    </w:rPr>
  </w:style>
  <w:style w:type="character" w:customStyle="1" w:styleId="128">
    <w:name w:val="ant-tree-iconele"/>
    <w:basedOn w:val="49"/>
    <w:qFormat/>
    <w:uiPriority w:val="0"/>
  </w:style>
  <w:style w:type="character" w:customStyle="1" w:styleId="129">
    <w:name w:val="标题 1 Char"/>
    <w:basedOn w:val="49"/>
    <w:link w:val="4"/>
    <w:qFormat/>
    <w:uiPriority w:val="0"/>
    <w:rPr>
      <w:b/>
      <w:bCs/>
      <w:kern w:val="44"/>
      <w:sz w:val="30"/>
      <w:szCs w:val="44"/>
    </w:rPr>
  </w:style>
  <w:style w:type="character" w:customStyle="1" w:styleId="130">
    <w:name w:val="m_391"/>
    <w:qFormat/>
    <w:uiPriority w:val="0"/>
  </w:style>
  <w:style w:type="character" w:customStyle="1" w:styleId="131">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132">
    <w:name w:val="标题 5 Char"/>
    <w:link w:val="8"/>
    <w:qFormat/>
    <w:uiPriority w:val="0"/>
    <w:rPr>
      <w:b/>
      <w:bCs/>
      <w:kern w:val="2"/>
      <w:sz w:val="28"/>
      <w:szCs w:val="28"/>
    </w:rPr>
  </w:style>
  <w:style w:type="character" w:customStyle="1" w:styleId="133">
    <w:name w:val="ant-tree-checkbox"/>
    <w:basedOn w:val="49"/>
    <w:qFormat/>
    <w:uiPriority w:val="0"/>
  </w:style>
  <w:style w:type="character" w:customStyle="1" w:styleId="134">
    <w:name w:val="edui-clickable"/>
    <w:basedOn w:val="49"/>
    <w:qFormat/>
    <w:uiPriority w:val="0"/>
    <w:rPr>
      <w:color w:val="0000FF"/>
      <w:u w:val="single"/>
    </w:rPr>
  </w:style>
  <w:style w:type="character" w:customStyle="1" w:styleId="135">
    <w:name w:val="正文文本缩进 2 Char"/>
    <w:qFormat/>
    <w:uiPriority w:val="0"/>
    <w:rPr>
      <w:rFonts w:ascii="仿宋_GB2312" w:hAnsi="宋体" w:cs="Arial"/>
      <w:b/>
      <w:bCs/>
      <w:color w:val="000000"/>
      <w:kern w:val="2"/>
      <w:sz w:val="24"/>
      <w:szCs w:val="24"/>
    </w:rPr>
  </w:style>
  <w:style w:type="character" w:customStyle="1" w:styleId="136">
    <w:name w:val="正文文本 Char"/>
    <w:link w:val="2"/>
    <w:qFormat/>
    <w:uiPriority w:val="0"/>
    <w:rPr>
      <w:kern w:val="2"/>
      <w:sz w:val="28"/>
      <w:szCs w:val="24"/>
    </w:rPr>
  </w:style>
  <w:style w:type="character" w:customStyle="1" w:styleId="137">
    <w:name w:val="z-窗体底端 Char"/>
    <w:qFormat/>
    <w:uiPriority w:val="0"/>
    <w:rPr>
      <w:rFonts w:ascii="Arial" w:hAnsi="Arial" w:cs="Arial"/>
      <w:vanish/>
      <w:kern w:val="2"/>
      <w:sz w:val="16"/>
    </w:rPr>
  </w:style>
  <w:style w:type="character" w:customStyle="1" w:styleId="138">
    <w:name w:val="Y_正文图标题 Char Char"/>
    <w:link w:val="86"/>
    <w:qFormat/>
    <w:uiPriority w:val="0"/>
    <w:rPr>
      <w:rFonts w:hint="eastAsia" w:ascii="黑体" w:hAnsi="Calibri" w:eastAsia="黑体" w:cs="黑体"/>
      <w:sz w:val="24"/>
      <w:szCs w:val="21"/>
    </w:rPr>
  </w:style>
  <w:style w:type="character" w:customStyle="1" w:styleId="139">
    <w:name w:val="m_51"/>
    <w:qFormat/>
    <w:uiPriority w:val="0"/>
  </w:style>
  <w:style w:type="character" w:customStyle="1" w:styleId="140">
    <w:name w:val="纯文本 Char"/>
    <w:qFormat/>
    <w:uiPriority w:val="0"/>
    <w:rPr>
      <w:rFonts w:ascii="宋体" w:hAnsi="Courier New" w:eastAsia="宋体"/>
      <w:kern w:val="2"/>
      <w:sz w:val="24"/>
      <w:szCs w:val="24"/>
      <w:lang w:val="en-US" w:eastAsia="zh-CN" w:bidi="ar-SA"/>
    </w:rPr>
  </w:style>
  <w:style w:type="character" w:customStyle="1" w:styleId="141">
    <w:name w:val="mistake"/>
    <w:basedOn w:val="49"/>
    <w:qFormat/>
    <w:uiPriority w:val="0"/>
    <w:rPr>
      <w:color w:val="CCCCCC"/>
      <w:sz w:val="24"/>
      <w:szCs w:val="24"/>
    </w:rPr>
  </w:style>
  <w:style w:type="character" w:customStyle="1" w:styleId="142">
    <w:name w:val="批注文字 Char"/>
    <w:qFormat/>
    <w:uiPriority w:val="0"/>
    <w:rPr>
      <w:kern w:val="2"/>
      <w:sz w:val="21"/>
      <w:szCs w:val="24"/>
    </w:rPr>
  </w:style>
  <w:style w:type="character" w:customStyle="1" w:styleId="143">
    <w:name w:val="正文文本 3 Char"/>
    <w:link w:val="19"/>
    <w:qFormat/>
    <w:uiPriority w:val="0"/>
    <w:rPr>
      <w:rFonts w:hAnsi="宋体" w:eastAsia="仿宋_GB2312"/>
      <w:b/>
      <w:bCs/>
      <w:kern w:val="2"/>
      <w:sz w:val="24"/>
    </w:rPr>
  </w:style>
  <w:style w:type="character" w:customStyle="1" w:styleId="144">
    <w:name w:val="正文文本缩进 Char1"/>
    <w:link w:val="20"/>
    <w:qFormat/>
    <w:uiPriority w:val="0"/>
    <w:rPr>
      <w:kern w:val="2"/>
      <w:sz w:val="21"/>
      <w:szCs w:val="24"/>
    </w:rPr>
  </w:style>
  <w:style w:type="character" w:customStyle="1" w:styleId="145">
    <w:name w:val="edui-unclickable"/>
    <w:basedOn w:val="49"/>
    <w:qFormat/>
    <w:uiPriority w:val="0"/>
    <w:rPr>
      <w:color w:val="808080"/>
    </w:rPr>
  </w:style>
  <w:style w:type="character" w:customStyle="1" w:styleId="146">
    <w:name w:val="页脚 Char"/>
    <w:link w:val="31"/>
    <w:qFormat/>
    <w:uiPriority w:val="0"/>
    <w:rPr>
      <w:rFonts w:eastAsia="黑体"/>
      <w:snapToGrid w:val="0"/>
      <w:sz w:val="18"/>
      <w:szCs w:val="18"/>
      <w:lang w:val="en-US" w:eastAsia="zh-CN" w:bidi="ar-SA"/>
    </w:rPr>
  </w:style>
  <w:style w:type="character" w:customStyle="1" w:styleId="147">
    <w:name w:val="ant-select-tree-iconele"/>
    <w:basedOn w:val="49"/>
    <w:qFormat/>
    <w:uiPriority w:val="0"/>
  </w:style>
  <w:style w:type="character" w:customStyle="1" w:styleId="148">
    <w:name w:val="ant-select-tree-switcher"/>
    <w:basedOn w:val="49"/>
    <w:qFormat/>
    <w:uiPriority w:val="0"/>
  </w:style>
  <w:style w:type="character" w:customStyle="1" w:styleId="149">
    <w:name w:val="supplier-tips"/>
    <w:basedOn w:val="49"/>
    <w:qFormat/>
    <w:uiPriority w:val="0"/>
    <w:rPr>
      <w:color w:val="FE0322"/>
    </w:rPr>
  </w:style>
  <w:style w:type="character" w:customStyle="1" w:styleId="150">
    <w:name w:val="批注框文本 Char"/>
    <w:link w:val="30"/>
    <w:qFormat/>
    <w:uiPriority w:val="0"/>
    <w:rPr>
      <w:kern w:val="2"/>
      <w:sz w:val="18"/>
      <w:szCs w:val="18"/>
    </w:rPr>
  </w:style>
  <w:style w:type="character" w:customStyle="1" w:styleId="151">
    <w:name w:val="ant-form-item-children1"/>
    <w:basedOn w:val="49"/>
    <w:qFormat/>
    <w:uiPriority w:val="0"/>
  </w:style>
  <w:style w:type="character" w:customStyle="1" w:styleId="152">
    <w:name w:val="日期 Char"/>
    <w:link w:val="27"/>
    <w:qFormat/>
    <w:uiPriority w:val="0"/>
    <w:rPr>
      <w:rFonts w:eastAsia="楷体_GB2312"/>
      <w:kern w:val="2"/>
      <w:sz w:val="32"/>
    </w:rPr>
  </w:style>
  <w:style w:type="character" w:customStyle="1" w:styleId="153">
    <w:name w:val="脚注文本 Char"/>
    <w:link w:val="37"/>
    <w:qFormat/>
    <w:uiPriority w:val="0"/>
    <w:rPr>
      <w:kern w:val="2"/>
      <w:sz w:val="18"/>
      <w:szCs w:val="18"/>
    </w:rPr>
  </w:style>
  <w:style w:type="character" w:customStyle="1" w:styleId="154">
    <w:name w:val="正文文本缩进 3 Char"/>
    <w:link w:val="39"/>
    <w:qFormat/>
    <w:uiPriority w:val="0"/>
    <w:rPr>
      <w:rFonts w:ascii="仿宋_GB2312" w:hAnsi="宋体" w:eastAsia="仿宋_GB2312"/>
      <w:color w:val="000000"/>
      <w:kern w:val="2"/>
      <w:sz w:val="24"/>
      <w:szCs w:val="24"/>
    </w:rPr>
  </w:style>
  <w:style w:type="character" w:customStyle="1" w:styleId="155">
    <w:name w:val="z-窗体顶端 Char"/>
    <w:qFormat/>
    <w:uiPriority w:val="0"/>
    <w:rPr>
      <w:rFonts w:hint="default" w:ascii="Arial" w:hAnsi="Arial" w:cs="Arial"/>
      <w:vanish/>
      <w:kern w:val="2"/>
      <w:sz w:val="16"/>
    </w:rPr>
  </w:style>
  <w:style w:type="character" w:customStyle="1" w:styleId="156">
    <w:name w:val="正文文本缩进 2 Char1"/>
    <w:link w:val="28"/>
    <w:qFormat/>
    <w:uiPriority w:val="0"/>
    <w:rPr>
      <w:rFonts w:hint="eastAsia" w:ascii="仿宋_GB2312" w:hAnsi="宋体" w:eastAsia="仿宋_GB2312" w:cs="Arial"/>
      <w:b/>
      <w:color w:val="000000"/>
      <w:kern w:val="2"/>
      <w:sz w:val="24"/>
      <w:szCs w:val="24"/>
    </w:rPr>
  </w:style>
  <w:style w:type="character" w:customStyle="1" w:styleId="157">
    <w:name w:val="danger"/>
    <w:basedOn w:val="49"/>
    <w:qFormat/>
    <w:uiPriority w:val="0"/>
    <w:rPr>
      <w:color w:val="FF2200"/>
    </w:rPr>
  </w:style>
  <w:style w:type="character" w:customStyle="1" w:styleId="158">
    <w:name w:val="mistske"/>
    <w:basedOn w:val="49"/>
    <w:qFormat/>
    <w:uiPriority w:val="0"/>
    <w:rPr>
      <w:color w:val="CCCCCC"/>
      <w:sz w:val="21"/>
      <w:szCs w:val="21"/>
    </w:rPr>
  </w:style>
  <w:style w:type="character" w:customStyle="1" w:styleId="159">
    <w:name w:val="search"/>
    <w:basedOn w:val="49"/>
    <w:qFormat/>
    <w:uiPriority w:val="0"/>
  </w:style>
  <w:style w:type="character" w:customStyle="1" w:styleId="160">
    <w:name w:val="标题 9 Char"/>
    <w:link w:val="12"/>
    <w:qFormat/>
    <w:uiPriority w:val="0"/>
    <w:rPr>
      <w:rFonts w:ascii="Arial" w:hAnsi="Arial" w:eastAsia="黑体"/>
      <w:kern w:val="2"/>
      <w:sz w:val="21"/>
    </w:rPr>
  </w:style>
  <w:style w:type="character" w:customStyle="1" w:styleId="161">
    <w:name w:val="font14zd"/>
    <w:basedOn w:val="49"/>
    <w:qFormat/>
    <w:uiPriority w:val="0"/>
  </w:style>
  <w:style w:type="character" w:customStyle="1" w:styleId="162">
    <w:name w:val="m_171"/>
    <w:qFormat/>
    <w:uiPriority w:val="0"/>
  </w:style>
  <w:style w:type="character" w:customStyle="1" w:styleId="163">
    <w:name w:val="small1"/>
    <w:basedOn w:val="49"/>
    <w:qFormat/>
    <w:uiPriority w:val="0"/>
    <w:rPr>
      <w:sz w:val="18"/>
      <w:szCs w:val="18"/>
    </w:rPr>
  </w:style>
  <w:style w:type="character" w:customStyle="1" w:styleId="164">
    <w:name w:val="标题 6 Char"/>
    <w:link w:val="9"/>
    <w:qFormat/>
    <w:uiPriority w:val="0"/>
    <w:rPr>
      <w:rFonts w:ascii="Arial" w:hAnsi="Arial" w:eastAsia="黑体"/>
      <w:b/>
      <w:kern w:val="2"/>
      <w:sz w:val="21"/>
    </w:rPr>
  </w:style>
  <w:style w:type="character" w:customStyle="1" w:styleId="165">
    <w:name w:val="批注主题 Char"/>
    <w:link w:val="45"/>
    <w:semiHidden/>
    <w:qFormat/>
    <w:uiPriority w:val="99"/>
    <w:rPr>
      <w:b/>
      <w:bCs/>
      <w:kern w:val="2"/>
      <w:sz w:val="21"/>
      <w:szCs w:val="24"/>
    </w:rPr>
  </w:style>
  <w:style w:type="character" w:customStyle="1" w:styleId="166">
    <w:name w:val="标题 2 Char"/>
    <w:link w:val="5"/>
    <w:qFormat/>
    <w:uiPriority w:val="0"/>
    <w:rPr>
      <w:rFonts w:ascii="Arial" w:hAnsi="Arial" w:eastAsia="黑体"/>
      <w:b/>
      <w:bCs/>
      <w:kern w:val="2"/>
      <w:sz w:val="32"/>
      <w:szCs w:val="32"/>
    </w:rPr>
  </w:style>
  <w:style w:type="character" w:customStyle="1" w:styleId="167">
    <w:name w:val="search1"/>
    <w:basedOn w:val="49"/>
    <w:qFormat/>
    <w:uiPriority w:val="0"/>
  </w:style>
  <w:style w:type="character" w:customStyle="1" w:styleId="168">
    <w:name w:val="纯文本 字符1"/>
    <w:qFormat/>
    <w:uiPriority w:val="0"/>
    <w:rPr>
      <w:rFonts w:ascii="等线" w:hAnsi="Courier New" w:eastAsia="等线" w:cs="Courier New"/>
      <w:kern w:val="2"/>
      <w:sz w:val="21"/>
    </w:rPr>
  </w:style>
  <w:style w:type="character" w:customStyle="1" w:styleId="169">
    <w:name w:val="ant-select-tree-checkbox2"/>
    <w:basedOn w:val="49"/>
    <w:qFormat/>
    <w:uiPriority w:val="0"/>
  </w:style>
  <w:style w:type="character" w:customStyle="1" w:styleId="170">
    <w:name w:val="m_01"/>
    <w:qFormat/>
    <w:uiPriority w:val="0"/>
  </w:style>
  <w:style w:type="character" w:customStyle="1" w:styleId="171">
    <w:name w:val="页眉 Char"/>
    <w:link w:val="33"/>
    <w:qFormat/>
    <w:uiPriority w:val="0"/>
    <w:rPr>
      <w:rFonts w:eastAsia="仿宋_GB2312"/>
      <w:kern w:val="2"/>
      <w:sz w:val="18"/>
    </w:rPr>
  </w:style>
  <w:style w:type="character" w:customStyle="1" w:styleId="172">
    <w:name w:val="caret"/>
    <w:basedOn w:val="49"/>
    <w:qFormat/>
    <w:uiPriority w:val="0"/>
  </w:style>
  <w:style w:type="character" w:customStyle="1" w:styleId="173">
    <w:name w:val="fontborder"/>
    <w:basedOn w:val="49"/>
    <w:qFormat/>
    <w:uiPriority w:val="0"/>
    <w:rPr>
      <w:bdr w:val="single" w:color="000000" w:sz="6" w:space="0"/>
    </w:rPr>
  </w:style>
  <w:style w:type="character" w:customStyle="1" w:styleId="174">
    <w:name w:val="fontstrikethrough"/>
    <w:basedOn w:val="49"/>
    <w:qFormat/>
    <w:uiPriority w:val="0"/>
    <w:rPr>
      <w:strike/>
    </w:rPr>
  </w:style>
  <w:style w:type="paragraph" w:customStyle="1" w:styleId="175">
    <w:name w:val="Body text|1"/>
    <w:basedOn w:val="1"/>
    <w:qFormat/>
    <w:uiPriority w:val="0"/>
    <w:pPr>
      <w:spacing w:line="312" w:lineRule="auto"/>
    </w:pPr>
    <w:rPr>
      <w:rFonts w:ascii="宋体" w:hAnsi="宋体" w:cs="宋体"/>
      <w:color w:val="000008"/>
      <w:sz w:val="20"/>
      <w:szCs w:val="20"/>
      <w:lang w:val="zh-TW" w:eastAsia="zh-TW" w:bidi="zh-TW"/>
    </w:rPr>
  </w:style>
  <w:style w:type="table" w:customStyle="1" w:styleId="176">
    <w:name w:val="Table Normal"/>
    <w:semiHidden/>
    <w:unhideWhenUsed/>
    <w:qFormat/>
    <w:uiPriority w:val="0"/>
    <w:tblPr>
      <w:tblCellMar>
        <w:top w:w="0" w:type="dxa"/>
        <w:left w:w="0" w:type="dxa"/>
        <w:bottom w:w="0" w:type="dxa"/>
        <w:right w:w="0" w:type="dxa"/>
      </w:tblCellMar>
    </w:tblPr>
  </w:style>
  <w:style w:type="character" w:customStyle="1" w:styleId="177">
    <w:name w:val="font11"/>
    <w:basedOn w:val="49"/>
    <w:qFormat/>
    <w:uiPriority w:val="0"/>
    <w:rPr>
      <w:rFonts w:hint="eastAsia" w:ascii="宋体" w:hAnsi="宋体" w:eastAsia="宋体" w:cs="宋体"/>
      <w:b/>
      <w:color w:val="000008"/>
      <w:sz w:val="24"/>
      <w:szCs w:val="24"/>
      <w:u w:val="none"/>
    </w:rPr>
  </w:style>
  <w:style w:type="paragraph" w:customStyle="1" w:styleId="178">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7"/>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57</Pages>
  <Words>28509</Words>
  <Characters>29695</Characters>
  <Lines>248</Lines>
  <Paragraphs>70</Paragraphs>
  <TotalTime>5</TotalTime>
  <ScaleCrop>false</ScaleCrop>
  <LinksUpToDate>false</LinksUpToDate>
  <CharactersWithSpaces>33384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2022-07-05T04:14:00Z</dcterms:created>
  <dc:creator>黄旭明</dc:creator>
  <cp:lastModifiedBy>S&amp;W</cp:lastModifiedBy>
  <cp:lastPrinted>2022-06-30T05:29:00Z</cp:lastPrinted>
  <dcterms:modified xsi:type="dcterms:W3CDTF">2022-07-07T03:06:07Z</dcterms:modified>
  <dc:title>宁波市鄞州区城区内河管理处工程项目设计单位年度资格入围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DD6C416726044C089870790EEA678432</vt:lpwstr>
  </property>
  <property fmtid="{D5CDD505-2E9C-101B-9397-08002B2CF9AE}" pid="4" name="woTemplateTypoMode" linkTarget="0">
    <vt:lpwstr>web</vt:lpwstr>
  </property>
  <property fmtid="{D5CDD505-2E9C-101B-9397-08002B2CF9AE}" pid="5" name="woTemplate" linkTarget="0">
    <vt:i4>1</vt:i4>
  </property>
</Properties>
</file>