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color w:val="auto"/>
          <w:sz w:val="32"/>
          <w:szCs w:val="32"/>
          <w:highlight w:val="none"/>
        </w:rPr>
      </w:pPr>
    </w:p>
    <w:p>
      <w:pPr>
        <w:spacing w:before="120" w:beforeLines="50"/>
        <w:rPr>
          <w:rFonts w:ascii="宋体" w:hAnsi="宋体" w:cs="宋体"/>
          <w:b/>
          <w:color w:val="auto"/>
          <w:sz w:val="52"/>
          <w:szCs w:val="52"/>
          <w:highlight w:val="none"/>
        </w:rPr>
      </w:pPr>
    </w:p>
    <w:p>
      <w:pPr>
        <w:spacing w:before="120" w:beforeLines="5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公开招标采购文件</w:t>
      </w:r>
    </w:p>
    <w:p>
      <w:pPr>
        <w:snapToGrid w:val="0"/>
        <w:spacing w:before="120" w:beforeLines="50" w:line="360" w:lineRule="auto"/>
        <w:rPr>
          <w:rFonts w:ascii="宋体" w:hAnsi="宋体" w:cs="宋体"/>
          <w:color w:val="auto"/>
          <w:sz w:val="30"/>
          <w:szCs w:val="72"/>
          <w:highlight w:val="none"/>
        </w:rPr>
      </w:pPr>
    </w:p>
    <w:p>
      <w:pPr>
        <w:snapToGrid w:val="0"/>
        <w:spacing w:before="120" w:beforeLines="50" w:line="360" w:lineRule="auto"/>
        <w:rPr>
          <w:rFonts w:ascii="宋体" w:hAnsi="宋体" w:cs="宋体"/>
          <w:color w:val="auto"/>
          <w:sz w:val="30"/>
          <w:szCs w:val="72"/>
          <w:highlight w:val="none"/>
        </w:rPr>
      </w:pPr>
    </w:p>
    <w:p>
      <w:pPr>
        <w:snapToGrid w:val="0"/>
        <w:spacing w:before="120" w:beforeLines="50" w:line="360" w:lineRule="auto"/>
        <w:rPr>
          <w:rFonts w:ascii="宋体" w:hAnsi="宋体" w:cs="宋体"/>
          <w:color w:val="auto"/>
          <w:sz w:val="30"/>
          <w:szCs w:val="72"/>
          <w:highlight w:val="none"/>
        </w:rPr>
      </w:pPr>
    </w:p>
    <w:p>
      <w:pPr>
        <w:snapToGrid w:val="0"/>
        <w:spacing w:before="120" w:beforeLines="50" w:line="360" w:lineRule="auto"/>
        <w:rPr>
          <w:rFonts w:ascii="宋体" w:hAnsi="宋体" w:cs="宋体"/>
          <w:color w:val="auto"/>
          <w:sz w:val="30"/>
          <w:szCs w:val="72"/>
          <w:highlight w:val="none"/>
        </w:rPr>
      </w:pPr>
    </w:p>
    <w:tbl>
      <w:tblPr>
        <w:tblStyle w:val="35"/>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18" w:type="dxa"/>
            <w:vAlign w:val="center"/>
          </w:tcPr>
          <w:p>
            <w:pPr>
              <w:snapToGrid w:val="0"/>
              <w:jc w:val="center"/>
              <w:rPr>
                <w:rFonts w:ascii="宋体" w:hAnsi="宋体" w:cs="宋体"/>
                <w:b/>
                <w:color w:val="auto"/>
                <w:sz w:val="34"/>
                <w:szCs w:val="32"/>
                <w:highlight w:val="none"/>
              </w:rPr>
            </w:pPr>
            <w:r>
              <w:rPr>
                <w:rFonts w:hint="eastAsia" w:ascii="宋体" w:hAnsi="宋体" w:cs="宋体"/>
                <w:b/>
                <w:color w:val="auto"/>
                <w:sz w:val="34"/>
                <w:szCs w:val="32"/>
                <w:highlight w:val="none"/>
              </w:rPr>
              <w:t>项目编号</w:t>
            </w:r>
          </w:p>
        </w:tc>
        <w:tc>
          <w:tcPr>
            <w:tcW w:w="7555" w:type="dxa"/>
            <w:vAlign w:val="center"/>
          </w:tcPr>
          <w:p>
            <w:pPr>
              <w:pStyle w:val="19"/>
              <w:snapToGrid w:val="0"/>
              <w:spacing w:beforeLines="0" w:afterLines="0" w:line="240" w:lineRule="auto"/>
              <w:jc w:val="center"/>
              <w:rPr>
                <w:rFonts w:hAnsi="宋体" w:cs="宋体"/>
                <w:b/>
                <w:color w:val="auto"/>
                <w:kern w:val="2"/>
                <w:sz w:val="34"/>
                <w:szCs w:val="32"/>
                <w:highlight w:val="none"/>
              </w:rPr>
            </w:pPr>
            <w:r>
              <w:rPr>
                <w:rFonts w:hint="eastAsia" w:hAnsi="宋体" w:cs="宋体"/>
                <w:b/>
                <w:color w:val="auto"/>
                <w:kern w:val="2"/>
                <w:sz w:val="34"/>
                <w:szCs w:val="32"/>
                <w:highlight w:val="none"/>
              </w:rPr>
              <w:t>CBNB-20222413G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118" w:type="dxa"/>
            <w:vAlign w:val="center"/>
          </w:tcPr>
          <w:p>
            <w:pPr>
              <w:snapToGrid w:val="0"/>
              <w:jc w:val="center"/>
              <w:rPr>
                <w:rFonts w:ascii="宋体" w:hAnsi="宋体" w:cs="宋体"/>
                <w:b/>
                <w:color w:val="auto"/>
                <w:sz w:val="34"/>
                <w:szCs w:val="32"/>
                <w:highlight w:val="none"/>
              </w:rPr>
            </w:pPr>
            <w:r>
              <w:rPr>
                <w:rFonts w:hint="eastAsia" w:ascii="宋体" w:hAnsi="宋体" w:cs="宋体"/>
                <w:b/>
                <w:color w:val="auto"/>
                <w:sz w:val="34"/>
                <w:szCs w:val="32"/>
                <w:highlight w:val="none"/>
              </w:rPr>
              <w:t>项目名称</w:t>
            </w:r>
          </w:p>
        </w:tc>
        <w:tc>
          <w:tcPr>
            <w:tcW w:w="7555" w:type="dxa"/>
            <w:vAlign w:val="center"/>
          </w:tcPr>
          <w:p>
            <w:pPr>
              <w:tabs>
                <w:tab w:val="left" w:pos="459"/>
              </w:tabs>
              <w:spacing w:line="360" w:lineRule="auto"/>
              <w:ind w:left="-378" w:leftChars="-180" w:firstLine="256" w:firstLineChars="79"/>
              <w:jc w:val="center"/>
              <w:rPr>
                <w:rFonts w:ascii="宋体" w:hAnsi="宋体" w:cs="宋体"/>
                <w:b/>
                <w:color w:val="auto"/>
                <w:sz w:val="34"/>
                <w:szCs w:val="32"/>
                <w:highlight w:val="none"/>
              </w:rPr>
            </w:pPr>
            <w:r>
              <w:rPr>
                <w:rFonts w:hint="eastAsia" w:ascii="宋体" w:hAnsi="宋体" w:cs="宋体"/>
                <w:b/>
                <w:color w:val="auto"/>
                <w:w w:val="95"/>
                <w:sz w:val="34"/>
                <w:szCs w:val="32"/>
                <w:highlight w:val="none"/>
              </w:rPr>
              <w:t>宁波市城市治理“一网通管”平台—城市运行管理服务系统项目</w:t>
            </w:r>
          </w:p>
        </w:tc>
      </w:tr>
    </w:tbl>
    <w:p>
      <w:pPr>
        <w:spacing w:before="120" w:beforeLines="50"/>
        <w:rPr>
          <w:rFonts w:ascii="宋体" w:hAnsi="宋体" w:cs="宋体"/>
          <w:b/>
          <w:color w:val="auto"/>
          <w:sz w:val="30"/>
          <w:szCs w:val="72"/>
          <w:highlight w:val="none"/>
        </w:rPr>
      </w:pPr>
    </w:p>
    <w:p>
      <w:pPr>
        <w:pStyle w:val="19"/>
        <w:snapToGrid w:val="0"/>
        <w:spacing w:beforeLines="0" w:afterLines="0" w:line="360" w:lineRule="auto"/>
        <w:rPr>
          <w:rFonts w:hAnsi="宋体" w:cs="宋体"/>
          <w:b/>
          <w:bCs/>
          <w:color w:val="auto"/>
          <w:sz w:val="30"/>
          <w:szCs w:val="30"/>
          <w:highlight w:val="none"/>
        </w:rPr>
      </w:pPr>
    </w:p>
    <w:p>
      <w:pPr>
        <w:snapToGrid w:val="0"/>
        <w:jc w:val="center"/>
        <w:rPr>
          <w:rFonts w:ascii="宋体" w:hAnsi="宋体" w:cs="宋体"/>
          <w:b/>
          <w:color w:val="auto"/>
          <w:sz w:val="34"/>
          <w:szCs w:val="32"/>
          <w:highlight w:val="none"/>
        </w:rPr>
      </w:pPr>
    </w:p>
    <w:p>
      <w:pPr>
        <w:pStyle w:val="44"/>
        <w:ind w:firstLine="560"/>
        <w:rPr>
          <w:color w:val="auto"/>
          <w:highlight w:val="none"/>
        </w:rPr>
      </w:pPr>
    </w:p>
    <w:p>
      <w:pPr>
        <w:pStyle w:val="44"/>
        <w:ind w:firstLine="560"/>
        <w:rPr>
          <w:color w:val="auto"/>
          <w:highlight w:val="none"/>
        </w:rPr>
      </w:pPr>
    </w:p>
    <w:p>
      <w:pPr>
        <w:pStyle w:val="44"/>
        <w:ind w:firstLine="560"/>
        <w:rPr>
          <w:color w:val="auto"/>
          <w:highlight w:val="none"/>
        </w:rPr>
      </w:pPr>
    </w:p>
    <w:p>
      <w:pPr>
        <w:snapToGrid w:val="0"/>
        <w:spacing w:line="480" w:lineRule="auto"/>
        <w:ind w:firstLine="1707" w:firstLineChars="500"/>
        <w:jc w:val="left"/>
        <w:rPr>
          <w:rFonts w:ascii="宋体" w:hAnsi="宋体" w:cs="宋体"/>
          <w:b/>
          <w:color w:val="auto"/>
          <w:sz w:val="34"/>
          <w:szCs w:val="32"/>
          <w:highlight w:val="none"/>
        </w:rPr>
      </w:pPr>
      <w:r>
        <w:rPr>
          <w:rFonts w:hint="eastAsia" w:ascii="宋体" w:hAnsi="宋体" w:cs="宋体"/>
          <w:b/>
          <w:color w:val="auto"/>
          <w:sz w:val="34"/>
          <w:szCs w:val="32"/>
          <w:highlight w:val="none"/>
        </w:rPr>
        <w:t xml:space="preserve">采 </w:t>
      </w:r>
      <w:r>
        <w:rPr>
          <w:rFonts w:ascii="宋体" w:hAnsi="宋体" w:cs="宋体"/>
          <w:b/>
          <w:color w:val="auto"/>
          <w:sz w:val="34"/>
          <w:szCs w:val="32"/>
          <w:highlight w:val="none"/>
        </w:rPr>
        <w:t xml:space="preserve">  </w:t>
      </w:r>
      <w:r>
        <w:rPr>
          <w:rFonts w:hint="eastAsia" w:ascii="宋体" w:hAnsi="宋体" w:cs="宋体"/>
          <w:b/>
          <w:color w:val="auto"/>
          <w:sz w:val="34"/>
          <w:szCs w:val="32"/>
          <w:highlight w:val="none"/>
        </w:rPr>
        <w:t xml:space="preserve">购 </w:t>
      </w:r>
      <w:r>
        <w:rPr>
          <w:rFonts w:ascii="宋体" w:hAnsi="宋体" w:cs="宋体"/>
          <w:b/>
          <w:color w:val="auto"/>
          <w:sz w:val="34"/>
          <w:szCs w:val="32"/>
          <w:highlight w:val="none"/>
        </w:rPr>
        <w:t xml:space="preserve"> </w:t>
      </w:r>
      <w:r>
        <w:rPr>
          <w:rFonts w:hint="eastAsia" w:ascii="宋体" w:hAnsi="宋体" w:cs="宋体"/>
          <w:b/>
          <w:color w:val="auto"/>
          <w:sz w:val="34"/>
          <w:szCs w:val="32"/>
          <w:highlight w:val="none"/>
        </w:rPr>
        <w:t xml:space="preserve"> 人：宁波市智慧城管中心</w:t>
      </w:r>
    </w:p>
    <w:p>
      <w:pPr>
        <w:snapToGrid w:val="0"/>
        <w:spacing w:line="480" w:lineRule="auto"/>
        <w:ind w:firstLine="1707" w:firstLineChars="500"/>
        <w:jc w:val="left"/>
        <w:rPr>
          <w:rFonts w:ascii="宋体" w:hAnsi="宋体" w:cs="宋体"/>
          <w:b/>
          <w:color w:val="auto"/>
          <w:sz w:val="34"/>
          <w:szCs w:val="32"/>
          <w:highlight w:val="none"/>
        </w:rPr>
      </w:pPr>
      <w:r>
        <w:rPr>
          <w:rFonts w:hint="eastAsia" w:ascii="宋体" w:hAnsi="宋体" w:cs="宋体"/>
          <w:b/>
          <w:color w:val="auto"/>
          <w:sz w:val="34"/>
          <w:szCs w:val="32"/>
          <w:highlight w:val="none"/>
        </w:rPr>
        <w:t>采购代理机构：宁波中基国际招标有限公司</w:t>
      </w:r>
    </w:p>
    <w:p>
      <w:pPr>
        <w:snapToGrid w:val="0"/>
        <w:spacing w:before="120" w:beforeLines="50" w:line="360" w:lineRule="auto"/>
        <w:jc w:val="center"/>
        <w:rPr>
          <w:rFonts w:ascii="宋体" w:hAnsi="宋体" w:cs="宋体"/>
          <w:b/>
          <w:bCs/>
          <w:color w:val="auto"/>
          <w:sz w:val="30"/>
          <w:szCs w:val="30"/>
          <w:highlight w:val="none"/>
        </w:rPr>
      </w:pPr>
    </w:p>
    <w:p>
      <w:pPr>
        <w:snapToGrid w:val="0"/>
        <w:spacing w:before="120" w:beforeLines="50"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二〇二二年十一月</w:t>
      </w:r>
    </w:p>
    <w:p>
      <w:pPr>
        <w:rPr>
          <w:rFonts w:ascii="宋体" w:hAnsi="宋体" w:cs="宋体"/>
          <w:color w:val="auto"/>
          <w:highlight w:val="none"/>
        </w:rPr>
      </w:pPr>
    </w:p>
    <w:p>
      <w:pPr>
        <w:jc w:val="center"/>
        <w:rPr>
          <w:rFonts w:ascii="宋体" w:hAnsi="宋体" w:cs="宋体"/>
          <w:b/>
          <w:color w:val="auto"/>
          <w:sz w:val="52"/>
          <w:szCs w:val="52"/>
          <w:highlight w:val="none"/>
        </w:rPr>
      </w:pPr>
      <w:r>
        <w:rPr>
          <w:rFonts w:hint="eastAsia" w:ascii="宋体" w:hAnsi="宋体" w:cs="宋体"/>
          <w:color w:val="auto"/>
          <w:highlight w:val="none"/>
        </w:rPr>
        <w:br w:type="page"/>
      </w:r>
      <w:r>
        <w:rPr>
          <w:rFonts w:hint="eastAsia" w:ascii="宋体" w:hAnsi="宋体" w:cs="宋体"/>
          <w:b/>
          <w:color w:val="auto"/>
          <w:sz w:val="52"/>
          <w:szCs w:val="52"/>
          <w:highlight w:val="none"/>
        </w:rPr>
        <w:t>目    录</w:t>
      </w:r>
    </w:p>
    <w:p>
      <w:pPr>
        <w:pStyle w:val="25"/>
        <w:tabs>
          <w:tab w:val="right" w:leader="dot" w:pos="8959"/>
        </w:tabs>
        <w:rPr>
          <w:color w:val="auto"/>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"_Toc29322" </w:instrText>
      </w:r>
      <w:r>
        <w:rPr>
          <w:color w:val="auto"/>
          <w:highlight w:val="none"/>
        </w:rPr>
        <w:fldChar w:fldCharType="separate"/>
      </w:r>
      <w:r>
        <w:rPr>
          <w:rFonts w:hint="eastAsia" w:ascii="宋体" w:hAnsi="宋体" w:cs="宋体"/>
          <w:color w:val="auto"/>
          <w:highlight w:val="none"/>
        </w:rPr>
        <w:t>第一章公开招标采购公告</w:t>
      </w:r>
      <w:r>
        <w:rPr>
          <w:color w:val="auto"/>
          <w:highlight w:val="none"/>
        </w:rPr>
        <w:tab/>
      </w:r>
      <w:r>
        <w:rPr>
          <w:color w:val="auto"/>
          <w:highlight w:val="none"/>
        </w:rPr>
        <w:fldChar w:fldCharType="begin"/>
      </w:r>
      <w:r>
        <w:rPr>
          <w:color w:val="auto"/>
          <w:highlight w:val="none"/>
        </w:rPr>
        <w:instrText xml:space="preserve"> PAGEREF _Toc29322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5"/>
        <w:tabs>
          <w:tab w:val="right" w:leader="dot" w:pos="8959"/>
        </w:tabs>
        <w:rPr>
          <w:color w:val="auto"/>
          <w:highlight w:val="none"/>
        </w:rPr>
      </w:pPr>
      <w:r>
        <w:rPr>
          <w:color w:val="auto"/>
          <w:highlight w:val="none"/>
        </w:rPr>
        <w:fldChar w:fldCharType="begin"/>
      </w:r>
      <w:r>
        <w:rPr>
          <w:color w:val="auto"/>
          <w:highlight w:val="none"/>
        </w:rPr>
        <w:instrText xml:space="preserve"> HYPERLINK \l "_Toc25080" </w:instrText>
      </w:r>
      <w:r>
        <w:rPr>
          <w:color w:val="auto"/>
          <w:highlight w:val="none"/>
        </w:rPr>
        <w:fldChar w:fldCharType="separate"/>
      </w:r>
      <w:r>
        <w:rPr>
          <w:rFonts w:hint="eastAsia" w:ascii="宋体" w:hAnsi="宋体" w:cs="宋体"/>
          <w:bCs/>
          <w:color w:val="auto"/>
          <w:kern w:val="44"/>
          <w:szCs w:val="44"/>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_Toc25080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"_Toc1854" </w:instrText>
      </w:r>
      <w:r>
        <w:rPr>
          <w:color w:val="auto"/>
          <w:highlight w:val="none"/>
        </w:rPr>
        <w:fldChar w:fldCharType="separate"/>
      </w:r>
      <w:r>
        <w:rPr>
          <w:rFonts w:hint="eastAsia" w:ascii="宋体" w:hAnsi="宋体" w:cs="宋体"/>
          <w:color w:val="auto"/>
          <w:szCs w:val="21"/>
          <w:highlight w:val="none"/>
        </w:rPr>
        <w:t>前附表</w:t>
      </w:r>
      <w:r>
        <w:rPr>
          <w:color w:val="auto"/>
          <w:highlight w:val="none"/>
        </w:rPr>
        <w:tab/>
      </w:r>
      <w:r>
        <w:rPr>
          <w:color w:val="auto"/>
          <w:highlight w:val="none"/>
        </w:rPr>
        <w:fldChar w:fldCharType="begin"/>
      </w:r>
      <w:r>
        <w:rPr>
          <w:color w:val="auto"/>
          <w:highlight w:val="none"/>
        </w:rPr>
        <w:instrText xml:space="preserve"> PAGEREF _Toc1854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"_Toc30418" </w:instrText>
      </w:r>
      <w:r>
        <w:rPr>
          <w:color w:val="auto"/>
          <w:highlight w:val="none"/>
        </w:rPr>
        <w:fldChar w:fldCharType="separate"/>
      </w:r>
      <w:r>
        <w:rPr>
          <w:rFonts w:hint="eastAsia" w:ascii="宋体" w:hAnsi="宋体" w:cs="宋体"/>
          <w:color w:val="auto"/>
          <w:szCs w:val="30"/>
          <w:highlight w:val="none"/>
        </w:rPr>
        <w:t>一</w:t>
      </w:r>
      <w:r>
        <w:rPr>
          <w:rFonts w:hint="eastAsia" w:ascii="宋体" w:hAnsi="宋体" w:cs="宋体"/>
          <w:bCs/>
          <w:color w:val="auto"/>
          <w:szCs w:val="21"/>
          <w:highlight w:val="none"/>
        </w:rPr>
        <w:t>、商务要求</w:t>
      </w:r>
      <w:r>
        <w:rPr>
          <w:color w:val="auto"/>
          <w:highlight w:val="none"/>
        </w:rPr>
        <w:tab/>
      </w:r>
      <w:r>
        <w:rPr>
          <w:color w:val="auto"/>
          <w:highlight w:val="none"/>
        </w:rPr>
        <w:fldChar w:fldCharType="begin"/>
      </w:r>
      <w:r>
        <w:rPr>
          <w:color w:val="auto"/>
          <w:highlight w:val="none"/>
        </w:rPr>
        <w:instrText xml:space="preserve"> PAGEREF _Toc30418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"_Toc12546" </w:instrText>
      </w:r>
      <w:r>
        <w:rPr>
          <w:color w:val="auto"/>
          <w:highlight w:val="none"/>
        </w:rPr>
        <w:fldChar w:fldCharType="separate"/>
      </w:r>
      <w:r>
        <w:rPr>
          <w:rFonts w:hint="eastAsia" w:ascii="宋体" w:hAnsi="宋体" w:cs="宋体"/>
          <w:color w:val="auto"/>
          <w:szCs w:val="30"/>
          <w:highlight w:val="none"/>
        </w:rPr>
        <w:t>二</w:t>
      </w:r>
      <w:r>
        <w:rPr>
          <w:rFonts w:hint="eastAsia" w:ascii="宋体" w:hAnsi="宋体" w:cs="宋体"/>
          <w:color w:val="auto"/>
          <w:szCs w:val="21"/>
          <w:highlight w:val="none"/>
        </w:rPr>
        <w:t>、招标需求</w:t>
      </w:r>
      <w:r>
        <w:rPr>
          <w:color w:val="auto"/>
          <w:highlight w:val="none"/>
        </w:rPr>
        <w:tab/>
      </w:r>
      <w:r>
        <w:rPr>
          <w:color w:val="auto"/>
          <w:highlight w:val="none"/>
        </w:rPr>
        <w:fldChar w:fldCharType="begin"/>
      </w:r>
      <w:r>
        <w:rPr>
          <w:color w:val="auto"/>
          <w:highlight w:val="none"/>
        </w:rPr>
        <w:instrText xml:space="preserve"> PAGEREF _Toc12546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5"/>
        <w:tabs>
          <w:tab w:val="right" w:leader="dot" w:pos="8959"/>
        </w:tabs>
        <w:rPr>
          <w:color w:val="auto"/>
          <w:highlight w:val="none"/>
        </w:rPr>
      </w:pPr>
      <w:r>
        <w:rPr>
          <w:color w:val="auto"/>
          <w:highlight w:val="none"/>
        </w:rPr>
        <w:fldChar w:fldCharType="begin"/>
      </w:r>
      <w:r>
        <w:rPr>
          <w:color w:val="auto"/>
          <w:highlight w:val="none"/>
        </w:rPr>
        <w:instrText xml:space="preserve"> HYPERLINK \l "_Toc8380" </w:instrText>
      </w:r>
      <w:r>
        <w:rPr>
          <w:color w:val="auto"/>
          <w:highlight w:val="none"/>
        </w:rPr>
        <w:fldChar w:fldCharType="separate"/>
      </w:r>
      <w:r>
        <w:rPr>
          <w:rFonts w:hint="eastAsia" w:ascii="宋体"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_Toc8380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"_Toc3168" </w:instrText>
      </w:r>
      <w:r>
        <w:rPr>
          <w:color w:val="auto"/>
          <w:highlight w:val="none"/>
        </w:rPr>
        <w:fldChar w:fldCharType="separate"/>
      </w:r>
      <w:r>
        <w:rPr>
          <w:rFonts w:hint="eastAsia" w:ascii="宋体" w:hAnsi="宋体" w:cs="宋体"/>
          <w:color w:val="auto"/>
          <w:szCs w:val="21"/>
          <w:highlight w:val="none"/>
        </w:rPr>
        <w:t>前附表</w:t>
      </w:r>
      <w:r>
        <w:rPr>
          <w:color w:val="auto"/>
          <w:highlight w:val="none"/>
        </w:rPr>
        <w:tab/>
      </w:r>
      <w:r>
        <w:rPr>
          <w:color w:val="auto"/>
          <w:highlight w:val="none"/>
        </w:rPr>
        <w:fldChar w:fldCharType="begin"/>
      </w:r>
      <w:r>
        <w:rPr>
          <w:color w:val="auto"/>
          <w:highlight w:val="none"/>
        </w:rPr>
        <w:instrText xml:space="preserve"> PAGEREF _Toc3168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"_Toc6123" </w:instrText>
      </w:r>
      <w:r>
        <w:rPr>
          <w:color w:val="auto"/>
          <w:highlight w:val="none"/>
        </w:rPr>
        <w:fldChar w:fldCharType="separate"/>
      </w:r>
      <w:r>
        <w:rPr>
          <w:rFonts w:hint="eastAsia" w:ascii="宋体" w:hAnsi="宋体" w:cs="宋体"/>
          <w:color w:val="auto"/>
          <w:szCs w:val="21"/>
          <w:highlight w:val="none"/>
        </w:rPr>
        <w:t>一、 总  则</w:t>
      </w:r>
      <w:r>
        <w:rPr>
          <w:color w:val="auto"/>
          <w:highlight w:val="none"/>
        </w:rPr>
        <w:tab/>
      </w:r>
      <w:r>
        <w:rPr>
          <w:color w:val="auto"/>
          <w:highlight w:val="none"/>
        </w:rPr>
        <w:fldChar w:fldCharType="begin"/>
      </w:r>
      <w:r>
        <w:rPr>
          <w:color w:val="auto"/>
          <w:highlight w:val="none"/>
        </w:rPr>
        <w:instrText xml:space="preserve"> PAGEREF _Toc6123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"_Toc19734" </w:instrText>
      </w:r>
      <w:r>
        <w:rPr>
          <w:color w:val="auto"/>
          <w:highlight w:val="none"/>
        </w:rPr>
        <w:fldChar w:fldCharType="separate"/>
      </w:r>
      <w:r>
        <w:rPr>
          <w:rFonts w:hint="eastAsia" w:ascii="宋体" w:hAnsi="宋体" w:cs="宋体"/>
          <w:color w:val="auto"/>
          <w:szCs w:val="21"/>
          <w:highlight w:val="none"/>
        </w:rPr>
        <w:t>（一） 适用范围</w:t>
      </w:r>
      <w:r>
        <w:rPr>
          <w:color w:val="auto"/>
          <w:highlight w:val="none"/>
        </w:rPr>
        <w:tab/>
      </w:r>
      <w:r>
        <w:rPr>
          <w:color w:val="auto"/>
          <w:highlight w:val="none"/>
        </w:rPr>
        <w:fldChar w:fldCharType="begin"/>
      </w:r>
      <w:r>
        <w:rPr>
          <w:color w:val="auto"/>
          <w:highlight w:val="none"/>
        </w:rPr>
        <w:instrText xml:space="preserve"> PAGEREF _Toc19734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"_Toc7330" </w:instrText>
      </w:r>
      <w:r>
        <w:rPr>
          <w:color w:val="auto"/>
          <w:highlight w:val="none"/>
        </w:rPr>
        <w:fldChar w:fldCharType="separate"/>
      </w:r>
      <w:r>
        <w:rPr>
          <w:rFonts w:hint="eastAsia" w:ascii="宋体" w:hAnsi="宋体" w:cs="宋体"/>
          <w:color w:val="auto"/>
          <w:szCs w:val="21"/>
          <w:highlight w:val="none"/>
        </w:rPr>
        <w:t>（二）定义</w:t>
      </w:r>
      <w:r>
        <w:rPr>
          <w:color w:val="auto"/>
          <w:highlight w:val="none"/>
        </w:rPr>
        <w:tab/>
      </w:r>
      <w:r>
        <w:rPr>
          <w:color w:val="auto"/>
          <w:highlight w:val="none"/>
        </w:rPr>
        <w:fldChar w:fldCharType="begin"/>
      </w:r>
      <w:r>
        <w:rPr>
          <w:color w:val="auto"/>
          <w:highlight w:val="none"/>
        </w:rPr>
        <w:instrText xml:space="preserve"> PAGEREF _Toc7330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"_Toc15744" </w:instrText>
      </w:r>
      <w:r>
        <w:rPr>
          <w:color w:val="auto"/>
          <w:highlight w:val="none"/>
        </w:rPr>
        <w:fldChar w:fldCharType="separate"/>
      </w:r>
      <w:r>
        <w:rPr>
          <w:rFonts w:hint="eastAsia" w:ascii="宋体" w:hAnsi="宋体" w:cs="宋体"/>
          <w:color w:val="auto"/>
          <w:szCs w:val="21"/>
          <w:highlight w:val="none"/>
        </w:rPr>
        <w:t>（三）招标方式</w:t>
      </w:r>
      <w:r>
        <w:rPr>
          <w:color w:val="auto"/>
          <w:highlight w:val="none"/>
        </w:rPr>
        <w:tab/>
      </w:r>
      <w:r>
        <w:rPr>
          <w:color w:val="auto"/>
          <w:highlight w:val="none"/>
        </w:rPr>
        <w:fldChar w:fldCharType="begin"/>
      </w:r>
      <w:r>
        <w:rPr>
          <w:color w:val="auto"/>
          <w:highlight w:val="none"/>
        </w:rPr>
        <w:instrText xml:space="preserve"> PAGEREF _Toc15744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"_Toc22098" </w:instrText>
      </w:r>
      <w:r>
        <w:rPr>
          <w:color w:val="auto"/>
          <w:highlight w:val="none"/>
        </w:rPr>
        <w:fldChar w:fldCharType="separate"/>
      </w:r>
      <w:r>
        <w:rPr>
          <w:rFonts w:hint="eastAsia" w:ascii="宋体" w:hAnsi="宋体" w:cs="宋体"/>
          <w:color w:val="auto"/>
          <w:szCs w:val="21"/>
          <w:highlight w:val="none"/>
        </w:rPr>
        <w:t>（四）投标委托</w:t>
      </w:r>
      <w:r>
        <w:rPr>
          <w:color w:val="auto"/>
          <w:highlight w:val="none"/>
        </w:rPr>
        <w:tab/>
      </w:r>
      <w:r>
        <w:rPr>
          <w:color w:val="auto"/>
          <w:highlight w:val="none"/>
        </w:rPr>
        <w:fldChar w:fldCharType="begin"/>
      </w:r>
      <w:r>
        <w:rPr>
          <w:color w:val="auto"/>
          <w:highlight w:val="none"/>
        </w:rPr>
        <w:instrText xml:space="preserve"> PAGEREF _Toc22098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"_Toc23498" </w:instrText>
      </w:r>
      <w:r>
        <w:rPr>
          <w:color w:val="auto"/>
          <w:highlight w:val="none"/>
        </w:rPr>
        <w:fldChar w:fldCharType="separate"/>
      </w:r>
      <w:r>
        <w:rPr>
          <w:rFonts w:hint="eastAsia" w:ascii="宋体" w:hAnsi="宋体" w:cs="宋体"/>
          <w:color w:val="auto"/>
          <w:szCs w:val="21"/>
          <w:highlight w:val="none"/>
        </w:rPr>
        <w:t>（五）投标费用</w:t>
      </w:r>
      <w:r>
        <w:rPr>
          <w:color w:val="auto"/>
          <w:highlight w:val="none"/>
        </w:rPr>
        <w:tab/>
      </w:r>
      <w:r>
        <w:rPr>
          <w:color w:val="auto"/>
          <w:highlight w:val="none"/>
        </w:rPr>
        <w:fldChar w:fldCharType="begin"/>
      </w:r>
      <w:r>
        <w:rPr>
          <w:color w:val="auto"/>
          <w:highlight w:val="none"/>
        </w:rPr>
        <w:instrText xml:space="preserve"> PAGEREF _Toc23498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"_Toc21764" </w:instrText>
      </w:r>
      <w:r>
        <w:rPr>
          <w:color w:val="auto"/>
          <w:highlight w:val="none"/>
        </w:rPr>
        <w:fldChar w:fldCharType="separate"/>
      </w:r>
      <w:r>
        <w:rPr>
          <w:rFonts w:hint="eastAsia" w:ascii="宋体" w:hAnsi="宋体" w:cs="宋体"/>
          <w:color w:val="auto"/>
          <w:szCs w:val="21"/>
          <w:highlight w:val="none"/>
        </w:rPr>
        <w:t>（六）联合体投标</w:t>
      </w:r>
      <w:r>
        <w:rPr>
          <w:color w:val="auto"/>
          <w:highlight w:val="none"/>
        </w:rPr>
        <w:tab/>
      </w:r>
      <w:r>
        <w:rPr>
          <w:color w:val="auto"/>
          <w:highlight w:val="none"/>
        </w:rPr>
        <w:fldChar w:fldCharType="begin"/>
      </w:r>
      <w:r>
        <w:rPr>
          <w:color w:val="auto"/>
          <w:highlight w:val="none"/>
        </w:rPr>
        <w:instrText xml:space="preserve"> PAGEREF _Toc21764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"_Toc8227" </w:instrText>
      </w:r>
      <w:r>
        <w:rPr>
          <w:color w:val="auto"/>
          <w:highlight w:val="none"/>
        </w:rPr>
        <w:fldChar w:fldCharType="separate"/>
      </w:r>
      <w:r>
        <w:rPr>
          <w:rFonts w:hint="eastAsia" w:ascii="宋体" w:hAnsi="宋体" w:cs="宋体"/>
          <w:color w:val="auto"/>
          <w:szCs w:val="21"/>
          <w:highlight w:val="none"/>
        </w:rPr>
        <w:t>（七）转包与分包</w:t>
      </w:r>
      <w:r>
        <w:rPr>
          <w:color w:val="auto"/>
          <w:highlight w:val="none"/>
        </w:rPr>
        <w:tab/>
      </w:r>
      <w:r>
        <w:rPr>
          <w:color w:val="auto"/>
          <w:highlight w:val="none"/>
        </w:rPr>
        <w:fldChar w:fldCharType="begin"/>
      </w:r>
      <w:r>
        <w:rPr>
          <w:color w:val="auto"/>
          <w:highlight w:val="none"/>
        </w:rPr>
        <w:instrText xml:space="preserve"> PAGEREF _Toc8227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"_Toc24401" </w:instrText>
      </w:r>
      <w:r>
        <w:rPr>
          <w:color w:val="auto"/>
          <w:highlight w:val="none"/>
        </w:rPr>
        <w:fldChar w:fldCharType="separate"/>
      </w:r>
      <w:r>
        <w:rPr>
          <w:rFonts w:hint="eastAsia" w:ascii="宋体" w:hAnsi="宋体" w:cs="宋体"/>
          <w:color w:val="auto"/>
          <w:szCs w:val="21"/>
          <w:highlight w:val="none"/>
        </w:rPr>
        <w:t>（八）特别说明</w:t>
      </w:r>
      <w:r>
        <w:rPr>
          <w:color w:val="auto"/>
          <w:highlight w:val="none"/>
        </w:rPr>
        <w:tab/>
      </w:r>
      <w:r>
        <w:rPr>
          <w:color w:val="auto"/>
          <w:highlight w:val="none"/>
        </w:rPr>
        <w:fldChar w:fldCharType="begin"/>
      </w:r>
      <w:r>
        <w:rPr>
          <w:color w:val="auto"/>
          <w:highlight w:val="none"/>
        </w:rPr>
        <w:instrText xml:space="preserve"> PAGEREF _Toc24401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"_Toc12630" </w:instrText>
      </w:r>
      <w:r>
        <w:rPr>
          <w:color w:val="auto"/>
          <w:highlight w:val="none"/>
        </w:rPr>
        <w:fldChar w:fldCharType="separate"/>
      </w:r>
      <w:r>
        <w:rPr>
          <w:rFonts w:hint="eastAsia" w:ascii="宋体" w:hAnsi="宋体" w:cs="宋体"/>
          <w:color w:val="auto"/>
          <w:szCs w:val="21"/>
          <w:highlight w:val="none"/>
        </w:rPr>
        <w:t>（九）质疑和投诉</w:t>
      </w:r>
      <w:r>
        <w:rPr>
          <w:color w:val="auto"/>
          <w:highlight w:val="none"/>
        </w:rPr>
        <w:tab/>
      </w:r>
      <w:r>
        <w:rPr>
          <w:color w:val="auto"/>
          <w:highlight w:val="none"/>
        </w:rPr>
        <w:fldChar w:fldCharType="begin"/>
      </w:r>
      <w:r>
        <w:rPr>
          <w:color w:val="auto"/>
          <w:highlight w:val="none"/>
        </w:rPr>
        <w:instrText xml:space="preserve"> PAGEREF _Toc12630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"_Toc30983" </w:instrText>
      </w:r>
      <w:r>
        <w:rPr>
          <w:color w:val="auto"/>
          <w:highlight w:val="none"/>
        </w:rPr>
        <w:fldChar w:fldCharType="separate"/>
      </w:r>
      <w:r>
        <w:rPr>
          <w:rFonts w:hint="eastAsia" w:ascii="宋体" w:hAnsi="宋体" w:cs="宋体"/>
          <w:color w:val="auto"/>
          <w:szCs w:val="21"/>
          <w:highlight w:val="none"/>
        </w:rPr>
        <w:t>二、招标文件</w:t>
      </w:r>
      <w:r>
        <w:rPr>
          <w:color w:val="auto"/>
          <w:highlight w:val="none"/>
        </w:rPr>
        <w:tab/>
      </w:r>
      <w:r>
        <w:rPr>
          <w:color w:val="auto"/>
          <w:highlight w:val="none"/>
        </w:rPr>
        <w:fldChar w:fldCharType="begin"/>
      </w:r>
      <w:r>
        <w:rPr>
          <w:color w:val="auto"/>
          <w:highlight w:val="none"/>
        </w:rPr>
        <w:instrText xml:space="preserve"> PAGEREF _Toc30983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"_Toc25447" </w:instrText>
      </w:r>
      <w:r>
        <w:rPr>
          <w:color w:val="auto"/>
          <w:highlight w:val="none"/>
        </w:rPr>
        <w:fldChar w:fldCharType="separate"/>
      </w:r>
      <w:r>
        <w:rPr>
          <w:rFonts w:hint="eastAsia" w:ascii="宋体" w:hAnsi="宋体" w:cs="宋体"/>
          <w:color w:val="auto"/>
          <w:szCs w:val="21"/>
          <w:highlight w:val="none"/>
        </w:rPr>
        <w:t>（一）招标文件的构成</w:t>
      </w:r>
      <w:r>
        <w:rPr>
          <w:color w:val="auto"/>
          <w:highlight w:val="none"/>
        </w:rPr>
        <w:tab/>
      </w:r>
      <w:r>
        <w:rPr>
          <w:color w:val="auto"/>
          <w:highlight w:val="none"/>
        </w:rPr>
        <w:fldChar w:fldCharType="begin"/>
      </w:r>
      <w:r>
        <w:rPr>
          <w:color w:val="auto"/>
          <w:highlight w:val="none"/>
        </w:rPr>
        <w:instrText xml:space="preserve"> PAGEREF _Toc25447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"_Toc12252" </w:instrText>
      </w:r>
      <w:r>
        <w:rPr>
          <w:color w:val="auto"/>
          <w:highlight w:val="none"/>
        </w:rPr>
        <w:fldChar w:fldCharType="separate"/>
      </w:r>
      <w:r>
        <w:rPr>
          <w:rFonts w:hint="eastAsia" w:ascii="宋体" w:hAnsi="宋体" w:cs="宋体"/>
          <w:color w:val="auto"/>
          <w:szCs w:val="21"/>
          <w:highlight w:val="none"/>
        </w:rPr>
        <w:t>（二）投标人的风险</w:t>
      </w:r>
      <w:r>
        <w:rPr>
          <w:color w:val="auto"/>
          <w:highlight w:val="none"/>
        </w:rPr>
        <w:tab/>
      </w:r>
      <w:r>
        <w:rPr>
          <w:color w:val="auto"/>
          <w:highlight w:val="none"/>
        </w:rPr>
        <w:fldChar w:fldCharType="begin"/>
      </w:r>
      <w:r>
        <w:rPr>
          <w:color w:val="auto"/>
          <w:highlight w:val="none"/>
        </w:rPr>
        <w:instrText xml:space="preserve"> PAGEREF _Toc12252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"_Toc30699" </w:instrText>
      </w:r>
      <w:r>
        <w:rPr>
          <w:color w:val="auto"/>
          <w:highlight w:val="none"/>
        </w:rPr>
        <w:fldChar w:fldCharType="separate"/>
      </w:r>
      <w:r>
        <w:rPr>
          <w:rFonts w:hint="eastAsia" w:ascii="宋体" w:hAnsi="宋体" w:cs="宋体"/>
          <w:color w:val="auto"/>
          <w:szCs w:val="21"/>
          <w:highlight w:val="none"/>
        </w:rPr>
        <w:t>（三）招标文件的澄清与修改</w:t>
      </w:r>
      <w:r>
        <w:rPr>
          <w:color w:val="auto"/>
          <w:highlight w:val="none"/>
        </w:rPr>
        <w:tab/>
      </w:r>
      <w:r>
        <w:rPr>
          <w:color w:val="auto"/>
          <w:highlight w:val="none"/>
        </w:rPr>
        <w:fldChar w:fldCharType="begin"/>
      </w:r>
      <w:r>
        <w:rPr>
          <w:color w:val="auto"/>
          <w:highlight w:val="none"/>
        </w:rPr>
        <w:instrText xml:space="preserve"> PAGEREF _Toc30699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"_Toc26344" </w:instrText>
      </w:r>
      <w:r>
        <w:rPr>
          <w:color w:val="auto"/>
          <w:highlight w:val="none"/>
        </w:rPr>
        <w:fldChar w:fldCharType="separate"/>
      </w:r>
      <w:r>
        <w:rPr>
          <w:rFonts w:hint="eastAsia" w:ascii="宋体" w:hAnsi="宋体" w:cs="宋体"/>
          <w:color w:val="auto"/>
          <w:szCs w:val="21"/>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_Toc26344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"_Toc5670" </w:instrText>
      </w:r>
      <w:r>
        <w:rPr>
          <w:color w:val="auto"/>
          <w:highlight w:val="none"/>
        </w:rPr>
        <w:fldChar w:fldCharType="separate"/>
      </w:r>
      <w:r>
        <w:rPr>
          <w:rFonts w:hint="eastAsia" w:ascii="宋体" w:hAnsi="宋体" w:cs="宋体"/>
          <w:color w:val="auto"/>
          <w:szCs w:val="21"/>
          <w:highlight w:val="none"/>
        </w:rPr>
        <w:t>（一）投标文件的组成</w:t>
      </w:r>
      <w:r>
        <w:rPr>
          <w:color w:val="auto"/>
          <w:highlight w:val="none"/>
        </w:rPr>
        <w:tab/>
      </w:r>
      <w:r>
        <w:rPr>
          <w:color w:val="auto"/>
          <w:highlight w:val="none"/>
        </w:rPr>
        <w:fldChar w:fldCharType="begin"/>
      </w:r>
      <w:r>
        <w:rPr>
          <w:color w:val="auto"/>
          <w:highlight w:val="none"/>
        </w:rPr>
        <w:instrText xml:space="preserve"> PAGEREF _Toc5670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"_Toc24250" </w:instrText>
      </w:r>
      <w:r>
        <w:rPr>
          <w:color w:val="auto"/>
          <w:highlight w:val="none"/>
        </w:rPr>
        <w:fldChar w:fldCharType="separate"/>
      </w:r>
      <w:r>
        <w:rPr>
          <w:rFonts w:hint="eastAsia" w:ascii="宋体" w:hAnsi="宋体" w:cs="宋体"/>
          <w:color w:val="auto"/>
          <w:szCs w:val="21"/>
          <w:highlight w:val="none"/>
        </w:rPr>
        <w:t>（二）投标文件的语言及计量</w:t>
      </w:r>
      <w:r>
        <w:rPr>
          <w:color w:val="auto"/>
          <w:highlight w:val="none"/>
        </w:rPr>
        <w:tab/>
      </w:r>
      <w:r>
        <w:rPr>
          <w:color w:val="auto"/>
          <w:highlight w:val="none"/>
        </w:rPr>
        <w:fldChar w:fldCharType="begin"/>
      </w:r>
      <w:r>
        <w:rPr>
          <w:color w:val="auto"/>
          <w:highlight w:val="none"/>
        </w:rPr>
        <w:instrText xml:space="preserve"> PAGEREF _Toc24250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"_Toc24902" </w:instrText>
      </w:r>
      <w:r>
        <w:rPr>
          <w:color w:val="auto"/>
          <w:highlight w:val="none"/>
        </w:rPr>
        <w:fldChar w:fldCharType="separate"/>
      </w:r>
      <w:r>
        <w:rPr>
          <w:rFonts w:hint="eastAsia" w:ascii="宋体" w:hAnsi="宋体" w:cs="宋体"/>
          <w:color w:val="auto"/>
          <w:szCs w:val="21"/>
          <w:highlight w:val="none"/>
        </w:rPr>
        <w:t>（三）投标报价</w:t>
      </w:r>
      <w:r>
        <w:rPr>
          <w:color w:val="auto"/>
          <w:highlight w:val="none"/>
        </w:rPr>
        <w:tab/>
      </w:r>
      <w:r>
        <w:rPr>
          <w:color w:val="auto"/>
          <w:highlight w:val="none"/>
        </w:rPr>
        <w:fldChar w:fldCharType="begin"/>
      </w:r>
      <w:r>
        <w:rPr>
          <w:color w:val="auto"/>
          <w:highlight w:val="none"/>
        </w:rPr>
        <w:instrText xml:space="preserve"> PAGEREF _Toc24902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"_Toc26432" </w:instrText>
      </w:r>
      <w:r>
        <w:rPr>
          <w:color w:val="auto"/>
          <w:highlight w:val="none"/>
        </w:rPr>
        <w:fldChar w:fldCharType="separate"/>
      </w:r>
      <w:r>
        <w:rPr>
          <w:rFonts w:hint="eastAsia" w:ascii="宋体" w:hAnsi="宋体" w:cs="宋体"/>
          <w:color w:val="auto"/>
          <w:szCs w:val="21"/>
          <w:highlight w:val="none"/>
        </w:rPr>
        <w:t>（四）投标文件的有效期</w:t>
      </w:r>
      <w:r>
        <w:rPr>
          <w:color w:val="auto"/>
          <w:highlight w:val="none"/>
        </w:rPr>
        <w:tab/>
      </w:r>
      <w:r>
        <w:rPr>
          <w:color w:val="auto"/>
          <w:highlight w:val="none"/>
        </w:rPr>
        <w:fldChar w:fldCharType="begin"/>
      </w:r>
      <w:r>
        <w:rPr>
          <w:color w:val="auto"/>
          <w:highlight w:val="none"/>
        </w:rPr>
        <w:instrText xml:space="preserve"> PAGEREF _Toc26432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"_Toc1318" </w:instrText>
      </w:r>
      <w:r>
        <w:rPr>
          <w:color w:val="auto"/>
          <w:highlight w:val="none"/>
        </w:rPr>
        <w:fldChar w:fldCharType="separate"/>
      </w:r>
      <w:r>
        <w:rPr>
          <w:rFonts w:hint="eastAsia" w:ascii="宋体" w:hAnsi="宋体" w:cs="宋体"/>
          <w:bCs/>
          <w:color w:val="auto"/>
          <w:szCs w:val="21"/>
          <w:highlight w:val="none"/>
        </w:rPr>
        <w:t>（五）投标文件的签署和份数</w:t>
      </w:r>
      <w:r>
        <w:rPr>
          <w:color w:val="auto"/>
          <w:highlight w:val="none"/>
        </w:rPr>
        <w:tab/>
      </w:r>
      <w:r>
        <w:rPr>
          <w:color w:val="auto"/>
          <w:highlight w:val="none"/>
        </w:rPr>
        <w:fldChar w:fldCharType="begin"/>
      </w:r>
      <w:r>
        <w:rPr>
          <w:color w:val="auto"/>
          <w:highlight w:val="none"/>
        </w:rPr>
        <w:instrText xml:space="preserve"> PAGEREF _Toc1318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"_Toc20965" </w:instrText>
      </w:r>
      <w:r>
        <w:rPr>
          <w:color w:val="auto"/>
          <w:highlight w:val="none"/>
        </w:rPr>
        <w:fldChar w:fldCharType="separate"/>
      </w:r>
      <w:r>
        <w:rPr>
          <w:rFonts w:hint="eastAsia" w:ascii="宋体" w:hAnsi="宋体" w:cs="宋体"/>
          <w:color w:val="auto"/>
          <w:szCs w:val="21"/>
          <w:highlight w:val="none"/>
        </w:rPr>
        <w:t>（六）投标文件的包装、递交、修改和撤回</w:t>
      </w:r>
      <w:r>
        <w:rPr>
          <w:color w:val="auto"/>
          <w:highlight w:val="none"/>
        </w:rPr>
        <w:tab/>
      </w:r>
      <w:r>
        <w:rPr>
          <w:color w:val="auto"/>
          <w:highlight w:val="none"/>
        </w:rPr>
        <w:fldChar w:fldCharType="begin"/>
      </w:r>
      <w:r>
        <w:rPr>
          <w:color w:val="auto"/>
          <w:highlight w:val="none"/>
        </w:rPr>
        <w:instrText xml:space="preserve"> PAGEREF _Toc20965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5"/>
        <w:tabs>
          <w:tab w:val="right" w:leader="dot" w:pos="8959"/>
        </w:tabs>
        <w:ind w:firstLine="630" w:firstLineChars="300"/>
        <w:rPr>
          <w:color w:val="auto"/>
          <w:highlight w:val="none"/>
        </w:rPr>
      </w:pPr>
      <w:r>
        <w:rPr>
          <w:color w:val="auto"/>
          <w:highlight w:val="none"/>
        </w:rPr>
        <w:fldChar w:fldCharType="begin"/>
      </w:r>
      <w:r>
        <w:rPr>
          <w:color w:val="auto"/>
          <w:highlight w:val="none"/>
        </w:rPr>
        <w:instrText xml:space="preserve"> HYPERLINK \l "_Toc5764" </w:instrText>
      </w:r>
      <w:r>
        <w:rPr>
          <w:color w:val="auto"/>
          <w:highlight w:val="none"/>
        </w:rPr>
        <w:fldChar w:fldCharType="separate"/>
      </w:r>
      <w:r>
        <w:rPr>
          <w:rFonts w:hint="eastAsia" w:ascii="宋体" w:hAnsi="宋体" w:cs="宋体"/>
          <w:color w:val="auto"/>
          <w:szCs w:val="21"/>
          <w:highlight w:val="none"/>
        </w:rPr>
        <w:t>（七）投标无效的情形</w:t>
      </w:r>
      <w:r>
        <w:rPr>
          <w:color w:val="auto"/>
          <w:highlight w:val="none"/>
        </w:rPr>
        <w:tab/>
      </w:r>
      <w:r>
        <w:rPr>
          <w:color w:val="auto"/>
          <w:highlight w:val="none"/>
        </w:rPr>
        <w:fldChar w:fldCharType="begin"/>
      </w:r>
      <w:r>
        <w:rPr>
          <w:color w:val="auto"/>
          <w:highlight w:val="none"/>
        </w:rPr>
        <w:instrText xml:space="preserve"> PAGEREF _Toc5764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"_Toc11654" </w:instrText>
      </w:r>
      <w:r>
        <w:rPr>
          <w:color w:val="auto"/>
          <w:highlight w:val="none"/>
        </w:rPr>
        <w:fldChar w:fldCharType="separate"/>
      </w:r>
      <w:r>
        <w:rPr>
          <w:rFonts w:hint="eastAsia" w:ascii="宋体" w:hAnsi="宋体" w:cs="宋体"/>
          <w:color w:val="auto"/>
          <w:szCs w:val="21"/>
          <w:highlight w:val="none"/>
        </w:rPr>
        <w:t>四、开标</w:t>
      </w:r>
      <w:r>
        <w:rPr>
          <w:color w:val="auto"/>
          <w:highlight w:val="none"/>
        </w:rPr>
        <w:tab/>
      </w:r>
      <w:r>
        <w:rPr>
          <w:color w:val="auto"/>
          <w:highlight w:val="none"/>
        </w:rPr>
        <w:fldChar w:fldCharType="begin"/>
      </w:r>
      <w:r>
        <w:rPr>
          <w:color w:val="auto"/>
          <w:highlight w:val="none"/>
        </w:rPr>
        <w:instrText xml:space="preserve"> PAGEREF _Toc11654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"_Toc18832" </w:instrText>
      </w:r>
      <w:r>
        <w:rPr>
          <w:color w:val="auto"/>
          <w:highlight w:val="none"/>
        </w:rPr>
        <w:fldChar w:fldCharType="separate"/>
      </w:r>
      <w:r>
        <w:rPr>
          <w:rFonts w:hint="eastAsia" w:ascii="宋体" w:hAnsi="宋体" w:cs="宋体"/>
          <w:bCs/>
          <w:color w:val="auto"/>
          <w:szCs w:val="21"/>
          <w:highlight w:val="none"/>
        </w:rPr>
        <w:t>五、评标</w:t>
      </w:r>
      <w:r>
        <w:rPr>
          <w:color w:val="auto"/>
          <w:highlight w:val="none"/>
        </w:rPr>
        <w:tab/>
      </w:r>
      <w:r>
        <w:rPr>
          <w:color w:val="auto"/>
          <w:highlight w:val="none"/>
        </w:rPr>
        <w:fldChar w:fldCharType="begin"/>
      </w:r>
      <w:r>
        <w:rPr>
          <w:color w:val="auto"/>
          <w:highlight w:val="none"/>
        </w:rPr>
        <w:instrText xml:space="preserve"> PAGEREF _Toc18832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"_Toc25394" </w:instrText>
      </w:r>
      <w:r>
        <w:rPr>
          <w:color w:val="auto"/>
          <w:highlight w:val="none"/>
        </w:rPr>
        <w:fldChar w:fldCharType="separate"/>
      </w:r>
      <w:r>
        <w:rPr>
          <w:rFonts w:hint="eastAsia" w:ascii="宋体" w:hAnsi="宋体" w:cs="宋体"/>
          <w:bCs/>
          <w:color w:val="auto"/>
          <w:szCs w:val="21"/>
          <w:highlight w:val="none"/>
        </w:rPr>
        <w:t>六、采购方式变更</w:t>
      </w:r>
      <w:r>
        <w:rPr>
          <w:color w:val="auto"/>
          <w:highlight w:val="none"/>
        </w:rPr>
        <w:tab/>
      </w:r>
      <w:r>
        <w:rPr>
          <w:color w:val="auto"/>
          <w:highlight w:val="none"/>
        </w:rPr>
        <w:fldChar w:fldCharType="begin"/>
      </w:r>
      <w:r>
        <w:rPr>
          <w:color w:val="auto"/>
          <w:highlight w:val="none"/>
        </w:rPr>
        <w:instrText xml:space="preserve"> PAGEREF _Toc25394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"_Toc23096" </w:instrText>
      </w:r>
      <w:r>
        <w:rPr>
          <w:color w:val="auto"/>
          <w:highlight w:val="none"/>
        </w:rPr>
        <w:fldChar w:fldCharType="separate"/>
      </w:r>
      <w:r>
        <w:rPr>
          <w:rFonts w:hint="eastAsia" w:ascii="宋体" w:hAnsi="宋体" w:cs="宋体"/>
          <w:bCs/>
          <w:color w:val="auto"/>
          <w:szCs w:val="21"/>
          <w:highlight w:val="none"/>
        </w:rPr>
        <w:t>七、定标</w:t>
      </w:r>
      <w:r>
        <w:rPr>
          <w:color w:val="auto"/>
          <w:highlight w:val="none"/>
        </w:rPr>
        <w:tab/>
      </w:r>
      <w:r>
        <w:rPr>
          <w:color w:val="auto"/>
          <w:highlight w:val="none"/>
        </w:rPr>
        <w:fldChar w:fldCharType="begin"/>
      </w:r>
      <w:r>
        <w:rPr>
          <w:color w:val="auto"/>
          <w:highlight w:val="none"/>
        </w:rPr>
        <w:instrText xml:space="preserve"> PAGEREF _Toc23096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"_Toc16853" </w:instrText>
      </w:r>
      <w:r>
        <w:rPr>
          <w:color w:val="auto"/>
          <w:highlight w:val="none"/>
        </w:rPr>
        <w:fldChar w:fldCharType="separate"/>
      </w:r>
      <w:r>
        <w:rPr>
          <w:rFonts w:hint="eastAsia" w:ascii="宋体" w:hAnsi="宋体" w:cs="宋体"/>
          <w:bCs/>
          <w:color w:val="auto"/>
          <w:szCs w:val="21"/>
          <w:highlight w:val="none"/>
        </w:rPr>
        <w:t>八、评标过程的监控</w:t>
      </w:r>
      <w:r>
        <w:rPr>
          <w:color w:val="auto"/>
          <w:highlight w:val="none"/>
        </w:rPr>
        <w:tab/>
      </w:r>
      <w:r>
        <w:rPr>
          <w:color w:val="auto"/>
          <w:highlight w:val="none"/>
        </w:rPr>
        <w:fldChar w:fldCharType="begin"/>
      </w:r>
      <w:r>
        <w:rPr>
          <w:color w:val="auto"/>
          <w:highlight w:val="none"/>
        </w:rPr>
        <w:instrText xml:space="preserve"> PAGEREF _Toc16853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"_Toc7076" </w:instrText>
      </w:r>
      <w:r>
        <w:rPr>
          <w:color w:val="auto"/>
          <w:highlight w:val="none"/>
        </w:rPr>
        <w:fldChar w:fldCharType="separate"/>
      </w:r>
      <w:r>
        <w:rPr>
          <w:rFonts w:hint="eastAsia" w:ascii="宋体" w:hAnsi="宋体" w:cs="宋体"/>
          <w:bCs/>
          <w:color w:val="auto"/>
          <w:szCs w:val="21"/>
          <w:highlight w:val="none"/>
        </w:rPr>
        <w:t>九、合同授予</w:t>
      </w:r>
      <w:r>
        <w:rPr>
          <w:color w:val="auto"/>
          <w:highlight w:val="none"/>
        </w:rPr>
        <w:tab/>
      </w:r>
      <w:r>
        <w:rPr>
          <w:color w:val="auto"/>
          <w:highlight w:val="none"/>
        </w:rPr>
        <w:fldChar w:fldCharType="begin"/>
      </w:r>
      <w:r>
        <w:rPr>
          <w:color w:val="auto"/>
          <w:highlight w:val="none"/>
        </w:rPr>
        <w:instrText xml:space="preserve"> PAGEREF _Toc7076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5"/>
        <w:tabs>
          <w:tab w:val="right" w:leader="dot" w:pos="8959"/>
        </w:tabs>
        <w:ind w:firstLine="420" w:firstLineChars="200"/>
        <w:rPr>
          <w:color w:val="auto"/>
          <w:highlight w:val="none"/>
        </w:rPr>
      </w:pPr>
      <w:r>
        <w:rPr>
          <w:color w:val="auto"/>
          <w:highlight w:val="none"/>
        </w:rPr>
        <w:fldChar w:fldCharType="begin"/>
      </w:r>
      <w:r>
        <w:rPr>
          <w:color w:val="auto"/>
          <w:highlight w:val="none"/>
        </w:rPr>
        <w:instrText xml:space="preserve"> HYPERLINK \l "_Toc14388" </w:instrText>
      </w:r>
      <w:r>
        <w:rPr>
          <w:color w:val="auto"/>
          <w:highlight w:val="none"/>
        </w:rPr>
        <w:fldChar w:fldCharType="separate"/>
      </w:r>
      <w:r>
        <w:rPr>
          <w:rFonts w:hint="eastAsia" w:ascii="宋体" w:hAnsi="宋体" w:cs="宋体"/>
          <w:bCs/>
          <w:color w:val="auto"/>
          <w:szCs w:val="21"/>
          <w:highlight w:val="none"/>
        </w:rPr>
        <w:t>十、特别说明</w:t>
      </w:r>
      <w:r>
        <w:rPr>
          <w:color w:val="auto"/>
          <w:highlight w:val="none"/>
        </w:rPr>
        <w:tab/>
      </w:r>
      <w:r>
        <w:rPr>
          <w:color w:val="auto"/>
          <w:highlight w:val="none"/>
        </w:rPr>
        <w:fldChar w:fldCharType="begin"/>
      </w:r>
      <w:r>
        <w:rPr>
          <w:color w:val="auto"/>
          <w:highlight w:val="none"/>
        </w:rPr>
        <w:instrText xml:space="preserve"> PAGEREF _Toc14388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25"/>
        <w:tabs>
          <w:tab w:val="right" w:leader="dot" w:pos="8959"/>
        </w:tabs>
        <w:rPr>
          <w:color w:val="auto"/>
          <w:highlight w:val="none"/>
        </w:rPr>
      </w:pPr>
      <w:r>
        <w:rPr>
          <w:color w:val="auto"/>
          <w:highlight w:val="none"/>
        </w:rPr>
        <w:fldChar w:fldCharType="begin"/>
      </w:r>
      <w:r>
        <w:rPr>
          <w:color w:val="auto"/>
          <w:highlight w:val="none"/>
        </w:rPr>
        <w:instrText xml:space="preserve"> HYPERLINK \l "_Toc4283" </w:instrText>
      </w:r>
      <w:r>
        <w:rPr>
          <w:color w:val="auto"/>
          <w:highlight w:val="none"/>
        </w:rPr>
        <w:fldChar w:fldCharType="separate"/>
      </w:r>
      <w:r>
        <w:rPr>
          <w:rFonts w:hint="eastAsia" w:ascii="宋体" w:hAnsi="宋体" w:cs="宋体"/>
          <w:color w:val="auto"/>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_Toc4283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9"/>
        <w:tabs>
          <w:tab w:val="right" w:leader="dot" w:pos="8959"/>
        </w:tabs>
        <w:ind w:left="420"/>
        <w:rPr>
          <w:color w:val="auto"/>
          <w:highlight w:val="none"/>
        </w:rPr>
      </w:pPr>
      <w:r>
        <w:rPr>
          <w:color w:val="auto"/>
          <w:highlight w:val="none"/>
        </w:rPr>
        <w:fldChar w:fldCharType="begin"/>
      </w:r>
      <w:r>
        <w:rPr>
          <w:color w:val="auto"/>
          <w:highlight w:val="none"/>
        </w:rPr>
        <w:instrText xml:space="preserve"> HYPERLINK \l "_Toc15786" </w:instrText>
      </w:r>
      <w:r>
        <w:rPr>
          <w:color w:val="auto"/>
          <w:highlight w:val="none"/>
        </w:rPr>
        <w:fldChar w:fldCharType="separate"/>
      </w:r>
      <w:r>
        <w:rPr>
          <w:rFonts w:hint="eastAsia" w:ascii="宋体" w:hAnsi="宋体" w:cs="宋体"/>
          <w:color w:val="auto"/>
          <w:szCs w:val="21"/>
          <w:highlight w:val="none"/>
        </w:rPr>
        <w:t>一、开标程序</w:t>
      </w:r>
      <w:r>
        <w:rPr>
          <w:color w:val="auto"/>
          <w:highlight w:val="none"/>
        </w:rPr>
        <w:tab/>
      </w:r>
      <w:r>
        <w:rPr>
          <w:color w:val="auto"/>
          <w:highlight w:val="none"/>
        </w:rPr>
        <w:fldChar w:fldCharType="begin"/>
      </w:r>
      <w:r>
        <w:rPr>
          <w:color w:val="auto"/>
          <w:highlight w:val="none"/>
        </w:rPr>
        <w:instrText xml:space="preserve"> PAGEREF _Toc15786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9"/>
        <w:tabs>
          <w:tab w:val="right" w:leader="dot" w:pos="8959"/>
        </w:tabs>
        <w:ind w:left="420"/>
        <w:rPr>
          <w:color w:val="auto"/>
          <w:highlight w:val="none"/>
        </w:rPr>
      </w:pPr>
      <w:r>
        <w:rPr>
          <w:color w:val="auto"/>
          <w:highlight w:val="none"/>
        </w:rPr>
        <w:fldChar w:fldCharType="begin"/>
      </w:r>
      <w:r>
        <w:rPr>
          <w:color w:val="auto"/>
          <w:highlight w:val="none"/>
        </w:rPr>
        <w:instrText xml:space="preserve"> HYPERLINK \l "_Toc20830" </w:instrText>
      </w:r>
      <w:r>
        <w:rPr>
          <w:color w:val="auto"/>
          <w:highlight w:val="none"/>
        </w:rPr>
        <w:fldChar w:fldCharType="separate"/>
      </w:r>
      <w:r>
        <w:rPr>
          <w:rFonts w:hint="eastAsia" w:ascii="宋体" w:hAnsi="宋体" w:cs="宋体"/>
          <w:color w:val="auto"/>
          <w:szCs w:val="21"/>
          <w:highlight w:val="none"/>
        </w:rPr>
        <w:t>二、评标委员会</w:t>
      </w:r>
      <w:r>
        <w:rPr>
          <w:color w:val="auto"/>
          <w:highlight w:val="none"/>
        </w:rPr>
        <w:tab/>
      </w:r>
      <w:r>
        <w:rPr>
          <w:color w:val="auto"/>
          <w:highlight w:val="none"/>
        </w:rPr>
        <w:fldChar w:fldCharType="begin"/>
      </w:r>
      <w:r>
        <w:rPr>
          <w:color w:val="auto"/>
          <w:highlight w:val="none"/>
        </w:rPr>
        <w:instrText xml:space="preserve"> PAGEREF _Toc20830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9"/>
        <w:tabs>
          <w:tab w:val="right" w:leader="dot" w:pos="8959"/>
        </w:tabs>
        <w:ind w:left="420"/>
        <w:rPr>
          <w:color w:val="auto"/>
          <w:highlight w:val="none"/>
        </w:rPr>
      </w:pPr>
      <w:r>
        <w:rPr>
          <w:color w:val="auto"/>
          <w:highlight w:val="none"/>
        </w:rPr>
        <w:fldChar w:fldCharType="begin"/>
      </w:r>
      <w:r>
        <w:rPr>
          <w:color w:val="auto"/>
          <w:highlight w:val="none"/>
        </w:rPr>
        <w:instrText xml:space="preserve"> HYPERLINK \l "_Toc8899" </w:instrText>
      </w:r>
      <w:r>
        <w:rPr>
          <w:color w:val="auto"/>
          <w:highlight w:val="none"/>
        </w:rPr>
        <w:fldChar w:fldCharType="separate"/>
      </w:r>
      <w:r>
        <w:rPr>
          <w:rFonts w:hint="eastAsia" w:ascii="宋体" w:hAnsi="宋体" w:cs="宋体"/>
          <w:color w:val="auto"/>
          <w:szCs w:val="21"/>
          <w:highlight w:val="none"/>
        </w:rPr>
        <w:t>三、评标方法</w:t>
      </w:r>
      <w:r>
        <w:rPr>
          <w:color w:val="auto"/>
          <w:highlight w:val="none"/>
        </w:rPr>
        <w:tab/>
      </w:r>
      <w:r>
        <w:rPr>
          <w:color w:val="auto"/>
          <w:highlight w:val="none"/>
        </w:rPr>
        <w:fldChar w:fldCharType="begin"/>
      </w:r>
      <w:r>
        <w:rPr>
          <w:color w:val="auto"/>
          <w:highlight w:val="none"/>
        </w:rPr>
        <w:instrText xml:space="preserve"> PAGEREF _Toc8899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9"/>
        <w:tabs>
          <w:tab w:val="right" w:leader="dot" w:pos="8959"/>
        </w:tabs>
        <w:ind w:left="420"/>
        <w:rPr>
          <w:color w:val="auto"/>
          <w:highlight w:val="none"/>
        </w:rPr>
      </w:pPr>
      <w:r>
        <w:rPr>
          <w:color w:val="auto"/>
          <w:highlight w:val="none"/>
        </w:rPr>
        <w:fldChar w:fldCharType="begin"/>
      </w:r>
      <w:r>
        <w:rPr>
          <w:color w:val="auto"/>
          <w:highlight w:val="none"/>
        </w:rPr>
        <w:instrText xml:space="preserve"> HYPERLINK \l "_Toc22403" </w:instrText>
      </w:r>
      <w:r>
        <w:rPr>
          <w:color w:val="auto"/>
          <w:highlight w:val="none"/>
        </w:rPr>
        <w:fldChar w:fldCharType="separate"/>
      </w:r>
      <w:r>
        <w:rPr>
          <w:rFonts w:hint="eastAsia" w:ascii="宋体" w:hAnsi="宋体" w:cs="宋体"/>
          <w:color w:val="auto"/>
          <w:szCs w:val="21"/>
          <w:highlight w:val="none"/>
        </w:rPr>
        <w:t>四、评标程序</w:t>
      </w:r>
      <w:r>
        <w:rPr>
          <w:color w:val="auto"/>
          <w:highlight w:val="none"/>
        </w:rPr>
        <w:tab/>
      </w:r>
      <w:r>
        <w:rPr>
          <w:color w:val="auto"/>
          <w:highlight w:val="none"/>
        </w:rPr>
        <w:fldChar w:fldCharType="begin"/>
      </w:r>
      <w:r>
        <w:rPr>
          <w:color w:val="auto"/>
          <w:highlight w:val="none"/>
        </w:rPr>
        <w:instrText xml:space="preserve"> PAGEREF _Toc22403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9"/>
        <w:tabs>
          <w:tab w:val="right" w:leader="dot" w:pos="8959"/>
        </w:tabs>
        <w:ind w:left="420"/>
        <w:rPr>
          <w:color w:val="auto"/>
          <w:highlight w:val="none"/>
        </w:rPr>
      </w:pPr>
      <w:r>
        <w:rPr>
          <w:color w:val="auto"/>
          <w:highlight w:val="none"/>
        </w:rPr>
        <w:fldChar w:fldCharType="begin"/>
      </w:r>
      <w:r>
        <w:rPr>
          <w:color w:val="auto"/>
          <w:highlight w:val="none"/>
        </w:rPr>
        <w:instrText xml:space="preserve"> HYPERLINK \l "_Toc4908" </w:instrText>
      </w:r>
      <w:r>
        <w:rPr>
          <w:color w:val="auto"/>
          <w:highlight w:val="none"/>
        </w:rPr>
        <w:fldChar w:fldCharType="separate"/>
      </w:r>
      <w:r>
        <w:rPr>
          <w:rFonts w:hint="eastAsia" w:ascii="宋体" w:hAnsi="宋体" w:cs="宋体"/>
          <w:bCs/>
          <w:color w:val="auto"/>
          <w:szCs w:val="21"/>
          <w:highlight w:val="none"/>
        </w:rPr>
        <w:t>五、评分标准表</w:t>
      </w:r>
      <w:r>
        <w:rPr>
          <w:color w:val="auto"/>
          <w:highlight w:val="none"/>
        </w:rPr>
        <w:tab/>
      </w:r>
      <w:r>
        <w:rPr>
          <w:color w:val="auto"/>
          <w:highlight w:val="none"/>
        </w:rPr>
        <w:fldChar w:fldCharType="begin"/>
      </w:r>
      <w:r>
        <w:rPr>
          <w:color w:val="auto"/>
          <w:highlight w:val="none"/>
        </w:rPr>
        <w:instrText xml:space="preserve"> PAGEREF _Toc4908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25"/>
        <w:tabs>
          <w:tab w:val="right" w:leader="dot" w:pos="8959"/>
        </w:tabs>
        <w:rPr>
          <w:color w:val="auto"/>
          <w:highlight w:val="none"/>
        </w:rPr>
      </w:pPr>
      <w:r>
        <w:rPr>
          <w:color w:val="auto"/>
          <w:highlight w:val="none"/>
        </w:rPr>
        <w:fldChar w:fldCharType="begin"/>
      </w:r>
      <w:r>
        <w:rPr>
          <w:color w:val="auto"/>
          <w:highlight w:val="none"/>
        </w:rPr>
        <w:instrText xml:space="preserve"> HYPERLINK \l "_Toc5225" </w:instrText>
      </w:r>
      <w:r>
        <w:rPr>
          <w:color w:val="auto"/>
          <w:highlight w:val="none"/>
        </w:rPr>
        <w:fldChar w:fldCharType="separate"/>
      </w:r>
      <w:r>
        <w:rPr>
          <w:rFonts w:hint="eastAsia" w:ascii="宋体" w:hAnsi="宋体" w:cs="宋体"/>
          <w:color w:val="auto"/>
          <w:highlight w:val="none"/>
        </w:rPr>
        <w:t>第五章  政府采购合同</w:t>
      </w:r>
      <w:r>
        <w:rPr>
          <w:color w:val="auto"/>
          <w:highlight w:val="none"/>
        </w:rPr>
        <w:tab/>
      </w:r>
      <w:r>
        <w:rPr>
          <w:color w:val="auto"/>
          <w:highlight w:val="none"/>
        </w:rPr>
        <w:fldChar w:fldCharType="begin"/>
      </w:r>
      <w:r>
        <w:rPr>
          <w:color w:val="auto"/>
          <w:highlight w:val="none"/>
        </w:rPr>
        <w:instrText xml:space="preserve"> PAGEREF _Toc5225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25"/>
        <w:tabs>
          <w:tab w:val="right" w:leader="dot" w:pos="8959"/>
        </w:tabs>
        <w:rPr>
          <w:color w:val="auto"/>
          <w:highlight w:val="none"/>
        </w:rPr>
      </w:pPr>
      <w:r>
        <w:rPr>
          <w:color w:val="auto"/>
          <w:highlight w:val="none"/>
        </w:rPr>
        <w:fldChar w:fldCharType="begin"/>
      </w:r>
      <w:r>
        <w:rPr>
          <w:color w:val="auto"/>
          <w:highlight w:val="none"/>
        </w:rPr>
        <w:instrText xml:space="preserve"> HYPERLINK \l "_Toc14434" </w:instrText>
      </w:r>
      <w:r>
        <w:rPr>
          <w:color w:val="auto"/>
          <w:highlight w:val="none"/>
        </w:rPr>
        <w:fldChar w:fldCharType="separate"/>
      </w:r>
      <w:r>
        <w:rPr>
          <w:rFonts w:hint="eastAsia" w:ascii="宋体"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_Toc14434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25"/>
        <w:tabs>
          <w:tab w:val="right" w:leader="dot" w:pos="8311"/>
        </w:tabs>
        <w:rPr>
          <w:rFonts w:ascii="宋体" w:hAnsi="宋体" w:cs="宋体"/>
          <w:b/>
          <w:color w:val="auto"/>
          <w:szCs w:val="21"/>
          <w:highlight w:val="none"/>
        </w:rPr>
      </w:pPr>
      <w:r>
        <w:rPr>
          <w:rFonts w:hint="eastAsia" w:ascii="宋体" w:hAnsi="宋体" w:cs="宋体"/>
          <w:color w:val="auto"/>
          <w:szCs w:val="30"/>
          <w:highlight w:val="none"/>
        </w:rPr>
        <w:fldChar w:fldCharType="end"/>
      </w:r>
    </w:p>
    <w:p>
      <w:pPr>
        <w:pStyle w:val="2"/>
        <w:spacing w:before="0" w:after="0" w:line="360" w:lineRule="auto"/>
        <w:jc w:val="center"/>
        <w:rPr>
          <w:rFonts w:ascii="宋体" w:hAnsi="宋体" w:cs="宋体"/>
          <w:color w:val="auto"/>
          <w:sz w:val="30"/>
          <w:highlight w:val="none"/>
        </w:rPr>
      </w:pPr>
      <w:r>
        <w:rPr>
          <w:rFonts w:hint="eastAsia" w:ascii="宋体" w:hAnsi="宋体" w:cs="宋体"/>
          <w:b w:val="0"/>
          <w:bCs w:val="0"/>
          <w:color w:val="auto"/>
          <w:sz w:val="28"/>
          <w:highlight w:val="none"/>
        </w:rPr>
        <w:br w:type="page"/>
      </w:r>
      <w:bookmarkStart w:id="0" w:name="_Toc460857890"/>
      <w:bookmarkStart w:id="1" w:name="_Toc29322"/>
      <w:r>
        <w:rPr>
          <w:rFonts w:hint="eastAsia" w:ascii="宋体" w:hAnsi="宋体" w:cs="宋体"/>
          <w:color w:val="auto"/>
          <w:sz w:val="30"/>
          <w:highlight w:val="none"/>
        </w:rPr>
        <w:t>第一章  公开招标采购公告</w:t>
      </w:r>
      <w:bookmarkEnd w:id="0"/>
      <w:bookmarkEnd w:id="1"/>
    </w:p>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 xml:space="preserve">项目概况                                                    </w:t>
      </w:r>
    </w:p>
    <w:p>
      <w:pPr>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宁波市城市治理“一网通管”平台—城市运行管理服务系统项目招标项目的潜在投标人应在政府采购云平台（www.zcygov.cn）获取（下载）招标文件，并于 2022年</w:t>
      </w:r>
      <w:r>
        <w:rPr>
          <w:rFonts w:ascii="宋体" w:hAnsi="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20</w:t>
      </w:r>
      <w:r>
        <w:rPr>
          <w:rFonts w:hint="eastAsia" w:ascii="宋体" w:hAnsi="宋体" w:cs="宋体"/>
          <w:color w:val="auto"/>
          <w:szCs w:val="21"/>
          <w:highlight w:val="none"/>
          <w:shd w:val="clear" w:color="auto" w:fill="FFFFFF"/>
        </w:rPr>
        <w:t>日 09:</w:t>
      </w:r>
      <w:r>
        <w:rPr>
          <w:rFonts w:hint="eastAsia" w:ascii="宋体" w:hAnsi="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rPr>
        <w:t xml:space="preserve">0（北京时间）前递交（上传）投标文件。 </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项目编号：CBNB-20222413G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项目名称：宁波市城市治理“一网通管”平台—城市运行管理服务系统项目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预算金额（元）：17100000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最高限价（元）：17100000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 宁波市城市治理“一网通管”平台—城市运行管理服务系统项目 </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数量:1项  </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预算金额（元）:17100000 </w:t>
      </w:r>
    </w:p>
    <w:p>
      <w:pPr>
        <w:spacing w:line="360" w:lineRule="auto"/>
        <w:ind w:left="420" w:left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简要规格描述或项目基本概况介绍、用途：依托宁波市一体化智能化公共数据平台，整合利用宁波市智慧城管平台、宁波市精细化管理协同应用等城管局原有的建设成果，纵向联通国家、省级平台，横向联动市级相关部门的信息系统数据，聚焦城市管理的难点堵点，开发相关的业务应用，实现对全市城市运行管理服务工作的统筹协调、指挥调度、监督考核、监测预警、综合评价和决策分析，提升城市运行管理水平。具体详见第二章《招标需求》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备注：如为联合体投标的，组成联合体的成员数量不得超过3个。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合同履约期限：标项 1，自合同签订生效起14个月。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本项目（是）接受联合体投标。</w:t>
      </w:r>
    </w:p>
    <w:p>
      <w:pPr>
        <w:widowControl/>
        <w:spacing w:before="75" w:after="75" w:line="360" w:lineRule="auto"/>
        <w:ind w:firstLine="420"/>
        <w:jc w:val="left"/>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2.落实政府采购政策需满足的资格要求：标项1</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本项目预留部分采购项目预算专门面向中小企业采购。对于预留份额，提供的服务由符合政策要求的中小企业承接。预留份额通过以下措施进行，投标人可选择以下其中一种方式参与：</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kern w:val="0"/>
          <w:szCs w:val="21"/>
          <w:highlight w:val="none"/>
        </w:rPr>
        <w:t>2.1</w:t>
      </w:r>
      <w:r>
        <w:rPr>
          <w:rFonts w:hint="eastAsia" w:ascii="宋体" w:hAnsi="宋体" w:cs="宋体"/>
          <w:b/>
          <w:bCs/>
          <w:color w:val="auto"/>
          <w:szCs w:val="21"/>
          <w:highlight w:val="none"/>
        </w:rPr>
        <w:t>以联合体形式参加，提供联合体协议书和中小企业声明函，联合协议中中小企业承担的合同份额占合同总金额的40%（其中小微企业承担的合同份额占合同总金额的28%）；</w:t>
      </w:r>
      <w:r>
        <w:rPr>
          <w:rFonts w:hint="eastAsia" w:ascii="宋体" w:hAnsi="宋体" w:cs="宋体"/>
          <w:b/>
          <w:bCs/>
          <w:color w:val="auto"/>
          <w:spacing w:val="8"/>
          <w:kern w:val="0"/>
          <w:szCs w:val="21"/>
          <w:highlight w:val="none"/>
        </w:rPr>
        <w:t>如果供应商本身提供所有标的中</w:t>
      </w:r>
      <w:r>
        <w:rPr>
          <w:rFonts w:hint="eastAsia" w:ascii="宋体" w:hAnsi="宋体" w:cs="宋体"/>
          <w:b/>
          <w:bCs/>
          <w:color w:val="auto"/>
          <w:szCs w:val="21"/>
          <w:highlight w:val="none"/>
        </w:rPr>
        <w:t>中小企业合承担的合同份额占合同总金额的40%（其中小微企业承担的合同份额占合同总金额的28%）</w:t>
      </w:r>
      <w:r>
        <w:rPr>
          <w:rFonts w:hint="eastAsia" w:ascii="宋体" w:hAnsi="宋体" w:cs="宋体"/>
          <w:b/>
          <w:bCs/>
          <w:color w:val="auto"/>
          <w:spacing w:val="8"/>
          <w:kern w:val="0"/>
          <w:szCs w:val="21"/>
          <w:highlight w:val="none"/>
        </w:rPr>
        <w:t>，视同符合了资格条件，不强制要求再与其他中小企业组成联合体参加政府采购活动，则无需提供</w:t>
      </w:r>
      <w:r>
        <w:rPr>
          <w:rFonts w:hint="eastAsia" w:ascii="宋体" w:hAnsi="宋体" w:cs="宋体"/>
          <w:b/>
          <w:bCs/>
          <w:color w:val="auto"/>
          <w:szCs w:val="21"/>
          <w:highlight w:val="none"/>
        </w:rPr>
        <w:t>联合体协议书；</w:t>
      </w:r>
    </w:p>
    <w:p>
      <w:pPr>
        <w:spacing w:line="360" w:lineRule="auto"/>
        <w:ind w:firstLine="422" w:firstLineChars="200"/>
        <w:rPr>
          <w:rFonts w:ascii="宋体" w:hAnsi="宋体" w:cs="宋体"/>
          <w:b/>
          <w:bCs/>
          <w:color w:val="auto"/>
          <w:spacing w:val="8"/>
          <w:kern w:val="0"/>
          <w:szCs w:val="21"/>
          <w:highlight w:val="none"/>
        </w:rPr>
      </w:pPr>
      <w:r>
        <w:rPr>
          <w:rFonts w:hint="eastAsia" w:ascii="宋体" w:hAnsi="宋体" w:cs="宋体"/>
          <w:b/>
          <w:bCs/>
          <w:color w:val="auto"/>
          <w:kern w:val="0"/>
          <w:szCs w:val="21"/>
          <w:highlight w:val="none"/>
        </w:rPr>
        <w:t>2.2以</w:t>
      </w:r>
      <w:r>
        <w:rPr>
          <w:rFonts w:hint="eastAsia" w:ascii="宋体" w:hAnsi="宋体" w:cs="宋体"/>
          <w:b/>
          <w:bCs/>
          <w:color w:val="auto"/>
          <w:szCs w:val="21"/>
          <w:highlight w:val="none"/>
        </w:rPr>
        <w:t>合同分包形式参加，提供分包意向协议和中小企业声明函，分包意向协议中中小企业承担的合同份额占合同总金额的40%（其中小微企业承担的合同份额占合同总金额的28%），接受分包合同的中小企业与分包企业之间不得存在直接控股、管理关系；</w:t>
      </w:r>
      <w:r>
        <w:rPr>
          <w:rFonts w:hint="eastAsia" w:ascii="宋体" w:hAnsi="宋体" w:cs="宋体"/>
          <w:b/>
          <w:bCs/>
          <w:color w:val="auto"/>
          <w:spacing w:val="8"/>
          <w:kern w:val="0"/>
          <w:szCs w:val="21"/>
          <w:highlight w:val="none"/>
        </w:rPr>
        <w:t>如果供应商本身提供所有标的中</w:t>
      </w:r>
      <w:r>
        <w:rPr>
          <w:rFonts w:hint="eastAsia" w:ascii="宋体" w:hAnsi="宋体" w:cs="宋体"/>
          <w:b/>
          <w:bCs/>
          <w:color w:val="auto"/>
          <w:szCs w:val="21"/>
          <w:highlight w:val="none"/>
        </w:rPr>
        <w:t>中小企业合承担的合同份额占合同总金额的40%（其中小微企业承担的合同份额占合同总金额的28%）</w:t>
      </w:r>
      <w:r>
        <w:rPr>
          <w:rFonts w:hint="eastAsia" w:ascii="宋体" w:hAnsi="宋体" w:cs="宋体"/>
          <w:b/>
          <w:bCs/>
          <w:color w:val="auto"/>
          <w:spacing w:val="8"/>
          <w:kern w:val="0"/>
          <w:szCs w:val="21"/>
          <w:highlight w:val="none"/>
        </w:rPr>
        <w:t>，视同符合了资格条件，不强制要求再向中小企业分包，无需提供分包意向协议。</w:t>
      </w:r>
    </w:p>
    <w:p>
      <w:pPr>
        <w:spacing w:line="360" w:lineRule="auto"/>
        <w:ind w:firstLine="454" w:firstLineChars="200"/>
        <w:rPr>
          <w:rFonts w:ascii="宋体" w:hAnsi="宋体" w:cs="宋体"/>
          <w:b/>
          <w:bCs/>
          <w:color w:val="auto"/>
          <w:spacing w:val="8"/>
          <w:kern w:val="0"/>
          <w:szCs w:val="21"/>
          <w:highlight w:val="none"/>
        </w:rPr>
      </w:pPr>
      <w:r>
        <w:rPr>
          <w:rFonts w:hint="eastAsia" w:ascii="宋体" w:hAnsi="宋体" w:cs="宋体"/>
          <w:b/>
          <w:bCs/>
          <w:color w:val="auto"/>
          <w:spacing w:val="8"/>
          <w:kern w:val="0"/>
          <w:szCs w:val="21"/>
          <w:highlight w:val="none"/>
        </w:rPr>
        <w:t>2.3供应商本身提供所有标的中</w:t>
      </w:r>
      <w:r>
        <w:rPr>
          <w:rFonts w:hint="eastAsia" w:ascii="宋体" w:hAnsi="宋体" w:cs="宋体"/>
          <w:b/>
          <w:bCs/>
          <w:color w:val="auto"/>
          <w:szCs w:val="21"/>
          <w:highlight w:val="none"/>
        </w:rPr>
        <w:t>中小企业合承担的合同份额占合同总金额的40%（其中小微企业承担的合同份额占合同总金额的28%），提供中小企业声明函</w:t>
      </w:r>
      <w:r>
        <w:rPr>
          <w:rFonts w:hint="eastAsia" w:ascii="宋体" w:hAnsi="宋体" w:cs="宋体"/>
          <w:b/>
          <w:bCs/>
          <w:color w:val="auto"/>
          <w:spacing w:val="8"/>
          <w:kern w:val="0"/>
          <w:szCs w:val="21"/>
          <w:highlight w:val="none"/>
        </w:rPr>
        <w:t>。</w:t>
      </w:r>
    </w:p>
    <w:p>
      <w:pPr>
        <w:spacing w:line="360" w:lineRule="auto"/>
        <w:ind w:firstLine="454" w:firstLineChars="200"/>
        <w:rPr>
          <w:rFonts w:ascii="宋体" w:hAnsi="宋体" w:cs="宋体"/>
          <w:b/>
          <w:bCs/>
          <w:color w:val="auto"/>
          <w:szCs w:val="21"/>
          <w:highlight w:val="none"/>
        </w:rPr>
      </w:pPr>
      <w:r>
        <w:rPr>
          <w:rFonts w:hint="eastAsia" w:ascii="宋体" w:hAnsi="宋体" w:cs="宋体"/>
          <w:b/>
          <w:bCs/>
          <w:color w:val="auto"/>
          <w:spacing w:val="8"/>
          <w:kern w:val="0"/>
          <w:szCs w:val="21"/>
          <w:highlight w:val="none"/>
        </w:rPr>
        <w:t>注：符合《关于促进残疾人就业政府采购政策的通知》（财库〔2017〕141号）规定的条件的残疾人福利性单位视同小型、微型企业, 并提供《残疾人福利性单位声明函》, 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left="420" w:leftChars="200" w:firstLine="420" w:firstLineChars="200"/>
        <w:rPr>
          <w:rFonts w:ascii="仿宋" w:hAnsi="仿宋" w:cs="仿宋"/>
          <w:color w:val="auto"/>
          <w:sz w:val="24"/>
          <w:highlight w:val="none"/>
        </w:rPr>
      </w:pPr>
      <w:r>
        <w:rPr>
          <w:rFonts w:hint="eastAsia" w:ascii="宋体" w:hAnsi="宋体" w:cs="宋体"/>
          <w:color w:val="auto"/>
          <w:szCs w:val="21"/>
          <w:highlight w:val="none"/>
        </w:rPr>
        <w:t>3.本项目的特定资格要求：无</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时间：2022年11月28日至2022年12月05日 ，每天上午00:00至12:00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地点（网址）：政府采购云平台（www.zcygov.cn）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方式：在线获取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本项目招标文件实行“政府采购云平台”在线获取，不提供招标文件纸质版。供应商获取招标文件前应先完成“政府采购云平台”的账号注册；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潜在供应商登录政采云平台，在线申请获取招标文件（进入“项目采购”应用，在获取招标文件菜单中选择项目，申请获取招标文件；仅需浏览招标文件的供应商可点击“游客，浏览招标文件”直接下载招标文件浏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招标公告下方“游客，浏览采购文件”所下载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r>
        <w:rPr>
          <w:rFonts w:hint="eastAsia" w:ascii="宋体" w:hAnsi="宋体" w:cs="宋体"/>
          <w:color w:val="auto"/>
          <w:szCs w:val="21"/>
          <w:highlight w:val="none"/>
        </w:rPr>
        <w:br w:type="textWrapping"/>
      </w:r>
      <w:r>
        <w:rPr>
          <w:rFonts w:hint="eastAsia" w:ascii="宋体" w:hAnsi="宋体" w:cs="宋体"/>
          <w:color w:val="auto"/>
          <w:szCs w:val="21"/>
          <w:highlight w:val="none"/>
        </w:rPr>
        <w:t>注：请投标人按上述要求获取招标文件，如未在“政采云”系统内完成相关流程，引起的投标无效责任自负。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售价（元）：0 </w:t>
      </w:r>
    </w:p>
    <w:p>
      <w:pPr>
        <w:spacing w:line="360" w:lineRule="auto"/>
        <w:ind w:left="420" w:leftChars="200" w:firstLine="420" w:firstLineChars="200"/>
        <w:rPr>
          <w:rFonts w:ascii="宋体" w:hAnsi="宋体" w:cs="宋体"/>
          <w:color w:val="auto"/>
          <w:szCs w:val="21"/>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提交投标文件截止时间：2022年12月20日 09:30（北京时间）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投标地点（网址）：（1）“电子加密投标文件”：政府采购云平台（www.zcygov.cn）在线提交；（2）“电子备份投标文件”(采用现场递交方式）：宁波市公共资源交易中心（宁波市宁穿路1901号宁波市行政服务中心四楼，具体受理场所详见电子指示屏幕）。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开标时间：2022年12月20日 09:30 </w:t>
      </w:r>
    </w:p>
    <w:p>
      <w:pPr>
        <w:spacing w:line="360" w:lineRule="auto"/>
        <w:ind w:firstLine="420" w:firstLineChars="200"/>
        <w:rPr>
          <w:rFonts w:ascii="宋体" w:hAnsi="宋体" w:cs="宋体"/>
          <w:color w:val="auto"/>
          <w:szCs w:val="21"/>
          <w:highlight w:val="none"/>
        </w:rPr>
      </w:pPr>
      <w:bookmarkStart w:id="249" w:name="_GoBack"/>
      <w:bookmarkEnd w:id="249"/>
      <w:r>
        <w:rPr>
          <w:rFonts w:hint="eastAsia" w:ascii="宋体" w:hAnsi="宋体" w:cs="宋体"/>
          <w:color w:val="auto"/>
          <w:szCs w:val="21"/>
          <w:highlight w:val="none"/>
        </w:rPr>
        <w:t>开标地点（网址）：政府采购云平台（www.zcygov.cn）   </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五、公告期限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六、其他补充事宜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认为采购文件使自己的权益受到损害的，可以自获取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2.其他事项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2.1单位负责人为同一人或者存在直接控股、管理关系的不同投标人，不得参加同一标项的投标。为本项目提供整体设计、规范编制或者项目管理、监理、检测等服务的投标人，不得再参加本项目的投标。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2.2采购项目需要落实的政府采购政策：</w:t>
      </w:r>
      <w:r>
        <w:rPr>
          <w:rFonts w:hint="eastAsia" w:hAnsi="宋体" w:cs="宋体"/>
          <w:color w:val="auto"/>
          <w:highlight w:val="none"/>
        </w:rPr>
        <w:t>执行促进小微企业发展（监狱企业、残疾人福利性单位视同小型、微型企业）政策</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2.3本次政府采购活动有关信息在浙江政府采购网公布，视同送达所有潜在投标人。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2.4特别提醒事项：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（1）供应商应于提交投标文件截止时间前将电子加密投标文件上传到政府采购云平台www.zcygov.cn，未上传电子加密投标文件，视为供应商放弃投标。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在“政府采购云平台”完成“电子加密投标文件”的上传递交之外，还可以（邮寄形式或派人现场提交，以招标代理机构联系人签收时间为准）在投标截止时间前提交以介质（U盘）存储的数据电文形式的“电子备份投标文件”（后缀格式为“.bfbs”）。</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（3）电子招投标有关事项说明：</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①本项目通过“浙江政府采购网（http://zfcg.czt.zj.gov.cn）”实行电子投标，供应商须安装客户端软件，并按照采购文件和电子交易平台的要求制作投标文件。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客户端软件下载方式：供应商可通过“浙江政府采购网-下载专区-电子交易客户端”进行下载。</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②供应商须申领CA，CA申领及相关操作可参考“浙江政府采购网-下载专区-电子交易客户端-CA驱动和申领流程”。供应商在进行上述操作时，如遇技术问题可致电400-881-7190进行咨询。</w:t>
      </w:r>
    </w:p>
    <w:p>
      <w:pPr>
        <w:numPr>
          <w:ilvl w:val="0"/>
          <w:numId w:val="2"/>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疫情期间特别提醒事项：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①采用邮寄方式提交电子备份投标文件，需按以下要求递交：</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须在投标截止日前一个工作日17:00前将电子备份投标文件邮寄至规定地点，由招标代理工作人员进行签收。各供应商自行考虑邮寄在途时间，邮寄过程中无论何种因素导致电子备份投标文件未按时递交的后果，均由供应商自行负责。电子备份投标文件递交时间以招标代理实际收到电子备份投标文件的时间为准。迟到的电子备份投标文件将被拒收。请各供应商确保密封包装在邮寄过程密封包装完好，并在邮寄包裹上注明项目名称，因邮寄过程的密封破损造成不符合开标要求的，本招标代理及招标人概不负责。</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电子备份投标文件邮寄地址为：宁波市鄞州区天童南路666号中基大厦19楼。</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收件人：吕昕烨，联系方式：0574-87425130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②采用现场递交方式递交电子备份投标文件，在投标当天投标人员需持绿色“健康码”“行程码”、</w:t>
      </w:r>
      <w:r>
        <w:rPr>
          <w:rFonts w:hint="eastAsia" w:ascii="宋体" w:hAnsi="宋体" w:cs="宋体"/>
          <w:color w:val="auto"/>
          <w:szCs w:val="21"/>
          <w:highlight w:val="none"/>
          <w:lang w:val="en-US" w:eastAsia="zh-CN"/>
        </w:rPr>
        <w:t>符合防疫政策的核酸阴性证明、</w:t>
      </w:r>
      <w:r>
        <w:rPr>
          <w:rFonts w:hint="eastAsia" w:ascii="宋体" w:hAnsi="宋体" w:cs="宋体"/>
          <w:color w:val="auto"/>
          <w:szCs w:val="21"/>
          <w:highlight w:val="none"/>
        </w:rPr>
        <w:t>佩戴口罩且体温测量正常后方可进入开标现场（以开标当日测量体温为准）递交电子备份投标文件。若供应商因未按上述要求办理而导致无法准时进入开标现场的，由</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自行负责。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2.5本采购公告中二、申请人的资格要求：第1条中的“重大税收违法案件当事人名单”即为“重大税收违法失信主体”。 </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p>
    <w:p>
      <w:pPr>
        <w:widowControl/>
        <w:spacing w:before="75" w:after="75"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名称：宁波市智慧城管中心</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地址：浙江省</w:t>
      </w:r>
      <w:r>
        <w:rPr>
          <w:rFonts w:hint="eastAsia" w:ascii="宋体" w:hAnsi="宋体" w:cs="宋体"/>
          <w:color w:val="auto"/>
          <w:szCs w:val="21"/>
          <w:highlight w:val="none"/>
        </w:rPr>
        <w:t>宁波市鄞州区贺丞路459号</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传真：/</w:t>
      </w:r>
      <w:r>
        <w:rPr>
          <w:rFonts w:ascii="宋体" w:hAnsi="宋体" w:cs="Calibri"/>
          <w:color w:val="auto"/>
          <w:kern w:val="0"/>
          <w:szCs w:val="21"/>
          <w:highlight w:val="none"/>
        </w:rPr>
        <w:t>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项目联系人（询问）：蒋</w:t>
      </w:r>
      <w:r>
        <w:rPr>
          <w:rFonts w:hint="eastAsia" w:ascii="宋体" w:hAnsi="宋体" w:cs="宋体"/>
          <w:color w:val="auto"/>
          <w:szCs w:val="21"/>
          <w:highlight w:val="none"/>
        </w:rPr>
        <w:t>老师 </w:t>
      </w:r>
      <w:r>
        <w:rPr>
          <w:rFonts w:ascii="宋体" w:hAnsi="宋体" w:cs="Calibri"/>
          <w:color w:val="auto"/>
          <w:kern w:val="0"/>
          <w:szCs w:val="21"/>
          <w:highlight w:val="none"/>
        </w:rPr>
        <w:t>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项目联系方式（询问）：</w:t>
      </w:r>
      <w:r>
        <w:rPr>
          <w:rFonts w:ascii="宋体" w:hAnsi="宋体"/>
          <w:color w:val="auto"/>
          <w:szCs w:val="21"/>
          <w:highlight w:val="none"/>
        </w:rPr>
        <w:t>0574-87175526</w:t>
      </w:r>
      <w:r>
        <w:rPr>
          <w:rFonts w:ascii="宋体" w:hAnsi="宋体" w:cs="Calibri"/>
          <w:color w:val="auto"/>
          <w:kern w:val="0"/>
          <w:szCs w:val="21"/>
          <w:highlight w:val="none"/>
        </w:rPr>
        <w:t>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质疑联系人：顾</w:t>
      </w:r>
      <w:r>
        <w:rPr>
          <w:rFonts w:hint="eastAsia" w:ascii="宋体" w:hAnsi="宋体" w:cs="宋体"/>
          <w:color w:val="auto"/>
          <w:szCs w:val="21"/>
          <w:highlight w:val="none"/>
        </w:rPr>
        <w:t>老师</w:t>
      </w:r>
      <w:r>
        <w:rPr>
          <w:rFonts w:ascii="宋体" w:hAnsi="宋体" w:cs="Calibri"/>
          <w:color w:val="auto"/>
          <w:kern w:val="0"/>
          <w:szCs w:val="21"/>
          <w:highlight w:val="none"/>
        </w:rPr>
        <w:t>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质疑联系方式：</w:t>
      </w:r>
      <w:r>
        <w:rPr>
          <w:rFonts w:ascii="宋体" w:hAnsi="宋体"/>
          <w:color w:val="auto"/>
          <w:szCs w:val="21"/>
          <w:highlight w:val="none"/>
        </w:rPr>
        <w:t>0574-87175515</w:t>
      </w:r>
    </w:p>
    <w:p>
      <w:pPr>
        <w:widowControl/>
        <w:spacing w:before="75" w:after="75" w:line="360" w:lineRule="auto"/>
        <w:jc w:val="left"/>
        <w:rPr>
          <w:rFonts w:ascii="宋体" w:hAnsi="宋体" w:cs="Calibri"/>
          <w:color w:val="auto"/>
          <w:kern w:val="0"/>
          <w:szCs w:val="21"/>
          <w:highlight w:val="none"/>
        </w:rPr>
      </w:pPr>
      <w:r>
        <w:rPr>
          <w:rFonts w:ascii="宋体" w:hAnsi="宋体" w:cs="Calibri"/>
          <w:color w:val="auto"/>
          <w:kern w:val="0"/>
          <w:szCs w:val="21"/>
          <w:highlight w:val="none"/>
        </w:rPr>
        <w:t>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2.采购代理机构信息</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名称：宁波中基国际招标有限公司</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地址：宁波市鄞州区天童南路666号19楼</w:t>
      </w:r>
    </w:p>
    <w:p>
      <w:pPr>
        <w:widowControl/>
        <w:spacing w:before="75" w:after="75" w:line="360" w:lineRule="auto"/>
        <w:ind w:firstLine="630"/>
        <w:jc w:val="left"/>
        <w:rPr>
          <w:rFonts w:ascii="宋体" w:hAnsi="宋体" w:cs="宋体"/>
          <w:color w:val="auto"/>
          <w:kern w:val="0"/>
          <w:szCs w:val="21"/>
          <w:highlight w:val="none"/>
        </w:rPr>
      </w:pPr>
      <w:r>
        <w:rPr>
          <w:rFonts w:hint="eastAsia" w:ascii="宋体" w:hAnsi="宋体" w:cs="宋体"/>
          <w:color w:val="auto"/>
          <w:kern w:val="0"/>
          <w:szCs w:val="21"/>
          <w:highlight w:val="none"/>
        </w:rPr>
        <w:t>传真：</w:t>
      </w:r>
      <w:r>
        <w:rPr>
          <w:rFonts w:ascii="宋体" w:hAnsi="宋体" w:cs="宋体"/>
          <w:color w:val="auto"/>
          <w:kern w:val="0"/>
          <w:szCs w:val="21"/>
          <w:highlight w:val="none"/>
        </w:rPr>
        <w:t>0574-874253</w:t>
      </w:r>
      <w:r>
        <w:rPr>
          <w:rFonts w:hint="eastAsia" w:ascii="宋体" w:hAnsi="宋体" w:cs="宋体"/>
          <w:color w:val="auto"/>
          <w:kern w:val="0"/>
          <w:szCs w:val="21"/>
          <w:highlight w:val="none"/>
        </w:rPr>
        <w:t>91</w:t>
      </w:r>
    </w:p>
    <w:p>
      <w:pPr>
        <w:widowControl/>
        <w:spacing w:before="75" w:after="75" w:line="360" w:lineRule="auto"/>
        <w:ind w:firstLine="630"/>
        <w:jc w:val="left"/>
        <w:rPr>
          <w:rFonts w:ascii="宋体" w:hAnsi="宋体" w:cs="宋体"/>
          <w:color w:val="auto"/>
          <w:kern w:val="0"/>
          <w:szCs w:val="21"/>
          <w:highlight w:val="none"/>
        </w:rPr>
      </w:pPr>
      <w:r>
        <w:rPr>
          <w:rFonts w:hint="eastAsia" w:ascii="宋体" w:hAnsi="宋体" w:cs="宋体"/>
          <w:color w:val="auto"/>
          <w:kern w:val="0"/>
          <w:szCs w:val="21"/>
          <w:highlight w:val="none"/>
        </w:rPr>
        <w:t>项目联系人（询问）：</w:t>
      </w:r>
      <w:r>
        <w:rPr>
          <w:rFonts w:hint="eastAsia" w:ascii="宋体" w:hAnsi="宋体" w:cs="宋体"/>
          <w:color w:val="auto"/>
          <w:szCs w:val="21"/>
          <w:highlight w:val="none"/>
        </w:rPr>
        <w:t>吕昕烨、史维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项目联系方式（询问）：</w:t>
      </w:r>
      <w:r>
        <w:rPr>
          <w:rFonts w:hint="eastAsia" w:ascii="宋体" w:hAnsi="宋体" w:cs="宋体"/>
          <w:color w:val="auto"/>
          <w:szCs w:val="21"/>
          <w:highlight w:val="none"/>
        </w:rPr>
        <w:t>0574-87425130</w:t>
      </w:r>
      <w:r>
        <w:rPr>
          <w:rFonts w:ascii="宋体" w:hAnsi="宋体" w:cs="Calibri"/>
          <w:color w:val="auto"/>
          <w:kern w:val="0"/>
          <w:szCs w:val="21"/>
          <w:highlight w:val="none"/>
        </w:rPr>
        <w:t>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质疑联系人：</w:t>
      </w:r>
      <w:r>
        <w:rPr>
          <w:rFonts w:hint="eastAsia" w:ascii="宋体" w:hAnsi="宋体" w:cs="宋体"/>
          <w:color w:val="auto"/>
          <w:szCs w:val="21"/>
          <w:highlight w:val="none"/>
        </w:rPr>
        <w:t>吕勇</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质疑联系方式：</w:t>
      </w:r>
      <w:r>
        <w:rPr>
          <w:rFonts w:hint="eastAsia" w:ascii="宋体" w:hAnsi="宋体" w:cs="宋体"/>
          <w:color w:val="auto"/>
          <w:szCs w:val="21"/>
          <w:highlight w:val="none"/>
        </w:rPr>
        <w:t>0574-87426103</w:t>
      </w:r>
    </w:p>
    <w:p>
      <w:pPr>
        <w:widowControl/>
        <w:spacing w:before="75" w:after="75" w:line="360" w:lineRule="auto"/>
        <w:jc w:val="left"/>
        <w:rPr>
          <w:rFonts w:ascii="宋体" w:hAnsi="宋体" w:cs="Calibri"/>
          <w:color w:val="auto"/>
          <w:kern w:val="0"/>
          <w:szCs w:val="21"/>
          <w:highlight w:val="none"/>
        </w:rPr>
      </w:pPr>
      <w:r>
        <w:rPr>
          <w:rFonts w:ascii="宋体" w:hAnsi="宋体" w:cs="Calibri"/>
          <w:color w:val="auto"/>
          <w:kern w:val="0"/>
          <w:szCs w:val="21"/>
          <w:highlight w:val="none"/>
        </w:rPr>
        <w:t>   </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3.同级政府采购监督管理部门</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名称：宁波市政府采购管理办公室</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地址：宁波市海曙区中山西路1</w:t>
      </w:r>
      <w:r>
        <w:rPr>
          <w:rFonts w:ascii="宋体" w:hAnsi="宋体" w:cs="宋体"/>
          <w:color w:val="auto"/>
          <w:kern w:val="0"/>
          <w:szCs w:val="21"/>
          <w:highlight w:val="none"/>
        </w:rPr>
        <w:t>9</w:t>
      </w:r>
      <w:r>
        <w:rPr>
          <w:rFonts w:hint="eastAsia" w:ascii="宋体" w:hAnsi="宋体" w:cs="宋体"/>
          <w:color w:val="auto"/>
          <w:kern w:val="0"/>
          <w:szCs w:val="21"/>
          <w:highlight w:val="none"/>
        </w:rPr>
        <w:t>号</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传真：/</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联系人 ：李老师</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r>
        <w:rPr>
          <w:rFonts w:hint="eastAsia" w:ascii="宋体" w:hAnsi="宋体" w:cs="宋体"/>
          <w:color w:val="auto"/>
          <w:kern w:val="0"/>
          <w:szCs w:val="21"/>
          <w:highlight w:val="none"/>
        </w:rPr>
        <w:t xml:space="preserve"> 监督投诉电话：0574-89388042</w:t>
      </w:r>
    </w:p>
    <w:p>
      <w:pPr>
        <w:widowControl/>
        <w:spacing w:before="75" w:after="75" w:line="360" w:lineRule="auto"/>
        <w:jc w:val="left"/>
        <w:rPr>
          <w:rFonts w:ascii="宋体" w:hAnsi="宋体" w:cs="宋体"/>
          <w:color w:val="auto"/>
          <w:kern w:val="0"/>
          <w:szCs w:val="21"/>
          <w:highlight w:val="none"/>
        </w:rPr>
      </w:pPr>
      <w:r>
        <w:rPr>
          <w:rFonts w:ascii="宋体" w:hAnsi="宋体" w:cs="Calibri"/>
          <w:color w:val="auto"/>
          <w:kern w:val="0"/>
          <w:szCs w:val="21"/>
          <w:highlight w:val="none"/>
        </w:rPr>
        <w:t>     </w:t>
      </w:r>
    </w:p>
    <w:p>
      <w:pPr>
        <w:spacing w:line="360" w:lineRule="auto"/>
        <w:ind w:firstLine="420" w:firstLineChars="200"/>
        <w:jc w:val="center"/>
        <w:outlineLvl w:val="0"/>
        <w:rPr>
          <w:rFonts w:ascii="宋体" w:hAnsi="宋体" w:cs="宋体"/>
          <w:color w:val="auto"/>
          <w:kern w:val="0"/>
          <w:szCs w:val="21"/>
          <w:highlight w:val="none"/>
        </w:rPr>
      </w:pPr>
      <w:bookmarkStart w:id="2" w:name="_Toc460416585"/>
      <w:bookmarkStart w:id="3" w:name="_Toc460857891"/>
    </w:p>
    <w:p>
      <w:pPr>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CA问题联系电话（人工）：汇信CA 400-888-4636；天谷CA 400-087-8198。</w:t>
      </w:r>
    </w:p>
    <w:p>
      <w:pPr>
        <w:spacing w:line="360" w:lineRule="auto"/>
        <w:ind w:firstLine="602" w:firstLineChars="200"/>
        <w:jc w:val="center"/>
        <w:outlineLvl w:val="0"/>
        <w:rPr>
          <w:rFonts w:ascii="宋体" w:hAnsi="宋体" w:cs="宋体"/>
          <w:color w:val="auto"/>
          <w:highlight w:val="none"/>
        </w:rPr>
      </w:pPr>
      <w:r>
        <w:rPr>
          <w:rFonts w:hint="eastAsia" w:ascii="宋体" w:hAnsi="宋体" w:cs="宋体"/>
          <w:b/>
          <w:bCs/>
          <w:color w:val="auto"/>
          <w:kern w:val="44"/>
          <w:sz w:val="30"/>
          <w:szCs w:val="44"/>
          <w:highlight w:val="none"/>
        </w:rPr>
        <w:br w:type="page"/>
      </w:r>
      <w:bookmarkStart w:id="4" w:name="_Toc25080"/>
      <w:r>
        <w:rPr>
          <w:rFonts w:hint="eastAsia" w:ascii="宋体" w:hAnsi="宋体" w:cs="宋体"/>
          <w:b/>
          <w:bCs/>
          <w:color w:val="auto"/>
          <w:kern w:val="44"/>
          <w:sz w:val="30"/>
          <w:szCs w:val="44"/>
          <w:highlight w:val="none"/>
        </w:rPr>
        <w:t>第二章  招标需求</w:t>
      </w:r>
      <w:bookmarkEnd w:id="2"/>
      <w:bookmarkEnd w:id="3"/>
      <w:bookmarkEnd w:id="4"/>
    </w:p>
    <w:p>
      <w:pPr>
        <w:pStyle w:val="2"/>
        <w:spacing w:before="0" w:after="0" w:line="360" w:lineRule="auto"/>
        <w:jc w:val="center"/>
        <w:rPr>
          <w:rFonts w:ascii="宋体" w:hAnsi="宋体" w:cs="宋体"/>
          <w:color w:val="auto"/>
          <w:sz w:val="28"/>
          <w:szCs w:val="28"/>
          <w:highlight w:val="none"/>
        </w:rPr>
      </w:pPr>
      <w:bookmarkStart w:id="5" w:name="_Toc1854"/>
      <w:bookmarkStart w:id="6" w:name="_Toc317685546"/>
      <w:bookmarkStart w:id="7" w:name="_Toc304292160"/>
      <w:bookmarkStart w:id="8" w:name="_Toc460416635"/>
      <w:bookmarkStart w:id="9" w:name="_Toc460416586"/>
      <w:bookmarkStart w:id="10" w:name="_Toc460416331"/>
      <w:bookmarkStart w:id="11" w:name="_Toc460857892"/>
      <w:r>
        <w:rPr>
          <w:rFonts w:hint="eastAsia" w:ascii="宋体" w:hAnsi="宋体" w:cs="宋体"/>
          <w:color w:val="auto"/>
          <w:sz w:val="28"/>
          <w:szCs w:val="28"/>
          <w:highlight w:val="none"/>
        </w:rPr>
        <w:t>前附表</w:t>
      </w:r>
      <w:bookmarkEnd w:id="5"/>
    </w:p>
    <w:tbl>
      <w:tblPr>
        <w:tblStyle w:val="35"/>
        <w:tblW w:w="94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3291"/>
        <w:gridCol w:w="53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799"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291"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325" w:type="dxa"/>
            <w:tcBorders>
              <w:top w:val="single" w:color="auto" w:sz="12" w:space="0"/>
              <w:left w:val="single" w:color="auto" w:sz="4" w:space="0"/>
              <w:bottom w:val="single" w:color="auto" w:sz="6" w:space="0"/>
              <w:right w:val="single" w:color="auto" w:sz="12" w:space="0"/>
            </w:tcBorders>
            <w:vAlign w:val="center"/>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采购内容　</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宁波市城市治理“一网通管”平台—城市运行管理服务系统项目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Cs/>
                <w:color w:val="auto"/>
                <w:szCs w:val="28"/>
                <w:highlight w:val="none"/>
              </w:rPr>
              <w:t>商务需求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服务标准、期限、效率</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不组织，自行前往踏勘项目现场，风险自担。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样品要求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12" w:space="0"/>
              <w:right w:val="single" w:color="auto" w:sz="6"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291" w:type="dxa"/>
            <w:tcBorders>
              <w:top w:val="single" w:color="auto" w:sz="6" w:space="0"/>
              <w:left w:val="single" w:color="auto" w:sz="6" w:space="0"/>
              <w:bottom w:val="single" w:color="auto" w:sz="12" w:space="0"/>
              <w:right w:val="single" w:color="auto" w:sz="4"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本项目的核心产品</w:t>
            </w:r>
          </w:p>
        </w:tc>
        <w:tc>
          <w:tcPr>
            <w:tcW w:w="5325" w:type="dxa"/>
            <w:tcBorders>
              <w:top w:val="single" w:color="auto" w:sz="6" w:space="0"/>
              <w:left w:val="single" w:color="auto" w:sz="4" w:space="0"/>
              <w:bottom w:val="single" w:color="auto" w:sz="12" w:space="0"/>
              <w:right w:val="single" w:color="auto" w:sz="12" w:space="0"/>
            </w:tcBorders>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无</w:t>
            </w:r>
          </w:p>
        </w:tc>
      </w:tr>
      <w:bookmarkEnd w:id="6"/>
      <w:bookmarkEnd w:id="7"/>
    </w:tbl>
    <w:p>
      <w:pPr>
        <w:spacing w:line="360" w:lineRule="auto"/>
        <w:jc w:val="left"/>
        <w:rPr>
          <w:rFonts w:ascii="宋体" w:hAnsi="宋体" w:cs="宋体"/>
          <w:color w:val="auto"/>
          <w:szCs w:val="21"/>
          <w:highlight w:val="none"/>
        </w:rPr>
      </w:pPr>
    </w:p>
    <w:bookmarkEnd w:id="8"/>
    <w:bookmarkEnd w:id="9"/>
    <w:bookmarkEnd w:id="10"/>
    <w:bookmarkEnd w:id="11"/>
    <w:p>
      <w:pPr>
        <w:numPr>
          <w:ilvl w:val="0"/>
          <w:numId w:val="3"/>
        </w:numPr>
        <w:outlineLvl w:val="0"/>
        <w:rPr>
          <w:rFonts w:ascii="宋体" w:hAnsi="宋体" w:cs="宋体"/>
          <w:b/>
          <w:bCs/>
          <w:color w:val="auto"/>
          <w:kern w:val="44"/>
          <w:sz w:val="28"/>
          <w:szCs w:val="28"/>
          <w:highlight w:val="none"/>
        </w:rPr>
      </w:pPr>
      <w:bookmarkStart w:id="12" w:name="_Toc460416593"/>
      <w:bookmarkStart w:id="13" w:name="_Toc460416338"/>
      <w:bookmarkStart w:id="14" w:name="_Toc460416642"/>
      <w:r>
        <w:rPr>
          <w:rFonts w:hint="eastAsia" w:ascii="宋体" w:hAnsi="宋体" w:cs="宋体"/>
          <w:color w:val="auto"/>
          <w:highlight w:val="none"/>
        </w:rPr>
        <w:br w:type="page"/>
      </w:r>
      <w:bookmarkStart w:id="15" w:name="_Toc30418"/>
      <w:bookmarkStart w:id="16" w:name="_Toc460857893"/>
      <w:r>
        <w:rPr>
          <w:rFonts w:hint="eastAsia" w:ascii="宋体" w:hAnsi="宋体" w:cs="宋体"/>
          <w:b/>
          <w:bCs/>
          <w:color w:val="auto"/>
          <w:kern w:val="44"/>
          <w:sz w:val="28"/>
          <w:szCs w:val="28"/>
          <w:highlight w:val="none"/>
        </w:rPr>
        <w:t>商务要求</w:t>
      </w:r>
      <w:bookmarkEnd w:id="12"/>
      <w:bookmarkEnd w:id="13"/>
      <w:bookmarkEnd w:id="14"/>
      <w:bookmarkEnd w:id="15"/>
      <w:bookmarkEnd w:id="16"/>
    </w:p>
    <w:tbl>
      <w:tblPr>
        <w:tblStyle w:val="35"/>
        <w:tblW w:w="8931" w:type="dxa"/>
        <w:tblInd w:w="108" w:type="dxa"/>
        <w:tblLayout w:type="fixed"/>
        <w:tblCellMar>
          <w:top w:w="0" w:type="dxa"/>
          <w:left w:w="108" w:type="dxa"/>
          <w:bottom w:w="0" w:type="dxa"/>
          <w:right w:w="108" w:type="dxa"/>
        </w:tblCellMar>
      </w:tblPr>
      <w:tblGrid>
        <w:gridCol w:w="709"/>
        <w:gridCol w:w="1418"/>
        <w:gridCol w:w="6804"/>
      </w:tblGrid>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hint="eastAsia" w:ascii="宋体" w:hAnsi="宋体"/>
                <w:b/>
                <w:color w:val="auto"/>
                <w:highlight w:val="none"/>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ascii="宋体" w:hAnsi="宋体"/>
                <w:b/>
                <w:color w:val="auto"/>
                <w:highlight w:val="none"/>
              </w:rPr>
              <w:t>项目</w:t>
            </w:r>
          </w:p>
        </w:tc>
        <w:tc>
          <w:tcPr>
            <w:tcW w:w="68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highlight w:val="none"/>
              </w:rPr>
            </w:pPr>
            <w:r>
              <w:rPr>
                <w:rFonts w:ascii="宋体" w:hAnsi="宋体"/>
                <w:b/>
                <w:color w:val="auto"/>
                <w:highlight w:val="none"/>
              </w:rPr>
              <w:t>要求</w:t>
            </w:r>
          </w:p>
        </w:tc>
      </w:tr>
      <w:tr>
        <w:tblPrEx>
          <w:tblCellMar>
            <w:top w:w="0" w:type="dxa"/>
            <w:left w:w="108" w:type="dxa"/>
            <w:bottom w:w="0" w:type="dxa"/>
            <w:right w:w="108" w:type="dxa"/>
          </w:tblCellMar>
        </w:tblPrEx>
        <w:trPr>
          <w:trHeight w:val="149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服务期限</w:t>
            </w:r>
          </w:p>
        </w:tc>
        <w:tc>
          <w:tcPr>
            <w:tcW w:w="6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本项目建设周期计划约为14个月：</w:t>
            </w:r>
          </w:p>
          <w:p>
            <w:pPr>
              <w:rPr>
                <w:rFonts w:ascii="宋体" w:hAnsi="宋体"/>
                <w:color w:val="auto"/>
                <w:szCs w:val="21"/>
                <w:highlight w:val="none"/>
              </w:rPr>
            </w:pPr>
            <w:bookmarkStart w:id="17" w:name="_Hlk120111931"/>
            <w:r>
              <w:rPr>
                <w:rFonts w:hint="eastAsia" w:ascii="宋体" w:hAnsi="宋体"/>
                <w:color w:val="auto"/>
                <w:szCs w:val="21"/>
                <w:highlight w:val="none"/>
              </w:rPr>
              <w:t>2023年</w:t>
            </w:r>
            <w:r>
              <w:rPr>
                <w:rFonts w:ascii="宋体" w:hAnsi="宋体"/>
                <w:color w:val="auto"/>
                <w:szCs w:val="21"/>
                <w:highlight w:val="none"/>
              </w:rPr>
              <w:t>6</w:t>
            </w:r>
            <w:r>
              <w:rPr>
                <w:rFonts w:hint="eastAsia" w:ascii="宋体" w:hAnsi="宋体"/>
                <w:color w:val="auto"/>
                <w:szCs w:val="21"/>
                <w:highlight w:val="none"/>
              </w:rPr>
              <w:t>月底前，完成各业务应用系统功能模块的建设，开展项目初验，系统上线试运行。</w:t>
            </w:r>
          </w:p>
          <w:p>
            <w:pPr>
              <w:rPr>
                <w:rFonts w:hint="eastAsia" w:ascii="宋体" w:hAnsi="宋体"/>
                <w:color w:val="auto"/>
                <w:szCs w:val="21"/>
                <w:highlight w:val="none"/>
              </w:rPr>
            </w:pPr>
            <w:r>
              <w:rPr>
                <w:rFonts w:hint="eastAsia" w:ascii="宋体" w:hAnsi="宋体"/>
                <w:color w:val="auto"/>
                <w:szCs w:val="21"/>
                <w:highlight w:val="none"/>
              </w:rPr>
              <w:t>202</w:t>
            </w:r>
            <w:r>
              <w:rPr>
                <w:rFonts w:ascii="宋体" w:hAnsi="宋体"/>
                <w:color w:val="auto"/>
                <w:szCs w:val="21"/>
                <w:highlight w:val="none"/>
              </w:rPr>
              <w:t>4</w:t>
            </w:r>
            <w:r>
              <w:rPr>
                <w:rFonts w:hint="eastAsia" w:ascii="宋体" w:hAnsi="宋体"/>
                <w:color w:val="auto"/>
                <w:szCs w:val="21"/>
                <w:highlight w:val="none"/>
              </w:rPr>
              <w:t>年</w:t>
            </w:r>
            <w:r>
              <w:rPr>
                <w:rFonts w:ascii="宋体" w:hAnsi="宋体"/>
                <w:color w:val="auto"/>
                <w:szCs w:val="21"/>
                <w:highlight w:val="none"/>
              </w:rPr>
              <w:t>1</w:t>
            </w:r>
            <w:r>
              <w:rPr>
                <w:rFonts w:hint="eastAsia" w:ascii="宋体" w:hAnsi="宋体"/>
                <w:color w:val="auto"/>
                <w:szCs w:val="21"/>
                <w:highlight w:val="none"/>
              </w:rPr>
              <w:t>月底前，系统试运行期间若无重大的问题，完成项目整体验收等工作。</w:t>
            </w:r>
            <w:bookmarkEnd w:id="17"/>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ascii="宋体" w:hAnsi="宋体"/>
                <w:color w:val="auto"/>
                <w:highlight w:val="none"/>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服务地点</w:t>
            </w:r>
          </w:p>
        </w:tc>
        <w:tc>
          <w:tcPr>
            <w:tcW w:w="6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szCs w:val="21"/>
                <w:highlight w:val="none"/>
              </w:rPr>
              <w:t>采购人指定地点。</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s="宋体"/>
                <w:b/>
                <w:color w:val="auto"/>
                <w:szCs w:val="21"/>
                <w:highlight w:val="none"/>
              </w:rPr>
              <w:t>*</w:t>
            </w:r>
            <w:r>
              <w:rPr>
                <w:rFonts w:hint="eastAsia" w:ascii="宋体" w:hAnsi="宋体"/>
                <w:color w:val="auto"/>
                <w:highlight w:val="none"/>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签订合同</w:t>
            </w:r>
          </w:p>
          <w:p>
            <w:pPr>
              <w:rPr>
                <w:rFonts w:ascii="宋体" w:hAnsi="宋体"/>
                <w:color w:val="auto"/>
                <w:highlight w:val="none"/>
              </w:rPr>
            </w:pPr>
            <w:r>
              <w:rPr>
                <w:rFonts w:hint="eastAsia" w:ascii="宋体" w:hAnsi="宋体"/>
                <w:color w:val="auto"/>
                <w:highlight w:val="none"/>
              </w:rPr>
              <w:t>时间</w:t>
            </w:r>
          </w:p>
        </w:tc>
        <w:tc>
          <w:tcPr>
            <w:tcW w:w="6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采购人在中标通知书发出之日起</w:t>
            </w:r>
            <w:r>
              <w:rPr>
                <w:rFonts w:ascii="宋体" w:hAnsi="宋体"/>
                <w:color w:val="auto"/>
                <w:highlight w:val="none"/>
              </w:rPr>
              <w:t>30</w:t>
            </w:r>
            <w:r>
              <w:rPr>
                <w:rFonts w:hint="eastAsia" w:ascii="宋体" w:hAnsi="宋体"/>
                <w:color w:val="auto"/>
                <w:highlight w:val="none"/>
              </w:rPr>
              <w:t>日内与中标人签订书面合同。</w:t>
            </w:r>
          </w:p>
        </w:tc>
      </w:tr>
      <w:tr>
        <w:tblPrEx>
          <w:tblCellMar>
            <w:top w:w="0" w:type="dxa"/>
            <w:left w:w="108" w:type="dxa"/>
            <w:bottom w:w="0" w:type="dxa"/>
            <w:right w:w="108"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olor w:val="auto"/>
                <w:highlight w:val="none"/>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合同款项支付条件及方式</w:t>
            </w:r>
          </w:p>
        </w:tc>
        <w:tc>
          <w:tcPr>
            <w:tcW w:w="6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采购合同生效以及项目具备实施条件</w:t>
            </w:r>
            <w:r>
              <w:rPr>
                <w:rFonts w:hint="eastAsia" w:ascii="宋体" w:hAnsi="宋体"/>
                <w:bCs/>
                <w:color w:val="auto"/>
                <w:szCs w:val="21"/>
                <w:highlight w:val="none"/>
                <w:lang w:val="en-US" w:eastAsia="zh-CN"/>
              </w:rPr>
              <w:t>后</w:t>
            </w:r>
            <w:r>
              <w:rPr>
                <w:rFonts w:hint="eastAsia" w:ascii="宋体" w:hAnsi="宋体"/>
                <w:bCs/>
                <w:color w:val="auto"/>
                <w:szCs w:val="21"/>
                <w:highlight w:val="none"/>
              </w:rPr>
              <w:t>支付合同金额的</w:t>
            </w:r>
            <w:r>
              <w:rPr>
                <w:rFonts w:hint="eastAsia" w:ascii="宋体" w:hAnsi="宋体"/>
                <w:bCs/>
                <w:color w:val="auto"/>
                <w:szCs w:val="21"/>
                <w:highlight w:val="none"/>
                <w:lang w:val="en-US" w:eastAsia="zh-CN"/>
              </w:rPr>
              <w:t>4</w:t>
            </w:r>
            <w:r>
              <w:rPr>
                <w:rFonts w:ascii="宋体" w:hAnsi="宋体"/>
                <w:bCs/>
                <w:color w:val="auto"/>
                <w:szCs w:val="21"/>
                <w:highlight w:val="none"/>
              </w:rPr>
              <w:t>0%；</w:t>
            </w:r>
          </w:p>
          <w:p>
            <w:pPr>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项目初验合格后支付合同金额的</w:t>
            </w:r>
            <w:r>
              <w:rPr>
                <w:rFonts w:hint="eastAsia" w:ascii="宋体" w:hAnsi="宋体"/>
                <w:bCs/>
                <w:color w:val="auto"/>
                <w:szCs w:val="21"/>
                <w:highlight w:val="none"/>
                <w:lang w:val="en-US" w:eastAsia="zh-CN"/>
              </w:rPr>
              <w:t>3</w:t>
            </w:r>
            <w:r>
              <w:rPr>
                <w:rFonts w:hint="eastAsia" w:ascii="宋体" w:hAnsi="宋体"/>
                <w:bCs/>
                <w:color w:val="auto"/>
                <w:szCs w:val="21"/>
                <w:highlight w:val="none"/>
              </w:rPr>
              <w:t>0%。</w:t>
            </w:r>
          </w:p>
          <w:p>
            <w:pPr>
              <w:rPr>
                <w:rFonts w:ascii="宋体" w:hAnsi="宋体"/>
                <w:bCs/>
                <w:color w:val="auto"/>
                <w:szCs w:val="21"/>
                <w:highlight w:val="none"/>
              </w:rPr>
            </w:pPr>
            <w:r>
              <w:rPr>
                <w:rFonts w:hint="eastAsia" w:ascii="宋体" w:hAnsi="宋体"/>
                <w:bCs/>
                <w:color w:val="auto"/>
                <w:szCs w:val="21"/>
                <w:highlight w:val="none"/>
              </w:rPr>
              <w:t>3.项目整体验收合格后支付合同金额的15%。</w:t>
            </w:r>
          </w:p>
          <w:p>
            <w:pPr>
              <w:rPr>
                <w:rFonts w:ascii="宋体" w:hAnsi="宋体"/>
                <w:bCs/>
                <w:color w:val="auto"/>
                <w:szCs w:val="21"/>
                <w:highlight w:val="none"/>
              </w:rPr>
            </w:pPr>
            <w:r>
              <w:rPr>
                <w:rFonts w:hint="eastAsia" w:ascii="宋体" w:hAnsi="宋体"/>
                <w:bCs/>
                <w:color w:val="auto"/>
                <w:szCs w:val="21"/>
                <w:highlight w:val="none"/>
              </w:rPr>
              <w:t>4.决算审计结算后支付剩余合同金额。</w:t>
            </w:r>
          </w:p>
          <w:p>
            <w:pPr>
              <w:rPr>
                <w:rFonts w:ascii="宋体" w:hAnsi="宋体"/>
                <w:color w:val="auto"/>
                <w:highlight w:val="none"/>
              </w:rPr>
            </w:pPr>
            <w:r>
              <w:rPr>
                <w:rFonts w:hint="eastAsia" w:ascii="宋体" w:hAnsi="宋体"/>
                <w:bCs/>
                <w:color w:val="auto"/>
                <w:szCs w:val="21"/>
                <w:highlight w:val="none"/>
              </w:rPr>
              <w:t>注：若中标单位为联合体投标的，所有费用支付给联合体牵头单位，由联合体牵头单位再支付给联合体成员单位。</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s="宋体"/>
                <w:b/>
                <w:color w:val="auto"/>
                <w:szCs w:val="21"/>
                <w:highlight w:val="none"/>
              </w:rPr>
              <w:t>*</w:t>
            </w:r>
            <w:r>
              <w:rPr>
                <w:rFonts w:hint="eastAsia" w:ascii="宋体" w:hAnsi="宋体"/>
                <w:color w:val="auto"/>
                <w:highlight w:val="none"/>
              </w:rPr>
              <w:t>5</w:t>
            </w:r>
          </w:p>
        </w:tc>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发票要求</w:t>
            </w:r>
          </w:p>
        </w:tc>
        <w:tc>
          <w:tcPr>
            <w:tcW w:w="6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pPr>
              <w:rPr>
                <w:rFonts w:ascii="宋体" w:hAnsi="宋体"/>
                <w:color w:val="auto"/>
                <w:highlight w:val="none"/>
              </w:rPr>
            </w:pPr>
            <w:r>
              <w:rPr>
                <w:rFonts w:ascii="宋体" w:hAnsi="宋体"/>
                <w:color w:val="auto"/>
                <w:highlight w:val="none"/>
              </w:rPr>
              <w:t>2.</w:t>
            </w:r>
            <w:r>
              <w:rPr>
                <w:rFonts w:hint="eastAsia" w:ascii="宋体" w:hAnsi="宋体"/>
                <w:color w:val="auto"/>
                <w:highlight w:val="none"/>
              </w:rPr>
              <w:t>本项目合同签署的中标人名称与发票开具单位及收款单位必须一致，中标人不得以任何理由在合同执行过程中要求调整发票开具单位或收款单位（中标人依法变更单位名称除外），否则视为中标人违约并自行承担相关责任，且须承担由此对采购人造成的一切损失。</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highlight w:val="none"/>
              </w:rPr>
            </w:pPr>
            <w:r>
              <w:rPr>
                <w:rFonts w:hint="eastAsia" w:ascii="宋体" w:hAnsi="宋体"/>
                <w:color w:val="auto"/>
                <w:highlight w:val="none"/>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其他</w:t>
            </w:r>
          </w:p>
        </w:tc>
        <w:tc>
          <w:tcPr>
            <w:tcW w:w="68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highlight w:val="none"/>
              </w:rPr>
            </w:pPr>
            <w:r>
              <w:rPr>
                <w:rFonts w:hint="eastAsia" w:ascii="宋体" w:hAnsi="宋体"/>
                <w:color w:val="auto"/>
                <w:highlight w:val="none"/>
              </w:rPr>
              <w:t>1.因中标人原因，造成工期拖延的应予罚款；因中标人原因，项目质量不合格，应返工，直至合格为止，由此增加的费用及造成工期拖延由中标人负责，并对中标人处以一定额度的罚款。罚款金额以项目延期总日数*0.1%*中标金额计算。</w:t>
            </w:r>
          </w:p>
          <w:p>
            <w:pPr>
              <w:rPr>
                <w:rFonts w:ascii="宋体" w:hAnsi="宋体"/>
                <w:color w:val="auto"/>
                <w:highlight w:val="none"/>
              </w:rPr>
            </w:pPr>
            <w:r>
              <w:rPr>
                <w:rFonts w:hint="eastAsia" w:ascii="宋体" w:hAnsi="宋体"/>
                <w:color w:val="auto"/>
                <w:highlight w:val="none"/>
              </w:rPr>
              <w:t>2.本项目引入监理制，监理对本项目进行全过程的监督，以保证项目的质量和进度，在项目组织和实施计划中要考虑到监理要求，实施过程中积极配合监理工作，以保证项目实施的进度和质量。</w:t>
            </w:r>
          </w:p>
          <w:p>
            <w:pPr>
              <w:rPr>
                <w:rFonts w:ascii="宋体" w:hAnsi="宋体"/>
                <w:color w:val="auto"/>
                <w:highlight w:val="none"/>
              </w:rPr>
            </w:pPr>
            <w:r>
              <w:rPr>
                <w:rFonts w:hint="eastAsia" w:ascii="宋体" w:hAnsi="宋体"/>
                <w:color w:val="auto"/>
                <w:highlight w:val="none"/>
              </w:rPr>
              <w:t>3.本项目对知识产权有明确要求，在本项目进行过程中，所产生新的所有与本项目相关的，无论以任何载体形式出现的工作成果，其知识产权均属于招标人所有。</w:t>
            </w:r>
          </w:p>
          <w:p>
            <w:pPr>
              <w:rPr>
                <w:rFonts w:ascii="宋体" w:hAnsi="宋体"/>
                <w:color w:val="auto"/>
                <w:highlight w:val="none"/>
              </w:rPr>
            </w:pPr>
            <w:r>
              <w:rPr>
                <w:rFonts w:ascii="宋体" w:hAnsi="宋体"/>
                <w:color w:val="auto"/>
                <w:highlight w:val="none"/>
              </w:rPr>
              <w:t>4</w:t>
            </w:r>
            <w:r>
              <w:rPr>
                <w:rFonts w:hint="eastAsia" w:ascii="宋体" w:hAnsi="宋体"/>
                <w:color w:val="auto"/>
                <w:highlight w:val="none"/>
              </w:rPr>
              <w:t>.在合同履行过程中发生争议，双方应当协商解决。双方不愿协商、调解解决或者协商、调解不成的，提交招标人所在地法院诉讼解决。</w:t>
            </w:r>
          </w:p>
        </w:tc>
      </w:tr>
    </w:tbl>
    <w:p>
      <w:pPr>
        <w:pStyle w:val="19"/>
        <w:spacing w:before="120" w:after="120"/>
        <w:rPr>
          <w:color w:val="auto"/>
          <w:highlight w:val="none"/>
        </w:rPr>
      </w:pPr>
    </w:p>
    <w:p>
      <w:pPr>
        <w:rPr>
          <w:color w:val="auto"/>
          <w:highlight w:val="none"/>
        </w:rPr>
      </w:pPr>
      <w:bookmarkStart w:id="18" w:name="_Toc460857894"/>
      <w:bookmarkStart w:id="19" w:name="_Toc12546"/>
    </w:p>
    <w:p>
      <w:pPr>
        <w:pStyle w:val="2"/>
        <w:spacing w:before="0" w:after="0" w:line="360" w:lineRule="auto"/>
        <w:jc w:val="left"/>
        <w:rPr>
          <w:rFonts w:ascii="宋体" w:hAnsi="宋体" w:cs="宋体"/>
          <w:color w:val="auto"/>
          <w:sz w:val="21"/>
          <w:szCs w:val="21"/>
          <w:highlight w:val="none"/>
        </w:rPr>
        <w:sectPr>
          <w:headerReference r:id="rId3" w:type="default"/>
          <w:footerReference r:id="rId4" w:type="default"/>
          <w:pgSz w:w="11907" w:h="16840"/>
          <w:pgMar w:top="1361" w:right="1474" w:bottom="1242" w:left="1474" w:header="720" w:footer="720" w:gutter="0"/>
          <w:cols w:space="720" w:num="1"/>
          <w:docGrid w:linePitch="285" w:charSpace="0"/>
        </w:sectPr>
      </w:pPr>
    </w:p>
    <w:p>
      <w:pPr>
        <w:pStyle w:val="2"/>
        <w:spacing w:before="0" w:after="0" w:line="360" w:lineRule="auto"/>
        <w:jc w:val="left"/>
        <w:rPr>
          <w:rFonts w:ascii="宋体" w:hAnsi="宋体" w:cs="宋体"/>
          <w:color w:val="auto"/>
          <w:sz w:val="21"/>
          <w:szCs w:val="21"/>
          <w:highlight w:val="none"/>
        </w:rPr>
      </w:pPr>
      <w:r>
        <w:rPr>
          <w:rFonts w:hint="eastAsia" w:ascii="宋体" w:hAnsi="宋体" w:cs="宋体"/>
          <w:color w:val="auto"/>
          <w:sz w:val="28"/>
          <w:szCs w:val="28"/>
          <w:highlight w:val="none"/>
        </w:rPr>
        <w:t>二、服务需求</w:t>
      </w:r>
      <w:bookmarkEnd w:id="18"/>
      <w:bookmarkEnd w:id="19"/>
      <w:bookmarkStart w:id="20" w:name="_Toc460416594"/>
      <w:bookmarkStart w:id="21" w:name="_Toc460857895"/>
      <w:bookmarkStart w:id="22" w:name="_Toc8380"/>
    </w:p>
    <w:p>
      <w:pPr>
        <w:tabs>
          <w:tab w:val="left" w:pos="360"/>
        </w:tabs>
        <w:spacing w:line="40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（一）建设目标</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数字化改革为牵引，以物联网、大数据、人工智能等前沿技术为支撑，以城市更安全、更干净、更有序、更便捷、更满意为目标，聚焦城市管理的难点堵点，通过共享、整合、优化、拓展、提升等手段，以宁波市智慧城管平台为基础，综合利用宁波市智慧城管平台建设成果，依据国家住建部建设要求，打造宁波市“1+1+N”的城市管理新模式，纵向联通国家、省级城运平台，横向联动市级相关部门，实现对城市运行管理服务工作的统筹协调、指挥调度、监督考核、动态监测、综合评价和决策分析等，提升城市精细化、智能化、规范化管理能力，打造和谐宜居、便捷高效、干净有序、特色鲜明、环境优美的城市人居环境，让人民群众有更多获得感、幸福感、安全感。</w:t>
      </w:r>
    </w:p>
    <w:p>
      <w:pPr>
        <w:tabs>
          <w:tab w:val="left" w:pos="360"/>
        </w:tabs>
        <w:spacing w:line="40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（二）建设内容</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项目按照住建部发布的《城市运行管理服务平台建设指南（试行）》（建办督〔2021〕54号）、《城市运行管理服务平台技术标准》（CJJ/T312-2021）、《城市运行管理服务平台数据标准》（CJ/T545-2021）等建设要求，依托宁波市一体化智能化公共数据平台，整合利用宁波市智慧城管平台、宁波市精细化管理协同应用等城管局原有的建设成果，纵向联通国家、省级平台，横向联动市级相关部门的信息系统数据，聚焦城市管理的难点堵点，开发相关的业务应用，实现对全市城市运行管理服务工作的统筹协调、指挥调度、监督考核、监测预警、综合评价和决策分析，提升城市运行管理水平。</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次项目的建设内容主要包括业务应用系统建设（指挥协调应用、行业业务应用、运行监管应用、综合评价应用、决策分析应用、城事一键通应用（移动端））、应用支撑建设（包括智能语音调度系统、应用维护管理等）、数据资源建设（包括数据接入处理、城运数据库设计、数据安全管理等）。 </w:t>
      </w:r>
    </w:p>
    <w:p>
      <w:pPr>
        <w:tabs>
          <w:tab w:val="left" w:pos="360"/>
        </w:tabs>
        <w:spacing w:line="40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（三）建设要求</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1、业务应用系统建设要求</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指挥协调应用。指挥协调应用主要实现了城市运行管理问题的“统一汇聚、研判派遣、联动处置、办结销号”的闭环管理，对原有智慧城管平台（事件流转处置平台部分）进行迭代升级，主要涉及系统架构的升级改造、业务流程重塑、应用代码重构等，打通执法监管一体联动。</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行业业务应用。拓展城市运行行业应用，延伸园林绿地、智慧隧道、道路清扫保洁等行业信息化管理，进一步提高城市管理智能化监管能力，实现全市精细化、标准化、智慧化的管理。</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运行监管应用。对城市运行监管的监测要素进行梳理，通过跨部门数据以及市综合执法局各行业业务应用数据的归集、整合、关联等，对“城市安全、城市干净、城市有序、城市便捷、群众满意”等专项运行状态进行监测预警，对城市运行风险进行识别、评估、管理、监测、处置，实现城市运行全生命周期监测管理，并以五色图的形式实现运行态势的综合评价分析呈现。</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综合评价应用。根据评价工作要求，通过系统上报、实地考察、问卷调查等方式获取相关数据，对城市管理监督工作开展综合评价，提供包括城管工作考核管理、全行业综合评价管理等内容。</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决策分析应用。通过业务运行数据的分析钻取，建设包括事部件趋势分析、市容环卫分析、园林绿化分析、市政公用分析、城市管理执法分析等内容，为城市运行各部门开展精细化管理提供强有力的支撑。</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城事一键通应用（移动端应用）。本次项目将依托浙里办和浙政钉，新增指挥协调管理、道路清扫保洁管理、实地考察评价等浙政钉应用和面向公众服务的浙里办应用，代替原有的“宁波城管通”和“甬城管家”APP。</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2、应用支撑建设</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本项目将共享使用省大数据局的浙政钉组织架构和用户体系组件、市资规局的地图等，建设包括智能语音调度系统、应用维护管理等内容，为本项目各个业务应用提供共性支撑。</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3、数据资源建设</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数据接入、数据处理以及城运数据库的建设，实现对各行业业务、横向部门、感知、设施部件等数据的归集、处理和存储，为宁波市城市运行管理服务系统提供数据服务支撑，并对外提供数据共享交换和数据应用服务。</w:t>
      </w:r>
    </w:p>
    <w:p>
      <w:pPr>
        <w:tabs>
          <w:tab w:val="left" w:pos="360"/>
        </w:tabs>
        <w:spacing w:line="40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（四）采购清单</w:t>
      </w:r>
    </w:p>
    <w:tbl>
      <w:tblPr>
        <w:tblStyle w:val="35"/>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4380"/>
        <w:gridCol w:w="13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采购内容</w:t>
            </w:r>
          </w:p>
        </w:tc>
        <w:tc>
          <w:tcPr>
            <w:tcW w:w="134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34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（一）</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业务应用建设</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指挥协调应用</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统一汇聚受理（升级）</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案件研判派遣（升级）</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案件联动处置（升级）</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办结销号管理（升级）</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行业业务应用</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园林绿地管理</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智慧隧道管理</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清扫保洁管理</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运行监管应用</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事件监测统计</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风险监测管理</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运行要素“一张图”</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运行评价分析</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4</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综合评价应用</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城管工作考核管理</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综合评价管理（升级）</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5</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决策分析应用</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事部件专题分析</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市容环卫分析</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园林绿地分析</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市政公用分析</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5.5</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城市管理执法分析</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6</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移动端应用</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浙政钉</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浙里办应用</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7</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与外部系统对接</w:t>
            </w:r>
          </w:p>
        </w:tc>
        <w:tc>
          <w:tcPr>
            <w:tcW w:w="1340" w:type="dxa"/>
            <w:shd w:val="clear" w:color="auto" w:fill="auto"/>
            <w:noWrap/>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（二）</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应用支撑建设</w:t>
            </w: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智能语音调度系统</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应用维护管理</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数据资源建设</w:t>
            </w:r>
          </w:p>
        </w:tc>
        <w:tc>
          <w:tcPr>
            <w:tcW w:w="1340" w:type="dxa"/>
            <w:shd w:val="clear" w:color="auto" w:fill="auto"/>
            <w:vAlign w:val="center"/>
          </w:tcPr>
          <w:p>
            <w:pPr>
              <w:widowControl/>
              <w:jc w:val="center"/>
              <w:rPr>
                <w:rFonts w:ascii="宋体" w:hAnsi="宋体" w:cs="宋体"/>
                <w:b/>
                <w:bCs/>
                <w:color w:val="auto"/>
                <w:kern w:val="0"/>
                <w:szCs w:val="21"/>
                <w:highlight w:val="none"/>
              </w:rPr>
            </w:pPr>
          </w:p>
        </w:tc>
        <w:tc>
          <w:tcPr>
            <w:tcW w:w="1340" w:type="dxa"/>
            <w:shd w:val="clear" w:color="auto" w:fill="auto"/>
            <w:noWrap/>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数据汇聚处理    </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城运数据库设计</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数据安全管理</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40" w:type="dxa"/>
            <w:shd w:val="clear" w:color="auto" w:fill="auto"/>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（四）</w:t>
            </w:r>
          </w:p>
        </w:tc>
        <w:tc>
          <w:tcPr>
            <w:tcW w:w="4380"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国产化软件购置</w:t>
            </w:r>
          </w:p>
        </w:tc>
        <w:tc>
          <w:tcPr>
            <w:tcW w:w="1340" w:type="dxa"/>
            <w:shd w:val="clear" w:color="auto" w:fill="auto"/>
            <w:vAlign w:val="center"/>
          </w:tcPr>
          <w:p>
            <w:pPr>
              <w:widowControl/>
              <w:jc w:val="center"/>
              <w:rPr>
                <w:rFonts w:ascii="宋体" w:hAnsi="宋体" w:cs="宋体"/>
                <w:b/>
                <w:bCs/>
                <w:color w:val="auto"/>
                <w:kern w:val="0"/>
                <w:szCs w:val="21"/>
                <w:highlight w:val="none"/>
              </w:rPr>
            </w:pPr>
          </w:p>
        </w:tc>
        <w:tc>
          <w:tcPr>
            <w:tcW w:w="1340" w:type="dxa"/>
            <w:shd w:val="clear" w:color="auto" w:fill="auto"/>
            <w:vAlign w:val="center"/>
          </w:tcPr>
          <w:p>
            <w:pPr>
              <w:widowControl/>
              <w:jc w:val="center"/>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国产数据库</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国产中间件</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77"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38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国产操作系统</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340"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r>
    </w:tbl>
    <w:p>
      <w:pPr>
        <w:tabs>
          <w:tab w:val="left" w:pos="360"/>
        </w:tabs>
        <w:spacing w:line="400" w:lineRule="exact"/>
        <w:ind w:firstLine="420" w:firstLineChars="200"/>
        <w:rPr>
          <w:rFonts w:ascii="宋体" w:hAnsi="宋体" w:cs="宋体"/>
          <w:color w:val="auto"/>
          <w:szCs w:val="21"/>
          <w:highlight w:val="none"/>
        </w:rPr>
      </w:pPr>
    </w:p>
    <w:p>
      <w:pPr>
        <w:pStyle w:val="2"/>
        <w:spacing w:before="0" w:after="0"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三、详细采购要求</w:t>
      </w:r>
    </w:p>
    <w:p>
      <w:pPr>
        <w:tabs>
          <w:tab w:val="left" w:pos="360"/>
        </w:tabs>
        <w:spacing w:line="40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（一）业务应用建设</w:t>
      </w:r>
    </w:p>
    <w:p>
      <w:pPr>
        <w:tabs>
          <w:tab w:val="left" w:pos="360"/>
        </w:tabs>
        <w:spacing w:line="400" w:lineRule="exact"/>
        <w:rPr>
          <w:rFonts w:ascii="宋体" w:hAnsi="宋体" w:cs="宋体"/>
          <w:b/>
          <w:bCs/>
          <w:color w:val="auto"/>
          <w:kern w:val="0"/>
          <w:szCs w:val="21"/>
          <w:highlight w:val="none"/>
        </w:rPr>
      </w:pPr>
      <w:bookmarkStart w:id="23" w:name="_Toc14775"/>
      <w:r>
        <w:rPr>
          <w:rFonts w:hint="eastAsia" w:ascii="宋体" w:hAnsi="宋体" w:cs="宋体"/>
          <w:b/>
          <w:bCs/>
          <w:color w:val="auto"/>
          <w:kern w:val="0"/>
          <w:szCs w:val="21"/>
          <w:highlight w:val="none"/>
        </w:rPr>
        <w:t>1、指挥协调应用</w:t>
      </w:r>
      <w:bookmarkEnd w:id="23"/>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宁波市智慧城管平台从2008年开始，至今已有10多年的运行时间，智慧城管平台原已实现了从问题发现、派遣、处理、核查以及办结销号的全程监管，但是随着案件数量、类型的不断增加以及住建部要求的不断提高，原有平台在业务流程、体系机制以及功能、性能等方面都暴露出了一些问题。本次项目将按照“三级平台、五级联动”的城市运行业务流程构建指挥协调应用，对原有的智慧城管平台（事件流转处置平台部分）进行升级重构开发，新构建的指挥协调应用将按照事件统一汇聚、事件研判派遣、事件联动主治、办结销号管理等四大模块进行升级改造。</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1.1▲事件统一汇聚</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现不同问题来源事件的统一展现，打造“入口多源，出口统一”的事件汇聚中心，为城市管理提供集中管理、分散控制的终端管控服务，实现多源数据关联分析，实时全面感知城市管理中的问题，主要包括对事件管理、事件查询、地图联动、事件人工登记、事件核实等功能模块进行升级改造。（投标文件中需提供类似软件功能截图证明）</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1.1.1事件管理</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事件管理主要包括事件三色显示、事件接入展示、事件详情查看等功能。</w:t>
      </w:r>
    </w:p>
    <w:p>
      <w:pPr>
        <w:tabs>
          <w:tab w:val="left" w:pos="360"/>
        </w:tabs>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事件三色显示。</w:t>
      </w:r>
      <w:r>
        <w:rPr>
          <w:rFonts w:hint="eastAsia" w:ascii="宋体" w:hAnsi="宋体" w:cs="宋体"/>
          <w:color w:val="auto"/>
          <w:szCs w:val="21"/>
          <w:highlight w:val="none"/>
        </w:rPr>
        <w:t>对进入系统流转处置事件进行全过程监管，对每个事件处置进度实行“绿、黄、红”三色管理。</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事件接入展示。</w:t>
      </w:r>
      <w:r>
        <w:rPr>
          <w:rFonts w:hint="eastAsia" w:ascii="宋体" w:hAnsi="宋体" w:cs="宋体"/>
          <w:color w:val="auto"/>
          <w:szCs w:val="21"/>
          <w:highlight w:val="none"/>
        </w:rPr>
        <w:t>整合接入不同来源的事件信息，系统默认界面显示所有的事件信息，并按照时间的先后顺序进行排序展示，针对不同来源的事件信息可按照事件来源、事件类别等进行标识，并统一在事件栏中以列表的形式进行展示。</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事件详情查看。</w:t>
      </w:r>
      <w:r>
        <w:rPr>
          <w:rFonts w:hint="eastAsia" w:ascii="宋体" w:hAnsi="宋体" w:cs="宋体"/>
          <w:color w:val="auto"/>
          <w:szCs w:val="21"/>
          <w:highlight w:val="none"/>
        </w:rPr>
        <w:t>可对每个事件信息的详请情况进行查看。</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1.1.2 事件查询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事件查询主要包括事件分类查询（新增）、事件来源查询（新增）、模糊查询（升级改造）等功能模块。</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1.1.3地图联动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查询结果可以与地图联动，可以在地图中看到查询到的这些事件分布情况，从而为用户对于城市管理的问题提供有效的地理信息的指导。</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1.1.4事件人工登记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于城市管理事件，系统提供事件人工登记功能，可根据事件信息的描述对事件进行线上手动登记，视频采集员也可针对视频巡查过程中查看到的问题进行事件的手工登记上报，事件人工登记模块主要包括升级改造举报信息录入等功能、新增包括登记人隐私保护、回访设定管理、事件立案修正等功能模块。</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①举报信息录入</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登记人举报信息。</w:t>
      </w:r>
      <w:r>
        <w:rPr>
          <w:rFonts w:hint="eastAsia" w:ascii="宋体" w:hAnsi="宋体" w:cs="宋体"/>
          <w:color w:val="auto"/>
          <w:szCs w:val="21"/>
          <w:highlight w:val="none"/>
        </w:rPr>
        <w:t>受理员在登记举报的社会治理问题时，系统支持对举报人的信息进行填写，包括举报人电话、姓名等。</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事件详情信息。</w:t>
      </w:r>
      <w:r>
        <w:rPr>
          <w:rFonts w:hint="eastAsia" w:ascii="宋体" w:hAnsi="宋体" w:cs="宋体"/>
          <w:color w:val="auto"/>
          <w:szCs w:val="21"/>
          <w:highlight w:val="none"/>
        </w:rPr>
        <w:t>受理员登记举报的社会治理问题时，需要根据举报的实际问题，录入事件的相关信息，包括：</w:t>
      </w:r>
      <w:r>
        <w:rPr>
          <w:rFonts w:hint="eastAsia" w:ascii="宋体" w:hAnsi="宋体" w:cs="宋体"/>
          <w:b/>
          <w:bCs/>
          <w:color w:val="auto"/>
          <w:szCs w:val="21"/>
          <w:highlight w:val="none"/>
        </w:rPr>
        <w:t>问题描述、问题发生的位置、问题来源、事件等级、问题的类型、立结案条件、事发网格、计时区域、事件回访、处置时限、</w:t>
      </w:r>
    </w:p>
    <w:p>
      <w:pPr>
        <w:widowControl/>
        <w:spacing w:line="400" w:lineRule="exact"/>
        <w:rPr>
          <w:rFonts w:ascii="宋体" w:hAnsi="宋体" w:cs="宋体"/>
          <w:color w:val="auto"/>
          <w:szCs w:val="21"/>
          <w:highlight w:val="none"/>
        </w:rPr>
      </w:pPr>
      <w:r>
        <w:rPr>
          <w:rFonts w:hint="eastAsia" w:ascii="宋体" w:hAnsi="宋体" w:cs="宋体"/>
          <w:b/>
          <w:bCs/>
          <w:color w:val="auto"/>
          <w:szCs w:val="21"/>
          <w:highlight w:val="none"/>
        </w:rPr>
        <w:t>截止时间等。</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②登记人隐私保护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为了保证举报人的隐私，系统支持是否对举报人的信息进行公开。</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③回访设定管理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为了提高公众满意度，系统支持按照举报人意愿，进行回访。</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④事件立案修正</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系统支持对立案有问题的事件，通过对修改权限进行控制，可查看修改记录。</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1.1.5事件核实</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事件核实模块主要包括升级改造手动核实任务发起功能，新增包括核实事件自动筛选、自动发送核实任务、核实人员配置、核实结果管理等功能。</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①手动核实任务发起。</w:t>
      </w:r>
      <w:r>
        <w:rPr>
          <w:rFonts w:hint="eastAsia" w:ascii="宋体" w:hAnsi="宋体" w:cs="宋体"/>
          <w:color w:val="auto"/>
          <w:szCs w:val="21"/>
          <w:highlight w:val="none"/>
        </w:rPr>
        <w:t>对于需要核实确认的事件，通过填写相关核实要求，选择核实人员，对该事件进行核实，确认该事件是否属实。</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②核实事件自动筛选。</w:t>
      </w:r>
      <w:r>
        <w:rPr>
          <w:rFonts w:hint="eastAsia" w:ascii="宋体" w:hAnsi="宋体" w:cs="宋体"/>
          <w:color w:val="auto"/>
          <w:szCs w:val="21"/>
          <w:highlight w:val="none"/>
        </w:rPr>
        <w:t>公众上报的事件系统可自动进行筛选，进行事件真实性核实。</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③自动发送核实任务</w:t>
      </w:r>
      <w:r>
        <w:rPr>
          <w:rFonts w:hint="eastAsia" w:ascii="宋体" w:hAnsi="宋体" w:cs="宋体"/>
          <w:color w:val="auto"/>
          <w:szCs w:val="21"/>
          <w:highlight w:val="none"/>
        </w:rPr>
        <w:t>。可配置自动发送核实的功能，事件批转到指定工作流阶段后，根据不同情况，自动发送核实到责任网格或者发送到协管员。</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④核实人员配置。</w:t>
      </w:r>
      <w:r>
        <w:rPr>
          <w:rFonts w:hint="eastAsia" w:ascii="宋体" w:hAnsi="宋体" w:cs="宋体"/>
          <w:color w:val="auto"/>
          <w:szCs w:val="21"/>
          <w:highlight w:val="none"/>
        </w:rPr>
        <w:t>可根据不同情况，对核实人员进行配置下发核实任务。</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⑤核实结果管理。</w:t>
      </w:r>
      <w:r>
        <w:rPr>
          <w:rFonts w:hint="eastAsia" w:ascii="宋体" w:hAnsi="宋体" w:cs="宋体"/>
          <w:color w:val="auto"/>
          <w:szCs w:val="21"/>
          <w:highlight w:val="none"/>
        </w:rPr>
        <w:t>协管员可根据事件情况进行核实处理。</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1.2事件研判派遣</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对原宁波城管平台的业务流程进行重塑，事件研判派遣主要包括升级改造事件受理立案模块，新增包括事件智能研判、事件智能流转等模块。</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1.2.1事件受理立案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事件受理立案主要包括升级改造上报受理、事件恢复等功能，新增包括补采上报、事件速查和辅助功能等。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①上报受理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协管员未能自行处置上报的城市综合管理问题，在系统中以列表的形式，默认按照上报时间顺序排列，如果该事件不符合受理条件，可对该事件进行不受理操作，并按要求填写不受理原因和不受理意见，并做存档处理。</w:t>
      </w:r>
    </w:p>
    <w:p>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szCs w:val="21"/>
          <w:highlight w:val="none"/>
        </w:rPr>
        <w:t>②</w:t>
      </w:r>
      <w:r>
        <w:rPr>
          <w:rFonts w:hint="eastAsia" w:ascii="宋体" w:hAnsi="宋体" w:cs="宋体"/>
          <w:b/>
          <w:bCs/>
          <w:color w:val="auto"/>
          <w:kern w:val="0"/>
          <w:szCs w:val="21"/>
          <w:highlight w:val="none"/>
        </w:rPr>
        <w:t>补采上报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为了提高问题的上报效率，同时避免重复劳动。系统提供事件补采上报功能，由城运中心向协管员下发补采任务，需要协管员重新补充采集问题现场的情况；协管员接到任务后，进行补采上报。</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③事件恢复</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支持对该不受理事件做恢复处理，防止因为误操作，导致该事件不能得到正确处理。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④事件速查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可根据大小类、区域、时间段、举报人、举报人电话、信息描述、信息状态等进行事件的快速查询，并可对事件的详情进行查看。</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⑤辅助功能</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自定义处置时限。</w:t>
      </w:r>
      <w:r>
        <w:rPr>
          <w:rFonts w:hint="eastAsia" w:ascii="宋体" w:hAnsi="宋体" w:cs="宋体"/>
          <w:color w:val="auto"/>
          <w:szCs w:val="21"/>
          <w:highlight w:val="none"/>
        </w:rPr>
        <w:t>系统支持自定义该事件的处置时限，并可对紧急事件进行特殊计时。优先采用特殊计时对事件进行计时管理。</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上报时段设置。</w:t>
      </w:r>
      <w:r>
        <w:rPr>
          <w:rFonts w:hint="eastAsia" w:ascii="宋体" w:hAnsi="宋体" w:cs="宋体"/>
          <w:color w:val="auto"/>
          <w:szCs w:val="21"/>
          <w:highlight w:val="none"/>
        </w:rPr>
        <w:t>系统支持设置限制事件的上报时段，只允许上报限制时段内的事件，超出限制时段内不允许上报。</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上报区域设置。</w:t>
      </w:r>
      <w:r>
        <w:rPr>
          <w:rFonts w:hint="eastAsia" w:ascii="宋体" w:hAnsi="宋体" w:cs="宋体"/>
          <w:color w:val="auto"/>
          <w:szCs w:val="21"/>
          <w:highlight w:val="none"/>
        </w:rPr>
        <w:t>系统支持对城市治理中的一些由于环境综合提升需要施工的区域，由处置部门申请特定时段内对该区域暂停问题上报。</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上报路段设置。</w:t>
      </w:r>
      <w:r>
        <w:rPr>
          <w:rFonts w:hint="eastAsia" w:ascii="宋体" w:hAnsi="宋体" w:cs="宋体"/>
          <w:color w:val="auto"/>
          <w:szCs w:val="21"/>
          <w:highlight w:val="none"/>
        </w:rPr>
        <w:t>系统支持对具体路段进行选择，以及设置特定路段禁止上报问题。</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1.2.2▲事件智能研判</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智能研判主要包括新增事件智能化分类、相似事件分析、事件派遣推荐、事件智能坐席分配等。（投标文件中需提供类似软件功能截图证明）</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1.2.3▲事件智能流转</w:t>
      </w:r>
    </w:p>
    <w:p>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通过事项责任清单配置实现常态化、兜底、应急、多跨（含一件事）、执法、行业等各类事件的自动化流转，实现各类流转痕迹的可视化。（投标文件中需提供类似软件功能截图证明）</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1.3▲事件联动处置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事件联动处置主要包括升级改造常态化处置、授权管理、事件督办、事件督办、典型事件库管理、积存事件管理、上级监督检查管理等模块。（投标文件中需提供类似软件功能截图证明）</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1.3.1常态化处置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常态化处置主要包括处置反馈、事件回退、办理过程查看等，本次项目主要包括升级改造处置反馈、事件回退、办理过程查看等模块，新增事件批注模块。</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1.3.2授权管理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授权管理主要包括升级改造申请延期、申请回退、申请挂账、申请作废、答复授权、挂账解除、授权意见查看等功能。</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1.3.3事件督办</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本次项目主要对发起督办、督办星级设置、答复督办、督办意见查看等功能模块做迭代升级，新增事件催办功能。</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1.3.4典型事件库管理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本次项目主要对典型事件申报、典型事件审核等功能模块进行迭代升级，新增事件草稿箱、事件申报数配置等功能模块。</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1.3.5积存事件管理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对原有的智慧城管平台内积压事件进行调整，分为疑难和缓办事件，并且在流程上做控制，以规范运行。</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1.3.6上级监督检查管理</w:t>
      </w:r>
    </w:p>
    <w:p>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通过与国家、省级城运平台进行对接，实现对国家和省级城运平台监督检查系统中布置和下发的重点工作任务的接收、办理和反馈，主要包括重点工作任务接收展示、重点工作任务办理反馈、重点工作任务查询等功能。</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1.4▲办结销号管理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办结销号管理主要包括升级改造事件核查、满意度回访、自动化销号等模块，新增事件全过程质管模块。（投标文件中需提供类似软件功能截图证明）</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①事件核查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对手动下发核查任务进行迭代升级，新增自动发送核查任务核查、核查配置、核查结果管理等功能模块。</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②满意度回访</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对满意度回访、事件返工等功能模块进行升级改造。</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③自动化销号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针对群众上报的事件经过电话回访后群众满意则进行事件的办结销号；针对其他方式上报的事件，若有处置前后的照片，则系统支持对此类符合结案的事件进行自动结案，事件办结后，系统自动将事件流转到“办结事件”栏，通过列表的形式直观； </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④</w:t>
      </w:r>
      <w:r>
        <w:rPr>
          <w:rFonts w:hint="eastAsia" w:ascii="宋体" w:hAnsi="宋体" w:cs="宋体"/>
          <w:b/>
          <w:color w:val="auto"/>
          <w:szCs w:val="21"/>
          <w:highlight w:val="none"/>
        </w:rPr>
        <w:t>事件全过程质管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事件全过程质管模块针对事件的全过程环节是否准确进行监督，事件全过程质管主要包括任务管理、质监评价、审核管理、统计分析、事件经办人评价等功能。</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GB"/>
        </w:rPr>
        <w:t>行业业务应用</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2.1园林绿地管理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建立园林绿化管理应用，可以及时准确地掌握城市园林绿地的真实情况，实现对城市园林绿化的合理规划与科学管理，同时为国家园林城市复查及国家生态园林城市申报提供信息化系统保障，本次园林绿地管理主要包括园林绿地“一张图”、规划建设管理、审批信息管理、民生服务、园林绿地统计分析等内容。</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2.1.1园林绿地“一张图”</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园林绿地“一张图”将各类数据资源集成整合，并基于GIS地图进行可视化展示，实现各类资源数据的动态可视化监管。</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1.园林绿地图层管理</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（1）图层接入管理</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基于资规局提供的GIS电子地图和图层数据等，对GIS图层进行分层管理，系统所管理的所有园林绿地专题数据均分层显示，其中每一类资源对应一个图层，系统提供可视化界面，方便用户设置图层显隐，以及图层的放置顺序，园林绿地专题图层主要包括：建成区现状绿地图层、建成区规划绿地图层、道路绿地图层、乔灌木图层、种植土改良图层、立体绿化图层、防灾避险绿地设施图层、古树名木及后备资源图层、绿化审批图层、历史文化街区位置及分布范围图、受损弃置地位置图等。</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（2）图层创建</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所需图层数据大部分可从资规局进行获取，其中针对口袋公园图层、甬小园图层、种植土改良图层、园林式居住区（单位）图层、防灾避险绿地设施图层、古树名木及后备资源图层、绿化审批图层等图层数据需由各区（县、市）园林绿地所进行填报，并进行相应图层的创建，本项目需开发建设图层基础数据的填报和图层创建功能。</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（3）图层控制</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提供图层放大、缩小，漫游，全图显示、全屏显示、按比例尺显示；提供长度、面积等多功能量测功能，在图上可以对任意取点进行长度量算，或任意多边形量算面积和周长，另外支持用户任意选择感兴趣的要素等。</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2.专题查询</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对宁波市整体绿地、行道树、古树名木、公园、居住区与单位、绿地审批、历史文化街区、受损弃置地概览信息进行展示，同时可多种条件筛选查询、分页显示、定位渲染等，并查看详细信息。</w:t>
      </w:r>
    </w:p>
    <w:p>
      <w:pPr>
        <w:tabs>
          <w:tab w:val="left" w:pos="360"/>
        </w:tabs>
        <w:spacing w:line="400" w:lineRule="exact"/>
        <w:rPr>
          <w:rFonts w:ascii="宋体" w:hAnsi="宋体" w:cs="宋体"/>
          <w:b/>
          <w:bCs/>
          <w:color w:val="auto"/>
          <w:kern w:val="0"/>
          <w:szCs w:val="21"/>
          <w:highlight w:val="none"/>
        </w:rPr>
      </w:pPr>
      <w:bookmarkStart w:id="24" w:name="_Toc83917918"/>
      <w:r>
        <w:rPr>
          <w:rFonts w:hint="eastAsia" w:ascii="宋体" w:hAnsi="宋体" w:cs="宋体"/>
          <w:b/>
          <w:bCs/>
          <w:color w:val="auto"/>
          <w:kern w:val="0"/>
          <w:szCs w:val="21"/>
          <w:highlight w:val="none"/>
        </w:rPr>
        <w:t>2.1.2规划建设管理</w:t>
      </w:r>
      <w:bookmarkEnd w:id="24"/>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1.园林绿地规划管理</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实现园林绿地规划过程中计划上报、方案批复管理、方案批复查看功能。</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2.裸地管理</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对全市裸地的“闲置时间、检查、采取措施（标准）、裸地注销（转项目建设生命就结束不在监管范围了）、裸地面积、管理部门联系人、属权单位联系人等进行登记管理。</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3.总览</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可对园林绿地建设的工程数数量、检查量以及流程进度等信息进行展示，同时可按照区划进行统计。</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4.方案管理</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对工程方案进行管理，输入方案的编号、日期和工程名称可筛选方案记录，实现新增方案的创建及信息保存。</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5.工程新建管理</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对新立项工程进行新增，可编辑工程的详情信息，支持工程的综合查询功能及详情展示。</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6.工程检查管理</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检查模块包括监督检查、安全文明检查以及专项检查，监督检查模块。</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7.竣工验收管理</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实现竣工验收过程中竣工资料管理、验收资料查询统计功能。</w:t>
      </w:r>
    </w:p>
    <w:p>
      <w:pPr>
        <w:tabs>
          <w:tab w:val="left" w:pos="360"/>
        </w:tabs>
        <w:spacing w:line="400" w:lineRule="exact"/>
        <w:rPr>
          <w:rFonts w:ascii="宋体" w:hAnsi="宋体" w:cs="宋体"/>
          <w:b/>
          <w:bCs/>
          <w:color w:val="auto"/>
          <w:kern w:val="0"/>
          <w:szCs w:val="21"/>
          <w:highlight w:val="none"/>
        </w:rPr>
      </w:pPr>
      <w:bookmarkStart w:id="25" w:name="_Hlk118730520"/>
      <w:r>
        <w:rPr>
          <w:rFonts w:hint="eastAsia" w:ascii="宋体" w:hAnsi="宋体" w:cs="宋体"/>
          <w:b/>
          <w:bCs/>
          <w:color w:val="auto"/>
          <w:kern w:val="0"/>
          <w:szCs w:val="21"/>
          <w:highlight w:val="none"/>
        </w:rPr>
        <w:t>2.1.3审批信息管理</w:t>
      </w:r>
    </w:p>
    <w:p>
      <w:pPr>
        <w:spacing w:line="400" w:lineRule="exact"/>
        <w:ind w:firstLine="420" w:firstLineChars="200"/>
        <w:rPr>
          <w:rFonts w:ascii="宋体" w:hAnsi="宋体" w:cs="宋体"/>
          <w:color w:val="auto"/>
          <w:szCs w:val="21"/>
          <w:highlight w:val="none"/>
        </w:rPr>
      </w:pPr>
      <w:bookmarkStart w:id="26" w:name="_Hlk119488062"/>
      <w:r>
        <w:rPr>
          <w:rFonts w:hint="eastAsia" w:ascii="宋体" w:hAnsi="宋体" w:cs="宋体"/>
          <w:color w:val="auto"/>
          <w:szCs w:val="21"/>
          <w:highlight w:val="none"/>
        </w:rPr>
        <w:t>基于一体化智能化公共数据平台实现审批数据共享回流，</w:t>
      </w:r>
      <w:bookmarkEnd w:id="26"/>
      <w:r>
        <w:rPr>
          <w:rFonts w:hint="eastAsia" w:ascii="宋体" w:hAnsi="宋体" w:cs="宋体"/>
          <w:color w:val="auto"/>
          <w:szCs w:val="21"/>
          <w:highlight w:val="none"/>
        </w:rPr>
        <w:t>对占绿、行道树砍伐、移栽等流程审批文件（图片的形式）进行回流，通过对审批文件中的审批相关数据进行提取，形成审批事件列表，可按区域、状态、年份等多种维度进行图表的显示。</w:t>
      </w:r>
    </w:p>
    <w:bookmarkEnd w:id="25"/>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2.1.4占绿管理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实现占绿管理中占绿范围绘制、占绿信息录入、占绿到期提醒、占绿到期反馈、复绿管理、逾期复绿地块通知、逾期复绿确认、占绿查询、周边占绿信息管理功能。</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2.1.5民生服务</w:t>
      </w:r>
    </w:p>
    <w:p>
      <w:pPr>
        <w:widowControl/>
        <w:numPr>
          <w:ilvl w:val="0"/>
          <w:numId w:val="4"/>
        </w:numPr>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植树信息管理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发布树木信息，向公众推出接受义务植树的信息。</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2.活动发布</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提供花事花展活动、游园活动、科普教育活动等发布模块</w:t>
      </w:r>
      <w:r>
        <w:rPr>
          <w:rFonts w:hint="eastAsia" w:ascii="宋体" w:hAnsi="宋体" w:cs="宋体"/>
          <w:color w:val="auto"/>
          <w:szCs w:val="21"/>
          <w:highlight w:val="none"/>
        </w:rPr>
        <w:t>，市民通过浙里办应用，能够及时掌握相关信息，进行活动的报名及预约等</w:t>
      </w:r>
      <w:r>
        <w:rPr>
          <w:rFonts w:hint="eastAsia" w:ascii="宋体" w:hAnsi="宋体" w:cs="宋体"/>
          <w:bCs/>
          <w:color w:val="auto"/>
          <w:szCs w:val="21"/>
          <w:highlight w:val="none"/>
        </w:rPr>
        <w:t>。</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3.问题查询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对市民上报的园林绿地问题进行查看、筛选、处理操作，可根据时间、处理状态、区域等条件筛选，同时按年份、问题类型、问题状态形成统计报表、图表(柱状图、饼状图)上报统计。</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2.1.6统计分析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统计分析模块实现绿化覆盖率、绿地率、公园服务半径覆盖率等指标项的测算，方便园林绿地管理部门掌握城市绿地建设宏观信息，并通过城市绿地空间分析，为绿地建设选址、绿地监管提供辅助决策数据。</w:t>
      </w:r>
    </w:p>
    <w:p>
      <w:pPr>
        <w:numPr>
          <w:ilvl w:val="0"/>
          <w:numId w:val="5"/>
        </w:numPr>
        <w:spacing w:line="400" w:lineRule="exact"/>
        <w:rPr>
          <w:rFonts w:ascii="宋体" w:hAnsi="宋体" w:cs="宋体"/>
          <w:color w:val="auto"/>
          <w:szCs w:val="21"/>
          <w:highlight w:val="none"/>
        </w:rPr>
      </w:pPr>
      <w:r>
        <w:rPr>
          <w:rFonts w:hint="eastAsia" w:ascii="宋体" w:hAnsi="宋体" w:cs="宋体"/>
          <w:color w:val="auto"/>
          <w:szCs w:val="21"/>
          <w:highlight w:val="none"/>
        </w:rPr>
        <w:t>▲指标统计分析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基于GIS地图，对建设绿化覆盖率、建成区绿地率、人均公园面积、公园绿地服务半径覆盖率、绿化覆盖面积中乔灌木所占比例、园林居住区(单位)达标率、道路绿地达标率、防护绿地达标率、林荫路推广率、受损弃置地生态修复率、生产绿地站建设区比率、道路绿化普及率、河道绿化普及率、水体岸线自然化率、新建居住区绿地达标率、万人拥有综合公园指数、林荫停车场推广率、城市公共绿地达标率、节约型绿地建设率、生物防治推广率等指标进行计算分析和动态展示。（投标文件中需提供类似软件功能截图证明）</w:t>
      </w:r>
    </w:p>
    <w:p>
      <w:pPr>
        <w:numPr>
          <w:ilvl w:val="0"/>
          <w:numId w:val="5"/>
        </w:numPr>
        <w:spacing w:line="400" w:lineRule="exact"/>
        <w:rPr>
          <w:rFonts w:ascii="宋体" w:hAnsi="宋体" w:cs="宋体"/>
          <w:color w:val="auto"/>
          <w:szCs w:val="21"/>
          <w:highlight w:val="none"/>
        </w:rPr>
      </w:pPr>
      <w:r>
        <w:rPr>
          <w:rFonts w:hint="eastAsia" w:ascii="宋体" w:hAnsi="宋体" w:cs="宋体"/>
          <w:color w:val="auto"/>
          <w:szCs w:val="21"/>
          <w:highlight w:val="none"/>
        </w:rPr>
        <w:t>年报统计分析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数据上报：开发数据填报功能，支持园林管理行业数据进行手工填报，同时也支持excel数据的导入、导出等。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数据汇总统计：按年度、数据上报类型统计各区上报数据的统计值以及填报进度情况，同时</w:t>
      </w:r>
      <w:r>
        <w:rPr>
          <w:rFonts w:hint="eastAsia" w:ascii="宋体" w:hAnsi="宋体" w:cs="宋体"/>
          <w:color w:val="auto"/>
          <w:szCs w:val="21"/>
          <w:highlight w:val="none"/>
          <w:lang w:val="zh-CN"/>
        </w:rPr>
        <w:t>可按照生态园林城市等指标计算要求一键生成指标计算汇总表格和清单表格。</w:t>
      </w:r>
    </w:p>
    <w:p>
      <w:pPr>
        <w:numPr>
          <w:ilvl w:val="0"/>
          <w:numId w:val="5"/>
        </w:numPr>
        <w:spacing w:line="400" w:lineRule="exact"/>
        <w:rPr>
          <w:rFonts w:ascii="宋体" w:hAnsi="宋体" w:cs="宋体"/>
          <w:color w:val="auto"/>
          <w:szCs w:val="21"/>
          <w:highlight w:val="none"/>
        </w:rPr>
      </w:pPr>
      <w:r>
        <w:rPr>
          <w:rFonts w:hint="eastAsia" w:ascii="宋体" w:hAnsi="宋体" w:cs="宋体"/>
          <w:color w:val="auto"/>
          <w:szCs w:val="21"/>
          <w:highlight w:val="none"/>
        </w:rPr>
        <w:t>辅助分析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实现甬小园、口袋公园选址分析，公园建设(公园服务半径)合理性分析功能。</w:t>
      </w:r>
    </w:p>
    <w:p>
      <w:pPr>
        <w:tabs>
          <w:tab w:val="left" w:pos="360"/>
        </w:tabs>
        <w:spacing w:line="400" w:lineRule="exact"/>
        <w:rPr>
          <w:rFonts w:ascii="宋体" w:hAnsi="宋体" w:cs="宋体"/>
          <w:b/>
          <w:bCs/>
          <w:color w:val="auto"/>
          <w:kern w:val="0"/>
          <w:szCs w:val="21"/>
          <w:highlight w:val="none"/>
        </w:rPr>
      </w:pPr>
      <w:bookmarkStart w:id="27" w:name="_Hlk118731139"/>
      <w:r>
        <w:rPr>
          <w:rFonts w:hint="eastAsia" w:ascii="宋体" w:hAnsi="宋体" w:cs="宋体"/>
          <w:b/>
          <w:bCs/>
          <w:color w:val="auto"/>
          <w:kern w:val="0"/>
          <w:szCs w:val="21"/>
          <w:highlight w:val="none"/>
        </w:rPr>
        <w:t>2.1.7链接管理</w:t>
      </w:r>
    </w:p>
    <w:bookmarkEnd w:id="27"/>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园林绿地管理应用中集成浙江省政府民生地图管理系统、浙江省建设管理领域在线审批系统、城市建设投资项目管理系统、浙江省城市建设综合管理服务系统、住房和城市建设部城市建设统计信息管理系统、全国城市园林绿地行业信息系统、园林绿地专项体检报告等系统平台链接，用户可在园林绿地管理应用中直接找到对应的系统平台入口，实现相关信息的录入填报。</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2.2智慧隧道（地道、天桥）管理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各隧道、地道、天桥等前端机电设备、感知设备等数据的采集接入，实现对隧道、地道、天桥运行状态的自动化监测（其中智慧隧道管理所涉及到的前端相关感知硬件设备、监测设备、摄像头设备以及传感设备等的更换购置不在本次项目建设范围之内）。</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2.2.1设施基础信息管理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建立全市范围内的隧道设施数字化档案库，</w:t>
      </w:r>
      <w:r>
        <w:rPr>
          <w:rFonts w:hint="eastAsia" w:ascii="宋体" w:hAnsi="宋体" w:cs="宋体"/>
          <w:color w:val="auto"/>
          <w:kern w:val="0"/>
          <w:szCs w:val="21"/>
          <w:highlight w:val="none"/>
        </w:rPr>
        <w:t>对宁波市隧道管理所养管的三座隧道、三座地道、一座天桥的相关信息进行维护管理，</w:t>
      </w:r>
      <w:r>
        <w:rPr>
          <w:rFonts w:hint="eastAsia" w:ascii="宋体" w:hAnsi="宋体" w:cs="宋体"/>
          <w:color w:val="auto"/>
          <w:szCs w:val="21"/>
          <w:highlight w:val="none"/>
        </w:rPr>
        <w:t>依据类别进行数字档案管理，形成“一隧一档”的数字档案库。</w:t>
      </w:r>
    </w:p>
    <w:p>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1.基础数据管理</w:t>
      </w:r>
    </w:p>
    <w:p>
      <w:pPr>
        <w:spacing w:line="400" w:lineRule="exact"/>
        <w:ind w:firstLine="420" w:firstLineChars="200"/>
        <w:rPr>
          <w:rFonts w:ascii="宋体" w:hAnsi="宋体" w:cs="宋体"/>
          <w:color w:val="auto"/>
          <w:szCs w:val="21"/>
          <w:highlight w:val="none"/>
        </w:rPr>
      </w:pPr>
      <w:bookmarkStart w:id="28" w:name="_Toc11486"/>
      <w:r>
        <w:rPr>
          <w:rFonts w:hint="eastAsia" w:ascii="宋体" w:hAnsi="宋体" w:cs="宋体"/>
          <w:color w:val="auto"/>
          <w:szCs w:val="21"/>
          <w:highlight w:val="none"/>
        </w:rPr>
        <w:t>通过隧道的养护业务规范和标准划分隧道的管理单元及其他信息，可以对管理单元进行增删改查的操作，以及对管理单元下不同数据的维护，管理单元上同时挂接了具体设备，可以通过管理单元快速查询筛选需要养护的设备。</w:t>
      </w:r>
    </w:p>
    <w:bookmarkEnd w:id="28"/>
    <w:p>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2.隧道（地道、天桥）信息管理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对隧道的位置、编号、宽度、长度、位置等基础信息进行数字化管理。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隧道基础属性包括但不限于隧道名称、地道名称、数量、位置、建造时间、竣工时间、接管时间、设计使用年限、竣工图、隧道类型、资产价值、设施清单、隧道结构几何尺寸、车道尺寸、长度、宽度、高度、附属设施内容、其他设施，机电设备等信息。</w:t>
      </w:r>
    </w:p>
    <w:p>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3.构件信息管理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建立设施构件分类标准，对隧道、地道、天桥内的设施设备信息进行编号分类管理，包括车道指示器、交通信号灯、风机、情报板、照明设备、摄像机、检测器、监测仪、雨水泵、配电柜等，基础信息具备新增、修改、删除功能，实现设施网格化、精细化养管。</w:t>
      </w:r>
    </w:p>
    <w:p>
      <w:pPr>
        <w:spacing w:line="40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4.定期更新管理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增设定期管理功能，对上述基础数据、设施信息管理和机电构件信息管理的信息进行定期维护更新，保证资产数字化的准确性。</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2.2.2设施可视化展示</w:t>
      </w:r>
    </w:p>
    <w:p>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总体概览。</w:t>
      </w:r>
      <w:r>
        <w:rPr>
          <w:rFonts w:hint="eastAsia" w:ascii="宋体" w:hAnsi="宋体" w:cs="宋体"/>
          <w:color w:val="auto"/>
          <w:kern w:val="0"/>
          <w:szCs w:val="21"/>
          <w:highlight w:val="none"/>
        </w:rPr>
        <w:t>通过对多隧道、地道、天桥等相关信息的综合分析，可对设施基本情况（宁波市的隧道数、地道数、天桥数、运营总里程等）、预警情况（预警等级、预警事件、所属隧道、设备名称、位置等）、事件看板（事件处理情况、预警处理、异常处理）、</w:t>
      </w:r>
      <w:r>
        <w:rPr>
          <w:rFonts w:hint="eastAsia" w:ascii="宋体" w:hAnsi="宋体" w:cs="宋体"/>
          <w:color w:val="auto"/>
          <w:szCs w:val="21"/>
          <w:highlight w:val="none"/>
        </w:rPr>
        <w:t>养护情况、健康监测情况、运行情况等进行展示，同时</w:t>
      </w:r>
      <w:r>
        <w:rPr>
          <w:rFonts w:hint="eastAsia" w:ascii="宋体" w:hAnsi="宋体" w:cs="宋体"/>
          <w:color w:val="auto"/>
          <w:kern w:val="0"/>
          <w:szCs w:val="21"/>
          <w:highlight w:val="none"/>
        </w:rPr>
        <w:t>可对隧道周边的是监控视频进行关联调阅。</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kern w:val="0"/>
          <w:szCs w:val="21"/>
          <w:highlight w:val="none"/>
        </w:rPr>
        <w:t>设施基本情况展示。</w:t>
      </w:r>
      <w:r>
        <w:rPr>
          <w:rFonts w:hint="eastAsia" w:ascii="宋体" w:hAnsi="宋体" w:cs="宋体"/>
          <w:color w:val="auto"/>
          <w:kern w:val="0"/>
          <w:szCs w:val="21"/>
          <w:highlight w:val="none"/>
        </w:rPr>
        <w:t>对三座市管隧道及三座地道、一座天桥进行图形化展示，可对</w:t>
      </w:r>
      <w:r>
        <w:rPr>
          <w:rFonts w:hint="eastAsia" w:ascii="宋体" w:hAnsi="宋体" w:cs="宋体"/>
          <w:color w:val="auto"/>
          <w:szCs w:val="21"/>
          <w:highlight w:val="none"/>
        </w:rPr>
        <w:t>三隧三地道一天桥的位置、属性卡片、设施概况等信息进行展示。</w:t>
      </w:r>
    </w:p>
    <w:p>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机电运行情况展示。</w:t>
      </w:r>
      <w:r>
        <w:rPr>
          <w:rFonts w:hint="eastAsia" w:ascii="宋体" w:hAnsi="宋体" w:cs="宋体"/>
          <w:color w:val="auto"/>
          <w:kern w:val="0"/>
          <w:szCs w:val="21"/>
          <w:highlight w:val="none"/>
        </w:rPr>
        <w:t>基于可视化的展示界面，以柱状图、折线图、饼图等集中展示三隧三地道一天桥的机电设备运行状态数据，包含设备数量、在线率、可靠运行时间、故障率等数据。</w:t>
      </w:r>
    </w:p>
    <w:p>
      <w:pPr>
        <w:spacing w:line="400" w:lineRule="exact"/>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环境展示。</w:t>
      </w:r>
      <w:r>
        <w:rPr>
          <w:rFonts w:hint="eastAsia" w:ascii="宋体" w:hAnsi="宋体" w:cs="宋体"/>
          <w:color w:val="auto"/>
          <w:szCs w:val="21"/>
          <w:highlight w:val="none"/>
        </w:rPr>
        <w:t>集中展示各设施内部温度、通风及有害气体浓度、亮度等环境等情况，</w:t>
      </w:r>
      <w:r>
        <w:rPr>
          <w:rFonts w:hint="eastAsia" w:ascii="宋体" w:hAnsi="宋体" w:cs="宋体"/>
          <w:color w:val="auto"/>
          <w:kern w:val="0"/>
          <w:szCs w:val="21"/>
          <w:highlight w:val="none"/>
        </w:rPr>
        <w:t>基于可视化的展示界面，以柱状图、折线图、饼图等集中展示。</w:t>
      </w:r>
    </w:p>
    <w:p>
      <w:pPr>
        <w:spacing w:after="120" w:line="400" w:lineRule="exact"/>
        <w:ind w:firstLine="422" w:firstLineChars="200"/>
        <w:rPr>
          <w:rFonts w:ascii="宋体" w:hAnsi="宋体" w:cs="宋体"/>
          <w:color w:val="auto"/>
          <w:szCs w:val="21"/>
          <w:highlight w:val="none"/>
        </w:rPr>
      </w:pPr>
      <w:r>
        <w:rPr>
          <w:rFonts w:hint="eastAsia" w:ascii="宋体" w:hAnsi="宋体" w:cs="宋体"/>
          <w:b/>
          <w:bCs/>
          <w:color w:val="auto"/>
          <w:kern w:val="0"/>
          <w:szCs w:val="21"/>
          <w:highlight w:val="none"/>
        </w:rPr>
        <w:t>能耗展示。</w:t>
      </w:r>
      <w:r>
        <w:rPr>
          <w:rFonts w:hint="eastAsia" w:ascii="宋体" w:hAnsi="宋体" w:cs="宋体"/>
          <w:color w:val="auto"/>
          <w:szCs w:val="21"/>
          <w:highlight w:val="none"/>
        </w:rPr>
        <w:t>在各设施现场具备能耗分项计量设备采集的前提下，集中展示风机、水泵、照明等用电设备的情况，并展示设施间能耗对比。</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2.2.3▲设备运行监测管理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构建统一的运行监测管理模块，实现对隧道、地道、天桥内机电设备的运行情况进行统一平台的监测。</w:t>
      </w:r>
      <w:r>
        <w:rPr>
          <w:rFonts w:hint="eastAsia" w:ascii="宋体" w:hAnsi="宋体" w:cs="宋体"/>
          <w:color w:val="auto"/>
          <w:szCs w:val="21"/>
          <w:highlight w:val="none"/>
        </w:rPr>
        <w:t>（投标文件中需提供类似软件功能截图证明）</w:t>
      </w:r>
    </w:p>
    <w:p>
      <w:pPr>
        <w:spacing w:line="400" w:lineRule="exact"/>
        <w:ind w:firstLine="422" w:firstLineChars="200"/>
        <w:rPr>
          <w:rFonts w:ascii="宋体" w:hAnsi="宋体" w:cs="宋体"/>
          <w:b/>
          <w:bCs/>
          <w:color w:val="auto"/>
          <w:kern w:val="0"/>
          <w:szCs w:val="21"/>
          <w:highlight w:val="none"/>
        </w:rPr>
      </w:pPr>
      <w:bookmarkStart w:id="29" w:name="_Toc103775531"/>
      <w:bookmarkStart w:id="30" w:name="_Toc105960646"/>
      <w:r>
        <w:rPr>
          <w:rFonts w:hint="eastAsia" w:ascii="宋体" w:hAnsi="宋体" w:cs="宋体"/>
          <w:b/>
          <w:bCs/>
          <w:color w:val="auto"/>
          <w:kern w:val="0"/>
          <w:szCs w:val="21"/>
          <w:highlight w:val="none"/>
        </w:rPr>
        <w:t>1、多设施综合展示</w:t>
      </w:r>
      <w:bookmarkEnd w:id="29"/>
      <w:bookmarkEnd w:id="30"/>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支持三隧三地道一天桥的设施进行接入并进行集中统一管控，可以对接入设施进行运行实况一张图展示，形化展示各设施的位置及特征信息、设施资产展示、机电集中监测信息、风险管控及应急联动情况、交通运行情况、隧道内环境；隧道能耗情况等</w:t>
      </w:r>
      <w:r>
        <w:rPr>
          <w:rFonts w:hint="eastAsia" w:ascii="宋体" w:hAnsi="宋体" w:cs="宋体"/>
          <w:color w:val="auto"/>
          <w:szCs w:val="21"/>
          <w:highlight w:val="none"/>
        </w:rPr>
        <w:t>。</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2、单设施综合监控</w:t>
      </w:r>
    </w:p>
    <w:p>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构建统一的隧道展示面板，对隧道的各类机电设备状态等进行实时监测展示，可对各个设备的运行状态进行实时查看，如配电设备电力电压情况等，当设备发生故障、离线或隧道内的相关检测设备检测到异常时，系统可自动发出相应的预警信息，并可对预警信息的处理情况进行展示。</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3、视频监控关联</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视频调阅。</w:t>
      </w:r>
      <w:r>
        <w:rPr>
          <w:rFonts w:hint="eastAsia" w:ascii="宋体" w:hAnsi="宋体" w:cs="宋体"/>
          <w:color w:val="auto"/>
          <w:szCs w:val="21"/>
          <w:highlight w:val="none"/>
        </w:rPr>
        <w:t>接入整合隧道内的视频监控，实现远程查看隧道突发问题发生位置周边的视频信息，同时根据问题发生位置，获取图像动态画面，便于实时掌控现场情况，实现隧道全方位、全时段的可视化监控管理。</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实时图像浏览。</w:t>
      </w:r>
      <w:r>
        <w:rPr>
          <w:rFonts w:hint="eastAsia" w:ascii="宋体" w:hAnsi="宋体" w:cs="宋体"/>
          <w:color w:val="auto"/>
          <w:szCs w:val="21"/>
          <w:highlight w:val="none"/>
        </w:rPr>
        <w:t>可以单画面或多画面显示实时视频图像；支持不同画面的显示方式：1、4、6、9、16画面等方式；支持多种规格画面的组合显示方式。</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视频分析事件管理。</w:t>
      </w:r>
      <w:r>
        <w:rPr>
          <w:rFonts w:hint="eastAsia" w:ascii="宋体" w:hAnsi="宋体" w:cs="宋体"/>
          <w:color w:val="auto"/>
          <w:szCs w:val="21"/>
          <w:highlight w:val="none"/>
        </w:rPr>
        <w:t>接入隧道设施已有的视频分析设备的识别数据，将检测到的事件信息、交通流量统计信息显示在画面上。检测事件包含了行人、非机动车、机动车逆行、异常停车事件和抛洒物等违法违章事件。</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具备全市隧道、地道、天桥设施基础信息及机电设备运行情况进行统计分析。 </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2.2.4智能感知管理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开发建设智能感知管理模块，接入包括常洪隧道、夏禹路隧道、尹江路隧道、法院巷人行地下通道、日新街地下通道、东苑地下通道和文化路天桥的已有设备驱动等、机电设备信息采集以及数据管理。</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2.2.5健康监测管理</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健康监测管理主要对接各设施已有的健康监测系统，实现对土建设施的结构状况实施监测，并具备对定期检测报告的分析能力。具备</w:t>
      </w:r>
      <w:r>
        <w:rPr>
          <w:rFonts w:hint="eastAsia" w:ascii="宋体" w:hAnsi="宋体" w:cs="宋体"/>
          <w:b/>
          <w:bCs/>
          <w:color w:val="auto"/>
          <w:kern w:val="0"/>
          <w:szCs w:val="21"/>
          <w:highlight w:val="none"/>
        </w:rPr>
        <w:t>结构安全监测</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数据追溯管理</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检测报告管理、</w:t>
      </w:r>
      <w:r>
        <w:rPr>
          <w:rFonts w:hint="eastAsia" w:ascii="宋体" w:hAnsi="宋体" w:cs="宋体"/>
          <w:b/>
          <w:bCs/>
          <w:color w:val="auto"/>
          <w:szCs w:val="21"/>
          <w:highlight w:val="none"/>
        </w:rPr>
        <w:t>病害虫监测分析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病害维修知识库</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养护分析报告管理等功能。</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2.2.6预警监测管理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1.隧道环境监测预警</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通过隧道CO/VI监测仪、隧道风速风向监测仪等检测设备，对隧道内的实时环境数据及异常预警信息进行展示。</w:t>
      </w:r>
    </w:p>
    <w:p>
      <w:pPr>
        <w:spacing w:line="400" w:lineRule="exact"/>
        <w:ind w:firstLine="422" w:firstLineChars="200"/>
        <w:rPr>
          <w:rFonts w:ascii="宋体" w:hAnsi="宋体" w:cs="宋体"/>
          <w:b/>
          <w:bCs/>
          <w:color w:val="auto"/>
          <w:kern w:val="0"/>
          <w:szCs w:val="21"/>
          <w:highlight w:val="none"/>
        </w:rPr>
      </w:pPr>
      <w:bookmarkStart w:id="31" w:name="_Toc27764929"/>
      <w:r>
        <w:rPr>
          <w:rFonts w:hint="eastAsia" w:ascii="宋体" w:hAnsi="宋体" w:cs="宋体"/>
          <w:b/>
          <w:bCs/>
          <w:color w:val="auto"/>
          <w:kern w:val="0"/>
          <w:szCs w:val="21"/>
          <w:highlight w:val="none"/>
        </w:rPr>
        <w:t>2.异常事件监管</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通过对接各设施具备异常事件分析能力的摄像头或后台视频分析系统，对隧道内异常事件进行接入，接入摄像头自动识别的图像信息，集中显示隧道不同点、段车辆运行情况，同时共享于隧道交通事件监测、通风监控、照明监控和消防监控等，将隧道内发生的异常事件图像直接推送至主界面。</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3.预警信息管理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通过建立已有的设备阈值预警体系，可以将超过阈值的设备预警信息反馈到页面中。</w:t>
      </w:r>
      <w:bookmarkEnd w:id="31"/>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2.3道路清扫保洁管理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建立全市统一的道路清扫保洁管理应用，主要包括道路保洁监督管理、道路保洁考核管理、道路保洁辅助分析、道路保洁“一张图”、道路保洁基础信息管理等内容，进一步提高道路保洁智能化监管能力，实现全市环卫管理作业精细化、标准化、智慧化的管理。</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2.3.1道理保洁监督管理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1、道路保洁作业基础配置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道路保洁作业基础配置模块对环卫道路保洁作业规则进行系统化配置，实现对环卫作业的精细化管理，主要包括车辆作业路段管理、人员作业区域管理、作业路段基础配置、作业计划配置、勤务作业管理、考核标准设定、作业规范监控等模块。</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1）车辆作业路段管理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具备车辆保洁作业路段网格化管理功能，实现每条作业路段划分至对应的作业企业，并在地图上直观进行绘制和展示，实现配置包括路段名称、区段长度/面积、作业标准、作业车辆等。</w:t>
      </w:r>
    </w:p>
    <w:p>
      <w:pPr>
        <w:spacing w:line="400" w:lineRule="exact"/>
        <w:ind w:firstLine="420" w:firstLineChars="200"/>
        <w:rPr>
          <w:rFonts w:ascii="宋体" w:hAnsi="宋体" w:cs="宋体"/>
          <w:color w:val="auto"/>
          <w:szCs w:val="21"/>
          <w:highlight w:val="none"/>
        </w:rPr>
      </w:pPr>
      <w:bookmarkStart w:id="32" w:name="_Hlk119010250"/>
      <w:r>
        <w:rPr>
          <w:rFonts w:hint="eastAsia" w:ascii="宋体" w:hAnsi="宋体" w:cs="宋体"/>
          <w:color w:val="auto"/>
          <w:szCs w:val="21"/>
          <w:highlight w:val="none"/>
          <w:lang w:val="zh-CN"/>
        </w:rPr>
        <w:t>（</w:t>
      </w:r>
      <w:r>
        <w:rPr>
          <w:rFonts w:hint="eastAsia" w:ascii="宋体" w:hAnsi="宋体" w:cs="宋体"/>
          <w:color w:val="auto"/>
          <w:szCs w:val="21"/>
          <w:highlight w:val="none"/>
        </w:rPr>
        <w:t>2）人工作业区域管理</w:t>
      </w:r>
      <w:bookmarkEnd w:id="32"/>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具备人工作业区域管理网格化管理功能，实现作业区域进行网格化管理，将网格进行编号，将人员与责任区域进行绑定，可配置网格区域名称、作业人员数量、作业人员姓名、作业时间要求等。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（3）作业路段基础配置：具备对作业统计所需要的基础数据进行管理功能。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（4）作业计划配置：具备作业计划配置功能。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（5）勤务作业管理：具备人员排班和车辆排班功能。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（6）考核标准设定：具备车辆作业考核标准与人员作业考核标准设定功能。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（7）作业规范监控：具备作业规范监控功能。</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2、车辆作业管理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具备车辆保洁作业路段网格化管理功能，实现每条作业路段划分至对应的作业企业，并在地图上直观进行绘制和展示，实现配置包括路段名称、区段长度/面积、作业标准、作业车辆等。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（1）车辆概览管理：具备车辆概览管理功能。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（2）车辆详情管理：具备车辆详情管理功能。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33" w:name="_Hlk119010740"/>
      <w:r>
        <w:rPr>
          <w:rFonts w:hint="eastAsia" w:ascii="宋体" w:hAnsi="宋体" w:cs="宋体"/>
          <w:color w:val="auto"/>
          <w:szCs w:val="21"/>
          <w:highlight w:val="none"/>
        </w:rPr>
        <w:t>实时监测管理</w:t>
      </w:r>
      <w:bookmarkEnd w:id="33"/>
      <w:r>
        <w:rPr>
          <w:rFonts w:hint="eastAsia" w:ascii="宋体" w:hAnsi="宋体" w:cs="宋体"/>
          <w:color w:val="auto"/>
          <w:szCs w:val="21"/>
          <w:highlight w:val="none"/>
        </w:rPr>
        <w:t>：具备车辆实时监测管理功能。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（4）</w:t>
      </w:r>
      <w:bookmarkStart w:id="34" w:name="_Hlk119010784"/>
      <w:r>
        <w:rPr>
          <w:rFonts w:hint="eastAsia" w:ascii="宋体" w:hAnsi="宋体" w:cs="宋体"/>
          <w:color w:val="auto"/>
          <w:szCs w:val="21"/>
          <w:highlight w:val="none"/>
        </w:rPr>
        <w:t>作业轨迹跟踪</w:t>
      </w:r>
      <w:bookmarkEnd w:id="34"/>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具备作业轨迹跟踪功能，实现环卫车辆历史作业轨迹的查询和回放，系统将通过图形化方式在地图上回放车辆作业的全过程，便于对车辆进行作业监管。（投标文件中需提供类似软件功能截图证明）</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（5）车辆油耗监管：具备车辆油耗监管功能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（6）视频监控查看：具备视频监控查看功能。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35" w:name="_Hlk119010930"/>
      <w:r>
        <w:rPr>
          <w:rFonts w:hint="eastAsia" w:ascii="宋体" w:hAnsi="宋体" w:cs="宋体"/>
          <w:color w:val="auto"/>
          <w:szCs w:val="21"/>
          <w:highlight w:val="none"/>
        </w:rPr>
        <w:t>安全驾驶监管</w:t>
      </w:r>
      <w:bookmarkEnd w:id="35"/>
      <w:r>
        <w:rPr>
          <w:rFonts w:hint="eastAsia" w:ascii="宋体" w:hAnsi="宋体" w:cs="宋体"/>
          <w:color w:val="auto"/>
          <w:szCs w:val="21"/>
          <w:highlight w:val="none"/>
        </w:rPr>
        <w:t>：具备安全驾驶监管功能。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（8）车辆调度管理：具备车辆调度管理功能。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（9）车辆维护管理：具备车辆维护管理功能。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（10）车辆预警管理：具备车辆预警管理功能。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bookmarkStart w:id="36" w:name="_Hlk119011127"/>
      <w:r>
        <w:rPr>
          <w:rFonts w:hint="eastAsia" w:ascii="宋体" w:hAnsi="宋体" w:cs="宋体"/>
          <w:color w:val="auto"/>
          <w:szCs w:val="21"/>
          <w:highlight w:val="none"/>
        </w:rPr>
        <w:t>车辆作业统计</w:t>
      </w:r>
      <w:bookmarkEnd w:id="36"/>
      <w:r>
        <w:rPr>
          <w:rFonts w:hint="eastAsia" w:ascii="宋体" w:hAnsi="宋体" w:cs="宋体"/>
          <w:color w:val="auto"/>
          <w:szCs w:val="21"/>
          <w:highlight w:val="none"/>
        </w:rPr>
        <w:t>：具备车辆作业统计功能。</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3、人工作业管理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具备人工作业区域管理网格化管理功能，实现作业区域进行网格化管理，将网格进行编号，将人员与责任区域进行绑定，可配置网格区域名称、作业人员数量、作业人员姓名、作业时间要求等。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4、作业安全管理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针对环卫作业安全管理要求，建立物资、企业安全自查、安全事故处置、安全培训与应急管理相关的操作功能，为管理人员提供作业安全的自查自纠、培训和审核管理。</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2.3.2道理保洁协同管理</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道路保洁协同管理主要包括内部作业协调管理、环卫作业考核统计、内部监管运营考核等模块</w:t>
      </w:r>
      <w:r>
        <w:rPr>
          <w:rFonts w:hint="eastAsia" w:ascii="宋体" w:hAnsi="宋体" w:cs="宋体"/>
          <w:color w:val="auto"/>
          <w:szCs w:val="21"/>
          <w:highlight w:val="none"/>
          <w:lang w:val="en-GB"/>
        </w:rPr>
        <w:t>。</w:t>
      </w:r>
    </w:p>
    <w:p>
      <w:pPr>
        <w:spacing w:line="400" w:lineRule="exact"/>
        <w:ind w:firstLine="422" w:firstLineChars="200"/>
        <w:rPr>
          <w:rFonts w:ascii="宋体" w:hAnsi="宋体" w:cs="宋体"/>
          <w:b/>
          <w:bCs/>
          <w:color w:val="auto"/>
          <w:szCs w:val="21"/>
          <w:highlight w:val="none"/>
        </w:rPr>
      </w:pPr>
      <w:bookmarkStart w:id="37" w:name="_Toc10799"/>
      <w:bookmarkStart w:id="38" w:name="_Toc486"/>
      <w:bookmarkStart w:id="39" w:name="_Toc19630"/>
      <w:bookmarkStart w:id="40" w:name="_Toc9447"/>
      <w:bookmarkStart w:id="41" w:name="_Toc13885"/>
      <w:bookmarkStart w:id="42" w:name="_Toc110597846"/>
      <w:r>
        <w:rPr>
          <w:rFonts w:hint="eastAsia" w:ascii="宋体" w:hAnsi="宋体" w:cs="宋体"/>
          <w:b/>
          <w:bCs/>
          <w:color w:val="auto"/>
          <w:szCs w:val="21"/>
          <w:highlight w:val="none"/>
        </w:rPr>
        <w:t>1、内部作业协调管理</w:t>
      </w:r>
      <w:bookmarkEnd w:id="37"/>
      <w:bookmarkEnd w:id="38"/>
      <w:bookmarkEnd w:id="39"/>
      <w:bookmarkEnd w:id="40"/>
      <w:bookmarkEnd w:id="41"/>
      <w:bookmarkEnd w:id="42"/>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内部作业协调管理将归集各监督渠道之间的事件协同处理与考核机制，规范不同类型环卫事件的考核规则与标准。监管作业异常与预警事件等，建立通知流传、监督流程等，基于指挥协调应用的统一流程，以便于各部门协同工作。</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（1）问题归集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指挥协调，归集来自城运系统、专项巡查系统、视频分析系统、群众上报等环卫管理问题，能将来自各个渠道批转的问题形成统一的环卫作业调度问题工单，统一各个渠道问题事项模板，形成统一环卫问题工单模板，同时满足运管服对问题工单的信息要素要求。</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（2）问题列表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按环卫问题来源渠道，分别形成环卫问题列表，不同列表对应不同渠道来源事件。</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（3）事件处置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环卫企业单位接收事件任务，上报处置情况进行反馈。接收到事件后，需按照相关城市管理规范的要求，及时完成城管指挥中心或环卫指挥中心所派遣的属于其职责范围和管辖的部件、事件问题处理任务。</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（4）综合统计</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按类型统计。</w:t>
      </w:r>
      <w:r>
        <w:rPr>
          <w:rFonts w:hint="eastAsia" w:ascii="宋体" w:hAnsi="宋体" w:cs="宋体"/>
          <w:color w:val="auto"/>
          <w:szCs w:val="21"/>
          <w:highlight w:val="none"/>
        </w:rPr>
        <w:t>按周期自动或手动统计生成事件类型统计报表。</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按处置单位统计。</w:t>
      </w:r>
      <w:r>
        <w:rPr>
          <w:rFonts w:hint="eastAsia" w:ascii="宋体" w:hAnsi="宋体" w:cs="宋体"/>
          <w:color w:val="auto"/>
          <w:szCs w:val="21"/>
          <w:highlight w:val="none"/>
        </w:rPr>
        <w:t>按周期自动或手动统计生成处置单位事件统计报表。</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按区域统计。</w:t>
      </w:r>
      <w:r>
        <w:rPr>
          <w:rFonts w:hint="eastAsia" w:ascii="宋体" w:hAnsi="宋体" w:cs="宋体"/>
          <w:color w:val="auto"/>
          <w:szCs w:val="21"/>
          <w:highlight w:val="none"/>
        </w:rPr>
        <w:t>按周期自动或手动统计生成事件区域统计报表。</w:t>
      </w:r>
    </w:p>
    <w:p>
      <w:pPr>
        <w:spacing w:line="400" w:lineRule="exact"/>
        <w:ind w:firstLine="422" w:firstLineChars="200"/>
        <w:rPr>
          <w:rFonts w:ascii="宋体" w:hAnsi="宋体" w:cs="宋体"/>
          <w:b/>
          <w:bCs/>
          <w:color w:val="auto"/>
          <w:szCs w:val="21"/>
          <w:highlight w:val="none"/>
        </w:rPr>
      </w:pPr>
      <w:bookmarkStart w:id="43" w:name="_Toc110597847"/>
      <w:bookmarkStart w:id="44" w:name="_Toc30447"/>
      <w:bookmarkStart w:id="45" w:name="_Toc6239"/>
      <w:bookmarkStart w:id="46" w:name="_Toc30842"/>
      <w:bookmarkStart w:id="47" w:name="_Toc4766"/>
      <w:bookmarkStart w:id="48" w:name="_Toc2605"/>
      <w:bookmarkStart w:id="49" w:name="_Toc98860441"/>
      <w:bookmarkStart w:id="50" w:name="_Toc98860440"/>
      <w:r>
        <w:rPr>
          <w:rFonts w:hint="eastAsia" w:ascii="宋体" w:hAnsi="宋体" w:cs="宋体"/>
          <w:b/>
          <w:bCs/>
          <w:color w:val="auto"/>
          <w:szCs w:val="21"/>
          <w:highlight w:val="none"/>
        </w:rPr>
        <w:t>2、环卫作业考核</w:t>
      </w:r>
      <w:bookmarkEnd w:id="43"/>
      <w:bookmarkEnd w:id="44"/>
      <w:bookmarkEnd w:id="45"/>
      <w:bookmarkEnd w:id="46"/>
      <w:bookmarkEnd w:id="47"/>
      <w:bookmarkEnd w:id="48"/>
      <w:r>
        <w:rPr>
          <w:rFonts w:hint="eastAsia" w:ascii="宋体" w:hAnsi="宋体" w:cs="宋体"/>
          <w:b/>
          <w:bCs/>
          <w:color w:val="auto"/>
          <w:szCs w:val="21"/>
          <w:highlight w:val="none"/>
        </w:rPr>
        <w:t>统计表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实现环卫人员、车辆、企业作业质量监测结果的自动化生成，并可根据相关条件组合生成评估分析结果。</w:t>
      </w:r>
    </w:p>
    <w:bookmarkEnd w:id="49"/>
    <w:bookmarkEnd w:id="50"/>
    <w:p>
      <w:pPr>
        <w:spacing w:line="400" w:lineRule="exact"/>
        <w:ind w:firstLine="422" w:firstLineChars="200"/>
        <w:rPr>
          <w:rFonts w:ascii="宋体" w:hAnsi="宋体" w:cs="宋体"/>
          <w:b/>
          <w:bCs/>
          <w:color w:val="auto"/>
          <w:szCs w:val="21"/>
          <w:highlight w:val="none"/>
        </w:rPr>
      </w:pPr>
      <w:bookmarkStart w:id="51" w:name="_Toc31329"/>
      <w:bookmarkStart w:id="52" w:name="_Toc24091"/>
      <w:bookmarkStart w:id="53" w:name="_Toc23287"/>
      <w:bookmarkStart w:id="54" w:name="_Toc3395"/>
      <w:bookmarkStart w:id="55" w:name="_Toc110597865"/>
      <w:bookmarkStart w:id="56" w:name="_Toc17684"/>
      <w:r>
        <w:rPr>
          <w:rFonts w:hint="eastAsia" w:ascii="宋体" w:hAnsi="宋体" w:cs="宋体"/>
          <w:b/>
          <w:bCs/>
          <w:color w:val="auto"/>
          <w:szCs w:val="21"/>
          <w:highlight w:val="none"/>
        </w:rPr>
        <w:t>3、内部监管运营考核</w:t>
      </w:r>
      <w:bookmarkEnd w:id="51"/>
      <w:bookmarkEnd w:id="52"/>
      <w:bookmarkEnd w:id="53"/>
      <w:bookmarkEnd w:id="54"/>
      <w:bookmarkEnd w:id="55"/>
      <w:bookmarkEnd w:id="56"/>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构建对环卫系统运行的监督考核体系，保障系统各级监管人员履职到位，发挥系统成效，确保平台高效运行。</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内部考核监督。</w:t>
      </w:r>
      <w:r>
        <w:rPr>
          <w:rFonts w:hint="eastAsia" w:ascii="宋体" w:hAnsi="宋体" w:cs="宋体"/>
          <w:color w:val="auto"/>
          <w:szCs w:val="21"/>
          <w:highlight w:val="none"/>
        </w:rPr>
        <w:t>建立内部监管人员监督事项模型，包括数据审核监督、预警处理监督、系统使用情况监督等事项，依据监督事项类型监督实际情况。</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内部考核统计。</w:t>
      </w:r>
      <w:r>
        <w:rPr>
          <w:rFonts w:hint="eastAsia" w:ascii="宋体" w:hAnsi="宋体" w:cs="宋体"/>
          <w:color w:val="auto"/>
          <w:szCs w:val="21"/>
          <w:highlight w:val="none"/>
        </w:rPr>
        <w:t>统计每个监管人员的各类监督事项的完成情况，生成监督考核统计报表，形成考核评分表。</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4、业务知识库管理</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建立</w:t>
      </w:r>
      <w:r>
        <w:rPr>
          <w:rFonts w:hint="eastAsia" w:ascii="宋体" w:hAnsi="宋体" w:cs="宋体"/>
          <w:color w:val="auto"/>
          <w:szCs w:val="21"/>
          <w:highlight w:val="none"/>
        </w:rPr>
        <w:t>清扫保洁</w:t>
      </w:r>
      <w:r>
        <w:rPr>
          <w:rFonts w:hint="eastAsia" w:ascii="宋体" w:hAnsi="宋体" w:cs="宋体"/>
          <w:color w:val="auto"/>
          <w:szCs w:val="21"/>
          <w:highlight w:val="none"/>
          <w:lang w:val="en-GB"/>
        </w:rPr>
        <w:t>管理业务知识库，更好的服务于环卫日常工作，通过日常积累，完善资料库的使用并最终可以为后续环卫管理提供数据支撑。</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2.3.3道路保洁“一张图”</w:t>
      </w:r>
    </w:p>
    <w:p>
      <w:pPr>
        <w:spacing w:line="400" w:lineRule="exact"/>
        <w:ind w:firstLine="420" w:firstLineChars="200"/>
        <w:rPr>
          <w:rFonts w:ascii="宋体" w:hAnsi="宋体" w:cs="宋体"/>
          <w:color w:val="auto"/>
          <w:szCs w:val="21"/>
          <w:highlight w:val="none"/>
        </w:rPr>
      </w:pPr>
      <w:bookmarkStart w:id="57" w:name="_Hlk73347916"/>
      <w:r>
        <w:rPr>
          <w:rFonts w:hint="eastAsia" w:ascii="宋体" w:hAnsi="宋体" w:cs="宋体"/>
          <w:color w:val="auto"/>
          <w:szCs w:val="21"/>
          <w:highlight w:val="none"/>
        </w:rPr>
        <w:t>道路保洁“一张图”主要以可视化的方式展示环卫管理运行基本数据情况，根据环卫管理重点以及日常运营数据的变化情况，动态调整更新环卫管理运行体征相关数据，环卫管理运行态势涵盖环卫管理基础数据、养护对象数据、日常养护完成情况、日常巡查情况等整体环卫工作运行情况的综合展示。</w:t>
      </w:r>
    </w:p>
    <w:bookmarkEnd w:id="57"/>
    <w:p>
      <w:pPr>
        <w:spacing w:line="400" w:lineRule="exact"/>
        <w:ind w:firstLine="422" w:firstLineChars="200"/>
        <w:rPr>
          <w:rFonts w:ascii="宋体" w:hAnsi="宋体" w:cs="宋体"/>
          <w:b/>
          <w:bCs/>
          <w:color w:val="auto"/>
          <w:szCs w:val="21"/>
          <w:highlight w:val="none"/>
          <w:lang w:val="en-GB"/>
        </w:rPr>
      </w:pPr>
      <w:bookmarkStart w:id="58" w:name="_Toc103600686"/>
      <w:r>
        <w:rPr>
          <w:rFonts w:hint="eastAsia" w:ascii="宋体" w:hAnsi="宋体" w:cs="宋体"/>
          <w:b/>
          <w:bCs/>
          <w:color w:val="auto"/>
          <w:szCs w:val="21"/>
          <w:highlight w:val="none"/>
        </w:rPr>
        <w:t>1、</w:t>
      </w:r>
      <w:r>
        <w:rPr>
          <w:rFonts w:hint="eastAsia" w:ascii="宋体" w:hAnsi="宋体" w:cs="宋体"/>
          <w:b/>
          <w:bCs/>
          <w:color w:val="auto"/>
          <w:szCs w:val="21"/>
          <w:highlight w:val="none"/>
          <w:lang w:val="en-GB"/>
        </w:rPr>
        <w:t>全局资源看板</w:t>
      </w:r>
      <w:bookmarkEnd w:id="58"/>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基于一张图，实现环卫全局资源掌控</w:t>
      </w:r>
      <w:r>
        <w:rPr>
          <w:rFonts w:hint="eastAsia" w:ascii="宋体" w:hAnsi="宋体" w:cs="宋体"/>
          <w:color w:val="auto"/>
          <w:szCs w:val="21"/>
          <w:highlight w:val="none"/>
        </w:rPr>
        <w:t>,</w:t>
      </w:r>
      <w:r>
        <w:rPr>
          <w:rFonts w:hint="eastAsia" w:ascii="宋体" w:hAnsi="宋体" w:cs="宋体"/>
          <w:color w:val="auto"/>
          <w:szCs w:val="21"/>
          <w:highlight w:val="none"/>
          <w:lang w:val="en-GB"/>
        </w:rPr>
        <w:t>支持按照人员、车辆、</w:t>
      </w:r>
      <w:r>
        <w:rPr>
          <w:rFonts w:hint="eastAsia" w:ascii="宋体" w:hAnsi="宋体" w:cs="宋体"/>
          <w:color w:val="auto"/>
          <w:szCs w:val="21"/>
          <w:highlight w:val="none"/>
        </w:rPr>
        <w:t>设施、工单</w:t>
      </w:r>
      <w:r>
        <w:rPr>
          <w:rFonts w:hint="eastAsia" w:ascii="宋体" w:hAnsi="宋体" w:cs="宋体"/>
          <w:color w:val="auto"/>
          <w:szCs w:val="21"/>
          <w:highlight w:val="none"/>
          <w:lang w:val="en-GB"/>
        </w:rPr>
        <w:t>等主题图层进行分别展示。支持按资源类型进行展示，包括人员视图（道路保洁人员、分类督导人员、环卫巡查人员等）、车辆视图（清扫车、清运车、洒水车、保洁车、小型机械等）、</w:t>
      </w:r>
      <w:r>
        <w:rPr>
          <w:rFonts w:hint="eastAsia" w:ascii="宋体" w:hAnsi="宋体" w:cs="宋体"/>
          <w:color w:val="auto"/>
          <w:szCs w:val="21"/>
          <w:highlight w:val="none"/>
        </w:rPr>
        <w:t>设施</w:t>
      </w:r>
      <w:r>
        <w:rPr>
          <w:rFonts w:hint="eastAsia" w:ascii="宋体" w:hAnsi="宋体" w:cs="宋体"/>
          <w:color w:val="auto"/>
          <w:szCs w:val="21"/>
          <w:highlight w:val="none"/>
          <w:lang w:val="en-GB"/>
        </w:rPr>
        <w:t>视图（</w:t>
      </w:r>
      <w:r>
        <w:rPr>
          <w:rFonts w:hint="eastAsia" w:ascii="宋体" w:hAnsi="宋体" w:cs="宋体"/>
          <w:color w:val="auto"/>
          <w:szCs w:val="21"/>
          <w:highlight w:val="none"/>
        </w:rPr>
        <w:t>果皮箱、工具箱、城管驿站</w:t>
      </w:r>
      <w:r>
        <w:rPr>
          <w:rFonts w:hint="eastAsia" w:ascii="宋体" w:hAnsi="宋体" w:cs="宋体"/>
          <w:color w:val="auto"/>
          <w:szCs w:val="21"/>
          <w:highlight w:val="none"/>
          <w:lang w:val="en-GB"/>
        </w:rPr>
        <w:t>等）、</w:t>
      </w:r>
      <w:r>
        <w:rPr>
          <w:rFonts w:hint="eastAsia" w:ascii="宋体" w:hAnsi="宋体" w:cs="宋体"/>
          <w:color w:val="auto"/>
          <w:szCs w:val="21"/>
          <w:highlight w:val="none"/>
        </w:rPr>
        <w:t>工单视图等，</w:t>
      </w:r>
      <w:r>
        <w:rPr>
          <w:rFonts w:hint="eastAsia" w:ascii="宋体" w:hAnsi="宋体" w:cs="宋体"/>
          <w:color w:val="auto"/>
          <w:szCs w:val="21"/>
          <w:highlight w:val="none"/>
          <w:lang w:val="en-GB"/>
        </w:rPr>
        <w:t>实现对资源状态、资源分布、状态监控、轨迹回放、资源统计的统一管理，形成环卫管理者对所有资源的全局掌控和调配能力。</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（1）人员地图展示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统计环卫管理、作业一线人员，在地图展示所有的人员位置信息（在线+不在线），同时可对人员的详细信息进行查看，包括基本信息、工作情况、个人轨迹、异常报警情况等。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（2）车辆地图展示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统计展示所有接入系统车辆，在地图展示所有的车辆信息（在线+不在线），可对车辆的详细信息进行查看，包括基本信息、工作情况、个人轨迹、异常报警情况等。</w:t>
      </w:r>
    </w:p>
    <w:p>
      <w:pPr>
        <w:spacing w:line="400" w:lineRule="exact"/>
        <w:ind w:firstLine="422" w:firstLineChars="200"/>
        <w:rPr>
          <w:rFonts w:ascii="宋体" w:hAnsi="宋体" w:cs="宋体"/>
          <w:b/>
          <w:bCs/>
          <w:color w:val="auto"/>
          <w:szCs w:val="21"/>
          <w:highlight w:val="none"/>
        </w:rPr>
      </w:pPr>
      <w:bookmarkStart w:id="59" w:name="_Toc37147700"/>
      <w:r>
        <w:rPr>
          <w:rFonts w:hint="eastAsia" w:ascii="宋体" w:hAnsi="宋体" w:cs="宋体"/>
          <w:b/>
          <w:bCs/>
          <w:color w:val="auto"/>
          <w:szCs w:val="21"/>
          <w:highlight w:val="none"/>
        </w:rPr>
        <w:t>（3）</w:t>
      </w:r>
      <w:bookmarkEnd w:id="59"/>
      <w:r>
        <w:rPr>
          <w:rFonts w:hint="eastAsia" w:ascii="宋体" w:hAnsi="宋体" w:cs="宋体"/>
          <w:b/>
          <w:bCs/>
          <w:color w:val="auto"/>
          <w:szCs w:val="21"/>
          <w:highlight w:val="none"/>
        </w:rPr>
        <w:t>设施地图展示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按区块、网格展示各类环卫设施分布，包括果皮箱、工具箱、城管驿站以及其他环卫部件。</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2、积尘监测视图</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通过积尘监测设备采集</w:t>
      </w:r>
      <w:r>
        <w:rPr>
          <w:rFonts w:hint="eastAsia" w:ascii="宋体" w:hAnsi="宋体" w:cs="宋体"/>
          <w:color w:val="auto"/>
          <w:szCs w:val="21"/>
          <w:highlight w:val="none"/>
          <w:lang w:val="en-GB"/>
        </w:rPr>
        <w:t>道路路网数据形成积尘监测路网，通过路网可查看每条道路基础信息、积尘指标数据。基于不同积尘监测数值以不同的颜色展示道路积尘情况。</w:t>
      </w:r>
    </w:p>
    <w:p>
      <w:pPr>
        <w:spacing w:line="400" w:lineRule="exact"/>
        <w:ind w:firstLine="422" w:firstLineChars="200"/>
        <w:rPr>
          <w:rFonts w:ascii="宋体" w:hAnsi="宋体" w:cs="宋体"/>
          <w:color w:val="auto"/>
          <w:szCs w:val="21"/>
          <w:highlight w:val="none"/>
        </w:rPr>
      </w:pPr>
      <w:bookmarkStart w:id="60" w:name="_Toc16540"/>
      <w:bookmarkStart w:id="61" w:name="_Toc12762"/>
      <w:bookmarkStart w:id="62" w:name="_Toc19558"/>
      <w:bookmarkStart w:id="63" w:name="_Toc110597867"/>
      <w:bookmarkStart w:id="64" w:name="_Toc7575"/>
      <w:bookmarkStart w:id="65" w:name="_Toc14108"/>
      <w:r>
        <w:rPr>
          <w:rFonts w:hint="eastAsia" w:ascii="宋体" w:hAnsi="宋体" w:cs="宋体"/>
          <w:b/>
          <w:bCs/>
          <w:color w:val="auto"/>
          <w:szCs w:val="21"/>
          <w:highlight w:val="none"/>
        </w:rPr>
        <w:t>3、环卫考核综合看板</w:t>
      </w:r>
      <w:bookmarkEnd w:id="60"/>
      <w:bookmarkEnd w:id="61"/>
      <w:bookmarkEnd w:id="62"/>
      <w:bookmarkEnd w:id="63"/>
      <w:bookmarkEnd w:id="64"/>
      <w:bookmarkEnd w:id="65"/>
      <w:r>
        <w:rPr>
          <w:rFonts w:hint="eastAsia" w:ascii="宋体" w:hAnsi="宋体" w:cs="宋体"/>
          <w:color w:val="auto"/>
          <w:szCs w:val="21"/>
          <w:highlight w:val="none"/>
        </w:rPr>
        <w:tab/>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各区域考核结果数据、区域考核结果对比，被考核区域进行排序，直观展示管辖范围内整体考核情况与各区域针对性分析；同时可对单个区域考核变化进行趋势分析，按照时间维度考核结果数据的变化分析，查看被考核区域作业质量的稳定性与优良情况。</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4、清扫保洁看板</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清扫保洁专题以作业标段为管理单位，以道路清扫作业和日常监督考核为管理核心，展示人、车辆实时作业情况、监督考核结果等数据，让用户既能对当天的清扫保洁作业进度和成果进行总体掌握，也能针对报警、问题车辆进行单独的查找、轨迹分析、历史作业数据对比等精准管理。</w:t>
      </w:r>
    </w:p>
    <w:p>
      <w:pPr>
        <w:spacing w:line="400" w:lineRule="exact"/>
        <w:ind w:firstLine="422" w:firstLineChars="200"/>
        <w:rPr>
          <w:rFonts w:ascii="宋体" w:hAnsi="宋体" w:cs="宋体"/>
          <w:b/>
          <w:bCs/>
          <w:color w:val="auto"/>
          <w:szCs w:val="21"/>
          <w:highlight w:val="none"/>
          <w:lang w:val="en-GB"/>
        </w:rPr>
      </w:pPr>
      <w:r>
        <w:rPr>
          <w:rFonts w:hint="eastAsia" w:ascii="宋体" w:hAnsi="宋体" w:cs="宋体"/>
          <w:b/>
          <w:bCs/>
          <w:color w:val="auto"/>
          <w:szCs w:val="21"/>
          <w:highlight w:val="none"/>
          <w:lang w:val="en-GB"/>
        </w:rPr>
        <w:t>（</w:t>
      </w:r>
      <w:r>
        <w:rPr>
          <w:rFonts w:hint="eastAsia" w:ascii="宋体" w:hAnsi="宋体" w:cs="宋体"/>
          <w:b/>
          <w:bCs/>
          <w:color w:val="auto"/>
          <w:szCs w:val="21"/>
          <w:highlight w:val="none"/>
        </w:rPr>
        <w:t>1</w:t>
      </w:r>
      <w:r>
        <w:rPr>
          <w:rFonts w:hint="eastAsia" w:ascii="宋体" w:hAnsi="宋体" w:cs="宋体"/>
          <w:b/>
          <w:bCs/>
          <w:color w:val="auto"/>
          <w:szCs w:val="21"/>
          <w:highlight w:val="none"/>
          <w:lang w:val="en-GB"/>
        </w:rPr>
        <w:t>）作业地图</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在地图上展示各种类型车辆的实时分布情况和作业路段，通过不同图标代表不同类型车辆，通过路段颜色表示作业完成情况。作业地图包括路段作业完成率算法、路段作业情况地图展示、路段作业情况反差子模块。管理人员可以宏观掌握车辆在线分布和各路段作业进度。查看未完成的路线作业车辆实时的行驶和作业详情，查看是否有报警记录，追溯车辆的行驶轨迹，以判断未完成作业的原因。</w:t>
      </w:r>
    </w:p>
    <w:p>
      <w:pPr>
        <w:spacing w:line="400" w:lineRule="exact"/>
        <w:ind w:firstLine="422" w:firstLineChars="200"/>
        <w:rPr>
          <w:rFonts w:ascii="宋体" w:hAnsi="宋体" w:cs="宋体"/>
          <w:b/>
          <w:bCs/>
          <w:color w:val="auto"/>
          <w:szCs w:val="21"/>
          <w:highlight w:val="none"/>
          <w:lang w:val="en-GB"/>
        </w:rPr>
      </w:pPr>
      <w:r>
        <w:rPr>
          <w:rFonts w:hint="eastAsia" w:ascii="宋体" w:hAnsi="宋体" w:cs="宋体"/>
          <w:b/>
          <w:bCs/>
          <w:color w:val="auto"/>
          <w:szCs w:val="21"/>
          <w:highlight w:val="none"/>
          <w:lang w:val="en-GB"/>
        </w:rPr>
        <w:t>（</w:t>
      </w:r>
      <w:r>
        <w:rPr>
          <w:rFonts w:hint="eastAsia" w:ascii="宋体" w:hAnsi="宋体" w:cs="宋体"/>
          <w:b/>
          <w:bCs/>
          <w:color w:val="auto"/>
          <w:szCs w:val="21"/>
          <w:highlight w:val="none"/>
        </w:rPr>
        <w:t>2</w:t>
      </w:r>
      <w:r>
        <w:rPr>
          <w:rFonts w:hint="eastAsia" w:ascii="宋体" w:hAnsi="宋体" w:cs="宋体"/>
          <w:b/>
          <w:bCs/>
          <w:color w:val="auto"/>
          <w:szCs w:val="21"/>
          <w:highlight w:val="none"/>
          <w:lang w:val="en-GB"/>
        </w:rPr>
        <w:t>）车辆主题</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对于不同类型的车辆可用不同图标展示，包括洒水车、洗扫车、清洗车、垃圾转运车等。车辆主题包括条件查询、车辆分布地图、车辆信息详情面板、车辆报警记录、车辆视频监控查看子模块。</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支持按区域、按车辆类型、按在线状态进行过滤显示。在地图上可显示当前在线作业车辆的实时位置，点击车辆图标可查看车辆详情页面，包括车辆基本信息、车辆作业信息、报警信息、视频监控等。同时支持车辆历史轨迹的查询与分析。按区域从不用维度统计机械化作业完成率，形成机械化作业路网，通过路网可查看每条道路基础信息、作业要求信息，同时实时匹配车辆作业完成情况，对作业不达标、作业异常情况进行实时监测。</w:t>
      </w:r>
    </w:p>
    <w:p>
      <w:pPr>
        <w:spacing w:line="400" w:lineRule="exact"/>
        <w:ind w:firstLine="422" w:firstLineChars="200"/>
        <w:rPr>
          <w:rFonts w:ascii="宋体" w:hAnsi="宋体" w:cs="宋体"/>
          <w:b/>
          <w:bCs/>
          <w:color w:val="auto"/>
          <w:szCs w:val="21"/>
          <w:highlight w:val="none"/>
          <w:lang w:val="en-GB"/>
        </w:rPr>
      </w:pPr>
      <w:r>
        <w:rPr>
          <w:rFonts w:hint="eastAsia" w:ascii="宋体" w:hAnsi="宋体" w:cs="宋体"/>
          <w:b/>
          <w:bCs/>
          <w:color w:val="auto"/>
          <w:szCs w:val="21"/>
          <w:highlight w:val="none"/>
          <w:lang w:val="en-GB"/>
        </w:rPr>
        <w:t>（</w:t>
      </w:r>
      <w:r>
        <w:rPr>
          <w:rFonts w:hint="eastAsia" w:ascii="宋体" w:hAnsi="宋体" w:cs="宋体"/>
          <w:b/>
          <w:bCs/>
          <w:color w:val="auto"/>
          <w:szCs w:val="21"/>
          <w:highlight w:val="none"/>
        </w:rPr>
        <w:t>3</w:t>
      </w:r>
      <w:r>
        <w:rPr>
          <w:rFonts w:hint="eastAsia" w:ascii="宋体" w:hAnsi="宋体" w:cs="宋体"/>
          <w:b/>
          <w:bCs/>
          <w:color w:val="auto"/>
          <w:szCs w:val="21"/>
          <w:highlight w:val="none"/>
          <w:lang w:val="en-GB"/>
        </w:rPr>
        <w:t>）人员主题</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用不同图标表示不同的环卫作业人员。根据人员组织列表，可快速搜索到对应的人员。在地图上显示环卫人员的实时位置，支持历史轨迹的查询。点击人员图标后显示详细信息页面，包括人员的基本属性（姓名、性别、联系方式等）、作业数据（上下班考勤时间、作业里程、违规信息等）。</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GB"/>
        </w:rPr>
        <w:t>按区域从不用维度统计人员作业完成率，形成人员作业网格，通过网格可查看每个网格需配备的人员基础信息、作业要求信息，同时实时匹配人员作业完成情况，对作业不达标、作业异常情况进行实时监测。</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2.3.4道路保洁基础信息管理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GB"/>
        </w:rPr>
        <w:t>环卫基础业务数据由企业及业务部门录入更新，由主管部门审核，审核通过后入库发布。基础数据新增、减少、维护变动情况由各区在基础数据更新板块中实时录入变动情况，其中设施基础数据录入时需添加位置信息字段，以供设施数据在地图上进行标注，数据的更新环卫管理部门逐级审核确认数据变动情况，最终审核后入库。</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1.企业信息管理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（1）人员信息管理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记录环卫作业人员的类型（管理人员、保洁人员、驾驶员等），对各人员的身份信息、工作职责与范围，正式工与临时工等信息做动态存储。人员数据主要包括基础属性管理（人员标识、姓名、编号、性别、联系电话、年龄、户籍、人员属性、穿戴设备号、备注、图片等信息）以及作业属性管理（管理单位、所属部门、是否在编、作业区域、所属岗位、工作时段等）。人员数据来源于数据填报，支持表格批量导入等。同时，系统提供配置维护工具对环卫人员进行配置维护，包括属性字段编辑、所属部门维护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（2）车辆信息管理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车辆数据主要包括基础属性（车辆标识、车牌号码、设备编码、车辆类型、车辆品牌、车辆型号、车辆吨位、制造厂家、车辆用途、采购日期、服役日期、备注、图片等信息）以及作业属性（所属单位、所属部门、停车场所、作业场所、作业人员等）。车辆数据来源于数据填报，支持表格批量导入。同时，系统提供对环卫车辆进行配置维护，包括属性字段编辑、所属部门配置、关联GPS/北斗设备等。环卫车辆作业的GPS/北斗轨迹通过系统对接采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（3）作业对象信息管理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1）道路路段信息管理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道路路段信息管理主要包括路段图层管理（道路名称、道路编号、起点、终点、道路走向、道路等级、道路类型、道路长度、总面积、主路面积、辅路面积、人行道面积、绿化带面积、隔离带面积、是否有护栏等）、属性数据管理（所属区域编号、所属区域、所属标段、所属标段名称、作业单位等）以及路段作业数据管理（作业车速范围、作业时段、路段长度、车辆类型、有效作业频次、有效作业里程数、开始时间、结束时间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2）作业网格信息管理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作业网格信息管理主要包括基础属性管理（网格编码、网格名称、网格类型、区域名称、坐标值、更新时间、启用标识、外接矩形最小X、外接矩形最小Y、外接矩形最大X、外接矩形最大Y）以及管理属性（作业公司、联系电话、作业人数、作业车辆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2、区、街道数据填报管理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（1）标段信息录入管理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企业信息和标段信息可由直属一次性完整录入，也可以由直属简单创建，由对应企业进行完善更新，然后交由直属进行审核。对数据进行权限控制，直属仅管理归属自身直属的基础信息，区和街道环卫管理部门可查看和使用全区或街道所属基础数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段信息和范围添加完成后可将该标段对应的合同、人员车辆信息与标段绑定，实现一人一车一岗。通过应用系统，录入普扫时段和保洁时段具体时间以及应在岗人员数量，通过项目责任人对上岗人员集体拍照打卡，实现对出勤人数的统计。</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（2）环卫企业信息管理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企业管理包含的功能有环卫企业创建、企业信息变更、删除/禁用环卫企业、企业管理员设置、企业信息变更审批更新等。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1）环卫企业创建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环卫企业信息包含企业名称、注册号、法定代表、公司地址、成立时间、执照有效期、单位类型、联系人、联系电话、资质、备注等信息。</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2）企业信息变更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对已录入的环卫企业信息进行变更。直属变更内容直接生效，无需审批环节。</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3）失效环卫企业信息</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将录入的环卫企业信息进行失效，失效操作后，该企业对应的管理账号也会被失效。</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4）删除环卫企业</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删除已录入的环卫企业信息，只能删除失效的企业信息。</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5）环卫企业检索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提供按照企业名称，注册号，法人等条件检索企业信息。检索结果以列表形式展示，列表内容包含：企业名称、注册号、成立时间、法人、联系方式、地址等。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6）企业管理员设置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环卫企业管理员是登陆环卫自助管理的登陆账号，每个企业限定一名管理人员。环卫企业管理员具备后台自助管理和移动端环卫巡查问题处置应答功能使用权限。系统设置管理员录入管理员基本信息，包含管理员手机号码，所属企业等基础信息。若企业需要更改管理员，则需要通过直属单位进行变更。系统同时支持账号密码重置，重置的账号和新密码信息通过手机短信发送给管理员手机。</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7）企业信息变更审批</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企业管理员通过企业自助管理变更信息后，直属需对变更内容进行审批，审批通过后，提交的信息生效。</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8）企业信息更新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企业根据直属的工作内容，选择完善或者对变更信息进行更新，经直属办审核后生效。企业完善和更新的信息包含：法定代表、公司地址、成立时间、执照有效期、单位类型、联系人、联系电话、资质、备注等信息，不包含企业名称、注册号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（3）环卫部门信息管理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主要包括基础属性（部门标识、部门名称、部门描述、上级标识、区域标识、注册地址、负责人、负责人联系方式等）。环卫部门数据来源于数据填报，支持表格批量导入等。同时系统提供配置维护工具对环卫部门进行配置维护。</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（4）环卫设施信息管理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根据GB/T50337–2018《城市环境卫生设施规划标准》、CJJ27-2012《环境卫生设施设置标准》、CJ/T171-2016《城镇环境卫生设施属性数据采集表及数据库结构》内容进行规范。</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1）果壳箱信息管理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果壳箱信息管理主要包括基础属性（果壳箱名称、果壳箱编码、果壳箱地址、垃圾类型、果壳箱容量、经纬度、启用日期、状态、图片、备注等）、管理属性（所属区域、所属街道、所属社区、权属单位、运营单位、行政主管部门）等。数据来源基于现有环卫设施数据进行整理和补录。同时，系统提供对果壳箱数据的编辑和导入等进行维护。</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2）保洁工具箱信息管理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洁工具箱信息管理主要包括基础属性(工具箱名称、工具箱编码、工具箱地址、启用日期、经纬度、图片等)以及管理属性（所属区域、所属街道、所属社区、权属单位、运营单位、行政主管部门）。数据来源基于现有环卫设施数据进行整理和补录。同时，系统提供对工具箱数据的编辑和导入等进行维护。</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3）城管驿站信息管理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城管驿站信息管理主要包括基础属性（驿站编码、驿站名称、地址、经纬度、启用日期等）以及管理属性（所属区域、所属街道、运营单位、权属单位、行政主管部门、使用单位、使用总人数）。数据来源基于现有环卫设施数据进行整理和补录。同时，系统提供对城管驿站数据的编辑和导入等进行维护。</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3、填报数据审核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上级部门管理员可通过报送审核功能对下级业务部门报送的数据进行线上审核。审核方式包括系统自动审核、人工审核。</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（1）自动审核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系统对上报数据进行自动审核，根据预先设置的自动审核规则和异常分析智能算法对数据进行审核及分析。当系统审核数据发现异常时，将自动产生预警并通知相关负责人进行处理；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审核规则设置：可预先设置自动审核规则，包括数据完整性、合理性、及时性等指标；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审核提醒：系统根据预先设置的审核规则对填报数据进行审核，系统支持将自动判断结果直接通知给填报人员或者通知给人工审核，由人工审核确认后再通知填报人员。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（2）人工审核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对自动审核的指标进行二次复核，出现异常时，可签发审核意见，要求上报部门修正后重新上报。系统支持主管们的权限管理员对审核设置多级审核。</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（3）审核记录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生成数据报送审核记录，包括待审核、未通过、已通过三种状态。</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1）待审核：针对待审核记录，提供查看已报送待审核状态、可重新编辑，撤回待审核记录功能。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2）未通过：支持查看审核未通过状态的记录及未通过原因；可重新编辑，再次提交报送记录。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3）已通过：针对已通过记录，提供记录查看功能。</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4、基础数据更新</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（1）数据录入更新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基础业务数据由企业及业务部门录入更新，由主管部门审核，审核通过后入库发布。基础数据新增、减少、维护变动情况由各区在基础数据更新板块中实时录入变动情况，其中设施基础数据录入时需添加位置信息字段，以供设施数据在地图上进行标注，数据的更新环卫管理部门逐级审核确认数据变动情况，最终审核后入库。</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1）数据上报</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需提供给企业日常巡查人员数据上报功能，针对日常巡查过程中发现的设施数据与现有数据不一致问题，及时进行问题上报，需对更新的数据项与现场照片信息进行上报，提供给审核人员进行审核录入。</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2）数据审核</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由业务主管部门对各单位和企业上报的数据进行审核，确保数据的真实性和完整性。单位和企业上报的数据在审核通过之后才能进入系统数据库。</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3）回退下发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对于业务主管部门审核不通过的上报数据，由主管部门填写审核问题意见后回退下发给对应单位或企业重新填写。</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4）退回反馈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对于业务主管部门审核不通过回退回来的上报数据，由对应单位或企业对数据进行检查修改后重新上报。</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5）数据入库</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对于业务主管部门审核通过的数据，系统自动纳入系统数据库进行管理，并时候更新系统对应功能板块的最新数据。</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5、数据综合查询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面向环卫业务部门和管理人员，提供基础数据综合查询服务，提供简单、高级、模糊、自定义等查询方式，在条件的输入方式上，提供可视化的操作界面，让使用者能够尽量通过选择菜单的方式输入查询的条件。</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（1）环卫设施数据查询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环卫设施管理综合展示各类环卫设施的数量、空间分布及运行数据。通过对环卫设施数据进行汇总分析，以便了解环卫设施的整体分布情况，为设施检查、规划布局提供数据支持。环卫道路保洁设施查询具体包括：道路、果壳箱、工具箱、城管驿站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（2）环卫业务数据查询</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rPr>
        <w:t>对环卫道路保洁作业人员、作业车辆、服务企业等数据进行综合查询，通过多条件数据进行查询，人员方面可按区域、企业、人员类型、年龄段等条件进行综合查询，查询了解人员基础信息、排班信息、所属企业、作业区域等。车辆方面可按区域、企业、车辆类型、车牌号等条件进行查询，查询了解车辆基础信息、排班信息、所属企业、作业区域等。企业方面可按区域、企业名称、企业类型、等条件进行查询，查询了解企业基础信息、服务项目信息、服务人员信息、服务车辆信息、企业信用信息等。</w:t>
      </w:r>
    </w:p>
    <w:p>
      <w:pPr>
        <w:tabs>
          <w:tab w:val="left" w:pos="360"/>
        </w:tabs>
        <w:spacing w:line="400" w:lineRule="exact"/>
        <w:rPr>
          <w:rFonts w:ascii="宋体" w:hAnsi="宋体" w:cs="宋体"/>
          <w:b/>
          <w:bCs/>
          <w:color w:val="auto"/>
          <w:kern w:val="0"/>
          <w:szCs w:val="21"/>
          <w:highlight w:val="none"/>
        </w:rPr>
      </w:pPr>
      <w:bookmarkStart w:id="66" w:name="_Hlk118975389"/>
      <w:r>
        <w:rPr>
          <w:rFonts w:hint="eastAsia" w:ascii="宋体" w:hAnsi="宋体" w:cs="宋体"/>
          <w:b/>
          <w:bCs/>
          <w:color w:val="auto"/>
          <w:kern w:val="0"/>
          <w:szCs w:val="21"/>
          <w:highlight w:val="none"/>
        </w:rPr>
        <w:t>3、运行监管应用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构建城市运行监管的可视化界面，建设包括事件监测统计、风险监测管理、运行要素“一张图”、运行评价分析等功能界面，同时为了满足在不同场景使用的要求，构建两种分辨率模式下的不同布局模式，开发16:9（1920*1080分辨率）与32:9（3840*1080分辨率）两个版本可视化界面，实现电脑端、双屏大屏的信息使用，通过识别显示模式进行自适应应用。</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3.1▲事件监测统计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对城市事件数据的归集、处理、统计分析，对宁波市每日事件的来源、分流、处置、满意度等统计情况以图表等形式进行可视化展示，并可按照区域和部门等不同条件进行动态展示；事件的统计结果与地图进行实时联动。（投标文件中需提供类似软件功能截图证明）</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3.1.1事件来源统计分析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全大市当日不同来源的城市事件数量进行动态统计展示，可按照区域和来源等不同维度进行统计分析，并结合图表形式进行总量分析，占比分析；可对每个事件统计数值进行下钻，查看具体的事件列表和事件详情信息，事件信息可与地图进行联动。</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3.1.2事件分流统计分析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对全大市当日事件分流的数量进行动态统计展示；按照区域、部门等不同维度进行统计，图表形式进行展示；可对数值进行下钻，可查看具体信息，事件信息可与地图进行联动。</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3.1.3事件处置统计分析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对全大市当日事件处置的总数进行动态统计展示，按照区域、部门等不同维度进行统计，进行图表形式进行展示；可对数值进行下钻，可查看具体信息，事件信息可与地图进行联动。</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3.1.4事件满意度情况统计分析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可对全大市当日事件的满意度情况进行统计分析，同时可按照部门和区域分别对满意度进行统计展示，可对满意度情况的详情进行查看。</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3.2风险监测管理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城市安全、城市干净、城市有序、城市便捷、群众满意”为监测维度，按照环境卫生、交通秩序、教育秩序、街面秩序、满意度测评、群众办事、社会安全、生活服务、生态质量、事故灾难、无废城市、医疗秩序、自然灾害等类别，通过跨部门数据以及市综合执法局各行业业务应用系统数据的归集、整合、关联，构建风险监测可视化功能界面，包括监测信息展示、预警处置管理、隐患风险管理及综合运行态势分析报告等功能。</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3.2.1监测信息展示</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1.城管行业监测要素展示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城市安全、城市干净、城市有序、城市便捷、群众满意”为监测维度，结合燃气安全、桥梁安全、隧道安全、智慧照明、卫生保洁、垃圾分类、停车服务等监测要素，各行业业务应用数据的汇聚，对各风险监测要素以数值等形式进行动态展示，同时提供数据的下钻功能，另外所汇聚的监测数据将作为“一网通管”治理系统体征指标数据（市综合执法局）的源头，通过宁波市一体化智能化公共数据平台共享。</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2.横向部门监测要素展示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城市安全、城市干净、城市有序、城市便捷、群众满意”为监测维度，根据住建部发布的有关城市运行监测评价指标要求，对城市运行监测的核心业务指标项进行梳理，汇聚“一网通管”治理系统的指标统计数据，根据所汇聚共享的数据形成可视化的动态监测页面，对各风险监测要素以数值等形式进行可视化展示。</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3.2.2预警处置管理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预警处置管理主要是用于对城市运行过程中出现的问题、事故等异常情况进行自动预警，使相关处置人员能够及时的了解异常情况，并采取相应的处置措施。</w:t>
      </w:r>
    </w:p>
    <w:p>
      <w:pPr>
        <w:widowControl/>
        <w:spacing w:line="40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1.预警联动</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对监测过程中产生的预警信息可形成事件信息自动流转到指挥协调应用中，并通过指挥协调应用完成事件的流转处置。</w:t>
      </w:r>
    </w:p>
    <w:p>
      <w:pPr>
        <w:widowControl/>
        <w:spacing w:line="40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2.预警通知</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预警自动通知主要用于配置预警的短信提示，实现支持同时配置所有的预警信息，也支持按照不同类别的预警信息或不同等级的预警信息的设置配置。</w:t>
      </w:r>
    </w:p>
    <w:p>
      <w:pPr>
        <w:widowControl/>
        <w:spacing w:line="40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3.预警信息发布</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提供预警信息发布功能，系统自动将预警信息详细内容带入，选择发布即可实现信息快速发布。</w:t>
      </w:r>
    </w:p>
    <w:p>
      <w:pPr>
        <w:widowControl/>
        <w:spacing w:line="40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4.预警统计分析</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预警统计功能用于汇聚各行业各专项的预警统计信息。</w:t>
      </w:r>
    </w:p>
    <w:p>
      <w:pPr>
        <w:widowControl/>
        <w:spacing w:line="400" w:lineRule="exact"/>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5.预测预警</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预测预警模块用于通过对设备设施感知设备数据以及其他监测要素数据的收集与分析，对城市运行过程中可能出现的风险及异常情况进行预测预警。</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3.2.3隐患风险管理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隐患风险管理用于对城市基础设施在运行过程中可能存在的风险或隐患信息进行管理，并在系统中进行集中展示。</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3.2.4综合运行态势分析报告</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综合运行态势分析报告主要用于对各设施设备综合运行态势分析报告进行管理，结合市综合执法局各行业基础设施的运行态势进行实际应用，主要包括城市运行报告管理、预测报告管理等。</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3.3运行要素“一张图”</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宁波市资规局的基础地图和图层数据为基础，对全市相关的指挥中心、网格、人员、车辆、城市设施、视频监控点位等以图层的形式进行融合叠加，形成运行要素“一张图”，实现各类信息的空间化、精细化管理，以支撑各项城市运行管理工作全面、协调、有序进行。</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1、指挥中心展示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可分别对区指挥中心、街道指挥中心、社区联络站等数量进行统计分析展示，同时与地图联动，指挥中心可实现在线连线。</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2、网格管理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直观展示支撑全市城市运行的网格管理及处置体系，实时更新管理体系相关数据。</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3、人员管理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可分别对指挥负责人的信息、坐席员信息以及协管员的信息进行管理，同时可对人员的在岗情况、位置情况、巡查轨迹等以地图的形式进行展示和详情查看，并通过不同图标样式和颜色进行区分。</w:t>
      </w:r>
    </w:p>
    <w:p>
      <w:pPr>
        <w:widowControl/>
        <w:spacing w:line="4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指挥负责人信息管理。</w:t>
      </w:r>
      <w:r>
        <w:rPr>
          <w:rFonts w:hint="eastAsia" w:ascii="宋体" w:hAnsi="宋体" w:cs="宋体"/>
          <w:color w:val="auto"/>
          <w:szCs w:val="21"/>
          <w:highlight w:val="none"/>
        </w:rPr>
        <w:t>根据市、区（县、市）、街道的城运中心指挥人员排班信息，按照所属层级（市级总指挥，所属区（县、市），所属街道）对指挥长姓名、联系方式进行展示，当系统在市级权限时，对市级指挥人员信息进行呈现，包括指挥长、队员的姓名及联系方式等，同时可直接与指挥长进行在线连线。</w:t>
      </w:r>
    </w:p>
    <w:p>
      <w:pPr>
        <w:widowControl/>
        <w:spacing w:line="40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坐席员信息管理</w:t>
      </w:r>
      <w:r>
        <w:rPr>
          <w:rFonts w:hint="eastAsia" w:ascii="宋体" w:hAnsi="宋体" w:cs="宋体"/>
          <w:color w:val="auto"/>
          <w:szCs w:val="21"/>
          <w:highlight w:val="none"/>
        </w:rPr>
        <w:t>。根据每日座席人员登记、派遣、结案等工作情况，对坐席人员各环节办案情况进行统计分析，并针对其工作效能进行排名展示，支持查看全部人员效能统计信息，以及单个人员详细效能评价，同时可对单个坐席人员经办事件类型、经办时长等相关信息进行多维分析，为人员工作高效化、精细化提升提供数据支撑。</w:t>
      </w:r>
    </w:p>
    <w:p>
      <w:pPr>
        <w:widowControl/>
        <w:spacing w:line="400" w:lineRule="exact"/>
        <w:ind w:firstLine="422" w:firstLineChars="200"/>
        <w:jc w:val="left"/>
        <w:rPr>
          <w:rFonts w:ascii="宋体" w:hAnsi="宋体" w:cs="宋体"/>
          <w:color w:val="auto"/>
          <w:kern w:val="0"/>
          <w:szCs w:val="21"/>
          <w:highlight w:val="none"/>
        </w:rPr>
      </w:pPr>
      <w:r>
        <w:rPr>
          <w:rFonts w:hint="eastAsia" w:ascii="宋体" w:hAnsi="宋体" w:cs="宋体"/>
          <w:b/>
          <w:bCs/>
          <w:color w:val="auto"/>
          <w:szCs w:val="21"/>
          <w:highlight w:val="none"/>
        </w:rPr>
        <w:t>协管员信息管理。</w:t>
      </w:r>
      <w:r>
        <w:rPr>
          <w:rFonts w:hint="eastAsia" w:ascii="宋体" w:hAnsi="宋体" w:cs="宋体"/>
          <w:color w:val="auto"/>
          <w:szCs w:val="21"/>
          <w:highlight w:val="none"/>
        </w:rPr>
        <w:t>主要对在岗</w:t>
      </w:r>
      <w:r>
        <w:rPr>
          <w:rFonts w:hint="eastAsia" w:ascii="宋体" w:hAnsi="宋体" w:cs="宋体"/>
          <w:color w:val="auto"/>
          <w:kern w:val="0"/>
          <w:szCs w:val="21"/>
          <w:highlight w:val="none"/>
        </w:rPr>
        <w:t>协管员</w:t>
      </w:r>
      <w:r>
        <w:rPr>
          <w:rFonts w:hint="eastAsia" w:ascii="宋体" w:hAnsi="宋体" w:cs="宋体"/>
          <w:color w:val="auto"/>
          <w:szCs w:val="21"/>
          <w:highlight w:val="none"/>
        </w:rPr>
        <w:t>进行管理，通过对人员位置及工作情况的了解，能够准确掌握城市管理力量的分布，同时可以监管队员的工作状态，包括</w:t>
      </w:r>
      <w:r>
        <w:rPr>
          <w:rFonts w:hint="eastAsia" w:ascii="宋体" w:hAnsi="宋体" w:cs="宋体"/>
          <w:color w:val="auto"/>
          <w:kern w:val="0"/>
          <w:szCs w:val="21"/>
          <w:highlight w:val="none"/>
        </w:rPr>
        <w:t>协管员</w:t>
      </w:r>
      <w:r>
        <w:rPr>
          <w:rFonts w:hint="eastAsia" w:ascii="宋体" w:hAnsi="宋体" w:cs="宋体"/>
          <w:color w:val="auto"/>
          <w:szCs w:val="21"/>
          <w:highlight w:val="none"/>
        </w:rPr>
        <w:t>定位信息、</w:t>
      </w:r>
      <w:r>
        <w:rPr>
          <w:rFonts w:hint="eastAsia" w:ascii="宋体" w:hAnsi="宋体" w:cs="宋体"/>
          <w:color w:val="auto"/>
          <w:kern w:val="0"/>
          <w:szCs w:val="21"/>
          <w:highlight w:val="none"/>
        </w:rPr>
        <w:t>协管员</w:t>
      </w:r>
      <w:r>
        <w:rPr>
          <w:rFonts w:hint="eastAsia" w:ascii="宋体" w:hAnsi="宋体" w:cs="宋体"/>
          <w:color w:val="auto"/>
          <w:szCs w:val="21"/>
          <w:highlight w:val="none"/>
        </w:rPr>
        <w:t>值班信息、</w:t>
      </w:r>
      <w:r>
        <w:rPr>
          <w:rFonts w:hint="eastAsia" w:ascii="宋体" w:hAnsi="宋体" w:cs="宋体"/>
          <w:color w:val="auto"/>
          <w:kern w:val="0"/>
          <w:szCs w:val="21"/>
          <w:highlight w:val="none"/>
        </w:rPr>
        <w:t>协管员</w:t>
      </w:r>
      <w:r>
        <w:rPr>
          <w:rFonts w:hint="eastAsia" w:ascii="宋体" w:hAnsi="宋体" w:cs="宋体"/>
          <w:color w:val="auto"/>
          <w:szCs w:val="21"/>
          <w:highlight w:val="none"/>
        </w:rPr>
        <w:t>管辖范围等，同时可在地图上对协管员的</w:t>
      </w:r>
      <w:r>
        <w:rPr>
          <w:rFonts w:hint="eastAsia" w:ascii="宋体" w:hAnsi="宋体" w:cs="宋体"/>
          <w:color w:val="auto"/>
          <w:kern w:val="0"/>
          <w:szCs w:val="21"/>
          <w:highlight w:val="none"/>
        </w:rPr>
        <w:t>工作轨迹的状态进行实时监控。</w:t>
      </w:r>
    </w:p>
    <w:p>
      <w:pPr>
        <w:widowControl/>
        <w:spacing w:line="400" w:lineRule="exact"/>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指挥长日志。</w:t>
      </w:r>
      <w:r>
        <w:rPr>
          <w:rFonts w:hint="eastAsia" w:ascii="宋体" w:hAnsi="宋体" w:cs="宋体"/>
          <w:color w:val="auto"/>
          <w:kern w:val="0"/>
          <w:szCs w:val="21"/>
          <w:highlight w:val="none"/>
        </w:rPr>
        <w:t>可根据时间（按月、天）查询统计各岗位人员应用系统登录情况和终端登录情况，其中各岗位人员按照区域进行统计，终端包括采集岗、执法岗、处置岗、考评岗等。</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4、车辆管理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通过对接各类工作车辆的GPS等物联设备，实现各类工作车辆与地图进行联动，展示各类车辆的工作状态、位置以及人员关联情况，并可以二维或三维地图的形式进行展示。</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▲5、城市设施管理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基于GIS地图，对不同设施类型的设施分布情况及运行状态情况等进行监测管理，并与前端感知监测设备进行关联。（投标文件中需提供类似软件功能截图证明）</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设施部件信息管理。</w:t>
      </w:r>
      <w:r>
        <w:rPr>
          <w:rFonts w:hint="eastAsia" w:ascii="宋体" w:hAnsi="宋体" w:cs="宋体"/>
          <w:color w:val="auto"/>
          <w:szCs w:val="21"/>
          <w:highlight w:val="none"/>
        </w:rPr>
        <w:t>设施部件信息管理用于管理城市基础设施设备的基础信息，基于GIS地图，将8个大类，并在各个大类下按照设施对象进行小类分类，实现基础设施信息的展示查看，可对设施部件的基础信息进行维护管理，同时具备</w:t>
      </w:r>
      <w:r>
        <w:rPr>
          <w:rFonts w:hint="eastAsia" w:ascii="宋体" w:hAnsi="宋体" w:cs="宋体"/>
          <w:b/>
          <w:bCs/>
          <w:color w:val="auto"/>
          <w:szCs w:val="21"/>
          <w:highlight w:val="none"/>
        </w:rPr>
        <w:t>区域空间检索、区域设施统计、感知设备联动等功能</w:t>
      </w:r>
      <w:r>
        <w:rPr>
          <w:rFonts w:hint="eastAsia" w:ascii="宋体" w:hAnsi="宋体" w:cs="宋体"/>
          <w:color w:val="auto"/>
          <w:szCs w:val="21"/>
          <w:highlight w:val="none"/>
        </w:rPr>
        <w:t>。</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6、视频调阅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通过整合相关视频监控资源，视频监控点位信息可基于GIS地图加载到地图的相应位置，周边监控的关联，并通过调阅视频实时查看基础设施的情况。</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7、事件监测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将综合查询筛选到的事件以点位的形式，批量标记在地图上，并且可以对不同的事件类型标记不同的颜色区分，可放缩调节展示，实现的形式包含但不仅限于热力图、标记点位图等，各类事件的统计结果将实现与地图的联动，同时可对事件的详情信息进行查看。</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8、应急会话管理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应急会话管理主要实现与指挥长、协管员之间的通讯会话，主要包括通讯录管理语音调度、视频调度等功能模块。</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通讯录管理。</w:t>
      </w:r>
      <w:r>
        <w:rPr>
          <w:rFonts w:hint="eastAsia" w:ascii="宋体" w:hAnsi="宋体" w:cs="宋体"/>
          <w:color w:val="auto"/>
          <w:szCs w:val="21"/>
          <w:highlight w:val="none"/>
        </w:rPr>
        <w:t>调度人员数据按分组录入，支持Excel的导入和导出，支持新增、修改和删除，通讯录数据既支持用户列表显示，也支持用户图标形式显示，可以从通讯录发起呼叫、组呼、会议等调度功能；通讯录支持根据姓名、号码、部门进行查询显示，支持自由设定部门、部门内成员、调度人员的先后显示次序，点击通讯录或人员信息页面的通话按钮可直接进行IP通话。</w:t>
      </w:r>
    </w:p>
    <w:p>
      <w:pPr>
        <w:spacing w:line="400" w:lineRule="exact"/>
        <w:ind w:firstLine="422" w:firstLineChars="200"/>
        <w:rPr>
          <w:rFonts w:ascii="宋体" w:hAnsi="宋体" w:cs="宋体"/>
          <w:color w:val="auto"/>
          <w:szCs w:val="21"/>
          <w:highlight w:val="none"/>
          <w:lang w:val="en-GB"/>
        </w:rPr>
      </w:pPr>
      <w:r>
        <w:rPr>
          <w:rFonts w:hint="eastAsia" w:ascii="宋体" w:hAnsi="宋体" w:cs="宋体"/>
          <w:b/>
          <w:bCs/>
          <w:color w:val="auto"/>
          <w:szCs w:val="21"/>
          <w:highlight w:val="none"/>
        </w:rPr>
        <w:t>语音调度。</w:t>
      </w:r>
      <w:r>
        <w:rPr>
          <w:rFonts w:hint="eastAsia" w:ascii="宋体" w:hAnsi="宋体" w:cs="宋体"/>
          <w:color w:val="auto"/>
          <w:szCs w:val="21"/>
          <w:highlight w:val="none"/>
          <w:lang w:val="en-GB"/>
        </w:rPr>
        <w:t>语音调度功能解决调度人员需要通过多种不同终端进行调度的问题，通过统一的调度台，完成与各种通信终端的通话，以及对各种不同终端的“一键调度”，实现对应急事件处置的统一指挥调度和应急决策信息的快速传达。</w:t>
      </w:r>
    </w:p>
    <w:p>
      <w:pPr>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视频调度。</w:t>
      </w:r>
      <w:r>
        <w:rPr>
          <w:rFonts w:hint="eastAsia" w:ascii="宋体" w:hAnsi="宋体" w:cs="宋体"/>
          <w:color w:val="auto"/>
          <w:szCs w:val="21"/>
          <w:highlight w:val="none"/>
          <w:lang w:val="en-GB"/>
        </w:rPr>
        <w:t>系统可调度视频监控画面，可显示视频会议的会场画面，从而实现对多种视频流的统一联动以及音视频联动。</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3.4 运行评价分析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一网通管（一网通管）”治理系统所构建的城市干净指数分析结果进行获取，针对市综合执法局所梳理的有关城市运行的城市干净有关的监测要素，计算有关城市干净评价分值，并基于生成三级体系的指数得分赋予不同的五色展示。</w:t>
      </w:r>
    </w:p>
    <w:bookmarkEnd w:id="66"/>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4、▲综合评价应用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科学完善的监督评价体系，对城市管理的各方面进行考核评价，同时通过各类报表、统计图表的方式直观的显示考核结果，根据考核公示生成评价，主要包括城管工作考核管理、综合评价管理等。（投标文件中需提供类似软件功能截图证明）</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4.1城管工作考核管理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建立城管工作考核评价体系，对城管工作参与单位的工作绩效进行跟踪监督，相关成绩纳入本级政府对单位的年度目标管理考评。主要包括考核标准管理、智能考核、考核结果分析、人员评价管理、评价结果反查、考核申诉管理。</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4.2综合评价管理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原全行业综合评价系统主要实现了包括评价指标管理、评价指标填报、评价任务管理、评价数据审核、评价结果生成等功能模块，本次项目将在原有基础上新增实地考察管理、调查问卷、自评价报告管理、评价配置管理、评价结果管理等内容。</w:t>
      </w:r>
    </w:p>
    <w:p>
      <w:pPr>
        <w:tabs>
          <w:tab w:val="left" w:pos="360"/>
        </w:tabs>
        <w:spacing w:line="400" w:lineRule="exact"/>
        <w:rPr>
          <w:rFonts w:ascii="宋体" w:hAnsi="宋体" w:cs="宋体"/>
          <w:b/>
          <w:bCs/>
          <w:color w:val="auto"/>
          <w:kern w:val="0"/>
          <w:szCs w:val="21"/>
          <w:highlight w:val="none"/>
        </w:rPr>
      </w:pPr>
      <w:bookmarkStart w:id="67" w:name="_Toc16239"/>
      <w:bookmarkStart w:id="68" w:name="_Hlk118975401"/>
      <w:r>
        <w:rPr>
          <w:rFonts w:hint="eastAsia" w:ascii="宋体" w:hAnsi="宋体" w:cs="宋体"/>
          <w:b/>
          <w:bCs/>
          <w:color w:val="auto"/>
          <w:kern w:val="0"/>
          <w:szCs w:val="21"/>
          <w:highlight w:val="none"/>
        </w:rPr>
        <w:t>5、决策分析应用</w:t>
      </w:r>
      <w:bookmarkEnd w:id="67"/>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5.1▲事部件趋势分析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城市运行问题的深度挖掘与分析，找出特定时期内的重点问题，发现重点区域，高发时间段，结合GIS地图通过可视化的方式进行全市范围内的城市运行问题分析。（投标文件中需提供类似软件功能截图证明）</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5.2市容环卫分析</w:t>
      </w:r>
    </w:p>
    <w:p>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lang w:val="en-GB"/>
        </w:rPr>
        <w:t>根据不同等级道路面积、定额要求、人口密度分布，机扫率要求结合环卫作业难度系数以及服务短板等，通过分析各条块作业资源需求，测算合理作业资源，找出资源配置短板，合理优化作业资源，实现企业科学运营。需</w:t>
      </w:r>
      <w:r>
        <w:rPr>
          <w:rFonts w:hint="eastAsia" w:ascii="宋体" w:hAnsi="宋体" w:cs="宋体"/>
          <w:color w:val="auto"/>
          <w:szCs w:val="21"/>
          <w:highlight w:val="none"/>
        </w:rPr>
        <w:t>包含</w:t>
      </w:r>
      <w:r>
        <w:rPr>
          <w:rFonts w:hint="eastAsia" w:ascii="宋体" w:hAnsi="宋体" w:cs="宋体"/>
          <w:b/>
          <w:bCs/>
          <w:color w:val="auto"/>
          <w:szCs w:val="21"/>
          <w:highlight w:val="none"/>
        </w:rPr>
        <w:t>资源配置优化分析、作业调度优化分析</w:t>
      </w:r>
      <w:r>
        <w:rPr>
          <w:rFonts w:hint="eastAsia" w:ascii="宋体" w:hAnsi="宋体" w:cs="宋体"/>
          <w:color w:val="auto"/>
          <w:szCs w:val="21"/>
          <w:highlight w:val="none"/>
        </w:rPr>
        <w:t>功能</w:t>
      </w:r>
      <w:r>
        <w:rPr>
          <w:rFonts w:hint="eastAsia" w:ascii="宋体" w:hAnsi="宋体" w:cs="宋体"/>
          <w:b/>
          <w:bCs/>
          <w:color w:val="auto"/>
          <w:szCs w:val="21"/>
          <w:highlight w:val="none"/>
        </w:rPr>
        <w:t>。</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5.3园林绿化分析</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采集园林绿地基础信息和地理数据，围绕园林绿地建设、管理、维护构建专题资源库，通过卫星遥感、实景影像采集、无人机定期航拍，并结合视频智能分析和前端物联网监测，实现城市绿地资源实时动态管理，准确监测和预测城市绿地资源的动态变化，对绿地资源进行精确统计和管理。同时，基于园林绿地应用实现园林绿地图层在线和离线加载，快速定位、面积测算，数据采集更新等功能。</w:t>
      </w:r>
      <w:r>
        <w:rPr>
          <w:rFonts w:hint="eastAsia" w:ascii="宋体" w:hAnsi="宋体" w:cs="宋体"/>
          <w:color w:val="auto"/>
          <w:szCs w:val="21"/>
          <w:highlight w:val="none"/>
        </w:rPr>
        <w:t>包含</w:t>
      </w:r>
      <w:r>
        <w:rPr>
          <w:rFonts w:hint="eastAsia" w:ascii="宋体" w:hAnsi="宋体" w:cs="宋体"/>
          <w:b/>
          <w:bCs/>
          <w:color w:val="auto"/>
          <w:szCs w:val="21"/>
          <w:highlight w:val="none"/>
        </w:rPr>
        <w:t>数据源分析、时空对比、绿地图版对比分析</w:t>
      </w:r>
      <w:r>
        <w:rPr>
          <w:rFonts w:hint="eastAsia" w:ascii="宋体" w:hAnsi="宋体" w:cs="宋体"/>
          <w:color w:val="auto"/>
          <w:szCs w:val="21"/>
          <w:highlight w:val="none"/>
        </w:rPr>
        <w:t>功能</w:t>
      </w:r>
      <w:r>
        <w:rPr>
          <w:rFonts w:hint="eastAsia" w:ascii="宋体" w:hAnsi="宋体" w:cs="宋体"/>
          <w:b/>
          <w:bCs/>
          <w:color w:val="auto"/>
          <w:szCs w:val="21"/>
          <w:highlight w:val="none"/>
        </w:rPr>
        <w:t>。</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5.4</w:t>
      </w:r>
      <w:r>
        <w:rPr>
          <w:rFonts w:hint="eastAsia" w:ascii="宋体" w:hAnsi="宋体" w:cs="宋体"/>
          <w:b/>
          <w:bCs/>
          <w:color w:val="auto"/>
          <w:kern w:val="0"/>
          <w:szCs w:val="21"/>
          <w:highlight w:val="none"/>
          <w:lang w:val="en-GB"/>
        </w:rPr>
        <w:t>市政公用分析</w:t>
      </w:r>
    </w:p>
    <w:p>
      <w:pPr>
        <w:spacing w:line="400" w:lineRule="exact"/>
        <w:ind w:firstLine="422" w:firstLineChars="200"/>
        <w:rPr>
          <w:rFonts w:ascii="宋体" w:hAnsi="宋体" w:cs="宋体"/>
          <w:b/>
          <w:bCs/>
          <w:color w:val="auto"/>
          <w:szCs w:val="21"/>
          <w:highlight w:val="none"/>
          <w:lang w:val="en-GB"/>
        </w:rPr>
      </w:pPr>
      <w:r>
        <w:rPr>
          <w:rFonts w:hint="eastAsia" w:ascii="宋体" w:hAnsi="宋体" w:cs="宋体"/>
          <w:b/>
          <w:bCs/>
          <w:color w:val="auto"/>
          <w:szCs w:val="21"/>
          <w:highlight w:val="none"/>
          <w:lang w:val="en-GB"/>
        </w:rPr>
        <w:t>1、智慧隧道（地道、天桥）趋势分析</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根据历年定期检测报告和实时在线监测数据，对重要指标、重点病害进行跟踪观测和趋势分析，及时评估隧道地道及天桥的承载能力性能，实现病害发展趋势和监控阈值的预测预警。</w:t>
      </w:r>
    </w:p>
    <w:p>
      <w:pPr>
        <w:spacing w:line="400" w:lineRule="exact"/>
        <w:ind w:firstLine="420" w:firstLineChars="200"/>
        <w:rPr>
          <w:rFonts w:ascii="宋体" w:hAnsi="宋体" w:cs="宋体"/>
          <w:b/>
          <w:bCs/>
          <w:color w:val="auto"/>
          <w:szCs w:val="21"/>
          <w:highlight w:val="none"/>
          <w:lang w:val="en-GB"/>
        </w:rPr>
      </w:pPr>
      <w:r>
        <w:rPr>
          <w:rFonts w:hint="eastAsia" w:ascii="宋体" w:hAnsi="宋体" w:cs="宋体"/>
          <w:color w:val="auto"/>
          <w:szCs w:val="21"/>
          <w:highlight w:val="none"/>
        </w:rPr>
        <w:t>▲</w:t>
      </w:r>
      <w:r>
        <w:rPr>
          <w:rFonts w:hint="eastAsia" w:ascii="宋体" w:hAnsi="宋体" w:cs="宋体"/>
          <w:b/>
          <w:bCs/>
          <w:color w:val="auto"/>
          <w:szCs w:val="21"/>
          <w:highlight w:val="none"/>
          <w:lang w:val="en-GB"/>
        </w:rPr>
        <w:t>2、燃气安全监测分析</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通过对接燃气企业各类设施进行运行监管并结合分析研判与预警分析；</w:t>
      </w:r>
      <w:r>
        <w:rPr>
          <w:rFonts w:hint="eastAsia" w:ascii="宋体" w:hAnsi="宋体" w:cs="宋体"/>
          <w:color w:val="auto"/>
          <w:szCs w:val="21"/>
          <w:highlight w:val="none"/>
        </w:rPr>
        <w:t>结合燃气设施监测实时状况，对与燃气安全运行有关的信息进行集成分析。（投标文件中需提供类似软件功能截图证明）</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5.5</w:t>
      </w:r>
      <w:r>
        <w:rPr>
          <w:rFonts w:hint="eastAsia" w:ascii="宋体" w:hAnsi="宋体" w:cs="宋体"/>
          <w:b/>
          <w:bCs/>
          <w:color w:val="auto"/>
          <w:kern w:val="0"/>
          <w:szCs w:val="21"/>
          <w:highlight w:val="none"/>
          <w:lang w:val="en-GB"/>
        </w:rPr>
        <w:t>城市管理执法分析</w:t>
      </w:r>
    </w:p>
    <w:bookmarkEnd w:id="68"/>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基于大综合一体化平台的各种数据，生成可视化分析图表，进行综合执法按照区域、事件类型、事件发生量、事件处置情况、事件部门等不同维度的综合执法办案情况组合分析。</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6、</w:t>
      </w:r>
      <w:r>
        <w:rPr>
          <w:rFonts w:hint="eastAsia" w:ascii="宋体" w:hAnsi="宋体" w:cs="宋体"/>
          <w:b/>
          <w:bCs/>
          <w:color w:val="auto"/>
          <w:kern w:val="0"/>
          <w:szCs w:val="21"/>
          <w:highlight w:val="none"/>
          <w:lang w:val="en-GB"/>
        </w:rPr>
        <w:t>移动端应用</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6.1</w:t>
      </w:r>
      <w:r>
        <w:rPr>
          <w:rFonts w:hint="eastAsia" w:ascii="宋体" w:hAnsi="宋体" w:cs="宋体"/>
          <w:b/>
          <w:bCs/>
          <w:color w:val="auto"/>
          <w:kern w:val="0"/>
          <w:szCs w:val="21"/>
          <w:highlight w:val="none"/>
          <w:lang w:val="en-GB"/>
        </w:rPr>
        <w:t>浙政钉应用</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6.1.1▲</w:t>
      </w:r>
      <w:r>
        <w:rPr>
          <w:rFonts w:hint="eastAsia" w:ascii="宋体" w:hAnsi="宋体" w:cs="宋体"/>
          <w:b/>
          <w:bCs/>
          <w:color w:val="auto"/>
          <w:kern w:val="0"/>
          <w:szCs w:val="21"/>
          <w:highlight w:val="none"/>
          <w:lang w:val="en-GB"/>
        </w:rPr>
        <w:t>指挥协调管理</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依托浙政钉开发巡查任务、协同处置、事件核实、事件核查、定位上报、历史记录、快捷进入、地图浏览、任务管理、智能提醒、应急会话等功能模块，实现协管员、执法人员等日常事件信息的上报、处置、反馈等。</w:t>
      </w:r>
      <w:r>
        <w:rPr>
          <w:rFonts w:hint="eastAsia" w:ascii="宋体" w:hAnsi="宋体" w:cs="宋体"/>
          <w:color w:val="auto"/>
          <w:szCs w:val="21"/>
          <w:highlight w:val="none"/>
        </w:rPr>
        <w:t>（投标文件中需提供类似软件功能截图证明）</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6.1.2</w:t>
      </w:r>
      <w:r>
        <w:rPr>
          <w:rFonts w:hint="eastAsia" w:ascii="宋体" w:hAnsi="宋体" w:cs="宋体"/>
          <w:b/>
          <w:bCs/>
          <w:color w:val="auto"/>
          <w:kern w:val="0"/>
          <w:szCs w:val="21"/>
          <w:highlight w:val="none"/>
          <w:lang w:val="en-GB"/>
        </w:rPr>
        <w:t>实地考察评价</w:t>
      </w:r>
    </w:p>
    <w:p>
      <w:pPr>
        <w:spacing w:line="40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实地考察</w:t>
      </w:r>
      <w:r>
        <w:rPr>
          <w:rFonts w:hint="eastAsia" w:ascii="宋体" w:hAnsi="宋体" w:cs="宋体"/>
          <w:color w:val="auto"/>
          <w:szCs w:val="21"/>
          <w:highlight w:val="none"/>
        </w:rPr>
        <w:t>评价委</w:t>
      </w:r>
      <w:r>
        <w:rPr>
          <w:rFonts w:hint="eastAsia" w:ascii="宋体" w:hAnsi="宋体" w:cs="宋体"/>
          <w:color w:val="auto"/>
          <w:szCs w:val="21"/>
          <w:highlight w:val="none"/>
          <w:lang w:val="zh-CN"/>
        </w:rPr>
        <w:t>实地考察人员提供</w:t>
      </w:r>
      <w:r>
        <w:rPr>
          <w:rFonts w:hint="eastAsia" w:ascii="宋体" w:hAnsi="宋体" w:cs="宋体"/>
          <w:color w:val="auto"/>
          <w:szCs w:val="21"/>
          <w:highlight w:val="none"/>
        </w:rPr>
        <w:t>移动端考察</w:t>
      </w:r>
      <w:r>
        <w:rPr>
          <w:rFonts w:hint="eastAsia" w:ascii="宋体" w:hAnsi="宋体" w:cs="宋体"/>
          <w:color w:val="auto"/>
          <w:szCs w:val="21"/>
          <w:highlight w:val="none"/>
          <w:lang w:val="zh-CN"/>
        </w:rPr>
        <w:t>任务接收、</w:t>
      </w:r>
      <w:r>
        <w:rPr>
          <w:rFonts w:hint="eastAsia" w:ascii="宋体" w:hAnsi="宋体" w:cs="宋体"/>
          <w:color w:val="auto"/>
          <w:szCs w:val="21"/>
          <w:highlight w:val="none"/>
        </w:rPr>
        <w:t>评价任务查询、</w:t>
      </w:r>
    </w:p>
    <w:p>
      <w:pPr>
        <w:spacing w:line="400" w:lineRule="exact"/>
        <w:rPr>
          <w:rFonts w:ascii="宋体" w:hAnsi="宋体" w:cs="宋体"/>
          <w:color w:val="auto"/>
          <w:szCs w:val="21"/>
          <w:highlight w:val="none"/>
          <w:lang w:val="zh-CN"/>
        </w:rPr>
      </w:pPr>
      <w:r>
        <w:rPr>
          <w:rFonts w:hint="eastAsia" w:ascii="宋体" w:hAnsi="宋体" w:cs="宋体"/>
          <w:color w:val="auto"/>
          <w:szCs w:val="21"/>
          <w:highlight w:val="none"/>
        </w:rPr>
        <w:t>评价任务测评</w:t>
      </w:r>
      <w:r>
        <w:rPr>
          <w:rFonts w:hint="eastAsia" w:ascii="宋体" w:hAnsi="宋体" w:cs="宋体"/>
          <w:color w:val="auto"/>
          <w:szCs w:val="21"/>
          <w:highlight w:val="none"/>
          <w:lang w:val="zh-CN"/>
        </w:rPr>
        <w:t>、</w:t>
      </w:r>
      <w:r>
        <w:rPr>
          <w:rFonts w:hint="eastAsia" w:ascii="宋体" w:hAnsi="宋体" w:cs="宋体"/>
          <w:color w:val="auto"/>
          <w:szCs w:val="21"/>
          <w:highlight w:val="none"/>
        </w:rPr>
        <w:t>自动定位、评价任务审核</w:t>
      </w:r>
      <w:r>
        <w:rPr>
          <w:rFonts w:hint="eastAsia" w:ascii="宋体" w:hAnsi="宋体" w:cs="宋体"/>
          <w:color w:val="auto"/>
          <w:szCs w:val="21"/>
          <w:highlight w:val="none"/>
          <w:lang w:val="zh-CN"/>
        </w:rPr>
        <w:t>、</w:t>
      </w:r>
      <w:r>
        <w:rPr>
          <w:rFonts w:hint="eastAsia" w:ascii="宋体" w:hAnsi="宋体" w:cs="宋体"/>
          <w:color w:val="auto"/>
          <w:szCs w:val="21"/>
          <w:highlight w:val="none"/>
        </w:rPr>
        <w:t>评价结果生成与查询等功能</w:t>
      </w:r>
      <w:r>
        <w:rPr>
          <w:rFonts w:hint="eastAsia" w:ascii="宋体" w:hAnsi="宋体" w:cs="宋体"/>
          <w:color w:val="auto"/>
          <w:szCs w:val="21"/>
          <w:highlight w:val="none"/>
          <w:lang w:val="zh-CN"/>
        </w:rPr>
        <w:t>。</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6.1.3</w:t>
      </w:r>
      <w:r>
        <w:rPr>
          <w:rFonts w:hint="eastAsia" w:ascii="宋体" w:hAnsi="宋体" w:cs="宋体"/>
          <w:b/>
          <w:bCs/>
          <w:color w:val="auto"/>
          <w:kern w:val="0"/>
          <w:szCs w:val="21"/>
          <w:highlight w:val="none"/>
          <w:lang w:val="en-GB"/>
        </w:rPr>
        <w:t>道路清扫保洁管理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依托浙政钉开发建设环卫保洁管理功能模块，实现数据审核、调度预警通知</w:t>
      </w:r>
      <w:bookmarkStart w:id="69" w:name="_Toc98860445"/>
      <w:bookmarkStart w:id="70" w:name="_Toc103600693"/>
      <w:bookmarkStart w:id="71" w:name="_Toc98721832"/>
      <w:r>
        <w:rPr>
          <w:rFonts w:hint="eastAsia" w:ascii="宋体" w:hAnsi="宋体" w:cs="宋体"/>
          <w:color w:val="auto"/>
          <w:szCs w:val="21"/>
          <w:highlight w:val="none"/>
        </w:rPr>
        <w:t>、综合管理、考勤管理功能。</w:t>
      </w:r>
    </w:p>
    <w:bookmarkEnd w:id="69"/>
    <w:bookmarkEnd w:id="70"/>
    <w:bookmarkEnd w:id="71"/>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6.2</w:t>
      </w:r>
      <w:r>
        <w:rPr>
          <w:rFonts w:hint="eastAsia" w:ascii="宋体" w:hAnsi="宋体" w:cs="宋体"/>
          <w:b/>
          <w:bCs/>
          <w:color w:val="auto"/>
          <w:kern w:val="0"/>
          <w:szCs w:val="21"/>
          <w:highlight w:val="none"/>
          <w:lang w:val="en-GB"/>
        </w:rPr>
        <w:t>浙里办服务应用</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主要包括资讯动态管理、随手拍、投诉建议、便民服务、园林绿地服务、个人中心等。</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7、与外部系统对接</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7.1</w:t>
      </w:r>
      <w:r>
        <w:rPr>
          <w:rFonts w:hint="eastAsia" w:ascii="宋体" w:hAnsi="宋体" w:cs="宋体"/>
          <w:b/>
          <w:bCs/>
          <w:color w:val="auto"/>
          <w:kern w:val="0"/>
          <w:szCs w:val="21"/>
          <w:highlight w:val="none"/>
          <w:lang w:val="en-GB"/>
        </w:rPr>
        <w:t>与时空信息云平台对接</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时空云平台提供了丰富多样的地图功能服务，本项目将充分利用时空云平台现有服务能力，不再重复建设，需向时空信息云平台申请包括基础的电子地图、图层数据以及地图基础服务等功能。</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7.2</w:t>
      </w:r>
      <w:r>
        <w:rPr>
          <w:rFonts w:hint="eastAsia" w:ascii="宋体" w:hAnsi="宋体" w:cs="宋体"/>
          <w:b/>
          <w:bCs/>
          <w:color w:val="auto"/>
          <w:kern w:val="0"/>
          <w:szCs w:val="21"/>
          <w:highlight w:val="none"/>
          <w:lang w:val="en-GB"/>
        </w:rPr>
        <w:t>与基层治理四平台对接</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实现和基层治理四平台进行对接，开发事件流转接口，将基层治理四平台中涉及到城市管理类事件信息流转到城运系统中，并处置过程和结果等信息数据回流至基层治理四平台；同时通过宁波市一体化智能化公共数据平台，制定接口标准和接口参数实现数据集成对接。</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7.3</w:t>
      </w:r>
      <w:r>
        <w:rPr>
          <w:rFonts w:hint="eastAsia" w:ascii="宋体" w:hAnsi="宋体" w:cs="宋体"/>
          <w:b/>
          <w:bCs/>
          <w:color w:val="auto"/>
          <w:kern w:val="0"/>
          <w:szCs w:val="21"/>
          <w:highlight w:val="none"/>
          <w:lang w:val="en-GB"/>
        </w:rPr>
        <w:t>与浙里共治应用对接</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浙里共治作为省城运管理服务平台，本次项目建设后将与浙里共治应用进行对接，实现业务数据的互通互享。</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rPr>
        <w:t>7.4</w:t>
      </w:r>
      <w:r>
        <w:rPr>
          <w:rFonts w:hint="eastAsia" w:ascii="宋体" w:hAnsi="宋体" w:cs="宋体"/>
          <w:b/>
          <w:bCs/>
          <w:color w:val="auto"/>
          <w:kern w:val="0"/>
          <w:szCs w:val="21"/>
          <w:highlight w:val="none"/>
          <w:lang w:val="en-GB"/>
        </w:rPr>
        <w:t>与大综合一体化平台对接</w:t>
      </w:r>
    </w:p>
    <w:p>
      <w:pPr>
        <w:spacing w:line="400" w:lineRule="exact"/>
        <w:ind w:firstLine="420" w:firstLineChars="200"/>
        <w:rPr>
          <w:rFonts w:ascii="宋体" w:hAnsi="宋体" w:cs="宋体"/>
          <w:color w:val="auto"/>
          <w:szCs w:val="21"/>
          <w:highlight w:val="none"/>
          <w:lang w:val="en-GB"/>
        </w:rPr>
      </w:pPr>
      <w:r>
        <w:rPr>
          <w:rFonts w:hint="eastAsia" w:ascii="宋体" w:hAnsi="宋体" w:cs="宋体"/>
          <w:color w:val="auto"/>
          <w:szCs w:val="21"/>
          <w:highlight w:val="none"/>
          <w:lang w:val="en-GB"/>
        </w:rPr>
        <w:t>与大综合一体化平台进行对接，开发事件流转接口，将城运系统中产生的执法类案件可一键派遣至大综合一体化平台。</w:t>
      </w:r>
    </w:p>
    <w:p>
      <w:pPr>
        <w:tabs>
          <w:tab w:val="left" w:pos="360"/>
        </w:tabs>
        <w:spacing w:line="400" w:lineRule="exact"/>
        <w:rPr>
          <w:rFonts w:ascii="宋体" w:hAnsi="宋体" w:cs="宋体"/>
          <w:b/>
          <w:bCs/>
          <w:color w:val="auto"/>
          <w:kern w:val="0"/>
          <w:szCs w:val="21"/>
          <w:highlight w:val="none"/>
          <w:lang w:val="en-GB"/>
        </w:rPr>
      </w:pPr>
      <w:r>
        <w:rPr>
          <w:rFonts w:hint="eastAsia" w:ascii="宋体" w:hAnsi="宋体" w:cs="宋体"/>
          <w:b/>
          <w:bCs/>
          <w:color w:val="auto"/>
          <w:kern w:val="0"/>
          <w:szCs w:val="21"/>
          <w:highlight w:val="none"/>
          <w:lang w:val="en-GB"/>
        </w:rPr>
        <w:t>（</w:t>
      </w: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val="en-GB"/>
        </w:rPr>
        <w:t>）应用支撑建设</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项目将共享使用省级通用组件和市级通用组件，包括可信身份认证（本地化服务）组件、浙江政务服务网法人用户单点登录组件、浙江政务服务网个人用户单点登录组件、浙政钉—组织架构和用户体系组件、浙政钉—消息通知组件等省级通用组件；资规局的GIS地图以及市大数据局“一网通管治理系统”中的体征指标指数模型。同时，为了满足本项目业务应用的实际需要，本项目将建设包括智能语音调度系统、应用维护管理等内容，为本项目各个业务应用提供共性支撑。</w:t>
      </w:r>
    </w:p>
    <w:p>
      <w:pPr>
        <w:tabs>
          <w:tab w:val="left" w:pos="360"/>
        </w:tabs>
        <w:spacing w:line="400" w:lineRule="exact"/>
        <w:rPr>
          <w:rFonts w:ascii="宋体" w:hAnsi="宋体" w:cs="宋体"/>
          <w:b/>
          <w:bCs/>
          <w:color w:val="auto"/>
          <w:kern w:val="0"/>
          <w:szCs w:val="21"/>
          <w:highlight w:val="none"/>
        </w:rPr>
      </w:pPr>
      <w:bookmarkStart w:id="72" w:name="_Toc32580"/>
      <w:r>
        <w:rPr>
          <w:rFonts w:hint="eastAsia" w:ascii="宋体" w:hAnsi="宋体" w:cs="宋体"/>
          <w:b/>
          <w:bCs/>
          <w:color w:val="auto"/>
          <w:kern w:val="0"/>
          <w:szCs w:val="21"/>
          <w:highlight w:val="none"/>
        </w:rPr>
        <w:t>1、智能语音调度系统</w:t>
      </w:r>
      <w:bookmarkEnd w:id="72"/>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智能语音调度系统利用语音识别、语义理解等技术，将语音命令转化为结构化的指令内容，提供语音操控能力，包括智能语音调度软件购置、语音调度命令开发。</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1）语音调度软件购置：包含语音听写、语义解析、语义结构化管理、语音唤醒服务、单轮语音实时调度等功能；</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2）实现项目所需的语音调度命令开发。</w:t>
      </w:r>
    </w:p>
    <w:p>
      <w:pPr>
        <w:tabs>
          <w:tab w:val="left" w:pos="360"/>
        </w:tabs>
        <w:spacing w:line="400" w:lineRule="exact"/>
        <w:rPr>
          <w:rFonts w:ascii="宋体" w:hAnsi="宋体" w:cs="宋体"/>
          <w:b/>
          <w:bCs/>
          <w:color w:val="auto"/>
          <w:kern w:val="0"/>
          <w:szCs w:val="21"/>
          <w:highlight w:val="none"/>
        </w:rPr>
      </w:pPr>
      <w:bookmarkStart w:id="73" w:name="_Toc26863"/>
      <w:r>
        <w:rPr>
          <w:rFonts w:hint="eastAsia" w:ascii="宋体" w:hAnsi="宋体" w:cs="宋体"/>
          <w:b/>
          <w:bCs/>
          <w:color w:val="auto"/>
          <w:kern w:val="0"/>
          <w:szCs w:val="21"/>
          <w:highlight w:val="none"/>
        </w:rPr>
        <w:t>2、应用维护管理</w:t>
      </w:r>
      <w:bookmarkEnd w:id="73"/>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对原智慧城管平台的应用维护管理进行迭代升级，主要包括事件任务配置管理、流程配置、移动端设置、网格设置、布局设置、系统配置、系统管理等模块。</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3、数据资源层建设</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数据接入、数据处理以及城运数据库的建设，实现对各行业业务、横向部门、感知、设施部件等数据的归集和处理，为宁波市城市运行管理服务系统提供数据服务支撑，并对外提供数据共享交换、数据应用服务。包括</w:t>
      </w:r>
      <w:r>
        <w:rPr>
          <w:rFonts w:hint="eastAsia" w:ascii="宋体" w:hAnsi="宋体" w:cs="宋体"/>
          <w:b/>
          <w:bCs/>
          <w:color w:val="auto"/>
          <w:szCs w:val="21"/>
          <w:highlight w:val="none"/>
        </w:rPr>
        <w:t>数据汇聚处理、城运数据设计、数据安全管理</w:t>
      </w:r>
      <w:r>
        <w:rPr>
          <w:rFonts w:hint="eastAsia" w:ascii="宋体" w:hAnsi="宋体" w:cs="宋体"/>
          <w:color w:val="auto"/>
          <w:szCs w:val="21"/>
          <w:highlight w:val="none"/>
        </w:rPr>
        <w:t>建设内容。</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3.1数据汇聚处理</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1）数据资源编目</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城市运行管理服务平台数据标准》（CJ/T545-2021）的要求，依托宁波市一体化智能化公共数据平台的数据资源编目工具（包括信息资源编目、目录注册和目录发布等功能），在原精细化管理协同应用数据资源目录的基础上，对本次项目新采集或产生的数据进行目录清单的新增调整。</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2）数据归集</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本次项目通过宁波市一体化智能化公共数据平台和浙江省一体化数字资源系统（IRS）共享归集包括运行监测数据、地理信息数据、城市运行管理事件数据以及前端物联网设备数据的采集接入。</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3）数据处理</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数据处理工作基于宁波市一体化智能化公共数据平台的数据治理平台进行数据处理。本项目根据指挥协调、运行监管、行业应用等相关业务应用，结合本项目数据规范标准，对接入的数据资源进行处理，主要包括数据清洗、数据去重、数据补全、数据转换、数据关联、数据比对等环节。</w:t>
      </w:r>
    </w:p>
    <w:p>
      <w:pPr>
        <w:tabs>
          <w:tab w:val="left" w:pos="360"/>
        </w:tabs>
        <w:spacing w:line="400" w:lineRule="exact"/>
        <w:rPr>
          <w:rFonts w:ascii="宋体" w:hAnsi="宋体" w:cs="宋体"/>
          <w:b/>
          <w:bCs/>
          <w:color w:val="auto"/>
          <w:kern w:val="0"/>
          <w:szCs w:val="21"/>
          <w:highlight w:val="none"/>
        </w:rPr>
      </w:pPr>
      <w:bookmarkStart w:id="74" w:name="_Toc6458"/>
      <w:r>
        <w:rPr>
          <w:rFonts w:hint="eastAsia" w:ascii="宋体" w:hAnsi="宋体" w:cs="宋体"/>
          <w:b/>
          <w:bCs/>
          <w:color w:val="auto"/>
          <w:kern w:val="0"/>
          <w:szCs w:val="21"/>
          <w:highlight w:val="none"/>
        </w:rPr>
        <w:t>3.2城运数据库设计</w:t>
      </w:r>
      <w:bookmarkEnd w:id="74"/>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本次项目在已建设的城管数据库基础上，进一步对本次项目新建的业务应用的数据库进行设计，主要包括基础库、业务库、主题库、共享交换库等。</w:t>
      </w:r>
    </w:p>
    <w:p>
      <w:pPr>
        <w:tabs>
          <w:tab w:val="left" w:pos="360"/>
        </w:tabs>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3.3数据安全管理</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针对本项目涉及的数据进行安全管理，项目建设过程中需包括但不限于数据操作管理、高危操作管控、敏感数据动态隐藏、数据脱敏、数据加密、数据流动风险监测、数据流动工单授权等等。</w:t>
      </w:r>
    </w:p>
    <w:p>
      <w:pPr>
        <w:tabs>
          <w:tab w:val="left" w:pos="360"/>
        </w:tabs>
        <w:spacing w:line="40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（三）国产化软件购置</w:t>
      </w:r>
    </w:p>
    <w:p>
      <w:pPr>
        <w:tabs>
          <w:tab w:val="left" w:pos="360"/>
        </w:tabs>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本次</w:t>
      </w:r>
      <w:r>
        <w:rPr>
          <w:rFonts w:hint="eastAsia" w:ascii="宋体" w:hAnsi="宋体"/>
          <w:color w:val="auto"/>
          <w:szCs w:val="21"/>
          <w:highlight w:val="none"/>
        </w:rPr>
        <w:t>采购国产化软件主要包括</w:t>
      </w:r>
      <w:r>
        <w:rPr>
          <w:rFonts w:ascii="宋体" w:hAnsi="宋体"/>
          <w:color w:val="auto"/>
          <w:szCs w:val="21"/>
          <w:highlight w:val="none"/>
        </w:rPr>
        <w:t>5套国产化数据库软件、20套国产化操作系统软件、</w:t>
      </w:r>
      <w:r>
        <w:rPr>
          <w:rFonts w:hint="eastAsia" w:ascii="宋体" w:hAnsi="宋体"/>
          <w:color w:val="auto"/>
          <w:szCs w:val="21"/>
          <w:highlight w:val="none"/>
        </w:rPr>
        <w:t>2</w:t>
      </w:r>
      <w:r>
        <w:rPr>
          <w:rFonts w:ascii="宋体" w:hAnsi="宋体"/>
          <w:color w:val="auto"/>
          <w:szCs w:val="21"/>
          <w:highlight w:val="none"/>
        </w:rPr>
        <w:t>套国产化中间件。</w:t>
      </w:r>
    </w:p>
    <w:p>
      <w:pPr>
        <w:tabs>
          <w:tab w:val="left" w:pos="360"/>
        </w:tabs>
        <w:spacing w:line="400" w:lineRule="exact"/>
        <w:ind w:firstLine="420" w:firstLineChars="200"/>
        <w:rPr>
          <w:color w:val="auto"/>
          <w:highlight w:val="none"/>
        </w:rPr>
      </w:pPr>
      <w:r>
        <w:rPr>
          <w:rFonts w:hint="eastAsia"/>
          <w:color w:val="auto"/>
          <w:highlight w:val="none"/>
        </w:rPr>
        <w:t>服务器操作系统，应具备文件管理、设备管理、用户管理、日志管理、服务管理、进程和监控管理、网络管理、资源管理、软件包管理、磁盘管理、安全中心等基本功能，提供语言支持工具、文件共享服务、集成开发平台、系统更新、备份还原等服务器常用工具和集成开发环境，兼容主流服务器、外设和数据、中间件、虚拟化和容器技术、云计算和大数据平台。</w:t>
      </w:r>
    </w:p>
    <w:p>
      <w:pPr>
        <w:tabs>
          <w:tab w:val="left" w:pos="360"/>
        </w:tabs>
        <w:spacing w:line="400" w:lineRule="exact"/>
        <w:ind w:firstLine="420" w:firstLineChars="200"/>
        <w:rPr>
          <w:color w:val="auto"/>
          <w:highlight w:val="none"/>
        </w:rPr>
      </w:pPr>
      <w:r>
        <w:rPr>
          <w:rFonts w:hint="eastAsia" w:ascii="宋体" w:hAnsi="宋体" w:cs="宋体"/>
          <w:color w:val="auto"/>
          <w:szCs w:val="21"/>
          <w:highlight w:val="none"/>
        </w:rPr>
        <w:t>数据库管理系统</w:t>
      </w:r>
      <w:r>
        <w:rPr>
          <w:rFonts w:hint="eastAsia"/>
          <w:color w:val="auto"/>
          <w:highlight w:val="none"/>
        </w:rPr>
        <w:t>，应具备数据存储、访问控制、身份鉴别、安全审计和数据备份恢复等功能。</w:t>
      </w:r>
    </w:p>
    <w:p>
      <w:pPr>
        <w:tabs>
          <w:tab w:val="left" w:pos="360"/>
        </w:tabs>
        <w:spacing w:line="400" w:lineRule="exact"/>
        <w:ind w:firstLine="420" w:firstLineChars="200"/>
        <w:rPr>
          <w:color w:val="auto"/>
          <w:highlight w:val="none"/>
        </w:rPr>
      </w:pPr>
      <w:r>
        <w:rPr>
          <w:rFonts w:hint="eastAsia"/>
          <w:color w:val="auto"/>
          <w:highlight w:val="none"/>
        </w:rPr>
        <w:t>应用中间件用于为上层应用提供运行环境，实现对上层应用的部署和动态管理。应用中间件部署在服务器，以后台服务形式运行，用户通过管理控制台或者</w:t>
      </w:r>
      <w:r>
        <w:rPr>
          <w:rFonts w:hint="eastAsia" w:ascii="宋体" w:hAnsi="宋体" w:cs="宋体"/>
          <w:color w:val="auto"/>
          <w:szCs w:val="21"/>
          <w:highlight w:val="none"/>
        </w:rPr>
        <w:t>命令行</w:t>
      </w:r>
      <w:r>
        <w:rPr>
          <w:rFonts w:hint="eastAsia"/>
          <w:color w:val="auto"/>
          <w:highlight w:val="none"/>
        </w:rPr>
        <w:t>工具完成上层应用的部署、启动、停止等操作。</w:t>
      </w:r>
    </w:p>
    <w:p>
      <w:pPr>
        <w:pStyle w:val="2"/>
        <w:spacing w:before="0" w:after="0"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四、系统安全建设要求</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结合本项目的实际应用情况，进一步加强网络安全保护建设，从物理、网络、数据、应用和管理等方面保证业务应用的安全、高效、可靠运行，为不同部门和用户的业务数据采集、传输、使用、交换、存储等提供全生命周期的数据安全防护服务，形成有效的安全保护能力、隐患发现能力、应急反应能力和系统恢复能力，避免和减少数据安全事件造成的损失。</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安全保障的对象包括项目建设的所有业务应用，包括指挥协调应用、行业业务应用（园林绿地管理、智慧隧道（天桥、地道）管理、道路清扫保洁管理）、运行监管应用、综合评价应用、决策分析应用、城事一键通应用等。</w:t>
      </w:r>
    </w:p>
    <w:p>
      <w:pPr>
        <w:tabs>
          <w:tab w:val="left" w:pos="360"/>
        </w:tabs>
        <w:spacing w:line="400" w:lineRule="exact"/>
        <w:ind w:firstLine="420" w:firstLineChars="200"/>
        <w:rPr>
          <w:rFonts w:hAnsi="宋体" w:cs="宋体"/>
          <w:color w:val="auto"/>
          <w:szCs w:val="21"/>
          <w:highlight w:val="none"/>
        </w:rPr>
      </w:pPr>
      <w:r>
        <w:rPr>
          <w:rFonts w:hint="eastAsia" w:ascii="宋体" w:hAnsi="宋体" w:cs="宋体"/>
          <w:color w:val="auto"/>
          <w:szCs w:val="21"/>
          <w:highlight w:val="none"/>
        </w:rPr>
        <w:t>本系统安全要求达到等保2.0的二级，测评相关费用不在此项目内。</w:t>
      </w:r>
    </w:p>
    <w:p>
      <w:pPr>
        <w:pStyle w:val="34"/>
        <w:rPr>
          <w:color w:val="auto"/>
          <w:highlight w:val="none"/>
        </w:rPr>
      </w:pPr>
    </w:p>
    <w:p>
      <w:pPr>
        <w:pStyle w:val="2"/>
        <w:spacing w:before="0" w:after="0"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五、人员要求</w:t>
      </w:r>
    </w:p>
    <w:p>
      <w:pPr>
        <w:tabs>
          <w:tab w:val="left" w:pos="360"/>
        </w:tabs>
        <w:spacing w:line="400" w:lineRule="exact"/>
        <w:ind w:firstLine="420" w:firstLineChars="200"/>
        <w:rPr>
          <w:rFonts w:hAnsi="宋体" w:cs="宋体"/>
          <w:color w:val="auto"/>
          <w:szCs w:val="21"/>
          <w:highlight w:val="none"/>
        </w:rPr>
      </w:pPr>
      <w:r>
        <w:rPr>
          <w:rFonts w:hint="eastAsia" w:ascii="宋体" w:hAnsi="宋体" w:cs="宋体"/>
          <w:color w:val="auto"/>
          <w:szCs w:val="21"/>
          <w:highlight w:val="none"/>
        </w:rPr>
        <w:t>按照项目实施的要求，必须配置相应的项目管理、系统架构设计、开发测试、系统集成、质量管控等人员，在项目组织中应明确各岗位的职责，确保工程顺利实施。</w:t>
      </w:r>
    </w:p>
    <w:p>
      <w:pPr>
        <w:pStyle w:val="34"/>
        <w:rPr>
          <w:color w:val="auto"/>
          <w:highlight w:val="none"/>
        </w:rPr>
      </w:pPr>
    </w:p>
    <w:p>
      <w:pPr>
        <w:pStyle w:val="2"/>
        <w:spacing w:before="0" w:after="0"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六、项目验收</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系统验收合格的条件必须至少满足以下三个要求：试运行时性能满足合同要求，</w:t>
      </w:r>
      <w:bookmarkStart w:id="75" w:name="_Hlk119488743"/>
      <w:r>
        <w:rPr>
          <w:rFonts w:hint="eastAsia" w:ascii="宋体" w:hAnsi="宋体" w:cs="宋体"/>
          <w:color w:val="auto"/>
          <w:szCs w:val="21"/>
          <w:highlight w:val="none"/>
        </w:rPr>
        <w:t>硬件系统试运行至少1个月，软件系统试运行至少3个月</w:t>
      </w:r>
      <w:bookmarkEnd w:id="75"/>
      <w:r>
        <w:rPr>
          <w:rFonts w:hint="eastAsia" w:ascii="宋体" w:hAnsi="宋体" w:cs="宋体"/>
          <w:color w:val="auto"/>
          <w:szCs w:val="21"/>
          <w:highlight w:val="none"/>
        </w:rPr>
        <w:t>；性能测试和试运行验收时出现的问题已被解决；已提供了合同的全部货物和资料。</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1.交付成果要求</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成交供应商在工程实施开始和结束时应向用户提供下述技术文档：</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代码：所有定制化开发软件的源代码、开发环境和可执行文件。</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技术文件: 设备和软件安装、运行、使用、测试、诊断和维修的技术文件。</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安装部署计划：成交供应商应提供一个配制计划，包括配置清单，以及所提供软件、设备的安装指南。</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测试文档：成交供应商应提供针对该项目特点的测试方案，并提供相应的测试文档。</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验收文档：验收时收集各项验收数据，汇总成册，并对所集成系统进行综合评估。</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2.验收要求</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系统在达到了全部规定要求，供应商在提交合同的全部货物，以及相关文档、报告、代码等前提下，可以向采购方提出系统验收的申请。用户按照验收标准组织验收。验收内容和标准包括：</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（1）系统业务功能验收</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验收依据包括《需求规格说明书》（以双方签字为准）、双方签订的合同、建设过程中双方签订的工作备忘记录；确认系统实现的业务功能完备、正确、满足用户的需求。</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（2）系统性能验收</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以供需双方确认的《非功能需求规格说明书》所定义的性能要求为依据；确认系统的性能满足《非功能需求规格说明书》的要求。</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（3）数据验收</w:t>
      </w:r>
    </w:p>
    <w:p>
      <w:pPr>
        <w:tabs>
          <w:tab w:val="left" w:pos="360"/>
        </w:tabs>
        <w:spacing w:line="400" w:lineRule="exact"/>
        <w:ind w:firstLine="420" w:firstLineChars="200"/>
        <w:rPr>
          <w:rFonts w:hAnsi="宋体" w:cs="宋体"/>
          <w:color w:val="auto"/>
          <w:szCs w:val="21"/>
          <w:highlight w:val="none"/>
        </w:rPr>
      </w:pPr>
      <w:r>
        <w:rPr>
          <w:rFonts w:hint="eastAsia" w:ascii="宋体" w:hAnsi="宋体" w:cs="宋体"/>
          <w:color w:val="auto"/>
          <w:szCs w:val="21"/>
          <w:highlight w:val="none"/>
        </w:rPr>
        <w:t>保证数据由原系统移植到新系统的正确无误；保证系统本身不产生新的错误数据。</w:t>
      </w:r>
    </w:p>
    <w:p>
      <w:pPr>
        <w:pStyle w:val="34"/>
        <w:rPr>
          <w:color w:val="auto"/>
          <w:highlight w:val="none"/>
        </w:rPr>
      </w:pPr>
    </w:p>
    <w:p>
      <w:pPr>
        <w:pStyle w:val="2"/>
        <w:spacing w:before="0" w:after="0"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七、售后服务</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本次采购的设备指标中的售后服务及其他服务要求提供原厂商免费设备维保和现场售后维护服务、以及相关系统软件的免费软件升级服务，提供售后维护专用邮箱。维保和售后维护服务时间从验收合格之日起计算一年。</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方运维机构负责解决用户在使用中所出现的一系列问题，提供操作及维护培训，提供7×24技术支持服务；项目投入使用后，在项目建设单位提出对项目进行升档或扩充要求后，有偿提供最新开发的系统软件，免费为用户制定升级方案，免费为用户作项目介绍，解答用户关心的项目方面的问题。对于用户的重要问题，设置重要大问题专家组，以帮助项目建设单位解决工作过程出现的重大疑难问题</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针对主要设备，投标人需在投标书中明确承诺，由原厂商提供安装、调试、维修与备品备件服务。</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在免费维保期内，由于设备本身质量原因造成的任何损伤或损坏，投标人须免费负责修理或更换。</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在出现硬件损坏时，备品、备件应在12小时之内到达，更换设备的时间最长一般不超过一天，特殊情况不超过三天，并需要提供确保承诺实现的措施。</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接到报修通知后，投标人应在半小时内响应，如果是与核心业务系统相关的故障，投标人应在15分钟内响应。对于影响系统正常运行的严重故障（包括由系统软硬件等原因引起的），投标人工程师及其它相关技术人员必须在2小时内赶到现场，查找原因，提出解决方案，并工作直至故障修复完毕，完全恢复正常服务为止，一般要求保证系统在24小时之内修复，并需要提供确保承诺实现的措施。</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投标人应在免费维保期内每半年进行一次例行产品巡检。在重大节日、活动等特殊时期根据招标人要求增加巡检次数，每次巡检须提供相应的巡检报告。</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维保期结束前，须由投标人工程师和招标人代表进行一次全面检查，任何缺陷必须由投标人负责修理，在修理之后，投标人应将缺陷原因、修理内容、完成修理及恢复正常的时间和日期等报告给招标人。报告一式两份。</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投标人应提供电话咨询服务。</w:t>
      </w:r>
    </w:p>
    <w:p>
      <w:pPr>
        <w:pStyle w:val="34"/>
        <w:rPr>
          <w:color w:val="auto"/>
          <w:highlight w:val="none"/>
        </w:rPr>
      </w:pPr>
    </w:p>
    <w:p>
      <w:pPr>
        <w:pStyle w:val="2"/>
        <w:spacing w:before="0" w:after="0"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八、项目培训</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1、培训对象</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本项目系统培训人员包括但不限于信息化部门的技术人员、使用本系统的相关业务部门人员等。</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2、培训内容</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培训的内容主要包括系统日常维护培训和系统使用培训。</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系统日常维护培训主要包括应用系统的使用、技术架构、常见故障排除；各项管理维护工具的运用，信息安全培训，数据库等支持软件平台的运行维护知识等内容；</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系统使用培训涉及的部门、人员较多，使其快速掌握系统的基本功能与使用方法，并向他们提供培训教材，帮助他们在日常操作中进行自主学习，加强对系统的熟悉程度。</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3、培训方式</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培训形式可分为现场操作培训、集中培训两种。</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（1）现场培训</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项目实施过程中，由技术工程师为本项目的相关人员提供应用系统的知识、技术、操作及维护的现场指导培训。这部分培训主要包括项目中所采用技术的讲解，产品安装、配置操作与维护的培训。培训采用手把手的培训形式，培训的时间和内容将根据项目的实际实施进度，在相关过程中传授相应的知识。</w:t>
      </w:r>
    </w:p>
    <w:p>
      <w:pPr>
        <w:tabs>
          <w:tab w:val="left" w:pos="36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（2）集中培训</w:t>
      </w:r>
    </w:p>
    <w:p>
      <w:pPr>
        <w:tabs>
          <w:tab w:val="left" w:pos="360"/>
        </w:tabs>
        <w:spacing w:line="400" w:lineRule="exact"/>
        <w:ind w:firstLine="420" w:firstLineChars="200"/>
        <w:rPr>
          <w:rFonts w:hAnsi="宋体" w:cs="宋体"/>
          <w:color w:val="auto"/>
          <w:szCs w:val="21"/>
          <w:highlight w:val="none"/>
        </w:rPr>
      </w:pPr>
      <w:r>
        <w:rPr>
          <w:rFonts w:hint="eastAsia" w:ascii="宋体" w:hAnsi="宋体" w:cs="宋体"/>
          <w:color w:val="auto"/>
          <w:szCs w:val="21"/>
          <w:highlight w:val="none"/>
        </w:rPr>
        <w:t>培训对象都可以参加各种培训内容的集中培训，具体包括技术架构培训、业务设计培训、应用软件操作和使用培训等等。这类培训将在应用软件实施及调试阶段进行，采取分批集中培训的方式进行，培训阶段与项目实施紧密同步。</w:t>
      </w:r>
    </w:p>
    <w:p>
      <w:pPr>
        <w:rPr>
          <w:rFonts w:ascii="宋体" w:hAnsi="宋体" w:cs="宋体"/>
          <w:color w:val="auto"/>
          <w:szCs w:val="21"/>
          <w:highlight w:val="none"/>
        </w:rPr>
        <w:sectPr>
          <w:headerReference r:id="rId5" w:type="default"/>
          <w:footerReference r:id="rId6" w:type="default"/>
          <w:pgSz w:w="11907" w:h="16840"/>
          <w:pgMar w:top="1361" w:right="1474" w:bottom="1242" w:left="1474" w:header="720" w:footer="720" w:gutter="0"/>
          <w:cols w:space="720" w:num="1"/>
          <w:docGrid w:linePitch="285" w:charSpace="0"/>
        </w:sectPr>
      </w:pPr>
    </w:p>
    <w:p>
      <w:pPr>
        <w:pStyle w:val="2"/>
        <w:spacing w:before="0" w:after="0" w:line="360" w:lineRule="auto"/>
        <w:ind w:firstLine="602" w:firstLineChars="200"/>
        <w:jc w:val="center"/>
        <w:rPr>
          <w:rFonts w:ascii="宋体" w:hAnsi="宋体" w:cs="宋体"/>
          <w:b w:val="0"/>
          <w:bCs w:val="0"/>
          <w:color w:val="auto"/>
          <w:sz w:val="28"/>
          <w:highlight w:val="none"/>
        </w:rPr>
      </w:pPr>
      <w:r>
        <w:rPr>
          <w:rFonts w:hint="eastAsia" w:ascii="宋体" w:hAnsi="宋体" w:cs="宋体"/>
          <w:color w:val="auto"/>
          <w:sz w:val="30"/>
          <w:highlight w:val="none"/>
        </w:rPr>
        <w:t>第三章  投标人须知</w:t>
      </w:r>
      <w:bookmarkEnd w:id="20"/>
      <w:bookmarkEnd w:id="21"/>
      <w:bookmarkEnd w:id="22"/>
    </w:p>
    <w:p>
      <w:pPr>
        <w:pStyle w:val="2"/>
        <w:spacing w:before="0" w:after="0" w:line="360" w:lineRule="auto"/>
        <w:jc w:val="center"/>
        <w:rPr>
          <w:rFonts w:ascii="宋体" w:hAnsi="宋体" w:cs="宋体"/>
          <w:color w:val="auto"/>
          <w:sz w:val="21"/>
          <w:szCs w:val="21"/>
          <w:highlight w:val="none"/>
        </w:rPr>
      </w:pPr>
      <w:bookmarkStart w:id="76" w:name="_Toc460416644"/>
      <w:bookmarkStart w:id="77" w:name="_Toc460416595"/>
      <w:bookmarkStart w:id="78" w:name="_Toc3168"/>
      <w:bookmarkStart w:id="79" w:name="_Toc460857896"/>
      <w:bookmarkStart w:id="80" w:name="_Toc460416339"/>
      <w:r>
        <w:rPr>
          <w:rFonts w:hint="eastAsia" w:ascii="宋体" w:hAnsi="宋体" w:cs="宋体"/>
          <w:color w:val="auto"/>
          <w:sz w:val="21"/>
          <w:szCs w:val="21"/>
          <w:highlight w:val="none"/>
        </w:rPr>
        <w:t>前附表</w:t>
      </w:r>
      <w:bookmarkEnd w:id="76"/>
      <w:bookmarkEnd w:id="77"/>
      <w:bookmarkEnd w:id="78"/>
      <w:bookmarkEnd w:id="79"/>
      <w:bookmarkEnd w:id="80"/>
    </w:p>
    <w:tbl>
      <w:tblPr>
        <w:tblStyle w:val="35"/>
        <w:tblW w:w="89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2"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819"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81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项目名称：宁波市城市治理“一网通管”平台—城市运行管理服务系统项目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81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采购数量及单位：1项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819"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投标报价及费用：</w:t>
            </w:r>
          </w:p>
          <w:p>
            <w:pPr>
              <w:spacing w:line="400" w:lineRule="exact"/>
              <w:rPr>
                <w:rFonts w:ascii="宋体" w:hAnsi="宋体" w:cs="宋体" w:eastAsiaTheme="minorEastAsia"/>
                <w:color w:val="auto"/>
                <w:highlight w:val="none"/>
              </w:rPr>
            </w:pPr>
            <w:r>
              <w:rPr>
                <w:rFonts w:hint="eastAsia" w:ascii="宋体" w:hAnsi="宋体" w:cs="宋体"/>
                <w:color w:val="auto"/>
                <w:highlight w:val="none"/>
              </w:rPr>
              <w:t>1、本项目投标应以人民币报价；</w:t>
            </w:r>
            <w:r>
              <w:rPr>
                <w:rFonts w:hint="eastAsia" w:asciiTheme="minorEastAsia" w:hAnsiTheme="minorEastAsia" w:eastAsiaTheme="minorEastAsia"/>
                <w:color w:val="auto"/>
                <w:szCs w:val="21"/>
                <w:highlight w:val="none"/>
              </w:rPr>
              <w:t>投标报价应包含所有软硬件设备、服务、培训、相关手册、配件、接口、线缆和介质等费用。如有软件、配件、线缆、附件等遗漏，影响系统安装和运行，由投标人承担并负责解决。</w:t>
            </w:r>
          </w:p>
          <w:p>
            <w:pPr>
              <w:spacing w:line="400" w:lineRule="exact"/>
              <w:rPr>
                <w:rFonts w:ascii="宋体" w:hAnsi="宋体" w:cs="宋体"/>
                <w:color w:val="auto"/>
                <w:highlight w:val="none"/>
              </w:rPr>
            </w:pPr>
            <w:r>
              <w:rPr>
                <w:rFonts w:hint="eastAsia" w:ascii="宋体" w:hAnsi="宋体" w:cs="宋体"/>
                <w:color w:val="auto"/>
                <w:highlight w:val="none"/>
              </w:rPr>
              <w:t>2、不论投标结果如何，投标人均应自行承担所有与投标有关的费用。</w:t>
            </w:r>
          </w:p>
          <w:p>
            <w:pPr>
              <w:spacing w:line="400" w:lineRule="exact"/>
              <w:rPr>
                <w:rFonts w:ascii="宋体" w:hAnsi="宋体" w:cs="宋体"/>
                <w:color w:val="auto"/>
                <w:highlight w:val="none"/>
              </w:rPr>
            </w:pPr>
            <w:r>
              <w:rPr>
                <w:rFonts w:hint="eastAsia" w:ascii="宋体" w:hAnsi="宋体" w:cs="宋体"/>
                <w:color w:val="auto"/>
                <w:highlight w:val="none"/>
              </w:rPr>
              <w:t>3、合同履行期间，中标单位的投标报价不因市场因素、政策因素和覆盖面积的变动而调整。</w:t>
            </w:r>
          </w:p>
          <w:p>
            <w:pPr>
              <w:spacing w:line="400" w:lineRule="exact"/>
              <w:rPr>
                <w:rFonts w:ascii="宋体" w:hAnsi="宋体" w:cs="宋体"/>
                <w:color w:val="auto"/>
                <w:highlight w:val="none"/>
              </w:rPr>
            </w:pPr>
            <w:r>
              <w:rPr>
                <w:rFonts w:hint="eastAsia" w:ascii="宋体" w:hAnsi="宋体" w:cs="宋体"/>
                <w:color w:val="auto"/>
                <w:highlight w:val="none"/>
              </w:rPr>
              <w:t>4、本项目预算金额/最高限价：17100000元。投标报价超过预算金额/最高限价的作无效标处理。</w:t>
            </w:r>
          </w:p>
          <w:p>
            <w:pPr>
              <w:spacing w:line="400" w:lineRule="exact"/>
              <w:rPr>
                <w:rFonts w:ascii="宋体" w:hAnsi="宋体" w:cs="宋体"/>
                <w:color w:val="auto"/>
                <w:highlight w:val="none"/>
              </w:rPr>
            </w:pPr>
            <w:r>
              <w:rPr>
                <w:rFonts w:hint="eastAsia" w:ascii="宋体" w:hAnsi="宋体" w:cs="宋体"/>
                <w:color w:val="auto"/>
                <w:highlight w:val="none"/>
              </w:rPr>
              <w:t>5、招标代理服务费的收取标准：</w:t>
            </w:r>
          </w:p>
          <w:p>
            <w:pPr>
              <w:spacing w:line="400" w:lineRule="exact"/>
              <w:rPr>
                <w:rFonts w:ascii="宋体" w:hAnsi="宋体" w:cs="宋体"/>
                <w:color w:val="auto"/>
                <w:highlight w:val="none"/>
              </w:rPr>
            </w:pPr>
            <w:r>
              <w:rPr>
                <w:rFonts w:hint="eastAsia" w:ascii="宋体" w:hAnsi="宋体" w:cs="宋体"/>
                <w:color w:val="auto"/>
                <w:highlight w:val="none"/>
              </w:rPr>
              <w:t>（1）按照本项目的预算金额（按差额定率累进法计算）下浮20%，按照服务招标的标准，向中标人收取招标代理服务费。</w:t>
            </w:r>
          </w:p>
          <w:tbl>
            <w:tblPr>
              <w:tblStyle w:val="35"/>
              <w:tblW w:w="6718" w:type="dxa"/>
              <w:jc w:val="center"/>
              <w:tblLayout w:type="fixed"/>
              <w:tblCellMar>
                <w:top w:w="15" w:type="dxa"/>
                <w:left w:w="15" w:type="dxa"/>
                <w:bottom w:w="15" w:type="dxa"/>
                <w:right w:w="15" w:type="dxa"/>
              </w:tblCellMar>
            </w:tblPr>
            <w:tblGrid>
              <w:gridCol w:w="2345"/>
              <w:gridCol w:w="1457"/>
              <w:gridCol w:w="1457"/>
              <w:gridCol w:w="1459"/>
            </w:tblGrid>
            <w:tr>
              <w:tblPrEx>
                <w:tblCellMar>
                  <w:top w:w="15" w:type="dxa"/>
                  <w:left w:w="15" w:type="dxa"/>
                  <w:bottom w:w="15" w:type="dxa"/>
                  <w:right w:w="15" w:type="dxa"/>
                </w:tblCellMar>
              </w:tblPrEx>
              <w:trPr>
                <w:trHeight w:val="749" w:hRule="atLeast"/>
                <w:jc w:val="center"/>
              </w:trPr>
              <w:tc>
                <w:tcPr>
                  <w:tcW w:w="2345"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widowControl/>
                    <w:spacing w:line="288" w:lineRule="auto"/>
                    <w:jc w:val="right"/>
                    <w:rPr>
                      <w:rFonts w:ascii="宋体" w:hAnsi="宋体" w:cs="宋体"/>
                      <w:color w:val="auto"/>
                      <w:highlight w:val="none"/>
                    </w:rPr>
                  </w:pPr>
                  <w:r>
                    <w:rPr>
                      <w:rFonts w:hint="eastAsia" w:ascii="宋体" w:hAnsi="宋体" w:cs="宋体"/>
                      <w:color w:val="auto"/>
                      <w:highlight w:val="none"/>
                    </w:rPr>
                    <w:t xml:space="preserve">  服费类型</w:t>
                  </w:r>
                </w:p>
                <w:p>
                  <w:pPr>
                    <w:widowControl/>
                    <w:spacing w:line="288" w:lineRule="auto"/>
                    <w:jc w:val="left"/>
                    <w:rPr>
                      <w:rFonts w:ascii="宋体" w:hAnsi="宋体" w:cs="宋体"/>
                      <w:color w:val="auto"/>
                      <w:highlight w:val="none"/>
                    </w:rPr>
                  </w:pPr>
                  <w:r>
                    <w:rPr>
                      <w:rFonts w:hint="eastAsia" w:ascii="宋体" w:hAnsi="宋体" w:cs="宋体"/>
                      <w:color w:val="auto"/>
                      <w:highlight w:val="none"/>
                    </w:rPr>
                    <w:t>金额（万元）</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货物招标</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服务招标</w:t>
                  </w:r>
                </w:p>
              </w:tc>
              <w:tc>
                <w:tcPr>
                  <w:tcW w:w="14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工程招标</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100以下</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1.5%</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1.5%</w:t>
                  </w:r>
                </w:p>
              </w:tc>
              <w:tc>
                <w:tcPr>
                  <w:tcW w:w="14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1.0%</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100-500</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1.1%</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0.8%</w:t>
                  </w:r>
                </w:p>
              </w:tc>
              <w:tc>
                <w:tcPr>
                  <w:tcW w:w="14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0.7%</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500-1000</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0.8%</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0.45%</w:t>
                  </w:r>
                </w:p>
              </w:tc>
              <w:tc>
                <w:tcPr>
                  <w:tcW w:w="14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0.55%</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1000-5000</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0.5%</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0.25%</w:t>
                  </w:r>
                </w:p>
              </w:tc>
              <w:tc>
                <w:tcPr>
                  <w:tcW w:w="14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0.35%</w:t>
                  </w:r>
                </w:p>
              </w:tc>
            </w:tr>
            <w:tr>
              <w:tblPrEx>
                <w:tblCellMar>
                  <w:top w:w="15" w:type="dxa"/>
                  <w:left w:w="15" w:type="dxa"/>
                  <w:bottom w:w="15" w:type="dxa"/>
                  <w:right w:w="15" w:type="dxa"/>
                </w:tblCellMar>
              </w:tblPrEx>
              <w:trPr>
                <w:trHeight w:val="409" w:hRule="atLeast"/>
                <w:jc w:val="center"/>
              </w:trPr>
              <w:tc>
                <w:tcPr>
                  <w:tcW w:w="234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5000-10000</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0.25%</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0.1%</w:t>
                  </w:r>
                </w:p>
              </w:tc>
              <w:tc>
                <w:tcPr>
                  <w:tcW w:w="14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0.2%</w:t>
                  </w:r>
                </w:p>
              </w:tc>
            </w:tr>
            <w:tr>
              <w:tblPrEx>
                <w:tblCellMar>
                  <w:top w:w="15" w:type="dxa"/>
                  <w:left w:w="15" w:type="dxa"/>
                  <w:bottom w:w="15" w:type="dxa"/>
                  <w:right w:w="15" w:type="dxa"/>
                </w:tblCellMar>
              </w:tblPrEx>
              <w:trPr>
                <w:trHeight w:val="418" w:hRule="atLeast"/>
                <w:jc w:val="center"/>
              </w:trPr>
              <w:tc>
                <w:tcPr>
                  <w:tcW w:w="234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1亿～5亿</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0.05%</w:t>
                  </w:r>
                </w:p>
              </w:tc>
              <w:tc>
                <w:tcPr>
                  <w:tcW w:w="145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0.05%</w:t>
                  </w:r>
                </w:p>
              </w:tc>
              <w:tc>
                <w:tcPr>
                  <w:tcW w:w="145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widowControl/>
                    <w:spacing w:line="288" w:lineRule="auto"/>
                    <w:jc w:val="left"/>
                    <w:rPr>
                      <w:rFonts w:ascii="宋体" w:hAnsi="宋体" w:cs="宋体"/>
                      <w:color w:val="auto"/>
                      <w:highlight w:val="none"/>
                    </w:rPr>
                  </w:pPr>
                  <w:r>
                    <w:rPr>
                      <w:rFonts w:hint="eastAsia" w:ascii="宋体" w:hAnsi="宋体" w:cs="宋体"/>
                      <w:color w:val="auto"/>
                      <w:highlight w:val="none"/>
                    </w:rPr>
                    <w:t>0.05%</w:t>
                  </w:r>
                </w:p>
              </w:tc>
            </w:tr>
          </w:tbl>
          <w:p>
            <w:pPr>
              <w:numPr>
                <w:ilvl w:val="0"/>
                <w:numId w:val="6"/>
              </w:numPr>
              <w:spacing w:line="400" w:lineRule="exact"/>
              <w:rPr>
                <w:rFonts w:ascii="宋体" w:hAnsi="宋体" w:cs="宋体"/>
                <w:color w:val="auto"/>
                <w:highlight w:val="none"/>
              </w:rPr>
            </w:pPr>
            <w:r>
              <w:rPr>
                <w:rFonts w:hint="eastAsia" w:ascii="宋体" w:hAnsi="宋体" w:cs="宋体"/>
                <w:color w:val="auto"/>
                <w:highlight w:val="none"/>
              </w:rPr>
              <w:t>本项目评标专家费由招标人支付。</w:t>
            </w:r>
          </w:p>
          <w:p>
            <w:pPr>
              <w:numPr>
                <w:ilvl w:val="0"/>
                <w:numId w:val="6"/>
              </w:numPr>
              <w:spacing w:line="400" w:lineRule="exact"/>
              <w:rPr>
                <w:rFonts w:ascii="宋体" w:hAnsi="宋体" w:cs="宋体"/>
                <w:color w:val="auto"/>
                <w:highlight w:val="none"/>
              </w:rPr>
            </w:pPr>
            <w:r>
              <w:rPr>
                <w:rFonts w:hint="eastAsia" w:ascii="宋体" w:hAnsi="宋体" w:cs="宋体"/>
                <w:color w:val="auto"/>
                <w:highlight w:val="none"/>
              </w:rPr>
              <w:t>中标人在领取中标通知书时即向本招标代理机构以现金、电汇方式支付服务费。</w:t>
            </w:r>
          </w:p>
          <w:p>
            <w:pPr>
              <w:spacing w:line="400" w:lineRule="exac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）中标人如未按上述规定办理，本招标代理机构有权进行追索。</w:t>
            </w:r>
          </w:p>
          <w:p>
            <w:pPr>
              <w:spacing w:line="400" w:lineRule="exact"/>
              <w:rPr>
                <w:rFonts w:ascii="宋体" w:hAnsi="宋体" w:cs="宋体"/>
                <w:color w:val="auto"/>
                <w:highlight w:val="none"/>
              </w:rPr>
            </w:pPr>
            <w:r>
              <w:rPr>
                <w:rFonts w:hint="eastAsia" w:ascii="宋体" w:hAnsi="宋体" w:cs="宋体"/>
                <w:color w:val="auto"/>
                <w:highlight w:val="none"/>
              </w:rPr>
              <w:t>关于本次招标的服务费均汇入以下账户：</w:t>
            </w:r>
          </w:p>
          <w:p>
            <w:pPr>
              <w:spacing w:line="400" w:lineRule="exact"/>
              <w:rPr>
                <w:rFonts w:ascii="宋体" w:hAnsi="宋体" w:cs="宋体"/>
                <w:color w:val="auto"/>
                <w:highlight w:val="none"/>
              </w:rPr>
            </w:pPr>
            <w:r>
              <w:rPr>
                <w:rFonts w:hint="eastAsia" w:ascii="宋体" w:hAnsi="宋体" w:cs="宋体"/>
                <w:color w:val="auto"/>
                <w:highlight w:val="none"/>
              </w:rPr>
              <w:t>开户银行： 宁波银行科技支行</w:t>
            </w:r>
          </w:p>
          <w:p>
            <w:pPr>
              <w:spacing w:line="400" w:lineRule="exact"/>
              <w:rPr>
                <w:rFonts w:ascii="宋体" w:hAnsi="宋体" w:cs="宋体"/>
                <w:color w:val="auto"/>
                <w:highlight w:val="none"/>
              </w:rPr>
            </w:pPr>
            <w:r>
              <w:rPr>
                <w:rFonts w:hint="eastAsia" w:ascii="宋体" w:hAnsi="宋体" w:cs="宋体"/>
                <w:color w:val="auto"/>
                <w:highlight w:val="none"/>
              </w:rPr>
              <w:t>帐    号： 31010122000005488</w:t>
            </w:r>
          </w:p>
          <w:p>
            <w:pPr>
              <w:spacing w:line="400" w:lineRule="exact"/>
              <w:rPr>
                <w:rFonts w:ascii="宋体" w:hAnsi="宋体" w:cs="宋体"/>
                <w:color w:val="auto"/>
                <w:highlight w:val="none"/>
              </w:rPr>
            </w:pPr>
            <w:r>
              <w:rPr>
                <w:rFonts w:hint="eastAsia" w:ascii="宋体" w:hAnsi="宋体" w:cs="宋体"/>
                <w:color w:val="auto"/>
                <w:highlight w:val="none"/>
              </w:rPr>
              <w:t>户    名： 宁波中基国际招标有限公司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81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投标文件份数：</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（1）上传到政府采购云平台的电子投标文件（含资格证明文件、商务技术文件、报价文件）1份。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（2）以U盘存储的电子备份投标文件（含资格证明文件、商务技术文件、报价文件）1份。</w:t>
            </w: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说明：</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1、“电子加密投标文件”：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（1）“电子加密投标文件”是指通过“政采云电子交易客户端”完成投标文件编制后生成并加密的数据电文形式的投标文件。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（2）供应商应先安装“政采云电子交易客户端”，并按照本招标文件和“政府采购云平台”的要求，通过“政采云电子交易客户端”编制并加密投标文件。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2、“电子备份投标文件”：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（1）“电子备份投标文件”是指与“电子加密投标文件”同时生成的数据电文形式的电子文件（后缀格式为“.bfbs”）。</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（2）供应商可自主选择是否编制“电子备份投标文件”。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（3）其他方式编制的备份投标文件视为无效备份投标文件。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4）本项目结果公示发布后，中标人须在三个工作日内向采购人（采购代理公司）提供纸质投标文件一正两副，且纸质投标文件必须与中标人在政采云上传的投标文件内容一致，纸质投标文件的一致性由中标人承担，否则由此引起的不利后果由中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81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投标截止时间及地点：详见第一章公开招标采购公告。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819"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开标时间及地点：详见第一章公开招标采购公告。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7819" w:type="dxa"/>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评标办法及评分标准：详见第四章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819" w:type="dxa"/>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评标结果公示：评标结束后，评标结果公示于浙江政府采购网和宁波中基国际招标有限公司网站。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819" w:type="dxa"/>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7819" w:type="dxa"/>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采购资金来源：财政资金。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819" w:type="dxa"/>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投标文件有效期：投标截止日起90天。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7819" w:type="dxa"/>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解释：本招标文件的解释权属于招标采购人。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7819" w:type="dxa"/>
            <w:vAlign w:val="center"/>
          </w:tcPr>
          <w:p>
            <w:pPr>
              <w:autoSpaceDE w:val="0"/>
              <w:autoSpaceDN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不同投标人的投标文件出自同一终端设备或在相同Internet主机分配地址（相同IP地址）网上报名投标的作无效标处理。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4</w:t>
            </w:r>
          </w:p>
        </w:tc>
        <w:tc>
          <w:tcPr>
            <w:tcW w:w="7819" w:type="dxa"/>
            <w:vAlign w:val="center"/>
          </w:tcPr>
          <w:p>
            <w:pPr>
              <w:autoSpaceDE w:val="0"/>
              <w:autoSpaceDN w:val="0"/>
              <w:spacing w:line="400" w:lineRule="exact"/>
              <w:textAlignment w:val="bottom"/>
              <w:rPr>
                <w:rFonts w:hint="eastAsia" w:ascii="宋体" w:hAnsi="宋体" w:cs="宋体"/>
                <w:b/>
                <w:bCs/>
                <w:color w:val="auto"/>
                <w:szCs w:val="21"/>
                <w:highlight w:val="none"/>
              </w:rPr>
            </w:pPr>
            <w:r>
              <w:rPr>
                <w:rFonts w:hint="eastAsia" w:ascii="宋体" w:hAnsi="宋体" w:cs="宋体"/>
                <w:b/>
                <w:bCs/>
                <w:color w:val="auto"/>
                <w:szCs w:val="21"/>
                <w:highlight w:val="none"/>
              </w:rPr>
              <w:t>落实专门面向中小企业预留份额政策要求</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非中小微企业参与投标的，须通过分包</w:t>
            </w:r>
            <w:r>
              <w:rPr>
                <w:rFonts w:hint="eastAsia" w:ascii="宋体" w:hAnsi="宋体" w:cs="宋体"/>
                <w:b/>
                <w:bCs/>
                <w:color w:val="auto"/>
                <w:szCs w:val="21"/>
                <w:highlight w:val="none"/>
                <w:lang w:val="en-US" w:eastAsia="zh-CN"/>
              </w:rPr>
              <w:t>或联合体投标的</w:t>
            </w:r>
            <w:r>
              <w:rPr>
                <w:rFonts w:hint="eastAsia" w:ascii="宋体" w:hAnsi="宋体" w:cs="宋体"/>
                <w:b/>
                <w:bCs/>
                <w:color w:val="auto"/>
                <w:szCs w:val="21"/>
                <w:highlight w:val="none"/>
              </w:rPr>
              <w:t>形式给中小微企业预留不低于</w:t>
            </w:r>
            <w:r>
              <w:rPr>
                <w:rFonts w:hint="eastAsia" w:ascii="宋体" w:hAnsi="宋体" w:cs="宋体"/>
                <w:b/>
                <w:bCs/>
                <w:color w:val="auto"/>
                <w:szCs w:val="21"/>
                <w:highlight w:val="none"/>
                <w:lang w:val="en-US" w:eastAsia="zh-CN"/>
              </w:rPr>
              <w:t>合同总金额的</w:t>
            </w:r>
            <w:r>
              <w:rPr>
                <w:rFonts w:hint="eastAsia" w:ascii="宋体" w:hAnsi="宋体" w:cs="宋体"/>
                <w:b/>
                <w:bCs/>
                <w:color w:val="auto"/>
                <w:szCs w:val="21"/>
                <w:highlight w:val="none"/>
              </w:rPr>
              <w:t>40%（其中小微企业承担的合同份额不低于合同总金额的28%）。</w:t>
            </w:r>
          </w:p>
        </w:tc>
      </w:tr>
    </w:tbl>
    <w:p>
      <w:pPr>
        <w:pStyle w:val="2"/>
        <w:spacing w:before="0" w:after="0" w:line="360" w:lineRule="auto"/>
        <w:rPr>
          <w:rFonts w:ascii="宋体" w:hAnsi="宋体" w:cs="宋体"/>
          <w:color w:val="auto"/>
          <w:sz w:val="21"/>
          <w:szCs w:val="21"/>
          <w:highlight w:val="none"/>
        </w:rPr>
      </w:pPr>
      <w:r>
        <w:rPr>
          <w:rFonts w:hint="eastAsia" w:ascii="宋体" w:hAnsi="宋体" w:cs="宋体"/>
          <w:color w:val="auto"/>
          <w:highlight w:val="none"/>
        </w:rPr>
        <w:br w:type="page"/>
      </w:r>
      <w:bookmarkStart w:id="81" w:name="_Toc460857897"/>
      <w:bookmarkStart w:id="82" w:name="_Toc6123"/>
      <w:r>
        <w:rPr>
          <w:rFonts w:hint="eastAsia" w:ascii="宋体" w:hAnsi="宋体" w:cs="宋体"/>
          <w:color w:val="auto"/>
          <w:sz w:val="21"/>
          <w:szCs w:val="21"/>
          <w:highlight w:val="none"/>
        </w:rPr>
        <w:t>一、 总  则</w:t>
      </w:r>
      <w:bookmarkEnd w:id="81"/>
      <w:bookmarkEnd w:id="82"/>
    </w:p>
    <w:p>
      <w:pPr>
        <w:pStyle w:val="2"/>
        <w:spacing w:before="0" w:after="0" w:line="360" w:lineRule="auto"/>
        <w:ind w:firstLine="316" w:firstLineChars="150"/>
        <w:jc w:val="left"/>
        <w:rPr>
          <w:rFonts w:ascii="宋体" w:hAnsi="宋体" w:cs="宋体"/>
          <w:color w:val="auto"/>
          <w:kern w:val="2"/>
          <w:sz w:val="21"/>
          <w:szCs w:val="21"/>
          <w:highlight w:val="none"/>
        </w:rPr>
      </w:pPr>
      <w:bookmarkStart w:id="83" w:name="_Toc460416596"/>
      <w:bookmarkStart w:id="84" w:name="_Toc460416340"/>
      <w:bookmarkStart w:id="85" w:name="_Toc460857898"/>
      <w:bookmarkStart w:id="86" w:name="_Toc460416645"/>
      <w:bookmarkStart w:id="87" w:name="_Toc19734"/>
      <w:r>
        <w:rPr>
          <w:rFonts w:hint="eastAsia" w:ascii="宋体" w:hAnsi="宋体" w:cs="宋体"/>
          <w:color w:val="auto"/>
          <w:kern w:val="2"/>
          <w:sz w:val="21"/>
          <w:szCs w:val="21"/>
          <w:highlight w:val="none"/>
        </w:rPr>
        <w:t>（一） 适用范围</w:t>
      </w:r>
      <w:bookmarkEnd w:id="83"/>
      <w:bookmarkEnd w:id="84"/>
      <w:bookmarkEnd w:id="85"/>
      <w:bookmarkEnd w:id="86"/>
      <w:bookmarkEnd w:id="87"/>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w:t>
      </w:r>
      <w:r>
        <w:rPr>
          <w:rFonts w:hint="eastAsia" w:ascii="宋体" w:hAnsi="宋体" w:cs="宋体"/>
          <w:color w:val="auto"/>
          <w:szCs w:val="21"/>
          <w:highlight w:val="none"/>
          <w:u w:val="single"/>
        </w:rPr>
        <w:t>宁波市城市治理“一网通管”平台—城市运行管理服务系统项目</w:t>
      </w:r>
      <w:r>
        <w:rPr>
          <w:rFonts w:hint="eastAsia" w:ascii="宋体" w:hAnsi="宋体" w:cs="宋体"/>
          <w:color w:val="auto"/>
          <w:szCs w:val="21"/>
          <w:highlight w:val="none"/>
        </w:rPr>
        <w:t>的招标、投标、评标、定标、验收、合同履约、付款等行为（法律、法规另有规定的，从其规定）。</w:t>
      </w:r>
    </w:p>
    <w:p>
      <w:pPr>
        <w:pStyle w:val="2"/>
        <w:spacing w:before="0" w:after="0" w:line="360" w:lineRule="auto"/>
        <w:ind w:firstLine="316" w:firstLineChars="150"/>
        <w:jc w:val="left"/>
        <w:rPr>
          <w:rFonts w:ascii="宋体" w:hAnsi="宋体" w:cs="宋体"/>
          <w:color w:val="auto"/>
          <w:kern w:val="2"/>
          <w:sz w:val="21"/>
          <w:szCs w:val="21"/>
          <w:highlight w:val="none"/>
        </w:rPr>
      </w:pPr>
      <w:bookmarkStart w:id="88" w:name="_Toc460416646"/>
      <w:bookmarkStart w:id="89" w:name="_Toc7330"/>
      <w:bookmarkStart w:id="90" w:name="_Toc460857899"/>
      <w:bookmarkStart w:id="91" w:name="_Toc460416597"/>
      <w:bookmarkStart w:id="92" w:name="_Toc460416341"/>
      <w:r>
        <w:rPr>
          <w:rFonts w:hint="eastAsia" w:ascii="宋体" w:hAnsi="宋体" w:cs="宋体"/>
          <w:color w:val="auto"/>
          <w:kern w:val="2"/>
          <w:sz w:val="21"/>
          <w:szCs w:val="21"/>
          <w:highlight w:val="none"/>
        </w:rPr>
        <w:t>（二）定义</w:t>
      </w:r>
      <w:bookmarkEnd w:id="88"/>
      <w:bookmarkEnd w:id="89"/>
      <w:bookmarkEnd w:id="90"/>
      <w:bookmarkEnd w:id="91"/>
      <w:bookmarkEnd w:id="92"/>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1.“采购人”系指组织本次招标的采购单位（“招标人”）。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2.“投标人”、“供应商”系指向招标方提交投标文件的单位或个人。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4.“服务”系指招标文件规定投标人</w:t>
      </w:r>
      <w:r>
        <w:rPr>
          <w:rFonts w:hint="eastAsia" w:ascii="宋体" w:hAnsi="宋体"/>
          <w:color w:val="auto"/>
          <w:szCs w:val="21"/>
          <w:highlight w:val="none"/>
        </w:rPr>
        <w:t>须承担的需完成本项目所需的服务的义务</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5.“项目”系指投标人按招标文件规定向采购人提供的产品和服务。</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6.“书面形式”包括信函、传真、电报等。</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7.“*”系指实质性要求条款。</w:t>
      </w:r>
    </w:p>
    <w:p>
      <w:pPr>
        <w:pStyle w:val="2"/>
        <w:spacing w:before="0" w:after="0" w:line="360" w:lineRule="auto"/>
        <w:ind w:firstLine="316" w:firstLineChars="150"/>
        <w:jc w:val="left"/>
        <w:rPr>
          <w:rFonts w:ascii="宋体" w:hAnsi="宋体" w:cs="宋体"/>
          <w:color w:val="auto"/>
          <w:kern w:val="2"/>
          <w:sz w:val="21"/>
          <w:szCs w:val="21"/>
          <w:highlight w:val="none"/>
        </w:rPr>
      </w:pPr>
      <w:bookmarkStart w:id="93" w:name="_Toc460857900"/>
      <w:bookmarkStart w:id="94" w:name="_Toc460416342"/>
      <w:bookmarkStart w:id="95" w:name="_Toc15744"/>
      <w:bookmarkStart w:id="96" w:name="_Toc460416647"/>
      <w:bookmarkStart w:id="97" w:name="_Toc460416598"/>
      <w:r>
        <w:rPr>
          <w:rFonts w:hint="eastAsia" w:ascii="宋体" w:hAnsi="宋体" w:cs="宋体"/>
          <w:color w:val="auto"/>
          <w:kern w:val="2"/>
          <w:sz w:val="21"/>
          <w:szCs w:val="21"/>
          <w:highlight w:val="none"/>
        </w:rPr>
        <w:t>（三）招标方式</w:t>
      </w:r>
      <w:bookmarkEnd w:id="93"/>
      <w:bookmarkEnd w:id="94"/>
      <w:bookmarkEnd w:id="95"/>
      <w:bookmarkEnd w:id="96"/>
      <w:bookmarkEnd w:id="97"/>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本次招标采用公开招标方式进行。</w:t>
      </w:r>
    </w:p>
    <w:p>
      <w:pPr>
        <w:pStyle w:val="2"/>
        <w:spacing w:before="0" w:after="0" w:line="360" w:lineRule="auto"/>
        <w:ind w:firstLine="316" w:firstLineChars="150"/>
        <w:jc w:val="left"/>
        <w:rPr>
          <w:rFonts w:ascii="宋体" w:hAnsi="宋体" w:cs="宋体"/>
          <w:color w:val="auto"/>
          <w:kern w:val="2"/>
          <w:sz w:val="21"/>
          <w:szCs w:val="21"/>
          <w:highlight w:val="none"/>
        </w:rPr>
      </w:pPr>
      <w:bookmarkStart w:id="98" w:name="_Toc460416599"/>
      <w:bookmarkStart w:id="99" w:name="_Toc460416343"/>
      <w:bookmarkStart w:id="100" w:name="_Toc460857901"/>
      <w:bookmarkStart w:id="101" w:name="_Toc460416648"/>
      <w:bookmarkStart w:id="102" w:name="_Toc22098"/>
      <w:r>
        <w:rPr>
          <w:rFonts w:hint="eastAsia" w:ascii="宋体" w:hAnsi="宋体" w:cs="宋体"/>
          <w:color w:val="auto"/>
          <w:kern w:val="2"/>
          <w:sz w:val="21"/>
          <w:szCs w:val="21"/>
          <w:highlight w:val="none"/>
        </w:rPr>
        <w:t>（四）投标委托</w:t>
      </w:r>
      <w:bookmarkEnd w:id="98"/>
      <w:bookmarkEnd w:id="99"/>
      <w:bookmarkEnd w:id="100"/>
      <w:bookmarkEnd w:id="101"/>
      <w:bookmarkEnd w:id="102"/>
    </w:p>
    <w:p>
      <w:pPr>
        <w:pStyle w:val="15"/>
        <w:snapToGrid w:val="0"/>
        <w:spacing w:line="360" w:lineRule="auto"/>
        <w:ind w:firstLine="404" w:firstLineChars="200"/>
        <w:jc w:val="left"/>
        <w:rPr>
          <w:rFonts w:hAnsi="宋体" w:cs="宋体"/>
          <w:color w:val="auto"/>
          <w:sz w:val="21"/>
          <w:szCs w:val="21"/>
          <w:highlight w:val="none"/>
        </w:rPr>
      </w:pPr>
      <w:r>
        <w:rPr>
          <w:rFonts w:hint="eastAsia" w:hAnsi="宋体" w:cs="宋体"/>
          <w:color w:val="auto"/>
          <w:sz w:val="21"/>
          <w:szCs w:val="21"/>
          <w:highlight w:val="none"/>
        </w:rPr>
        <w:t>投标人代表须携带有效身份证件。如投标人代表不是法定代表人，须有法定代表人出具的授权委托书（格式见第六章）。</w:t>
      </w:r>
    </w:p>
    <w:p>
      <w:pPr>
        <w:pStyle w:val="2"/>
        <w:spacing w:before="0" w:after="0" w:line="360" w:lineRule="auto"/>
        <w:ind w:firstLine="316" w:firstLineChars="150"/>
        <w:jc w:val="left"/>
        <w:rPr>
          <w:rFonts w:ascii="宋体" w:hAnsi="宋体" w:cs="宋体"/>
          <w:color w:val="auto"/>
          <w:kern w:val="2"/>
          <w:sz w:val="21"/>
          <w:szCs w:val="21"/>
          <w:highlight w:val="none"/>
        </w:rPr>
      </w:pPr>
      <w:bookmarkStart w:id="103" w:name="_Toc460416344"/>
      <w:bookmarkStart w:id="104" w:name="_Toc460416649"/>
      <w:bookmarkStart w:id="105" w:name="_Toc23498"/>
      <w:bookmarkStart w:id="106" w:name="_Toc460416600"/>
      <w:bookmarkStart w:id="107" w:name="_Toc460857902"/>
      <w:r>
        <w:rPr>
          <w:rFonts w:hint="eastAsia" w:ascii="宋体" w:hAnsi="宋体" w:cs="宋体"/>
          <w:color w:val="auto"/>
          <w:kern w:val="2"/>
          <w:sz w:val="21"/>
          <w:szCs w:val="21"/>
          <w:highlight w:val="none"/>
        </w:rPr>
        <w:t>（五）投标费用</w:t>
      </w:r>
      <w:bookmarkEnd w:id="103"/>
      <w:bookmarkEnd w:id="104"/>
      <w:bookmarkEnd w:id="105"/>
      <w:bookmarkEnd w:id="106"/>
      <w:bookmarkEnd w:id="107"/>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不论投标结果如何，投标人均应自行承担所有与投标有关的全部费用（招标文件有相反规定除外）。</w:t>
      </w:r>
    </w:p>
    <w:p>
      <w:pPr>
        <w:pStyle w:val="2"/>
        <w:spacing w:before="0" w:after="0" w:line="360" w:lineRule="auto"/>
        <w:ind w:firstLine="316" w:firstLineChars="150"/>
        <w:jc w:val="left"/>
        <w:rPr>
          <w:rFonts w:ascii="宋体" w:hAnsi="宋体" w:cs="宋体"/>
          <w:color w:val="auto"/>
          <w:kern w:val="2"/>
          <w:sz w:val="21"/>
          <w:szCs w:val="21"/>
          <w:highlight w:val="none"/>
        </w:rPr>
      </w:pPr>
      <w:bookmarkStart w:id="108" w:name="_Toc21764"/>
      <w:bookmarkStart w:id="109" w:name="_Toc460857903"/>
      <w:r>
        <w:rPr>
          <w:rFonts w:hint="eastAsia" w:ascii="宋体" w:hAnsi="宋体" w:cs="宋体"/>
          <w:color w:val="auto"/>
          <w:kern w:val="2"/>
          <w:sz w:val="21"/>
          <w:szCs w:val="21"/>
          <w:highlight w:val="none"/>
        </w:rPr>
        <w:t>（六）联合体投标</w:t>
      </w:r>
      <w:bookmarkEnd w:id="108"/>
      <w:bookmarkEnd w:id="109"/>
    </w:p>
    <w:p>
      <w:pPr>
        <w:snapToGrid w:val="0"/>
        <w:spacing w:line="360" w:lineRule="auto"/>
        <w:ind w:firstLine="420" w:firstLineChars="200"/>
        <w:rPr>
          <w:rFonts w:ascii="宋体" w:hAnsi="宋体" w:cs="宋体"/>
          <w:color w:val="auto"/>
          <w:szCs w:val="21"/>
          <w:highlight w:val="none"/>
        </w:rPr>
      </w:pPr>
      <w:bookmarkStart w:id="110" w:name="_Toc8227"/>
      <w:bookmarkStart w:id="111" w:name="_Toc460857904"/>
      <w:r>
        <w:rPr>
          <w:rFonts w:hint="eastAsia" w:ascii="宋体" w:hAnsi="宋体" w:cs="宋体"/>
          <w:color w:val="auto"/>
          <w:szCs w:val="21"/>
          <w:highlight w:val="none"/>
        </w:rPr>
        <w:t>1.本项目接受联合体投标（联合体投标的须在投标文件中提供联合体协议书），组成联合体的成员数量不得超过3个。</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2.招标公告规定接受联合体投标的，除应符合招标公告规定的合格投标人的资格要求外，还应遵守以下规定：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（1）联合体各方应按招标文件提供的格式签订联合体协议书，明确联合体牵头人和各方工作内容和义务；</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（2）联合体中有同类资质的投标人按照联合体分工承担相同工作的，应当按照资质等级较低的投标人确定联合体的资质等级。</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（3）联合体各方不得再单独参加或者与其他投标人另外组成联合体参加同一合同项下的投标。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（4）联合体各方应当共同与采购人签订采购合同，就采购合同约定的事项对采购人承担连带责任。</w:t>
      </w:r>
    </w:p>
    <w:p>
      <w:pPr>
        <w:pStyle w:val="2"/>
        <w:spacing w:before="0" w:after="0" w:line="360" w:lineRule="auto"/>
        <w:ind w:firstLine="316" w:firstLineChars="15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（七）转包与分包</w:t>
      </w:r>
      <w:bookmarkEnd w:id="110"/>
      <w:bookmarkEnd w:id="111"/>
    </w:p>
    <w:p>
      <w:pPr>
        <w:snapToGrid w:val="0"/>
        <w:spacing w:line="360" w:lineRule="auto"/>
        <w:ind w:firstLine="420" w:firstLineChars="200"/>
        <w:jc w:val="left"/>
        <w:rPr>
          <w:rFonts w:ascii="宋体" w:hAnsi="宋体" w:cs="宋体"/>
          <w:color w:val="auto"/>
          <w:kern w:val="0"/>
          <w:szCs w:val="21"/>
          <w:highlight w:val="none"/>
        </w:rPr>
      </w:pPr>
      <w:bookmarkStart w:id="112" w:name="_Toc460857905"/>
      <w:bookmarkStart w:id="113" w:name="_Toc460416601"/>
      <w:bookmarkStart w:id="114" w:name="_Toc460416345"/>
      <w:bookmarkStart w:id="115" w:name="_Toc460416650"/>
      <w:bookmarkStart w:id="116" w:name="_Toc24401"/>
      <w:r>
        <w:rPr>
          <w:rFonts w:hint="eastAsia" w:ascii="宋体" w:hAnsi="宋体" w:cs="宋体"/>
          <w:color w:val="auto"/>
          <w:kern w:val="0"/>
          <w:szCs w:val="21"/>
          <w:highlight w:val="none"/>
        </w:rPr>
        <w:t>1.本项目仅允许大型企业向一家或多家中小微企业、中型企业向一家或多家小微企业对本项目进行合理分包；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2.提供分包意向协议和中小企业声明函，小微企业须提供中小企业声明函，符合《关于促进残疾人就业政府采购政策的通知》（财库〔2017〕141号）规定的条件的残疾人福利性单位视同小型、微型企业, 并提供《残疾人福利性单位声明函》, 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单位须满足《中华人民共和国政府采购法》第二十二条规定；未被“信用中国”（www.creditchina.gov.cn)、中国政府采购网（www.ccgp.gov.cn）列入失信被执行人、重大税收违法案件当事人名单、政府采购严重违法失信行为记录名单，且须经采购人同意，如分包单位不具备承接分包内容所必需的设备和专业技术能力的，采购人有权拒绝分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分包单位不得再次分包，总包供应商对分包内容承担连带责任。</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4.本项目联合体投标的不允许分包。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5.本项目不得进行转包。</w:t>
      </w:r>
    </w:p>
    <w:p>
      <w:pPr>
        <w:pStyle w:val="2"/>
        <w:spacing w:before="0" w:after="0" w:line="360" w:lineRule="auto"/>
        <w:ind w:firstLine="316" w:firstLineChars="15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（八）关于分公司投标</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除银行、保险、石油石化、电力、电信、移动、联通等行业允许分公司投标外，其余法人的分支机构不允许参加投标；分公司参加投标的，分公司负责人签署的相关投标资料与本采购文件规定由法定代表人签署的文件材料具有同等效力。 </w:t>
      </w:r>
    </w:p>
    <w:p>
      <w:pPr>
        <w:pStyle w:val="2"/>
        <w:spacing w:before="0" w:after="0" w:line="360" w:lineRule="auto"/>
        <w:ind w:firstLine="316" w:firstLineChars="150"/>
        <w:jc w:val="left"/>
        <w:rPr>
          <w:rFonts w:ascii="宋体" w:hAnsi="宋体" w:cs="宋体"/>
          <w:color w:val="auto"/>
          <w:kern w:val="2"/>
          <w:sz w:val="21"/>
          <w:szCs w:val="21"/>
          <w:highlight w:val="none"/>
        </w:rPr>
      </w:pPr>
      <w:r>
        <w:rPr>
          <w:rFonts w:hint="eastAsia" w:ascii="宋体" w:hAnsi="宋体" w:cs="宋体"/>
          <w:color w:val="auto"/>
          <w:kern w:val="2"/>
          <w:sz w:val="21"/>
          <w:szCs w:val="21"/>
          <w:highlight w:val="none"/>
        </w:rPr>
        <w:t>（九）特别说明</w:t>
      </w:r>
      <w:bookmarkEnd w:id="112"/>
      <w:bookmarkEnd w:id="113"/>
      <w:bookmarkEnd w:id="114"/>
      <w:bookmarkEnd w:id="115"/>
      <w:bookmarkEnd w:id="116"/>
    </w:p>
    <w:p>
      <w:pPr>
        <w:pStyle w:val="19"/>
        <w:snapToGrid w:val="0"/>
        <w:spacing w:beforeLines="0" w:afterLines="0" w:line="360" w:lineRule="auto"/>
        <w:ind w:left="2" w:leftChars="1" w:firstLine="422" w:firstLineChars="200"/>
        <w:jc w:val="left"/>
        <w:rPr>
          <w:rFonts w:hAnsi="宋体" w:cs="宋体"/>
          <w:b/>
          <w:color w:val="auto"/>
          <w:sz w:val="21"/>
          <w:szCs w:val="21"/>
          <w:highlight w:val="none"/>
        </w:rPr>
      </w:pPr>
      <w:r>
        <w:rPr>
          <w:rFonts w:hint="eastAsia" w:hAnsi="宋体" w:cs="宋体"/>
          <w:b/>
          <w:color w:val="auto"/>
          <w:sz w:val="21"/>
          <w:szCs w:val="21"/>
          <w:highlight w:val="none"/>
        </w:rPr>
        <w:t>*1.投标人应仔细阅读招标文件的所有内容，按照招标文件的要求提交投标文件，并对所提供的全部资料的真实性承担法律责任。</w:t>
      </w:r>
    </w:p>
    <w:p>
      <w:pPr>
        <w:pStyle w:val="19"/>
        <w:snapToGrid w:val="0"/>
        <w:spacing w:beforeLines="0" w:afterLines="0" w:line="360" w:lineRule="auto"/>
        <w:ind w:left="2" w:leftChars="1" w:firstLine="422" w:firstLineChars="200"/>
        <w:jc w:val="left"/>
        <w:rPr>
          <w:rFonts w:hAnsi="宋体" w:cs="宋体"/>
          <w:b/>
          <w:color w:val="auto"/>
          <w:sz w:val="21"/>
          <w:szCs w:val="21"/>
          <w:highlight w:val="none"/>
        </w:rPr>
      </w:pPr>
      <w:r>
        <w:rPr>
          <w:rFonts w:hint="eastAsia" w:hAnsi="宋体" w:cs="宋体"/>
          <w:b/>
          <w:color w:val="auto"/>
          <w:sz w:val="21"/>
          <w:szCs w:val="21"/>
          <w:highlight w:val="none"/>
        </w:rPr>
        <w:t>*2.投标人在投标活动中提供任何虚假材料,其投标无效，并报监管部门查处。</w:t>
      </w:r>
    </w:p>
    <w:p>
      <w:pPr>
        <w:pStyle w:val="2"/>
        <w:spacing w:before="0" w:after="0" w:line="360" w:lineRule="auto"/>
        <w:ind w:firstLine="316" w:firstLineChars="150"/>
        <w:jc w:val="left"/>
        <w:rPr>
          <w:rFonts w:ascii="宋体" w:hAnsi="宋体" w:cs="宋体"/>
          <w:color w:val="auto"/>
          <w:kern w:val="2"/>
          <w:sz w:val="21"/>
          <w:szCs w:val="21"/>
          <w:highlight w:val="none"/>
        </w:rPr>
      </w:pPr>
      <w:bookmarkStart w:id="117" w:name="_Toc460416602"/>
      <w:bookmarkStart w:id="118" w:name="_Toc12630"/>
      <w:bookmarkStart w:id="119" w:name="_Toc460416346"/>
      <w:bookmarkStart w:id="120" w:name="_Toc460416651"/>
      <w:bookmarkStart w:id="121" w:name="_Toc460857906"/>
      <w:r>
        <w:rPr>
          <w:rFonts w:hint="eastAsia" w:ascii="宋体" w:hAnsi="宋体" w:cs="宋体"/>
          <w:color w:val="auto"/>
          <w:kern w:val="2"/>
          <w:sz w:val="21"/>
          <w:szCs w:val="21"/>
          <w:highlight w:val="none"/>
        </w:rPr>
        <w:t>（十）质疑和投诉</w:t>
      </w:r>
      <w:bookmarkEnd w:id="117"/>
      <w:bookmarkEnd w:id="118"/>
      <w:bookmarkEnd w:id="119"/>
      <w:bookmarkEnd w:id="120"/>
      <w:bookmarkEnd w:id="121"/>
    </w:p>
    <w:p>
      <w:pPr>
        <w:widowControl/>
        <w:spacing w:line="360" w:lineRule="auto"/>
        <w:ind w:firstLine="420" w:firstLineChars="200"/>
        <w:jc w:val="left"/>
        <w:rPr>
          <w:rFonts w:ascii="宋体" w:hAnsi="宋体"/>
          <w:bCs/>
          <w:color w:val="auto"/>
          <w:szCs w:val="21"/>
          <w:highlight w:val="none"/>
        </w:rPr>
      </w:pPr>
      <w:bookmarkStart w:id="122" w:name="_Toc460416652"/>
      <w:bookmarkStart w:id="123" w:name="_Toc460416347"/>
      <w:bookmarkStart w:id="124" w:name="_Toc460857907"/>
      <w:r>
        <w:rPr>
          <w:rFonts w:hint="eastAsia" w:ascii="宋体" w:hAnsi="宋体" w:cs="宋体"/>
          <w:color w:val="auto"/>
          <w:szCs w:val="21"/>
          <w:highlight w:val="none"/>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r>
        <w:rPr>
          <w:rFonts w:hint="eastAsia" w:ascii="宋体" w:hAnsi="宋体"/>
          <w:bCs/>
          <w:color w:val="auto"/>
          <w:szCs w:val="21"/>
          <w:highlight w:val="none"/>
        </w:rPr>
        <w:t>供应商应知其权益受到损害之日，是指：</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（1）对可以质疑的招标文件提出质疑的，为获取招标文件之日（招标公告期限届满之日后获取招标文件的为招标公告期限届满之日）。</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（2）对招标过程提出质疑的，为各招标程序环节结束之日。</w:t>
      </w:r>
    </w:p>
    <w:p>
      <w:pPr>
        <w:spacing w:line="360" w:lineRule="auto"/>
        <w:ind w:firstLine="420" w:firstLineChars="200"/>
        <w:rPr>
          <w:rFonts w:ascii="宋体" w:hAnsi="宋体" w:cs="宋体"/>
          <w:color w:val="auto"/>
          <w:szCs w:val="21"/>
          <w:highlight w:val="none"/>
        </w:rPr>
      </w:pPr>
      <w:r>
        <w:rPr>
          <w:rFonts w:hint="eastAsia" w:ascii="宋体" w:hAnsi="宋体"/>
          <w:bCs/>
          <w:color w:val="auto"/>
          <w:szCs w:val="21"/>
          <w:highlight w:val="none"/>
        </w:rPr>
        <w:t>（3）对中标结果提出质疑的，为中标结果公告期限届满之日。</w:t>
      </w:r>
    </w:p>
    <w:p>
      <w:pPr>
        <w:spacing w:line="360" w:lineRule="auto"/>
        <w:ind w:firstLine="420" w:firstLineChars="200"/>
        <w:rPr>
          <w:rFonts w:ascii="宋体" w:hAnsi="宋体" w:cs="宋体"/>
          <w:color w:val="auto"/>
          <w:szCs w:val="21"/>
          <w:highlight w:val="none"/>
        </w:rPr>
      </w:pPr>
      <w:bookmarkStart w:id="125" w:name="_Toc30983"/>
      <w:r>
        <w:rPr>
          <w:rFonts w:hint="eastAsia" w:ascii="宋体" w:hAnsi="宋体" w:cs="宋体"/>
          <w:color w:val="auto"/>
          <w:szCs w:val="21"/>
          <w:highlight w:val="none"/>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
        <w:spacing w:before="0" w:after="0" w:line="360" w:lineRule="auto"/>
        <w:ind w:firstLine="422" w:firstLineChars="200"/>
        <w:jc w:val="left"/>
        <w:rPr>
          <w:rFonts w:hAnsi="宋体" w:cs="宋体"/>
          <w:color w:val="auto"/>
          <w:sz w:val="21"/>
          <w:szCs w:val="21"/>
          <w:highlight w:val="none"/>
        </w:rPr>
      </w:pPr>
      <w:r>
        <w:rPr>
          <w:rFonts w:hint="eastAsia" w:hAnsi="宋体" w:cs="宋体"/>
          <w:color w:val="auto"/>
          <w:sz w:val="21"/>
          <w:szCs w:val="21"/>
          <w:highlight w:val="none"/>
        </w:rPr>
        <w:t>5. 供应商对采购人或采购代理机构的质疑答复不满意或者采购人或采购代理机构未在规定时间内作出答复的，可以在答复期满后十五个工作日内向同级采购监管部门投诉。</w:t>
      </w:r>
    </w:p>
    <w:p>
      <w:pPr>
        <w:pStyle w:val="2"/>
        <w:spacing w:before="0" w:after="0" w:line="360" w:lineRule="auto"/>
        <w:ind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二、招标文件</w:t>
      </w:r>
      <w:bookmarkEnd w:id="122"/>
      <w:bookmarkEnd w:id="123"/>
      <w:bookmarkEnd w:id="124"/>
      <w:bookmarkEnd w:id="125"/>
    </w:p>
    <w:p>
      <w:pPr>
        <w:pStyle w:val="2"/>
        <w:spacing w:before="0" w:after="0" w:line="360" w:lineRule="auto"/>
        <w:ind w:firstLine="316" w:firstLineChars="150"/>
        <w:jc w:val="left"/>
        <w:rPr>
          <w:rFonts w:ascii="宋体" w:hAnsi="宋体" w:cs="宋体"/>
          <w:color w:val="auto"/>
          <w:sz w:val="21"/>
          <w:szCs w:val="21"/>
          <w:highlight w:val="none"/>
        </w:rPr>
      </w:pPr>
      <w:bookmarkStart w:id="126" w:name="_Toc460857908"/>
      <w:bookmarkStart w:id="127" w:name="_Toc25447"/>
      <w:r>
        <w:rPr>
          <w:rFonts w:hint="eastAsia" w:ascii="宋体" w:hAnsi="宋体" w:cs="宋体"/>
          <w:color w:val="auto"/>
          <w:sz w:val="21"/>
          <w:szCs w:val="21"/>
          <w:highlight w:val="none"/>
        </w:rPr>
        <w:t>（一）招标文件的构成。本招标文件由以下部分组成：</w:t>
      </w:r>
      <w:bookmarkEnd w:id="126"/>
      <w:bookmarkEnd w:id="127"/>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1.公开招标采购公告</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2.招标需求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3.投标人须知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pPr>
        <w:pStyle w:val="2"/>
        <w:spacing w:before="0" w:after="0" w:line="360" w:lineRule="auto"/>
        <w:ind w:firstLine="316" w:firstLineChars="150"/>
        <w:jc w:val="left"/>
        <w:rPr>
          <w:rFonts w:ascii="宋体" w:hAnsi="宋体" w:cs="宋体"/>
          <w:color w:val="auto"/>
          <w:sz w:val="21"/>
          <w:szCs w:val="21"/>
          <w:highlight w:val="none"/>
        </w:rPr>
      </w:pPr>
      <w:bookmarkStart w:id="128" w:name="_Toc12252"/>
      <w:bookmarkStart w:id="129" w:name="_Toc460857909"/>
      <w:r>
        <w:rPr>
          <w:rFonts w:hint="eastAsia" w:ascii="宋体" w:hAnsi="宋体" w:cs="宋体"/>
          <w:color w:val="auto"/>
          <w:sz w:val="21"/>
          <w:szCs w:val="21"/>
          <w:highlight w:val="none"/>
        </w:rPr>
        <w:t>（二）投标人的风险</w:t>
      </w:r>
      <w:bookmarkEnd w:id="128"/>
      <w:bookmarkEnd w:id="129"/>
    </w:p>
    <w:p>
      <w:pPr>
        <w:pStyle w:val="28"/>
        <w:spacing w:line="360" w:lineRule="auto"/>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投标人没有按照招标文件要求提供全部资料，或者投标人没有对招标文件在各方面作出实质性响应是投标人的风险，并可能导致其投标被拒绝。</w:t>
      </w:r>
    </w:p>
    <w:p>
      <w:pPr>
        <w:pStyle w:val="2"/>
        <w:spacing w:before="0" w:after="0" w:line="360" w:lineRule="auto"/>
        <w:ind w:firstLine="316" w:firstLineChars="150"/>
        <w:jc w:val="left"/>
        <w:rPr>
          <w:rFonts w:ascii="宋体" w:hAnsi="宋体" w:cs="宋体"/>
          <w:color w:val="auto"/>
          <w:sz w:val="21"/>
          <w:szCs w:val="21"/>
          <w:highlight w:val="none"/>
        </w:rPr>
      </w:pPr>
      <w:bookmarkStart w:id="130" w:name="_Toc460857910"/>
      <w:bookmarkStart w:id="131" w:name="_Toc30699"/>
      <w:r>
        <w:rPr>
          <w:rFonts w:hint="eastAsia" w:ascii="宋体" w:hAnsi="宋体" w:cs="宋体"/>
          <w:color w:val="auto"/>
          <w:sz w:val="21"/>
          <w:szCs w:val="21"/>
          <w:highlight w:val="none"/>
        </w:rPr>
        <w:t>（三）招标文件的澄清与修改</w:t>
      </w:r>
      <w:bookmarkEnd w:id="130"/>
      <w:bookmarkEnd w:id="131"/>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1.任何要求对《招标文件》进行澄清的投标人，应以书面或传真形式通知招标代理公司。要求澄清的问题应盖投标人公章和注明日期。招标人视情况再以书面或传真形式作出答复。</w:t>
      </w:r>
    </w:p>
    <w:p>
      <w:pPr>
        <w:pStyle w:val="13"/>
        <w:tabs>
          <w:tab w:val="left" w:pos="948"/>
        </w:tabs>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2.在投标截止时间前，采购代理机构可以对已发出的招标文件进行必要的澄清或者修改。澄清或者修改的内容可能影响投标文件编制的，采购代理机构将在投标截止时间至少 15 日前，以更正（澄清）公告形式通知所有获取招标文件的潜在投标人，不足15日的，采购代理机构将顺延提交投标文件的截止时间；澄清或者修改的内容不影响投标文件编制的，则不受 15 日的期限限制。澄清或者修改的内容为招标文件 的组成部分，对所有投标人具有约束力。</w:t>
      </w:r>
    </w:p>
    <w:p>
      <w:pPr>
        <w:pStyle w:val="2"/>
        <w:spacing w:before="0" w:after="0" w:line="360" w:lineRule="auto"/>
        <w:ind w:firstLine="316" w:firstLineChars="150"/>
        <w:jc w:val="left"/>
        <w:rPr>
          <w:rFonts w:ascii="宋体" w:hAnsi="宋体" w:cs="宋体"/>
          <w:color w:val="auto"/>
          <w:sz w:val="21"/>
          <w:szCs w:val="21"/>
          <w:highlight w:val="none"/>
        </w:rPr>
      </w:pPr>
      <w:bookmarkStart w:id="132" w:name="_Toc460857912"/>
      <w:bookmarkStart w:id="133" w:name="_Toc460416653"/>
      <w:bookmarkStart w:id="134" w:name="_Toc460416348"/>
      <w:bookmarkStart w:id="135" w:name="_Toc26344"/>
      <w:r>
        <w:rPr>
          <w:rFonts w:hint="eastAsia" w:ascii="宋体" w:hAnsi="宋体" w:cs="宋体"/>
          <w:color w:val="auto"/>
          <w:sz w:val="21"/>
          <w:szCs w:val="21"/>
          <w:highlight w:val="none"/>
        </w:rPr>
        <w:t>三、投标文件的编制</w:t>
      </w:r>
      <w:bookmarkEnd w:id="132"/>
      <w:bookmarkEnd w:id="133"/>
      <w:bookmarkEnd w:id="134"/>
      <w:bookmarkEnd w:id="135"/>
    </w:p>
    <w:p>
      <w:pPr>
        <w:pStyle w:val="2"/>
        <w:spacing w:before="0" w:after="0" w:line="360" w:lineRule="auto"/>
        <w:ind w:firstLine="316" w:firstLineChars="150"/>
        <w:jc w:val="left"/>
        <w:rPr>
          <w:rFonts w:ascii="宋体" w:hAnsi="宋体" w:cs="宋体"/>
          <w:color w:val="auto"/>
          <w:sz w:val="21"/>
          <w:szCs w:val="21"/>
          <w:highlight w:val="none"/>
        </w:rPr>
      </w:pPr>
      <w:bookmarkStart w:id="136" w:name="_Toc460416349"/>
      <w:bookmarkStart w:id="137" w:name="_Toc460416654"/>
      <w:bookmarkStart w:id="138" w:name="_Toc5670"/>
      <w:bookmarkStart w:id="139" w:name="_Toc460857913"/>
      <w:r>
        <w:rPr>
          <w:rFonts w:hint="eastAsia" w:ascii="宋体" w:hAnsi="宋体" w:cs="宋体"/>
          <w:color w:val="auto"/>
          <w:sz w:val="21"/>
          <w:szCs w:val="21"/>
          <w:highlight w:val="none"/>
        </w:rPr>
        <w:t>（一）投标文件的组成</w:t>
      </w:r>
      <w:bookmarkEnd w:id="136"/>
      <w:bookmarkEnd w:id="137"/>
      <w:bookmarkEnd w:id="138"/>
      <w:bookmarkEnd w:id="139"/>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资格证明文件、商务技术文件和报价文件三部分组成，电子投标文件中所须加盖公章部分均采用CA签章。（若采用联合体投标，需各方盖章的内容，牵头方可采用CA签章，其他成员单位可采用盖公章，并由牵头方统一扫描上传）。</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1．资格证明部分包括以下内容：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（1）资格条件自查表(格式见附件)；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（2）有效的企业法人营业执照（或事业法人登记证）、其他组织（个体工商户）的营业执照或者民办非企业单位登记证书复印件（复印件加盖公章）</w:t>
      </w:r>
      <w:r>
        <w:rPr>
          <w:rFonts w:hint="eastAsia" w:ascii="宋体" w:hAnsi="宋体" w:cs="宋体"/>
          <w:bCs/>
          <w:color w:val="auto"/>
          <w:szCs w:val="21"/>
          <w:highlight w:val="none"/>
        </w:rPr>
        <w:t>，若为联合体投标的，则联合体各方均须提供</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（3）投标人资格声明函(格式见附件)；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（4）落实政府采购政策需满足的资格要求：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本项目预留部分采购项目预算专门面向中小企业采购。对于预留份额，提供的服务由符合政策要求的中小企业承接。预留份额通过以下措施进行，投标人可选择以下其中一种方式参与：</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以联合体形式参加，提供联合体协议书和中小企业声明函，联合协议中中小企业承担的合同份额占合同总金额的40%（其中小微企业承担的合同份额占合同总金额的28%）；</w:t>
      </w:r>
      <w:r>
        <w:rPr>
          <w:rFonts w:hint="eastAsia" w:ascii="宋体" w:hAnsi="宋体" w:cs="宋体"/>
          <w:color w:val="auto"/>
          <w:spacing w:val="8"/>
          <w:kern w:val="0"/>
          <w:szCs w:val="21"/>
          <w:highlight w:val="none"/>
        </w:rPr>
        <w:t>如果供应商本身提供所有标的中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w:t>
      </w:r>
      <w:r>
        <w:rPr>
          <w:rFonts w:hint="eastAsia" w:ascii="宋体" w:hAnsi="宋体" w:cs="宋体"/>
          <w:color w:val="auto"/>
          <w:spacing w:val="8"/>
          <w:kern w:val="0"/>
          <w:szCs w:val="21"/>
          <w:highlight w:val="none"/>
        </w:rPr>
        <w:t>，视同符合了资格条件，不强制要求再与其他中小企业组成联合体参加政府采购活动，则无需提供</w:t>
      </w:r>
      <w:r>
        <w:rPr>
          <w:rFonts w:hint="eastAsia" w:ascii="宋体" w:hAnsi="宋体" w:cs="宋体"/>
          <w:color w:val="auto"/>
          <w:szCs w:val="21"/>
          <w:highlight w:val="none"/>
        </w:rPr>
        <w:t>联合体协议书；</w:t>
      </w:r>
    </w:p>
    <w:p>
      <w:pPr>
        <w:spacing w:line="360" w:lineRule="auto"/>
        <w:ind w:firstLine="420" w:firstLineChars="200"/>
        <w:rPr>
          <w:rFonts w:ascii="宋体" w:hAnsi="宋体" w:cs="宋体"/>
          <w:color w:val="auto"/>
          <w:spacing w:val="8"/>
          <w:kern w:val="0"/>
          <w:szCs w:val="21"/>
          <w:highlight w:val="none"/>
        </w:rPr>
      </w:pPr>
      <w:r>
        <w:rPr>
          <w:rFonts w:hint="eastAsia" w:ascii="宋体" w:hAnsi="宋体" w:cs="宋体"/>
          <w:color w:val="auto"/>
          <w:kern w:val="0"/>
          <w:szCs w:val="21"/>
          <w:highlight w:val="none"/>
        </w:rPr>
        <w:t>2.以</w:t>
      </w:r>
      <w:r>
        <w:rPr>
          <w:rFonts w:hint="eastAsia" w:ascii="宋体" w:hAnsi="宋体" w:cs="宋体"/>
          <w:color w:val="auto"/>
          <w:szCs w:val="21"/>
          <w:highlight w:val="none"/>
        </w:rPr>
        <w:t>合同分包形式参加，提供分包意向协议和中小企业声明函，分包意向协议中中小企业承担的合同份额占合同总金额的40%（其中小微企业承担的合同份额占合同总金额的28%），接受分包合同的中小企业与分包企业之间不得存在直接控股、管理关系；</w:t>
      </w:r>
      <w:r>
        <w:rPr>
          <w:rFonts w:hint="eastAsia" w:ascii="宋体" w:hAnsi="宋体" w:cs="宋体"/>
          <w:color w:val="auto"/>
          <w:spacing w:val="8"/>
          <w:kern w:val="0"/>
          <w:szCs w:val="21"/>
          <w:highlight w:val="none"/>
        </w:rPr>
        <w:t>如果供应商本身提供所有标的中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w:t>
      </w:r>
      <w:r>
        <w:rPr>
          <w:rFonts w:hint="eastAsia" w:ascii="宋体" w:hAnsi="宋体" w:cs="宋体"/>
          <w:color w:val="auto"/>
          <w:spacing w:val="8"/>
          <w:kern w:val="0"/>
          <w:szCs w:val="21"/>
          <w:highlight w:val="none"/>
        </w:rPr>
        <w:t>，视同符合了资格条件，不强制要求再向中小企业分包，无需提供分包意向协议。</w:t>
      </w:r>
    </w:p>
    <w:p>
      <w:pPr>
        <w:spacing w:line="360" w:lineRule="auto"/>
        <w:ind w:firstLine="452" w:firstLineChars="200"/>
        <w:rPr>
          <w:rFonts w:ascii="宋体" w:hAnsi="宋体" w:cs="宋体"/>
          <w:color w:val="auto"/>
          <w:szCs w:val="21"/>
          <w:highlight w:val="none"/>
        </w:rPr>
      </w:pPr>
      <w:r>
        <w:rPr>
          <w:rFonts w:hint="eastAsia" w:ascii="宋体" w:hAnsi="宋体" w:cs="宋体"/>
          <w:color w:val="auto"/>
          <w:spacing w:val="8"/>
          <w:kern w:val="0"/>
          <w:szCs w:val="21"/>
          <w:highlight w:val="none"/>
        </w:rPr>
        <w:t>3.供应商本身提供所有标的中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中小企业合承担的合同份额占合同总金额的40%（其中小微企业承担的合同份额占合同总金额的28%），提供中小企业声明函</w:t>
      </w:r>
      <w:r>
        <w:rPr>
          <w:rFonts w:hint="eastAsia" w:ascii="宋体" w:hAnsi="宋体" w:cs="宋体"/>
          <w:color w:val="auto"/>
          <w:spacing w:val="8"/>
          <w:kern w:val="0"/>
          <w:szCs w:val="21"/>
          <w:highlight w:val="none"/>
        </w:rPr>
        <w:t>。</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①中小企业声明函（格式见附件）；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②残疾人福利性单位声明函（</w:t>
      </w:r>
      <w:r>
        <w:rPr>
          <w:rFonts w:hint="eastAsia" w:ascii="宋体"/>
          <w:color w:val="auto"/>
          <w:szCs w:val="21"/>
          <w:highlight w:val="none"/>
        </w:rPr>
        <w:t>如有请提供</w:t>
      </w:r>
      <w:r>
        <w:rPr>
          <w:rFonts w:hint="eastAsia" w:ascii="宋体" w:hAnsi="宋体" w:cs="宋体"/>
          <w:color w:val="auto"/>
          <w:szCs w:val="21"/>
          <w:highlight w:val="none"/>
        </w:rPr>
        <w:t>，格式见附件）；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③监狱企业的证明文件：由省级以上监狱管理局、戒毒管理局（含新疆生产建设兵团）出具的属于监狱企业的证明文件（如有请提供）；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④分包意向协议（中标后以分包方式履行合同的，提供分包意向协议；采购人不同意分包或者投标人中标后不以分包方式履行合同的，则不需要提供）；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color w:val="auto"/>
          <w:szCs w:val="21"/>
          <w:highlight w:val="none"/>
        </w:rPr>
        <w:t>联合体协议书（格式见附件）（以联合体形式投标的，提供联合协议。不以联合体形式投标的，则不需要提供）</w:t>
      </w:r>
      <w:r>
        <w:rPr>
          <w:rFonts w:hint="eastAsia" w:ascii="宋体" w:hAnsi="宋体" w:cs="宋体"/>
          <w:color w:val="auto"/>
          <w:szCs w:val="21"/>
          <w:highlight w:val="none"/>
        </w:rPr>
        <w:t>。</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2.商务技术部分包括以下内容：</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（1）符合性自查表(格式见附件)；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（2）供应商响应表(格式见附件)；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（3）法定代表人的身份证明或法定代表人授权书【投标人的代表若为非法定代表人的，必须提交法定代表人授权书及</w:t>
      </w:r>
      <w:r>
        <w:rPr>
          <w:rFonts w:hint="eastAsia" w:ascii="宋体" w:hAnsi="宋体" w:cs="宋体"/>
          <w:bCs/>
          <w:color w:val="auto"/>
          <w:szCs w:val="21"/>
          <w:highlight w:val="none"/>
        </w:rPr>
        <w:t>授权代表距开标日前六个月内任一月内投标人为其所缴纳社保证明（均加盖公章）</w:t>
      </w:r>
      <w:r>
        <w:rPr>
          <w:rFonts w:hint="eastAsia" w:ascii="宋体" w:hAnsi="宋体" w:cs="宋体"/>
          <w:color w:val="auto"/>
          <w:szCs w:val="21"/>
          <w:highlight w:val="none"/>
        </w:rPr>
        <w:t>，格式见附件】；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（4）投标人基本情况说明(格式见附件)；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（5）同类项目业绩表（格式见附件）；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（6）商务条款偏离表(格式见附件)；</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（7）服务条款偏离表(格式见附件)；</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rPr>
        <w:t>整体方案</w:t>
      </w:r>
      <w:r>
        <w:rPr>
          <w:rFonts w:hint="eastAsia" w:ascii="宋体" w:hAnsi="宋体" w:cs="宋体"/>
          <w:color w:val="auto"/>
          <w:szCs w:val="21"/>
          <w:highlight w:val="none"/>
        </w:rPr>
        <w:t>；</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（9）服务能力；</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（10）培训服务；</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（11）重难点分析及解决方案；</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（12）服务承诺；</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（13）人员配备方案（人员配备表</w:t>
      </w:r>
      <w:r>
        <w:rPr>
          <w:rFonts w:hint="eastAsia" w:ascii="宋体" w:hAnsi="宋体" w:cs="宋体"/>
          <w:bCs/>
          <w:color w:val="auto"/>
          <w:szCs w:val="21"/>
          <w:highlight w:val="none"/>
        </w:rPr>
        <w:t>格式见附件</w:t>
      </w:r>
      <w:r>
        <w:rPr>
          <w:rFonts w:hint="eastAsia" w:ascii="宋体" w:hAnsi="宋体" w:cs="宋体"/>
          <w:color w:val="auto"/>
          <w:szCs w:val="21"/>
          <w:highlight w:val="none"/>
        </w:rPr>
        <w:t>）；</w:t>
      </w:r>
    </w:p>
    <w:p>
      <w:pPr>
        <w:tabs>
          <w:tab w:val="left" w:pos="0"/>
        </w:tabs>
        <w:snapToGrid w:val="0"/>
        <w:spacing w:line="360" w:lineRule="auto"/>
        <w:ind w:firstLine="420" w:firstLineChars="200"/>
        <w:jc w:val="left"/>
        <w:rPr>
          <w:color w:val="auto"/>
          <w:highlight w:val="none"/>
        </w:rPr>
      </w:pPr>
      <w:r>
        <w:rPr>
          <w:rFonts w:hint="eastAsia" w:ascii="宋体" w:hAnsi="宋体" w:cs="宋体"/>
          <w:color w:val="auto"/>
          <w:szCs w:val="21"/>
          <w:highlight w:val="none"/>
        </w:rPr>
        <w:t>（14）认证证书（如有请提供）；</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（15）投标人认为有必要提交的其他商务技术部分文件和资料。</w:t>
      </w:r>
    </w:p>
    <w:p>
      <w:pPr>
        <w:snapToGrid w:val="0"/>
        <w:spacing w:line="360" w:lineRule="auto"/>
        <w:ind w:left="413"/>
        <w:jc w:val="left"/>
        <w:rPr>
          <w:rFonts w:ascii="宋体" w:hAnsi="宋体" w:cs="宋体"/>
          <w:b/>
          <w:color w:val="auto"/>
          <w:szCs w:val="21"/>
          <w:highlight w:val="none"/>
        </w:rPr>
      </w:pPr>
      <w:r>
        <w:rPr>
          <w:rFonts w:hint="eastAsia" w:ascii="宋体" w:hAnsi="宋体" w:cs="宋体"/>
          <w:b/>
          <w:color w:val="auto"/>
          <w:szCs w:val="21"/>
          <w:highlight w:val="none"/>
        </w:rPr>
        <w:t>3. 报价部分包括以下内容：</w:t>
      </w:r>
    </w:p>
    <w:p>
      <w:pPr>
        <w:tabs>
          <w:tab w:val="left" w:pos="420"/>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 (格式见附件)；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（2）开标一览表(格式见附件)；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投标报价明细表</w:t>
      </w:r>
      <w:r>
        <w:rPr>
          <w:rFonts w:hint="eastAsia" w:ascii="宋体" w:hAnsi="宋体" w:cs="宋体"/>
          <w:color w:val="auto"/>
          <w:szCs w:val="21"/>
          <w:highlight w:val="none"/>
        </w:rPr>
        <w:t>(格式见附件)；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（4）中标服务费支付承诺函(格式见附件)。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4.上述组成投标文件的各项资料中本招标文件的有规定格式的，应统一按本招标文件的规定格式填写。未有规定格式的资料，投标人应自行编制，但至少要包含以上要求的内容。</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2"/>
        <w:spacing w:before="0" w:after="0" w:line="360" w:lineRule="auto"/>
        <w:ind w:firstLine="316" w:firstLineChars="150"/>
        <w:jc w:val="left"/>
        <w:rPr>
          <w:rFonts w:ascii="宋体" w:hAnsi="宋体" w:cs="宋体"/>
          <w:color w:val="auto"/>
          <w:sz w:val="21"/>
          <w:szCs w:val="21"/>
          <w:highlight w:val="none"/>
        </w:rPr>
      </w:pPr>
      <w:bookmarkStart w:id="140" w:name="_Toc460416655"/>
      <w:bookmarkStart w:id="141" w:name="_Toc460857914"/>
      <w:bookmarkStart w:id="142" w:name="_Toc460416350"/>
      <w:bookmarkStart w:id="143" w:name="_Toc24250"/>
      <w:r>
        <w:rPr>
          <w:rFonts w:hint="eastAsia" w:ascii="宋体" w:hAnsi="宋体" w:cs="宋体"/>
          <w:color w:val="auto"/>
          <w:sz w:val="21"/>
          <w:szCs w:val="21"/>
          <w:highlight w:val="none"/>
        </w:rPr>
        <w:t>（二）投标文件的语言及计量</w:t>
      </w:r>
      <w:bookmarkEnd w:id="140"/>
      <w:bookmarkEnd w:id="141"/>
      <w:bookmarkEnd w:id="142"/>
      <w:bookmarkEnd w:id="143"/>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*1.投标文件以及投标方与招标人就有关投标事宜的所有来往函电，均应以中文汉语书写。除签名、盖章、专用名称等特殊情形外，以中文汉语以外的文字表述的投标文件视同未提供。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pStyle w:val="2"/>
        <w:spacing w:before="0" w:after="0" w:line="360" w:lineRule="auto"/>
        <w:ind w:firstLine="316" w:firstLineChars="150"/>
        <w:jc w:val="left"/>
        <w:rPr>
          <w:rFonts w:ascii="宋体" w:hAnsi="宋体" w:cs="宋体"/>
          <w:b w:val="0"/>
          <w:color w:val="auto"/>
          <w:szCs w:val="21"/>
          <w:highlight w:val="none"/>
        </w:rPr>
      </w:pPr>
      <w:bookmarkStart w:id="144" w:name="_Toc460416656"/>
      <w:bookmarkStart w:id="145" w:name="_Toc460857915"/>
      <w:bookmarkStart w:id="146" w:name="_Toc24902"/>
      <w:bookmarkStart w:id="147" w:name="_Toc460416351"/>
      <w:r>
        <w:rPr>
          <w:rFonts w:hint="eastAsia" w:ascii="宋体" w:hAnsi="宋体" w:cs="宋体"/>
          <w:color w:val="auto"/>
          <w:sz w:val="21"/>
          <w:szCs w:val="21"/>
          <w:highlight w:val="none"/>
        </w:rPr>
        <w:t>（三）投标报价</w:t>
      </w:r>
      <w:bookmarkEnd w:id="144"/>
      <w:bookmarkEnd w:id="145"/>
      <w:bookmarkEnd w:id="146"/>
      <w:bookmarkEnd w:id="147"/>
    </w:p>
    <w:p>
      <w:pPr>
        <w:pStyle w:val="19"/>
        <w:snapToGrid w:val="0"/>
        <w:spacing w:beforeLines="0" w:afterLines="0"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1.投标报价应按招标文件中相关附表格式填写。</w:t>
      </w:r>
    </w:p>
    <w:p>
      <w:pPr>
        <w:tabs>
          <w:tab w:val="left" w:pos="525"/>
        </w:tabs>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*2.投标文件只允许有一个报价，有选择的或有条件的报价将不予接受。</w:t>
      </w:r>
    </w:p>
    <w:p>
      <w:pPr>
        <w:pStyle w:val="2"/>
        <w:spacing w:before="0" w:after="0" w:line="360" w:lineRule="auto"/>
        <w:ind w:firstLine="316" w:firstLineChars="150"/>
        <w:jc w:val="left"/>
        <w:rPr>
          <w:rFonts w:ascii="宋体" w:hAnsi="宋体" w:cs="宋体"/>
          <w:color w:val="auto"/>
          <w:sz w:val="21"/>
          <w:szCs w:val="21"/>
          <w:highlight w:val="none"/>
        </w:rPr>
      </w:pPr>
      <w:bookmarkStart w:id="148" w:name="_Toc460857916"/>
      <w:bookmarkStart w:id="149" w:name="_Toc26432"/>
      <w:r>
        <w:rPr>
          <w:rFonts w:hint="eastAsia" w:ascii="宋体" w:hAnsi="宋体" w:cs="宋体"/>
          <w:color w:val="auto"/>
          <w:sz w:val="21"/>
          <w:szCs w:val="21"/>
          <w:highlight w:val="none"/>
        </w:rPr>
        <w:t>（四）投标文件的有效期</w:t>
      </w:r>
      <w:bookmarkEnd w:id="148"/>
      <w:bookmarkEnd w:id="149"/>
    </w:p>
    <w:p>
      <w:pPr>
        <w:pStyle w:val="7"/>
        <w:widowControl w:val="0"/>
        <w:tabs>
          <w:tab w:val="clear" w:pos="454"/>
        </w:tabs>
        <w:snapToGrid w:val="0"/>
        <w:spacing w:afterLines="0" w:line="360" w:lineRule="auto"/>
        <w:ind w:left="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天投标文件应保持有效。有效期不足的投标文件将被拒绝。</w:t>
      </w:r>
    </w:p>
    <w:p>
      <w:pPr>
        <w:pStyle w:val="7"/>
        <w:widowControl w:val="0"/>
        <w:tabs>
          <w:tab w:val="clear" w:pos="454"/>
        </w:tabs>
        <w:snapToGrid w:val="0"/>
        <w:spacing w:afterLines="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2.在特殊情况下，招标人可与投标人协商延长投标书的有效期，这种要求和答复均以书面形式进行。</w:t>
      </w:r>
    </w:p>
    <w:p>
      <w:pPr>
        <w:pStyle w:val="7"/>
        <w:widowControl w:val="0"/>
        <w:tabs>
          <w:tab w:val="clear" w:pos="454"/>
        </w:tabs>
        <w:snapToGrid w:val="0"/>
        <w:spacing w:afterLines="0" w:line="360" w:lineRule="auto"/>
        <w:ind w:left="0" w:firstLine="420" w:firstLineChars="200"/>
        <w:rPr>
          <w:rFonts w:ascii="宋体" w:hAnsi="宋体" w:cs="宋体"/>
          <w:color w:val="auto"/>
          <w:sz w:val="21"/>
          <w:szCs w:val="21"/>
          <w:highlight w:val="none"/>
        </w:rPr>
      </w:pPr>
      <w:bookmarkStart w:id="150" w:name="_Toc460416352"/>
      <w:bookmarkStart w:id="151" w:name="_Toc460416657"/>
      <w:r>
        <w:rPr>
          <w:rFonts w:hint="eastAsia" w:ascii="宋体" w:hAnsi="宋体" w:cs="宋体"/>
          <w:color w:val="auto"/>
          <w:sz w:val="21"/>
          <w:szCs w:val="21"/>
          <w:highlight w:val="none"/>
        </w:rPr>
        <w:t>3.投标人可拒绝接受延期要求。同意延长有效期的投标人但不能修改投标文件。</w:t>
      </w:r>
      <w:bookmarkEnd w:id="150"/>
      <w:bookmarkEnd w:id="151"/>
    </w:p>
    <w:p>
      <w:pPr>
        <w:pStyle w:val="7"/>
        <w:widowControl w:val="0"/>
        <w:tabs>
          <w:tab w:val="clear" w:pos="454"/>
        </w:tabs>
        <w:snapToGrid w:val="0"/>
        <w:spacing w:afterLines="0" w:line="360" w:lineRule="auto"/>
        <w:ind w:left="0" w:firstLine="420" w:firstLineChars="200"/>
        <w:rPr>
          <w:rFonts w:ascii="宋体" w:hAnsi="宋体" w:cs="宋体"/>
          <w:color w:val="auto"/>
          <w:sz w:val="21"/>
          <w:szCs w:val="21"/>
          <w:highlight w:val="none"/>
        </w:rPr>
      </w:pPr>
      <w:bookmarkStart w:id="152" w:name="_Toc460416353"/>
      <w:bookmarkStart w:id="153" w:name="_Toc460416658"/>
      <w:r>
        <w:rPr>
          <w:rFonts w:hint="eastAsia" w:ascii="宋体" w:hAnsi="宋体" w:cs="宋体"/>
          <w:color w:val="auto"/>
          <w:sz w:val="21"/>
          <w:szCs w:val="21"/>
          <w:highlight w:val="none"/>
        </w:rPr>
        <w:t>4.中标人的投标文件自开标之日起至合同履行完毕止均应保持有效。</w:t>
      </w:r>
      <w:bookmarkEnd w:id="152"/>
      <w:bookmarkEnd w:id="153"/>
    </w:p>
    <w:p>
      <w:pPr>
        <w:spacing w:line="360" w:lineRule="auto"/>
        <w:ind w:firstLine="422" w:firstLineChars="200"/>
        <w:outlineLvl w:val="0"/>
        <w:rPr>
          <w:rFonts w:ascii="宋体" w:hAnsi="宋体" w:cs="宋体"/>
          <w:b/>
          <w:bCs/>
          <w:color w:val="auto"/>
          <w:szCs w:val="21"/>
          <w:highlight w:val="none"/>
        </w:rPr>
      </w:pPr>
      <w:bookmarkStart w:id="154" w:name="_Toc460416659"/>
      <w:bookmarkStart w:id="155" w:name="_Toc460416354"/>
      <w:bookmarkStart w:id="156" w:name="_Toc460857917"/>
      <w:bookmarkStart w:id="157" w:name="_Toc509831416"/>
      <w:bookmarkStart w:id="158" w:name="_Toc1318"/>
      <w:r>
        <w:rPr>
          <w:rFonts w:hint="eastAsia" w:ascii="宋体" w:hAnsi="宋体" w:cs="宋体"/>
          <w:b/>
          <w:bCs/>
          <w:color w:val="auto"/>
          <w:szCs w:val="21"/>
          <w:highlight w:val="none"/>
        </w:rPr>
        <w:t>（五）</w:t>
      </w:r>
      <w:bookmarkEnd w:id="154"/>
      <w:bookmarkEnd w:id="155"/>
      <w:bookmarkEnd w:id="156"/>
      <w:bookmarkEnd w:id="157"/>
      <w:bookmarkStart w:id="159" w:name="_Toc460857918"/>
      <w:bookmarkStart w:id="160" w:name="_Toc460416355"/>
      <w:bookmarkStart w:id="161" w:name="_Toc460416660"/>
      <w:r>
        <w:rPr>
          <w:rFonts w:hint="eastAsia" w:ascii="宋体" w:hAnsi="宋体" w:cs="宋体"/>
          <w:b/>
          <w:bCs/>
          <w:color w:val="auto"/>
          <w:szCs w:val="21"/>
          <w:highlight w:val="none"/>
        </w:rPr>
        <w:t>投标文件的签署和份数</w:t>
      </w:r>
      <w:bookmarkEnd w:id="158"/>
      <w:bookmarkEnd w:id="159"/>
      <w:bookmarkEnd w:id="160"/>
      <w:bookmarkEnd w:id="161"/>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1.投标人应按本招标文件规定的格式和顺序编制、装订投标文件并标注页码，投标文件内容不完整、编排混乱导致投标文件被误读、漏读或者查找不到相关内容的，是投标人的责任。</w:t>
      </w:r>
    </w:p>
    <w:p>
      <w:pPr>
        <w:tabs>
          <w:tab w:val="left" w:pos="518"/>
        </w:tabs>
        <w:adjustRightInd w:val="0"/>
        <w:snapToGrid w:val="0"/>
        <w:spacing w:line="360" w:lineRule="auto"/>
        <w:ind w:firstLine="420" w:firstLineChars="200"/>
        <w:rPr>
          <w:rFonts w:ascii="宋体" w:hAnsi="宋体" w:cs="宋体"/>
          <w:bCs/>
          <w:color w:val="auto"/>
          <w:szCs w:val="21"/>
          <w:highlight w:val="none"/>
        </w:rPr>
      </w:pPr>
      <w:bookmarkStart w:id="162" w:name="_Toc460857919"/>
      <w:r>
        <w:rPr>
          <w:rFonts w:hint="eastAsia" w:ascii="宋体" w:hAnsi="宋体" w:cs="宋体"/>
          <w:bCs/>
          <w:color w:val="auto"/>
          <w:szCs w:val="21"/>
          <w:highlight w:val="none"/>
        </w:rPr>
        <w:t>2.本项目实行网上投标，供应商应准备以下投标文件：</w:t>
      </w:r>
    </w:p>
    <w:p>
      <w:pPr>
        <w:tabs>
          <w:tab w:val="left" w:pos="518"/>
        </w:tabs>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（1）上传到政府采购云平台的电子投标文件（含资格证明文件、商务技术文件、报价文件）1份。</w:t>
      </w:r>
    </w:p>
    <w:p>
      <w:pPr>
        <w:tabs>
          <w:tab w:val="left" w:pos="518"/>
        </w:tabs>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（2）以U盘存储的电子备份投标文件（含资格证明文件、商务技术文件、报价文件）1份。</w:t>
      </w:r>
    </w:p>
    <w:p>
      <w:pPr>
        <w:tabs>
          <w:tab w:val="left" w:pos="518"/>
        </w:tabs>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3.电子投标文件：供应商应根据政府采购云平台的要求及本采购文件规定的格式和顺序编制电子投标文件并进行关联定位。</w:t>
      </w:r>
    </w:p>
    <w:p>
      <w:pPr>
        <w:pStyle w:val="2"/>
        <w:spacing w:before="0" w:after="0" w:line="360" w:lineRule="auto"/>
        <w:ind w:firstLine="316" w:firstLineChars="150"/>
        <w:jc w:val="left"/>
        <w:rPr>
          <w:rFonts w:ascii="宋体" w:hAnsi="宋体" w:cs="宋体"/>
          <w:color w:val="auto"/>
          <w:sz w:val="21"/>
          <w:szCs w:val="21"/>
          <w:highlight w:val="none"/>
        </w:rPr>
      </w:pPr>
      <w:bookmarkStart w:id="163" w:name="_Toc20965"/>
      <w:r>
        <w:rPr>
          <w:rFonts w:hint="eastAsia" w:ascii="宋体" w:hAnsi="宋体" w:cs="宋体"/>
          <w:color w:val="auto"/>
          <w:sz w:val="21"/>
          <w:szCs w:val="21"/>
          <w:highlight w:val="none"/>
        </w:rPr>
        <w:t>（六）投标文件的包装、递交、修改和撤回</w:t>
      </w:r>
      <w:bookmarkEnd w:id="162"/>
      <w:bookmarkEnd w:id="163"/>
    </w:p>
    <w:p>
      <w:pPr>
        <w:snapToGrid w:val="0"/>
        <w:spacing w:line="360" w:lineRule="auto"/>
        <w:ind w:firstLine="420"/>
        <w:jc w:val="left"/>
        <w:rPr>
          <w:rFonts w:ascii="宋体" w:hAnsi="宋体" w:cs="宋体"/>
          <w:color w:val="auto"/>
          <w:szCs w:val="21"/>
          <w:highlight w:val="none"/>
        </w:rPr>
      </w:pPr>
      <w:bookmarkStart w:id="164" w:name="_Toc460416661"/>
      <w:bookmarkStart w:id="165" w:name="_Toc460416356"/>
      <w:bookmarkStart w:id="166" w:name="_Toc460857920"/>
      <w:r>
        <w:rPr>
          <w:rFonts w:hint="eastAsia" w:ascii="宋体" w:hAnsi="宋体" w:cs="宋体"/>
          <w:color w:val="auto"/>
          <w:szCs w:val="21"/>
          <w:highlight w:val="none"/>
        </w:rPr>
        <w:t>1.以U盘存储的电子备份投标文件用封袋密封后递交。</w:t>
      </w:r>
      <w:r>
        <w:rPr>
          <w:rFonts w:ascii="宋体" w:hAnsi="宋体" w:cs="宋体"/>
          <w:color w:val="auto"/>
          <w:szCs w:val="21"/>
          <w:highlight w:val="none"/>
        </w:rPr>
        <w:t>“电子备份投标文件”应当密封包装，并在包装上标注投标项目编号、项目名称、</w:t>
      </w:r>
      <w:r>
        <w:rPr>
          <w:rFonts w:hint="eastAsia" w:ascii="宋体" w:hAnsi="宋体" w:cs="宋体"/>
          <w:color w:val="auto"/>
          <w:szCs w:val="21"/>
          <w:highlight w:val="none"/>
        </w:rPr>
        <w:t>标段号、投标人</w:t>
      </w:r>
      <w:r>
        <w:rPr>
          <w:rFonts w:ascii="宋体" w:hAnsi="宋体" w:cs="宋体"/>
          <w:color w:val="auto"/>
          <w:szCs w:val="21"/>
          <w:highlight w:val="none"/>
        </w:rPr>
        <w:t>名称等并加盖公章</w:t>
      </w:r>
      <w:r>
        <w:rPr>
          <w:rFonts w:hint="eastAsia" w:ascii="宋体" w:hAnsi="宋体" w:cs="宋体"/>
          <w:color w:val="auto"/>
          <w:szCs w:val="21"/>
          <w:highlight w:val="none"/>
        </w:rPr>
        <w:t>。</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2.未按规定密封或标记的电子备份投标文件将被拒绝，由此造成电子备份投标文件被误投或提前拆封的风险由投标人承担。</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 投标人在投标截止时间之前，可以对已提交的电子备份投标文件进行修改或撤回，并书面通知招标采购单位；投标截止时间后，投标人不得撤回、修改投标文件。修改后重新递交的电子备份投标文件应当按本采购文件的要求签署、盖章和密封。</w:t>
      </w:r>
    </w:p>
    <w:p>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pPr>
        <w:pStyle w:val="2"/>
        <w:spacing w:before="0" w:after="0" w:line="360" w:lineRule="auto"/>
        <w:ind w:firstLine="316" w:firstLineChars="150"/>
        <w:jc w:val="left"/>
        <w:rPr>
          <w:rFonts w:ascii="宋体" w:hAnsi="宋体" w:cs="宋体"/>
          <w:color w:val="auto"/>
          <w:sz w:val="21"/>
          <w:szCs w:val="21"/>
          <w:highlight w:val="none"/>
        </w:rPr>
      </w:pPr>
      <w:bookmarkStart w:id="167" w:name="_Toc5764"/>
      <w:r>
        <w:rPr>
          <w:rFonts w:hint="eastAsia" w:ascii="宋体" w:hAnsi="宋体" w:cs="宋体"/>
          <w:color w:val="auto"/>
          <w:sz w:val="21"/>
          <w:szCs w:val="21"/>
          <w:highlight w:val="none"/>
        </w:rPr>
        <w:t>（七）投标无效的情形</w:t>
      </w:r>
      <w:bookmarkEnd w:id="164"/>
      <w:bookmarkEnd w:id="165"/>
      <w:bookmarkEnd w:id="166"/>
      <w:bookmarkEnd w:id="167"/>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实质上没有响应招标文件要求的投标将被视为无效投标。投标人不得通过修正或撤消不合要求的偏离或保留从而使其投标成为实质上响应的投标。投标无效情形详见第四章《评标办法及评分标准》。</w:t>
      </w:r>
    </w:p>
    <w:p>
      <w:pPr>
        <w:pStyle w:val="2"/>
        <w:spacing w:before="0" w:after="0" w:line="360" w:lineRule="auto"/>
        <w:ind w:firstLine="316" w:firstLineChars="150"/>
        <w:jc w:val="left"/>
        <w:rPr>
          <w:rFonts w:ascii="宋体" w:hAnsi="宋体" w:cs="宋体"/>
          <w:color w:val="auto"/>
          <w:sz w:val="21"/>
          <w:szCs w:val="21"/>
          <w:highlight w:val="none"/>
        </w:rPr>
      </w:pPr>
      <w:bookmarkStart w:id="168" w:name="_Toc460857921"/>
      <w:bookmarkStart w:id="169" w:name="_Toc460416357"/>
      <w:bookmarkStart w:id="170" w:name="_Toc460416662"/>
      <w:bookmarkStart w:id="171" w:name="_Toc11654"/>
      <w:r>
        <w:rPr>
          <w:rFonts w:hint="eastAsia" w:ascii="宋体" w:hAnsi="宋体" w:cs="宋体"/>
          <w:color w:val="auto"/>
          <w:sz w:val="21"/>
          <w:szCs w:val="21"/>
          <w:highlight w:val="none"/>
        </w:rPr>
        <w:t>四、开标</w:t>
      </w:r>
      <w:bookmarkEnd w:id="168"/>
      <w:bookmarkEnd w:id="169"/>
      <w:bookmarkEnd w:id="170"/>
      <w:bookmarkEnd w:id="171"/>
    </w:p>
    <w:p>
      <w:pPr>
        <w:tabs>
          <w:tab w:val="left" w:pos="518"/>
        </w:tabs>
        <w:spacing w:line="360" w:lineRule="auto"/>
        <w:ind w:firstLine="420" w:firstLineChars="200"/>
        <w:rPr>
          <w:rFonts w:ascii="宋体" w:hAnsi="宋体" w:cs="宋体"/>
          <w:bCs/>
          <w:color w:val="auto"/>
          <w:szCs w:val="21"/>
          <w:highlight w:val="none"/>
        </w:rPr>
      </w:pPr>
      <w:bookmarkStart w:id="172" w:name="_Toc460857922"/>
      <w:r>
        <w:rPr>
          <w:rFonts w:hint="eastAsia" w:ascii="宋体" w:hAnsi="宋体" w:cs="宋体"/>
          <w:bCs/>
          <w:color w:val="auto"/>
          <w:szCs w:val="21"/>
          <w:highlight w:val="none"/>
        </w:rPr>
        <w:t>1、电子招投标开标程序：</w:t>
      </w:r>
    </w:p>
    <w:p>
      <w:pPr>
        <w:numPr>
          <w:ilvl w:val="0"/>
          <w:numId w:val="7"/>
        </w:num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w:t>
      </w:r>
      <w:r>
        <w:rPr>
          <w:rFonts w:ascii="宋体" w:hAnsi="宋体" w:cs="宋体"/>
          <w:color w:val="auto"/>
          <w:szCs w:val="21"/>
          <w:highlight w:val="none"/>
        </w:rPr>
        <w:t>“</w:t>
      </w:r>
      <w:r>
        <w:rPr>
          <w:rFonts w:hint="eastAsia" w:ascii="宋体" w:hAnsi="宋体" w:cs="宋体"/>
          <w:color w:val="auto"/>
          <w:szCs w:val="21"/>
          <w:highlight w:val="none"/>
        </w:rPr>
        <w:t>项目采购-开标评标</w:t>
      </w:r>
      <w:r>
        <w:rPr>
          <w:rFonts w:ascii="宋体" w:hAnsi="宋体" w:cs="宋体"/>
          <w:color w:val="auto"/>
          <w:szCs w:val="21"/>
          <w:highlight w:val="none"/>
        </w:rPr>
        <w:t>”</w:t>
      </w:r>
      <w:r>
        <w:rPr>
          <w:rFonts w:hint="eastAsia" w:ascii="宋体" w:hAnsi="宋体" w:cs="宋体"/>
          <w:color w:val="auto"/>
          <w:szCs w:val="21"/>
          <w:highlight w:val="none"/>
        </w:rPr>
        <w:t>功能对电子投标文件进行在线解密，在线解密电子投标文件时间为开标时间后30分钟内。</w:t>
      </w:r>
    </w:p>
    <w:p>
      <w:pPr>
        <w:numPr>
          <w:ilvl w:val="0"/>
          <w:numId w:val="7"/>
        </w:num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w:t>
      </w:r>
      <w:r>
        <w:rPr>
          <w:rFonts w:ascii="宋体" w:hAnsi="宋体" w:cs="宋体"/>
          <w:color w:val="auto"/>
          <w:szCs w:val="21"/>
          <w:highlight w:val="none"/>
        </w:rPr>
        <w:t>“</w:t>
      </w:r>
      <w:r>
        <w:rPr>
          <w:rFonts w:hint="eastAsia" w:ascii="宋体" w:hAnsi="宋体" w:cs="宋体"/>
          <w:color w:val="auto"/>
          <w:szCs w:val="21"/>
          <w:highlight w:val="none"/>
        </w:rPr>
        <w:t>资格证明文件、商务技术文件、报价文件</w:t>
      </w:r>
      <w:r>
        <w:rPr>
          <w:rFonts w:ascii="宋体" w:hAnsi="宋体" w:cs="宋体"/>
          <w:color w:val="auto"/>
          <w:szCs w:val="21"/>
          <w:highlight w:val="none"/>
        </w:rPr>
        <w:t>”</w:t>
      </w:r>
      <w:r>
        <w:rPr>
          <w:rFonts w:hint="eastAsia" w:ascii="宋体" w:hAnsi="宋体" w:cs="宋体"/>
          <w:color w:val="auto"/>
          <w:szCs w:val="21"/>
          <w:highlight w:val="none"/>
        </w:rPr>
        <w:t>，并做开标记录；</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（3）在政府采购云平台宣告评审无效供应商名单及理由；</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）在政府采购云平台公布评审结果。</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（5）开标会议结束。</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2、特别说明：政府采购云平台如对电子化开标及评审程序有调整的，按调整后的程序操作。</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）若有供应商在规定时间内</w:t>
      </w:r>
      <w:r>
        <w:rPr>
          <w:rFonts w:ascii="宋体" w:hAnsi="宋体" w:cs="宋体"/>
          <w:color w:val="auto"/>
          <w:szCs w:val="21"/>
          <w:highlight w:val="none"/>
        </w:rPr>
        <w:t>“电子加密投标文件”</w:t>
      </w:r>
      <w:r>
        <w:rPr>
          <w:rFonts w:hint="eastAsia" w:ascii="宋体" w:hAnsi="宋体" w:cs="宋体"/>
          <w:color w:val="auto"/>
          <w:szCs w:val="21"/>
          <w:highlight w:val="none"/>
        </w:rPr>
        <w:t>无法解密或解密失败，代理机构将开启该供应商递交的以U盘存储的电子备份投标文件，上传至政采云平台项目采购模块，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A.电子交易平台发生故障而无法登录访问的； </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B.电子交易平台应用或数据库出现错误，不能进行正常操作的；</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C.电子交易平台发现严重安全漏洞，有潜在泄密危险的；</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D.病毒发作导致不能进行正常操作的； </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E.其他无法保证电子交易的公平、公正和安全的情况。</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tabs>
          <w:tab w:val="left" w:pos="518"/>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（3）未开启的备份投标文件现场予以退还。</w:t>
      </w:r>
    </w:p>
    <w:bookmarkEnd w:id="172"/>
    <w:p>
      <w:pPr>
        <w:spacing w:line="360" w:lineRule="auto"/>
        <w:ind w:firstLine="422" w:firstLineChars="200"/>
        <w:outlineLvl w:val="0"/>
        <w:rPr>
          <w:rFonts w:ascii="宋体" w:hAnsi="宋体" w:cs="宋体"/>
          <w:b/>
          <w:bCs/>
          <w:color w:val="auto"/>
          <w:szCs w:val="21"/>
          <w:highlight w:val="none"/>
        </w:rPr>
      </w:pPr>
      <w:bookmarkStart w:id="173" w:name="_Toc460857924"/>
      <w:bookmarkStart w:id="174" w:name="_Toc460416358"/>
      <w:bookmarkStart w:id="175" w:name="_Toc18832"/>
      <w:bookmarkStart w:id="176" w:name="_Toc460416663"/>
      <w:r>
        <w:rPr>
          <w:rFonts w:hint="eastAsia" w:ascii="宋体" w:hAnsi="宋体" w:cs="宋体"/>
          <w:b/>
          <w:bCs/>
          <w:color w:val="auto"/>
          <w:szCs w:val="21"/>
          <w:highlight w:val="none"/>
        </w:rPr>
        <w:t>五、评标</w:t>
      </w:r>
      <w:bookmarkEnd w:id="173"/>
      <w:bookmarkEnd w:id="174"/>
      <w:bookmarkEnd w:id="175"/>
      <w:bookmarkEnd w:id="176"/>
    </w:p>
    <w:p>
      <w:pPr>
        <w:spacing w:line="360" w:lineRule="auto"/>
        <w:ind w:firstLine="420" w:firstLineChars="200"/>
        <w:rPr>
          <w:rFonts w:ascii="宋体" w:hAnsi="宋体" w:cs="宋体"/>
          <w:color w:val="auto"/>
          <w:szCs w:val="21"/>
          <w:highlight w:val="none"/>
        </w:rPr>
      </w:pPr>
      <w:bookmarkStart w:id="177" w:name="_Toc460857925"/>
      <w:r>
        <w:rPr>
          <w:rFonts w:hint="eastAsia" w:ascii="宋体" w:hAnsi="宋体" w:cs="宋体"/>
          <w:color w:val="auto"/>
          <w:szCs w:val="21"/>
          <w:highlight w:val="none"/>
        </w:rPr>
        <w:t>（一）组建评标委员会</w:t>
      </w:r>
      <w:bookmarkEnd w:id="177"/>
    </w:p>
    <w:p>
      <w:pPr>
        <w:pStyle w:val="19"/>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本项目评标委员会由政府采购评审专家和采购人代表组成。</w:t>
      </w:r>
    </w:p>
    <w:p>
      <w:pPr>
        <w:spacing w:line="360" w:lineRule="auto"/>
        <w:ind w:firstLine="420" w:firstLineChars="200"/>
        <w:rPr>
          <w:rFonts w:ascii="宋体" w:hAnsi="宋体" w:cs="宋体"/>
          <w:color w:val="auto"/>
          <w:szCs w:val="21"/>
          <w:highlight w:val="none"/>
        </w:rPr>
      </w:pPr>
      <w:bookmarkStart w:id="178" w:name="_Toc460857926"/>
      <w:r>
        <w:rPr>
          <w:rFonts w:hint="eastAsia" w:ascii="宋体" w:hAnsi="宋体" w:cs="宋体"/>
          <w:color w:val="auto"/>
          <w:szCs w:val="21"/>
          <w:highlight w:val="none"/>
        </w:rPr>
        <w:t>（二）评标的方式</w:t>
      </w:r>
      <w:bookmarkEnd w:id="178"/>
    </w:p>
    <w:p>
      <w:pPr>
        <w:pStyle w:val="19"/>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pPr>
        <w:spacing w:line="360" w:lineRule="auto"/>
        <w:ind w:firstLine="420" w:firstLineChars="200"/>
        <w:rPr>
          <w:rFonts w:ascii="宋体" w:hAnsi="宋体" w:cs="宋体"/>
          <w:color w:val="auto"/>
          <w:szCs w:val="21"/>
          <w:highlight w:val="none"/>
        </w:rPr>
      </w:pPr>
      <w:bookmarkStart w:id="179" w:name="_Toc460857927"/>
      <w:r>
        <w:rPr>
          <w:rFonts w:hint="eastAsia" w:ascii="宋体" w:hAnsi="宋体" w:cs="宋体"/>
          <w:color w:val="auto"/>
          <w:szCs w:val="21"/>
          <w:highlight w:val="none"/>
        </w:rPr>
        <w:t>（三）评标程序</w:t>
      </w:r>
      <w:bookmarkEnd w:id="179"/>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1.资格审查</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采购人代表和代理机构工作人员对投标人的资格进行审查。</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2.符合性审查与比较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（1）评标委员会审查投标文件的实质性内容是否符合招标文件的实质性要求。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（2）评标委员会将根据投标人的投标文件进行审查、核对,如有疑问,将对投标人进行询标，投标人要向评标委员会澄清有关问题,并最终以书面形式进行答复。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投标人代表未到场或者拒绝澄清或者澄清的内容改变了投标文件的实质性内容的，评标委员会有权对该投标文件作出不利于投标人的评判。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（3）各投标人的技术商务得分为所有评委的有效评分的算术平均数，对明显畸高、畸低的评分（</w:t>
      </w:r>
      <w:r>
        <w:rPr>
          <w:rFonts w:hint="eastAsia"/>
          <w:bCs/>
          <w:color w:val="auto"/>
          <w:szCs w:val="21"/>
          <w:highlight w:val="none"/>
        </w:rPr>
        <w:t>评审小组成员个人主观打分偏离所有评审小组成员主观打分平均值30%以上的</w:t>
      </w:r>
      <w:r>
        <w:rPr>
          <w:rFonts w:hint="eastAsia" w:ascii="宋体" w:hAnsi="宋体" w:cs="宋体"/>
          <w:color w:val="auto"/>
          <w:szCs w:val="21"/>
          <w:highlight w:val="none"/>
        </w:rPr>
        <w:t>），评审小组组长应提醒相关评审人员进行复核或书面说明理由。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（4）采购代理机构工作人员协助评标委员会根据本项目的评分标准计算各投标人的商务报价得分。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（5）评标委员会完成评标后,评委对各部分得分汇总,计算出本项目最终得分。评标委员会按评标原则推荐中标候选人同时起草评标报告。</w:t>
      </w:r>
    </w:p>
    <w:p>
      <w:pPr>
        <w:spacing w:line="360" w:lineRule="auto"/>
        <w:ind w:firstLine="420" w:firstLineChars="200"/>
        <w:rPr>
          <w:rFonts w:ascii="宋体" w:hAnsi="宋体" w:cs="宋体"/>
          <w:color w:val="auto"/>
          <w:szCs w:val="21"/>
          <w:highlight w:val="none"/>
        </w:rPr>
      </w:pPr>
      <w:bookmarkStart w:id="180" w:name="_Toc460857928"/>
      <w:r>
        <w:rPr>
          <w:rFonts w:hint="eastAsia" w:ascii="宋体" w:hAnsi="宋体" w:cs="宋体"/>
          <w:color w:val="auto"/>
          <w:szCs w:val="21"/>
          <w:highlight w:val="none"/>
        </w:rPr>
        <w:t>（四）澄清问题的形式</w:t>
      </w:r>
      <w:bookmarkEnd w:id="180"/>
    </w:p>
    <w:p>
      <w:pPr>
        <w:widowControl/>
        <w:spacing w:line="360" w:lineRule="auto"/>
        <w:ind w:firstLine="420" w:firstLineChars="200"/>
        <w:rPr>
          <w:rFonts w:ascii="宋体" w:hAnsi="宋体" w:cs="宋体"/>
          <w:color w:val="auto"/>
          <w:szCs w:val="21"/>
          <w:highlight w:val="none"/>
        </w:rPr>
      </w:pPr>
      <w:bookmarkStart w:id="181" w:name="_Toc460857930"/>
      <w:r>
        <w:rPr>
          <w:rFonts w:hint="eastAsia" w:ascii="宋体" w:hAnsi="宋体" w:cs="宋体"/>
          <w:color w:val="auto"/>
          <w:szCs w:val="21"/>
          <w:highlight w:val="none"/>
        </w:rPr>
        <w:t>对于投标文件中含义不明确、同类问题表述不一致或者有明显文字和计算错误的内容，评标委员会可要求投标人以书面形式作出必要的澄清、说明或者补正。</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（五）评标原则和评标办法</w:t>
      </w:r>
      <w:bookmarkEnd w:id="181"/>
    </w:p>
    <w:p>
      <w:pPr>
        <w:pStyle w:val="19"/>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2.评标办法。本项目评标办法是</w:t>
      </w:r>
      <w:r>
        <w:rPr>
          <w:rFonts w:hint="eastAsia" w:hAnsi="宋体" w:cs="宋体"/>
          <w:color w:val="auto"/>
          <w:sz w:val="21"/>
          <w:szCs w:val="21"/>
          <w:highlight w:val="none"/>
          <w:u w:val="single"/>
        </w:rPr>
        <w:t xml:space="preserve"> 综合评分法 </w:t>
      </w:r>
      <w:r>
        <w:rPr>
          <w:rFonts w:hint="eastAsia" w:hAnsi="宋体" w:cs="宋体"/>
          <w:color w:val="auto"/>
          <w:sz w:val="21"/>
          <w:szCs w:val="21"/>
          <w:highlight w:val="none"/>
        </w:rPr>
        <w:t>，具体评标内容及评分标准等详见《第四章 评标办法及评分标准》。</w:t>
      </w:r>
    </w:p>
    <w:p>
      <w:pPr>
        <w:spacing w:line="360" w:lineRule="auto"/>
        <w:ind w:firstLine="422" w:firstLineChars="200"/>
        <w:outlineLvl w:val="0"/>
        <w:rPr>
          <w:rFonts w:ascii="宋体" w:hAnsi="宋体" w:cs="宋体"/>
          <w:b/>
          <w:bCs/>
          <w:color w:val="auto"/>
          <w:szCs w:val="21"/>
          <w:highlight w:val="none"/>
        </w:rPr>
      </w:pPr>
      <w:bookmarkStart w:id="182" w:name="_Toc460857931"/>
      <w:bookmarkStart w:id="183" w:name="_Toc25394"/>
      <w:r>
        <w:rPr>
          <w:rFonts w:hint="eastAsia" w:ascii="宋体" w:hAnsi="宋体" w:cs="宋体"/>
          <w:b/>
          <w:bCs/>
          <w:color w:val="auto"/>
          <w:szCs w:val="21"/>
          <w:highlight w:val="none"/>
        </w:rPr>
        <w:t>六、采购方式变更</w:t>
      </w:r>
      <w:bookmarkEnd w:id="182"/>
      <w:bookmarkEnd w:id="183"/>
    </w:p>
    <w:p>
      <w:pPr>
        <w:spacing w:line="360" w:lineRule="auto"/>
        <w:ind w:firstLine="420" w:firstLineChars="200"/>
        <w:rPr>
          <w:rFonts w:ascii="宋体" w:hAnsi="宋体" w:cs="宋体"/>
          <w:color w:val="auto"/>
          <w:szCs w:val="21"/>
          <w:highlight w:val="none"/>
        </w:rPr>
      </w:pPr>
      <w:bookmarkStart w:id="184" w:name="_Toc460857932"/>
      <w:r>
        <w:rPr>
          <w:rFonts w:hint="eastAsia" w:ascii="宋体" w:hAnsi="宋体" w:cs="宋体"/>
          <w:color w:val="auto"/>
          <w:szCs w:val="21"/>
          <w:highlight w:val="none"/>
        </w:rPr>
        <w:t>1.政府采购的国内公开招标，采购响应截至时间至或评审期间，出现参与采购响应或者对采购文件作出实质性响应的投标人不足3家的情况，招标人有权全部或部分终止招标。</w:t>
      </w:r>
    </w:p>
    <w:p>
      <w:pPr>
        <w:spacing w:line="360" w:lineRule="auto"/>
        <w:ind w:firstLine="422" w:firstLineChars="200"/>
        <w:outlineLvl w:val="0"/>
        <w:rPr>
          <w:rFonts w:ascii="宋体" w:hAnsi="宋体" w:cs="宋体"/>
          <w:b/>
          <w:bCs/>
          <w:color w:val="auto"/>
          <w:szCs w:val="21"/>
          <w:highlight w:val="none"/>
        </w:rPr>
      </w:pPr>
      <w:bookmarkStart w:id="185" w:name="_Toc23096"/>
      <w:r>
        <w:rPr>
          <w:rFonts w:hint="eastAsia" w:ascii="宋体" w:hAnsi="宋体" w:cs="宋体"/>
          <w:b/>
          <w:bCs/>
          <w:color w:val="auto"/>
          <w:szCs w:val="21"/>
          <w:highlight w:val="none"/>
        </w:rPr>
        <w:t>七、定标</w:t>
      </w:r>
      <w:bookmarkEnd w:id="184"/>
      <w:bookmarkEnd w:id="185"/>
    </w:p>
    <w:p>
      <w:pPr>
        <w:spacing w:line="360" w:lineRule="auto"/>
        <w:ind w:firstLine="420" w:firstLineChars="200"/>
        <w:rPr>
          <w:rFonts w:ascii="宋体" w:hAnsi="宋体" w:cs="宋体"/>
          <w:color w:val="auto"/>
          <w:szCs w:val="21"/>
          <w:highlight w:val="none"/>
        </w:rPr>
      </w:pPr>
      <w:bookmarkStart w:id="186" w:name="_Toc460416359"/>
      <w:bookmarkStart w:id="187" w:name="_Toc460857934"/>
      <w:bookmarkStart w:id="188" w:name="_Toc460416664"/>
      <w:r>
        <w:rPr>
          <w:rFonts w:hint="eastAsia" w:ascii="宋体" w:hAnsi="宋体" w:cs="宋体"/>
          <w:color w:val="auto"/>
          <w:szCs w:val="21"/>
          <w:highlight w:val="none"/>
        </w:rPr>
        <w:t>1.确定中标人。采购人将根据评标委员会提交的评标报告及推荐的中标候选人，确定第一中标候选人为中标人，如排序并列，按技术得分高者为中标人，如技术得分相同，抽签确定中标人。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2.采购代理机构在评标结束后2个工作日内将评标报告交采购人确认，采购人在收到评标报告之日起5个工作日内在评标报告确定的中标候选人中按顺序确定中标人。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3.采购代理机构自中标人确定之日起2个工作日内，在发布招标公告的网站上对中标结果进行公示，中标结果公告期限为1个工作日。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4.凡发现中标人有下列行为之一的，将移交政府采购监督管理部门依法处理：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(2)采取不正当手段诋毁、排挤其他投标人的；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(3)与采购人、其他投标人或者采购代理机构工作人员恶意串通的；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(4)向采购人或采购代理机构人员行贿或者提供其他不正当利益的；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(5)拒绝有关部门监督检查或者提供虚假情况的；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(6)有法律、法规规定的其他损害采购人利益和社会公共利益情形的。</w:t>
      </w:r>
    </w:p>
    <w:p>
      <w:pPr>
        <w:spacing w:line="360" w:lineRule="auto"/>
        <w:ind w:firstLine="422" w:firstLineChars="200"/>
        <w:outlineLvl w:val="0"/>
        <w:rPr>
          <w:rFonts w:ascii="宋体" w:hAnsi="宋体" w:cs="宋体"/>
          <w:b/>
          <w:bCs/>
          <w:color w:val="auto"/>
          <w:szCs w:val="21"/>
          <w:highlight w:val="none"/>
        </w:rPr>
      </w:pPr>
      <w:bookmarkStart w:id="189" w:name="_Toc16853"/>
      <w:r>
        <w:rPr>
          <w:rFonts w:hint="eastAsia" w:ascii="宋体" w:hAnsi="宋体" w:cs="宋体"/>
          <w:b/>
          <w:bCs/>
          <w:color w:val="auto"/>
          <w:szCs w:val="21"/>
          <w:highlight w:val="none"/>
        </w:rPr>
        <w:t>八、评标过程的监控</w:t>
      </w:r>
      <w:bookmarkEnd w:id="18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1.本项目评标过程实行全程录音、录像监控，投标人在评标过程中所进行的试图影响评标结果的不公正活动，可能导致其投标被拒绝。</w:t>
      </w:r>
    </w:p>
    <w:p>
      <w:pPr>
        <w:spacing w:line="360" w:lineRule="auto"/>
        <w:ind w:firstLine="422" w:firstLineChars="200"/>
        <w:outlineLvl w:val="0"/>
        <w:rPr>
          <w:rFonts w:ascii="宋体" w:hAnsi="宋体" w:cs="宋体"/>
          <w:b/>
          <w:bCs/>
          <w:color w:val="auto"/>
          <w:szCs w:val="21"/>
          <w:highlight w:val="none"/>
        </w:rPr>
      </w:pPr>
      <w:bookmarkStart w:id="190" w:name="_Toc7076"/>
      <w:r>
        <w:rPr>
          <w:rFonts w:hint="eastAsia" w:ascii="宋体" w:hAnsi="宋体" w:cs="宋体"/>
          <w:b/>
          <w:bCs/>
          <w:color w:val="auto"/>
          <w:szCs w:val="21"/>
          <w:highlight w:val="none"/>
        </w:rPr>
        <w:t>九、合同授予</w:t>
      </w:r>
      <w:bookmarkEnd w:id="186"/>
      <w:bookmarkEnd w:id="187"/>
      <w:bookmarkEnd w:id="188"/>
      <w:bookmarkEnd w:id="190"/>
    </w:p>
    <w:p>
      <w:pPr>
        <w:spacing w:line="360" w:lineRule="auto"/>
        <w:ind w:firstLine="420" w:firstLineChars="200"/>
        <w:rPr>
          <w:rFonts w:ascii="宋体" w:hAnsi="宋体" w:cs="宋体"/>
          <w:color w:val="auto"/>
          <w:szCs w:val="21"/>
          <w:highlight w:val="none"/>
        </w:rPr>
      </w:pPr>
      <w:bookmarkStart w:id="191" w:name="_Toc460857935"/>
      <w:r>
        <w:rPr>
          <w:rFonts w:hint="eastAsia" w:ascii="宋体" w:hAnsi="宋体" w:cs="宋体"/>
          <w:color w:val="auto"/>
          <w:szCs w:val="21"/>
          <w:highlight w:val="none"/>
        </w:rPr>
        <w:t>（一）签订合同</w:t>
      </w:r>
      <w:bookmarkEnd w:id="19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1.采购人与中标人应当在《中标通知书》发出之日起</w:t>
      </w:r>
      <w:r>
        <w:rPr>
          <w:rFonts w:hint="eastAsia" w:ascii="宋体" w:hAnsi="宋体" w:cs="宋体"/>
          <w:b/>
          <w:color w:val="auto"/>
          <w:szCs w:val="21"/>
          <w:highlight w:val="none"/>
          <w:u w:val="single"/>
        </w:rPr>
        <w:t>30</w:t>
      </w:r>
      <w:r>
        <w:rPr>
          <w:rFonts w:hint="eastAsia" w:ascii="宋体" w:hAnsi="宋体" w:cs="宋体"/>
          <w:color w:val="auto"/>
          <w:szCs w:val="21"/>
          <w:highlight w:val="none"/>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2.中标人如不遵守招标文件或投标文件各项条款的邀约与要约，或在接到中标通知书后借故拖延，拒签合同的，给采购人造成的损失的还应当予以赔偿，并取消中标资格。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3.合同中卖方的约定：如中标产品为国产产品，中标人即为合同卖方；如中标产品为进口产品，外贸合同中的卖方应为中标产品的境外制造厂家或中标人指定的境外公司。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4.中标人所投产品若包含进口产品，采购人有权确定并自行委托进口代理公司代理相关手续（包括但不限于签订外贸合同等）。</w:t>
      </w:r>
    </w:p>
    <w:p>
      <w:pPr>
        <w:spacing w:line="360" w:lineRule="auto"/>
        <w:ind w:firstLine="420" w:firstLineChars="200"/>
        <w:rPr>
          <w:rFonts w:ascii="宋体" w:hAnsi="宋体" w:cs="宋体"/>
          <w:color w:val="auto"/>
          <w:szCs w:val="21"/>
          <w:highlight w:val="none"/>
        </w:rPr>
      </w:pPr>
      <w:bookmarkStart w:id="192" w:name="_Toc460857936"/>
      <w:r>
        <w:rPr>
          <w:rFonts w:hint="eastAsia" w:ascii="宋体" w:hAnsi="宋体" w:cs="宋体"/>
          <w:color w:val="auto"/>
          <w:szCs w:val="21"/>
          <w:highlight w:val="none"/>
        </w:rPr>
        <w:t>（二）履约保证金（如有）</w:t>
      </w:r>
      <w:bookmarkEnd w:id="192"/>
    </w:p>
    <w:p>
      <w:pPr>
        <w:pStyle w:val="19"/>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1.签订合同前，中标人应按招标文件确定的履约保证金的金额，向采购人交纳履约保证金。</w:t>
      </w:r>
    </w:p>
    <w:p>
      <w:pPr>
        <w:pStyle w:val="19"/>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2.签订合同后，如中标人不按双方合同约定履约，则没收其全部履约保证金，履约保证金不足以赔偿损失的，按实际损失赔偿。</w:t>
      </w:r>
    </w:p>
    <w:p>
      <w:pPr>
        <w:spacing w:line="360" w:lineRule="auto"/>
        <w:ind w:firstLine="422" w:firstLineChars="200"/>
        <w:outlineLvl w:val="0"/>
        <w:rPr>
          <w:rFonts w:ascii="宋体" w:hAnsi="宋体" w:cs="宋体"/>
          <w:b/>
          <w:bCs/>
          <w:color w:val="auto"/>
          <w:szCs w:val="21"/>
          <w:highlight w:val="none"/>
        </w:rPr>
      </w:pPr>
      <w:bookmarkStart w:id="193" w:name="_Toc460857937"/>
      <w:bookmarkStart w:id="194" w:name="_Toc14388"/>
      <w:r>
        <w:rPr>
          <w:rFonts w:hint="eastAsia" w:ascii="宋体" w:hAnsi="宋体" w:cs="宋体"/>
          <w:b/>
          <w:bCs/>
          <w:color w:val="auto"/>
          <w:szCs w:val="21"/>
          <w:highlight w:val="none"/>
        </w:rPr>
        <w:t>十、特别说明</w:t>
      </w:r>
      <w:bookmarkEnd w:id="193"/>
      <w:bookmarkEnd w:id="194"/>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highlight w:val="none"/>
        </w:rPr>
        <w:t xml:space="preserve"> 提供相同品牌产品且通过资格审查、符合性审查的不同投标人参加同一合同项下投标的，按一家投标人计算。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非单一产品采购项目，投标人使用相同制造产品（相同制造产品是指采购文件中指定的“核心产品”）作为其项目的一部分，按一家投标人认定。</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highlight w:val="none"/>
        </w:rPr>
        <w:t xml:space="preserve"> 以下为中小企业政策说明</w:t>
      </w:r>
    </w:p>
    <w:p>
      <w:pPr>
        <w:spacing w:line="360" w:lineRule="auto"/>
        <w:ind w:firstLine="420" w:firstLineChars="200"/>
        <w:rPr>
          <w:rFonts w:hint="eastAsia" w:ascii="宋体" w:hAnsi="宋体" w:cs="宋体"/>
          <w:b/>
          <w:bCs/>
          <w:color w:val="auto"/>
          <w:szCs w:val="21"/>
          <w:highlight w:val="none"/>
          <w:lang w:val="en-US" w:eastAsia="zh-CN"/>
        </w:rPr>
      </w:pPr>
      <w:r>
        <w:rPr>
          <w:rFonts w:hint="eastAsia" w:ascii="宋体" w:hAnsi="宋体" w:cs="宋体"/>
          <w:color w:val="auto"/>
          <w:szCs w:val="21"/>
          <w:highlight w:val="none"/>
        </w:rPr>
        <w:t>2.1本项目为</w:t>
      </w:r>
      <w:r>
        <w:rPr>
          <w:rFonts w:hint="eastAsia" w:ascii="宋体" w:hAnsi="宋体" w:cs="宋体"/>
          <w:b/>
          <w:bCs/>
          <w:color w:val="auto"/>
          <w:szCs w:val="21"/>
          <w:highlight w:val="none"/>
          <w:u w:val="single"/>
        </w:rPr>
        <w:t>服务</w:t>
      </w:r>
      <w:r>
        <w:rPr>
          <w:rFonts w:hint="eastAsia" w:ascii="宋体" w:hAnsi="宋体" w:cs="宋体"/>
          <w:color w:val="auto"/>
          <w:szCs w:val="21"/>
          <w:highlight w:val="none"/>
        </w:rPr>
        <w:t>采购项目，</w:t>
      </w:r>
      <w:r>
        <w:rPr>
          <w:rFonts w:hint="eastAsia" w:ascii="宋体" w:hAnsi="宋体" w:cs="宋体"/>
          <w:b/>
          <w:bCs/>
          <w:color w:val="auto"/>
          <w:szCs w:val="21"/>
          <w:highlight w:val="none"/>
          <w:lang w:val="en-US" w:eastAsia="zh-CN"/>
        </w:rPr>
        <w:t>为预留部分采购项目预算专门面向中小企业采购。对于预留份额，提供的服务由符合政策要求的中小企业承接。预留份额通过以下措施进行，投标人可选择以下其中一种方式参与：</w:t>
      </w:r>
    </w:p>
    <w:p>
      <w:pPr>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2.2.1以联合体形式参加，提供联合体协议书和中小企业声明函，联合协议中中小企业承担的合同份额占合同总金额的40%（其中小微企业承担的合同份额占合同总金额的28%）；如果供应商本身提供所有标的中中小企业合承担的合同份额占合同总金额的40%（其中小微企业承担的合同份额占合同总金额的28%），视同符合了资格条件，不强制要求再与其他中小企业组成联合体参加政府采购活动，则无需提供联合体协议书；</w:t>
      </w:r>
    </w:p>
    <w:p>
      <w:pPr>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2.2.2以合同分包形式参加，提供分包意向协议和中小企业声明函，分包意向协议中中小企业承担的合同份额占合同总金额的40%（其中小微企业承担的合同份额占合同总金额的28%），接受分包合同的中小企业与分包企业之间不得存在直接控股、管理关系；如果供应商本身提供所有标的中中小企业合承担的合同份额占合同总金额的40%（其中小微企业承担的合同份额占合同总金额的28%），视同符合了资格条件，不强制要求再向中小企业分包，无需提供分包意向协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2.2.3供应商本身提供所有标的中中小企业合承担的合同份额占合同总金额的40%（其中小微企业承担的合同份额占合同总金额的28%），提供中小企业声明函。】</w:t>
      </w:r>
      <w:r>
        <w:rPr>
          <w:rFonts w:hint="eastAsia" w:ascii="宋体" w:hAnsi="宋体" w:cs="宋体"/>
          <w:b/>
          <w:bCs/>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2.2本项目对应的中小企业划分标准所属行业：</w:t>
      </w:r>
      <w:r>
        <w:rPr>
          <w:rFonts w:hint="eastAsia" w:ascii="宋体" w:hAnsi="宋体" w:cs="宋体"/>
          <w:b/>
          <w:bCs/>
          <w:color w:val="auto"/>
          <w:highlight w:val="none"/>
          <w:u w:val="single"/>
        </w:rPr>
        <w:t>软件和信息技术服务业</w:t>
      </w:r>
      <w:r>
        <w:rPr>
          <w:rFonts w:hint="eastAsia" w:ascii="宋体" w:hAnsi="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2.3小微企业是指中华人民共和国境内依法设立，依据国务院批准的中小企业划分标准确定的小型企业和微型企业，但与大企业的负责人为同一人，或者与大企业存在直接控股、管理关系的除外。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符合中小企业划分标准的个体工商户，在政府采购活动中视同中小企业。</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国务院批准的中小企业划分标准：具体见工信部联企业[2011]300号。</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2.4在政府采购活动中，供应商提供的货物、工程或者服务符合下列情形的，可享受小型、微型企业（以下简称小微企业）的价格扣除：</w:t>
      </w:r>
    </w:p>
    <w:p>
      <w:pPr>
        <w:adjustRightInd w:val="0"/>
        <w:snapToGrid w:val="0"/>
        <w:spacing w:line="360" w:lineRule="auto"/>
        <w:rPr>
          <w:rFonts w:ascii="宋体" w:hAnsi="宋体" w:eastAsia="宋体" w:cs="宋体"/>
        </w:rPr>
      </w:pPr>
      <w:r>
        <w:rPr>
          <w:rFonts w:hint="eastAsia" w:ascii="宋体" w:hAnsi="宋体" w:eastAsia="宋体" w:cs="宋体"/>
        </w:rPr>
        <w:t>（1）在货物采购项目中，货物由小微企业制造，即货物由小微企业生产且使用该小微企业商号或者注册商标；</w:t>
      </w:r>
    </w:p>
    <w:p>
      <w:pPr>
        <w:adjustRightInd w:val="0"/>
        <w:snapToGrid w:val="0"/>
        <w:spacing w:line="360" w:lineRule="auto"/>
        <w:rPr>
          <w:rFonts w:ascii="宋体" w:hAnsi="宋体" w:eastAsia="宋体" w:cs="宋体"/>
        </w:rPr>
      </w:pPr>
      <w:r>
        <w:rPr>
          <w:rFonts w:hint="eastAsia" w:ascii="宋体" w:hAnsi="宋体" w:eastAsia="宋体" w:cs="宋体"/>
        </w:rPr>
        <w:t>（2）在工程采购项目中，工程由小微企业承建，即工程施工单位为小微企业；</w:t>
      </w:r>
    </w:p>
    <w:p>
      <w:pPr>
        <w:adjustRightInd w:val="0"/>
        <w:snapToGrid w:val="0"/>
        <w:spacing w:line="360" w:lineRule="auto"/>
        <w:rPr>
          <w:rFonts w:ascii="宋体" w:hAnsi="宋体" w:eastAsia="宋体" w:cs="宋体"/>
        </w:rPr>
      </w:pPr>
      <w:r>
        <w:rPr>
          <w:rFonts w:hint="eastAsia" w:ascii="宋体" w:hAnsi="宋体" w:eastAsia="宋体" w:cs="宋体"/>
        </w:rPr>
        <w:t>（3）在服务采购项目中，服务由小微企业承接，即提供服务的人员为小微企业依照《中华人民共和国劳动合同法》订立劳动合同的从业人员。</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以联合体形式参加政府采购活动，联合体各方均为小微企业的，联合体视同小微企业。</w:t>
      </w:r>
    </w:p>
    <w:p>
      <w:pPr>
        <w:adjustRightInd w:val="0"/>
        <w:snapToGrid w:val="0"/>
        <w:spacing w:line="360" w:lineRule="auto"/>
        <w:ind w:firstLine="210" w:firstLineChars="100"/>
        <w:rPr>
          <w:rFonts w:ascii="宋体" w:hAnsi="宋体" w:eastAsia="宋体" w:cs="宋体"/>
        </w:rPr>
      </w:pPr>
      <w:r>
        <w:rPr>
          <w:rFonts w:hint="eastAsia" w:ascii="宋体" w:hAnsi="宋体" w:eastAsia="宋体" w:cs="宋体"/>
        </w:rPr>
        <w:t>2.5在货物采购项目中，供应商提供的货物既有中小企业制造货物，也有大型企业制造货物的，不享受的小微企业价格扣除。</w:t>
      </w:r>
    </w:p>
    <w:p>
      <w:pPr>
        <w:adjustRightInd w:val="0"/>
        <w:snapToGrid w:val="0"/>
        <w:spacing w:line="360" w:lineRule="auto"/>
        <w:ind w:firstLine="210" w:firstLineChars="100"/>
        <w:rPr>
          <w:rFonts w:ascii="宋体" w:hAnsi="宋体" w:eastAsia="宋体" w:cs="宋体"/>
        </w:rPr>
      </w:pPr>
      <w:r>
        <w:rPr>
          <w:rFonts w:hint="eastAsia" w:ascii="宋体" w:hAnsi="宋体" w:eastAsia="宋体" w:cs="宋体"/>
        </w:rPr>
        <w:t>2.6本项目对符合《浙江省财政厅关于进一步发挥政府采购政策功能全力推动经济稳定提质的通知》（浙财采监﹝2022﹞3 号）规定的小微企业报价给予 20%（工程项目为5%）的扣除，用扣除后的价格参加评审。</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6%（工程项目为2%）的扣除，用扣除后的价格参加评审。组成联合体或者接受分包的小微企业与联合体内其他企业、分包企业之间存在直接控股、管理关系的，不享受价格扣除优惠政策。</w:t>
      </w:r>
    </w:p>
    <w:p>
      <w:pPr>
        <w:adjustRightInd w:val="0"/>
        <w:snapToGrid w:val="0"/>
        <w:spacing w:line="360" w:lineRule="auto"/>
        <w:ind w:firstLine="210" w:firstLineChars="100"/>
        <w:rPr>
          <w:rFonts w:ascii="宋体" w:hAnsi="宋体" w:eastAsia="宋体" w:cs="宋体"/>
        </w:rPr>
      </w:pPr>
      <w:r>
        <w:rPr>
          <w:rFonts w:hint="eastAsia" w:ascii="宋体" w:hAnsi="宋体" w:eastAsia="宋体" w:cs="宋体"/>
        </w:rPr>
        <w:t>2.7小微企业应按照招标文件格式要求提供《中小企业声明函》。</w:t>
      </w:r>
    </w:p>
    <w:p>
      <w:pPr>
        <w:adjustRightInd w:val="0"/>
        <w:snapToGrid w:val="0"/>
        <w:spacing w:line="360" w:lineRule="auto"/>
        <w:ind w:firstLine="210" w:firstLineChars="100"/>
        <w:rPr>
          <w:rFonts w:ascii="宋体" w:hAnsi="宋体" w:eastAsia="宋体" w:cs="宋体"/>
        </w:rPr>
      </w:pPr>
      <w:r>
        <w:rPr>
          <w:rFonts w:hint="eastAsia" w:ascii="宋体" w:hAnsi="宋体" w:eastAsia="宋体" w:cs="宋体"/>
        </w:rPr>
        <w:t>2.8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210" w:firstLineChars="100"/>
        <w:rPr>
          <w:rFonts w:ascii="宋体" w:hAnsi="宋体" w:eastAsia="宋体" w:cs="宋体"/>
        </w:rPr>
      </w:pPr>
      <w:r>
        <w:rPr>
          <w:rFonts w:hint="eastAsia" w:ascii="宋体" w:hAnsi="宋体" w:eastAsia="宋体" w:cs="宋体"/>
        </w:rPr>
        <w:t>2.9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210" w:firstLineChars="100"/>
        <w:rPr>
          <w:rFonts w:ascii="宋体" w:hAnsi="宋体" w:eastAsia="宋体" w:cs="宋体"/>
        </w:rPr>
      </w:pPr>
      <w:r>
        <w:rPr>
          <w:rFonts w:hint="eastAsia" w:ascii="宋体" w:hAnsi="宋体" w:eastAsia="宋体" w:cs="宋体"/>
        </w:rPr>
        <w:t>2.10按规定享受扶持政策获得政府采购合同的，小微企业不得将合同分包给大中型企业，中型企业不得将合同分包给大型企业。</w:t>
      </w:r>
    </w:p>
    <w:p>
      <w:pPr>
        <w:adjustRightInd w:val="0"/>
        <w:snapToGrid w:val="0"/>
        <w:spacing w:line="360" w:lineRule="auto"/>
        <w:ind w:firstLine="210" w:firstLineChars="100"/>
        <w:rPr>
          <w:rFonts w:ascii="宋体" w:hAnsi="宋体" w:eastAsia="宋体" w:cs="宋体"/>
        </w:rPr>
      </w:pPr>
      <w:r>
        <w:rPr>
          <w:rFonts w:hint="eastAsia" w:ascii="宋体" w:hAnsi="宋体" w:eastAsia="宋体" w:cs="宋体"/>
        </w:rPr>
        <w:t>2.11供应商按照《政府采购促进中小企业发展管理办法》（财库﹝2020﹞46号）规定提供声明函内容不实的，供应商需承担相应的法律责任。</w:t>
      </w:r>
    </w:p>
    <w:p>
      <w:pPr>
        <w:adjustRightInd w:val="0"/>
        <w:snapToGrid w:val="0"/>
        <w:spacing w:line="360" w:lineRule="auto"/>
        <w:ind w:firstLine="420" w:firstLineChars="200"/>
        <w:rPr>
          <w:rFonts w:ascii="宋体" w:hAnsi="宋体" w:cs="宋体"/>
          <w:color w:val="auto"/>
          <w:highlight w:val="none"/>
        </w:rPr>
      </w:pPr>
    </w:p>
    <w:p>
      <w:pPr>
        <w:widowControl/>
        <w:spacing w:line="360" w:lineRule="auto"/>
        <w:ind w:firstLine="420" w:firstLineChars="200"/>
        <w:jc w:val="left"/>
        <w:rPr>
          <w:rFonts w:ascii="宋体" w:hAnsi="宋体" w:cs="宋体"/>
          <w:bCs/>
          <w:color w:val="auto"/>
          <w:szCs w:val="21"/>
          <w:highlight w:val="none"/>
        </w:rPr>
      </w:pPr>
    </w:p>
    <w:p>
      <w:pPr>
        <w:spacing w:line="360" w:lineRule="auto"/>
        <w:ind w:firstLine="420" w:firstLineChars="200"/>
        <w:rPr>
          <w:rFonts w:ascii="宋体" w:hAnsi="宋体"/>
          <w:color w:val="auto"/>
          <w:szCs w:val="21"/>
          <w:highlight w:val="none"/>
        </w:rPr>
        <w:sectPr>
          <w:pgSz w:w="11907" w:h="16840"/>
          <w:pgMar w:top="1361" w:right="1474" w:bottom="1242" w:left="1474" w:header="720" w:footer="720" w:gutter="0"/>
          <w:cols w:space="720" w:num="1"/>
          <w:docGrid w:linePitch="285" w:charSpace="0"/>
        </w:sectPr>
      </w:pPr>
    </w:p>
    <w:p>
      <w:pPr>
        <w:pStyle w:val="2"/>
        <w:spacing w:before="0" w:after="0" w:line="360" w:lineRule="auto"/>
        <w:jc w:val="center"/>
        <w:rPr>
          <w:rFonts w:ascii="宋体" w:hAnsi="宋体" w:cs="宋体"/>
          <w:b w:val="0"/>
          <w:bCs w:val="0"/>
          <w:color w:val="auto"/>
          <w:sz w:val="28"/>
          <w:szCs w:val="28"/>
          <w:highlight w:val="none"/>
        </w:rPr>
      </w:pPr>
      <w:bookmarkStart w:id="195" w:name="_Toc4283"/>
      <w:r>
        <w:rPr>
          <w:rFonts w:hint="eastAsia" w:ascii="宋体" w:hAnsi="宋体" w:cs="宋体"/>
          <w:color w:val="auto"/>
          <w:sz w:val="30"/>
          <w:highlight w:val="none"/>
        </w:rPr>
        <w:t>第四章  评标办法及评分标准</w:t>
      </w:r>
      <w:bookmarkEnd w:id="195"/>
    </w:p>
    <w:p>
      <w:pPr>
        <w:spacing w:line="360" w:lineRule="auto"/>
        <w:ind w:firstLine="420" w:firstLineChars="200"/>
        <w:rPr>
          <w:rFonts w:ascii="宋体" w:hAnsi="宋体" w:cs="宋体"/>
          <w:color w:val="auto"/>
          <w:szCs w:val="21"/>
          <w:highlight w:val="none"/>
        </w:rPr>
      </w:pPr>
    </w:p>
    <w:p>
      <w:pPr>
        <w:pStyle w:val="26"/>
        <w:spacing w:before="0" w:after="0" w:line="360" w:lineRule="auto"/>
        <w:ind w:firstLine="422" w:firstLineChars="200"/>
        <w:jc w:val="both"/>
        <w:outlineLvl w:val="9"/>
        <w:rPr>
          <w:rFonts w:ascii="宋体" w:hAnsi="宋体" w:cs="宋体"/>
          <w:color w:val="auto"/>
          <w:sz w:val="21"/>
          <w:szCs w:val="21"/>
          <w:highlight w:val="none"/>
        </w:rPr>
      </w:pPr>
      <w:bookmarkStart w:id="196" w:name="_Toc14319"/>
      <w:bookmarkStart w:id="197" w:name="_Toc493058315"/>
      <w:bookmarkStart w:id="198" w:name="_Toc495957613"/>
      <w:bookmarkStart w:id="199" w:name="_Toc481567075"/>
      <w:r>
        <w:rPr>
          <w:rFonts w:hint="eastAsia" w:ascii="宋体" w:hAnsi="宋体" w:cs="宋体"/>
          <w:color w:val="auto"/>
          <w:sz w:val="21"/>
          <w:szCs w:val="21"/>
          <w:highlight w:val="none"/>
        </w:rPr>
        <w:t>本办法严格遵照《中华人民共和国政府采购法》、《政府采购货物和服务招标投标管理办法》、《中华人民共和国政府采购法实施条例》，结合项目所在地政府有关政府采购规定和项目的实际情况制定。</w:t>
      </w:r>
      <w:bookmarkEnd w:id="196"/>
    </w:p>
    <w:p>
      <w:pPr>
        <w:pStyle w:val="26"/>
        <w:spacing w:before="0" w:after="0" w:line="360" w:lineRule="auto"/>
        <w:ind w:firstLine="310" w:firstLineChars="147"/>
        <w:jc w:val="both"/>
        <w:rPr>
          <w:rFonts w:ascii="宋体" w:hAnsi="宋体" w:cs="宋体"/>
          <w:color w:val="auto"/>
          <w:sz w:val="21"/>
          <w:szCs w:val="21"/>
          <w:highlight w:val="none"/>
        </w:rPr>
      </w:pPr>
      <w:bookmarkStart w:id="200" w:name="_Toc15786"/>
      <w:r>
        <w:rPr>
          <w:rFonts w:hint="eastAsia" w:ascii="宋体" w:hAnsi="宋体" w:cs="宋体"/>
          <w:color w:val="auto"/>
          <w:sz w:val="21"/>
          <w:szCs w:val="21"/>
          <w:highlight w:val="none"/>
        </w:rPr>
        <w:t>一、开标程序</w:t>
      </w:r>
      <w:bookmarkEnd w:id="197"/>
      <w:bookmarkEnd w:id="198"/>
      <w:bookmarkEnd w:id="199"/>
      <w:bookmarkEnd w:id="200"/>
    </w:p>
    <w:p>
      <w:pPr>
        <w:spacing w:line="360" w:lineRule="auto"/>
        <w:ind w:firstLine="420" w:firstLineChars="200"/>
        <w:rPr>
          <w:rFonts w:ascii="宋体" w:hAnsi="宋体" w:cs="宋体"/>
          <w:color w:val="auto"/>
          <w:szCs w:val="21"/>
          <w:highlight w:val="none"/>
        </w:rPr>
      </w:pPr>
      <w:bookmarkStart w:id="201" w:name="_Toc493058316"/>
      <w:bookmarkStart w:id="202" w:name="_Toc495957614"/>
      <w:bookmarkStart w:id="203" w:name="_Toc259108326"/>
      <w:bookmarkStart w:id="204" w:name="_Toc249866769"/>
      <w:r>
        <w:rPr>
          <w:rFonts w:hint="eastAsia" w:ascii="宋体" w:hAnsi="宋体" w:cs="宋体"/>
          <w:color w:val="auto"/>
          <w:szCs w:val="21"/>
          <w:highlight w:val="none"/>
        </w:rPr>
        <w:t>详见第三章《投标人须知》“四、开标”。</w:t>
      </w:r>
    </w:p>
    <w:p>
      <w:pPr>
        <w:pStyle w:val="26"/>
        <w:spacing w:before="0" w:after="0" w:line="360" w:lineRule="auto"/>
        <w:ind w:firstLine="413" w:firstLineChars="196"/>
        <w:jc w:val="left"/>
        <w:rPr>
          <w:rFonts w:ascii="宋体" w:hAnsi="宋体" w:cs="宋体"/>
          <w:color w:val="auto"/>
          <w:sz w:val="21"/>
          <w:szCs w:val="21"/>
          <w:highlight w:val="none"/>
        </w:rPr>
      </w:pPr>
      <w:bookmarkStart w:id="205" w:name="_Toc20830"/>
      <w:r>
        <w:rPr>
          <w:rFonts w:hint="eastAsia" w:ascii="宋体" w:hAnsi="宋体" w:cs="宋体"/>
          <w:color w:val="auto"/>
          <w:sz w:val="21"/>
          <w:szCs w:val="21"/>
          <w:highlight w:val="none"/>
        </w:rPr>
        <w:t>二、评标委员会</w:t>
      </w:r>
      <w:bookmarkEnd w:id="201"/>
      <w:bookmarkEnd w:id="202"/>
      <w:bookmarkEnd w:id="205"/>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（一）本次招标依法组建评标委员会。评标委员会由招标人代表和评审专家组成，评审专家从专家库随机抽取。</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1、参加采购活动前三年内，与供应商存在劳动关系，或者担任过供应商的董事、监事，或者是供应商的控股股东或实际控制人；</w:t>
      </w:r>
    </w:p>
    <w:p>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与供应商的法定代表人或者负责人有夫妻、直系血亲、三代以内旁系血亲或者近姻亲关系；</w:t>
      </w:r>
    </w:p>
    <w:p>
      <w:pPr>
        <w:numPr>
          <w:ilvl w:val="0"/>
          <w:numId w:val="8"/>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与供应商有其他可能影响政府采购活动公平、公正进行的关系。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6"/>
        <w:spacing w:before="0" w:after="0" w:line="360" w:lineRule="auto"/>
        <w:ind w:firstLine="411" w:firstLineChars="195"/>
        <w:jc w:val="both"/>
        <w:rPr>
          <w:rFonts w:ascii="宋体" w:hAnsi="宋体" w:cs="宋体"/>
          <w:color w:val="auto"/>
          <w:sz w:val="21"/>
          <w:szCs w:val="21"/>
          <w:highlight w:val="none"/>
        </w:rPr>
      </w:pPr>
      <w:bookmarkStart w:id="206" w:name="_Toc495957615"/>
      <w:bookmarkStart w:id="207" w:name="_Toc493058317"/>
      <w:bookmarkStart w:id="208" w:name="_Toc481567076"/>
      <w:bookmarkStart w:id="209" w:name="_Toc8899"/>
      <w:r>
        <w:rPr>
          <w:rFonts w:hint="eastAsia" w:ascii="宋体" w:hAnsi="宋体" w:cs="宋体"/>
          <w:color w:val="auto"/>
          <w:sz w:val="21"/>
          <w:szCs w:val="21"/>
          <w:highlight w:val="none"/>
        </w:rPr>
        <w:t>三、评标方法</w:t>
      </w:r>
      <w:bookmarkEnd w:id="206"/>
      <w:bookmarkEnd w:id="207"/>
      <w:bookmarkEnd w:id="208"/>
      <w:bookmarkEnd w:id="20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（一）本次招标项目的评标方法为：综合评分法。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（二）评分权重</w:t>
      </w:r>
    </w:p>
    <w:tbl>
      <w:tblPr>
        <w:tblStyle w:val="35"/>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81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93"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2819"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商务技术分（分）</w:t>
            </w:r>
          </w:p>
        </w:tc>
        <w:tc>
          <w:tcPr>
            <w:tcW w:w="2806"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393"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权重</w:t>
            </w:r>
          </w:p>
        </w:tc>
        <w:tc>
          <w:tcPr>
            <w:tcW w:w="2819"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90</w:t>
            </w:r>
          </w:p>
        </w:tc>
        <w:tc>
          <w:tcPr>
            <w:tcW w:w="2806" w:type="dxa"/>
            <w:vAlign w:val="center"/>
          </w:tcPr>
          <w:p>
            <w:pPr>
              <w:ind w:firstLine="200"/>
              <w:jc w:val="center"/>
              <w:rPr>
                <w:rFonts w:ascii="宋体" w:hAnsi="宋体" w:cs="宋体"/>
                <w:color w:val="auto"/>
                <w:szCs w:val="21"/>
                <w:highlight w:val="none"/>
              </w:rPr>
            </w:pPr>
            <w:r>
              <w:rPr>
                <w:rFonts w:hint="eastAsia" w:ascii="宋体" w:hAnsi="宋体" w:cs="宋体"/>
                <w:color w:val="auto"/>
                <w:szCs w:val="21"/>
                <w:highlight w:val="none"/>
              </w:rPr>
              <w:t>10</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1、价格分采用低价优先法计算，即满足招标文件要求且参与评审价格最低为评标基准价，其价格分为满分。其他投标人的价格分按照下列公式计算：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价格分=（评标基准价/投标报价）×价格权值×100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2、合格投标人评标综合得分=商务技术分+</w:t>
      </w:r>
      <w:r>
        <w:rPr>
          <w:rFonts w:hint="eastAsia" w:ascii="宋体" w:hAnsi="宋体" w:cs="宋体"/>
          <w:color w:val="auto"/>
          <w:highlight w:val="none"/>
        </w:rPr>
        <w:t>价格分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3、报价要求：本次招标设有预算价(或最高限价)，投标人报价超出预算价(或最高限价)的投标文件作无效处理。</w:t>
      </w:r>
    </w:p>
    <w:p>
      <w:pPr>
        <w:spacing w:line="360" w:lineRule="auto"/>
        <w:ind w:firstLine="420" w:firstLineChars="200"/>
        <w:rPr>
          <w:rStyle w:val="67"/>
          <w:rFonts w:ascii="宋体" w:hAnsi="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采用综合评分法的，评标结果按评审后得分由高到低顺序排列。</w:t>
      </w:r>
      <w:r>
        <w:rPr>
          <w:rFonts w:hint="eastAsia" w:ascii="宋体" w:hAnsi="宋体" w:cs="宋体"/>
          <w:color w:val="auto"/>
          <w:szCs w:val="21"/>
          <w:highlight w:val="none"/>
        </w:rPr>
        <w:t>得分相同的，按投标报价由低到高顺序排列。得分且投标报价相同的并列。投标文件满足采购文件全部实质性要求，且得分最高的供应商为排名第一的中标候选人，排名第二的为第二中标候选人。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w:t>
      </w:r>
      <w:bookmarkStart w:id="210" w:name="_Toc481567079"/>
      <w:r>
        <w:rPr>
          <w:rFonts w:hint="eastAsia" w:ascii="宋体" w:hAnsi="宋体" w:cs="宋体"/>
          <w:color w:val="auto"/>
          <w:szCs w:val="21"/>
          <w:highlight w:val="none"/>
        </w:rPr>
        <w:t>投标文件的澄清</w:t>
      </w:r>
      <w:bookmarkEnd w:id="21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1、对于投标文件中含义不明确、同类问题表述不一致或者有明显文字和计算错误的内容，评标委员会可要求投标人以书面形式作出必要的澄清、说明或者补正。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2、投标人的澄清、说明或者补正应当采用书面形式，并加盖公章，或者由法定代表人或其授权代表签字确认，投标人的澄清、说明或者补正不得超出投标文件的范围或者改变投标文件的实质性内容。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pStyle w:val="123"/>
        <w:widowControl/>
        <w:spacing w:beforeLines="0" w:afterLines="0" w:line="360" w:lineRule="auto"/>
        <w:ind w:left="689" w:leftChars="228" w:hanging="210" w:hangingChars="100"/>
        <w:jc w:val="left"/>
        <w:rPr>
          <w:rFonts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pPr>
        <w:widowControl/>
        <w:numPr>
          <w:ilvl w:val="0"/>
          <w:numId w:val="9"/>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widowControl/>
        <w:numPr>
          <w:ilvl w:val="0"/>
          <w:numId w:val="9"/>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pPr>
        <w:widowControl/>
        <w:numPr>
          <w:ilvl w:val="0"/>
          <w:numId w:val="9"/>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widowControl/>
        <w:numPr>
          <w:ilvl w:val="0"/>
          <w:numId w:val="9"/>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widowControl/>
        <w:numPr>
          <w:ilvl w:val="0"/>
          <w:numId w:val="9"/>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pStyle w:val="123"/>
        <w:widowControl/>
        <w:spacing w:beforeLines="0" w:afterLines="0" w:line="360" w:lineRule="auto"/>
        <w:ind w:firstLine="422" w:firstLineChars="200"/>
        <w:jc w:val="left"/>
        <w:rPr>
          <w:rFonts w:hAnsi="宋体" w:cs="宋体"/>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同时出现两种以上不一致的，按照前款规定的顺序修正。修正后的报价经投标人确认后具有约束力，若投标人不确认的，则其投标无效。</w:t>
      </w:r>
    </w:p>
    <w:p>
      <w:pPr>
        <w:pStyle w:val="26"/>
        <w:spacing w:before="0" w:after="0" w:line="360" w:lineRule="auto"/>
        <w:ind w:firstLine="413" w:firstLineChars="196"/>
        <w:jc w:val="both"/>
        <w:rPr>
          <w:rFonts w:ascii="宋体" w:hAnsi="宋体" w:cs="宋体"/>
          <w:color w:val="auto"/>
          <w:sz w:val="21"/>
          <w:szCs w:val="21"/>
          <w:highlight w:val="none"/>
        </w:rPr>
      </w:pPr>
      <w:bookmarkStart w:id="211" w:name="_Toc481567077"/>
      <w:bookmarkStart w:id="212" w:name="_Toc495957616"/>
      <w:bookmarkStart w:id="213" w:name="_Toc22403"/>
      <w:bookmarkStart w:id="214" w:name="_Toc493058318"/>
      <w:r>
        <w:rPr>
          <w:rFonts w:hint="eastAsia" w:ascii="宋体" w:hAnsi="宋体" w:cs="宋体"/>
          <w:color w:val="auto"/>
          <w:sz w:val="21"/>
          <w:szCs w:val="21"/>
          <w:highlight w:val="none"/>
        </w:rPr>
        <w:t>四、评标</w:t>
      </w:r>
      <w:bookmarkEnd w:id="203"/>
      <w:bookmarkEnd w:id="204"/>
      <w:bookmarkEnd w:id="211"/>
      <w:r>
        <w:rPr>
          <w:rFonts w:hint="eastAsia" w:ascii="宋体" w:hAnsi="宋体" w:cs="宋体"/>
          <w:color w:val="auto"/>
          <w:sz w:val="21"/>
          <w:szCs w:val="21"/>
          <w:highlight w:val="none"/>
        </w:rPr>
        <w:t>程序</w:t>
      </w:r>
      <w:bookmarkEnd w:id="212"/>
      <w:bookmarkEnd w:id="213"/>
      <w:bookmarkEnd w:id="214"/>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由招标人或代理机构对投标人的资格进行审查。</w:t>
      </w:r>
    </w:p>
    <w:tbl>
      <w:tblPr>
        <w:tblStyle w:val="35"/>
        <w:tblW w:w="87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7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521" w:type="dxa"/>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审查类别</w:t>
            </w:r>
          </w:p>
        </w:tc>
        <w:tc>
          <w:tcPr>
            <w:tcW w:w="7194" w:type="dxa"/>
          </w:tcPr>
          <w:p>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restart"/>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资格条件审查</w:t>
            </w:r>
          </w:p>
        </w:tc>
        <w:tc>
          <w:tcPr>
            <w:tcW w:w="7194"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vAlign w:val="center"/>
          </w:tcPr>
          <w:p>
            <w:pPr>
              <w:spacing w:line="400" w:lineRule="exact"/>
              <w:rPr>
                <w:rFonts w:ascii="宋体" w:hAnsi="宋体" w:cs="宋体"/>
                <w:color w:val="auto"/>
                <w:szCs w:val="21"/>
                <w:highlight w:val="none"/>
              </w:rPr>
            </w:pPr>
          </w:p>
        </w:tc>
        <w:tc>
          <w:tcPr>
            <w:tcW w:w="7194"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2.有效的企业法人营业执照（或事业法人登记证）、其他组织（个体工商户）的营业执照或者民办非企业单位登记证书复印件（复印件加盖公章），若为联合体投标的，则联合体各方均须提供；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tcPr>
          <w:p>
            <w:pPr>
              <w:spacing w:line="400" w:lineRule="exact"/>
              <w:rPr>
                <w:rFonts w:ascii="宋体" w:hAnsi="宋体" w:cs="宋体"/>
                <w:color w:val="auto"/>
                <w:szCs w:val="21"/>
                <w:highlight w:val="none"/>
              </w:rPr>
            </w:pPr>
          </w:p>
        </w:tc>
        <w:tc>
          <w:tcPr>
            <w:tcW w:w="7194"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tcPr>
          <w:p>
            <w:pPr>
              <w:spacing w:line="400" w:lineRule="exact"/>
              <w:rPr>
                <w:rFonts w:ascii="宋体" w:hAnsi="宋体" w:cs="宋体"/>
                <w:color w:val="auto"/>
                <w:szCs w:val="21"/>
                <w:highlight w:val="none"/>
              </w:rPr>
            </w:pPr>
          </w:p>
        </w:tc>
        <w:tc>
          <w:tcPr>
            <w:tcW w:w="7194"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tcPr>
          <w:p>
            <w:pPr>
              <w:spacing w:line="400" w:lineRule="exact"/>
              <w:rPr>
                <w:rFonts w:ascii="宋体" w:hAnsi="宋体" w:cs="宋体"/>
                <w:color w:val="auto"/>
                <w:szCs w:val="21"/>
                <w:highlight w:val="none"/>
              </w:rPr>
            </w:pPr>
          </w:p>
        </w:tc>
        <w:tc>
          <w:tcPr>
            <w:tcW w:w="7194" w:type="dxa"/>
            <w:vAlign w:val="center"/>
          </w:tcPr>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5.本项目接受联合体投标。（以联合体形式投标的，提供联合协议。不以联合体形式投标的，则不需要提供）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tcPr>
          <w:p>
            <w:pPr>
              <w:spacing w:line="400" w:lineRule="exact"/>
              <w:rPr>
                <w:rFonts w:ascii="宋体" w:hAnsi="宋体" w:cs="宋体"/>
                <w:color w:val="auto"/>
                <w:szCs w:val="21"/>
                <w:highlight w:val="none"/>
              </w:rPr>
            </w:pPr>
          </w:p>
        </w:tc>
        <w:tc>
          <w:tcPr>
            <w:tcW w:w="7194"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6.落实政府采购政策需满足的资格要求【本项目预留部分采购项目预算专门面向中小企业采购。对于预留份额，提供的服务由符合政策要求的中小企业承接。预留份额通过以下措施进行，投标人可选择以下其中一种方式参与：①以联合体形式参加，提供联合体协议书和中小企业声明函，联合协议中中小企业承担的合同份额占合同总金额的40%（其中小微企业承担的合同份额占合同总金额的28%）；</w:t>
            </w:r>
            <w:r>
              <w:rPr>
                <w:rFonts w:hint="eastAsia" w:ascii="宋体" w:hAnsi="宋体" w:cs="宋体"/>
                <w:color w:val="auto"/>
                <w:spacing w:val="8"/>
                <w:kern w:val="0"/>
                <w:szCs w:val="21"/>
                <w:highlight w:val="none"/>
              </w:rPr>
              <w:t>如果供应商本身提供所有标的中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w:t>
            </w:r>
            <w:r>
              <w:rPr>
                <w:rFonts w:hint="eastAsia" w:ascii="宋体" w:hAnsi="宋体" w:cs="宋体"/>
                <w:color w:val="auto"/>
                <w:spacing w:val="8"/>
                <w:kern w:val="0"/>
                <w:szCs w:val="21"/>
                <w:highlight w:val="none"/>
              </w:rPr>
              <w:t>，视同符合了资格条件，不强制要求再与其他中小企业组成联合体参加政府采购活动，则无需提供</w:t>
            </w:r>
            <w:r>
              <w:rPr>
                <w:rFonts w:hint="eastAsia" w:ascii="宋体" w:hAnsi="宋体" w:cs="宋体"/>
                <w:color w:val="auto"/>
                <w:szCs w:val="21"/>
                <w:highlight w:val="none"/>
              </w:rPr>
              <w:t>联合体协议书；②</w:t>
            </w:r>
            <w:r>
              <w:rPr>
                <w:rFonts w:hint="eastAsia" w:ascii="宋体" w:hAnsi="宋体" w:cs="宋体"/>
                <w:color w:val="auto"/>
                <w:kern w:val="0"/>
                <w:szCs w:val="21"/>
                <w:highlight w:val="none"/>
              </w:rPr>
              <w:t>以</w:t>
            </w:r>
            <w:r>
              <w:rPr>
                <w:rFonts w:hint="eastAsia" w:ascii="宋体" w:hAnsi="宋体" w:cs="宋体"/>
                <w:color w:val="auto"/>
                <w:szCs w:val="21"/>
                <w:highlight w:val="none"/>
              </w:rPr>
              <w:t>合同分包形式参加，提供分包意向协议和中小企业声明函，分包意向协议中中小企业承担的合同份额占合同总金额的40%（其中小微企业承担的合同份额占合同总金额的28%），接受分包合同的中小企业与分包企业之间不得存在直接控股、管理关系；</w:t>
            </w:r>
            <w:r>
              <w:rPr>
                <w:rFonts w:hint="eastAsia" w:ascii="宋体" w:hAnsi="宋体" w:cs="宋体"/>
                <w:color w:val="auto"/>
                <w:spacing w:val="8"/>
                <w:kern w:val="0"/>
                <w:szCs w:val="21"/>
                <w:highlight w:val="none"/>
              </w:rPr>
              <w:t>如果供应商本身提供所有标的中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w:t>
            </w:r>
            <w:r>
              <w:rPr>
                <w:rFonts w:hint="eastAsia" w:ascii="宋体" w:hAnsi="宋体" w:cs="宋体"/>
                <w:color w:val="auto"/>
                <w:spacing w:val="8"/>
                <w:kern w:val="0"/>
                <w:szCs w:val="21"/>
                <w:highlight w:val="none"/>
              </w:rPr>
              <w:t>，视同符合了资格条件，不强制要求再向中小企业分包，无需提供分包意向协议；③供应商本身提供所有标的中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中小企业合承担的合同份额占合同总金额的40%（其中小微企业承担的合同份额占合同总金额的28%），提供中小企业声明函】</w:t>
            </w:r>
          </w:p>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①中小企业声明函（格式见附件）；</w:t>
            </w:r>
          </w:p>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②残疾人福利性单位声明函（如有请提供，格式见附件）；</w:t>
            </w:r>
          </w:p>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③监狱企业的证明文件：由省级以上监狱管理局、戒毒管理局（含新疆生产建设兵团）出具的属于监狱企业的证明文件（如有请提供），若为联合体投标的，则联合体各方均须提供；</w:t>
            </w:r>
          </w:p>
          <w:p>
            <w:pPr>
              <w:tabs>
                <w:tab w:val="left" w:pos="612"/>
              </w:tabs>
              <w:spacing w:line="400" w:lineRule="exact"/>
              <w:rPr>
                <w:rFonts w:ascii="宋体" w:hAnsi="宋体" w:cs="宋体"/>
                <w:color w:val="auto"/>
                <w:szCs w:val="21"/>
                <w:highlight w:val="none"/>
              </w:rPr>
            </w:pPr>
            <w:r>
              <w:rPr>
                <w:rFonts w:hint="eastAsia" w:ascii="宋体" w:hAnsi="宋体" w:cs="宋体"/>
                <w:color w:val="auto"/>
                <w:szCs w:val="21"/>
                <w:highlight w:val="none"/>
              </w:rPr>
              <w:t>④分包意向协议（中标后以分包方式履行合同的，提供分包意向协议；采购人不同意分包或者投标人中标后不以分包方式履行合同的，则不需要提供）；⑤</w:t>
            </w:r>
            <w:r>
              <w:rPr>
                <w:rFonts w:hint="eastAsia" w:ascii="宋体"/>
                <w:color w:val="auto"/>
                <w:szCs w:val="21"/>
                <w:highlight w:val="none"/>
              </w:rPr>
              <w:t>联合体协议书（格式见附件）（以联合体形式投标的，提供联合协议。不以联合体形式投标的，则不需要提供）。</w:t>
            </w:r>
          </w:p>
        </w:tc>
      </w:tr>
    </w:tbl>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评标委员会应当对符合资格的投标人的投标文件进行符合性审查，以确定其是否满足招标文件的实质性要求。</w:t>
      </w:r>
    </w:p>
    <w:tbl>
      <w:tblPr>
        <w:tblStyle w:val="35"/>
        <w:tblW w:w="84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5328"/>
        <w:gridCol w:w="18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209" w:type="dxa"/>
            <w:tcBorders>
              <w:tl2br w:val="nil"/>
              <w:tr2bl w:val="nil"/>
            </w:tcBorders>
          </w:tcPr>
          <w:p>
            <w:pPr>
              <w:snapToGrid w:val="0"/>
              <w:spacing w:line="400" w:lineRule="exact"/>
              <w:jc w:val="center"/>
              <w:rPr>
                <w:rFonts w:ascii="宋体" w:hAnsi="宋体" w:eastAsia="宋体" w:cs="宋体"/>
                <w:b/>
                <w:color w:val="auto"/>
                <w:szCs w:val="21"/>
                <w:highlight w:val="none"/>
              </w:rPr>
            </w:pPr>
            <w:bookmarkStart w:id="215" w:name="_Toc249866767"/>
            <w:bookmarkStart w:id="216" w:name="_Toc259108323"/>
            <w:r>
              <w:rPr>
                <w:rFonts w:hint="eastAsia" w:ascii="宋体" w:hAnsi="宋体" w:eastAsia="宋体" w:cs="宋体"/>
                <w:b/>
                <w:color w:val="auto"/>
                <w:szCs w:val="21"/>
                <w:highlight w:val="none"/>
              </w:rPr>
              <w:t>审查类别</w:t>
            </w:r>
          </w:p>
        </w:tc>
        <w:tc>
          <w:tcPr>
            <w:tcW w:w="5328" w:type="dxa"/>
            <w:tcBorders>
              <w:tl2br w:val="nil"/>
              <w:tr2bl w:val="nil"/>
            </w:tcBorders>
          </w:tcPr>
          <w:p>
            <w:pPr>
              <w:snapToGrid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c>
          <w:tcPr>
            <w:tcW w:w="1887" w:type="dxa"/>
            <w:tcBorders>
              <w:tl2br w:val="nil"/>
              <w:tr2bl w:val="nil"/>
            </w:tcBorders>
          </w:tcPr>
          <w:p>
            <w:pPr>
              <w:snapToGrid w:val="0"/>
              <w:spacing w:line="400" w:lineRule="exact"/>
              <w:jc w:val="center"/>
              <w:rPr>
                <w:rFonts w:ascii="宋体" w:hAnsi="宋体" w:eastAsia="宋体" w:cs="宋体"/>
                <w:b/>
                <w:color w:val="auto"/>
                <w:szCs w:val="21"/>
                <w:highlight w:val="none"/>
              </w:rPr>
            </w:pPr>
            <w:r>
              <w:rPr>
                <w:rFonts w:hint="eastAsia" w:ascii="宋体" w:hAnsi="宋体" w:eastAsia="宋体" w:cs="宋体"/>
                <w:b/>
                <w:bCs/>
                <w:color w:val="auto"/>
                <w:szCs w:val="21"/>
                <w:highlight w:val="none"/>
              </w:rPr>
              <w:t>自查结论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（商务技术文件）</w:t>
            </w: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（一）按照采购文件规定要求签署或盖章；</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（二）投标文件有法定代表人签署本人姓名（或印盖本人姓名章），或签署人提供有效的法定代表人授权委托书且授权委托书填写项目齐全的；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rPr>
              <w:t>（三）投标有效期满足招标文件要求的；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（四）带“</w:t>
            </w:r>
            <w:r>
              <w:rPr>
                <w:rFonts w:hint="eastAsia" w:ascii="宋体" w:hAnsi="宋体" w:eastAsia="宋体" w:cs="Times New Roman"/>
                <w:color w:val="auto"/>
                <w:highlight w:val="none"/>
              </w:rPr>
              <w:t>*</w:t>
            </w:r>
            <w:r>
              <w:rPr>
                <w:rFonts w:hint="eastAsia" w:ascii="宋体" w:hAnsi="宋体" w:eastAsia="宋体" w:cs="宋体"/>
                <w:color w:val="auto"/>
                <w:szCs w:val="21"/>
                <w:highlight w:val="none"/>
              </w:rPr>
              <w:t>”的条款满足采购文件要求、已实质性响应采购文件要求且投标文件无采购人不能接受的附加条件的；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（五）投标文件中</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含有采购人不能接受的附加条件的；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（六）投标文件提供资料</w:t>
            </w:r>
            <w:r>
              <w:rPr>
                <w:rFonts w:hint="eastAsia" w:ascii="宋体" w:hAnsi="宋体" w:eastAsia="宋体" w:cs="宋体"/>
                <w:color w:val="auto"/>
                <w:szCs w:val="21"/>
                <w:highlight w:val="none"/>
                <w:lang w:val="en-US" w:eastAsia="zh-CN"/>
              </w:rPr>
              <w:t>不存在</w:t>
            </w:r>
            <w:r>
              <w:rPr>
                <w:rFonts w:hint="eastAsia" w:ascii="宋体" w:hAnsi="宋体" w:eastAsia="宋体" w:cs="宋体"/>
                <w:color w:val="auto"/>
                <w:szCs w:val="21"/>
                <w:highlight w:val="none"/>
              </w:rPr>
              <w:t>内容虚假的；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（七）不存在投标文件的实质性内容未使用中文表述、表述不明确、前后矛盾或者使用计量单位不符合招标文件要求的（经评标委员会认定并允许其当场更正的笔误除外）；</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（八）不存在投标文件的关键内容字迹模糊、无法辨认的，或者投标文件中经修正的内容字迹模糊难以辨认或者修改处未按规定签署、盖章的；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（九）不存在法律、法规和招标文件规定的其他无效情形；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（十）不存在未提供或未如实提供投标货物的技术参数，或者投标文件标明的响应或偏离与事实</w:t>
            </w:r>
            <w:r>
              <w:rPr>
                <w:rFonts w:hint="eastAsia" w:ascii="宋体" w:hAnsi="宋体" w:eastAsia="宋体" w:cs="宋体"/>
                <w:color w:val="auto"/>
                <w:szCs w:val="21"/>
                <w:highlight w:val="none"/>
                <w:lang w:val="en-US" w:eastAsia="zh-CN"/>
              </w:rPr>
              <w:t>相符，</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不存在</w:t>
            </w:r>
            <w:r>
              <w:rPr>
                <w:rFonts w:hint="eastAsia" w:ascii="宋体" w:hAnsi="宋体" w:eastAsia="宋体" w:cs="宋体"/>
                <w:color w:val="auto"/>
                <w:szCs w:val="21"/>
                <w:highlight w:val="none"/>
              </w:rPr>
              <w:t>虚假投标的；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（十一）投标技术方案明确，不存在一个或一个以上备选（替代）投标方案的。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（十二）商务技术文件不存在采购文件所规定的其它无效投标条款要求。</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snapToGrid w:val="0"/>
              <w:spacing w:line="400" w:lineRule="exact"/>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（报价文件）</w:t>
            </w:r>
          </w:p>
        </w:tc>
        <w:tc>
          <w:tcPr>
            <w:tcW w:w="5328" w:type="dxa"/>
            <w:tcBorders>
              <w:tl2br w:val="nil"/>
              <w:tr2bl w:val="nil"/>
            </w:tcBorders>
            <w:vAlign w:val="center"/>
          </w:tcPr>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（一）按照采购文件规定要求签署或盖章；</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（二）采用人民币报价或者按照采购文件标明的币种报价的；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（三）不存在报价超出最高限价，或者超出采购预算金额，采购人不能支付的情形；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（四）不存在投标报价具有选择性的情形；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（五）投标报价中未出现重大缺项、漏项；</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（七）不存在法律、法规和采购文件规定的其他无效情形；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（八）报价文件不存在采购文件所规定的其它无效投标条款要求。</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bl>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（三）投标无效的情形</w:t>
      </w:r>
      <w:bookmarkEnd w:id="215"/>
      <w:bookmarkEnd w:id="21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没有响应招标文件实质性要求的投标将被视为无效投标。投标人不得通过修正或撤消不合要求的偏离或保留从而使其投标成为实质上响应的投标。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A、在资格审查时，不具备招标文件中规定的资格要求的，或者资格证明文件不全的，或资格证明文件未按招标文件签署、盖章的，投标文件将被视为无效；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B、在符合性审查时，如发现下列情形之一的，投标文件将被视为无效：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（1）投标文件未按招标文件要求签署、签章的；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（2）投标有效期不满足招标文件要求的；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（3）明显不符合招标文件要求的，或者与招标文件中标注“*”的条款发生实质性偏离的；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（4）投标文件中含有采购人不能接受的附加条件的；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（5）投标文件提供资料内容虚假的；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（6）投标文件的实质性内容未使用中文表述、表述不明确、前后矛盾或者使用计量单位不符合招标文件要求的（经评标委员会认定并允许其当场更正的笔误除外）；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（7）投标文件的关键内容字迹模糊、无法辨认的，或者投标文件中经修正的内容字迹模糊难以辨认或者修改处未按规定签署、盖章的；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（8）法律、法规和招标文件规定的其他无效情形；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C、在商务技术评审，如发现下列情形之一的，将被视为无效投标文件：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1、未提供或未如实提供投标货物的技术参数，或者投标文件标明的响应或偏离与事实不符或虚假投标的；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2、投标技术方案不明确，存在一个或一个以上备选（替代）投标方案的；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D、在报价评审时，如发现下列情形之一的，投标文件将被视为无效：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1、报价超过招标文件中规定的预算金额或者最高限价的；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2、未采用投标文件要求的报价形式报价的；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3、投标报价具有选择性的；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4、评委会一致认为报价明显不合理的；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5、投标报价中出现重大缺项、漏项；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6、评标委员会认为投标人的报价明显低于其他通过符合性审查投标人的报价，有可能影响服务质量或者不能诚信履约的，且不能在评标现场合理时间内提供相关证明材料说明其报价的合理性的。</w:t>
      </w:r>
    </w:p>
    <w:p>
      <w:pPr>
        <w:spacing w:line="360" w:lineRule="auto"/>
        <w:ind w:firstLine="422" w:firstLineChars="200"/>
        <w:outlineLvl w:val="1"/>
        <w:rPr>
          <w:rFonts w:ascii="宋体" w:hAnsi="宋体" w:cs="宋体"/>
          <w:b/>
          <w:bCs/>
          <w:color w:val="auto"/>
          <w:szCs w:val="21"/>
          <w:highlight w:val="none"/>
        </w:rPr>
      </w:pPr>
      <w:bookmarkStart w:id="217" w:name="_Toc4908"/>
      <w:r>
        <w:rPr>
          <w:rFonts w:hint="eastAsia" w:ascii="宋体" w:hAnsi="宋体" w:cs="宋体"/>
          <w:b/>
          <w:bCs/>
          <w:color w:val="auto"/>
          <w:szCs w:val="21"/>
          <w:highlight w:val="none"/>
        </w:rPr>
        <w:t>五、</w:t>
      </w:r>
      <w:bookmarkStart w:id="218" w:name="_Hlk119483010"/>
      <w:r>
        <w:rPr>
          <w:rFonts w:hint="eastAsia" w:ascii="宋体" w:hAnsi="宋体" w:cs="宋体"/>
          <w:b/>
          <w:bCs/>
          <w:color w:val="auto"/>
          <w:szCs w:val="21"/>
          <w:highlight w:val="none"/>
        </w:rPr>
        <w:t>评分标准表</w:t>
      </w:r>
      <w:bookmarkEnd w:id="217"/>
      <w:bookmarkStart w:id="219" w:name="_Toc460857944"/>
    </w:p>
    <w:tbl>
      <w:tblPr>
        <w:tblStyle w:val="35"/>
        <w:tblW w:w="98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01"/>
        <w:gridCol w:w="1097"/>
        <w:gridCol w:w="5551"/>
        <w:gridCol w:w="58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44" w:type="dxa"/>
            <w:gridSpan w:val="4"/>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评分内容及标准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分值</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价格分</w:t>
            </w:r>
          </w:p>
        </w:tc>
        <w:tc>
          <w:tcPr>
            <w:tcW w:w="1001" w:type="dxa"/>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szCs w:val="21"/>
                <w:highlight w:val="none"/>
              </w:rPr>
            </w:pPr>
            <w:r>
              <w:rPr>
                <w:rFonts w:hint="eastAsia" w:ascii="宋体" w:hAnsi="宋体" w:cs="宋体"/>
                <w:color w:val="auto"/>
                <w:szCs w:val="21"/>
                <w:highlight w:val="none"/>
              </w:rPr>
              <w:t>报价</w:t>
            </w:r>
          </w:p>
          <w:p>
            <w:pPr>
              <w:autoSpaceDE w:val="0"/>
              <w:autoSpaceDN w:val="0"/>
              <w:adjustRightInd w:val="0"/>
              <w:spacing w:line="312" w:lineRule="auto"/>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6648" w:type="dxa"/>
            <w:gridSpan w:val="2"/>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eastAsia="宋体" w:cs="宋体"/>
                <w:szCs w:val="21"/>
              </w:rPr>
            </w:pPr>
            <w:r>
              <w:rPr>
                <w:rFonts w:hint="eastAsia" w:ascii="宋体" w:hAnsi="宋体" w:eastAsia="宋体" w:cs="宋体"/>
                <w:szCs w:val="21"/>
              </w:rPr>
              <w:t>参与评审的价格=投标报价-小微企业价格扣除优惠值（如有）</w:t>
            </w:r>
          </w:p>
          <w:p>
            <w:pPr>
              <w:tabs>
                <w:tab w:val="left" w:pos="0"/>
              </w:tabs>
              <w:adjustRightInd w:val="0"/>
              <w:spacing w:line="312" w:lineRule="auto"/>
              <w:textAlignment w:val="baseline"/>
              <w:rPr>
                <w:rFonts w:ascii="宋体" w:hAnsi="宋体" w:eastAsia="宋体" w:cs="宋体"/>
                <w:szCs w:val="21"/>
              </w:rPr>
            </w:pPr>
            <w:r>
              <w:rPr>
                <w:rFonts w:hint="eastAsia" w:ascii="宋体" w:hAnsi="宋体" w:eastAsia="宋体" w:cs="宋体"/>
                <w:szCs w:val="21"/>
              </w:rPr>
              <w:t>满足招标要求且参与评审的价格最低的为评标基准价，其价格分得</w:t>
            </w:r>
            <w:r>
              <w:rPr>
                <w:rFonts w:ascii="宋体" w:hAnsi="宋体" w:eastAsia="宋体" w:cs="宋体"/>
                <w:szCs w:val="21"/>
              </w:rPr>
              <w:t>10</w:t>
            </w:r>
            <w:r>
              <w:rPr>
                <w:rFonts w:hint="eastAsia" w:ascii="宋体" w:hAnsi="宋体" w:eastAsia="宋体" w:cs="宋体"/>
                <w:szCs w:val="21"/>
              </w:rPr>
              <w:t xml:space="preserve">分； </w:t>
            </w:r>
          </w:p>
          <w:p>
            <w:pPr>
              <w:tabs>
                <w:tab w:val="left" w:pos="0"/>
              </w:tabs>
              <w:adjustRightInd w:val="0"/>
              <w:spacing w:line="312" w:lineRule="auto"/>
              <w:textAlignment w:val="baseline"/>
              <w:rPr>
                <w:rFonts w:ascii="宋体" w:hAnsi="宋体" w:eastAsia="宋体" w:cs="宋体"/>
                <w:szCs w:val="21"/>
              </w:rPr>
            </w:pPr>
            <w:r>
              <w:rPr>
                <w:rFonts w:hint="eastAsia" w:ascii="宋体" w:hAnsi="宋体" w:eastAsia="宋体" w:cs="宋体"/>
                <w:szCs w:val="21"/>
              </w:rPr>
              <w:t>其他投标人的价格分计算公式如下：</w:t>
            </w:r>
          </w:p>
          <w:p>
            <w:pPr>
              <w:tabs>
                <w:tab w:val="left" w:pos="0"/>
              </w:tabs>
              <w:adjustRightInd w:val="0"/>
              <w:spacing w:line="312" w:lineRule="auto"/>
              <w:textAlignment w:val="baseline"/>
              <w:rPr>
                <w:rFonts w:ascii="宋体" w:hAnsi="宋体" w:eastAsia="宋体" w:cs="宋体"/>
                <w:szCs w:val="21"/>
              </w:rPr>
            </w:pPr>
            <w:r>
              <w:rPr>
                <w:rFonts w:hint="eastAsia" w:ascii="宋体" w:hAnsi="宋体" w:eastAsia="宋体" w:cs="宋体"/>
                <w:szCs w:val="21"/>
              </w:rPr>
              <w:t>价格得分=（评标基准价/参与评审的价格）×</w:t>
            </w:r>
            <w:r>
              <w:rPr>
                <w:rFonts w:ascii="宋体" w:hAnsi="宋体" w:eastAsia="宋体" w:cs="宋体"/>
                <w:szCs w:val="21"/>
              </w:rPr>
              <w:t>1</w:t>
            </w:r>
            <w:r>
              <w:rPr>
                <w:rFonts w:hint="eastAsia" w:ascii="宋体" w:hAnsi="宋体" w:eastAsia="宋体" w:cs="宋体"/>
                <w:szCs w:val="21"/>
              </w:rPr>
              <w:t>0%×100。</w:t>
            </w:r>
          </w:p>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eastAsia="宋体" w:cs="宋体"/>
                <w:szCs w:val="21"/>
              </w:rPr>
              <w:t>注：价格分保留两位小数。</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商务技术分</w:t>
            </w:r>
          </w:p>
        </w:tc>
        <w:tc>
          <w:tcPr>
            <w:tcW w:w="1001"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b/>
                <w:bCs/>
                <w:color w:val="auto"/>
                <w:szCs w:val="21"/>
                <w:highlight w:val="none"/>
              </w:rPr>
            </w:pPr>
            <w:r>
              <w:rPr>
                <w:rFonts w:hint="eastAsia" w:ascii="宋体" w:hAnsi="宋体" w:cs="宋体"/>
                <w:color w:val="auto"/>
                <w:kern w:val="0"/>
                <w:szCs w:val="21"/>
                <w:highlight w:val="none"/>
              </w:rPr>
              <w:t>整体方案（</w:t>
            </w:r>
            <w:r>
              <w:rPr>
                <w:rFonts w:ascii="宋体" w:hAnsi="宋体" w:cs="宋体"/>
                <w:color w:val="auto"/>
                <w:kern w:val="0"/>
                <w:szCs w:val="21"/>
                <w:highlight w:val="none"/>
              </w:rPr>
              <w:t>40</w:t>
            </w:r>
            <w:r>
              <w:rPr>
                <w:rFonts w:hint="eastAsia" w:ascii="宋体" w:hAnsi="宋体" w:cs="宋体"/>
                <w:color w:val="auto"/>
                <w:kern w:val="0"/>
                <w:szCs w:val="21"/>
                <w:highlight w:val="none"/>
              </w:rPr>
              <w:t>分）</w:t>
            </w:r>
          </w:p>
        </w:tc>
        <w:tc>
          <w:tcPr>
            <w:tcW w:w="6648" w:type="dxa"/>
            <w:gridSpan w:val="2"/>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1.根据投标人提供的针对本项目背景、服务需求及项目边界理解透彻程度进行评审：背景及项目需求分析了解详细、边界梳理清晰的得3分，了解较详细、边界梳理较为清晰的得2分，了解笼统的得1分，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6648" w:type="dxa"/>
            <w:gridSpan w:val="2"/>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2.根据投标人提供的总体框架设计方案的理解透彻程度进行评审：对方案描述具体详细，与服务需求相符的得3分；对方案描述较为具体详细，与本项目服务需求有偏差的得2分；对方案描述笼统的得1分；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6648" w:type="dxa"/>
            <w:gridSpan w:val="2"/>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3.根据投标人提供的数改V字模型对核心业务梳理的理解透彻程度进行评审：理解透彻、合理，与服务需求相符的得3分；理解较为透彻、较合理，与本项目服务需求有偏差的得2分；理解描述笼统的得1分；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1097" w:type="dxa"/>
            <w:vMerge w:val="restart"/>
            <w:tcBorders>
              <w:top w:val="single" w:color="auto" w:sz="4" w:space="0"/>
              <w:left w:val="single" w:color="auto" w:sz="4" w:space="0"/>
              <w:right w:val="single" w:color="auto" w:sz="4" w:space="0"/>
            </w:tcBorders>
            <w:vAlign w:val="center"/>
          </w:tcPr>
          <w:p>
            <w:pPr>
              <w:tabs>
                <w:tab w:val="left" w:pos="0"/>
              </w:tabs>
              <w:adjustRightInd w:val="0"/>
              <w:spacing w:line="312"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4.详细设计方案</w:t>
            </w:r>
          </w:p>
        </w:tc>
        <w:tc>
          <w:tcPr>
            <w:tcW w:w="5551" w:type="dxa"/>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1根据投标人提供的软件整体深化设计、开发方案的完整性、合理性、科学性进行综合评议：深化设计功能阐述完整、具有针对性，符合项目服务要求的得3分；方案内容较完整，基本符合项目服务要求的得2分；方案内容欠全面与合理，与项目服务要求有偏差的得1分；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1097" w:type="dxa"/>
            <w:vMerge w:val="continue"/>
            <w:tcBorders>
              <w:left w:val="single" w:color="auto" w:sz="4" w:space="0"/>
              <w:right w:val="single" w:color="auto" w:sz="4" w:space="0"/>
            </w:tcBorders>
            <w:vAlign w:val="center"/>
          </w:tcPr>
          <w:p>
            <w:pPr>
              <w:tabs>
                <w:tab w:val="left" w:pos="0"/>
              </w:tabs>
              <w:adjustRightInd w:val="0"/>
              <w:spacing w:line="312" w:lineRule="auto"/>
              <w:jc w:val="center"/>
              <w:textAlignment w:val="baseline"/>
              <w:rPr>
                <w:rFonts w:ascii="宋体" w:hAnsi="宋体" w:cs="宋体"/>
                <w:color w:val="auto"/>
                <w:szCs w:val="21"/>
                <w:highlight w:val="none"/>
              </w:rPr>
            </w:pPr>
          </w:p>
        </w:tc>
        <w:tc>
          <w:tcPr>
            <w:tcW w:w="5551" w:type="dxa"/>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2根据投标人提供的指挥协调应用升级方案进行综合评议：升级方案内容完整且提供相关证明材料的，设计完善、全面的，符合采购需求的得3分；方案比较完整，流程设计较为完善，无重大缺陷的得2分；方案内容欠完整，流程设计欠完善的得1分；方案内容不完整，流程设计不完善，有缺项，不能满足采购需求的或未提供相关内容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1097" w:type="dxa"/>
            <w:vMerge w:val="continue"/>
            <w:tcBorders>
              <w:left w:val="single" w:color="auto" w:sz="4" w:space="0"/>
              <w:right w:val="single" w:color="auto" w:sz="4" w:space="0"/>
            </w:tcBorders>
            <w:vAlign w:val="center"/>
          </w:tcPr>
          <w:p>
            <w:pPr>
              <w:tabs>
                <w:tab w:val="left" w:pos="0"/>
              </w:tabs>
              <w:adjustRightInd w:val="0"/>
              <w:spacing w:line="312" w:lineRule="auto"/>
              <w:jc w:val="center"/>
              <w:textAlignment w:val="baseline"/>
              <w:rPr>
                <w:rFonts w:ascii="宋体" w:hAnsi="宋体" w:cs="宋体"/>
                <w:color w:val="auto"/>
                <w:szCs w:val="21"/>
                <w:highlight w:val="none"/>
              </w:rPr>
            </w:pPr>
          </w:p>
        </w:tc>
        <w:tc>
          <w:tcPr>
            <w:tcW w:w="5551" w:type="dxa"/>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3根据投标人提供的行业业务应用方案进行综合评议：方案功能阐述完整合理、具有针对性，符合项目服务要求的得3分；方案内容较完整，基本符合项目服务要求的得2分；方案内容欠全面与合理，与项目服务要求有偏差的得1分；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1097" w:type="dxa"/>
            <w:vMerge w:val="continue"/>
            <w:tcBorders>
              <w:left w:val="single" w:color="auto" w:sz="4" w:space="0"/>
              <w:right w:val="single" w:color="auto" w:sz="4" w:space="0"/>
            </w:tcBorders>
            <w:vAlign w:val="center"/>
          </w:tcPr>
          <w:p>
            <w:pPr>
              <w:tabs>
                <w:tab w:val="left" w:pos="0"/>
              </w:tabs>
              <w:adjustRightInd w:val="0"/>
              <w:spacing w:line="312" w:lineRule="auto"/>
              <w:jc w:val="center"/>
              <w:textAlignment w:val="baseline"/>
              <w:rPr>
                <w:rFonts w:ascii="宋体" w:hAnsi="宋体" w:cs="宋体"/>
                <w:color w:val="auto"/>
                <w:szCs w:val="21"/>
                <w:highlight w:val="none"/>
              </w:rPr>
            </w:pPr>
          </w:p>
        </w:tc>
        <w:tc>
          <w:tcPr>
            <w:tcW w:w="5551" w:type="dxa"/>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4根据投标人提供的运行监管应用方案进行综合评议：方案功能阐述完整合理、具有针对性，符合项目服务要求的得3分；方案内容较完整，基本符合项目服务要求的得2分；方案内容欠全面与合理，与项目服务要求有偏差的得1分；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1097" w:type="dxa"/>
            <w:vMerge w:val="continue"/>
            <w:tcBorders>
              <w:left w:val="single" w:color="auto" w:sz="4" w:space="0"/>
              <w:right w:val="single" w:color="auto" w:sz="4" w:space="0"/>
            </w:tcBorders>
            <w:vAlign w:val="center"/>
          </w:tcPr>
          <w:p>
            <w:pPr>
              <w:tabs>
                <w:tab w:val="left" w:pos="0"/>
              </w:tabs>
              <w:adjustRightInd w:val="0"/>
              <w:spacing w:line="312" w:lineRule="auto"/>
              <w:jc w:val="center"/>
              <w:textAlignment w:val="baseline"/>
              <w:rPr>
                <w:rFonts w:ascii="宋体" w:hAnsi="宋体" w:cs="宋体"/>
                <w:color w:val="auto"/>
                <w:szCs w:val="21"/>
                <w:highlight w:val="none"/>
              </w:rPr>
            </w:pPr>
          </w:p>
        </w:tc>
        <w:tc>
          <w:tcPr>
            <w:tcW w:w="5551" w:type="dxa"/>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4.5</w:t>
            </w:r>
            <w:bookmarkStart w:id="220" w:name="_Hlk119487114"/>
            <w:r>
              <w:rPr>
                <w:rFonts w:hint="eastAsia" w:ascii="宋体" w:hAnsi="宋体" w:cs="宋体"/>
                <w:color w:val="auto"/>
                <w:szCs w:val="21"/>
                <w:highlight w:val="none"/>
              </w:rPr>
              <w:t>根据投标人提供的综合评价应用、决策分析应用、移动应用方案进行综合评议</w:t>
            </w:r>
            <w:bookmarkEnd w:id="220"/>
            <w:r>
              <w:rPr>
                <w:rFonts w:hint="eastAsia" w:ascii="宋体" w:hAnsi="宋体" w:cs="宋体"/>
                <w:color w:val="auto"/>
                <w:szCs w:val="21"/>
                <w:highlight w:val="none"/>
              </w:rPr>
              <w:t>：方案功能阐述完整合理、具有针对性，符合项目服务要求的得3分；方案内容较完整，基本符合项目服务要求的得2分；方案内容欠全面与合理，与项目服务要求有偏差的得1分；未提供的得0分。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1097" w:type="dxa"/>
            <w:vMerge w:val="continue"/>
            <w:tcBorders>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p>
        </w:tc>
        <w:tc>
          <w:tcPr>
            <w:tcW w:w="5551" w:type="dxa"/>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根据招标文件《第二章 招标需求》中“三、详细采购要求”，针对标记"▲"条款，全部满足得7分，每负偏离一条扣0.5分。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6648" w:type="dxa"/>
            <w:gridSpan w:val="2"/>
            <w:tcBorders>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5.根据投标人提供的与其他系统对接（采购需求：与外部系统对接）的业务逻辑、接口设计方案的合理性、可行性进行综合评议：对接方案内容完整，业务逻辑清晰、接口设计完善、全面的得3分；方案比较完整，流程设计较为完善，无重大缺陷的得2分；方案内容欠完整，业务逻辑、接口设计欠完善的得1分；方案内容不完整，流程设计不完善，有缺项，或未提供相关内容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6648" w:type="dxa"/>
            <w:gridSpan w:val="2"/>
            <w:tcBorders>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6.根据投标人提供的组织实施方案（包括但不限于实施计划及进度、人员配备、测试验收方案等）内容进行综合评议：实施方案完整、具有针对性，响应服务要求及配备，符合采购需求要求的得3分；方案内容比较全面，无重大缺项或未响应的得2分；方案内容欠全面、针对性，基本响应了要求的得1分；方案内容有缺项，内容不完整，不能满足采购需求要求的或未提供相关内容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kern w:val="0"/>
                <w:szCs w:val="21"/>
                <w:highlight w:val="none"/>
              </w:rPr>
            </w:pPr>
          </w:p>
        </w:tc>
        <w:tc>
          <w:tcPr>
            <w:tcW w:w="6648" w:type="dxa"/>
            <w:gridSpan w:val="2"/>
            <w:tcBorders>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7.根据投标人提供的管控措施，包括但不限于质量控制、进度控制、风险控制等内容是否科学合理的情况进行综合评议：管控措施完整、具有针对性，响应服务要求及配备，符合采购需求要求的得3分；方案内容比较全面，无重大缺项或未响应的得2分；方案内容欠全面、针对性，基本响应了要求的得1分；方案内容有缺项，内容不完整，不能满足采购需求要求的或未提供相关内容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restart"/>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szCs w:val="21"/>
                <w:highlight w:val="none"/>
              </w:rPr>
            </w:pPr>
            <w:r>
              <w:rPr>
                <w:rFonts w:hint="eastAsia" w:ascii="宋体" w:hAnsi="宋体" w:cs="宋体"/>
                <w:color w:val="auto"/>
                <w:szCs w:val="21"/>
                <w:highlight w:val="none"/>
              </w:rPr>
              <w:t>服务能力</w:t>
            </w:r>
          </w:p>
          <w:p>
            <w:pPr>
              <w:autoSpaceDE w:val="0"/>
              <w:autoSpaceDN w:val="0"/>
              <w:adjustRightInd w:val="0"/>
              <w:spacing w:line="312" w:lineRule="auto"/>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分）</w:t>
            </w:r>
          </w:p>
        </w:tc>
        <w:tc>
          <w:tcPr>
            <w:tcW w:w="6648" w:type="dxa"/>
            <w:gridSpan w:val="2"/>
            <w:tcBorders>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1.根据投标人提供的服务响应时间、响应程度、服务便捷性进行评审：服务响应快、便捷性强的得</w:t>
            </w:r>
            <w:r>
              <w:rPr>
                <w:rFonts w:ascii="宋体" w:hAnsi="宋体" w:cs="宋体"/>
                <w:color w:val="auto"/>
                <w:szCs w:val="21"/>
                <w:highlight w:val="none"/>
              </w:rPr>
              <w:t>1.5</w:t>
            </w:r>
            <w:r>
              <w:rPr>
                <w:rFonts w:hint="eastAsia" w:ascii="宋体" w:hAnsi="宋体" w:cs="宋体"/>
                <w:color w:val="auto"/>
                <w:szCs w:val="21"/>
                <w:highlight w:val="none"/>
              </w:rPr>
              <w:t>分，服务响应较快、便捷性一般的得</w:t>
            </w:r>
            <w:r>
              <w:rPr>
                <w:rFonts w:ascii="宋体" w:hAnsi="宋体" w:cs="宋体"/>
                <w:color w:val="auto"/>
                <w:szCs w:val="21"/>
                <w:highlight w:val="none"/>
              </w:rPr>
              <w:t>1</w:t>
            </w:r>
            <w:r>
              <w:rPr>
                <w:rFonts w:hint="eastAsia" w:ascii="宋体" w:hAnsi="宋体" w:cs="宋体"/>
                <w:color w:val="auto"/>
                <w:szCs w:val="21"/>
                <w:highlight w:val="none"/>
              </w:rPr>
              <w:t>分，服务响应慢、便捷性差的得</w:t>
            </w:r>
            <w:r>
              <w:rPr>
                <w:rFonts w:ascii="宋体" w:hAnsi="宋体" w:cs="宋体"/>
                <w:color w:val="auto"/>
                <w:szCs w:val="21"/>
                <w:highlight w:val="none"/>
              </w:rPr>
              <w:t>0.5</w:t>
            </w:r>
            <w:r>
              <w:rPr>
                <w:rFonts w:hint="eastAsia" w:ascii="宋体" w:hAnsi="宋体" w:cs="宋体"/>
                <w:color w:val="auto"/>
                <w:szCs w:val="21"/>
                <w:highlight w:val="none"/>
              </w:rPr>
              <w:t xml:space="preserve">分，未提供的得0分。 </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szCs w:val="21"/>
                <w:highlight w:val="none"/>
              </w:rPr>
            </w:pPr>
          </w:p>
        </w:tc>
        <w:tc>
          <w:tcPr>
            <w:tcW w:w="6648" w:type="dxa"/>
            <w:gridSpan w:val="2"/>
            <w:tcBorders>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2.根据投标人提供的解决问题的能力、紧急故障处理预案、技术指导进行评审：解决问题能力强、紧急故障处理预案完善、技术指导力量充足的得</w:t>
            </w:r>
            <w:r>
              <w:rPr>
                <w:rFonts w:ascii="宋体" w:hAnsi="宋体" w:cs="宋体"/>
                <w:color w:val="auto"/>
                <w:szCs w:val="21"/>
                <w:highlight w:val="none"/>
              </w:rPr>
              <w:t>1.5</w:t>
            </w:r>
            <w:r>
              <w:rPr>
                <w:rFonts w:hint="eastAsia" w:ascii="宋体" w:hAnsi="宋体" w:cs="宋体"/>
                <w:color w:val="auto"/>
                <w:szCs w:val="21"/>
                <w:highlight w:val="none"/>
              </w:rPr>
              <w:t>分，解决问题能力较强、紧急故障处理预案较完善、技术指导力量较充足的得</w:t>
            </w:r>
            <w:r>
              <w:rPr>
                <w:rFonts w:ascii="宋体" w:hAnsi="宋体" w:cs="宋体"/>
                <w:color w:val="auto"/>
                <w:szCs w:val="21"/>
                <w:highlight w:val="none"/>
              </w:rPr>
              <w:t>1</w:t>
            </w:r>
            <w:r>
              <w:rPr>
                <w:rFonts w:hint="eastAsia" w:ascii="宋体" w:hAnsi="宋体" w:cs="宋体"/>
                <w:color w:val="auto"/>
                <w:szCs w:val="21"/>
                <w:highlight w:val="none"/>
              </w:rPr>
              <w:t>分，解决问题能力差、紧急故障处理预案笼统、技术指导力量不充足的的得</w:t>
            </w:r>
            <w:r>
              <w:rPr>
                <w:rFonts w:ascii="宋体" w:hAnsi="宋体" w:cs="宋体"/>
                <w:color w:val="auto"/>
                <w:szCs w:val="21"/>
                <w:highlight w:val="none"/>
              </w:rPr>
              <w:t>0.5</w:t>
            </w:r>
            <w:r>
              <w:rPr>
                <w:rFonts w:hint="eastAsia" w:ascii="宋体" w:hAnsi="宋体" w:cs="宋体"/>
                <w:color w:val="auto"/>
                <w:szCs w:val="21"/>
                <w:highlight w:val="none"/>
              </w:rPr>
              <w:t xml:space="preserve">分，未提供的得0分。 </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szCs w:val="21"/>
                <w:highlight w:val="none"/>
              </w:rPr>
            </w:pPr>
            <w:r>
              <w:rPr>
                <w:rFonts w:hint="eastAsia" w:ascii="宋体" w:hAnsi="宋体" w:cs="宋体"/>
                <w:color w:val="auto"/>
                <w:szCs w:val="21"/>
                <w:highlight w:val="none"/>
              </w:rPr>
              <w:t>培训服务（3分）</w:t>
            </w:r>
          </w:p>
        </w:tc>
        <w:tc>
          <w:tcPr>
            <w:tcW w:w="6648" w:type="dxa"/>
            <w:gridSpan w:val="2"/>
            <w:tcBorders>
              <w:top w:val="single" w:color="auto" w:sz="4" w:space="0"/>
              <w:left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根据投标人提供的培训方案进行评审：培训内容完善、培训计划周全、安排合理的得3分；培训内容较完善、培训计划笼统的得2分；培训内容及计划考虑不够充分的得1分；未提供培训计划的得0分。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szCs w:val="21"/>
                <w:highlight w:val="none"/>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重难点分析及解决方案</w:t>
            </w:r>
          </w:p>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6648"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lang w:val="zh-CN"/>
              </w:rPr>
              <w:t>根据供应商对本项目服务重点、难点的分析合理可行的得3分；对本项目服务重点、难点的分析较为到位，较为</w:t>
            </w:r>
            <w:r>
              <w:rPr>
                <w:rFonts w:hint="eastAsia" w:ascii="宋体" w:hAnsi="宋体" w:cs="宋体"/>
                <w:color w:val="auto"/>
                <w:szCs w:val="21"/>
                <w:highlight w:val="none"/>
              </w:rPr>
              <w:t>可行</w:t>
            </w:r>
            <w:r>
              <w:rPr>
                <w:rFonts w:hint="eastAsia" w:ascii="宋体" w:hAnsi="宋体" w:cs="宋体"/>
                <w:color w:val="auto"/>
                <w:szCs w:val="21"/>
                <w:highlight w:val="none"/>
                <w:lang w:val="zh-CN"/>
              </w:rPr>
              <w:t xml:space="preserve">的得2分；对本项目服务重点、难点的分析存在偏差的得1分，方案不合理或未提供的得0分。 </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rFonts w:ascii="宋体" w:hAnsi="宋体" w:cs="宋体"/>
                <w:color w:val="auto"/>
                <w:szCs w:val="21"/>
                <w:highlight w:val="none"/>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6648"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lang w:val="zh-CN"/>
              </w:rPr>
              <w:t>根据供应商针对重点、难点提出的解决及建设方案合理切实可行，且方案符合实际情况的得3分；方案较为符合实际情况的得2分；方案存在偏差，与实际情况不符的得1分，方案不合理或未提供的得0分。</w:t>
            </w:r>
          </w:p>
        </w:tc>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服务承诺（3分）</w:t>
            </w:r>
          </w:p>
        </w:tc>
        <w:tc>
          <w:tcPr>
            <w:tcW w:w="6648"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根据投标人</w:t>
            </w:r>
            <w:r>
              <w:rPr>
                <w:rFonts w:hint="eastAsia" w:ascii="宋体" w:hAnsi="宋体" w:cs="宋体"/>
                <w:color w:val="auto"/>
                <w:szCs w:val="21"/>
                <w:highlight w:val="none"/>
                <w:lang w:val="zh-CN"/>
              </w:rPr>
              <w:t>提供的服务承诺内容、执行方式等，承诺内容符合项目实际、执行方式操作性强的得3分，承诺内容较符合项目实际、执行方式操作性较强的得2分，承诺内容笼统、与实际有偏差的得1分，未提供服务承诺得0分。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restart"/>
            <w:tcBorders>
              <w:top w:val="single" w:color="auto" w:sz="4" w:space="0"/>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人员配备（1</w:t>
            </w:r>
            <w:r>
              <w:rPr>
                <w:rFonts w:ascii="宋体" w:hAnsi="宋体" w:cs="宋体"/>
                <w:color w:val="auto"/>
                <w:szCs w:val="21"/>
                <w:highlight w:val="none"/>
              </w:rPr>
              <w:t>4</w:t>
            </w:r>
            <w:r>
              <w:rPr>
                <w:rFonts w:hint="eastAsia" w:ascii="宋体" w:hAnsi="宋体" w:cs="宋体"/>
                <w:color w:val="auto"/>
                <w:szCs w:val="21"/>
                <w:highlight w:val="none"/>
              </w:rPr>
              <w:t>分）</w:t>
            </w:r>
          </w:p>
        </w:tc>
        <w:tc>
          <w:tcPr>
            <w:tcW w:w="6648"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项目负责人：</w:t>
            </w:r>
          </w:p>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具有信息系统项目管理师（高级）证书的得2分，具有系统规划与管理师（高级）证书的得2分，本项满分4分。</w:t>
            </w:r>
          </w:p>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注:</w:t>
            </w:r>
            <w:r>
              <w:rPr>
                <w:rFonts w:hint="eastAsia" w:asciiTheme="minorEastAsia" w:hAnsiTheme="minorEastAsia" w:eastAsiaTheme="minorEastAsia"/>
                <w:color w:val="auto"/>
                <w:szCs w:val="21"/>
                <w:highlight w:val="none"/>
              </w:rPr>
              <w:t>投标文件中提供人员有效证书复印件以及开标前三个月任意一月的社保缴纳证明</w:t>
            </w:r>
            <w:r>
              <w:rPr>
                <w:rFonts w:ascii="宋体" w:hAnsi="宋体" w:cs="宋体"/>
                <w:color w:val="auto"/>
                <w:szCs w:val="21"/>
                <w:highlight w:val="none"/>
              </w:rPr>
              <w:t>。</w:t>
            </w:r>
            <w:bookmarkStart w:id="221" w:name="_Hlk119487226"/>
            <w:r>
              <w:rPr>
                <w:rFonts w:hint="eastAsia" w:ascii="宋体" w:hAnsi="宋体" w:cs="宋体"/>
                <w:color w:val="auto"/>
                <w:szCs w:val="21"/>
                <w:highlight w:val="none"/>
              </w:rPr>
              <w:t>若为联合体投标的，需由联合体牵头人提供。</w:t>
            </w:r>
            <w:bookmarkEnd w:id="221"/>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6648"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技术负责人（与项目负责人不可同一人）：</w:t>
            </w:r>
          </w:p>
          <w:p>
            <w:pPr>
              <w:tabs>
                <w:tab w:val="left" w:pos="0"/>
              </w:tabs>
              <w:adjustRightInd w:val="0"/>
              <w:spacing w:line="312" w:lineRule="auto"/>
              <w:textAlignment w:val="baseline"/>
              <w:rPr>
                <w:rFonts w:ascii="宋体" w:hAnsi="宋体" w:cs="宋体"/>
                <w:color w:val="auto"/>
                <w:szCs w:val="21"/>
                <w:highlight w:val="none"/>
              </w:rPr>
            </w:pPr>
            <w:r>
              <w:rPr>
                <w:rFonts w:hint="eastAsia" w:ascii="宋体" w:hAnsi="宋体" w:cs="宋体"/>
                <w:color w:val="auto"/>
                <w:szCs w:val="21"/>
                <w:highlight w:val="none"/>
              </w:rPr>
              <w:t>具有系统集成项目管理工程师证书的得1</w:t>
            </w:r>
            <w:r>
              <w:rPr>
                <w:rFonts w:ascii="宋体" w:hAnsi="宋体" w:cs="宋体"/>
                <w:color w:val="auto"/>
                <w:szCs w:val="21"/>
                <w:highlight w:val="none"/>
              </w:rPr>
              <w:t>.5</w:t>
            </w:r>
            <w:r>
              <w:rPr>
                <w:rFonts w:hint="eastAsia" w:ascii="宋体" w:hAnsi="宋体" w:cs="宋体"/>
                <w:color w:val="auto"/>
                <w:szCs w:val="21"/>
                <w:highlight w:val="none"/>
              </w:rPr>
              <w:t>分，具有信息安全工程师证书的得1</w:t>
            </w:r>
            <w:r>
              <w:rPr>
                <w:rFonts w:ascii="宋体" w:hAnsi="宋体" w:cs="宋体"/>
                <w:color w:val="auto"/>
                <w:szCs w:val="21"/>
                <w:highlight w:val="none"/>
              </w:rPr>
              <w:t>.5</w:t>
            </w:r>
            <w:r>
              <w:rPr>
                <w:rFonts w:hint="eastAsia" w:ascii="宋体" w:hAnsi="宋体" w:cs="宋体"/>
                <w:color w:val="auto"/>
                <w:szCs w:val="21"/>
                <w:highlight w:val="none"/>
              </w:rPr>
              <w:t>分，本项满分</w:t>
            </w:r>
            <w:r>
              <w:rPr>
                <w:rFonts w:ascii="宋体" w:hAnsi="宋体" w:cs="宋体"/>
                <w:color w:val="auto"/>
                <w:szCs w:val="21"/>
                <w:highlight w:val="none"/>
              </w:rPr>
              <w:t>3</w:t>
            </w:r>
            <w:r>
              <w:rPr>
                <w:rFonts w:hint="eastAsia" w:ascii="宋体" w:hAnsi="宋体" w:cs="宋体"/>
                <w:color w:val="auto"/>
                <w:szCs w:val="21"/>
                <w:highlight w:val="none"/>
              </w:rPr>
              <w:t>分。</w:t>
            </w:r>
          </w:p>
          <w:p>
            <w:pPr>
              <w:tabs>
                <w:tab w:val="left" w:pos="0"/>
              </w:tabs>
              <w:adjustRightInd w:val="0"/>
              <w:spacing w:line="312" w:lineRule="auto"/>
              <w:textAlignment w:val="baseline"/>
              <w:rPr>
                <w:rFonts w:ascii="宋体" w:hAnsi="宋体" w:cs="宋体"/>
                <w:color w:val="auto"/>
                <w:szCs w:val="21"/>
                <w:highlight w:val="none"/>
              </w:rPr>
            </w:pPr>
            <w:r>
              <w:rPr>
                <w:rFonts w:ascii="宋体" w:hAnsi="宋体" w:cs="宋体"/>
                <w:color w:val="auto"/>
                <w:szCs w:val="21"/>
                <w:highlight w:val="none"/>
              </w:rPr>
              <w:t>注:</w:t>
            </w:r>
            <w:r>
              <w:rPr>
                <w:rFonts w:hint="eastAsia" w:asciiTheme="minorEastAsia" w:hAnsiTheme="minorEastAsia" w:eastAsiaTheme="minorEastAsia"/>
                <w:color w:val="auto"/>
                <w:szCs w:val="21"/>
                <w:highlight w:val="none"/>
              </w:rPr>
              <w:t>投标文件中提供人员有效证书复印件以及开标前三个月任意一月的社保缴纳证明</w:t>
            </w:r>
            <w:r>
              <w:rPr>
                <w:rFonts w:ascii="宋体" w:hAnsi="宋体" w:cs="宋体"/>
                <w:color w:val="auto"/>
                <w:szCs w:val="21"/>
                <w:highlight w:val="none"/>
              </w:rPr>
              <w:t>。</w:t>
            </w:r>
            <w:r>
              <w:rPr>
                <w:rFonts w:hint="eastAsia" w:ascii="宋体" w:hAnsi="宋体" w:cs="宋体"/>
                <w:color w:val="auto"/>
                <w:szCs w:val="21"/>
                <w:highlight w:val="none"/>
              </w:rPr>
              <w:t>若为联合体投标的，需由联合体牵头人提供。</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664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olor w:val="auto"/>
                <w:szCs w:val="21"/>
                <w:highlight w:val="none"/>
              </w:rPr>
            </w:pPr>
            <w:bookmarkStart w:id="222" w:name="_Hlk119487350"/>
            <w:r>
              <w:rPr>
                <w:rFonts w:hint="eastAsia" w:asciiTheme="minorEastAsia" w:hAnsiTheme="minorEastAsia" w:eastAsiaTheme="minorEastAsia"/>
                <w:color w:val="auto"/>
                <w:szCs w:val="21"/>
                <w:highlight w:val="none"/>
              </w:rPr>
              <w:t>项目组成员</w:t>
            </w:r>
            <w:bookmarkEnd w:id="222"/>
            <w:r>
              <w:rPr>
                <w:rFonts w:hint="eastAsia" w:asciiTheme="minorEastAsia" w:hAnsiTheme="minorEastAsia" w:eastAsiaTheme="minorEastAsia"/>
                <w:color w:val="auto"/>
                <w:szCs w:val="21"/>
                <w:highlight w:val="none"/>
              </w:rPr>
              <w:t>（除项目负责人、技术负责人外）：</w:t>
            </w:r>
          </w:p>
          <w:p>
            <w:pPr>
              <w:tabs>
                <w:tab w:val="left" w:pos="0"/>
              </w:tabs>
              <w:adjustRightInd w:val="0"/>
              <w:spacing w:line="312" w:lineRule="auto"/>
              <w:textAlignment w:val="baseline"/>
              <w:rPr>
                <w:rFonts w:asciiTheme="minorEastAsia" w:hAnsiTheme="minorEastAsia" w:eastAsiaTheme="minorEastAsia"/>
                <w:color w:val="auto"/>
                <w:szCs w:val="21"/>
                <w:highlight w:val="none"/>
              </w:rPr>
            </w:pPr>
            <w:bookmarkStart w:id="223" w:name="_Hlk119487454"/>
            <w:r>
              <w:rPr>
                <w:rFonts w:hint="eastAsia" w:asciiTheme="minorEastAsia" w:hAnsiTheme="minorEastAsia" w:eastAsiaTheme="minorEastAsia"/>
                <w:color w:val="auto"/>
                <w:szCs w:val="21"/>
                <w:highlight w:val="none"/>
              </w:rPr>
              <w:t>具有系统架构设计师、信息系统项目管理师、软件设计师、网络工程师、系统集成项目管理工程师、IT服务工程师、通信工程师、注册信息安全专业人员的，每具有一个持证人员的得0.5分，最高得4分。</w:t>
            </w:r>
          </w:p>
          <w:p>
            <w:pPr>
              <w:tabs>
                <w:tab w:val="left" w:pos="0"/>
              </w:tabs>
              <w:adjustRightInd w:val="0"/>
              <w:spacing w:line="312" w:lineRule="auto"/>
              <w:textAlignment w:val="baseline"/>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注：若项目组成员一人持有多项证书的或多人持有同一项证书的只能按一本证书参与一次得分评审。</w:t>
            </w:r>
            <w:bookmarkEnd w:id="223"/>
          </w:p>
          <w:p>
            <w:pPr>
              <w:tabs>
                <w:tab w:val="left" w:pos="0"/>
              </w:tabs>
              <w:adjustRightInd w:val="0"/>
              <w:spacing w:line="312" w:lineRule="auto"/>
              <w:textAlignment w:val="baseline"/>
              <w:rPr>
                <w:rFonts w:ascii="宋体" w:hAnsi="宋体" w:cs="宋体"/>
                <w:color w:val="auto"/>
                <w:szCs w:val="21"/>
                <w:highlight w:val="none"/>
              </w:rPr>
            </w:pPr>
            <w:r>
              <w:rPr>
                <w:rFonts w:hint="eastAsia" w:asciiTheme="minorEastAsia" w:hAnsiTheme="minorEastAsia" w:eastAsiaTheme="minorEastAsia"/>
                <w:color w:val="auto"/>
                <w:szCs w:val="21"/>
                <w:highlight w:val="none"/>
              </w:rPr>
              <w:t>投标文件中提供人员有效证书复印件以及开标前三个月任意一月的社保缴纳证明。</w:t>
            </w:r>
            <w:r>
              <w:rPr>
                <w:rFonts w:hint="eastAsia" w:ascii="宋体" w:hAnsi="宋体" w:cs="宋体"/>
                <w:color w:val="auto"/>
                <w:szCs w:val="21"/>
                <w:highlight w:val="none"/>
              </w:rPr>
              <w:t>若为联合体投标的，联合体任意一方提供的均可。</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vMerge w:val="continue"/>
            <w:tcBorders>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6648" w:type="dxa"/>
            <w:gridSpan w:val="2"/>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Theme="minorEastAsia" w:hAnsiTheme="minorEastAsia" w:eastAsiaTheme="minorEastAsia"/>
                <w:color w:val="auto"/>
                <w:szCs w:val="21"/>
                <w:highlight w:val="none"/>
              </w:rPr>
            </w:pPr>
            <w:r>
              <w:rPr>
                <w:rFonts w:hint="eastAsia" w:ascii="宋体" w:hAnsi="宋体" w:cs="宋体"/>
                <w:color w:val="auto"/>
                <w:kern w:val="0"/>
                <w:szCs w:val="21"/>
                <w:highlight w:val="none"/>
              </w:rPr>
              <w:t>根据投标人拟投入本项目的服务团队人员配置方案、对应人员职责分工、工作经验等情况，人员配置方案合理、职责分工明确、工作经验丰富的得3分，人员配置方案较合理、职责分工较明确、工作经验较丰富的得2分，人员配置方案合理性差、职责分工笼统的得1分，未提供不得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tcBorders>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现场演示（</w:t>
            </w:r>
            <w:r>
              <w:rPr>
                <w:rFonts w:ascii="宋体" w:hAnsi="宋体" w:cs="宋体"/>
                <w:color w:val="auto"/>
                <w:szCs w:val="21"/>
                <w:highlight w:val="none"/>
              </w:rPr>
              <w:t>14</w:t>
            </w:r>
            <w:r>
              <w:rPr>
                <w:rFonts w:hint="eastAsia" w:ascii="宋体" w:hAnsi="宋体" w:cs="宋体"/>
                <w:color w:val="auto"/>
                <w:szCs w:val="21"/>
                <w:highlight w:val="none"/>
              </w:rPr>
              <w:t>分）</w:t>
            </w:r>
          </w:p>
        </w:tc>
        <w:tc>
          <w:tcPr>
            <w:tcW w:w="6648" w:type="dxa"/>
            <w:gridSpan w:val="2"/>
            <w:tcBorders>
              <w:top w:val="single" w:color="auto" w:sz="4" w:space="0"/>
              <w:left w:val="single" w:color="auto" w:sz="4" w:space="0"/>
              <w:bottom w:val="single" w:color="auto" w:sz="4" w:space="0"/>
              <w:right w:val="single" w:color="auto" w:sz="4" w:space="0"/>
            </w:tcBorders>
            <w:vAlign w:val="center"/>
          </w:tcPr>
          <w:p>
            <w:pPr>
              <w:widowControl/>
              <w:spacing w:line="312"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提供现场演示，根据采购文件的建设内容与技术要求，评委根据演示内容的完整性、效果丰富情况进行评审，演示欠合理、欠完整、欠针对性的每项扣0.5分，演示不完整、不合理、无针对性、未深入的每项扣1分，每小项扣完相应分值为止：</w:t>
            </w:r>
          </w:p>
          <w:p>
            <w:pPr>
              <w:widowControl/>
              <w:spacing w:line="312"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演示三级平台、五级联动体系架构，可根据市级、区级以及街镇三级架构进行任意切换界面，并可实现与各级指挥中心进行远程调度（3分）；（2）演示城市“安全”“干净”“有序”“便捷”“满意度”五大维度监测要素，可关联应用系统实现地图联动展示，提供隐患的异常提醒和预警（3分）；</w:t>
            </w:r>
          </w:p>
          <w:p>
            <w:pPr>
              <w:widowControl/>
              <w:spacing w:line="312"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（3）演示案件发现、分流、处置、结案闭环流程分析，可对案件按照不同维度进行统计展示和地图联动，并支持历史案件趋势分析（2分）；</w:t>
            </w:r>
          </w:p>
          <w:p>
            <w:pPr>
              <w:widowControl/>
              <w:spacing w:line="312"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（4)展示 “安全”“干净”“有序”“便捷”“满意度”区域五色图评价（2分）。</w:t>
            </w:r>
          </w:p>
          <w:p>
            <w:pPr>
              <w:widowControl/>
              <w:spacing w:line="312"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（5）展示常态化、兜底、应急、多跨（含一件事）、执法等事件全过程监管，并可根据责任清单实现智能化、扁平化流转（2分）</w:t>
            </w:r>
          </w:p>
          <w:p>
            <w:pPr>
              <w:widowControl/>
              <w:spacing w:line="312"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(6) 其他特色功能演示(2分)</w:t>
            </w:r>
          </w:p>
          <w:p>
            <w:pPr>
              <w:widowControl/>
              <w:spacing w:line="312"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注：每家供应商演示时间控制在15分钟内，所需设备及网络环境由投标供应商自备。未进行演示的不得分。</w:t>
            </w:r>
            <w:bookmarkStart w:id="224" w:name="_Hlk119487640"/>
            <w:r>
              <w:rPr>
                <w:rFonts w:hint="eastAsia" w:ascii="宋体" w:hAnsi="宋体" w:cs="宋体"/>
                <w:color w:val="auto"/>
                <w:kern w:val="0"/>
                <w:szCs w:val="21"/>
                <w:highlight w:val="none"/>
              </w:rPr>
              <w:t>演示形式包括但不限于系统、视频、PPT等。</w:t>
            </w:r>
            <w:bookmarkEnd w:id="224"/>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312" w:lineRule="auto"/>
              <w:ind w:right="-107" w:rightChars="-51"/>
              <w:jc w:val="center"/>
              <w:rPr>
                <w:rFonts w:ascii="宋体" w:hAnsi="宋体" w:cs="宋体"/>
                <w:color w:val="auto"/>
                <w:szCs w:val="21"/>
                <w:highlight w:val="none"/>
              </w:rPr>
            </w:pPr>
            <w:r>
              <w:rPr>
                <w:rFonts w:hint="eastAsia" w:asciiTheme="minorEastAsia" w:hAnsiTheme="minorEastAsia" w:eastAsiaTheme="minorEastAsia"/>
                <w:color w:val="auto"/>
                <w:szCs w:val="21"/>
                <w:highlight w:val="none"/>
              </w:rPr>
              <w:t>履约能力（4分）</w:t>
            </w:r>
          </w:p>
        </w:tc>
        <w:tc>
          <w:tcPr>
            <w:tcW w:w="664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fldChar w:fldCharType="begin"/>
            </w:r>
            <w:r>
              <w:rPr>
                <w:rFonts w:hint="eastAsia" w:cs="宋体" w:asciiTheme="minorEastAsia" w:hAnsiTheme="minorEastAsia" w:eastAsiaTheme="minorEastAsia"/>
                <w:color w:val="auto"/>
                <w:szCs w:val="21"/>
                <w:highlight w:val="none"/>
              </w:rPr>
              <w:instrText xml:space="preserve">= 1 \* GB3</w:instrText>
            </w:r>
            <w:r>
              <w:rPr>
                <w:rFonts w:cs="宋体" w:asciiTheme="minorEastAsia" w:hAnsiTheme="minorEastAsia" w:eastAsiaTheme="minorEastAsia"/>
                <w:color w:val="auto"/>
                <w:szCs w:val="21"/>
                <w:highlight w:val="none"/>
              </w:rPr>
              <w:fldChar w:fldCharType="separate"/>
            </w:r>
            <w:r>
              <w:rPr>
                <w:rFonts w:hint="eastAsia" w:cs="宋体" w:asciiTheme="minorEastAsia" w:hAnsiTheme="minorEastAsia" w:eastAsiaTheme="minorEastAsia"/>
                <w:color w:val="auto"/>
                <w:szCs w:val="21"/>
                <w:highlight w:val="none"/>
              </w:rPr>
              <w:t>①</w:t>
            </w:r>
            <w:r>
              <w:rPr>
                <w:rFonts w:cs="宋体"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投标人具有ISO20000信息技术服务管理体系认证得1分；</w:t>
            </w:r>
          </w:p>
          <w:p>
            <w:pPr>
              <w:spacing w:line="312" w:lineRule="auto"/>
              <w:jc w:val="left"/>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fldChar w:fldCharType="begin"/>
            </w:r>
            <w:r>
              <w:rPr>
                <w:rFonts w:hint="eastAsia" w:cs="宋体" w:asciiTheme="minorEastAsia" w:hAnsiTheme="minorEastAsia" w:eastAsiaTheme="minorEastAsia"/>
                <w:color w:val="auto"/>
                <w:kern w:val="0"/>
                <w:szCs w:val="21"/>
                <w:highlight w:val="none"/>
              </w:rPr>
              <w:instrText xml:space="preserve">= 2 \* GB3</w:instrText>
            </w:r>
            <w:r>
              <w:rPr>
                <w:rFonts w:cs="宋体" w:asciiTheme="minorEastAsia" w:hAnsiTheme="minorEastAsia" w:eastAsiaTheme="minorEastAsia"/>
                <w:color w:val="auto"/>
                <w:kern w:val="0"/>
                <w:szCs w:val="21"/>
                <w:highlight w:val="none"/>
              </w:rPr>
              <w:fldChar w:fldCharType="separate"/>
            </w:r>
            <w:r>
              <w:rPr>
                <w:rFonts w:hint="eastAsia" w:cs="宋体" w:asciiTheme="minorEastAsia" w:hAnsiTheme="minorEastAsia" w:eastAsiaTheme="minorEastAsia"/>
                <w:color w:val="auto"/>
                <w:kern w:val="0"/>
                <w:szCs w:val="21"/>
                <w:highlight w:val="none"/>
              </w:rPr>
              <w:t>②</w:t>
            </w:r>
            <w:r>
              <w:rPr>
                <w:rFonts w:cs="宋体" w:asciiTheme="minorEastAsia" w:hAnsiTheme="minorEastAsia" w:eastAsiaTheme="minorEastAsia"/>
                <w:color w:val="auto"/>
                <w:kern w:val="0"/>
                <w:szCs w:val="21"/>
                <w:highlight w:val="none"/>
              </w:rPr>
              <w:fldChar w:fldCharType="end"/>
            </w:r>
            <w:r>
              <w:rPr>
                <w:rFonts w:hint="eastAsia" w:asciiTheme="minorEastAsia" w:hAnsiTheme="minorEastAsia" w:eastAsiaTheme="minorEastAsia"/>
                <w:color w:val="auto"/>
                <w:szCs w:val="21"/>
                <w:highlight w:val="none"/>
              </w:rPr>
              <w:t>投标人具有ISO27001信息安全管理体系认证证书得1分；</w:t>
            </w:r>
          </w:p>
          <w:p>
            <w:pPr>
              <w:spacing w:line="312"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③投标人具有ISO27701隐私安全管理体系认证证书得1分； </w:t>
            </w:r>
          </w:p>
          <w:p>
            <w:pPr>
              <w:spacing w:line="312"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④投标人具有知识产权管理体系认证证书的得1分。</w:t>
            </w:r>
          </w:p>
          <w:p>
            <w:pPr>
              <w:spacing w:line="312" w:lineRule="auto"/>
              <w:rPr>
                <w:rFonts w:ascii="宋体" w:hAnsi="宋体" w:cs="宋体"/>
                <w:color w:val="auto"/>
                <w:szCs w:val="21"/>
                <w:highlight w:val="none"/>
              </w:rPr>
            </w:pPr>
            <w:r>
              <w:rPr>
                <w:rFonts w:hint="eastAsia" w:asciiTheme="minorEastAsia" w:hAnsiTheme="minorEastAsia" w:eastAsiaTheme="minorEastAsia"/>
                <w:color w:val="auto"/>
                <w:szCs w:val="21"/>
                <w:highlight w:val="none"/>
              </w:rPr>
              <w:t>注：投标文件中提供上述证书复印件。</w:t>
            </w:r>
            <w:r>
              <w:rPr>
                <w:rFonts w:hint="eastAsia" w:ascii="宋体" w:hAnsi="宋体" w:cs="宋体"/>
                <w:color w:val="auto"/>
                <w:szCs w:val="21"/>
                <w:highlight w:val="none"/>
              </w:rPr>
              <w:t>若为联合体投标的，联合体任意一方提供的均可。</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项目业绩（1分）</w:t>
            </w:r>
          </w:p>
        </w:tc>
        <w:tc>
          <w:tcPr>
            <w:tcW w:w="664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Cs w:val="21"/>
                <w:highlight w:val="none"/>
              </w:rPr>
            </w:pPr>
            <w:r>
              <w:rPr>
                <w:rFonts w:hint="eastAsia" w:ascii="宋体" w:hAnsi="宋体" w:cs="宋体"/>
                <w:color w:val="auto"/>
                <w:szCs w:val="21"/>
                <w:highlight w:val="none"/>
              </w:rPr>
              <w:t>201</w:t>
            </w:r>
            <w:r>
              <w:rPr>
                <w:rFonts w:ascii="宋体" w:hAnsi="宋体" w:cs="宋体"/>
                <w:color w:val="auto"/>
                <w:szCs w:val="21"/>
                <w:highlight w:val="none"/>
              </w:rPr>
              <w:t>9</w:t>
            </w:r>
            <w:r>
              <w:rPr>
                <w:rFonts w:hint="eastAsia" w:ascii="宋体" w:hAnsi="宋体" w:cs="宋体"/>
                <w:color w:val="auto"/>
                <w:szCs w:val="21"/>
                <w:highlight w:val="none"/>
              </w:rPr>
              <w:t>年</w:t>
            </w:r>
            <w:r>
              <w:rPr>
                <w:rFonts w:ascii="宋体" w:hAnsi="宋体" w:cs="宋体"/>
                <w:color w:val="auto"/>
                <w:szCs w:val="21"/>
                <w:highlight w:val="none"/>
              </w:rPr>
              <w:t>12</w:t>
            </w:r>
            <w:r>
              <w:rPr>
                <w:rFonts w:hint="eastAsia" w:ascii="宋体" w:hAnsi="宋体" w:cs="宋体"/>
                <w:color w:val="auto"/>
                <w:szCs w:val="21"/>
                <w:highlight w:val="none"/>
              </w:rPr>
              <w:t>月1日（以合同签订时间为准）至今，投标人具有的同类软件开发服务项目业绩的得1分。</w:t>
            </w:r>
          </w:p>
          <w:p>
            <w:pPr>
              <w:spacing w:line="312" w:lineRule="auto"/>
              <w:rPr>
                <w:rFonts w:ascii="宋体" w:hAnsi="宋体" w:cs="宋体"/>
                <w:b/>
                <w:bCs/>
                <w:color w:val="auto"/>
                <w:szCs w:val="21"/>
                <w:highlight w:val="none"/>
              </w:rPr>
            </w:pPr>
            <w:r>
              <w:rPr>
                <w:rFonts w:hint="eastAsia" w:ascii="宋体" w:hAnsi="宋体" w:cs="宋体"/>
                <w:color w:val="auto"/>
                <w:szCs w:val="21"/>
                <w:highlight w:val="none"/>
              </w:rPr>
              <w:t>注：提供业绩合同复印件并加盖公章。若为联合体投标的，联合体任意一方提供的均可。</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p>
        </w:tc>
        <w:tc>
          <w:tcPr>
            <w:tcW w:w="1001" w:type="dxa"/>
            <w:tcBorders>
              <w:top w:val="single" w:color="auto" w:sz="4" w:space="0"/>
              <w:left w:val="single" w:color="auto" w:sz="4" w:space="0"/>
              <w:right w:val="single" w:color="auto" w:sz="4" w:space="0"/>
            </w:tcBorders>
            <w:vAlign w:val="center"/>
          </w:tcPr>
          <w:p>
            <w:pPr>
              <w:spacing w:line="312" w:lineRule="auto"/>
              <w:jc w:val="center"/>
              <w:rPr>
                <w:rFonts w:ascii="宋体" w:hAnsi="宋体" w:cs="宋体"/>
                <w:color w:val="auto"/>
                <w:szCs w:val="21"/>
                <w:highlight w:val="none"/>
              </w:rPr>
            </w:pPr>
            <w:r>
              <w:rPr>
                <w:rFonts w:hint="eastAsia" w:ascii="宋体" w:hAnsi="宋体" w:cs="宋体"/>
                <w:color w:val="auto"/>
                <w:szCs w:val="21"/>
                <w:highlight w:val="none"/>
              </w:rPr>
              <w:t>商务需求响应情况（2分）</w:t>
            </w:r>
          </w:p>
        </w:tc>
        <w:tc>
          <w:tcPr>
            <w:tcW w:w="664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szCs w:val="21"/>
                <w:highlight w:val="none"/>
              </w:rPr>
            </w:pPr>
            <w:r>
              <w:rPr>
                <w:rFonts w:hint="eastAsia" w:ascii="宋体" w:hAnsi="宋体" w:cs="宋体"/>
                <w:color w:val="auto"/>
                <w:szCs w:val="21"/>
                <w:highlight w:val="none"/>
              </w:rPr>
              <w:t>根据投标人针对“第二章 招标需求”中“一、商务要求”（除标注*条款外）的响应情况进行评审，完全响应的得2分，若有负偏离的，每负偏离一项扣0.5分。</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4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ascii="宋体" w:hAnsi="宋体" w:cs="宋体"/>
                <w:b/>
                <w:bCs/>
                <w:color w:val="auto"/>
                <w:szCs w:val="21"/>
                <w:highlight w:val="none"/>
              </w:rPr>
            </w:pPr>
            <w:r>
              <w:rPr>
                <w:rFonts w:hint="eastAsia" w:ascii="宋体" w:hAnsi="宋体" w:cs="宋体"/>
                <w:b/>
                <w:bCs/>
                <w:color w:val="auto"/>
                <w:szCs w:val="21"/>
                <w:highlight w:val="none"/>
              </w:rPr>
              <w:t>100</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w:t>
            </w:r>
          </w:p>
        </w:tc>
      </w:tr>
      <w:bookmarkEnd w:id="218"/>
    </w:tbl>
    <w:p>
      <w:pPr>
        <w:pStyle w:val="2"/>
        <w:spacing w:before="0" w:after="0" w:line="360" w:lineRule="auto"/>
        <w:jc w:val="center"/>
        <w:rPr>
          <w:rFonts w:ascii="宋体" w:hAnsi="宋体" w:cs="宋体"/>
          <w:color w:val="auto"/>
          <w:sz w:val="30"/>
          <w:highlight w:val="none"/>
        </w:rPr>
      </w:pPr>
      <w:r>
        <w:rPr>
          <w:rFonts w:hint="eastAsia" w:ascii="宋体" w:hAnsi="宋体" w:cs="宋体"/>
          <w:color w:val="auto"/>
          <w:sz w:val="30"/>
          <w:highlight w:val="none"/>
        </w:rPr>
        <w:br w:type="page"/>
      </w:r>
      <w:bookmarkStart w:id="225" w:name="_Toc5225"/>
      <w:r>
        <w:rPr>
          <w:rFonts w:hint="eastAsia" w:ascii="宋体" w:hAnsi="宋体" w:cs="宋体"/>
          <w:color w:val="auto"/>
          <w:sz w:val="30"/>
          <w:highlight w:val="none"/>
        </w:rPr>
        <w:t>第五章  政府采购合同</w:t>
      </w:r>
      <w:bookmarkEnd w:id="219"/>
      <w:bookmarkEnd w:id="225"/>
    </w:p>
    <w:p>
      <w:pPr>
        <w:rPr>
          <w:rFonts w:ascii="宋体" w:hAnsi="宋体" w:cs="宋体"/>
          <w:color w:val="auto"/>
          <w:highlight w:val="none"/>
        </w:rPr>
      </w:pPr>
      <w:bookmarkStart w:id="226" w:name="_Toc460857945"/>
      <w:bookmarkStart w:id="227" w:name="_Toc460857947"/>
    </w:p>
    <w:p>
      <w:pPr>
        <w:ind w:right="-197" w:rightChars="-94"/>
        <w:jc w:val="center"/>
        <w:rPr>
          <w:b/>
          <w:color w:val="auto"/>
          <w:sz w:val="52"/>
          <w:szCs w:val="52"/>
          <w:highlight w:val="none"/>
        </w:rPr>
      </w:pPr>
    </w:p>
    <w:p>
      <w:pPr>
        <w:ind w:right="-197" w:rightChars="-94"/>
        <w:jc w:val="center"/>
        <w:rPr>
          <w:b/>
          <w:color w:val="auto"/>
          <w:sz w:val="52"/>
          <w:szCs w:val="52"/>
          <w:highlight w:val="none"/>
        </w:rPr>
      </w:pPr>
    </w:p>
    <w:p>
      <w:pPr>
        <w:rPr>
          <w:color w:val="auto"/>
          <w:highlight w:val="none"/>
        </w:rPr>
      </w:pPr>
    </w:p>
    <w:p>
      <w:pPr>
        <w:ind w:right="-197" w:rightChars="-94"/>
        <w:jc w:val="center"/>
        <w:rPr>
          <w:b/>
          <w:color w:val="auto"/>
          <w:sz w:val="52"/>
          <w:szCs w:val="52"/>
          <w:highlight w:val="none"/>
        </w:rPr>
      </w:pPr>
      <w:bookmarkStart w:id="228" w:name="_Toc14434"/>
      <w:r>
        <w:rPr>
          <w:rFonts w:hint="eastAsia"/>
          <w:b/>
          <w:color w:val="auto"/>
          <w:sz w:val="52"/>
          <w:szCs w:val="52"/>
          <w:highlight w:val="none"/>
        </w:rPr>
        <w:t>宁波市城市治理“一网通管”平台—城市运行管理服务系统项目合同书</w:t>
      </w:r>
    </w:p>
    <w:p>
      <w:pPr>
        <w:jc w:val="center"/>
        <w:rPr>
          <w:b/>
          <w:color w:val="auto"/>
          <w:sz w:val="44"/>
          <w:szCs w:val="44"/>
          <w:highlight w:val="none"/>
        </w:rPr>
      </w:pPr>
    </w:p>
    <w:p>
      <w:pPr>
        <w:jc w:val="center"/>
        <w:rPr>
          <w:b/>
          <w:color w:val="auto"/>
          <w:sz w:val="44"/>
          <w:szCs w:val="44"/>
          <w:highlight w:val="none"/>
        </w:rPr>
      </w:pPr>
    </w:p>
    <w:p>
      <w:pPr>
        <w:jc w:val="center"/>
        <w:rPr>
          <w:b/>
          <w:color w:val="auto"/>
          <w:sz w:val="44"/>
          <w:szCs w:val="44"/>
          <w:highlight w:val="none"/>
        </w:rPr>
      </w:pPr>
    </w:p>
    <w:p>
      <w:pPr>
        <w:jc w:val="center"/>
        <w:rPr>
          <w:b/>
          <w:color w:val="auto"/>
          <w:sz w:val="44"/>
          <w:szCs w:val="44"/>
          <w:highlight w:val="none"/>
        </w:rPr>
      </w:pPr>
    </w:p>
    <w:p>
      <w:pPr>
        <w:jc w:val="center"/>
        <w:rPr>
          <w:b/>
          <w:color w:val="auto"/>
          <w:sz w:val="44"/>
          <w:szCs w:val="44"/>
          <w:highlight w:val="none"/>
        </w:rPr>
      </w:pPr>
    </w:p>
    <w:p>
      <w:pPr>
        <w:jc w:val="center"/>
        <w:rPr>
          <w:b/>
          <w:color w:val="auto"/>
          <w:sz w:val="44"/>
          <w:szCs w:val="44"/>
          <w:highlight w:val="none"/>
        </w:rPr>
      </w:pPr>
    </w:p>
    <w:p>
      <w:pPr>
        <w:jc w:val="center"/>
        <w:rPr>
          <w:b/>
          <w:color w:val="auto"/>
          <w:sz w:val="44"/>
          <w:szCs w:val="44"/>
          <w:highlight w:val="none"/>
        </w:rPr>
      </w:pPr>
    </w:p>
    <w:p>
      <w:pPr>
        <w:jc w:val="center"/>
        <w:rPr>
          <w:b/>
          <w:color w:val="auto"/>
          <w:sz w:val="44"/>
          <w:szCs w:val="44"/>
          <w:highlight w:val="none"/>
        </w:rPr>
      </w:pPr>
    </w:p>
    <w:p>
      <w:pPr>
        <w:spacing w:before="120" w:beforeLines="50" w:after="120" w:afterLines="50" w:line="360" w:lineRule="auto"/>
        <w:ind w:firstLine="560" w:firstLineChars="200"/>
        <w:outlineLvl w:val="0"/>
        <w:rPr>
          <w:rFonts w:ascii="宋体" w:hAnsi="宋体"/>
          <w:color w:val="auto"/>
          <w:highlight w:val="none"/>
          <w:u w:val="single"/>
        </w:rPr>
      </w:pPr>
      <w:r>
        <w:rPr>
          <w:rFonts w:hint="eastAsia" w:ascii="宋体" w:hAnsi="宋体"/>
          <w:color w:val="auto"/>
          <w:sz w:val="28"/>
          <w:highlight w:val="none"/>
        </w:rPr>
        <w:t>甲方：</w:t>
      </w:r>
      <w:r>
        <w:rPr>
          <w:rFonts w:hint="eastAsia" w:ascii="宋体" w:hAnsi="宋体"/>
          <w:color w:val="auto"/>
          <w:sz w:val="28"/>
          <w:highlight w:val="none"/>
          <w:u w:val="single"/>
        </w:rPr>
        <w:t>宁波市智慧城管中心</w:t>
      </w:r>
    </w:p>
    <w:p>
      <w:pPr>
        <w:spacing w:before="120" w:beforeLines="50" w:after="120" w:afterLines="50" w:line="360" w:lineRule="auto"/>
        <w:ind w:firstLine="560" w:firstLineChars="200"/>
        <w:outlineLvl w:val="0"/>
        <w:rPr>
          <w:rFonts w:ascii="宋体" w:hAnsi="宋体"/>
          <w:color w:val="auto"/>
          <w:sz w:val="28"/>
          <w:highlight w:val="none"/>
          <w:u w:val="single"/>
        </w:rPr>
      </w:pPr>
      <w:r>
        <w:rPr>
          <w:rFonts w:hint="eastAsia" w:ascii="宋体" w:hAnsi="宋体"/>
          <w:color w:val="auto"/>
          <w:sz w:val="28"/>
          <w:highlight w:val="none"/>
        </w:rPr>
        <w:t>乙方：</w:t>
      </w:r>
    </w:p>
    <w:p>
      <w:pPr>
        <w:spacing w:before="120" w:beforeLines="50" w:after="120" w:afterLines="50" w:line="360" w:lineRule="auto"/>
        <w:ind w:firstLine="560" w:firstLineChars="200"/>
        <w:outlineLvl w:val="0"/>
        <w:rPr>
          <w:rFonts w:ascii="宋体" w:hAnsi="宋体"/>
          <w:color w:val="auto"/>
          <w:sz w:val="28"/>
          <w:highlight w:val="none"/>
        </w:rPr>
      </w:pPr>
      <w:r>
        <w:rPr>
          <w:rFonts w:hint="eastAsia" w:ascii="宋体" w:hAnsi="宋体"/>
          <w:color w:val="auto"/>
          <w:sz w:val="28"/>
          <w:highlight w:val="none"/>
        </w:rPr>
        <w:t>签订时间：2022年   月</w:t>
      </w:r>
    </w:p>
    <w:p>
      <w:pPr>
        <w:spacing w:before="120" w:beforeLines="50" w:after="120" w:afterLines="50" w:line="360" w:lineRule="auto"/>
        <w:ind w:firstLine="560" w:firstLineChars="200"/>
        <w:outlineLvl w:val="0"/>
        <w:rPr>
          <w:rFonts w:ascii="宋体" w:hAnsi="宋体"/>
          <w:color w:val="auto"/>
          <w:sz w:val="28"/>
          <w:highlight w:val="none"/>
        </w:rPr>
      </w:pPr>
      <w:r>
        <w:rPr>
          <w:rFonts w:hint="eastAsia" w:ascii="宋体" w:hAnsi="宋体"/>
          <w:color w:val="auto"/>
          <w:sz w:val="28"/>
          <w:highlight w:val="none"/>
        </w:rPr>
        <w:t>签订地点：宁波市鄞州区</w:t>
      </w:r>
    </w:p>
    <w:p>
      <w:pPr>
        <w:jc w:val="center"/>
        <w:rPr>
          <w:rFonts w:ascii="宋体" w:hAnsi="宋体"/>
          <w:color w:val="auto"/>
          <w:sz w:val="44"/>
          <w:szCs w:val="20"/>
          <w:highlight w:val="none"/>
        </w:rPr>
      </w:pPr>
    </w:p>
    <w:p>
      <w:pPr>
        <w:widowControl/>
        <w:jc w:val="left"/>
        <w:rPr>
          <w:color w:val="auto"/>
          <w:sz w:val="32"/>
          <w:szCs w:val="32"/>
          <w:highlight w:val="none"/>
        </w:rPr>
      </w:pPr>
      <w:r>
        <w:rPr>
          <w:color w:val="auto"/>
          <w:sz w:val="32"/>
          <w:szCs w:val="32"/>
          <w:highlight w:val="none"/>
        </w:rPr>
        <w:br w:type="page"/>
      </w:r>
    </w:p>
    <w:p>
      <w:pPr>
        <w:spacing w:line="600" w:lineRule="exact"/>
        <w:rPr>
          <w:color w:val="auto"/>
          <w:sz w:val="32"/>
          <w:szCs w:val="32"/>
          <w:highlight w:val="none"/>
        </w:rPr>
      </w:pP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宁波市城市治理“一网通管”平台—城市运行管理服务系统项目实行公开招标方式采购（</w:t>
      </w:r>
      <w:r>
        <w:rPr>
          <w:rFonts w:hint="eastAsia" w:ascii="宋体" w:hAnsi="宋体" w:cs="宋体"/>
          <w:color w:val="auto"/>
          <w:szCs w:val="21"/>
          <w:highlight w:val="none"/>
        </w:rPr>
        <w:t>项目编号：</w:t>
      </w:r>
      <w:r>
        <w:rPr>
          <w:rFonts w:hint="eastAsia" w:ascii="宋体" w:hAnsi="宋体"/>
          <w:color w:val="auto"/>
          <w:szCs w:val="21"/>
          <w:highlight w:val="none"/>
        </w:rPr>
        <w:t>），本着公开、公平、公正和择优的原则，经综合评议并推荐、招标领导小组研究决定乙方为中标人。依据《中华人民共和国政府采购法》《中华人民共和国民法典》的规定，在自愿平等的情况下，合同双方就 “</w:t>
      </w:r>
      <w:r>
        <w:rPr>
          <w:rFonts w:hint="eastAsia" w:ascii="宋体" w:hAnsi="宋体"/>
          <w:color w:val="auto"/>
          <w:szCs w:val="28"/>
          <w:highlight w:val="none"/>
          <w:u w:val="single"/>
        </w:rPr>
        <w:t>宁波市城市治理“一网通管”平台—城市运行管理服务系统项目</w:t>
      </w:r>
      <w:r>
        <w:rPr>
          <w:rFonts w:hint="eastAsia" w:ascii="宋体" w:hAnsi="宋体"/>
          <w:color w:val="auto"/>
          <w:szCs w:val="21"/>
          <w:highlight w:val="none"/>
        </w:rPr>
        <w:t>”（以下简称：“服务系统”），经协商一致，签署本合同。</w:t>
      </w:r>
    </w:p>
    <w:p>
      <w:pPr>
        <w:snapToGrid w:val="0"/>
        <w:spacing w:line="360" w:lineRule="auto"/>
        <w:outlineLvl w:val="0"/>
        <w:rPr>
          <w:rFonts w:ascii="宋体" w:hAnsi="宋体"/>
          <w:b/>
          <w:color w:val="auto"/>
          <w:szCs w:val="21"/>
          <w:highlight w:val="none"/>
        </w:rPr>
      </w:pPr>
      <w:r>
        <w:rPr>
          <w:rFonts w:hint="eastAsia" w:ascii="宋体" w:hAnsi="宋体"/>
          <w:b/>
          <w:color w:val="auto"/>
          <w:szCs w:val="21"/>
          <w:highlight w:val="none"/>
        </w:rPr>
        <w:t>一、项目服务内容及要求：详见招标文件。</w:t>
      </w:r>
    </w:p>
    <w:p>
      <w:pPr>
        <w:spacing w:line="360" w:lineRule="auto"/>
        <w:rPr>
          <w:rFonts w:ascii="宋体" w:hAnsi="宋体"/>
          <w:color w:val="auto"/>
          <w:szCs w:val="21"/>
          <w:highlight w:val="none"/>
        </w:rPr>
      </w:pPr>
      <w:r>
        <w:rPr>
          <w:rFonts w:hint="eastAsia" w:ascii="宋体" w:hAnsi="宋体"/>
          <w:b/>
          <w:color w:val="auto"/>
          <w:szCs w:val="21"/>
          <w:highlight w:val="none"/>
        </w:rPr>
        <w:t>二、服务期限：</w:t>
      </w:r>
      <w:r>
        <w:rPr>
          <w:rFonts w:hint="eastAsia" w:ascii="宋体" w:hAnsi="宋体"/>
          <w:color w:val="auto"/>
          <w:szCs w:val="21"/>
          <w:highlight w:val="none"/>
        </w:rPr>
        <w:t>本项目建设周期计划约为14个月。</w:t>
      </w:r>
    </w:p>
    <w:p>
      <w:pPr>
        <w:snapToGrid w:val="0"/>
        <w:spacing w:line="360" w:lineRule="auto"/>
        <w:outlineLvl w:val="0"/>
        <w:rPr>
          <w:rFonts w:hint="eastAsia" w:ascii="宋体" w:hAnsi="宋体"/>
          <w:color w:val="auto"/>
          <w:szCs w:val="21"/>
          <w:highlight w:val="none"/>
        </w:rPr>
      </w:pPr>
      <w:r>
        <w:rPr>
          <w:rFonts w:hint="eastAsia" w:ascii="宋体" w:hAnsi="宋体"/>
          <w:color w:val="auto"/>
          <w:szCs w:val="21"/>
          <w:highlight w:val="none"/>
        </w:rPr>
        <w:t>2023年6月底前，完成各业务应用系统功能模块的建设，开展项目初验，系统上线试运行。</w:t>
      </w:r>
    </w:p>
    <w:p>
      <w:pPr>
        <w:snapToGrid w:val="0"/>
        <w:spacing w:line="360" w:lineRule="auto"/>
        <w:outlineLvl w:val="0"/>
        <w:rPr>
          <w:rFonts w:ascii="宋体" w:hAnsi="宋体" w:cs="宋体"/>
          <w:color w:val="auto"/>
          <w:kern w:val="0"/>
          <w:szCs w:val="21"/>
          <w:highlight w:val="none"/>
        </w:rPr>
      </w:pPr>
      <w:r>
        <w:rPr>
          <w:rFonts w:hint="eastAsia" w:ascii="宋体" w:hAnsi="宋体"/>
          <w:color w:val="auto"/>
          <w:szCs w:val="21"/>
          <w:highlight w:val="none"/>
        </w:rPr>
        <w:t xml:space="preserve">2024年1月底前，系统试运行期间若无重大的问题，完成项目整体验收等工作。     </w:t>
      </w:r>
    </w:p>
    <w:p>
      <w:pPr>
        <w:spacing w:line="360" w:lineRule="auto"/>
        <w:rPr>
          <w:rFonts w:ascii="宋体" w:hAnsi="宋体"/>
          <w:b/>
          <w:color w:val="auto"/>
          <w:szCs w:val="21"/>
          <w:highlight w:val="none"/>
        </w:rPr>
      </w:pPr>
      <w:r>
        <w:rPr>
          <w:rFonts w:hint="eastAsia" w:ascii="宋体" w:hAnsi="宋体"/>
          <w:b/>
          <w:color w:val="auto"/>
          <w:szCs w:val="21"/>
          <w:highlight w:val="none"/>
        </w:rPr>
        <w:t>三、合同价款及付款方式：</w:t>
      </w:r>
    </w:p>
    <w:p>
      <w:pPr>
        <w:adjustRightInd w:val="0"/>
        <w:snapToGrid w:val="0"/>
        <w:spacing w:line="360" w:lineRule="auto"/>
        <w:ind w:right="28" w:firstLine="525" w:firstLineChars="250"/>
        <w:rPr>
          <w:rFonts w:ascii="宋体" w:hAnsi="宋体"/>
          <w:bCs/>
          <w:color w:val="auto"/>
          <w:szCs w:val="21"/>
          <w:highlight w:val="none"/>
        </w:rPr>
      </w:pPr>
      <w:r>
        <w:rPr>
          <w:rFonts w:hint="eastAsia" w:ascii="宋体" w:hAnsi="宋体"/>
          <w:bCs/>
          <w:color w:val="auto"/>
          <w:szCs w:val="21"/>
          <w:highlight w:val="none"/>
        </w:rPr>
        <w:t>合同总价人民币（大写）</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元整，（小写）￥</w:t>
      </w:r>
      <w:r>
        <w:rPr>
          <w:rFonts w:hint="eastAsia" w:ascii="宋体" w:hAnsi="宋体"/>
          <w:bCs/>
          <w:color w:val="auto"/>
          <w:szCs w:val="21"/>
          <w:highlight w:val="none"/>
          <w:u w:val="single"/>
        </w:rPr>
        <w:t xml:space="preserve">          </w:t>
      </w:r>
      <w:r>
        <w:rPr>
          <w:rFonts w:hint="eastAsia" w:ascii="宋体" w:hAnsi="宋体"/>
          <w:bCs/>
          <w:color w:val="auto"/>
          <w:szCs w:val="21"/>
          <w:highlight w:val="none"/>
        </w:rPr>
        <w:t>。项目服务过程中涉及变更、增减、改变服务方案等及一切有关实现周期和费用的问题，应由甲乙双方另行协商决定相关费用。</w:t>
      </w:r>
    </w:p>
    <w:tbl>
      <w:tblPr>
        <w:tblStyle w:val="35"/>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679"/>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付款条件</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金额（元）</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4679"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cs="宋体"/>
                <w:color w:val="auto"/>
                <w:szCs w:val="21"/>
                <w:highlight w:val="none"/>
              </w:rPr>
            </w:pPr>
            <w:r>
              <w:rPr>
                <w:rFonts w:hint="eastAsia" w:ascii="宋体" w:hAnsi="宋体"/>
                <w:bCs/>
                <w:color w:val="auto"/>
                <w:szCs w:val="21"/>
                <w:highlight w:val="none"/>
              </w:rPr>
              <w:t>采购合同生效以及项目具备实施条件，收到乙方发票7个工作日内支付合同金额</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bCs/>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cs="宋体"/>
                <w:color w:val="auto"/>
                <w:szCs w:val="21"/>
                <w:highlight w:val="none"/>
              </w:rPr>
            </w:pPr>
            <w:r>
              <w:rPr>
                <w:rFonts w:hint="eastAsia" w:ascii="宋体" w:hAnsi="宋体" w:cs="宋体"/>
                <w:color w:val="auto"/>
                <w:szCs w:val="21"/>
                <w:highlight w:val="none"/>
              </w:rPr>
              <w:t>2</w:t>
            </w:r>
          </w:p>
        </w:tc>
        <w:tc>
          <w:tcPr>
            <w:tcW w:w="4679"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cs="宋体"/>
                <w:color w:val="auto"/>
                <w:szCs w:val="21"/>
                <w:highlight w:val="none"/>
              </w:rPr>
            </w:pPr>
            <w:r>
              <w:rPr>
                <w:rFonts w:hint="eastAsia" w:ascii="宋体" w:hAnsi="宋体"/>
                <w:bCs/>
                <w:color w:val="auto"/>
                <w:szCs w:val="21"/>
                <w:highlight w:val="none"/>
              </w:rPr>
              <w:t>项目初验合格，收到乙方发票7个工作日内支付合同金额</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bCs/>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cs="宋体"/>
                <w:color w:val="auto"/>
                <w:szCs w:val="21"/>
                <w:highlight w:val="none"/>
              </w:rPr>
            </w:pPr>
            <w:r>
              <w:rPr>
                <w:rFonts w:hint="eastAsia" w:ascii="宋体" w:hAnsi="宋体" w:cs="宋体"/>
                <w:color w:val="auto"/>
                <w:szCs w:val="21"/>
                <w:highlight w:val="none"/>
              </w:rPr>
              <w:t>3</w:t>
            </w:r>
          </w:p>
        </w:tc>
        <w:tc>
          <w:tcPr>
            <w:tcW w:w="4679"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cs="宋体"/>
                <w:color w:val="auto"/>
                <w:szCs w:val="21"/>
                <w:highlight w:val="none"/>
              </w:rPr>
            </w:pPr>
            <w:r>
              <w:rPr>
                <w:rFonts w:hint="eastAsia" w:ascii="宋体" w:hAnsi="宋体"/>
                <w:bCs/>
                <w:color w:val="auto"/>
                <w:szCs w:val="21"/>
                <w:highlight w:val="none"/>
              </w:rPr>
              <w:t>项目整体验收合格，收到乙方发票7个工作日内支付合同金额</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bCs/>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bCs/>
                <w:color w:val="auto"/>
                <w:szCs w:val="21"/>
                <w:highlight w:val="none"/>
              </w:rPr>
            </w:pPr>
            <w:r>
              <w:rPr>
                <w:rFonts w:hint="eastAsia" w:ascii="宋体" w:hAnsi="宋体"/>
                <w:bCs/>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cs="宋体"/>
                <w:color w:val="auto"/>
                <w:szCs w:val="21"/>
                <w:highlight w:val="none"/>
              </w:rPr>
            </w:pPr>
            <w:r>
              <w:rPr>
                <w:rFonts w:hint="eastAsia" w:ascii="宋体" w:hAnsi="宋体" w:cs="宋体"/>
                <w:color w:val="auto"/>
                <w:szCs w:val="21"/>
                <w:highlight w:val="none"/>
              </w:rPr>
              <w:t>4</w:t>
            </w:r>
          </w:p>
        </w:tc>
        <w:tc>
          <w:tcPr>
            <w:tcW w:w="4679"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cs="宋体"/>
                <w:color w:val="auto"/>
                <w:szCs w:val="21"/>
                <w:highlight w:val="none"/>
              </w:rPr>
            </w:pPr>
            <w:r>
              <w:rPr>
                <w:rFonts w:hint="eastAsia" w:ascii="宋体" w:hAnsi="宋体"/>
                <w:bCs/>
                <w:color w:val="auto"/>
                <w:szCs w:val="21"/>
                <w:highlight w:val="none"/>
              </w:rPr>
              <w:t>决算审计结算，收到乙方发票7个工作日内支付剩余合同金额</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96"/>
              </w:tabs>
              <w:rPr>
                <w:rFonts w:ascii="宋体" w:hAnsi="宋体"/>
                <w:bCs/>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96"/>
              </w:tabs>
              <w:jc w:val="center"/>
              <w:rPr>
                <w:rFonts w:ascii="宋体" w:hAnsi="宋体"/>
                <w:bCs/>
                <w:color w:val="auto"/>
                <w:szCs w:val="21"/>
                <w:highlight w:val="none"/>
              </w:rPr>
            </w:pPr>
            <w:r>
              <w:rPr>
                <w:rFonts w:hint="eastAsia" w:ascii="宋体" w:hAnsi="宋体"/>
                <w:bCs/>
                <w:color w:val="auto"/>
                <w:szCs w:val="21"/>
                <w:highlight w:val="none"/>
              </w:rPr>
              <w:t>15%</w:t>
            </w:r>
          </w:p>
        </w:tc>
      </w:tr>
    </w:tbl>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注：所有款项均是在乙方提供发票后7个工作日内支付。</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乙方的账号信息：户名：</w:t>
      </w:r>
    </w:p>
    <w:p>
      <w:pPr>
        <w:snapToGrid w:val="0"/>
        <w:spacing w:line="360" w:lineRule="auto"/>
        <w:ind w:firstLine="2100" w:firstLineChars="1000"/>
        <w:rPr>
          <w:rFonts w:ascii="宋体" w:hAnsi="宋体"/>
          <w:color w:val="auto"/>
          <w:szCs w:val="21"/>
          <w:highlight w:val="none"/>
        </w:rPr>
      </w:pPr>
      <w:r>
        <w:rPr>
          <w:rFonts w:hint="eastAsia" w:ascii="宋体" w:hAnsi="宋体"/>
          <w:color w:val="auto"/>
          <w:szCs w:val="21"/>
          <w:highlight w:val="none"/>
        </w:rPr>
        <w:t>开户行：</w:t>
      </w:r>
    </w:p>
    <w:p>
      <w:pPr>
        <w:snapToGrid w:val="0"/>
        <w:spacing w:line="360" w:lineRule="auto"/>
        <w:ind w:firstLine="2100" w:firstLineChars="1000"/>
        <w:rPr>
          <w:rFonts w:ascii="宋体" w:hAnsi="宋体"/>
          <w:color w:val="auto"/>
          <w:szCs w:val="21"/>
          <w:highlight w:val="none"/>
        </w:rPr>
      </w:pPr>
      <w:r>
        <w:rPr>
          <w:rFonts w:hint="eastAsia" w:ascii="宋体" w:hAnsi="宋体"/>
          <w:color w:val="auto"/>
          <w:szCs w:val="21"/>
          <w:highlight w:val="none"/>
        </w:rPr>
        <w:t>帐号：</w:t>
      </w:r>
    </w:p>
    <w:p>
      <w:pPr>
        <w:snapToGrid w:val="0"/>
        <w:spacing w:line="360" w:lineRule="auto"/>
        <w:ind w:firstLine="2100" w:firstLineChars="1000"/>
        <w:rPr>
          <w:rFonts w:ascii="宋体" w:hAnsi="宋体"/>
          <w:bCs/>
          <w:color w:val="auto"/>
          <w:szCs w:val="21"/>
          <w:highlight w:val="none"/>
        </w:rPr>
      </w:pPr>
      <w:r>
        <w:rPr>
          <w:rFonts w:hint="eastAsia" w:ascii="宋体" w:hAnsi="宋体"/>
          <w:color w:val="auto"/>
          <w:szCs w:val="21"/>
          <w:highlight w:val="none"/>
        </w:rPr>
        <w:t>税号：</w:t>
      </w:r>
    </w:p>
    <w:p>
      <w:pPr>
        <w:snapToGrid w:val="0"/>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四、技术资料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1.乙方应按招标文件规定的时间向甲方提供有关技术资料。</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五、税</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本合同执行中相关的一切税费均由乙方负担。</w:t>
      </w:r>
    </w:p>
    <w:p>
      <w:pPr>
        <w:snapToGrid w:val="0"/>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六、质量</w:t>
      </w:r>
      <w:bookmarkStart w:id="229" w:name="_Hlk119488277"/>
      <w:r>
        <w:rPr>
          <w:rFonts w:hint="eastAsia" w:ascii="宋体" w:hAnsi="宋体"/>
          <w:b/>
          <w:color w:val="auto"/>
          <w:szCs w:val="21"/>
          <w:highlight w:val="none"/>
        </w:rPr>
        <w:t>保证及后续服务</w:t>
      </w:r>
      <w:bookmarkEnd w:id="229"/>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1.乙方应按招标文件规定向甲方提供服务。</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2.乙方达不到合同及招投标文件要求或发生重大安全事故，甲方可单方面解除合同，所有损失由乙方承担。</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 xml:space="preserve"> </w:t>
      </w:r>
      <w:r>
        <w:rPr>
          <w:rFonts w:hint="eastAsia" w:ascii="宋体" w:hAnsi="宋体"/>
          <w:color w:val="auto"/>
          <w:szCs w:val="21"/>
          <w:highlight w:val="none"/>
        </w:rPr>
        <w:t>在服务期内（维保和售后维护服务时间从验收合格之日起计算一年）。乙方应对出现的服务质量及安全问题负责处理解决并承担一切费用。乙方需提供原厂商免费设备维保和现场售后维护服务、以及相关系统软件的免费升级服务。</w:t>
      </w:r>
    </w:p>
    <w:p>
      <w:pPr>
        <w:snapToGrid w:val="0"/>
        <w:spacing w:line="360" w:lineRule="auto"/>
        <w:ind w:firstLine="422" w:firstLineChars="200"/>
        <w:outlineLvl w:val="0"/>
        <w:rPr>
          <w:rFonts w:ascii="宋体" w:hAnsi="宋体"/>
          <w:b/>
          <w:color w:val="auto"/>
          <w:szCs w:val="21"/>
          <w:highlight w:val="none"/>
        </w:rPr>
      </w:pPr>
      <w:bookmarkStart w:id="230" w:name="_Hlk119488423"/>
      <w:r>
        <w:rPr>
          <w:rFonts w:hint="eastAsia" w:ascii="宋体" w:hAnsi="宋体"/>
          <w:b/>
          <w:color w:val="auto"/>
          <w:szCs w:val="21"/>
          <w:highlight w:val="none"/>
        </w:rPr>
        <w:t>七、合同转让和分包</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1.合同的权利义务依法不得转让，乙方采用分包形式投标的需按照投标文件中分包意向协议内容履行本项目服务内容。</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2.分包单位不得再次分包，乙方对分包内容承担连带责任。</w:t>
      </w:r>
    </w:p>
    <w:bookmarkEnd w:id="230"/>
    <w:p>
      <w:pPr>
        <w:snapToGrid w:val="0"/>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八、违约责任</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1.甲方无故逾期验收和办理款项支付手续的,经乙方书面催告后仍拒不配合的，甲方应按逾期付款向乙方支付违约金。</w:t>
      </w:r>
      <w:r>
        <w:rPr>
          <w:rFonts w:hint="eastAsia" w:ascii="宋体" w:hAnsi="宋体"/>
          <w:color w:val="auto"/>
          <w:szCs w:val="21"/>
          <w:highlight w:val="none"/>
          <w:lang w:val="en-US" w:eastAsia="zh-CN"/>
        </w:rPr>
        <w:t>违约金金额以项目延期总日数*0.1%*合同金额计算。</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w:t>
      </w:r>
      <w:r>
        <w:rPr>
          <w:rFonts w:hint="eastAsia" w:ascii="宋体" w:hAnsi="宋体"/>
          <w:color w:val="auto"/>
          <w:szCs w:val="21"/>
          <w:highlight w:val="none"/>
          <w:lang w:val="en-US" w:eastAsia="zh-CN"/>
        </w:rPr>
        <w:t>原因</w:t>
      </w:r>
      <w:r>
        <w:rPr>
          <w:rFonts w:hint="eastAsia" w:ascii="宋体" w:hAnsi="宋体"/>
          <w:color w:val="auto"/>
          <w:highlight w:val="none"/>
        </w:rPr>
        <w:t>造成工期拖延的应予罚款</w:t>
      </w:r>
      <w:r>
        <w:rPr>
          <w:rFonts w:hint="eastAsia" w:ascii="宋体" w:hAnsi="宋体"/>
          <w:color w:val="auto"/>
          <w:szCs w:val="21"/>
          <w:highlight w:val="none"/>
          <w:lang w:eastAsia="zh-CN"/>
        </w:rPr>
        <w:t>。因</w:t>
      </w:r>
      <w:r>
        <w:rPr>
          <w:rFonts w:hint="eastAsia" w:ascii="宋体" w:hAnsi="宋体"/>
          <w:color w:val="auto"/>
          <w:szCs w:val="21"/>
          <w:highlight w:val="none"/>
          <w:lang w:val="en-US" w:eastAsia="zh-CN"/>
        </w:rPr>
        <w:t>乙方</w:t>
      </w:r>
      <w:r>
        <w:rPr>
          <w:rFonts w:hint="eastAsia" w:ascii="宋体" w:hAnsi="宋体"/>
          <w:color w:val="auto"/>
          <w:szCs w:val="21"/>
          <w:highlight w:val="none"/>
          <w:lang w:eastAsia="zh-CN"/>
        </w:rPr>
        <w:t>原因</w:t>
      </w:r>
      <w:r>
        <w:rPr>
          <w:rFonts w:hint="eastAsia" w:ascii="宋体" w:hAnsi="宋体"/>
          <w:color w:val="auto"/>
          <w:szCs w:val="21"/>
          <w:highlight w:val="none"/>
          <w:lang w:val="en-US" w:eastAsia="zh-CN"/>
        </w:rPr>
        <w:t>造成</w:t>
      </w:r>
      <w:r>
        <w:rPr>
          <w:rFonts w:hint="eastAsia" w:ascii="宋体" w:hAnsi="宋体"/>
          <w:color w:val="auto"/>
          <w:szCs w:val="21"/>
          <w:highlight w:val="none"/>
          <w:lang w:eastAsia="zh-CN"/>
        </w:rPr>
        <w:t>项目质量不合格</w:t>
      </w:r>
      <w:r>
        <w:rPr>
          <w:rFonts w:hint="eastAsia" w:ascii="宋体" w:hAnsi="宋体"/>
          <w:color w:val="auto"/>
          <w:szCs w:val="21"/>
          <w:highlight w:val="none"/>
          <w:lang w:val="en-US" w:eastAsia="zh-CN"/>
        </w:rPr>
        <w:t>的</w:t>
      </w:r>
      <w:r>
        <w:rPr>
          <w:rFonts w:hint="eastAsia" w:ascii="宋体" w:hAnsi="宋体"/>
          <w:color w:val="auto"/>
          <w:szCs w:val="21"/>
          <w:highlight w:val="none"/>
          <w:lang w:eastAsia="zh-CN"/>
        </w:rPr>
        <w:t>应返工，直至合格为止，由此增加的费用及造成工期拖延由</w:t>
      </w:r>
      <w:r>
        <w:rPr>
          <w:rFonts w:hint="eastAsia" w:ascii="宋体" w:hAnsi="宋体"/>
          <w:color w:val="auto"/>
          <w:szCs w:val="21"/>
          <w:highlight w:val="none"/>
          <w:lang w:val="en-US" w:eastAsia="zh-CN"/>
        </w:rPr>
        <w:t>乙方</w:t>
      </w:r>
      <w:r>
        <w:rPr>
          <w:rFonts w:hint="eastAsia" w:ascii="宋体" w:hAnsi="宋体"/>
          <w:color w:val="auto"/>
          <w:szCs w:val="21"/>
          <w:highlight w:val="none"/>
          <w:lang w:eastAsia="zh-CN"/>
        </w:rPr>
        <w:t>负责，</w:t>
      </w:r>
      <w:r>
        <w:rPr>
          <w:rFonts w:hint="eastAsia" w:ascii="宋体" w:hAnsi="宋体"/>
          <w:color w:val="auto"/>
          <w:szCs w:val="21"/>
          <w:highlight w:val="none"/>
        </w:rPr>
        <w:t>乙方应向甲方支付违约金</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违约金金额以项目延期总日数*0.1%*合同金额计算。</w:t>
      </w:r>
      <w:r>
        <w:rPr>
          <w:rFonts w:hint="eastAsia" w:ascii="宋体" w:hAnsi="宋体"/>
          <w:color w:val="auto"/>
          <w:szCs w:val="21"/>
          <w:highlight w:val="none"/>
        </w:rPr>
        <w:t>如造成甲方损失超过</w:t>
      </w:r>
      <w:r>
        <w:rPr>
          <w:rFonts w:hint="eastAsia" w:ascii="宋体" w:hAnsi="宋体"/>
          <w:color w:val="auto"/>
          <w:szCs w:val="21"/>
          <w:highlight w:val="none"/>
          <w:lang w:val="en-US" w:eastAsia="zh-CN"/>
        </w:rPr>
        <w:t>合同金额</w:t>
      </w:r>
      <w:r>
        <w:rPr>
          <w:rFonts w:hint="eastAsia" w:ascii="宋体" w:hAnsi="宋体"/>
          <w:color w:val="auto"/>
          <w:szCs w:val="21"/>
          <w:highlight w:val="none"/>
        </w:rPr>
        <w:t>的，超出部分由乙方继续承担赔偿责任。</w:t>
      </w:r>
    </w:p>
    <w:p>
      <w:pPr>
        <w:snapToGrid w:val="0"/>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九、不可抗力事件处理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1.在合同有效期内，任何一方因不可抗力事件（包括机构改革等事件）导致不能履行合同，则合同履行期可延长，其延长期与不可抗力影响期相同。</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2.不可抗力事件（包括机构改革等事件）发生后，应立即通知对方，并寄送有关权威机构出具的证明。</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3.不可抗力事件（包括机构改革等事件）发生后，双方应通过友好协商，确定是否继续履行合同。</w:t>
      </w:r>
    </w:p>
    <w:p>
      <w:pPr>
        <w:snapToGrid w:val="0"/>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十、诉讼</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双方在合同履行过程中所发生的一切争议，应通过协商解决。如协商不成，可向甲方所在地法院诉讼解决。</w:t>
      </w:r>
    </w:p>
    <w:p>
      <w:pPr>
        <w:snapToGrid w:val="0"/>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十一、合同生效及其它</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1.合同经双方法定代表人或授权委托代理人签字并加盖单位公章后生效。</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2.发生合同中未说明事项，由双方通过友好协商解决。</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3.合同执行中涉及采购资金和采购内容修改或补充的，须经市财政部门审批，并签书面补充协议报政府采购监督管理部门备案，方可作为主合同不可分割的一部分。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4.本合同未尽事宜，遵照《民法典》有关条文执行。</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5.本合同正本一式陆份，具有同等法律效力，甲乙双方各执叁份。</w:t>
      </w:r>
    </w:p>
    <w:p>
      <w:pPr>
        <w:snapToGrid w:val="0"/>
        <w:spacing w:line="360" w:lineRule="auto"/>
        <w:ind w:left="420" w:hanging="420" w:hangingChars="200"/>
        <w:jc w:val="center"/>
        <w:rPr>
          <w:rFonts w:ascii="宋体" w:hAnsi="宋体"/>
          <w:color w:val="auto"/>
          <w:szCs w:val="21"/>
          <w:highlight w:val="none"/>
        </w:rPr>
      </w:pPr>
    </w:p>
    <w:p>
      <w:pPr>
        <w:snapToGrid w:val="0"/>
        <w:spacing w:line="360" w:lineRule="auto"/>
        <w:ind w:left="449" w:leftChars="214" w:firstLine="105" w:firstLineChars="50"/>
        <w:rPr>
          <w:rFonts w:ascii="宋体" w:hAnsi="宋体"/>
          <w:color w:val="auto"/>
          <w:szCs w:val="21"/>
          <w:highlight w:val="none"/>
        </w:rPr>
      </w:pPr>
      <w:r>
        <w:rPr>
          <w:rFonts w:hint="eastAsia" w:ascii="宋体" w:hAnsi="宋体"/>
          <w:color w:val="auto"/>
          <w:szCs w:val="21"/>
          <w:highlight w:val="none"/>
        </w:rPr>
        <w:t>甲方：宁波市智慧城管中心        乙方：</w:t>
      </w:r>
    </w:p>
    <w:p>
      <w:pPr>
        <w:snapToGrid w:val="0"/>
        <w:spacing w:line="360" w:lineRule="auto"/>
        <w:ind w:left="449" w:leftChars="214" w:firstLine="105" w:firstLineChars="50"/>
        <w:rPr>
          <w:rFonts w:ascii="宋体" w:hAnsi="宋体"/>
          <w:color w:val="auto"/>
          <w:szCs w:val="21"/>
          <w:highlight w:val="none"/>
        </w:rPr>
      </w:pPr>
      <w:r>
        <w:rPr>
          <w:rFonts w:hint="eastAsia" w:ascii="宋体" w:hAnsi="宋体"/>
          <w:color w:val="auto"/>
          <w:szCs w:val="21"/>
          <w:highlight w:val="none"/>
        </w:rPr>
        <w:t>地址：                          地址：</w:t>
      </w:r>
    </w:p>
    <w:p>
      <w:pPr>
        <w:snapToGrid w:val="0"/>
        <w:spacing w:line="360" w:lineRule="auto"/>
        <w:ind w:left="449" w:leftChars="214" w:firstLine="105" w:firstLineChars="50"/>
        <w:rPr>
          <w:rFonts w:ascii="宋体" w:hAnsi="宋体"/>
          <w:color w:val="auto"/>
          <w:szCs w:val="21"/>
          <w:highlight w:val="none"/>
        </w:rPr>
      </w:pPr>
      <w:r>
        <w:rPr>
          <w:rFonts w:hint="eastAsia" w:ascii="宋体" w:hAnsi="宋体"/>
          <w:color w:val="auto"/>
          <w:szCs w:val="21"/>
          <w:highlight w:val="none"/>
        </w:rPr>
        <w:t>法定代表人：                    法定代表人：</w:t>
      </w:r>
    </w:p>
    <w:p>
      <w:pPr>
        <w:snapToGrid w:val="0"/>
        <w:spacing w:line="360" w:lineRule="auto"/>
        <w:ind w:firstLine="302" w:firstLineChars="144"/>
        <w:rPr>
          <w:rFonts w:ascii="宋体" w:hAnsi="宋体"/>
          <w:color w:val="auto"/>
          <w:szCs w:val="21"/>
          <w:highlight w:val="none"/>
        </w:rPr>
      </w:pPr>
    </w:p>
    <w:p>
      <w:pPr>
        <w:snapToGrid w:val="0"/>
        <w:spacing w:line="360" w:lineRule="auto"/>
        <w:ind w:firstLine="302" w:firstLineChars="144"/>
        <w:rPr>
          <w:rFonts w:ascii="宋体" w:hAnsi="宋体"/>
          <w:color w:val="auto"/>
          <w:szCs w:val="21"/>
          <w:highlight w:val="none"/>
        </w:rPr>
      </w:pPr>
    </w:p>
    <w:p>
      <w:pPr>
        <w:snapToGrid w:val="0"/>
        <w:spacing w:line="360" w:lineRule="auto"/>
        <w:ind w:left="449" w:leftChars="214" w:firstLine="105" w:firstLineChars="50"/>
        <w:rPr>
          <w:rFonts w:ascii="宋体" w:hAnsi="宋体" w:cs="宋体"/>
          <w:color w:val="auto"/>
          <w:sz w:val="30"/>
          <w:highlight w:val="none"/>
        </w:rPr>
        <w:sectPr>
          <w:headerReference r:id="rId7" w:type="default"/>
          <w:footerReference r:id="rId8" w:type="default"/>
          <w:pgSz w:w="11907" w:h="16840"/>
          <w:pgMar w:top="1361" w:right="1474" w:bottom="1242" w:left="1474" w:header="720" w:footer="720" w:gutter="0"/>
          <w:cols w:space="720" w:num="1"/>
          <w:docGrid w:linePitch="285" w:charSpace="0"/>
        </w:sectPr>
      </w:pPr>
      <w:r>
        <w:rPr>
          <w:rFonts w:hint="eastAsia" w:ascii="宋体" w:hAnsi="宋体"/>
          <w:color w:val="auto"/>
          <w:szCs w:val="21"/>
          <w:highlight w:val="none"/>
        </w:rPr>
        <w:t>签订日期：2022年  月  日       签订日期：2022年  月  日</w:t>
      </w:r>
    </w:p>
    <w:p>
      <w:pPr>
        <w:snapToGrid w:val="0"/>
        <w:jc w:val="center"/>
        <w:rPr>
          <w:b/>
          <w:color w:val="auto"/>
          <w:sz w:val="30"/>
          <w:szCs w:val="32"/>
          <w:highlight w:val="none"/>
        </w:rPr>
      </w:pPr>
      <w:r>
        <w:rPr>
          <w:b/>
          <w:color w:val="auto"/>
          <w:sz w:val="30"/>
          <w:szCs w:val="32"/>
          <w:highlight w:val="none"/>
        </w:rPr>
        <w:t>廉政合同</w:t>
      </w:r>
    </w:p>
    <w:p>
      <w:pPr>
        <w:snapToGrid w:val="0"/>
        <w:jc w:val="center"/>
        <w:rPr>
          <w:color w:val="auto"/>
          <w:sz w:val="28"/>
          <w:szCs w:val="28"/>
          <w:highlight w:val="none"/>
        </w:rPr>
      </w:pPr>
    </w:p>
    <w:p>
      <w:pPr>
        <w:spacing w:line="360" w:lineRule="auto"/>
        <w:ind w:firstLine="525" w:firstLineChars="250"/>
        <w:rPr>
          <w:color w:val="auto"/>
          <w:highlight w:val="none"/>
        </w:rPr>
      </w:pPr>
      <w:r>
        <w:rPr>
          <w:color w:val="auto"/>
          <w:highlight w:val="none"/>
        </w:rPr>
        <w:t>依据《中华人民共和国招</w:t>
      </w:r>
      <w:r>
        <w:rPr>
          <w:rFonts w:hint="eastAsia"/>
          <w:color w:val="auto"/>
          <w:highlight w:val="none"/>
        </w:rPr>
        <w:t>标</w:t>
      </w:r>
      <w:r>
        <w:rPr>
          <w:color w:val="auto"/>
          <w:highlight w:val="none"/>
        </w:rPr>
        <w:t>投标法》和《中华人民共和国政府采购法》以及有关廉政建设的规定，为做好本项目建设中的党风廉政建设，保证项目建设高效优质，保证建设资金的安全和有效使用以及投资效益，（以下称甲方）和（以下称乙方），特订立如下合同。</w:t>
      </w:r>
    </w:p>
    <w:p>
      <w:pPr>
        <w:spacing w:line="360" w:lineRule="auto"/>
        <w:ind w:firstLine="525" w:firstLineChars="250"/>
        <w:rPr>
          <w:color w:val="auto"/>
          <w:highlight w:val="none"/>
        </w:rPr>
      </w:pPr>
      <w:r>
        <w:rPr>
          <w:color w:val="auto"/>
          <w:highlight w:val="none"/>
        </w:rPr>
        <w:t>第一条甲乙双方的权利和义务</w:t>
      </w:r>
    </w:p>
    <w:p>
      <w:pPr>
        <w:spacing w:line="360" w:lineRule="auto"/>
        <w:ind w:firstLine="525" w:firstLineChars="250"/>
        <w:rPr>
          <w:color w:val="auto"/>
          <w:highlight w:val="none"/>
        </w:rPr>
      </w:pPr>
      <w:r>
        <w:rPr>
          <w:color w:val="auto"/>
          <w:highlight w:val="none"/>
        </w:rPr>
        <w:t>（一）严格遵守党和国家、省市有关法律法规及行业的有关规定。</w:t>
      </w:r>
    </w:p>
    <w:p>
      <w:pPr>
        <w:spacing w:line="360" w:lineRule="auto"/>
        <w:ind w:firstLine="525" w:firstLineChars="250"/>
        <w:rPr>
          <w:color w:val="auto"/>
          <w:highlight w:val="none"/>
        </w:rPr>
      </w:pPr>
      <w:r>
        <w:rPr>
          <w:color w:val="auto"/>
          <w:highlight w:val="none"/>
        </w:rPr>
        <w:t>（二）严格执行的合同文件，自觉按合同办事。</w:t>
      </w:r>
    </w:p>
    <w:p>
      <w:pPr>
        <w:spacing w:line="360" w:lineRule="auto"/>
        <w:ind w:firstLine="525" w:firstLineChars="250"/>
        <w:rPr>
          <w:color w:val="auto"/>
          <w:highlight w:val="none"/>
        </w:rPr>
      </w:pPr>
      <w:r>
        <w:rPr>
          <w:color w:val="auto"/>
          <w:highlight w:val="none"/>
        </w:rPr>
        <w:t>（三）双方的业务活动坚持公开、公正、诚信、透明的原则（除法律认定的商业秘密和合同文件另有规定之外），不得损害国家和集体利益，违反工程建设管理规章制度。</w:t>
      </w:r>
    </w:p>
    <w:p>
      <w:pPr>
        <w:spacing w:line="360" w:lineRule="auto"/>
        <w:ind w:firstLine="525" w:firstLineChars="250"/>
        <w:rPr>
          <w:color w:val="auto"/>
          <w:highlight w:val="none"/>
        </w:rPr>
      </w:pPr>
      <w:r>
        <w:rPr>
          <w:color w:val="auto"/>
          <w:highlight w:val="none"/>
        </w:rPr>
        <w:t>（四）建立健全廉政制度，开展廉政教育，公布举报电话，监督并认真查处违法违纪行为。</w:t>
      </w:r>
    </w:p>
    <w:p>
      <w:pPr>
        <w:spacing w:line="360" w:lineRule="auto"/>
        <w:ind w:firstLine="525" w:firstLineChars="250"/>
        <w:rPr>
          <w:color w:val="auto"/>
          <w:highlight w:val="none"/>
        </w:rPr>
      </w:pPr>
      <w:r>
        <w:rPr>
          <w:color w:val="auto"/>
          <w:highlight w:val="none"/>
        </w:rPr>
        <w:t>（五）发现对方在业务活动中有违反廉政规定的行为，有及时提醒对方纠正的权利和义务。</w:t>
      </w:r>
    </w:p>
    <w:p>
      <w:pPr>
        <w:spacing w:line="360" w:lineRule="auto"/>
        <w:ind w:firstLine="525" w:firstLineChars="250"/>
        <w:rPr>
          <w:color w:val="auto"/>
          <w:highlight w:val="none"/>
        </w:rPr>
      </w:pPr>
      <w:r>
        <w:rPr>
          <w:color w:val="auto"/>
          <w:highlight w:val="none"/>
        </w:rPr>
        <w:t>（六）发现对严重违反本合同义务条款的行为，有向其上级有关部门举报、建议给予处理并要求告知处理结果的权利。</w:t>
      </w:r>
    </w:p>
    <w:p>
      <w:pPr>
        <w:spacing w:line="360" w:lineRule="auto"/>
        <w:ind w:firstLine="525" w:firstLineChars="250"/>
        <w:rPr>
          <w:color w:val="auto"/>
          <w:highlight w:val="none"/>
        </w:rPr>
      </w:pPr>
      <w:r>
        <w:rPr>
          <w:color w:val="auto"/>
          <w:highlight w:val="none"/>
        </w:rPr>
        <w:t>第二条甲方的义务</w:t>
      </w:r>
    </w:p>
    <w:p>
      <w:pPr>
        <w:spacing w:line="360" w:lineRule="auto"/>
        <w:ind w:firstLine="525" w:firstLineChars="250"/>
        <w:rPr>
          <w:color w:val="auto"/>
          <w:highlight w:val="none"/>
        </w:rPr>
      </w:pPr>
      <w:r>
        <w:rPr>
          <w:color w:val="auto"/>
          <w:highlight w:val="none"/>
        </w:rPr>
        <w:t>（一）甲方及其工作人员不得索要或接受乙方的礼金、有价证券和贵重物品，不得在乙方报销任何应由甲方或个人支付的费用等。</w:t>
      </w:r>
    </w:p>
    <w:p>
      <w:pPr>
        <w:spacing w:line="360" w:lineRule="auto"/>
        <w:ind w:firstLine="525" w:firstLineChars="250"/>
        <w:rPr>
          <w:color w:val="auto"/>
          <w:highlight w:val="none"/>
        </w:rPr>
      </w:pPr>
      <w:r>
        <w:rPr>
          <w:color w:val="auto"/>
          <w:highlight w:val="none"/>
        </w:rPr>
        <w:t>（二）甲方工作人员不得参加乙方安排的超标准宴请和娱乐活动；不得接受乙方提供的通讯工具、交通工具和高档办公用品等。</w:t>
      </w:r>
    </w:p>
    <w:p>
      <w:pPr>
        <w:spacing w:line="360" w:lineRule="auto"/>
        <w:ind w:firstLine="525" w:firstLineChars="250"/>
        <w:rPr>
          <w:color w:val="auto"/>
          <w:highlight w:val="none"/>
        </w:rPr>
      </w:pPr>
      <w:r>
        <w:rPr>
          <w:color w:val="auto"/>
          <w:highlight w:val="none"/>
        </w:rPr>
        <w:t>（三）甲方及其工作人员不得要求或者接受乙方为其房装修、婚丧嫁娶活动、配偶子女的工作安排以及出国出境、旅游等提供方便等。</w:t>
      </w:r>
    </w:p>
    <w:p>
      <w:pPr>
        <w:spacing w:line="360" w:lineRule="auto"/>
        <w:ind w:firstLine="525" w:firstLineChars="250"/>
        <w:rPr>
          <w:color w:val="auto"/>
          <w:highlight w:val="none"/>
        </w:rPr>
      </w:pPr>
      <w:r>
        <w:rPr>
          <w:color w:val="auto"/>
          <w:highlight w:val="none"/>
        </w:rPr>
        <w:t>（四）甲方工作人员的配偶、子女不得从事与甲方工程有关的材料设备供应、工程分包、劳务等经济活动等。</w:t>
      </w:r>
    </w:p>
    <w:p>
      <w:pPr>
        <w:spacing w:line="360" w:lineRule="auto"/>
        <w:ind w:firstLine="525" w:firstLineChars="250"/>
        <w:rPr>
          <w:color w:val="auto"/>
          <w:highlight w:val="none"/>
        </w:rPr>
      </w:pPr>
      <w:r>
        <w:rPr>
          <w:color w:val="auto"/>
          <w:highlight w:val="none"/>
        </w:rPr>
        <w:t>（五）甲方及其工作人员不得以任何理由向乙方推荐分包单位，不得要求乙方购买合同规定外的材料和设备。</w:t>
      </w:r>
    </w:p>
    <w:p>
      <w:pPr>
        <w:spacing w:line="360" w:lineRule="auto"/>
        <w:ind w:firstLine="525" w:firstLineChars="250"/>
        <w:rPr>
          <w:color w:val="auto"/>
          <w:highlight w:val="none"/>
        </w:rPr>
      </w:pPr>
      <w:r>
        <w:rPr>
          <w:color w:val="auto"/>
          <w:highlight w:val="none"/>
        </w:rPr>
        <w:t>第三条乙方义务</w:t>
      </w:r>
    </w:p>
    <w:p>
      <w:pPr>
        <w:spacing w:line="360" w:lineRule="auto"/>
        <w:ind w:firstLine="525" w:firstLineChars="250"/>
        <w:rPr>
          <w:color w:val="auto"/>
          <w:highlight w:val="none"/>
        </w:rPr>
      </w:pPr>
      <w:r>
        <w:rPr>
          <w:color w:val="auto"/>
          <w:highlight w:val="none"/>
        </w:rPr>
        <w:t>（一）乙方不得以任何理由向甲方及其工作人员行贿或馈赠礼金、有价证券、贵重礼品。</w:t>
      </w:r>
    </w:p>
    <w:p>
      <w:pPr>
        <w:spacing w:line="360" w:lineRule="auto"/>
        <w:ind w:firstLine="525" w:firstLineChars="250"/>
        <w:rPr>
          <w:color w:val="auto"/>
          <w:highlight w:val="none"/>
        </w:rPr>
      </w:pPr>
      <w:r>
        <w:rPr>
          <w:color w:val="auto"/>
          <w:highlight w:val="none"/>
        </w:rPr>
        <w:t>（二）乙方不得以任何名义向甲方及其工作人员报销应由甲方单位或个人支付的任何费用。</w:t>
      </w:r>
    </w:p>
    <w:p>
      <w:pPr>
        <w:spacing w:line="360" w:lineRule="auto"/>
        <w:ind w:firstLine="525" w:firstLineChars="250"/>
        <w:rPr>
          <w:color w:val="auto"/>
          <w:highlight w:val="none"/>
        </w:rPr>
      </w:pPr>
      <w:r>
        <w:rPr>
          <w:color w:val="auto"/>
          <w:highlight w:val="none"/>
        </w:rPr>
        <w:t>（三）乙方不得以任何理由安排甲方工作人员参加超标准宴请及娱乐活动。</w:t>
      </w:r>
    </w:p>
    <w:p>
      <w:pPr>
        <w:spacing w:line="360" w:lineRule="auto"/>
        <w:ind w:firstLine="525" w:firstLineChars="250"/>
        <w:rPr>
          <w:color w:val="auto"/>
          <w:highlight w:val="none"/>
        </w:rPr>
      </w:pPr>
      <w:r>
        <w:rPr>
          <w:color w:val="auto"/>
          <w:highlight w:val="none"/>
        </w:rPr>
        <w:t>（四）乙方不得为甲方单位和个人购置或提供通讯工具、交通工具和高档办公用品等。</w:t>
      </w:r>
    </w:p>
    <w:p>
      <w:pPr>
        <w:spacing w:line="360" w:lineRule="auto"/>
        <w:ind w:firstLine="525" w:firstLineChars="250"/>
        <w:rPr>
          <w:color w:val="auto"/>
          <w:highlight w:val="none"/>
        </w:rPr>
      </w:pPr>
      <w:r>
        <w:rPr>
          <w:color w:val="auto"/>
          <w:highlight w:val="none"/>
        </w:rPr>
        <w:t>第四条违约责任</w:t>
      </w:r>
    </w:p>
    <w:p>
      <w:pPr>
        <w:spacing w:line="360" w:lineRule="auto"/>
        <w:ind w:firstLine="525" w:firstLineChars="250"/>
        <w:rPr>
          <w:color w:val="auto"/>
          <w:highlight w:val="none"/>
        </w:rPr>
      </w:pPr>
      <w:r>
        <w:rPr>
          <w:color w:val="auto"/>
          <w:highlight w:val="none"/>
        </w:rPr>
        <w:t>（一）甲方及其工作人员违反本合同第一、二条，按管理权限，依据有关规定给予党纪、政纪或组织处理；涉嫌犯罪的，移交司法机关追究刑事责任；给乙方单位造成经济损失的，应予以赔偿。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525" w:firstLineChars="250"/>
        <w:rPr>
          <w:color w:val="auto"/>
          <w:highlight w:val="none"/>
        </w:rPr>
      </w:pPr>
      <w:r>
        <w:rPr>
          <w:color w:val="auto"/>
          <w:highlight w:val="none"/>
        </w:rPr>
        <w:t>（二）乙方及其工作人员违反本合同第一、三条，按管理权限，依据有关规定给予党纪、政纪或组织处理；给甲方单位造成经济损失的，应予以赔偿；情节严重的，甲方建议行业主管部门给予乙方一至三年内不得进入其主管行业的处罚。</w:t>
      </w:r>
    </w:p>
    <w:p>
      <w:pPr>
        <w:spacing w:line="360" w:lineRule="auto"/>
        <w:ind w:firstLine="525" w:firstLineChars="250"/>
        <w:rPr>
          <w:color w:val="auto"/>
          <w:highlight w:val="none"/>
        </w:rPr>
      </w:pPr>
      <w:r>
        <w:rPr>
          <w:color w:val="auto"/>
          <w:highlight w:val="none"/>
        </w:rPr>
        <w:t>第五条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360" w:lineRule="auto"/>
        <w:ind w:firstLine="525" w:firstLineChars="250"/>
        <w:rPr>
          <w:color w:val="auto"/>
          <w:highlight w:val="none"/>
        </w:rPr>
      </w:pPr>
      <w:r>
        <w:rPr>
          <w:color w:val="auto"/>
          <w:highlight w:val="none"/>
        </w:rPr>
        <w:t>第六条本合同有效期为甲乙双方签署之日起至该项目服务期满止。</w:t>
      </w:r>
    </w:p>
    <w:p>
      <w:pPr>
        <w:spacing w:line="360" w:lineRule="auto"/>
        <w:ind w:firstLine="525" w:firstLineChars="250"/>
        <w:rPr>
          <w:color w:val="auto"/>
          <w:highlight w:val="none"/>
        </w:rPr>
      </w:pPr>
      <w:r>
        <w:rPr>
          <w:color w:val="auto"/>
          <w:highlight w:val="none"/>
        </w:rPr>
        <w:t>第七条本合同甲、乙双方各执一份，送交双方监督单位一份。</w:t>
      </w:r>
    </w:p>
    <w:p>
      <w:pPr>
        <w:spacing w:line="360" w:lineRule="auto"/>
        <w:ind w:firstLine="525" w:firstLineChars="250"/>
        <w:rPr>
          <w:color w:val="auto"/>
          <w:highlight w:val="none"/>
        </w:rPr>
      </w:pPr>
    </w:p>
    <w:p>
      <w:pPr>
        <w:spacing w:line="360" w:lineRule="auto"/>
        <w:ind w:firstLine="525" w:firstLineChars="250"/>
        <w:rPr>
          <w:color w:val="auto"/>
          <w:highlight w:val="none"/>
        </w:rPr>
      </w:pPr>
    </w:p>
    <w:p>
      <w:pPr>
        <w:tabs>
          <w:tab w:val="left" w:pos="5106"/>
        </w:tabs>
        <w:spacing w:line="360" w:lineRule="auto"/>
        <w:ind w:firstLine="525" w:firstLineChars="250"/>
        <w:jc w:val="left"/>
        <w:rPr>
          <w:color w:val="auto"/>
          <w:highlight w:val="none"/>
        </w:rPr>
      </w:pPr>
      <w:r>
        <w:rPr>
          <w:color w:val="auto"/>
          <w:highlight w:val="none"/>
        </w:rPr>
        <w:t>甲方单位：（盖章）</w:t>
      </w:r>
      <w:r>
        <w:rPr>
          <w:color w:val="auto"/>
          <w:highlight w:val="none"/>
        </w:rPr>
        <w:tab/>
      </w:r>
      <w:r>
        <w:rPr>
          <w:color w:val="auto"/>
          <w:highlight w:val="none"/>
        </w:rPr>
        <w:t>乙方单位：（盖章）</w:t>
      </w:r>
    </w:p>
    <w:p>
      <w:pPr>
        <w:tabs>
          <w:tab w:val="left" w:pos="5106"/>
        </w:tabs>
        <w:spacing w:line="360" w:lineRule="auto"/>
        <w:ind w:firstLine="525" w:firstLineChars="250"/>
        <w:jc w:val="left"/>
        <w:rPr>
          <w:color w:val="auto"/>
          <w:highlight w:val="none"/>
        </w:rPr>
      </w:pPr>
    </w:p>
    <w:p>
      <w:pPr>
        <w:tabs>
          <w:tab w:val="left" w:pos="5106"/>
        </w:tabs>
        <w:spacing w:line="360" w:lineRule="auto"/>
        <w:ind w:firstLine="525" w:firstLineChars="250"/>
        <w:jc w:val="left"/>
        <w:rPr>
          <w:color w:val="auto"/>
          <w:highlight w:val="none"/>
        </w:rPr>
      </w:pPr>
      <w:r>
        <w:rPr>
          <w:color w:val="auto"/>
          <w:highlight w:val="none"/>
        </w:rPr>
        <w:t>法定代表人：</w:t>
      </w:r>
      <w:r>
        <w:rPr>
          <w:color w:val="auto"/>
          <w:highlight w:val="none"/>
        </w:rPr>
        <w:tab/>
      </w:r>
      <w:r>
        <w:rPr>
          <w:color w:val="auto"/>
          <w:highlight w:val="none"/>
        </w:rPr>
        <w:t>法定代表人：</w:t>
      </w:r>
      <w:r>
        <w:rPr>
          <w:color w:val="auto"/>
          <w:highlight w:val="none"/>
        </w:rPr>
        <w:tab/>
      </w:r>
    </w:p>
    <w:p>
      <w:pPr>
        <w:tabs>
          <w:tab w:val="left" w:pos="5106"/>
        </w:tabs>
        <w:spacing w:line="360" w:lineRule="auto"/>
        <w:ind w:firstLine="525" w:firstLineChars="250"/>
        <w:jc w:val="left"/>
        <w:rPr>
          <w:color w:val="auto"/>
          <w:highlight w:val="none"/>
        </w:rPr>
      </w:pPr>
    </w:p>
    <w:p>
      <w:pPr>
        <w:widowControl/>
        <w:ind w:firstLine="945" w:firstLineChars="450"/>
        <w:jc w:val="left"/>
        <w:rPr>
          <w:color w:val="auto"/>
          <w:highlight w:val="none"/>
        </w:rPr>
      </w:pPr>
      <w:r>
        <w:rPr>
          <w:color w:val="auto"/>
          <w:highlight w:val="none"/>
        </w:rPr>
        <w:t>年月日</w:t>
      </w:r>
      <w:r>
        <w:rPr>
          <w:color w:val="auto"/>
          <w:highlight w:val="none"/>
        </w:rPr>
        <w:tab/>
      </w: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spacing w:before="120" w:beforeLines="50" w:after="120" w:afterLines="50" w:line="360" w:lineRule="auto"/>
        <w:rPr>
          <w:color w:val="auto"/>
          <w:spacing w:val="-4"/>
          <w:kern w:val="0"/>
          <w:sz w:val="24"/>
          <w:szCs w:val="21"/>
          <w:highlight w:val="none"/>
        </w:rPr>
      </w:pPr>
    </w:p>
    <w:p>
      <w:pPr>
        <w:rPr>
          <w:color w:val="auto"/>
          <w:highlight w:val="none"/>
        </w:rPr>
      </w:pPr>
    </w:p>
    <w:p>
      <w:pPr>
        <w:widowControl/>
        <w:ind w:firstLine="945" w:firstLineChars="450"/>
        <w:jc w:val="left"/>
        <w:rPr>
          <w:color w:val="auto"/>
          <w:highlight w:val="none"/>
        </w:rPr>
      </w:pPr>
    </w:p>
    <w:p>
      <w:pPr>
        <w:spacing w:line="380" w:lineRule="exact"/>
        <w:ind w:left="360"/>
        <w:rPr>
          <w:rFonts w:ascii="宋体" w:hAnsi="宋体"/>
          <w:color w:val="auto"/>
          <w:szCs w:val="21"/>
          <w:highlight w:val="none"/>
        </w:rPr>
      </w:pPr>
    </w:p>
    <w:p>
      <w:pPr>
        <w:widowControl/>
        <w:spacing w:line="360" w:lineRule="auto"/>
        <w:jc w:val="left"/>
        <w:rPr>
          <w:rFonts w:ascii="宋体" w:hAnsi="宋体" w:cs="宋体"/>
          <w:color w:val="auto"/>
          <w:spacing w:val="-4"/>
          <w:kern w:val="0"/>
          <w:szCs w:val="21"/>
          <w:highlight w:val="none"/>
        </w:rPr>
      </w:pPr>
    </w:p>
    <w:p>
      <w:pPr>
        <w:spacing w:line="360" w:lineRule="auto"/>
        <w:jc w:val="center"/>
        <w:rPr>
          <w:rFonts w:ascii="宋体" w:hAnsi="宋体" w:cs="宋体"/>
          <w:color w:val="auto"/>
          <w:sz w:val="30"/>
          <w:highlight w:val="none"/>
        </w:rPr>
        <w:sectPr>
          <w:pgSz w:w="11907" w:h="16840"/>
          <w:pgMar w:top="1361" w:right="1474" w:bottom="1242" w:left="1474" w:header="720" w:footer="720" w:gutter="0"/>
          <w:cols w:space="720" w:num="1"/>
          <w:docGrid w:linePitch="285" w:charSpace="0"/>
        </w:sectPr>
      </w:pPr>
    </w:p>
    <w:p>
      <w:pPr>
        <w:pStyle w:val="2"/>
        <w:spacing w:before="0" w:after="0" w:line="360" w:lineRule="auto"/>
        <w:jc w:val="center"/>
        <w:rPr>
          <w:rFonts w:ascii="宋体" w:hAnsi="宋体" w:cs="宋体"/>
          <w:b w:val="0"/>
          <w:bCs w:val="0"/>
          <w:color w:val="auto"/>
          <w:sz w:val="28"/>
          <w:szCs w:val="28"/>
          <w:highlight w:val="none"/>
        </w:rPr>
      </w:pPr>
      <w:r>
        <w:rPr>
          <w:rFonts w:hint="eastAsia" w:ascii="宋体" w:hAnsi="宋体" w:cs="宋体"/>
          <w:color w:val="auto"/>
          <w:sz w:val="30"/>
          <w:highlight w:val="none"/>
        </w:rPr>
        <w:t>第六章　投标文件格式</w:t>
      </w:r>
      <w:bookmarkEnd w:id="226"/>
      <w:bookmarkEnd w:id="228"/>
    </w:p>
    <w:p>
      <w:pPr>
        <w:adjustRightInd w:val="0"/>
        <w:snapToGrid w:val="0"/>
        <w:jc w:val="left"/>
        <w:rPr>
          <w:rFonts w:ascii="宋体" w:hAnsi="宋体" w:cs="宋体"/>
          <w:b/>
          <w:color w:val="auto"/>
          <w:highlight w:val="none"/>
        </w:rPr>
      </w:pPr>
      <w:bookmarkStart w:id="231" w:name="_Toc460857946"/>
    </w:p>
    <w:p>
      <w:pPr>
        <w:snapToGrid w:val="0"/>
        <w:spacing w:before="120" w:beforeLines="50" w:after="50"/>
        <w:rPr>
          <w:rFonts w:ascii="宋体"/>
          <w:b/>
          <w:color w:val="auto"/>
          <w:szCs w:val="21"/>
          <w:highlight w:val="none"/>
        </w:rPr>
      </w:pPr>
      <w:r>
        <w:rPr>
          <w:rFonts w:hint="eastAsia" w:ascii="宋体"/>
          <w:b/>
          <w:color w:val="auto"/>
          <w:szCs w:val="21"/>
          <w:highlight w:val="none"/>
        </w:rPr>
        <w:t>电子备份投标文件的外包装封面格式（可选用）：</w:t>
      </w:r>
    </w:p>
    <w:p>
      <w:pPr>
        <w:snapToGrid w:val="0"/>
        <w:spacing w:before="120" w:beforeLines="50" w:after="50"/>
        <w:rPr>
          <w:rFonts w:ascii="宋体"/>
          <w:b/>
          <w:color w:val="auto"/>
          <w:szCs w:val="21"/>
          <w:highlight w:val="none"/>
        </w:rPr>
      </w:pPr>
    </w:p>
    <w:p>
      <w:pPr>
        <w:snapToGrid w:val="0"/>
        <w:spacing w:before="120" w:beforeLines="50" w:after="50"/>
        <w:rPr>
          <w:rFonts w:ascii="宋体"/>
          <w:b/>
          <w:bCs/>
          <w:color w:val="auto"/>
          <w:szCs w:val="21"/>
          <w:highlight w:val="none"/>
        </w:rPr>
      </w:pPr>
      <w:r>
        <w:rPr>
          <w:rFonts w:hint="eastAsia" w:ascii="宋体"/>
          <w:b/>
          <w:bCs/>
          <w:color w:val="auto"/>
          <w:szCs w:val="21"/>
          <w:highlight w:val="none"/>
        </w:rPr>
        <w:t>外包装格式：</w:t>
      </w:r>
    </w:p>
    <w:p>
      <w:pPr>
        <w:snapToGrid w:val="0"/>
        <w:spacing w:before="120" w:beforeLines="50" w:after="50"/>
        <w:jc w:val="center"/>
        <w:rPr>
          <w:rFonts w:ascii="宋体"/>
          <w:bCs/>
          <w:color w:val="auto"/>
          <w:szCs w:val="21"/>
          <w:highlight w:val="none"/>
        </w:rPr>
      </w:pPr>
      <w:r>
        <w:rPr>
          <w:rFonts w:hint="eastAsia" w:ascii="宋体"/>
          <w:bCs/>
          <w:color w:val="auto"/>
          <w:szCs w:val="21"/>
          <w:highlight w:val="none"/>
        </w:rPr>
        <w:t>电子备份投标文件</w:t>
      </w:r>
    </w:p>
    <w:p>
      <w:pPr>
        <w:snapToGrid w:val="0"/>
        <w:spacing w:before="120" w:beforeLines="50" w:after="50"/>
        <w:ind w:firstLine="945" w:firstLineChars="450"/>
        <w:rPr>
          <w:rFonts w:ascii="宋体"/>
          <w:bCs/>
          <w:color w:val="auto"/>
          <w:szCs w:val="21"/>
          <w:highlight w:val="none"/>
        </w:rPr>
      </w:pPr>
    </w:p>
    <w:p>
      <w:pPr>
        <w:snapToGrid w:val="0"/>
        <w:spacing w:before="120" w:beforeLines="50" w:after="50"/>
        <w:ind w:firstLine="945" w:firstLineChars="450"/>
        <w:rPr>
          <w:rFonts w:ascii="宋体"/>
          <w:bCs/>
          <w:color w:val="auto"/>
          <w:szCs w:val="21"/>
          <w:highlight w:val="none"/>
        </w:rPr>
      </w:pPr>
      <w:r>
        <w:rPr>
          <w:rFonts w:hint="eastAsia" w:ascii="宋体"/>
          <w:bCs/>
          <w:color w:val="auto"/>
          <w:szCs w:val="21"/>
          <w:highlight w:val="none"/>
        </w:rPr>
        <w:t xml:space="preserve">项目名称： </w:t>
      </w:r>
    </w:p>
    <w:p>
      <w:pPr>
        <w:snapToGrid w:val="0"/>
        <w:spacing w:before="120" w:beforeLines="50" w:after="50"/>
        <w:ind w:firstLine="420" w:firstLineChars="200"/>
        <w:rPr>
          <w:rFonts w:ascii="宋体"/>
          <w:bCs/>
          <w:color w:val="auto"/>
          <w:szCs w:val="21"/>
          <w:highlight w:val="none"/>
        </w:rPr>
      </w:pPr>
      <w:r>
        <w:rPr>
          <w:rFonts w:hint="eastAsia" w:ascii="宋体"/>
          <w:bCs/>
          <w:color w:val="auto"/>
          <w:szCs w:val="21"/>
          <w:highlight w:val="none"/>
        </w:rPr>
        <w:t xml:space="preserve">     项目编号： </w:t>
      </w:r>
    </w:p>
    <w:p>
      <w:pPr>
        <w:snapToGrid w:val="0"/>
        <w:spacing w:before="120" w:beforeLines="50" w:after="50"/>
        <w:ind w:firstLine="945" w:firstLineChars="450"/>
        <w:rPr>
          <w:rFonts w:ascii="宋体"/>
          <w:bCs/>
          <w:color w:val="auto"/>
          <w:szCs w:val="21"/>
          <w:highlight w:val="none"/>
        </w:rPr>
      </w:pPr>
      <w:r>
        <w:rPr>
          <w:rFonts w:ascii="宋体"/>
          <w:bCs/>
          <w:color w:val="auto"/>
          <w:szCs w:val="21"/>
          <w:highlight w:val="none"/>
        </w:rPr>
        <w:t>供应商</w:t>
      </w:r>
      <w:r>
        <w:rPr>
          <w:rFonts w:hint="eastAsia" w:ascii="宋体"/>
          <w:bCs/>
          <w:color w:val="auto"/>
          <w:szCs w:val="21"/>
          <w:highlight w:val="none"/>
        </w:rPr>
        <w:t>名称（加盖公章）：</w:t>
      </w:r>
    </w:p>
    <w:p>
      <w:pPr>
        <w:snapToGrid w:val="0"/>
        <w:spacing w:before="120" w:beforeLines="50" w:after="50"/>
        <w:ind w:firstLine="945" w:firstLineChars="450"/>
        <w:rPr>
          <w:rFonts w:ascii="宋体"/>
          <w:bCs/>
          <w:color w:val="auto"/>
          <w:szCs w:val="21"/>
          <w:highlight w:val="none"/>
        </w:rPr>
      </w:pPr>
      <w:r>
        <w:rPr>
          <w:rFonts w:ascii="宋体"/>
          <w:bCs/>
          <w:color w:val="auto"/>
          <w:szCs w:val="21"/>
          <w:highlight w:val="none"/>
        </w:rPr>
        <w:t>供应商</w:t>
      </w:r>
      <w:r>
        <w:rPr>
          <w:rFonts w:hint="eastAsia" w:ascii="宋体"/>
          <w:bCs/>
          <w:color w:val="auto"/>
          <w:szCs w:val="21"/>
          <w:highlight w:val="none"/>
        </w:rPr>
        <w:t>地址：</w:t>
      </w:r>
    </w:p>
    <w:p>
      <w:pPr>
        <w:snapToGrid w:val="0"/>
        <w:spacing w:before="120" w:beforeLines="50" w:after="50"/>
        <w:ind w:firstLine="945" w:firstLineChars="450"/>
        <w:rPr>
          <w:rFonts w:ascii="宋体"/>
          <w:bCs/>
          <w:color w:val="auto"/>
          <w:szCs w:val="21"/>
          <w:highlight w:val="none"/>
        </w:rPr>
      </w:pPr>
      <w:r>
        <w:rPr>
          <w:rFonts w:hint="eastAsia" w:ascii="宋体"/>
          <w:bCs/>
          <w:color w:val="auto"/>
          <w:szCs w:val="21"/>
          <w:highlight w:val="none"/>
        </w:rPr>
        <w:t>开标前不得启封</w:t>
      </w:r>
    </w:p>
    <w:p>
      <w:pPr>
        <w:snapToGrid w:val="0"/>
        <w:spacing w:before="120" w:beforeLines="50" w:after="50"/>
        <w:ind w:firstLine="3570" w:firstLineChars="1700"/>
        <w:rPr>
          <w:rFonts w:ascii="宋体"/>
          <w:bCs/>
          <w:color w:val="auto"/>
          <w:szCs w:val="21"/>
          <w:highlight w:val="none"/>
        </w:rPr>
      </w:pPr>
    </w:p>
    <w:p>
      <w:pPr>
        <w:snapToGrid w:val="0"/>
        <w:spacing w:before="120" w:beforeLines="50" w:after="50"/>
        <w:jc w:val="center"/>
        <w:rPr>
          <w:rFonts w:ascii="宋体"/>
          <w:bCs/>
          <w:color w:val="auto"/>
          <w:szCs w:val="21"/>
          <w:highlight w:val="none"/>
        </w:rPr>
      </w:pPr>
      <w:r>
        <w:rPr>
          <w:rFonts w:hint="eastAsia" w:ascii="宋体"/>
          <w:bCs/>
          <w:color w:val="auto"/>
          <w:szCs w:val="21"/>
          <w:highlight w:val="none"/>
        </w:rPr>
        <w:t xml:space="preserve">                        年  月  日</w:t>
      </w:r>
    </w:p>
    <w:p>
      <w:pPr>
        <w:snapToGrid w:val="0"/>
        <w:spacing w:before="120" w:beforeLines="50" w:after="50"/>
        <w:jc w:val="center"/>
        <w:rPr>
          <w:rFonts w:ascii="宋体"/>
          <w:bCs/>
          <w:color w:val="auto"/>
          <w:szCs w:val="21"/>
          <w:highlight w:val="none"/>
        </w:rPr>
      </w:pPr>
    </w:p>
    <w:p>
      <w:pPr>
        <w:snapToGrid w:val="0"/>
        <w:spacing w:before="120" w:beforeLines="50" w:after="50"/>
        <w:jc w:val="center"/>
        <w:rPr>
          <w:rFonts w:ascii="宋体"/>
          <w:bCs/>
          <w:color w:val="auto"/>
          <w:szCs w:val="21"/>
          <w:highlight w:val="none"/>
        </w:rPr>
      </w:pPr>
    </w:p>
    <w:p>
      <w:pPr>
        <w:snapToGrid w:val="0"/>
        <w:spacing w:before="120" w:beforeLines="50" w:after="50"/>
        <w:rPr>
          <w:rFonts w:ascii="宋体" w:hAnsi="宋体" w:cs="宋体"/>
          <w:b/>
          <w:bCs/>
          <w:color w:val="auto"/>
          <w:sz w:val="24"/>
          <w:highlight w:val="none"/>
        </w:rPr>
        <w:sectPr>
          <w:pgSz w:w="11906" w:h="16838"/>
          <w:pgMar w:top="1474" w:right="1417" w:bottom="1247" w:left="1797" w:header="851" w:footer="850" w:gutter="0"/>
          <w:cols w:space="720" w:num="1"/>
          <w:docGrid w:linePitch="602" w:charSpace="0"/>
        </w:sectPr>
      </w:pPr>
      <w:r>
        <w:rPr>
          <w:rFonts w:hint="eastAsia" w:ascii="宋体"/>
          <w:bCs/>
          <w:color w:val="auto"/>
          <w:szCs w:val="21"/>
          <w:highlight w:val="none"/>
        </w:rPr>
        <w:t>备注：若联合体参加投标，投标人盖章处盖联合牵头人公章。</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1．资格证明部分包括以下内容：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（1）资格条件自查表(格式见附件)；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（2）有效的企业法人营业执照（或事业法人登记证）、其他组织（个体工商户）的营业执照或者民办非企业单位登记证书复印件（复印件加盖公章）</w:t>
      </w:r>
      <w:r>
        <w:rPr>
          <w:rFonts w:hint="eastAsia" w:ascii="宋体" w:hAnsi="宋体" w:cs="宋体"/>
          <w:bCs/>
          <w:color w:val="auto"/>
          <w:szCs w:val="21"/>
          <w:highlight w:val="none"/>
        </w:rPr>
        <w:t>，若为联合体投标的，则联合体各方均须提供</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（3）投标人资格声明函(格式见附件)；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落实政府采购政策需满足的资格要求【本项目预留部分采购项目预算专门面向中小企业采购。对于预留份额，提供的服务由符合政策要求的中小企业承接。预留份额通过以下措施进行，投标人可选择以下其中一种方式参与：①以联合体形式参加，提供联合体协议书和中小企业声明函，联合协议中中小企业承担的合同份额占合同总金额的40%（其中小微企业承担的合同份额占合同总金额的28%）；</w:t>
      </w:r>
      <w:r>
        <w:rPr>
          <w:rFonts w:hint="eastAsia" w:ascii="宋体" w:hAnsi="宋体" w:cs="宋体"/>
          <w:color w:val="auto"/>
          <w:spacing w:val="8"/>
          <w:kern w:val="0"/>
          <w:szCs w:val="21"/>
          <w:highlight w:val="none"/>
        </w:rPr>
        <w:t>如果供应商本身提供所有标的中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w:t>
      </w:r>
      <w:r>
        <w:rPr>
          <w:rFonts w:hint="eastAsia" w:ascii="宋体" w:hAnsi="宋体" w:cs="宋体"/>
          <w:color w:val="auto"/>
          <w:spacing w:val="8"/>
          <w:kern w:val="0"/>
          <w:szCs w:val="21"/>
          <w:highlight w:val="none"/>
        </w:rPr>
        <w:t>，视同符合了资格条件，不强制要求再与其他中小企业组成联合体参加政府采购活动，则无需提供</w:t>
      </w:r>
      <w:r>
        <w:rPr>
          <w:rFonts w:hint="eastAsia" w:ascii="宋体" w:hAnsi="宋体" w:cs="宋体"/>
          <w:color w:val="auto"/>
          <w:szCs w:val="21"/>
          <w:highlight w:val="none"/>
        </w:rPr>
        <w:t>联合体协议书；②</w:t>
      </w:r>
      <w:r>
        <w:rPr>
          <w:rFonts w:hint="eastAsia" w:ascii="宋体" w:hAnsi="宋体" w:cs="宋体"/>
          <w:color w:val="auto"/>
          <w:kern w:val="0"/>
          <w:szCs w:val="21"/>
          <w:highlight w:val="none"/>
        </w:rPr>
        <w:t>以</w:t>
      </w:r>
      <w:r>
        <w:rPr>
          <w:rFonts w:hint="eastAsia" w:ascii="宋体" w:hAnsi="宋体" w:cs="宋体"/>
          <w:color w:val="auto"/>
          <w:szCs w:val="21"/>
          <w:highlight w:val="none"/>
        </w:rPr>
        <w:t>合同分包形式参加，提供分包意向协议和中小企业声明函，分包意向协议中中小企业承担的合同份额占合同总金额的40%（其中小微企业承担的合同份额占合同总金额的28%），接受分包合同的中小企业与分包企业之间不得存在直接控股、管理关系；</w:t>
      </w:r>
      <w:r>
        <w:rPr>
          <w:rFonts w:hint="eastAsia" w:ascii="宋体" w:hAnsi="宋体" w:cs="宋体"/>
          <w:color w:val="auto"/>
          <w:spacing w:val="8"/>
          <w:kern w:val="0"/>
          <w:szCs w:val="21"/>
          <w:highlight w:val="none"/>
        </w:rPr>
        <w:t>如果供应商本身提供所有标的中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w:t>
      </w:r>
      <w:r>
        <w:rPr>
          <w:rFonts w:hint="eastAsia" w:ascii="宋体" w:hAnsi="宋体" w:cs="宋体"/>
          <w:color w:val="auto"/>
          <w:spacing w:val="8"/>
          <w:kern w:val="0"/>
          <w:szCs w:val="21"/>
          <w:highlight w:val="none"/>
        </w:rPr>
        <w:t>，视同符合了资格条件，不强制要求再向中小企业分包，无需提供分包意向协议；③供应商本身提供所有标的中</w:t>
      </w:r>
      <w:r>
        <w:rPr>
          <w:rFonts w:hint="eastAsia" w:ascii="宋体" w:hAnsi="宋体" w:cs="宋体"/>
          <w:color w:val="auto"/>
          <w:szCs w:val="21"/>
          <w:highlight w:val="none"/>
        </w:rPr>
        <w:t>中小企业合承担的合同份额占合同总金额的40%（其中小微企业承担的合同份额占合同总金额的28%），提供中小企业声明函】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①中小企业声明函（</w:t>
      </w:r>
      <w:r>
        <w:rPr>
          <w:rFonts w:hint="eastAsia" w:ascii="宋体"/>
          <w:color w:val="auto"/>
          <w:szCs w:val="21"/>
          <w:highlight w:val="none"/>
        </w:rPr>
        <w:t>如有请提供，</w:t>
      </w:r>
      <w:r>
        <w:rPr>
          <w:rFonts w:hint="eastAsia" w:ascii="宋体" w:hAnsi="宋体" w:cs="宋体"/>
          <w:color w:val="auto"/>
          <w:szCs w:val="21"/>
          <w:highlight w:val="none"/>
        </w:rPr>
        <w:t>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②残疾人福利性单位声明函（</w:t>
      </w:r>
      <w:r>
        <w:rPr>
          <w:rFonts w:hint="eastAsia" w:ascii="宋体"/>
          <w:color w:val="auto"/>
          <w:szCs w:val="21"/>
          <w:highlight w:val="none"/>
        </w:rPr>
        <w:t>如有请提供</w:t>
      </w:r>
      <w:r>
        <w:rPr>
          <w:rFonts w:hint="eastAsia" w:ascii="宋体" w:hAnsi="宋体" w:cs="宋体"/>
          <w:color w:val="auto"/>
          <w:szCs w:val="21"/>
          <w:highlight w:val="none"/>
        </w:rPr>
        <w:t>，格式见附件）；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③监狱企业的证明文件：由省级以上监狱管理局、戒毒管理局（含新疆生产建设兵团）出具的属于监狱企业的证明文件（如有请提供），若为联合体投标的，则联合体各方均须提供；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④分包意向协议（中标后以分包方式履行合同的，提供分包意向协议；采购人不同意分包或者投标人中标后不以分包方式履行合同的，则不需要提供）；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color w:val="auto"/>
          <w:szCs w:val="21"/>
          <w:highlight w:val="none"/>
        </w:rPr>
        <w:t>联合体协议书（格式见附件）（以联合体形式投标的，提供联合协议。不以联合体形式投标的，则不需要提供）</w:t>
      </w:r>
      <w:r>
        <w:rPr>
          <w:rFonts w:hint="eastAsia" w:ascii="宋体" w:hAnsi="宋体" w:cs="宋体"/>
          <w:color w:val="auto"/>
          <w:szCs w:val="21"/>
          <w:highlight w:val="none"/>
        </w:rPr>
        <w:t>。</w:t>
      </w:r>
    </w:p>
    <w:p>
      <w:pPr>
        <w:snapToGrid w:val="0"/>
        <w:spacing w:line="360" w:lineRule="auto"/>
        <w:jc w:val="left"/>
        <w:rPr>
          <w:rFonts w:ascii="宋体" w:hAnsi="宋体" w:cs="宋体"/>
          <w:b/>
          <w:color w:val="auto"/>
          <w:szCs w:val="21"/>
          <w:highlight w:val="none"/>
        </w:rPr>
        <w:sectPr>
          <w:pgSz w:w="11907" w:h="16840"/>
          <w:pgMar w:top="1361" w:right="1474" w:bottom="1242" w:left="1474" w:header="720" w:footer="720" w:gutter="0"/>
          <w:cols w:space="720" w:num="1"/>
          <w:docGrid w:linePitch="285" w:charSpace="0"/>
        </w:sectPr>
      </w:pPr>
    </w:p>
    <w:p>
      <w:pPr>
        <w:snapToGrid w:val="0"/>
        <w:rPr>
          <w:rFonts w:ascii="宋体" w:hAnsi="宋体" w:cs="宋体"/>
          <w:color w:val="auto"/>
          <w:szCs w:val="21"/>
          <w:highlight w:val="none"/>
        </w:rPr>
      </w:pPr>
      <w:r>
        <w:rPr>
          <w:rFonts w:hint="eastAsia" w:ascii="宋体" w:hAnsi="宋体" w:cs="宋体"/>
          <w:b/>
          <w:color w:val="auto"/>
          <w:highlight w:val="none"/>
        </w:rPr>
        <w:t>格式一</w:t>
      </w:r>
      <w:r>
        <w:rPr>
          <w:rFonts w:hint="eastAsia" w:ascii="宋体" w:hAnsi="宋体" w:cs="宋体"/>
          <w:b/>
          <w:bCs/>
          <w:color w:val="auto"/>
          <w:szCs w:val="21"/>
          <w:highlight w:val="none"/>
        </w:rPr>
        <w:t>：资格条件自查表</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资格条件自查表</w:t>
      </w:r>
    </w:p>
    <w:tbl>
      <w:tblPr>
        <w:tblStyle w:val="35"/>
        <w:tblW w:w="89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05" w:hRule="atLeast"/>
          <w:jc w:val="center"/>
        </w:trPr>
        <w:tc>
          <w:tcPr>
            <w:tcW w:w="831" w:type="dxa"/>
            <w:vAlign w:val="center"/>
          </w:tcPr>
          <w:p>
            <w:pPr>
              <w:adjustRightInd w:val="0"/>
              <w:snapToGrid w:val="0"/>
              <w:jc w:val="center"/>
              <w:rPr>
                <w:rFonts w:ascii="宋体" w:hAnsi="宋体" w:cs="宋体"/>
                <w:color w:val="auto"/>
                <w:szCs w:val="21"/>
                <w:highlight w:val="none"/>
              </w:rPr>
            </w:pPr>
            <w:r>
              <w:rPr>
                <w:rStyle w:val="38"/>
                <w:rFonts w:hint="eastAsia" w:ascii="宋体" w:hAnsi="宋体" w:cs="宋体"/>
                <w:color w:val="auto"/>
                <w:szCs w:val="21"/>
                <w:highlight w:val="none"/>
              </w:rPr>
              <w:t>评审内容</w:t>
            </w:r>
          </w:p>
        </w:tc>
        <w:tc>
          <w:tcPr>
            <w:tcW w:w="4461" w:type="dxa"/>
            <w:vAlign w:val="center"/>
          </w:tcPr>
          <w:p>
            <w:pPr>
              <w:adjustRightInd w:val="0"/>
              <w:snapToGrid w:val="0"/>
              <w:jc w:val="center"/>
              <w:rPr>
                <w:rFonts w:ascii="宋体" w:hAnsi="宋体" w:cs="宋体"/>
                <w:color w:val="auto"/>
                <w:szCs w:val="21"/>
                <w:highlight w:val="none"/>
              </w:rPr>
            </w:pPr>
            <w:r>
              <w:rPr>
                <w:rStyle w:val="38"/>
                <w:rFonts w:hint="eastAsia" w:ascii="宋体" w:hAnsi="宋体" w:cs="宋体"/>
                <w:color w:val="auto"/>
                <w:szCs w:val="21"/>
                <w:highlight w:val="none"/>
              </w:rPr>
              <w:t>采购文件要求</w:t>
            </w:r>
          </w:p>
        </w:tc>
        <w:tc>
          <w:tcPr>
            <w:tcW w:w="1410" w:type="dxa"/>
            <w:vAlign w:val="center"/>
          </w:tcPr>
          <w:p>
            <w:pPr>
              <w:adjustRightInd w:val="0"/>
              <w:snapToGrid w:val="0"/>
              <w:jc w:val="center"/>
              <w:rPr>
                <w:rFonts w:ascii="宋体" w:hAnsi="宋体" w:cs="宋体"/>
                <w:color w:val="auto"/>
                <w:szCs w:val="21"/>
                <w:highlight w:val="none"/>
              </w:rPr>
            </w:pPr>
            <w:r>
              <w:rPr>
                <w:rStyle w:val="38"/>
                <w:rFonts w:hint="eastAsia" w:ascii="宋体" w:hAnsi="宋体" w:cs="宋体"/>
                <w:color w:val="auto"/>
                <w:szCs w:val="21"/>
                <w:highlight w:val="none"/>
              </w:rPr>
              <w:t>自查结论</w:t>
            </w:r>
          </w:p>
        </w:tc>
        <w:tc>
          <w:tcPr>
            <w:tcW w:w="2231" w:type="dxa"/>
            <w:vAlign w:val="center"/>
          </w:tcPr>
          <w:p>
            <w:pPr>
              <w:adjustRightInd w:val="0"/>
              <w:snapToGrid w:val="0"/>
              <w:jc w:val="center"/>
              <w:rPr>
                <w:rFonts w:ascii="宋体" w:hAnsi="宋体" w:cs="宋体"/>
                <w:color w:val="auto"/>
                <w:szCs w:val="21"/>
                <w:highlight w:val="none"/>
              </w:rPr>
            </w:pPr>
            <w:r>
              <w:rPr>
                <w:rStyle w:val="38"/>
                <w:rFonts w:hint="eastAsia" w:ascii="宋体" w:hAnsi="宋体" w:cs="宋体"/>
                <w:color w:val="auto"/>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restart"/>
            <w:vAlign w:val="center"/>
          </w:tcPr>
          <w:p>
            <w:pPr>
              <w:pStyle w:val="12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pPr>
              <w:pStyle w:val="12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pPr>
              <w:pStyle w:val="12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pPr>
              <w:pStyle w:val="12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pPr>
              <w:pStyle w:val="12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查</w:t>
            </w:r>
          </w:p>
        </w:tc>
        <w:tc>
          <w:tcPr>
            <w:tcW w:w="446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满足《中华人民共和国政府采购法》第二十二条规定。</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27"/>
              <w:adjustRightInd w:val="0"/>
              <w:snapToGrid w:val="0"/>
              <w:spacing w:before="0" w:beforeAutospacing="0" w:after="0" w:afterAutospacing="0"/>
              <w:jc w:val="center"/>
              <w:rPr>
                <w:rFonts w:cs="宋体"/>
                <w:b/>
                <w:color w:val="auto"/>
                <w:sz w:val="21"/>
                <w:szCs w:val="21"/>
                <w:highlight w:val="none"/>
              </w:rPr>
            </w:pPr>
          </w:p>
        </w:tc>
        <w:tc>
          <w:tcPr>
            <w:tcW w:w="4461" w:type="dxa"/>
            <w:vAlign w:val="center"/>
          </w:tcPr>
          <w:p>
            <w:pPr>
              <w:rPr>
                <w:rFonts w:ascii="宋体" w:hAnsi="宋体" w:cs="宋体"/>
                <w:color w:val="auto"/>
                <w:szCs w:val="21"/>
                <w:highlight w:val="none"/>
              </w:rPr>
            </w:pPr>
            <w:r>
              <w:rPr>
                <w:rFonts w:hint="eastAsia" w:ascii="宋体" w:hAnsi="宋体" w:cs="宋体"/>
                <w:color w:val="auto"/>
                <w:szCs w:val="21"/>
                <w:highlight w:val="none"/>
              </w:rPr>
              <w:t>2.有效的企业法人营业执照（或事业法人登记证）、其他组织（个体工商户）的营业执照或者民办非企业单位登记证书复印件（复印件加盖公章），若为联合体投标的，则联合体各方均须提供；</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252" w:hRule="atLeast"/>
          <w:jc w:val="center"/>
        </w:trPr>
        <w:tc>
          <w:tcPr>
            <w:tcW w:w="831" w:type="dxa"/>
            <w:vMerge w:val="continue"/>
            <w:vAlign w:val="center"/>
          </w:tcPr>
          <w:p>
            <w:pPr>
              <w:adjustRightInd w:val="0"/>
              <w:snapToGrid w:val="0"/>
              <w:rPr>
                <w:rFonts w:ascii="宋体" w:hAnsi="宋体" w:cs="宋体"/>
                <w:color w:val="auto"/>
                <w:szCs w:val="21"/>
                <w:highlight w:val="none"/>
              </w:rPr>
            </w:pPr>
          </w:p>
        </w:tc>
        <w:tc>
          <w:tcPr>
            <w:tcW w:w="446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 xml:space="preserve">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Fonts w:hint="eastAsia" w:ascii="宋体" w:hAnsi="宋体" w:cs="宋体"/>
                <w:bCs/>
                <w:color w:val="auto"/>
                <w:szCs w:val="21"/>
                <w:highlight w:val="none"/>
              </w:rPr>
              <w:t>。</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adjustRightInd w:val="0"/>
              <w:snapToGrid w:val="0"/>
              <w:rPr>
                <w:rFonts w:ascii="宋体" w:hAnsi="宋体" w:cs="宋体"/>
                <w:color w:val="auto"/>
                <w:szCs w:val="21"/>
                <w:highlight w:val="none"/>
              </w:rPr>
            </w:pPr>
          </w:p>
        </w:tc>
        <w:tc>
          <w:tcPr>
            <w:tcW w:w="4461" w:type="dxa"/>
            <w:vAlign w:val="center"/>
          </w:tcPr>
          <w:p>
            <w:pPr>
              <w:adjustRightInd w:val="0"/>
              <w:snapToGrid w:val="0"/>
              <w:rPr>
                <w:rFonts w:ascii="宋体" w:hAnsi="宋体" w:cs="宋体"/>
                <w:color w:val="auto"/>
                <w:szCs w:val="21"/>
                <w:highlight w:val="none"/>
              </w:rPr>
            </w:pPr>
            <w:r>
              <w:rPr>
                <w:rFonts w:hint="eastAsia" w:ascii="宋体" w:hAnsi="宋体" w:cs="宋体"/>
                <w:color w:val="auto"/>
                <w:highlight w:val="none"/>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adjustRightInd w:val="0"/>
              <w:snapToGrid w:val="0"/>
              <w:rPr>
                <w:rFonts w:ascii="宋体" w:hAnsi="宋体" w:cs="宋体"/>
                <w:color w:val="auto"/>
                <w:szCs w:val="21"/>
                <w:highlight w:val="none"/>
              </w:rPr>
            </w:pPr>
          </w:p>
        </w:tc>
        <w:tc>
          <w:tcPr>
            <w:tcW w:w="4461" w:type="dxa"/>
            <w:vAlign w:val="center"/>
          </w:tcPr>
          <w:p>
            <w:pPr>
              <w:adjustRightInd w:val="0"/>
              <w:snapToGrid w:val="0"/>
              <w:rPr>
                <w:rFonts w:ascii="宋体" w:hAnsi="宋体" w:cs="宋体"/>
                <w:color w:val="auto"/>
                <w:highlight w:val="none"/>
              </w:rPr>
            </w:pPr>
            <w:r>
              <w:rPr>
                <w:rFonts w:hint="eastAsia" w:ascii="宋体" w:hAnsi="宋体" w:cs="宋体"/>
                <w:color w:val="auto"/>
                <w:szCs w:val="21"/>
                <w:highlight w:val="none"/>
              </w:rPr>
              <w:t>5.本项目接受联合体投标。（</w:t>
            </w:r>
            <w:r>
              <w:rPr>
                <w:rFonts w:hint="eastAsia" w:ascii="宋体" w:hAnsi="宋体"/>
                <w:color w:val="auto"/>
                <w:szCs w:val="21"/>
                <w:highlight w:val="none"/>
              </w:rPr>
              <w:t>以联合体形式投标的，提供联合协议。不以联合体形式投标的，则不需要提供）</w:t>
            </w:r>
          </w:p>
        </w:tc>
        <w:tc>
          <w:tcPr>
            <w:tcW w:w="1410" w:type="dxa"/>
            <w:vAlign w:val="center"/>
          </w:tcPr>
          <w:p>
            <w:pPr>
              <w:adjustRightInd w:val="0"/>
              <w:snapToGrid w:val="0"/>
              <w:rPr>
                <w:rFonts w:ascii="宋体" w:hAnsi="宋体" w:cs="宋体"/>
                <w:color w:val="auto"/>
                <w:szCs w:val="21"/>
                <w:highlight w:val="none"/>
              </w:rPr>
            </w:pPr>
          </w:p>
        </w:tc>
        <w:tc>
          <w:tcPr>
            <w:tcW w:w="2231" w:type="dxa"/>
            <w:vAlign w:val="center"/>
          </w:tcPr>
          <w:p>
            <w:pPr>
              <w:adjustRightInd w:val="0"/>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jc w:val="center"/>
        </w:trPr>
        <w:tc>
          <w:tcPr>
            <w:tcW w:w="831" w:type="dxa"/>
            <w:vMerge w:val="continue"/>
            <w:vAlign w:val="center"/>
          </w:tcPr>
          <w:p>
            <w:pPr>
              <w:adjustRightInd w:val="0"/>
              <w:snapToGrid w:val="0"/>
              <w:rPr>
                <w:rFonts w:ascii="宋体" w:hAnsi="宋体" w:cs="宋体"/>
                <w:color w:val="auto"/>
                <w:szCs w:val="21"/>
                <w:highlight w:val="none"/>
              </w:rPr>
            </w:pPr>
          </w:p>
        </w:tc>
        <w:tc>
          <w:tcPr>
            <w:tcW w:w="4461"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6.落实政府采购政策需满足的资格要求【本项目预留部分采购项目预算专门面向中小企业采购。对于预留份额，提供的服务由符合政策要求的中小企业承接。预留份额通过以下措施进行，投标人可选择以下其中一种方式参与：①以联合体形式参加，提供联合体协议书和中小企业声明函，联合协议中中小企业承担的合同份额占合同总金额的40%（其中小微企业承担的合同份额占合同总金额的28%）；如果供应商本身提供所有标的中中小企业合承担的合同份额占合同总金额的40%（其中小微企业承担的合同份额占合同总金额的28%），视同符合了资格条件，不强制要求再与其他中小企业组成联合体参加政府采购活动，则无需提供联合体协议书；②以合同分包形式参加，提供分包意向协议和中小企业声明函，分包意向协议中中小企业承担的合同份额占合同总金额的40%（其中小微企业承担的合同份额占合同总金额的28%），接受分包合同的中小企业与分包企业之间不得存在直接控股、管理关系；如果供应商本身提供所有标的中中小企业合承担的合同份额占合同总金额的40%（其中小微企业承担的合同份额占合同总金额的28%），视同符合了资格条件，不强制要求再向中小企业分包，无需提供分包意向协议；③供应商本身提供所有标的中中小企业合承担的合同份额占合同总金额的40%（其中小微企业承担的合同份额占合同总金额的28%），提供中小企业声明函】</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①中小企业声明函（格式见附件）；</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②残疾人福利性单位声明函（如有请提供，格式见附件）；</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③监狱企业的证明文件：由省级以上监狱管理局、戒毒管理局（含新疆生产建设兵团）出具的属于监狱企业的证明文件（如有请提供），若为联合体投标的，则联合体各方均须提供；</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④分包意向协议（中标后以分包方式履行合同的，提供分包意向协议；采购人不同意分包或者投标人中标后不以分包方式履行合同的，则不需要提供）；</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⑤联合体协议书（格式见附件）（以联合体形式投标的，提供联合协议。不以联合体形式投标的，则不需要提供）。</w:t>
            </w:r>
          </w:p>
        </w:tc>
        <w:tc>
          <w:tcPr>
            <w:tcW w:w="1410" w:type="dxa"/>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223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bl>
    <w:p>
      <w:pPr>
        <w:snapToGrid w:val="0"/>
        <w:rPr>
          <w:rFonts w:ascii="宋体" w:hAnsi="宋体" w:cs="宋体"/>
          <w:b/>
          <w:color w:val="auto"/>
          <w:highlight w:val="none"/>
        </w:rPr>
      </w:pPr>
      <w:r>
        <w:rPr>
          <w:rFonts w:hint="eastAsia" w:ascii="宋体" w:hAnsi="宋体" w:cs="宋体"/>
          <w:b/>
          <w:color w:val="auto"/>
          <w:szCs w:val="21"/>
          <w:highlight w:val="none"/>
        </w:rPr>
        <w:t xml:space="preserve">备注：资格条件自查表将作为供应商有效性审查的重要内容之一，供应商必须严格按照其内容及序列要求在投标文件中对应如实提供，对资格性审查文件的任何缺漏和不符合项将会直接导致投标无效！ </w:t>
      </w:r>
    </w:p>
    <w:p>
      <w:pPr>
        <w:rPr>
          <w:rFonts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格式二：</w:t>
      </w:r>
      <w:r>
        <w:rPr>
          <w:rFonts w:hint="eastAsia" w:ascii="宋体" w:hAnsi="宋体" w:cs="宋体"/>
          <w:b/>
          <w:color w:val="auto"/>
          <w:szCs w:val="21"/>
          <w:highlight w:val="none"/>
        </w:rPr>
        <w:t>投标人资格声明函</w:t>
      </w:r>
    </w:p>
    <w:p>
      <w:pPr>
        <w:jc w:val="center"/>
        <w:outlineLvl w:val="2"/>
        <w:rPr>
          <w:rFonts w:ascii="宋体" w:hAnsi="宋体" w:cs="宋体"/>
          <w:b/>
          <w:color w:val="auto"/>
          <w:sz w:val="28"/>
          <w:szCs w:val="28"/>
          <w:highlight w:val="none"/>
        </w:rPr>
      </w:pPr>
      <w:bookmarkStart w:id="232" w:name="_Toc275865606"/>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投标人资格声明函</w:t>
      </w:r>
      <w:bookmarkEnd w:id="232"/>
    </w:p>
    <w:p>
      <w:pPr>
        <w:rPr>
          <w:rFonts w:ascii="宋体" w:hAnsi="宋体" w:cs="宋体"/>
          <w:b/>
          <w:color w:val="auto"/>
          <w:highlight w:val="none"/>
        </w:rPr>
      </w:pPr>
    </w:p>
    <w:p>
      <w:pPr>
        <w:rPr>
          <w:rFonts w:ascii="宋体" w:hAnsi="宋体" w:cs="宋体"/>
          <w:b/>
          <w:color w:val="auto"/>
          <w:highlight w:val="none"/>
        </w:rPr>
      </w:pPr>
      <w:r>
        <w:rPr>
          <w:rFonts w:hint="eastAsia" w:ascii="宋体" w:hAnsi="宋体" w:cs="宋体"/>
          <w:b/>
          <w:color w:val="auto"/>
          <w:highlight w:val="none"/>
        </w:rPr>
        <w:t>宁波中基国际招标有限公司：</w:t>
      </w:r>
    </w:p>
    <w:p>
      <w:pPr>
        <w:widowControl/>
        <w:snapToGrid w:val="0"/>
        <w:spacing w:before="120" w:beforeLines="50" w:after="100" w:afterAutospacing="1" w:line="360" w:lineRule="auto"/>
        <w:ind w:firstLine="424" w:firstLineChars="202"/>
        <w:jc w:val="left"/>
        <w:rPr>
          <w:color w:val="auto"/>
          <w:szCs w:val="21"/>
          <w:highlight w:val="none"/>
        </w:rPr>
      </w:pPr>
      <w:r>
        <w:rPr>
          <w:rFonts w:hint="eastAsia" w:ascii="宋体" w:hAnsi="宋体" w:cs="宋体"/>
          <w:color w:val="auto"/>
          <w:kern w:val="0"/>
          <w:szCs w:val="21"/>
          <w:highlight w:val="none"/>
        </w:rPr>
        <w:t>关于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），我方愿意参加投标，并声明：</w:t>
      </w:r>
    </w:p>
    <w:p>
      <w:pPr>
        <w:widowControl/>
        <w:snapToGrid w:val="0"/>
        <w:spacing w:before="100" w:beforeAutospacing="1" w:after="100" w:afterAutospacing="1" w:line="360" w:lineRule="auto"/>
        <w:ind w:firstLine="424" w:firstLineChars="202"/>
        <w:jc w:val="left"/>
        <w:rPr>
          <w:color w:val="auto"/>
          <w:szCs w:val="21"/>
          <w:highlight w:val="none"/>
        </w:rPr>
      </w:pPr>
      <w:r>
        <w:rPr>
          <w:rFonts w:hint="eastAsia" w:ascii="宋体" w:hAnsi="宋体" w:cs="宋体"/>
          <w:bCs/>
          <w:color w:val="auto"/>
          <w:kern w:val="0"/>
          <w:szCs w:val="21"/>
          <w:highlight w:val="none"/>
        </w:rPr>
        <w:t>1、</w:t>
      </w:r>
      <w:r>
        <w:rPr>
          <w:rFonts w:hint="eastAsia" w:ascii="宋体" w:hAnsi="宋体" w:cs="宋体"/>
          <w:color w:val="auto"/>
          <w:kern w:val="0"/>
          <w:szCs w:val="21"/>
          <w:highlight w:val="none"/>
        </w:rPr>
        <w:t>我方具备</w:t>
      </w:r>
      <w:r>
        <w:rPr>
          <w:rFonts w:hint="eastAsia" w:ascii="宋体" w:hAnsi="宋体" w:cs="宋体"/>
          <w:bCs/>
          <w:color w:val="auto"/>
          <w:kern w:val="0"/>
          <w:szCs w:val="21"/>
          <w:highlight w:val="none"/>
        </w:rPr>
        <w:t>《中华人民共和国政府采购法》第二十二条规定资格条件：</w:t>
      </w:r>
    </w:p>
    <w:p>
      <w:pPr>
        <w:widowControl/>
        <w:snapToGrid w:val="0"/>
        <w:spacing w:before="100" w:beforeAutospacing="1" w:after="100" w:afterAutospacing="1" w:line="360" w:lineRule="auto"/>
        <w:ind w:firstLine="424" w:firstLineChars="202"/>
        <w:jc w:val="left"/>
        <w:rPr>
          <w:color w:val="auto"/>
          <w:szCs w:val="21"/>
          <w:highlight w:val="none"/>
        </w:rPr>
      </w:pPr>
      <w:r>
        <w:rPr>
          <w:rFonts w:hint="eastAsia" w:ascii="宋体" w:hAnsi="宋体" w:cs="宋体"/>
          <w:bCs/>
          <w:color w:val="auto"/>
          <w:kern w:val="0"/>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widowControl/>
        <w:snapToGrid w:val="0"/>
        <w:spacing w:before="100" w:beforeAutospacing="1" w:after="100" w:afterAutospacing="1" w:line="360" w:lineRule="auto"/>
        <w:ind w:firstLine="424" w:firstLineChars="202"/>
        <w:jc w:val="left"/>
        <w:rPr>
          <w:color w:val="auto"/>
          <w:szCs w:val="21"/>
          <w:highlight w:val="none"/>
        </w:rPr>
      </w:pPr>
      <w:r>
        <w:rPr>
          <w:rFonts w:hint="eastAsia" w:ascii="宋体" w:hAnsi="宋体" w:cs="宋体"/>
          <w:color w:val="auto"/>
          <w:kern w:val="0"/>
          <w:szCs w:val="21"/>
          <w:highlight w:val="none"/>
        </w:rPr>
        <w:t>2、我方的单位负责人与所参投的本采购项目的其他投标人的单位负责人不为同一人且与其他投标人之间不存在直接控股、管理关系。</w:t>
      </w:r>
    </w:p>
    <w:p>
      <w:pPr>
        <w:widowControl/>
        <w:snapToGrid w:val="0"/>
        <w:spacing w:before="100" w:beforeAutospacing="1" w:after="100" w:afterAutospacing="1" w:line="360" w:lineRule="auto"/>
        <w:ind w:firstLine="424" w:firstLineChars="202"/>
        <w:jc w:val="left"/>
        <w:rPr>
          <w:color w:val="auto"/>
          <w:szCs w:val="21"/>
          <w:highlight w:val="none"/>
        </w:rPr>
      </w:pPr>
      <w:r>
        <w:rPr>
          <w:rFonts w:hint="eastAsia" w:ascii="宋体" w:hAnsi="宋体" w:cs="宋体"/>
          <w:color w:val="auto"/>
          <w:kern w:val="0"/>
          <w:szCs w:val="21"/>
          <w:highlight w:val="none"/>
        </w:rPr>
        <w:t>3、我方不是本采购项目提供整体设计、规范编制或者项目管理、监理、检测等服务的供应商。</w:t>
      </w:r>
    </w:p>
    <w:p>
      <w:pPr>
        <w:widowControl/>
        <w:snapToGrid w:val="0"/>
        <w:spacing w:before="100" w:beforeAutospacing="1" w:after="100" w:afterAutospacing="1" w:line="360" w:lineRule="auto"/>
        <w:ind w:firstLine="424" w:firstLineChars="202"/>
        <w:jc w:val="left"/>
        <w:rPr>
          <w:color w:val="auto"/>
          <w:szCs w:val="21"/>
          <w:highlight w:val="none"/>
        </w:rPr>
      </w:pPr>
      <w:r>
        <w:rPr>
          <w:rFonts w:hint="eastAsia" w:ascii="宋体" w:hAnsi="宋体" w:cs="宋体"/>
          <w:color w:val="auto"/>
          <w:kern w:val="0"/>
          <w:szCs w:val="21"/>
          <w:highlight w:val="none"/>
        </w:rPr>
        <w:t>4、我方</w:t>
      </w:r>
      <w:r>
        <w:rPr>
          <w:rFonts w:hint="eastAsia" w:ascii="宋体" w:hAnsi="宋体" w:cs="宋体"/>
          <w:bCs/>
          <w:color w:val="auto"/>
          <w:kern w:val="0"/>
          <w:szCs w:val="21"/>
          <w:highlight w:val="none"/>
        </w:rPr>
        <w:t>未被“信用中国”（www.creditchina.gov.cn)、中国政府采购网（www.ccgp.gov.cn）列入失信被执行人、重大税收违法案件当事人名单、政府采购严重违法失信行为记录名单。</w:t>
      </w:r>
    </w:p>
    <w:p>
      <w:pPr>
        <w:widowControl/>
        <w:snapToGrid w:val="0"/>
        <w:spacing w:before="100" w:beforeAutospacing="1" w:after="100" w:afterAutospacing="1" w:line="360" w:lineRule="auto"/>
        <w:ind w:firstLine="424" w:firstLineChars="202"/>
        <w:jc w:val="left"/>
        <w:rPr>
          <w:color w:val="auto"/>
          <w:szCs w:val="21"/>
          <w:highlight w:val="none"/>
        </w:rPr>
      </w:pPr>
      <w:r>
        <w:rPr>
          <w:rFonts w:hint="eastAsia" w:ascii="宋体" w:hAnsi="宋体" w:cs="宋体"/>
          <w:bCs/>
          <w:color w:val="auto"/>
          <w:kern w:val="0"/>
          <w:szCs w:val="21"/>
          <w:highlight w:val="none"/>
        </w:rPr>
        <w:t>我方对上述声明的真实性负责。</w:t>
      </w:r>
      <w:r>
        <w:rPr>
          <w:rFonts w:hint="eastAsia" w:ascii="宋体" w:hAnsi="宋体" w:cs="宋体"/>
          <w:color w:val="auto"/>
          <w:kern w:val="0"/>
          <w:szCs w:val="21"/>
          <w:highlight w:val="none"/>
        </w:rPr>
        <w:t>本次招标采购活动中，如有违法、违规、弄虚作假行为，所造成的损失、不良后果及法律责任，一律由我方承担。</w:t>
      </w:r>
    </w:p>
    <w:p>
      <w:pPr>
        <w:spacing w:line="360" w:lineRule="auto"/>
        <w:ind w:firstLine="420"/>
        <w:rPr>
          <w:rFonts w:ascii="宋体" w:hAnsi="宋体"/>
          <w:b/>
          <w:color w:val="auto"/>
          <w:highlight w:val="none"/>
        </w:rPr>
      </w:pPr>
    </w:p>
    <w:p>
      <w:pPr>
        <w:spacing w:line="360" w:lineRule="auto"/>
        <w:ind w:firstLine="420"/>
        <w:rPr>
          <w:rFonts w:ascii="宋体" w:hAnsi="宋体"/>
          <w:b/>
          <w:color w:val="auto"/>
          <w:highlight w:val="none"/>
        </w:rPr>
      </w:pPr>
    </w:p>
    <w:p>
      <w:pPr>
        <w:spacing w:line="360" w:lineRule="auto"/>
        <w:ind w:firstLine="420"/>
        <w:rPr>
          <w:rFonts w:ascii="宋体" w:hAnsi="宋体"/>
          <w:b/>
          <w:color w:val="auto"/>
          <w:highlight w:val="none"/>
        </w:rPr>
      </w:pPr>
      <w:r>
        <w:rPr>
          <w:rFonts w:hint="eastAsia" w:ascii="宋体" w:hAnsi="宋体"/>
          <w:b/>
          <w:color w:val="auto"/>
          <w:highlight w:val="none"/>
        </w:rPr>
        <w:t>特此声明！</w:t>
      </w:r>
    </w:p>
    <w:p>
      <w:pPr>
        <w:snapToGrid w:val="0"/>
        <w:spacing w:before="120" w:beforeLines="50" w:line="360" w:lineRule="auto"/>
        <w:ind w:firstLine="424" w:firstLineChars="202"/>
        <w:rPr>
          <w:rFonts w:ascii="宋体" w:hAnsi="宋体" w:cs="宋体"/>
          <w:color w:val="auto"/>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color w:val="auto"/>
          <w:highlight w:val="none"/>
        </w:rPr>
        <w:sectPr>
          <w:pgSz w:w="11907" w:h="16840"/>
          <w:pgMar w:top="1361" w:right="1474" w:bottom="1242" w:left="1474" w:header="720" w:footer="720" w:gutter="0"/>
          <w:cols w:space="720" w:num="1"/>
          <w:docGrid w:linePitch="285" w:charSpace="0"/>
        </w:sectPr>
      </w:pPr>
      <w:r>
        <w:rPr>
          <w:rFonts w:hint="eastAsia" w:ascii="宋体"/>
          <w:bCs/>
          <w:color w:val="auto"/>
          <w:szCs w:val="21"/>
          <w:highlight w:val="none"/>
        </w:rPr>
        <w:t>备注：若联合体参加投标，投标人盖章处盖联合牵头人公章。</w:t>
      </w:r>
    </w:p>
    <w:p>
      <w:pPr>
        <w:rPr>
          <w:rFonts w:ascii="宋体" w:hAnsi="宋体" w:cs="宋体"/>
          <w:b/>
          <w:color w:val="auto"/>
          <w:highlight w:val="none"/>
        </w:rPr>
      </w:pPr>
      <w:r>
        <w:rPr>
          <w:rFonts w:hint="eastAsia" w:ascii="宋体" w:hAnsi="宋体" w:cs="宋体"/>
          <w:b/>
          <w:color w:val="auto"/>
          <w:highlight w:val="none"/>
        </w:rPr>
        <w:t>格式三：中小企业声明函</w:t>
      </w:r>
    </w:p>
    <w:p>
      <w:pPr>
        <w:spacing w:line="360" w:lineRule="auto"/>
        <w:rPr>
          <w:rFonts w:ascii="宋体" w:hAnsi="宋体" w:cs="宋体"/>
          <w:b/>
          <w:color w:val="auto"/>
          <w:spacing w:val="6"/>
          <w:szCs w:val="21"/>
          <w:highlight w:val="none"/>
        </w:rPr>
      </w:pPr>
    </w:p>
    <w:p>
      <w:pPr>
        <w:jc w:val="center"/>
        <w:rPr>
          <w:b/>
          <w:color w:val="auto"/>
          <w:highlight w:val="none"/>
        </w:rPr>
      </w:pPr>
      <w:r>
        <w:rPr>
          <w:rFonts w:hint="eastAsia" w:ascii="宋体" w:hAnsi="宋体" w:cs="宋体"/>
          <w:b/>
          <w:color w:val="auto"/>
          <w:spacing w:val="-4"/>
          <w:sz w:val="24"/>
          <w:highlight w:val="none"/>
        </w:rPr>
        <w:t>中小企业声明函（服务）</w:t>
      </w:r>
    </w:p>
    <w:p>
      <w:pPr>
        <w:spacing w:line="360" w:lineRule="auto"/>
        <w:rPr>
          <w:rFonts w:ascii="宋体" w:hAnsi="宋体"/>
          <w:b/>
          <w:color w:val="auto"/>
          <w:spacing w:val="6"/>
          <w:szCs w:val="21"/>
          <w:highlight w:val="none"/>
        </w:rPr>
      </w:pP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本公司郑重声明，根据《政府采购促进中小企业发展管理办法》（财库﹝2020﹞46 号）的规定，本公司参加</w:t>
      </w:r>
      <w:r>
        <w:rPr>
          <w:rFonts w:hint="eastAsia" w:ascii="宋体" w:hAnsi="宋体" w:cs="宋体"/>
          <w:i/>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i/>
          <w:color w:val="auto"/>
          <w:kern w:val="0"/>
          <w:szCs w:val="21"/>
          <w:highlight w:val="none"/>
          <w:u w:val="single"/>
        </w:rPr>
        <w:t>（项目名称）</w:t>
      </w:r>
      <w:r>
        <w:rPr>
          <w:rFonts w:hint="eastAsia" w:ascii="宋体" w:hAnsi="宋体" w:cs="宋体"/>
          <w:color w:val="auto"/>
          <w:kern w:val="0"/>
          <w:szCs w:val="21"/>
          <w:highlight w:val="none"/>
        </w:rPr>
        <w:t>采购活动，提供的服务全部由符合政策要求的中小企业承接。相关企业的具体情况如下：</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宁波市城市治理“一网通管”平台—城市运行管理服务系统项目</w:t>
      </w:r>
      <w:r>
        <w:rPr>
          <w:rFonts w:hint="eastAsia" w:ascii="宋体" w:hAnsi="宋体" w:cs="宋体"/>
          <w:color w:val="auto"/>
          <w:kern w:val="0"/>
          <w:szCs w:val="21"/>
          <w:highlight w:val="none"/>
        </w:rPr>
        <w:t>，属于</w:t>
      </w:r>
      <w:r>
        <w:rPr>
          <w:rFonts w:hint="eastAsia" w:ascii="宋体" w:hAnsi="宋体" w:cs="宋体"/>
          <w:b/>
          <w:bCs/>
          <w:color w:val="auto"/>
          <w:kern w:val="0"/>
          <w:szCs w:val="21"/>
          <w:highlight w:val="none"/>
          <w:u w:val="single"/>
        </w:rPr>
        <w:t>软件和信息技术服务业</w:t>
      </w:r>
      <w:r>
        <w:rPr>
          <w:rFonts w:hint="eastAsia" w:ascii="宋体" w:hAnsi="宋体" w:cs="宋体"/>
          <w:color w:val="auto"/>
          <w:kern w:val="0"/>
          <w:szCs w:val="21"/>
          <w:highlight w:val="none"/>
        </w:rPr>
        <w:t>；承接企业为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，从业人员人，营业收入为万元，资产总额为万元</w:t>
      </w:r>
      <w:r>
        <w:rPr>
          <w:rFonts w:hint="eastAsia" w:ascii="宋体" w:hAnsi="宋体" w:cs="宋体"/>
          <w:color w:val="auto"/>
          <w:kern w:val="0"/>
          <w:szCs w:val="21"/>
          <w:highlight w:val="none"/>
          <w:vertAlign w:val="superscript"/>
        </w:rPr>
        <w:t>1</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 xml:space="preserve">。 </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本企业对上述声明内容的真实性负责。如有虚假，将依法承担相应责任。  </w:t>
      </w:r>
    </w:p>
    <w:p>
      <w:pPr>
        <w:pStyle w:val="13"/>
        <w:rPr>
          <w:rFonts w:ascii="宋体" w:hAnsi="宋体" w:cs="宋体"/>
          <w:color w:val="auto"/>
          <w:sz w:val="21"/>
          <w:szCs w:val="21"/>
          <w:highlight w:val="none"/>
        </w:rPr>
      </w:pPr>
    </w:p>
    <w:p>
      <w:pPr>
        <w:widowControl/>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企业名称（盖章）： </w:t>
      </w:r>
    </w:p>
    <w:p>
      <w:pPr>
        <w:widowControl/>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日 期： </w:t>
      </w:r>
    </w:p>
    <w:p>
      <w:pPr>
        <w:widowControl/>
        <w:tabs>
          <w:tab w:val="left" w:pos="606"/>
        </w:tabs>
        <w:spacing w:line="360" w:lineRule="auto"/>
        <w:jc w:val="left"/>
        <w:rPr>
          <w:rFonts w:ascii="宋体" w:hAnsi="宋体" w:cs="宋体"/>
          <w:color w:val="auto"/>
          <w:spacing w:val="-6"/>
          <w:kern w:val="0"/>
          <w:szCs w:val="21"/>
          <w:highlight w:val="none"/>
          <w:vertAlign w:val="superscript"/>
        </w:rPr>
      </w:pPr>
    </w:p>
    <w:p>
      <w:pPr>
        <w:widowControl/>
        <w:tabs>
          <w:tab w:val="left" w:pos="606"/>
        </w:tabs>
        <w:spacing w:line="360" w:lineRule="auto"/>
        <w:jc w:val="left"/>
        <w:rPr>
          <w:rFonts w:ascii="宋体" w:hAnsi="宋体" w:cs="宋体"/>
          <w:color w:val="auto"/>
          <w:kern w:val="0"/>
          <w:szCs w:val="21"/>
          <w:highlight w:val="none"/>
        </w:rPr>
      </w:pPr>
      <w:r>
        <w:rPr>
          <w:rFonts w:hint="eastAsia" w:ascii="宋体" w:hAnsi="宋体" w:cs="宋体"/>
          <w:color w:val="auto"/>
          <w:spacing w:val="-6"/>
          <w:kern w:val="0"/>
          <w:szCs w:val="21"/>
          <w:highlight w:val="none"/>
        </w:rPr>
        <w:t>1</w:t>
      </w:r>
      <w:r>
        <w:rPr>
          <w:rFonts w:hint="eastAsia" w:ascii="宋体" w:hAnsi="宋体" w:cs="宋体"/>
          <w:color w:val="auto"/>
          <w:kern w:val="0"/>
          <w:szCs w:val="21"/>
          <w:highlight w:val="none"/>
        </w:rPr>
        <w:t>、从业人员、营业收入、资产总额填报上一年度数据，无上一年度数据的新成立企业可不填报。</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软件和信息技术服务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3、若联合体参加投标，投标人盖章处盖联合牵头人公章。</w:t>
      </w:r>
    </w:p>
    <w:p>
      <w:pPr>
        <w:spacing w:line="360" w:lineRule="auto"/>
        <w:rPr>
          <w:rFonts w:ascii="宋体" w:hAnsi="宋体" w:cs="宋体"/>
          <w:color w:val="auto"/>
          <w:szCs w:val="21"/>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pacing w:val="6"/>
          <w:szCs w:val="21"/>
          <w:highlight w:val="none"/>
        </w:rPr>
      </w:pPr>
      <w:r>
        <w:rPr>
          <w:rFonts w:hint="eastAsia" w:hAnsi="宋体" w:cs="宋体"/>
          <w:color w:val="auto"/>
          <w:sz w:val="24"/>
          <w:highlight w:val="none"/>
        </w:rPr>
        <w:br w:type="page"/>
      </w:r>
      <w:r>
        <w:rPr>
          <w:rFonts w:hint="eastAsia" w:ascii="宋体" w:hAnsi="宋体" w:cs="宋体"/>
          <w:b/>
          <w:color w:val="auto"/>
          <w:highlight w:val="none"/>
        </w:rPr>
        <w:t>格式四：</w:t>
      </w:r>
      <w:r>
        <w:rPr>
          <w:rFonts w:hint="eastAsia" w:ascii="宋体" w:hAnsi="宋体" w:cs="宋体"/>
          <w:b/>
          <w:color w:val="auto"/>
          <w:szCs w:val="21"/>
          <w:highlight w:val="none"/>
        </w:rPr>
        <w:t>残疾人福利性单位声明函</w:t>
      </w:r>
    </w:p>
    <w:p>
      <w:pPr>
        <w:pStyle w:val="15"/>
        <w:spacing w:line="520" w:lineRule="exact"/>
        <w:jc w:val="center"/>
        <w:rPr>
          <w:rFonts w:hAnsi="宋体" w:cs="宋体"/>
          <w:b/>
          <w:color w:val="auto"/>
          <w:sz w:val="21"/>
          <w:szCs w:val="21"/>
          <w:highlight w:val="none"/>
        </w:rPr>
      </w:pPr>
    </w:p>
    <w:p>
      <w:pPr>
        <w:pStyle w:val="15"/>
        <w:spacing w:before="156" w:after="156" w:line="520" w:lineRule="exact"/>
        <w:jc w:val="center"/>
        <w:rPr>
          <w:b/>
          <w:color w:val="auto"/>
          <w:sz w:val="21"/>
          <w:szCs w:val="21"/>
          <w:highlight w:val="none"/>
        </w:rPr>
      </w:pPr>
      <w:r>
        <w:rPr>
          <w:rFonts w:hint="eastAsia"/>
          <w:b/>
          <w:color w:val="auto"/>
          <w:sz w:val="21"/>
          <w:szCs w:val="21"/>
          <w:highlight w:val="none"/>
        </w:rPr>
        <w:t>残疾人福利性单位声明函</w:t>
      </w:r>
    </w:p>
    <w:p>
      <w:pPr>
        <w:spacing w:line="588" w:lineRule="exact"/>
        <w:rPr>
          <w:rFonts w:ascii="宋体" w:hAnsi="宋体"/>
          <w:b/>
          <w:color w:val="auto"/>
          <w:spacing w:val="6"/>
          <w:szCs w:val="21"/>
          <w:highlight w:val="none"/>
        </w:rPr>
      </w:pP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Cs w:val="21"/>
          <w:highlight w:val="none"/>
        </w:rPr>
      </w:pPr>
    </w:p>
    <w:p>
      <w:pPr>
        <w:spacing w:line="588" w:lineRule="exact"/>
        <w:ind w:firstLine="444" w:firstLineChars="200"/>
        <w:rPr>
          <w:rFonts w:ascii="宋体" w:hAnsi="宋体"/>
          <w:color w:val="auto"/>
          <w:spacing w:val="6"/>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rPr>
          <w:rFonts w:ascii="宋体" w:hAnsi="宋体" w:cs="宋体"/>
          <w:b/>
          <w:color w:val="auto"/>
          <w:highlight w:val="none"/>
        </w:rPr>
        <w:sectPr>
          <w:pgSz w:w="11907" w:h="16840"/>
          <w:pgMar w:top="1361" w:right="1474" w:bottom="1242" w:left="1474" w:header="720" w:footer="720" w:gutter="0"/>
          <w:cols w:space="720" w:num="1"/>
          <w:docGrid w:linePitch="285" w:charSpace="0"/>
        </w:sectPr>
      </w:pPr>
    </w:p>
    <w:p>
      <w:pPr>
        <w:rPr>
          <w:rFonts w:ascii="宋体" w:hAnsi="宋体" w:cs="宋体"/>
          <w:b/>
          <w:color w:val="auto"/>
          <w:highlight w:val="none"/>
        </w:rPr>
      </w:pPr>
      <w:r>
        <w:rPr>
          <w:rFonts w:hint="eastAsia" w:ascii="宋体" w:hAnsi="宋体" w:cs="宋体"/>
          <w:b/>
          <w:color w:val="auto"/>
          <w:highlight w:val="none"/>
        </w:rPr>
        <w:t>格式五：分包意向协议</w:t>
      </w:r>
    </w:p>
    <w:p>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bidi="ar"/>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w:t>
      </w:r>
      <w:r>
        <w:rPr>
          <w:rFonts w:hint="eastAsia" w:ascii="仿宋" w:hAnsi="仿宋" w:eastAsia="仿宋" w:cs="仿宋"/>
          <w:b/>
          <w:color w:val="auto"/>
          <w:sz w:val="24"/>
          <w:highlight w:val="none"/>
          <w:lang w:bidi="ar"/>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lang w:bidi="ar"/>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本公司为：（</w:t>
      </w:r>
      <w:r>
        <w:rPr>
          <w:rFonts w:hint="eastAsia" w:ascii="仿宋" w:hAnsi="仿宋" w:eastAsia="仿宋" w:cs="仿宋_GB2312"/>
          <w:color w:val="auto"/>
          <w:kern w:val="0"/>
          <w:sz w:val="24"/>
          <w:highlight w:val="none"/>
          <w:u w:val="single"/>
          <w:lang w:val="zh-CN"/>
        </w:rPr>
        <w:t>中型/小型/微型</w:t>
      </w:r>
      <w:r>
        <w:rPr>
          <w:rFonts w:hint="eastAsia" w:ascii="仿宋" w:hAnsi="仿宋" w:eastAsia="仿宋" w:cs="仿宋_GB2312"/>
          <w:color w:val="auto"/>
          <w:kern w:val="0"/>
          <w:sz w:val="24"/>
          <w:highlight w:val="none"/>
          <w:lang w:val="zh-CN"/>
        </w:rPr>
        <w:t>）企业，若成为</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招项目编号：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lang w:val="zh-CN"/>
        </w:rPr>
        <w:t>为：（</w:t>
      </w:r>
      <w:r>
        <w:rPr>
          <w:rFonts w:hint="eastAsia" w:ascii="仿宋" w:hAnsi="仿宋" w:eastAsia="仿宋" w:cs="仿宋_GB2312"/>
          <w:color w:val="auto"/>
          <w:kern w:val="0"/>
          <w:sz w:val="24"/>
          <w:highlight w:val="none"/>
          <w:u w:val="single"/>
          <w:lang w:val="zh-CN"/>
        </w:rPr>
        <w:t>小型/微型</w:t>
      </w:r>
      <w:r>
        <w:rPr>
          <w:rFonts w:hint="eastAsia" w:ascii="仿宋" w:hAnsi="仿宋" w:eastAsia="仿宋" w:cs="仿宋_GB2312"/>
          <w:color w:val="auto"/>
          <w:kern w:val="0"/>
          <w:sz w:val="24"/>
          <w:highlight w:val="none"/>
          <w:lang w:val="zh-CN"/>
        </w:rPr>
        <w:t>）企业。</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tabs>
          <w:tab w:val="left" w:pos="432"/>
        </w:tabs>
        <w:snapToGrid w:val="0"/>
        <w:spacing w:line="360" w:lineRule="auto"/>
        <w:ind w:firstLine="228" w:firstLineChars="95"/>
        <w:rPr>
          <w:rFonts w:ascii="仿宋" w:hAnsi="仿宋" w:eastAsia="仿宋"/>
          <w:color w:val="auto"/>
          <w:highlight w:val="none"/>
        </w:rPr>
      </w:pPr>
      <w:r>
        <w:rPr>
          <w:rFonts w:hint="eastAsia" w:ascii="仿宋" w:hAnsi="仿宋" w:eastAsia="仿宋" w:cs="仿宋_GB2312"/>
          <w:color w:val="auto"/>
          <w:kern w:val="0"/>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66" w:firstLineChars="23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ind w:firstLine="480" w:firstLineChars="200"/>
        <w:rPr>
          <w:color w:val="auto"/>
          <w:highlight w:val="none"/>
        </w:rPr>
      </w:pPr>
      <w:r>
        <w:rPr>
          <w:rFonts w:hint="eastAsia" w:ascii="仿宋" w:hAnsi="仿宋" w:eastAsia="仿宋" w:cs="仿宋"/>
          <w:color w:val="auto"/>
          <w:sz w:val="24"/>
          <w:highlight w:val="none"/>
          <w:lang w:bidi="ar"/>
        </w:rPr>
        <w:t>中小企业合同金额达到</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%，小微企业合同金额达到</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w:t>
      </w:r>
      <w:r>
        <w:rPr>
          <w:rFonts w:hint="eastAsia" w:ascii="仿宋" w:hAnsi="仿宋" w:eastAsia="仿宋" w:cs="仿宋"/>
          <w:color w:val="auto"/>
          <w:kern w:val="0"/>
          <w:sz w:val="24"/>
          <w:highlight w:val="none"/>
          <w:lang w:bidi="ar"/>
        </w:rPr>
        <w:t xml:space="preserve">  。</w:t>
      </w:r>
    </w:p>
    <w:p>
      <w:pPr>
        <w:snapToGrid w:val="0"/>
        <w:spacing w:line="360" w:lineRule="auto"/>
        <w:ind w:left="5040" w:hanging="5040" w:hangingChars="2100"/>
        <w:jc w:val="left"/>
        <w:rPr>
          <w:rFonts w:ascii="仿宋" w:hAnsi="仿宋" w:eastAsia="仿宋" w:cs="仿宋_GB2312"/>
          <w:color w:val="auto"/>
          <w:kern w:val="0"/>
          <w:sz w:val="24"/>
          <w:highlight w:val="none"/>
          <w:lang w:val="zh-CN"/>
        </w:rPr>
      </w:pPr>
    </w:p>
    <w:p>
      <w:pPr>
        <w:snapToGrid w:val="0"/>
        <w:spacing w:line="360" w:lineRule="auto"/>
        <w:ind w:left="5040" w:hanging="5040" w:hangingChars="21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w:t>
      </w:r>
      <w:r>
        <w:rPr>
          <w:rFonts w:hint="eastAsia" w:ascii="仿宋" w:hAnsi="仿宋" w:eastAsia="仿宋" w:cs="仿宋_GB2312"/>
          <w:color w:val="auto"/>
          <w:kern w:val="0"/>
          <w:sz w:val="24"/>
          <w:highlight w:val="none"/>
        </w:rPr>
        <w:t>盖章</w:t>
      </w:r>
      <w:r>
        <w:rPr>
          <w:rFonts w:ascii="仿宋" w:hAnsi="仿宋" w:eastAsia="仿宋" w:cs="仿宋_GB2312"/>
          <w:color w:val="auto"/>
          <w:kern w:val="0"/>
          <w:sz w:val="24"/>
          <w:highlight w:val="none"/>
          <w:lang w:val="zh-CN"/>
        </w:rPr>
        <w:t>)：</w:t>
      </w:r>
    </w:p>
    <w:p>
      <w:pPr>
        <w:snapToGrid w:val="0"/>
        <w:spacing w:line="360" w:lineRule="auto"/>
        <w:ind w:left="5027" w:leftChars="2394"/>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rPr>
        <w:t>盖章</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jc w:val="center"/>
        <w:rPr>
          <w:rFonts w:ascii="仿宋" w:eastAsia="仿宋"/>
          <w:color w:val="auto"/>
          <w:highlight w:val="none"/>
        </w:rPr>
      </w:pPr>
      <w:r>
        <w:rPr>
          <w:rFonts w:ascii="仿宋" w:hAnsi="仿宋" w:eastAsia="仿宋" w:cs="仿宋_GB2312"/>
          <w:color w:val="auto"/>
          <w:kern w:val="0"/>
          <w:sz w:val="24"/>
          <w:highlight w:val="none"/>
          <w:lang w:val="zh-CN"/>
        </w:rPr>
        <w:t xml:space="preserve">                                        日期：  年  月   日</w:t>
      </w:r>
    </w:p>
    <w:p>
      <w:pPr>
        <w:rPr>
          <w:rFonts w:ascii="宋体" w:hAnsi="宋体" w:cs="宋体"/>
          <w:b/>
          <w:color w:val="auto"/>
          <w:highlight w:val="none"/>
        </w:rPr>
      </w:pPr>
    </w:p>
    <w:p>
      <w:pPr>
        <w:rPr>
          <w:rFonts w:ascii="宋体" w:hAnsi="宋体" w:cs="宋体"/>
          <w:b/>
          <w:color w:val="auto"/>
          <w:highlight w:val="none"/>
        </w:rPr>
      </w:pPr>
    </w:p>
    <w:p>
      <w:pPr>
        <w:rPr>
          <w:rFonts w:ascii="宋体" w:hAnsi="宋体" w:cs="宋体"/>
          <w:b/>
          <w:color w:val="auto"/>
          <w:highlight w:val="none"/>
        </w:rPr>
      </w:pPr>
    </w:p>
    <w:p>
      <w:pPr>
        <w:rPr>
          <w:rFonts w:ascii="宋体" w:hAnsi="宋体" w:cs="宋体"/>
          <w:b/>
          <w:color w:val="auto"/>
          <w:highlight w:val="none"/>
        </w:rPr>
        <w:sectPr>
          <w:pgSz w:w="11907" w:h="16840"/>
          <w:pgMar w:top="1361" w:right="1474" w:bottom="1242" w:left="1474" w:header="720" w:footer="720" w:gutter="0"/>
          <w:cols w:space="720" w:num="1"/>
          <w:docGrid w:linePitch="285" w:charSpace="0"/>
        </w:sectPr>
      </w:pPr>
    </w:p>
    <w:p>
      <w:pPr>
        <w:rPr>
          <w:rFonts w:ascii="宋体" w:hAnsi="宋体" w:cs="宋体"/>
          <w:b/>
          <w:color w:val="auto"/>
          <w:highlight w:val="none"/>
        </w:rPr>
        <w:sectPr>
          <w:type w:val="continuous"/>
          <w:pgSz w:w="11907" w:h="16840"/>
          <w:pgMar w:top="1361" w:right="1474" w:bottom="1242" w:left="1474" w:header="720" w:footer="720" w:gutter="0"/>
          <w:cols w:space="720" w:num="1"/>
          <w:docGrid w:linePitch="285" w:charSpace="0"/>
        </w:sectPr>
      </w:pPr>
    </w:p>
    <w:p>
      <w:pPr>
        <w:pStyle w:val="34"/>
        <w:spacing w:line="360" w:lineRule="auto"/>
        <w:rPr>
          <w:rFonts w:ascii="宋体" w:hAnsi="宋体" w:cs="宋体"/>
          <w:b/>
          <w:color w:val="auto"/>
          <w:kern w:val="2"/>
          <w:szCs w:val="24"/>
          <w:highlight w:val="none"/>
        </w:rPr>
      </w:pPr>
      <w:r>
        <w:rPr>
          <w:rFonts w:hint="eastAsia" w:ascii="宋体" w:hAnsi="宋体" w:cs="宋体"/>
          <w:b/>
          <w:color w:val="auto"/>
          <w:kern w:val="2"/>
          <w:szCs w:val="24"/>
          <w:highlight w:val="none"/>
        </w:rPr>
        <w:t>格式六：联合体协议书</w:t>
      </w:r>
    </w:p>
    <w:p>
      <w:pPr>
        <w:spacing w:line="360" w:lineRule="auto"/>
        <w:jc w:val="center"/>
        <w:rPr>
          <w:b/>
          <w:bCs/>
          <w:color w:val="auto"/>
          <w:sz w:val="28"/>
          <w:szCs w:val="22"/>
          <w:highlight w:val="none"/>
        </w:rPr>
      </w:pPr>
      <w:r>
        <w:rPr>
          <w:rFonts w:hint="eastAsia"/>
          <w:b/>
          <w:bCs/>
          <w:color w:val="auto"/>
          <w:sz w:val="28"/>
          <w:szCs w:val="22"/>
          <w:highlight w:val="none"/>
        </w:rPr>
        <w:t>联合体协议书</w:t>
      </w:r>
    </w:p>
    <w:p>
      <w:pPr>
        <w:spacing w:line="400" w:lineRule="atLeast"/>
        <w:ind w:firstLine="360"/>
        <w:rPr>
          <w:color w:val="auto"/>
          <w:szCs w:val="21"/>
          <w:highlight w:val="none"/>
        </w:rPr>
      </w:pPr>
      <w:r>
        <w:rPr>
          <w:rFonts w:hint="eastAsia"/>
          <w:color w:val="auto"/>
          <w:szCs w:val="21"/>
          <w:highlight w:val="none"/>
          <w:u w:val="single"/>
        </w:rPr>
        <w:t>(所有成员单位名称)</w:t>
      </w:r>
      <w:r>
        <w:rPr>
          <w:rFonts w:hint="eastAsia"/>
          <w:color w:val="auto"/>
          <w:szCs w:val="21"/>
          <w:highlight w:val="none"/>
        </w:rPr>
        <w:t>自愿组成联合体，共同参加</w:t>
      </w:r>
      <w:r>
        <w:rPr>
          <w:rFonts w:hint="eastAsia"/>
          <w:color w:val="auto"/>
          <w:szCs w:val="21"/>
          <w:highlight w:val="none"/>
          <w:u w:val="single"/>
        </w:rPr>
        <w:t>(项目名称)</w:t>
      </w:r>
      <w:r>
        <w:rPr>
          <w:rFonts w:hint="eastAsia"/>
          <w:color w:val="auto"/>
          <w:szCs w:val="21"/>
          <w:highlight w:val="none"/>
        </w:rPr>
        <w:t>磋商。现就联合体磋商事宜订立如下协议。</w:t>
      </w:r>
    </w:p>
    <w:p>
      <w:pPr>
        <w:spacing w:line="400" w:lineRule="atLeast"/>
        <w:ind w:firstLine="390"/>
        <w:rPr>
          <w:color w:val="auto"/>
          <w:szCs w:val="21"/>
          <w:highlight w:val="none"/>
        </w:rPr>
      </w:pPr>
      <w:r>
        <w:rPr>
          <w:rFonts w:hint="eastAsia"/>
          <w:color w:val="auto"/>
          <w:szCs w:val="21"/>
          <w:highlight w:val="none"/>
        </w:rPr>
        <w:t>1.</w:t>
      </w:r>
      <w:r>
        <w:rPr>
          <w:rFonts w:hint="eastAsia"/>
          <w:color w:val="auto"/>
          <w:szCs w:val="21"/>
          <w:highlight w:val="none"/>
          <w:u w:val="single"/>
        </w:rPr>
        <w:t>(某成员单位名称)</w:t>
      </w:r>
      <w:r>
        <w:rPr>
          <w:rFonts w:hint="eastAsia"/>
          <w:color w:val="auto"/>
          <w:szCs w:val="21"/>
          <w:highlight w:val="none"/>
        </w:rPr>
        <w:t>为牵头单位。</w:t>
      </w:r>
    </w:p>
    <w:p>
      <w:pPr>
        <w:spacing w:line="400" w:lineRule="atLeast"/>
        <w:ind w:firstLine="390"/>
        <w:rPr>
          <w:color w:val="auto"/>
          <w:szCs w:val="21"/>
          <w:highlight w:val="none"/>
        </w:rPr>
      </w:pPr>
      <w:r>
        <w:rPr>
          <w:rFonts w:hint="eastAsia"/>
          <w:color w:val="auto"/>
          <w:szCs w:val="21"/>
          <w:highlight w:val="none"/>
        </w:rPr>
        <w:t>2.联合体牵头单位合法代表联合体各成员负责本采购项目响应文件编制和合同谈判活动，代表联合体提交和接收相关的资料、信息及指示，处理与之有关的一切事务，并负责合同实施阶段的主办、组织和协调工作。</w:t>
      </w:r>
    </w:p>
    <w:p>
      <w:pPr>
        <w:spacing w:line="400" w:lineRule="atLeast"/>
        <w:ind w:firstLine="390"/>
        <w:rPr>
          <w:color w:val="auto"/>
          <w:szCs w:val="21"/>
          <w:highlight w:val="none"/>
        </w:rPr>
      </w:pPr>
      <w:r>
        <w:rPr>
          <w:rFonts w:hint="eastAsia"/>
          <w:color w:val="auto"/>
          <w:szCs w:val="21"/>
          <w:highlight w:val="none"/>
        </w:rPr>
        <w:t>3.联合体将严格按照采购文件的各项要求，递交响应文件，履行合同，并对外承担连带责任。</w:t>
      </w:r>
    </w:p>
    <w:p>
      <w:pPr>
        <w:topLinePunct/>
        <w:spacing w:line="400" w:lineRule="atLeast"/>
        <w:ind w:firstLine="420" w:firstLineChars="200"/>
        <w:rPr>
          <w:color w:val="auto"/>
          <w:szCs w:val="21"/>
          <w:highlight w:val="none"/>
        </w:rPr>
      </w:pPr>
      <w:r>
        <w:rPr>
          <w:rFonts w:hint="eastAsia"/>
          <w:color w:val="auto"/>
          <w:szCs w:val="21"/>
          <w:highlight w:val="none"/>
        </w:rPr>
        <w:t>4.联合体牵头单位代表联合体签署磋商响应文件，联合体牵头单位的所有承诺均认为代表了联合体各成员。</w:t>
      </w:r>
    </w:p>
    <w:p>
      <w:pPr>
        <w:topLinePunct/>
        <w:spacing w:line="400" w:lineRule="atLeast"/>
        <w:ind w:firstLine="420" w:firstLineChars="200"/>
        <w:rPr>
          <w:color w:val="auto"/>
          <w:szCs w:val="21"/>
          <w:highlight w:val="none"/>
        </w:rPr>
      </w:pPr>
      <w:r>
        <w:rPr>
          <w:rFonts w:hint="eastAsia"/>
          <w:color w:val="auto"/>
          <w:szCs w:val="21"/>
          <w:highlight w:val="none"/>
        </w:rPr>
        <w:t>5.联合体各成员单位内部的职责分工如下：</w:t>
      </w:r>
      <w:r>
        <w:rPr>
          <w:rFonts w:hint="eastAsia"/>
          <w:color w:val="auto"/>
          <w:szCs w:val="21"/>
          <w:highlight w:val="none"/>
          <w:u w:val="single"/>
        </w:rPr>
        <w:t>(牵头单位名称)</w:t>
      </w:r>
      <w:r>
        <w:rPr>
          <w:rFonts w:hint="eastAsia"/>
          <w:color w:val="auto"/>
          <w:szCs w:val="21"/>
          <w:highlight w:val="none"/>
        </w:rPr>
        <w:t>承担工作，</w:t>
      </w:r>
      <w:r>
        <w:rPr>
          <w:rFonts w:hint="eastAsia"/>
          <w:color w:val="auto"/>
          <w:highlight w:val="none"/>
        </w:rPr>
        <w:t>所承担工作的金额占到联合体协议总金额的%</w:t>
      </w:r>
      <w:r>
        <w:rPr>
          <w:rFonts w:hint="eastAsia"/>
          <w:color w:val="auto"/>
          <w:szCs w:val="21"/>
          <w:highlight w:val="none"/>
        </w:rPr>
        <w:t>；</w:t>
      </w:r>
      <w:r>
        <w:rPr>
          <w:rFonts w:hint="eastAsia"/>
          <w:color w:val="auto"/>
          <w:szCs w:val="21"/>
          <w:highlight w:val="none"/>
          <w:u w:val="single"/>
        </w:rPr>
        <w:t>(成员一名称)</w:t>
      </w:r>
      <w:r>
        <w:rPr>
          <w:rFonts w:hint="eastAsia"/>
          <w:color w:val="auto"/>
          <w:szCs w:val="21"/>
          <w:highlight w:val="none"/>
        </w:rPr>
        <w:t>承担工作，</w:t>
      </w:r>
      <w:r>
        <w:rPr>
          <w:rFonts w:hint="eastAsia"/>
          <w:color w:val="auto"/>
          <w:highlight w:val="none"/>
        </w:rPr>
        <w:t>所承担工作的金额占到联合体协议总金额的</w:t>
      </w:r>
      <w:r>
        <w:rPr>
          <w:rFonts w:hint="eastAsia"/>
          <w:color w:val="auto"/>
          <w:highlight w:val="none"/>
          <w:u w:val="single"/>
        </w:rPr>
        <w:t xml:space="preserve">   </w:t>
      </w:r>
      <w:r>
        <w:rPr>
          <w:rFonts w:hint="eastAsia"/>
          <w:color w:val="auto"/>
          <w:highlight w:val="none"/>
        </w:rPr>
        <w:t>%</w:t>
      </w:r>
      <w:r>
        <w:rPr>
          <w:rFonts w:hint="eastAsia"/>
          <w:color w:val="auto"/>
          <w:szCs w:val="21"/>
          <w:highlight w:val="none"/>
        </w:rPr>
        <w:t>。</w:t>
      </w:r>
    </w:p>
    <w:p>
      <w:pPr>
        <w:topLinePunct/>
        <w:spacing w:line="400" w:lineRule="atLeast"/>
        <w:ind w:firstLine="420" w:firstLineChars="200"/>
        <w:rPr>
          <w:color w:val="auto"/>
          <w:szCs w:val="21"/>
          <w:highlight w:val="none"/>
        </w:rPr>
      </w:pPr>
      <w:r>
        <w:rPr>
          <w:rFonts w:hint="eastAsia"/>
          <w:color w:val="auto"/>
          <w:szCs w:val="21"/>
          <w:highlight w:val="none"/>
        </w:rPr>
        <w:t>6.小型、微型企业的协议合同金额</w:t>
      </w:r>
      <w:r>
        <w:rPr>
          <w:rFonts w:hint="eastAsia"/>
          <w:color w:val="auto"/>
          <w:szCs w:val="21"/>
          <w:highlight w:val="none"/>
          <w:u w:val="single"/>
        </w:rPr>
        <w:t>（填写：是/否）</w:t>
      </w:r>
      <w:r>
        <w:rPr>
          <w:rFonts w:hint="eastAsia"/>
          <w:color w:val="auto"/>
          <w:szCs w:val="21"/>
          <w:highlight w:val="none"/>
        </w:rPr>
        <w:t>占到联合体协议合同总金额30％以上。响应工作和联合体在成交后工作实施过程中的有关费用按各自承担的工作量分摊。</w:t>
      </w:r>
    </w:p>
    <w:p>
      <w:pPr>
        <w:spacing w:line="400" w:lineRule="atLeast"/>
        <w:ind w:firstLine="420" w:firstLineChars="200"/>
        <w:rPr>
          <w:color w:val="auto"/>
          <w:szCs w:val="21"/>
          <w:highlight w:val="none"/>
        </w:rPr>
      </w:pPr>
      <w:r>
        <w:rPr>
          <w:rFonts w:hint="eastAsia"/>
          <w:color w:val="auto"/>
          <w:szCs w:val="21"/>
          <w:highlight w:val="none"/>
        </w:rPr>
        <w:t>7.本协议书自签署之日起生效，合同履行完毕后自动失效。</w:t>
      </w:r>
    </w:p>
    <w:p>
      <w:pPr>
        <w:spacing w:line="400" w:lineRule="atLeast"/>
        <w:ind w:firstLine="420" w:firstLineChars="200"/>
        <w:rPr>
          <w:color w:val="auto"/>
          <w:szCs w:val="21"/>
          <w:highlight w:val="none"/>
        </w:rPr>
      </w:pPr>
      <w:r>
        <w:rPr>
          <w:rFonts w:hint="eastAsia"/>
          <w:color w:val="auto"/>
          <w:szCs w:val="21"/>
          <w:highlight w:val="none"/>
        </w:rPr>
        <w:t>8.本协议书一式份，联合体成员和采购人各执一份。</w:t>
      </w:r>
    </w:p>
    <w:p>
      <w:pPr>
        <w:spacing w:line="400" w:lineRule="atLeast"/>
        <w:ind w:firstLine="420" w:firstLineChars="200"/>
        <w:rPr>
          <w:color w:val="auto"/>
          <w:szCs w:val="21"/>
          <w:highlight w:val="none"/>
        </w:rPr>
      </w:pPr>
    </w:p>
    <w:p>
      <w:pPr>
        <w:topLinePunct/>
        <w:spacing w:line="400" w:lineRule="atLeast"/>
        <w:ind w:firstLine="411" w:firstLineChars="196"/>
        <w:rPr>
          <w:color w:val="auto"/>
          <w:szCs w:val="21"/>
          <w:highlight w:val="none"/>
        </w:rPr>
      </w:pPr>
      <w:r>
        <w:rPr>
          <w:rFonts w:hint="eastAsia"/>
          <w:color w:val="auto"/>
          <w:szCs w:val="21"/>
          <w:highlight w:val="none"/>
        </w:rPr>
        <w:t>牵头单位名称：(盖单位章)</w:t>
      </w:r>
    </w:p>
    <w:p>
      <w:pPr>
        <w:topLinePunct/>
        <w:spacing w:line="400" w:lineRule="atLeast"/>
        <w:ind w:firstLine="411" w:firstLineChars="196"/>
        <w:rPr>
          <w:color w:val="auto"/>
          <w:szCs w:val="21"/>
          <w:highlight w:val="none"/>
        </w:rPr>
      </w:pPr>
      <w:r>
        <w:rPr>
          <w:rFonts w:hint="eastAsia"/>
          <w:color w:val="auto"/>
          <w:szCs w:val="21"/>
          <w:highlight w:val="none"/>
        </w:rPr>
        <w:t>法定代表人：(签字)</w:t>
      </w:r>
    </w:p>
    <w:p>
      <w:pPr>
        <w:topLinePunct/>
        <w:spacing w:line="400" w:lineRule="atLeast"/>
        <w:ind w:firstLine="411" w:firstLineChars="196"/>
        <w:rPr>
          <w:color w:val="auto"/>
          <w:szCs w:val="21"/>
          <w:highlight w:val="none"/>
        </w:rPr>
      </w:pPr>
    </w:p>
    <w:p>
      <w:pPr>
        <w:topLinePunct/>
        <w:spacing w:line="400" w:lineRule="atLeast"/>
        <w:ind w:firstLine="411" w:firstLineChars="196"/>
        <w:rPr>
          <w:color w:val="auto"/>
          <w:szCs w:val="21"/>
          <w:highlight w:val="none"/>
        </w:rPr>
      </w:pPr>
      <w:r>
        <w:rPr>
          <w:rFonts w:hint="eastAsia"/>
          <w:color w:val="auto"/>
          <w:szCs w:val="21"/>
          <w:highlight w:val="none"/>
        </w:rPr>
        <w:t>成员一名称：(盖单位章)</w:t>
      </w:r>
    </w:p>
    <w:p>
      <w:pPr>
        <w:topLinePunct/>
        <w:spacing w:line="400" w:lineRule="atLeast"/>
        <w:ind w:firstLine="411" w:firstLineChars="196"/>
        <w:rPr>
          <w:color w:val="auto"/>
          <w:szCs w:val="21"/>
          <w:highlight w:val="none"/>
        </w:rPr>
      </w:pPr>
      <w:r>
        <w:rPr>
          <w:rFonts w:hint="eastAsia"/>
          <w:color w:val="auto"/>
          <w:szCs w:val="21"/>
          <w:highlight w:val="none"/>
        </w:rPr>
        <w:t>法定代表人：(签字)</w:t>
      </w:r>
    </w:p>
    <w:p>
      <w:pPr>
        <w:topLinePunct/>
        <w:spacing w:line="400" w:lineRule="atLeast"/>
        <w:ind w:firstLine="411" w:firstLineChars="196"/>
        <w:rPr>
          <w:color w:val="auto"/>
          <w:szCs w:val="21"/>
          <w:highlight w:val="none"/>
        </w:rPr>
      </w:pPr>
    </w:p>
    <w:p>
      <w:pPr>
        <w:spacing w:line="440" w:lineRule="exact"/>
        <w:jc w:val="center"/>
        <w:rPr>
          <w:color w:val="auto"/>
          <w:szCs w:val="21"/>
          <w:highlight w:val="none"/>
        </w:rPr>
      </w:pPr>
      <w:r>
        <w:rPr>
          <w:rFonts w:hint="eastAsia"/>
          <w:color w:val="auto"/>
          <w:szCs w:val="21"/>
          <w:highlight w:val="none"/>
        </w:rPr>
        <w:t xml:space="preserve">  年        月       日</w:t>
      </w:r>
    </w:p>
    <w:p>
      <w:pPr>
        <w:rPr>
          <w:color w:val="auto"/>
          <w:szCs w:val="21"/>
          <w:highlight w:val="none"/>
        </w:rPr>
      </w:pPr>
    </w:p>
    <w:p>
      <w:pPr>
        <w:rPr>
          <w:color w:val="auto"/>
          <w:szCs w:val="21"/>
          <w:highlight w:val="none"/>
        </w:rPr>
      </w:pPr>
    </w:p>
    <w:p>
      <w:pPr>
        <w:spacing w:line="360" w:lineRule="auto"/>
        <w:rPr>
          <w:b/>
          <w:color w:val="auto"/>
          <w:szCs w:val="21"/>
          <w:highlight w:val="none"/>
        </w:rPr>
      </w:pPr>
      <w:r>
        <w:rPr>
          <w:rFonts w:hint="eastAsia"/>
          <w:color w:val="auto"/>
          <w:szCs w:val="21"/>
          <w:highlight w:val="none"/>
        </w:rPr>
        <w:t>注：采用联合体形式投标的投标人必须提供联合体协议书；如单独投标无须提供“联合体协议书”。</w:t>
      </w:r>
    </w:p>
    <w:p>
      <w:pPr>
        <w:rPr>
          <w:color w:val="auto"/>
          <w:highlight w:val="none"/>
        </w:rPr>
      </w:pPr>
    </w:p>
    <w:p>
      <w:pPr>
        <w:snapToGrid w:val="0"/>
        <w:spacing w:line="360" w:lineRule="auto"/>
        <w:jc w:val="left"/>
        <w:rPr>
          <w:rFonts w:ascii="宋体"/>
          <w:color w:val="auto"/>
          <w:szCs w:val="21"/>
          <w:highlight w:val="none"/>
        </w:rPr>
      </w:pPr>
    </w:p>
    <w:p>
      <w:pPr>
        <w:snapToGrid w:val="0"/>
        <w:spacing w:line="360" w:lineRule="auto"/>
        <w:jc w:val="left"/>
        <w:rPr>
          <w:rFonts w:ascii="宋体"/>
          <w:color w:val="auto"/>
          <w:szCs w:val="21"/>
          <w:highlight w:val="none"/>
        </w:rPr>
      </w:pPr>
    </w:p>
    <w:p>
      <w:pPr>
        <w:snapToGrid w:val="0"/>
        <w:spacing w:line="360" w:lineRule="auto"/>
        <w:jc w:val="left"/>
        <w:rPr>
          <w:rFonts w:ascii="宋体"/>
          <w:color w:val="auto"/>
          <w:szCs w:val="21"/>
          <w:highlight w:val="none"/>
        </w:rPr>
      </w:pPr>
    </w:p>
    <w:p>
      <w:pPr>
        <w:snapToGrid w:val="0"/>
        <w:spacing w:line="360" w:lineRule="auto"/>
        <w:jc w:val="left"/>
        <w:rPr>
          <w:rFonts w:ascii="宋体" w:hAnsi="宋体" w:cs="宋体"/>
          <w:b/>
          <w:color w:val="auto"/>
          <w:szCs w:val="21"/>
          <w:highlight w:val="none"/>
        </w:rPr>
        <w:sectPr>
          <w:pgSz w:w="11907" w:h="16840"/>
          <w:pgMar w:top="1361" w:right="1474" w:bottom="1242" w:left="1474" w:header="720" w:footer="720" w:gutter="0"/>
          <w:cols w:space="720" w:num="1"/>
          <w:docGrid w:linePitch="285" w:charSpace="0"/>
        </w:sectPr>
      </w:pP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2.商务技术部分包括以下内容：</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（1）符合性自查表(格式见附件)；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（2）供应商响应表(格式见附件)；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（3）法定代表人的身份证明或法定代表人授权书【投标人的代表若为非法定代表人的，必须提交法定代表人授权书及</w:t>
      </w:r>
      <w:r>
        <w:rPr>
          <w:rFonts w:hint="eastAsia" w:ascii="宋体" w:hAnsi="宋体" w:cs="宋体"/>
          <w:bCs/>
          <w:color w:val="auto"/>
          <w:szCs w:val="21"/>
          <w:highlight w:val="none"/>
        </w:rPr>
        <w:t>授权代表距开标日前六个月内任一月内投标人为其所缴纳社保证明（均加盖公章）</w:t>
      </w:r>
      <w:r>
        <w:rPr>
          <w:rFonts w:hint="eastAsia" w:ascii="宋体" w:hAnsi="宋体" w:cs="宋体"/>
          <w:color w:val="auto"/>
          <w:szCs w:val="21"/>
          <w:highlight w:val="none"/>
        </w:rPr>
        <w:t>，格式见附件】；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（4）投标人基本情况说明(格式见附件)；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（5）同类项目业绩表（格式见附件）；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（6）商务条款偏离表(格式见附件)；</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（7）服务条款偏离表(格式见附件)；</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rPr>
        <w:t>整体方案</w:t>
      </w:r>
      <w:r>
        <w:rPr>
          <w:rFonts w:hint="eastAsia" w:ascii="宋体" w:hAnsi="宋体" w:cs="宋体"/>
          <w:color w:val="auto"/>
          <w:szCs w:val="21"/>
          <w:highlight w:val="none"/>
        </w:rPr>
        <w:t>；</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（9）服务能力；</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（10）培训服务；</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（11）重难点分析及解决方案；</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（12）服务承诺；</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（13）人员配备方案（人员配备表</w:t>
      </w:r>
      <w:r>
        <w:rPr>
          <w:rFonts w:hint="eastAsia" w:ascii="宋体" w:hAnsi="宋体" w:cs="宋体"/>
          <w:bCs/>
          <w:color w:val="auto"/>
          <w:szCs w:val="21"/>
          <w:highlight w:val="none"/>
        </w:rPr>
        <w:t>格式见附件</w:t>
      </w:r>
      <w:r>
        <w:rPr>
          <w:rFonts w:hint="eastAsia" w:ascii="宋体" w:hAnsi="宋体" w:cs="宋体"/>
          <w:color w:val="auto"/>
          <w:szCs w:val="21"/>
          <w:highlight w:val="none"/>
        </w:rPr>
        <w:t>）；</w:t>
      </w:r>
    </w:p>
    <w:p>
      <w:pPr>
        <w:tabs>
          <w:tab w:val="left" w:pos="0"/>
        </w:tabs>
        <w:snapToGrid w:val="0"/>
        <w:spacing w:line="360" w:lineRule="auto"/>
        <w:ind w:firstLine="420" w:firstLineChars="200"/>
        <w:jc w:val="left"/>
        <w:rPr>
          <w:color w:val="auto"/>
          <w:highlight w:val="none"/>
        </w:rPr>
      </w:pPr>
      <w:r>
        <w:rPr>
          <w:rFonts w:hint="eastAsia" w:ascii="宋体" w:hAnsi="宋体" w:cs="宋体"/>
          <w:color w:val="auto"/>
          <w:szCs w:val="21"/>
          <w:highlight w:val="none"/>
        </w:rPr>
        <w:t>（14）认证证书（如有请提供）；</w:t>
      </w:r>
    </w:p>
    <w:p>
      <w:pPr>
        <w:tabs>
          <w:tab w:val="left" w:pos="0"/>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（15）投标人认为有必要提交的其他商务技术部分文件和资料。</w:t>
      </w:r>
    </w:p>
    <w:p>
      <w:pPr>
        <w:spacing w:line="360" w:lineRule="auto"/>
        <w:rPr>
          <w:rFonts w:ascii="宋体" w:hAnsi="宋体" w:cs="宋体"/>
          <w:color w:val="auto"/>
          <w:szCs w:val="21"/>
          <w:highlight w:val="none"/>
        </w:rPr>
      </w:pPr>
    </w:p>
    <w:p>
      <w:pPr>
        <w:snapToGrid w:val="0"/>
        <w:spacing w:before="120" w:beforeLines="50" w:line="360" w:lineRule="auto"/>
        <w:ind w:firstLine="424" w:firstLineChars="202"/>
        <w:rPr>
          <w:rFonts w:ascii="宋体" w:hAnsi="宋体" w:cs="宋体"/>
          <w:color w:val="auto"/>
          <w:szCs w:val="21"/>
          <w:highlight w:val="none"/>
        </w:rPr>
      </w:pPr>
    </w:p>
    <w:p>
      <w:pPr>
        <w:widowControl/>
        <w:spacing w:line="360" w:lineRule="auto"/>
        <w:jc w:val="left"/>
        <w:rPr>
          <w:rFonts w:ascii="宋体" w:hAnsi="宋体" w:cs="宋体"/>
          <w:b/>
          <w:color w:val="auto"/>
          <w:szCs w:val="21"/>
          <w:highlight w:val="none"/>
        </w:rPr>
      </w:pPr>
      <w:r>
        <w:rPr>
          <w:rFonts w:hint="eastAsia" w:hAnsi="宋体" w:cs="宋体"/>
          <w:color w:val="auto"/>
          <w:highlight w:val="none"/>
        </w:rPr>
        <w:br w:type="page"/>
      </w:r>
      <w:bookmarkEnd w:id="227"/>
      <w:bookmarkEnd w:id="231"/>
      <w:r>
        <w:rPr>
          <w:rFonts w:hint="eastAsia" w:hAnsi="宋体" w:cs="宋体"/>
          <w:b/>
          <w:color w:val="auto"/>
          <w:highlight w:val="none"/>
        </w:rPr>
        <w:t>格式七：</w:t>
      </w:r>
      <w:r>
        <w:rPr>
          <w:rFonts w:hint="eastAsia" w:ascii="宋体" w:hAnsi="宋体" w:cs="宋体"/>
          <w:b/>
          <w:color w:val="auto"/>
          <w:szCs w:val="21"/>
          <w:highlight w:val="none"/>
        </w:rPr>
        <w:t>符合性自查表</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符合性自查表</w:t>
      </w:r>
    </w:p>
    <w:tbl>
      <w:tblPr>
        <w:tblStyle w:val="35"/>
        <w:tblW w:w="84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5328"/>
        <w:gridCol w:w="18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209" w:type="dxa"/>
            <w:tcBorders>
              <w:tl2br w:val="nil"/>
              <w:tr2bl w:val="nil"/>
            </w:tcBorders>
          </w:tcPr>
          <w:p>
            <w:pPr>
              <w:snapToGrid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5328" w:type="dxa"/>
            <w:tcBorders>
              <w:tl2br w:val="nil"/>
              <w:tr2bl w:val="nil"/>
            </w:tcBorders>
          </w:tcPr>
          <w:p>
            <w:pPr>
              <w:snapToGrid w:val="0"/>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c>
          <w:tcPr>
            <w:tcW w:w="1887" w:type="dxa"/>
            <w:tcBorders>
              <w:tl2br w:val="nil"/>
              <w:tr2bl w:val="nil"/>
            </w:tcBorders>
          </w:tcPr>
          <w:p>
            <w:pPr>
              <w:snapToGrid w:val="0"/>
              <w:spacing w:line="400" w:lineRule="exact"/>
              <w:jc w:val="center"/>
              <w:rPr>
                <w:rFonts w:ascii="宋体" w:hAnsi="宋体" w:eastAsia="宋体" w:cs="宋体"/>
                <w:b/>
                <w:color w:val="auto"/>
                <w:szCs w:val="21"/>
                <w:highlight w:val="none"/>
              </w:rPr>
            </w:pPr>
            <w:r>
              <w:rPr>
                <w:rFonts w:hint="eastAsia" w:ascii="宋体" w:hAnsi="宋体" w:eastAsia="宋体" w:cs="宋体"/>
                <w:b/>
                <w:bCs/>
                <w:color w:val="auto"/>
                <w:szCs w:val="21"/>
                <w:highlight w:val="none"/>
              </w:rPr>
              <w:t>自查结论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（商务技术文件）</w:t>
            </w: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（一）按照采购文件规定要求签署或盖章；</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（二）投标文件有法定代表人签署本人姓名（或印盖本人姓名章），或签署人提供有效的法定代表人授权委托书且授权委托书填写项目齐全的；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rPr>
              <w:t>（三）投标有效期满足招标文件要求的；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（四）带“</w:t>
            </w:r>
            <w:r>
              <w:rPr>
                <w:rFonts w:hint="eastAsia" w:ascii="宋体" w:hAnsi="宋体" w:eastAsia="宋体" w:cs="Times New Roman"/>
                <w:color w:val="auto"/>
                <w:highlight w:val="none"/>
              </w:rPr>
              <w:t>*</w:t>
            </w:r>
            <w:r>
              <w:rPr>
                <w:rFonts w:hint="eastAsia" w:ascii="宋体" w:hAnsi="宋体" w:eastAsia="宋体" w:cs="宋体"/>
                <w:color w:val="auto"/>
                <w:szCs w:val="21"/>
                <w:highlight w:val="none"/>
              </w:rPr>
              <w:t>”的条款满足采购文件要求、已实质性响应采购文件要求且投标文件无采购人不能接受的附加条件的；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（五）投标文件中</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含有采购人不能接受的附加条件的；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（六）投标文件提供资料</w:t>
            </w:r>
            <w:r>
              <w:rPr>
                <w:rFonts w:hint="eastAsia" w:ascii="宋体" w:hAnsi="宋体" w:eastAsia="宋体" w:cs="宋体"/>
                <w:color w:val="auto"/>
                <w:szCs w:val="21"/>
                <w:highlight w:val="none"/>
                <w:lang w:val="en-US" w:eastAsia="zh-CN"/>
              </w:rPr>
              <w:t>不存在</w:t>
            </w:r>
            <w:r>
              <w:rPr>
                <w:rFonts w:hint="eastAsia" w:ascii="宋体" w:hAnsi="宋体" w:eastAsia="宋体" w:cs="宋体"/>
                <w:color w:val="auto"/>
                <w:szCs w:val="21"/>
                <w:highlight w:val="none"/>
              </w:rPr>
              <w:t>内容虚假的；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（七）不存在投标文件的实质性内容未使用中文表述、表述不明确、前后矛盾或者使用计量单位不符合招标文件要求的（经评标委员会认定并允许其当场更正的笔误除外）；</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（八）不存在投标文件的关键内容字迹模糊、无法辨认的，或者投标文件中经修正的内容字迹模糊难以辨认或者修改处未按规定签署、盖章的；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（九）不存在法律、法规和招标文件规定的其他无效情形；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tabs>
                <w:tab w:val="left" w:pos="612"/>
              </w:tabs>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（十）不存在未提供或未如实提供投标货物的技术参数，或者投标文件标明的响应或偏离与事实</w:t>
            </w:r>
            <w:r>
              <w:rPr>
                <w:rFonts w:hint="eastAsia" w:ascii="宋体" w:hAnsi="宋体" w:eastAsia="宋体" w:cs="宋体"/>
                <w:color w:val="auto"/>
                <w:szCs w:val="21"/>
                <w:highlight w:val="none"/>
                <w:lang w:val="en-US" w:eastAsia="zh-CN"/>
              </w:rPr>
              <w:t>相符，</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不存在</w:t>
            </w:r>
            <w:r>
              <w:rPr>
                <w:rFonts w:hint="eastAsia" w:ascii="宋体" w:hAnsi="宋体" w:eastAsia="宋体" w:cs="宋体"/>
                <w:color w:val="auto"/>
                <w:szCs w:val="21"/>
                <w:highlight w:val="none"/>
              </w:rPr>
              <w:t>虚假投标的；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（十一）投标技术方案明确，不存在一个或一个以上备选（替代）投标方案的。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（十二）商务技术文件不存在采购文件所规定的其它无效投标条款要求。</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snapToGrid w:val="0"/>
              <w:spacing w:line="400" w:lineRule="exact"/>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（报价文件）</w:t>
            </w:r>
          </w:p>
        </w:tc>
        <w:tc>
          <w:tcPr>
            <w:tcW w:w="5328" w:type="dxa"/>
            <w:tcBorders>
              <w:tl2br w:val="nil"/>
              <w:tr2bl w:val="nil"/>
            </w:tcBorders>
            <w:vAlign w:val="center"/>
          </w:tcPr>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（一）按照采购文件规定要求签署或盖章；</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（二）采用人民币报价或者按照采购文件标明的币种报价的；</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（三）不存在报价超出最高限价，或者超出采购预算金额，采购人不能支付的情形；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（四）不存在投标报价具有选择性的情形；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（五）投标报价中未出现重大缺项、漏项；</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（七）不存在法律、法规和采购文件规定的其他无效情形；</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eastAsia="宋体" w:cs="宋体"/>
                <w:color w:val="auto"/>
                <w:szCs w:val="21"/>
                <w:highlight w:val="none"/>
              </w:rPr>
            </w:pPr>
          </w:p>
        </w:tc>
        <w:tc>
          <w:tcPr>
            <w:tcW w:w="5328" w:type="dxa"/>
            <w:tcBorders>
              <w:tl2br w:val="nil"/>
              <w:tr2bl w:val="nil"/>
            </w:tcBorders>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（八）报价文件不存在采购文件所规定的其它无效投标条款要求。</w:t>
            </w:r>
          </w:p>
        </w:tc>
        <w:tc>
          <w:tcPr>
            <w:tcW w:w="1887" w:type="dxa"/>
            <w:tcBorders>
              <w:tl2br w:val="nil"/>
              <w:tr2bl w:val="nil"/>
            </w:tcBorders>
            <w:vAlign w:val="center"/>
          </w:tcPr>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□通过 </w:t>
            </w:r>
          </w:p>
          <w:p>
            <w:pPr>
              <w:adjustRightInd w:val="0"/>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□不通过</w:t>
            </w:r>
          </w:p>
        </w:tc>
      </w:tr>
    </w:tbl>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spacing w:line="360" w:lineRule="auto"/>
        <w:jc w:val="left"/>
        <w:rPr>
          <w:rFonts w:ascii="宋体" w:hAnsi="宋体" w:cs="宋体"/>
          <w:b/>
          <w:color w:val="auto"/>
          <w:szCs w:val="21"/>
          <w:highlight w:val="none"/>
        </w:rPr>
      </w:pPr>
      <w:r>
        <w:rPr>
          <w:rFonts w:hint="eastAsia" w:ascii="宋体" w:hAnsi="宋体" w:cs="宋体"/>
          <w:b/>
          <w:color w:val="auto"/>
          <w:highlight w:val="none"/>
        </w:rPr>
        <w:br w:type="page"/>
      </w:r>
      <w:r>
        <w:rPr>
          <w:rFonts w:hint="eastAsia" w:ascii="宋体" w:hAnsi="宋体" w:cs="宋体"/>
          <w:b/>
          <w:color w:val="auto"/>
          <w:highlight w:val="none"/>
        </w:rPr>
        <w:t>格式八：</w:t>
      </w:r>
      <w:r>
        <w:rPr>
          <w:rFonts w:hint="eastAsia" w:ascii="宋体" w:hAnsi="宋体" w:cs="宋体"/>
          <w:b/>
          <w:color w:val="auto"/>
          <w:szCs w:val="21"/>
          <w:highlight w:val="none"/>
        </w:rPr>
        <w:t>供应商响应表</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供应商响应表</w:t>
      </w:r>
    </w:p>
    <w:p>
      <w:pPr>
        <w:rPr>
          <w:rFonts w:ascii="宋体" w:hAnsi="宋体" w:cs="宋体"/>
          <w:color w:val="auto"/>
          <w:highlight w:val="none"/>
        </w:rPr>
      </w:pPr>
    </w:p>
    <w:tbl>
      <w:tblPr>
        <w:tblStyle w:val="35"/>
        <w:tblW w:w="8436"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5"/>
        <w:gridCol w:w="4621"/>
        <w:gridCol w:w="1460"/>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895"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4621" w:type="dxa"/>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自评分</w:t>
            </w: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895" w:type="dxa"/>
            <w:vAlign w:val="center"/>
          </w:tcPr>
          <w:p>
            <w:pPr>
              <w:rPr>
                <w:rFonts w:ascii="宋体" w:hAnsi="宋体" w:cs="宋体"/>
                <w:color w:val="auto"/>
                <w:highlight w:val="none"/>
              </w:rPr>
            </w:pPr>
          </w:p>
        </w:tc>
        <w:tc>
          <w:tcPr>
            <w:tcW w:w="4621" w:type="dxa"/>
            <w:vAlign w:val="center"/>
          </w:tcPr>
          <w:p>
            <w:pPr>
              <w:rPr>
                <w:rFonts w:ascii="宋体" w:hAnsi="宋体" w:cs="宋体"/>
                <w:color w:val="auto"/>
                <w:highlight w:val="none"/>
              </w:rPr>
            </w:pPr>
          </w:p>
        </w:tc>
        <w:tc>
          <w:tcPr>
            <w:tcW w:w="1460" w:type="dxa"/>
            <w:vAlign w:val="center"/>
          </w:tcPr>
          <w:p>
            <w:pPr>
              <w:jc w:val="center"/>
              <w:rPr>
                <w:rFonts w:ascii="宋体" w:hAnsi="宋体" w:cs="宋体"/>
                <w:color w:val="auto"/>
                <w:highlight w:val="none"/>
              </w:rPr>
            </w:pPr>
          </w:p>
        </w:tc>
        <w:tc>
          <w:tcPr>
            <w:tcW w:w="1460" w:type="dxa"/>
            <w:vAlign w:val="center"/>
          </w:tcPr>
          <w:p>
            <w:pPr>
              <w:jc w:val="center"/>
              <w:rPr>
                <w:rFonts w:ascii="宋体" w:hAnsi="宋体" w:cs="宋体"/>
                <w:color w:val="auto"/>
                <w:highlight w:val="none"/>
              </w:rPr>
            </w:pPr>
            <w:r>
              <w:rPr>
                <w:rFonts w:hint="eastAsia" w:ascii="宋体" w:hAnsi="宋体" w:cs="宋体"/>
                <w:color w:val="auto"/>
                <w:highlight w:val="none"/>
              </w:rPr>
              <w:t>见（  ）页</w:t>
            </w:r>
          </w:p>
        </w:tc>
      </w:tr>
    </w:tbl>
    <w:p>
      <w:pPr>
        <w:rPr>
          <w:rFonts w:ascii="宋体" w:hAnsi="宋体" w:cs="宋体"/>
          <w:b/>
          <w:color w:val="auto"/>
          <w:highlight w:val="none"/>
        </w:rPr>
      </w:pPr>
      <w:r>
        <w:rPr>
          <w:rFonts w:hint="eastAsia" w:ascii="宋体" w:hAnsi="宋体" w:cs="宋体"/>
          <w:b/>
          <w:color w:val="auto"/>
          <w:highlight w:val="none"/>
        </w:rPr>
        <w:t>注：根据评分标准内容逐条填写，除价格分外。</w:t>
      </w:r>
    </w:p>
    <w:p>
      <w:pPr>
        <w:rPr>
          <w:rFonts w:ascii="宋体" w:hAnsi="宋体" w:cs="宋体"/>
          <w:color w:val="auto"/>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highlight w:val="none"/>
        </w:rPr>
        <w:t>格式九：</w:t>
      </w:r>
      <w:r>
        <w:rPr>
          <w:rFonts w:hint="eastAsia" w:ascii="宋体" w:hAnsi="宋体" w:cs="宋体"/>
          <w:b/>
          <w:color w:val="auto"/>
          <w:szCs w:val="21"/>
          <w:highlight w:val="none"/>
        </w:rPr>
        <w:t>法定代表人的身份证明</w:t>
      </w: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pPr>
        <w:spacing w:line="480" w:lineRule="auto"/>
        <w:jc w:val="center"/>
        <w:rPr>
          <w:rFonts w:ascii="宋体" w:hAnsi="宋体" w:cs="宋体"/>
          <w:bCs/>
          <w:color w:val="auto"/>
          <w:sz w:val="24"/>
          <w:highlight w:val="none"/>
        </w:rPr>
      </w:pPr>
    </w:p>
    <w:p>
      <w:pP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pPr>
        <w:spacing w:line="480" w:lineRule="auto"/>
        <w:ind w:firstLine="420" w:firstLineChars="200"/>
        <w:rPr>
          <w:rFonts w:ascii="宋体" w:hAnsi="宋体" w:cs="宋体"/>
          <w:color w:val="auto"/>
          <w:szCs w:val="21"/>
          <w:highlight w:val="none"/>
        </w:rPr>
      </w:pPr>
    </w:p>
    <w:p>
      <w:pPr>
        <w:widowControl/>
        <w:spacing w:line="360" w:lineRule="auto"/>
        <w:rPr>
          <w:rFonts w:ascii="Arial" w:hAnsi="Arial"/>
          <w:color w:val="auto"/>
          <w:szCs w:val="21"/>
          <w:highlight w:val="none"/>
        </w:rPr>
      </w:pPr>
      <w:r>
        <w:rPr>
          <w:rFonts w:hint="eastAsia" w:ascii="Arial" w:hAnsi="Arial"/>
          <w:color w:val="auto"/>
          <w:szCs w:val="21"/>
          <w:highlight w:val="none"/>
        </w:rPr>
        <w:t>单位名称：</w:t>
      </w:r>
      <w:r>
        <w:rPr>
          <w:rFonts w:hint="eastAsia" w:ascii="Arial" w:hAnsi="Arial"/>
          <w:color w:val="auto"/>
          <w:szCs w:val="21"/>
          <w:highlight w:val="none"/>
          <w:u w:val="single"/>
        </w:rPr>
        <w:t xml:space="preserve">                                                                     </w:t>
      </w:r>
    </w:p>
    <w:p>
      <w:pPr>
        <w:widowControl/>
        <w:spacing w:line="360" w:lineRule="auto"/>
        <w:rPr>
          <w:rFonts w:ascii="Arial" w:hAnsi="Arial"/>
          <w:color w:val="auto"/>
          <w:szCs w:val="21"/>
          <w:highlight w:val="none"/>
        </w:rPr>
      </w:pPr>
      <w:r>
        <w:rPr>
          <w:rFonts w:hint="eastAsia" w:ascii="Arial" w:hAnsi="Arial"/>
          <w:color w:val="auto"/>
          <w:szCs w:val="21"/>
          <w:highlight w:val="none"/>
        </w:rPr>
        <w:t>地    址：</w:t>
      </w:r>
      <w:r>
        <w:rPr>
          <w:rFonts w:hint="eastAsia" w:ascii="Arial" w:hAnsi="Arial"/>
          <w:color w:val="auto"/>
          <w:szCs w:val="21"/>
          <w:highlight w:val="none"/>
          <w:u w:val="single"/>
        </w:rPr>
        <w:t xml:space="preserve">                                                                     </w:t>
      </w:r>
    </w:p>
    <w:p>
      <w:pPr>
        <w:widowControl/>
        <w:spacing w:line="360" w:lineRule="auto"/>
        <w:rPr>
          <w:rFonts w:ascii="Arial" w:hAnsi="Arial"/>
          <w:color w:val="auto"/>
          <w:szCs w:val="21"/>
          <w:highlight w:val="none"/>
        </w:rPr>
      </w:pPr>
      <w:r>
        <w:rPr>
          <w:rFonts w:hint="eastAsia" w:ascii="Arial" w:hAnsi="Arial"/>
          <w:color w:val="auto"/>
          <w:szCs w:val="21"/>
          <w:highlight w:val="none"/>
        </w:rPr>
        <w:t>姓    名：</w:t>
      </w:r>
      <w:r>
        <w:rPr>
          <w:rFonts w:hint="eastAsia" w:ascii="Arial" w:hAnsi="Arial"/>
          <w:color w:val="auto"/>
          <w:szCs w:val="21"/>
          <w:highlight w:val="none"/>
          <w:u w:val="single"/>
        </w:rPr>
        <w:t xml:space="preserve">                              </w:t>
      </w:r>
      <w:r>
        <w:rPr>
          <w:rFonts w:hint="eastAsia" w:ascii="Arial" w:hAnsi="Arial"/>
          <w:color w:val="auto"/>
          <w:szCs w:val="21"/>
          <w:highlight w:val="none"/>
        </w:rPr>
        <w:t xml:space="preserve"> 性    别：</w:t>
      </w:r>
      <w:r>
        <w:rPr>
          <w:rFonts w:hint="eastAsia" w:ascii="Arial" w:hAnsi="Arial"/>
          <w:color w:val="auto"/>
          <w:szCs w:val="21"/>
          <w:highlight w:val="none"/>
          <w:u w:val="single"/>
        </w:rPr>
        <w:t xml:space="preserve">                            </w:t>
      </w:r>
    </w:p>
    <w:p>
      <w:pPr>
        <w:widowControl/>
        <w:spacing w:line="360" w:lineRule="auto"/>
        <w:rPr>
          <w:rFonts w:ascii="Arial" w:hAnsi="Arial"/>
          <w:color w:val="auto"/>
          <w:szCs w:val="21"/>
          <w:highlight w:val="none"/>
          <w:u w:val="single"/>
        </w:rPr>
      </w:pPr>
      <w:r>
        <w:rPr>
          <w:rFonts w:hint="eastAsia" w:ascii="Arial" w:hAnsi="Arial"/>
          <w:color w:val="auto"/>
          <w:szCs w:val="21"/>
          <w:highlight w:val="none"/>
        </w:rPr>
        <w:t>年    龄：</w:t>
      </w:r>
      <w:r>
        <w:rPr>
          <w:rFonts w:hint="eastAsia" w:ascii="Arial" w:hAnsi="Arial"/>
          <w:color w:val="auto"/>
          <w:szCs w:val="21"/>
          <w:highlight w:val="none"/>
          <w:u w:val="single"/>
        </w:rPr>
        <w:t xml:space="preserve">                              </w:t>
      </w:r>
      <w:r>
        <w:rPr>
          <w:rFonts w:hint="eastAsia" w:ascii="Arial" w:hAnsi="Arial"/>
          <w:color w:val="auto"/>
          <w:szCs w:val="21"/>
          <w:highlight w:val="none"/>
        </w:rPr>
        <w:t xml:space="preserve"> 职    务：</w:t>
      </w:r>
      <w:r>
        <w:rPr>
          <w:rFonts w:hint="eastAsia" w:ascii="Arial" w:hAnsi="Arial"/>
          <w:color w:val="auto"/>
          <w:szCs w:val="21"/>
          <w:highlight w:val="none"/>
          <w:u w:val="single"/>
        </w:rPr>
        <w:t xml:space="preserve">                            </w:t>
      </w:r>
    </w:p>
    <w:p>
      <w:pPr>
        <w:widowControl/>
        <w:spacing w:line="360" w:lineRule="auto"/>
        <w:rPr>
          <w:rFonts w:ascii="Arial" w:hAnsi="Arial"/>
          <w:color w:val="auto"/>
          <w:szCs w:val="21"/>
          <w:highlight w:val="none"/>
        </w:rPr>
      </w:pPr>
      <w:r>
        <w:rPr>
          <w:rFonts w:hint="eastAsia" w:ascii="Arial" w:hAnsi="Arial"/>
          <w:color w:val="auto"/>
          <w:szCs w:val="21"/>
          <w:highlight w:val="none"/>
        </w:rPr>
        <w:t>身份证号码：</w:t>
      </w:r>
      <w:r>
        <w:rPr>
          <w:rFonts w:hint="eastAsia" w:ascii="Arial" w:hAnsi="Arial"/>
          <w:color w:val="auto"/>
          <w:szCs w:val="21"/>
          <w:highlight w:val="none"/>
          <w:u w:val="single"/>
        </w:rPr>
        <w:t xml:space="preserve">                                                                   </w:t>
      </w:r>
    </w:p>
    <w:p>
      <w:pPr>
        <w:widowControl/>
        <w:spacing w:line="360" w:lineRule="auto"/>
        <w:rPr>
          <w:rFonts w:ascii="Arial" w:hAnsi="Arial"/>
          <w:color w:val="auto"/>
          <w:szCs w:val="21"/>
          <w:highlight w:val="none"/>
        </w:rPr>
      </w:pPr>
      <w:r>
        <w:rPr>
          <w:rFonts w:hint="eastAsia" w:ascii="Arial" w:hAnsi="Arial"/>
          <w:color w:val="auto"/>
          <w:szCs w:val="21"/>
          <w:highlight w:val="none"/>
        </w:rPr>
        <w:t xml:space="preserve">    系</w:t>
      </w:r>
      <w:r>
        <w:rPr>
          <w:rFonts w:hint="eastAsia" w:ascii="Arial" w:hAnsi="Arial"/>
          <w:color w:val="auto"/>
          <w:szCs w:val="21"/>
          <w:highlight w:val="none"/>
          <w:u w:val="single"/>
        </w:rPr>
        <w:t xml:space="preserve">              </w:t>
      </w:r>
      <w:r>
        <w:rPr>
          <w:rFonts w:hint="eastAsia" w:ascii="Arial" w:hAnsi="Arial"/>
          <w:color w:val="auto"/>
          <w:szCs w:val="21"/>
          <w:highlight w:val="none"/>
        </w:rPr>
        <w:t xml:space="preserve"> （投标人名称）的法定代表人。</w:t>
      </w:r>
    </w:p>
    <w:p>
      <w:pPr>
        <w:widowControl/>
        <w:spacing w:line="360" w:lineRule="auto"/>
        <w:rPr>
          <w:rFonts w:ascii="Arial" w:hAnsi="Arial"/>
          <w:color w:val="auto"/>
          <w:szCs w:val="21"/>
          <w:highlight w:val="none"/>
        </w:rPr>
      </w:pPr>
      <w:r>
        <w:rPr>
          <w:rFonts w:hint="eastAsia" w:ascii="Arial" w:hAnsi="Arial"/>
          <w:color w:val="auto"/>
          <w:szCs w:val="21"/>
          <w:highlight w:val="none"/>
        </w:rPr>
        <w:t xml:space="preserve">    特此证明。</w:t>
      </w:r>
    </w:p>
    <w:p>
      <w:pPr>
        <w:widowControl/>
        <w:spacing w:line="360" w:lineRule="auto"/>
        <w:rPr>
          <w:rFonts w:ascii="Arial" w:hAnsi="Arial"/>
          <w:color w:val="auto"/>
          <w:szCs w:val="21"/>
          <w:highlight w:val="none"/>
        </w:rPr>
      </w:pPr>
    </w:p>
    <w:p>
      <w:pPr>
        <w:widowControl/>
        <w:spacing w:line="360" w:lineRule="auto"/>
        <w:rPr>
          <w:rFonts w:ascii="Arial" w:hAnsi="Arial"/>
          <w:color w:val="auto"/>
          <w:szCs w:val="21"/>
          <w:highlight w:val="none"/>
        </w:rPr>
      </w:pPr>
      <w:r>
        <w:rPr>
          <w:rFonts w:hint="eastAsia" w:ascii="Arial" w:hAnsi="Arial"/>
          <w:color w:val="auto"/>
          <w:szCs w:val="21"/>
          <w:highlight w:val="none"/>
        </w:rPr>
        <w:t>后附法定代表人身份证正反面复印件，加盖公章。</w:t>
      </w:r>
    </w:p>
    <w:p>
      <w:pPr>
        <w:widowControl/>
        <w:spacing w:line="360" w:lineRule="auto"/>
        <w:rPr>
          <w:rFonts w:ascii="Arial" w:hAnsi="Arial"/>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rPr>
          <w:rFonts w:ascii="宋体" w:hAnsi="宋体" w:cs="宋体"/>
          <w:color w:val="auto"/>
          <w:highlight w:val="none"/>
        </w:rPr>
      </w:pPr>
    </w:p>
    <w:p>
      <w:pPr>
        <w:jc w:val="left"/>
        <w:rPr>
          <w:rFonts w:ascii="宋体" w:hAnsi="宋体" w:cs="宋体"/>
          <w:b/>
          <w:color w:val="auto"/>
          <w:sz w:val="32"/>
          <w:szCs w:val="32"/>
          <w:highlight w:val="none"/>
        </w:rPr>
      </w:pPr>
    </w:p>
    <w:p>
      <w:pPr>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格式十：法定代表人授权书</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jc w:val="center"/>
        <w:rPr>
          <w:rFonts w:ascii="宋体" w:hAnsi="宋体" w:cs="宋体"/>
          <w:bCs/>
          <w:color w:val="auto"/>
          <w:sz w:val="24"/>
          <w:highlight w:val="none"/>
        </w:rPr>
      </w:pPr>
    </w:p>
    <w:p>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napToGrid w:val="0"/>
        <w:spacing w:line="360" w:lineRule="auto"/>
        <w:rPr>
          <w:rFonts w:ascii="宋体" w:hAnsi="宋体" w:cs="宋体"/>
          <w:bCs/>
          <w:color w:val="auto"/>
          <w:sz w:val="24"/>
          <w:highlight w:val="none"/>
        </w:rPr>
      </w:pPr>
    </w:p>
    <w:p>
      <w:pPr>
        <w:snapToGrid w:val="0"/>
        <w:spacing w:line="360" w:lineRule="auto"/>
        <w:rPr>
          <w:rFonts w:ascii="宋体" w:hAnsi="宋体" w:cs="宋体"/>
          <w:bCs/>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（采购单位名称）</w:t>
      </w:r>
      <w:r>
        <w:rPr>
          <w:rFonts w:hint="eastAsia" w:ascii="宋体" w:hAnsi="宋体" w:cs="宋体"/>
          <w:color w:val="auto"/>
          <w:szCs w:val="21"/>
          <w:highlight w:val="none"/>
        </w:rPr>
        <w:t>：</w:t>
      </w:r>
    </w:p>
    <w:p>
      <w:pPr>
        <w:snapToGrid w:val="0"/>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的法定代表人，现授权委托本单位在职职工</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被授权人（签字或盖章）：                 法定代表人（签字或盖章）：</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                          职务：</w:t>
      </w:r>
    </w:p>
    <w:p>
      <w:pPr>
        <w:snapToGrid w:val="0"/>
        <w:spacing w:line="360" w:lineRule="auto"/>
        <w:rPr>
          <w:color w:val="auto"/>
          <w:highlight w:val="none"/>
        </w:rPr>
      </w:pPr>
      <w:r>
        <w:rPr>
          <w:rFonts w:hint="eastAsia" w:ascii="宋体" w:hAnsi="宋体" w:cs="宋体"/>
          <w:color w:val="auto"/>
          <w:szCs w:val="21"/>
          <w:highlight w:val="none"/>
        </w:rPr>
        <w:t>被授权人身份证号码：</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被授权人手机号码：</w:t>
      </w:r>
    </w:p>
    <w:p>
      <w:pPr>
        <w:snapToGrid w:val="0"/>
        <w:spacing w:line="360" w:lineRule="auto"/>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ind w:firstLine="103" w:firstLineChars="49"/>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附：法定代表人身份证复印件（正反面）、授权代表身份证复印件及距开标日前六个月内任一月投标人为其所缴纳社保证明（均加盖公章）</w:t>
      </w:r>
    </w:p>
    <w:p>
      <w:pPr>
        <w:widowControl/>
        <w:jc w:val="left"/>
        <w:rPr>
          <w:rFonts w:ascii="宋体" w:hAnsi="宋体" w:cs="宋体"/>
          <w:b/>
          <w:color w:val="auto"/>
          <w:szCs w:val="21"/>
          <w:highlight w:val="none"/>
        </w:rPr>
      </w:pPr>
    </w:p>
    <w:p>
      <w:pPr>
        <w:widowControl/>
        <w:jc w:val="left"/>
        <w:rPr>
          <w:rFonts w:ascii="宋体" w:hAnsi="宋体" w:cs="宋体"/>
          <w:b/>
          <w:color w:val="auto"/>
          <w:szCs w:val="21"/>
          <w:highlight w:val="none"/>
        </w:rPr>
      </w:pPr>
    </w:p>
    <w:p>
      <w:pPr>
        <w:widowControl/>
        <w:jc w:val="left"/>
        <w:rPr>
          <w:rFonts w:ascii="宋体" w:hAnsi="宋体" w:cs="宋体"/>
          <w:b/>
          <w:color w:val="auto"/>
          <w:szCs w:val="21"/>
          <w:highlight w:val="none"/>
        </w:rPr>
      </w:pPr>
    </w:p>
    <w:p>
      <w:pPr>
        <w:snapToGrid w:val="0"/>
        <w:spacing w:before="120" w:beforeLines="50" w:after="50"/>
        <w:rPr>
          <w:rFonts w:ascii="宋体" w:hAnsi="宋体" w:cs="宋体"/>
          <w:b/>
          <w:color w:val="auto"/>
          <w:highlight w:val="none"/>
        </w:rPr>
      </w:pPr>
      <w:r>
        <w:rPr>
          <w:rFonts w:hint="eastAsia" w:ascii="宋体"/>
          <w:bCs/>
          <w:color w:val="auto"/>
          <w:szCs w:val="21"/>
          <w:highlight w:val="none"/>
        </w:rPr>
        <w:t>备注：若联合体参加投标，投标人盖章处盖联合牵头人公章。法定代表人签字处由牵头人单位法定代表人签字。</w:t>
      </w:r>
      <w:r>
        <w:rPr>
          <w:rFonts w:hint="eastAsia" w:ascii="宋体" w:hAnsi="宋体" w:cs="宋体"/>
          <w:b/>
          <w:color w:val="auto"/>
          <w:szCs w:val="21"/>
          <w:highlight w:val="none"/>
        </w:rPr>
        <w:br w:type="page"/>
      </w:r>
      <w:r>
        <w:rPr>
          <w:rFonts w:hint="eastAsia" w:ascii="宋体" w:hAnsi="宋体" w:cs="宋体"/>
          <w:b/>
          <w:color w:val="auto"/>
          <w:szCs w:val="21"/>
          <w:highlight w:val="none"/>
        </w:rPr>
        <w:t>格式十一：投标人基本情况说明</w:t>
      </w:r>
    </w:p>
    <w:p>
      <w:pPr>
        <w:spacing w:line="360" w:lineRule="auto"/>
        <w:jc w:val="center"/>
        <w:rPr>
          <w:rFonts w:ascii="宋体" w:hAnsi="宋体" w:cs="宋体"/>
          <w:b/>
          <w:color w:val="auto"/>
          <w:szCs w:val="21"/>
          <w:highlight w:val="none"/>
        </w:rPr>
      </w:pPr>
      <w:bookmarkStart w:id="233" w:name="_Toc14746861"/>
      <w:bookmarkStart w:id="234" w:name="_Toc483379796"/>
      <w:bookmarkStart w:id="235" w:name="_Toc110393361"/>
      <w:bookmarkStart w:id="236" w:name="_Toc488936100"/>
      <w:bookmarkStart w:id="237" w:name="_Toc479927873"/>
      <w:bookmarkStart w:id="238" w:name="_Toc225223761"/>
    </w:p>
    <w:p>
      <w:pPr>
        <w:spacing w:before="120" w:after="120"/>
        <w:jc w:val="center"/>
        <w:rPr>
          <w:rFonts w:ascii="宋体" w:hAnsi="宋体" w:cs="宋体"/>
          <w:b/>
          <w:bCs/>
          <w:color w:val="auto"/>
          <w:spacing w:val="20"/>
          <w:sz w:val="24"/>
          <w:highlight w:val="none"/>
        </w:rPr>
      </w:pPr>
      <w:r>
        <w:rPr>
          <w:rFonts w:hint="eastAsia" w:ascii="宋体" w:hAnsi="宋体" w:cs="宋体"/>
          <w:b/>
          <w:bCs/>
          <w:color w:val="auto"/>
          <w:spacing w:val="20"/>
          <w:sz w:val="24"/>
          <w:highlight w:val="none"/>
        </w:rPr>
        <w:t>投标人基本情况说明</w:t>
      </w:r>
      <w:bookmarkEnd w:id="233"/>
      <w:bookmarkEnd w:id="234"/>
      <w:bookmarkEnd w:id="235"/>
      <w:bookmarkEnd w:id="236"/>
      <w:bookmarkEnd w:id="237"/>
      <w:bookmarkEnd w:id="238"/>
    </w:p>
    <w:tbl>
      <w:tblPr>
        <w:tblStyle w:val="35"/>
        <w:tblW w:w="9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单位名称</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组织机构代码</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注册登记号</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经营地址</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pacing w:val="30"/>
                <w:szCs w:val="21"/>
                <w:highlight w:val="none"/>
              </w:rPr>
            </w:pPr>
            <w:r>
              <w:rPr>
                <w:rFonts w:hint="eastAsia" w:ascii="宋体" w:hAnsi="宋体" w:cs="宋体"/>
                <w:color w:val="auto"/>
                <w:szCs w:val="21"/>
                <w:highlight w:val="none"/>
              </w:rPr>
              <w:t>税务登记证号</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单位性质</w:t>
            </w:r>
          </w:p>
        </w:tc>
        <w:tc>
          <w:tcPr>
            <w:tcW w:w="3675" w:type="dxa"/>
            <w:gridSpan w:val="3"/>
            <w:vAlign w:val="center"/>
          </w:tcPr>
          <w:p>
            <w:pPr>
              <w:pStyle w:val="99"/>
              <w:widowControl w:val="0"/>
              <w:spacing w:before="0" w:beforeAutospacing="0" w:after="0" w:afterAutospacing="0" w:line="360" w:lineRule="auto"/>
              <w:ind w:left="1320" w:hanging="480"/>
              <w:rPr>
                <w:rFonts w:ascii="宋体" w:hAnsi="宋体" w:eastAsia="宋体" w:cs="宋体"/>
                <w:color w:val="auto"/>
                <w:kern w:val="2"/>
                <w:sz w:val="21"/>
                <w:szCs w:val="21"/>
                <w:highlight w:val="none"/>
              </w:rPr>
            </w:pPr>
          </w:p>
        </w:tc>
        <w:tc>
          <w:tcPr>
            <w:tcW w:w="1785" w:type="dxa"/>
            <w:vAlign w:val="center"/>
          </w:tcPr>
          <w:p>
            <w:pPr>
              <w:spacing w:line="360" w:lineRule="auto"/>
              <w:jc w:val="center"/>
              <w:rPr>
                <w:rFonts w:ascii="宋体" w:hAnsi="宋体" w:cs="宋体"/>
                <w:color w:val="auto"/>
                <w:spacing w:val="34"/>
                <w:szCs w:val="21"/>
                <w:highlight w:val="none"/>
              </w:rPr>
            </w:pPr>
            <w:r>
              <w:rPr>
                <w:rFonts w:hint="eastAsia" w:ascii="宋体" w:hAnsi="宋体" w:cs="宋体"/>
                <w:color w:val="auto"/>
                <w:spacing w:val="34"/>
                <w:szCs w:val="21"/>
                <w:highlight w:val="none"/>
              </w:rPr>
              <w:t>注册资本</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营业期限</w:t>
            </w:r>
          </w:p>
        </w:tc>
        <w:tc>
          <w:tcPr>
            <w:tcW w:w="223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资质情况</w:t>
            </w:r>
          </w:p>
        </w:tc>
        <w:tc>
          <w:tcPr>
            <w:tcW w:w="7694" w:type="dxa"/>
            <w:gridSpan w:val="5"/>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员工数量</w:t>
            </w:r>
          </w:p>
        </w:tc>
        <w:tc>
          <w:tcPr>
            <w:tcW w:w="7694" w:type="dxa"/>
            <w:gridSpan w:val="5"/>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共人，其中，高级职称人，中级职称人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主要业绩</w:t>
            </w:r>
          </w:p>
        </w:tc>
        <w:tc>
          <w:tcPr>
            <w:tcW w:w="7694" w:type="dxa"/>
            <w:gridSpan w:val="5"/>
            <w:vAlign w:val="center"/>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64" w:type="dxa"/>
            <w:gridSpan w:val="6"/>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3675" w:type="dxa"/>
            <w:gridSpan w:val="3"/>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680" w:type="dxa"/>
            <w:vAlign w:val="center"/>
          </w:tcPr>
          <w:p>
            <w:pPr>
              <w:spacing w:line="360" w:lineRule="auto"/>
              <w:jc w:val="center"/>
              <w:rPr>
                <w:rFonts w:ascii="宋体" w:hAnsi="宋体" w:cs="宋体"/>
                <w:color w:val="auto"/>
                <w:szCs w:val="21"/>
                <w:highlight w:val="none"/>
              </w:rPr>
            </w:pPr>
          </w:p>
        </w:tc>
        <w:tc>
          <w:tcPr>
            <w:tcW w:w="105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945" w:type="dxa"/>
            <w:vAlign w:val="center"/>
          </w:tcPr>
          <w:p>
            <w:pPr>
              <w:spacing w:line="360" w:lineRule="auto"/>
              <w:jc w:val="center"/>
              <w:rPr>
                <w:rFonts w:ascii="宋体" w:hAnsi="宋体" w:cs="宋体"/>
                <w:color w:val="auto"/>
                <w:szCs w:val="21"/>
                <w:highlight w:val="none"/>
              </w:rPr>
            </w:pPr>
          </w:p>
        </w:tc>
        <w:tc>
          <w:tcPr>
            <w:tcW w:w="178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223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9164" w:type="dxa"/>
            <w:gridSpan w:val="6"/>
          </w:tcPr>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rPr>
        <w:t>兹证明上述声明是真实、正确的，并提供了全部能提供的资料和数据，我们同意遵照贵方要求出示有关证明文件。</w:t>
      </w: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rPr>
          <w:rFonts w:ascii="宋体" w:hAnsi="宋体" w:cs="宋体"/>
          <w:color w:val="auto"/>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rPr>
          <w:rFonts w:ascii="宋体" w:hAnsi="宋体" w:cs="宋体"/>
          <w:color w:val="auto"/>
          <w:szCs w:val="21"/>
          <w:highlight w:val="none"/>
        </w:rPr>
      </w:pPr>
    </w:p>
    <w:p>
      <w:pPr>
        <w:spacing w:line="360" w:lineRule="auto"/>
        <w:ind w:firstLine="103" w:firstLineChars="49"/>
        <w:rPr>
          <w:rFonts w:ascii="宋体" w:hAnsi="宋体" w:cs="宋体"/>
          <w:b/>
          <w:color w:val="auto"/>
          <w:szCs w:val="21"/>
          <w:highlight w:val="none"/>
        </w:rPr>
      </w:pPr>
    </w:p>
    <w:p>
      <w:pPr>
        <w:snapToGrid w:val="0"/>
        <w:spacing w:line="360" w:lineRule="auto"/>
        <w:rPr>
          <w:rFonts w:ascii="宋体" w:hAnsi="宋体" w:cs="宋体"/>
          <w:color w:val="auto"/>
          <w:szCs w:val="21"/>
          <w:highlight w:val="none"/>
        </w:rPr>
      </w:pPr>
    </w:p>
    <w:p>
      <w:pPr>
        <w:spacing w:line="360" w:lineRule="auto"/>
        <w:rPr>
          <w:rFonts w:ascii="宋体" w:hAnsi="宋体" w:cs="宋体"/>
          <w:color w:val="auto"/>
          <w:sz w:val="24"/>
          <w:szCs w:val="21"/>
          <w:highlight w:val="none"/>
        </w:rPr>
        <w:sectPr>
          <w:pgSz w:w="11907" w:h="16840"/>
          <w:pgMar w:top="1361" w:right="1474" w:bottom="1242" w:left="1474" w:header="720" w:footer="720" w:gutter="0"/>
          <w:cols w:space="720" w:num="1"/>
          <w:docGrid w:linePitch="285" w:charSpace="0"/>
        </w:sectPr>
      </w:pPr>
    </w:p>
    <w:p>
      <w:pPr>
        <w:rPr>
          <w:rFonts w:ascii="宋体" w:hAnsi="宋体" w:cs="宋体"/>
          <w:b/>
          <w:color w:val="auto"/>
          <w:highlight w:val="none"/>
        </w:rPr>
      </w:pPr>
      <w:bookmarkStart w:id="239" w:name="_Toc303892571"/>
      <w:bookmarkStart w:id="240" w:name="_Toc460857951"/>
      <w:bookmarkStart w:id="241" w:name="_Toc434566544"/>
      <w:bookmarkStart w:id="242" w:name="_Toc97372570"/>
      <w:r>
        <w:rPr>
          <w:rFonts w:hint="eastAsia" w:ascii="宋体" w:hAnsi="宋体" w:cs="宋体"/>
          <w:b/>
          <w:color w:val="auto"/>
          <w:highlight w:val="none"/>
        </w:rPr>
        <w:t>格式十二：</w:t>
      </w:r>
      <w:bookmarkEnd w:id="239"/>
      <w:bookmarkEnd w:id="240"/>
      <w:bookmarkEnd w:id="241"/>
      <w:bookmarkEnd w:id="242"/>
      <w:r>
        <w:rPr>
          <w:rFonts w:hint="eastAsia" w:ascii="宋体" w:hAnsi="宋体" w:cs="宋体"/>
          <w:b/>
          <w:color w:val="auto"/>
          <w:szCs w:val="21"/>
          <w:highlight w:val="none"/>
        </w:rPr>
        <w:t>同类项目业绩表</w:t>
      </w:r>
    </w:p>
    <w:p>
      <w:pPr>
        <w:spacing w:line="360" w:lineRule="auto"/>
        <w:rPr>
          <w:rFonts w:ascii="宋体" w:hAnsi="宋体" w:cs="宋体"/>
          <w:color w:val="auto"/>
          <w:highlight w:val="none"/>
          <w:u w:val="single"/>
        </w:rPr>
      </w:pPr>
    </w:p>
    <w:p>
      <w:pPr>
        <w:spacing w:before="120" w:after="120"/>
        <w:jc w:val="center"/>
        <w:rPr>
          <w:rFonts w:ascii="宋体" w:hAnsi="宋体" w:cs="宋体"/>
          <w:b/>
          <w:bCs/>
          <w:color w:val="auto"/>
          <w:spacing w:val="20"/>
          <w:sz w:val="24"/>
          <w:highlight w:val="none"/>
        </w:rPr>
      </w:pPr>
      <w:r>
        <w:rPr>
          <w:rFonts w:hint="eastAsia" w:ascii="宋体" w:hAnsi="宋体" w:cs="宋体"/>
          <w:b/>
          <w:bCs/>
          <w:color w:val="auto"/>
          <w:spacing w:val="20"/>
          <w:sz w:val="24"/>
          <w:highlight w:val="none"/>
        </w:rPr>
        <w:t>同类项目业绩表</w:t>
      </w:r>
    </w:p>
    <w:p>
      <w:pPr>
        <w:rPr>
          <w:rFonts w:ascii="宋体" w:hAnsi="宋体" w:cs="宋体"/>
          <w:color w:val="auto"/>
          <w:sz w:val="28"/>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tbl>
      <w:tblPr>
        <w:tblStyle w:val="35"/>
        <w:tblW w:w="88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Layout w:type="fixed"/>
        <w:tblCellMar>
          <w:top w:w="0" w:type="dxa"/>
          <w:left w:w="108" w:type="dxa"/>
          <w:bottom w:w="0" w:type="dxa"/>
          <w:right w:w="108" w:type="dxa"/>
        </w:tblCellMar>
      </w:tblPr>
      <w:tblGrid>
        <w:gridCol w:w="605"/>
        <w:gridCol w:w="1758"/>
        <w:gridCol w:w="2028"/>
        <w:gridCol w:w="1143"/>
        <w:gridCol w:w="1260"/>
        <w:gridCol w:w="20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605" w:hRule="atLeast"/>
          <w:jc w:val="center"/>
        </w:trPr>
        <w:tc>
          <w:tcPr>
            <w:tcW w:w="605" w:type="dxa"/>
            <w:tcMar>
              <w:left w:w="0" w:type="dxa"/>
              <w:right w:w="0" w:type="dxa"/>
            </w:tcMar>
            <w:vAlign w:val="center"/>
          </w:tcPr>
          <w:p>
            <w:pPr>
              <w:spacing w:line="0" w:lineRule="atLeast"/>
              <w:ind w:left="-115" w:right="-107"/>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2028" w:type="dxa"/>
            <w:tcMar>
              <w:left w:w="0" w:type="dxa"/>
              <w:right w:w="0" w:type="dxa"/>
            </w:tcMar>
            <w:vAlign w:val="center"/>
          </w:tcPr>
          <w:p>
            <w:pPr>
              <w:spacing w:line="0" w:lineRule="atLeast"/>
              <w:ind w:left="-115" w:right="-107"/>
              <w:jc w:val="center"/>
              <w:rPr>
                <w:rFonts w:ascii="宋体" w:hAnsi="宋体" w:cs="宋体"/>
                <w:color w:val="auto"/>
                <w:szCs w:val="21"/>
                <w:highlight w:val="none"/>
              </w:rPr>
            </w:pPr>
            <w:r>
              <w:rPr>
                <w:rFonts w:hint="eastAsia" w:ascii="宋体" w:hAnsi="宋体" w:cs="宋体"/>
                <w:color w:val="auto"/>
                <w:szCs w:val="21"/>
                <w:highlight w:val="none"/>
              </w:rPr>
              <w:t>用户名称</w:t>
            </w:r>
          </w:p>
        </w:tc>
        <w:tc>
          <w:tcPr>
            <w:tcW w:w="1143" w:type="dxa"/>
            <w:tcMar>
              <w:left w:w="0" w:type="dxa"/>
              <w:right w:w="0" w:type="dxa"/>
            </w:tcMar>
            <w:vAlign w:val="center"/>
          </w:tcPr>
          <w:p>
            <w:pPr>
              <w:spacing w:line="0" w:lineRule="atLeast"/>
              <w:ind w:left="-115" w:right="-107"/>
              <w:jc w:val="center"/>
              <w:rPr>
                <w:rFonts w:ascii="宋体" w:hAnsi="宋体" w:cs="宋体"/>
                <w:color w:val="auto"/>
                <w:szCs w:val="21"/>
                <w:highlight w:val="none"/>
              </w:rPr>
            </w:pPr>
            <w:r>
              <w:rPr>
                <w:rFonts w:hint="eastAsia" w:ascii="宋体" w:hAnsi="宋体" w:cs="宋体"/>
                <w:color w:val="auto"/>
                <w:szCs w:val="21"/>
                <w:highlight w:val="none"/>
              </w:rPr>
              <w:t>合同金额</w:t>
            </w:r>
          </w:p>
        </w:tc>
        <w:tc>
          <w:tcPr>
            <w:tcW w:w="1260" w:type="dxa"/>
            <w:tcMar>
              <w:left w:w="0" w:type="dxa"/>
              <w:right w:w="0" w:type="dxa"/>
            </w:tcMar>
            <w:vAlign w:val="center"/>
          </w:tcPr>
          <w:p>
            <w:pPr>
              <w:spacing w:line="0" w:lineRule="atLeast"/>
              <w:ind w:left="-115" w:right="-107"/>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2052" w:type="dxa"/>
            <w:tcMar>
              <w:left w:w="0" w:type="dxa"/>
              <w:right w:w="0" w:type="dxa"/>
            </w:tcMar>
            <w:vAlign w:val="center"/>
          </w:tcPr>
          <w:p>
            <w:pPr>
              <w:spacing w:line="0" w:lineRule="atLeast"/>
              <w:ind w:left="-115" w:right="-107"/>
              <w:jc w:val="center"/>
              <w:rPr>
                <w:rFonts w:ascii="宋体" w:hAnsi="宋体" w:cs="宋体"/>
                <w:color w:val="auto"/>
                <w:szCs w:val="21"/>
                <w:highlight w:val="none"/>
              </w:rPr>
            </w:pPr>
            <w:r>
              <w:rPr>
                <w:rFonts w:hint="eastAsia" w:ascii="宋体" w:hAnsi="宋体" w:cs="宋体"/>
                <w:color w:val="auto"/>
                <w:szCs w:val="21"/>
                <w:highlight w:val="none"/>
              </w:rPr>
              <w:t>联系人/电话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color w:val="auto"/>
                <w:szCs w:val="21"/>
                <w:highlight w:val="none"/>
              </w:rPr>
            </w:pPr>
          </w:p>
        </w:tc>
        <w:tc>
          <w:tcPr>
            <w:tcW w:w="1758" w:type="dxa"/>
            <w:tcMar>
              <w:left w:w="0" w:type="dxa"/>
              <w:right w:w="0" w:type="dxa"/>
            </w:tcMar>
            <w:vAlign w:val="center"/>
          </w:tcPr>
          <w:p>
            <w:pPr>
              <w:spacing w:line="0" w:lineRule="atLeast"/>
              <w:jc w:val="center"/>
              <w:rPr>
                <w:rFonts w:ascii="宋体" w:hAnsi="宋体" w:cs="宋体"/>
                <w:color w:val="auto"/>
                <w:szCs w:val="21"/>
                <w:highlight w:val="none"/>
              </w:rPr>
            </w:pPr>
          </w:p>
        </w:tc>
        <w:tc>
          <w:tcPr>
            <w:tcW w:w="2028" w:type="dxa"/>
            <w:tcMar>
              <w:left w:w="0" w:type="dxa"/>
              <w:right w:w="0" w:type="dxa"/>
            </w:tcMar>
            <w:vAlign w:val="center"/>
          </w:tcPr>
          <w:p>
            <w:pPr>
              <w:spacing w:line="0" w:lineRule="atLeast"/>
              <w:jc w:val="center"/>
              <w:rPr>
                <w:rFonts w:ascii="宋体" w:hAnsi="宋体" w:cs="宋体"/>
                <w:color w:val="auto"/>
                <w:szCs w:val="21"/>
                <w:highlight w:val="none"/>
              </w:rPr>
            </w:pPr>
          </w:p>
        </w:tc>
        <w:tc>
          <w:tcPr>
            <w:tcW w:w="1143" w:type="dxa"/>
            <w:tcMar>
              <w:left w:w="0" w:type="dxa"/>
              <w:right w:w="0" w:type="dxa"/>
            </w:tcMar>
            <w:vAlign w:val="center"/>
          </w:tcPr>
          <w:p>
            <w:pPr>
              <w:spacing w:line="0" w:lineRule="atLeast"/>
              <w:jc w:val="center"/>
              <w:rPr>
                <w:rFonts w:ascii="宋体" w:hAnsi="宋体" w:cs="宋体"/>
                <w:color w:val="auto"/>
                <w:szCs w:val="21"/>
                <w:highlight w:val="none"/>
              </w:rPr>
            </w:pPr>
          </w:p>
        </w:tc>
        <w:tc>
          <w:tcPr>
            <w:tcW w:w="1260" w:type="dxa"/>
            <w:tcMar>
              <w:left w:w="0" w:type="dxa"/>
              <w:right w:w="0" w:type="dxa"/>
            </w:tcMar>
            <w:vAlign w:val="center"/>
          </w:tcPr>
          <w:p>
            <w:pPr>
              <w:spacing w:line="0" w:lineRule="atLeast"/>
              <w:jc w:val="center"/>
              <w:rPr>
                <w:rFonts w:ascii="宋体" w:hAnsi="宋体" w:cs="宋体"/>
                <w:color w:val="auto"/>
                <w:szCs w:val="21"/>
                <w:highlight w:val="none"/>
              </w:rPr>
            </w:pPr>
          </w:p>
        </w:tc>
        <w:tc>
          <w:tcPr>
            <w:tcW w:w="2052" w:type="dxa"/>
            <w:tcMar>
              <w:left w:w="0" w:type="dxa"/>
              <w:right w:w="0" w:type="dxa"/>
            </w:tcMar>
            <w:vAlign w:val="center"/>
          </w:tcPr>
          <w:p>
            <w:pPr>
              <w:spacing w:line="0" w:lineRule="atLeast"/>
              <w:jc w:val="center"/>
              <w:rPr>
                <w:rFonts w:ascii="宋体" w:hAnsi="宋体" w:cs="宋体"/>
                <w:color w:val="auto"/>
                <w:szCs w:val="21"/>
                <w:highlight w:val="none"/>
              </w:rPr>
            </w:pPr>
          </w:p>
        </w:tc>
      </w:tr>
    </w:tbl>
    <w:p>
      <w:pPr>
        <w:spacing w:line="0" w:lineRule="atLeast"/>
        <w:rPr>
          <w:rFonts w:ascii="宋体" w:hAnsi="宋体" w:cs="宋体"/>
          <w:b/>
          <w:bCs/>
          <w:color w:val="auto"/>
          <w:szCs w:val="21"/>
          <w:highlight w:val="none"/>
        </w:rPr>
      </w:pPr>
      <w:r>
        <w:rPr>
          <w:rFonts w:hint="eastAsia" w:ascii="宋体" w:hAnsi="宋体" w:cs="宋体"/>
          <w:b/>
          <w:bCs/>
          <w:color w:val="auto"/>
          <w:szCs w:val="21"/>
          <w:highlight w:val="none"/>
        </w:rPr>
        <w:t>注：后附评分标准表要求提供的证明材料。</w:t>
      </w:r>
    </w:p>
    <w:p>
      <w:pPr>
        <w:spacing w:line="0" w:lineRule="atLeast"/>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rPr>
          <w:rFonts w:ascii="宋体" w:hAnsi="宋体" w:cs="宋体"/>
          <w:b/>
          <w:color w:val="auto"/>
          <w:sz w:val="24"/>
          <w:szCs w:val="21"/>
          <w:highlight w:val="none"/>
        </w:rPr>
      </w:pPr>
      <w:r>
        <w:rPr>
          <w:rFonts w:hint="eastAsia" w:ascii="宋体" w:hAnsi="宋体" w:cs="宋体"/>
          <w:b/>
          <w:color w:val="auto"/>
          <w:szCs w:val="21"/>
          <w:highlight w:val="none"/>
        </w:rPr>
        <w:br w:type="page"/>
      </w:r>
      <w:bookmarkStart w:id="243" w:name="_Toc460857952"/>
      <w:r>
        <w:rPr>
          <w:rFonts w:hint="eastAsia" w:ascii="宋体" w:hAnsi="宋体" w:cs="宋体"/>
          <w:b/>
          <w:color w:val="auto"/>
          <w:highlight w:val="none"/>
        </w:rPr>
        <w:t>格式</w:t>
      </w:r>
      <w:bookmarkEnd w:id="243"/>
      <w:r>
        <w:rPr>
          <w:rFonts w:hint="eastAsia" w:ascii="宋体" w:hAnsi="宋体" w:cs="宋体"/>
          <w:b/>
          <w:color w:val="auto"/>
          <w:highlight w:val="none"/>
        </w:rPr>
        <w:t>十三：商务条款偏离表</w:t>
      </w:r>
    </w:p>
    <w:p>
      <w:pPr>
        <w:pStyle w:val="15"/>
        <w:spacing w:line="400" w:lineRule="exact"/>
        <w:ind w:left="711" w:leftChars="228" w:hanging="232" w:hangingChars="100"/>
        <w:rPr>
          <w:rFonts w:hAnsi="宋体" w:cs="宋体"/>
          <w:color w:val="auto"/>
          <w:sz w:val="24"/>
          <w:szCs w:val="21"/>
          <w:highlight w:val="none"/>
        </w:rPr>
      </w:pPr>
    </w:p>
    <w:p>
      <w:pPr>
        <w:spacing w:line="360" w:lineRule="auto"/>
        <w:jc w:val="center"/>
        <w:rPr>
          <w:rFonts w:ascii="宋体" w:hAnsi="宋体" w:cs="宋体"/>
          <w:b/>
          <w:color w:val="auto"/>
          <w:sz w:val="24"/>
          <w:szCs w:val="21"/>
          <w:highlight w:val="none"/>
        </w:rPr>
      </w:pPr>
      <w:r>
        <w:rPr>
          <w:rFonts w:hint="eastAsia" w:ascii="宋体" w:hAnsi="宋体" w:cs="宋体"/>
          <w:b/>
          <w:color w:val="auto"/>
          <w:sz w:val="24"/>
          <w:szCs w:val="21"/>
          <w:highlight w:val="none"/>
        </w:rPr>
        <w:t>商务条款偏离表</w:t>
      </w:r>
    </w:p>
    <w:p>
      <w:pPr>
        <w:spacing w:line="360" w:lineRule="auto"/>
        <w:ind w:firstLine="3089"/>
        <w:rPr>
          <w:rFonts w:ascii="宋体" w:hAnsi="宋体" w:cs="宋体"/>
          <w:b/>
          <w:color w:val="auto"/>
          <w:sz w:val="24"/>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tbl>
      <w:tblPr>
        <w:tblStyle w:val="35"/>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95"/>
        <w:gridCol w:w="2234"/>
        <w:gridCol w:w="2299"/>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95"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2234"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招标文件的商务条款</w:t>
            </w:r>
          </w:p>
        </w:tc>
        <w:tc>
          <w:tcPr>
            <w:tcW w:w="2299"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投标文件的商务条款</w:t>
            </w:r>
          </w:p>
        </w:tc>
        <w:tc>
          <w:tcPr>
            <w:tcW w:w="907"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bl>
    <w:p>
      <w:pPr>
        <w:pStyle w:val="15"/>
        <w:spacing w:line="360" w:lineRule="auto"/>
        <w:ind w:left="406" w:hanging="406" w:hangingChars="200"/>
        <w:rPr>
          <w:rFonts w:hAnsi="宋体" w:cs="宋体"/>
          <w:b/>
          <w:bCs/>
          <w:color w:val="auto"/>
          <w:sz w:val="21"/>
          <w:szCs w:val="21"/>
          <w:highlight w:val="none"/>
        </w:rPr>
      </w:pPr>
      <w:r>
        <w:rPr>
          <w:rFonts w:hint="eastAsia" w:hAnsi="宋体" w:cs="宋体"/>
          <w:b/>
          <w:bCs/>
          <w:color w:val="auto"/>
          <w:sz w:val="21"/>
          <w:szCs w:val="21"/>
          <w:highlight w:val="none"/>
        </w:rPr>
        <w:t>注：按招标文件第二章中商务要求内容进行填写。若无偏离可在本表空白处醒目地注明“无商务条款偏离”的字样。</w:t>
      </w:r>
    </w:p>
    <w:p>
      <w:pPr>
        <w:widowControl/>
        <w:spacing w:line="360" w:lineRule="auto"/>
        <w:jc w:val="left"/>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rPr>
          <w:rFonts w:ascii="宋体" w:hAnsi="宋体" w:cs="宋体"/>
          <w:b/>
          <w:color w:val="auto"/>
          <w:sz w:val="24"/>
          <w:szCs w:val="21"/>
          <w:highlight w:val="none"/>
        </w:rPr>
      </w:pPr>
      <w:bookmarkStart w:id="244" w:name="_Toc460857956"/>
      <w:r>
        <w:rPr>
          <w:rFonts w:hint="eastAsia" w:ascii="宋体" w:hAnsi="宋体" w:cs="宋体"/>
          <w:b/>
          <w:color w:val="auto"/>
          <w:highlight w:val="none"/>
        </w:rPr>
        <w:t>格式十四：</w:t>
      </w:r>
      <w:bookmarkEnd w:id="244"/>
      <w:r>
        <w:rPr>
          <w:rFonts w:hint="eastAsia" w:ascii="宋体" w:hAnsi="宋体" w:cs="宋体"/>
          <w:b/>
          <w:color w:val="auto"/>
          <w:highlight w:val="none"/>
        </w:rPr>
        <w:t>服务条款偏离表</w:t>
      </w:r>
    </w:p>
    <w:p>
      <w:pPr>
        <w:pStyle w:val="15"/>
        <w:spacing w:line="400" w:lineRule="exact"/>
        <w:ind w:left="711" w:leftChars="228" w:hanging="232" w:hangingChars="100"/>
        <w:rPr>
          <w:rFonts w:hAnsi="宋体" w:cs="宋体"/>
          <w:color w:val="auto"/>
          <w:sz w:val="24"/>
          <w:szCs w:val="21"/>
          <w:highlight w:val="none"/>
        </w:rPr>
      </w:pPr>
    </w:p>
    <w:p>
      <w:pPr>
        <w:spacing w:line="360" w:lineRule="auto"/>
        <w:jc w:val="center"/>
        <w:rPr>
          <w:rFonts w:ascii="宋体" w:hAnsi="宋体" w:cs="宋体"/>
          <w:b/>
          <w:color w:val="auto"/>
          <w:sz w:val="24"/>
          <w:szCs w:val="21"/>
          <w:highlight w:val="none"/>
        </w:rPr>
      </w:pPr>
      <w:r>
        <w:rPr>
          <w:rFonts w:hint="eastAsia" w:ascii="宋体" w:hAnsi="宋体" w:cs="宋体"/>
          <w:b/>
          <w:color w:val="auto"/>
          <w:sz w:val="24"/>
          <w:szCs w:val="21"/>
          <w:highlight w:val="none"/>
        </w:rPr>
        <w:t>服务条款偏离表</w:t>
      </w:r>
    </w:p>
    <w:p>
      <w:pPr>
        <w:spacing w:line="360" w:lineRule="auto"/>
        <w:ind w:firstLine="3089"/>
        <w:rPr>
          <w:rFonts w:ascii="宋体" w:hAnsi="宋体" w:cs="宋体"/>
          <w:b/>
          <w:color w:val="auto"/>
          <w:sz w:val="24"/>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tbl>
      <w:tblPr>
        <w:tblStyle w:val="35"/>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95"/>
        <w:gridCol w:w="2234"/>
        <w:gridCol w:w="2299"/>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195"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2234"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招标文件的服务条款</w:t>
            </w:r>
          </w:p>
        </w:tc>
        <w:tc>
          <w:tcPr>
            <w:tcW w:w="2299"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投标文件的服务条款</w:t>
            </w:r>
          </w:p>
        </w:tc>
        <w:tc>
          <w:tcPr>
            <w:tcW w:w="907"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color w:val="auto"/>
                <w:szCs w:val="21"/>
                <w:highlight w:val="none"/>
              </w:rPr>
            </w:pPr>
          </w:p>
        </w:tc>
        <w:tc>
          <w:tcPr>
            <w:tcW w:w="2195" w:type="dxa"/>
            <w:vAlign w:val="center"/>
          </w:tcPr>
          <w:p>
            <w:pPr>
              <w:jc w:val="center"/>
              <w:rPr>
                <w:rFonts w:ascii="宋体" w:hAnsi="宋体" w:cs="宋体"/>
                <w:color w:val="auto"/>
                <w:szCs w:val="21"/>
                <w:highlight w:val="none"/>
              </w:rPr>
            </w:pPr>
          </w:p>
        </w:tc>
        <w:tc>
          <w:tcPr>
            <w:tcW w:w="2234" w:type="dxa"/>
            <w:vAlign w:val="center"/>
          </w:tcPr>
          <w:p>
            <w:pPr>
              <w:jc w:val="center"/>
              <w:rPr>
                <w:rFonts w:ascii="宋体" w:hAnsi="宋体" w:cs="宋体"/>
                <w:color w:val="auto"/>
                <w:szCs w:val="21"/>
                <w:highlight w:val="none"/>
              </w:rPr>
            </w:pPr>
          </w:p>
        </w:tc>
        <w:tc>
          <w:tcPr>
            <w:tcW w:w="2299" w:type="dxa"/>
            <w:vAlign w:val="center"/>
          </w:tcPr>
          <w:p>
            <w:pPr>
              <w:jc w:val="center"/>
              <w:rPr>
                <w:rFonts w:ascii="宋体" w:hAnsi="宋体" w:cs="宋体"/>
                <w:color w:val="auto"/>
                <w:szCs w:val="21"/>
                <w:highlight w:val="none"/>
              </w:rPr>
            </w:pPr>
          </w:p>
        </w:tc>
        <w:tc>
          <w:tcPr>
            <w:tcW w:w="907" w:type="dxa"/>
            <w:vAlign w:val="center"/>
          </w:tcPr>
          <w:p>
            <w:pPr>
              <w:jc w:val="center"/>
              <w:rPr>
                <w:rFonts w:ascii="宋体" w:hAnsi="宋体" w:cs="宋体"/>
                <w:color w:val="auto"/>
                <w:szCs w:val="21"/>
                <w:highlight w:val="none"/>
              </w:rPr>
            </w:pPr>
          </w:p>
        </w:tc>
      </w:tr>
    </w:tbl>
    <w:p>
      <w:pPr>
        <w:pStyle w:val="15"/>
        <w:spacing w:line="360" w:lineRule="auto"/>
        <w:ind w:left="406" w:hanging="406" w:hangingChars="200"/>
        <w:rPr>
          <w:rFonts w:hAnsi="宋体" w:cs="宋体"/>
          <w:b/>
          <w:bCs/>
          <w:color w:val="auto"/>
          <w:sz w:val="21"/>
          <w:szCs w:val="21"/>
          <w:highlight w:val="none"/>
        </w:rPr>
      </w:pPr>
      <w:r>
        <w:rPr>
          <w:rFonts w:hint="eastAsia" w:hAnsi="宋体" w:cs="宋体"/>
          <w:b/>
          <w:bCs/>
          <w:color w:val="auto"/>
          <w:sz w:val="21"/>
          <w:szCs w:val="21"/>
          <w:highlight w:val="none"/>
        </w:rPr>
        <w:t>注：按招标文件第二章中服务要求内容进行填写。若无偏离可在本表空白处醒目地注明“无服务条款偏离”的字样。</w:t>
      </w:r>
    </w:p>
    <w:p>
      <w:pPr>
        <w:widowControl/>
        <w:spacing w:line="360" w:lineRule="auto"/>
        <w:jc w:val="left"/>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widowControl/>
        <w:jc w:val="left"/>
        <w:rPr>
          <w:rFonts w:ascii="宋体" w:hAnsi="宋体" w:cs="宋体"/>
          <w:b/>
          <w:color w:val="auto"/>
          <w:szCs w:val="21"/>
          <w:highlight w:val="none"/>
        </w:rPr>
        <w:sectPr>
          <w:headerReference r:id="rId9" w:type="default"/>
          <w:footerReference r:id="rId10" w:type="default"/>
          <w:pgSz w:w="11906" w:h="16838"/>
          <w:pgMar w:top="1474" w:right="1531" w:bottom="1247" w:left="1531" w:header="851" w:footer="851" w:gutter="0"/>
          <w:cols w:space="720" w:num="1"/>
          <w:titlePg/>
          <w:docGrid w:linePitch="312" w:charSpace="0"/>
        </w:sectPr>
      </w:pPr>
    </w:p>
    <w:p>
      <w:pPr>
        <w:widowControl/>
        <w:jc w:val="left"/>
        <w:rPr>
          <w:rFonts w:ascii="宋体" w:hAnsi="宋体" w:cs="宋体"/>
          <w:b/>
          <w:color w:val="auto"/>
          <w:szCs w:val="21"/>
          <w:highlight w:val="none"/>
        </w:rPr>
      </w:pPr>
      <w:r>
        <w:rPr>
          <w:rFonts w:hint="eastAsia" w:ascii="宋体" w:hAnsi="宋体" w:cs="宋体"/>
          <w:b/>
          <w:color w:val="auto"/>
          <w:highlight w:val="none"/>
        </w:rPr>
        <w:t>格式十五</w:t>
      </w:r>
      <w:r>
        <w:rPr>
          <w:rFonts w:hint="eastAsia" w:ascii="宋体" w:hAnsi="宋体" w:cs="宋体"/>
          <w:b/>
          <w:color w:val="auto"/>
          <w:szCs w:val="21"/>
          <w:highlight w:val="none"/>
        </w:rPr>
        <w:t>：人员配备表</w:t>
      </w:r>
    </w:p>
    <w:p>
      <w:pPr>
        <w:widowControl/>
        <w:spacing w:line="360" w:lineRule="auto"/>
        <w:jc w:val="left"/>
        <w:rPr>
          <w:rFonts w:ascii="宋体" w:hAnsi="宋体" w:cs="宋体"/>
          <w:b/>
          <w:color w:val="auto"/>
          <w:highlight w:val="none"/>
        </w:rPr>
      </w:pPr>
    </w:p>
    <w:p>
      <w:pPr>
        <w:pStyle w:val="32"/>
        <w:widowControl w:val="0"/>
        <w:spacing w:beforeAutospacing="0" w:afterAutospacing="0" w:line="360" w:lineRule="auto"/>
        <w:jc w:val="center"/>
        <w:rPr>
          <w:rFonts w:hAnsi="宋体" w:cs="宋体"/>
          <w:b/>
          <w:color w:val="auto"/>
          <w:highlight w:val="none"/>
        </w:rPr>
      </w:pPr>
      <w:r>
        <w:rPr>
          <w:rFonts w:hint="eastAsia" w:hAnsi="宋体" w:cs="宋体"/>
          <w:b/>
          <w:color w:val="auto"/>
          <w:highlight w:val="none"/>
        </w:rPr>
        <w:t>人员配备表</w:t>
      </w:r>
    </w:p>
    <w:p>
      <w:pPr>
        <w:pStyle w:val="32"/>
        <w:widowControl w:val="0"/>
        <w:spacing w:beforeAutospacing="0" w:afterAutospacing="0" w:line="360" w:lineRule="auto"/>
        <w:jc w:val="both"/>
        <w:rPr>
          <w:rFonts w:ascii="宋体" w:hAnsi="宋体" w:cs="宋体"/>
          <w:b/>
          <w:color w:val="auto"/>
          <w:sz w:val="21"/>
          <w:szCs w:val="21"/>
          <w:highlight w:val="none"/>
        </w:rPr>
      </w:pPr>
      <w:r>
        <w:rPr>
          <w:rFonts w:hint="eastAsia" w:ascii="宋体" w:hAnsi="宋体" w:cs="宋体"/>
          <w:color w:val="auto"/>
          <w:spacing w:val="-4"/>
          <w:kern w:val="2"/>
          <w:sz w:val="21"/>
          <w:szCs w:val="21"/>
          <w:highlight w:val="none"/>
        </w:rPr>
        <w:t>项目名称：                                     项目编号：</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51"/>
        <w:gridCol w:w="686"/>
        <w:gridCol w:w="746"/>
        <w:gridCol w:w="853"/>
        <w:gridCol w:w="1884"/>
        <w:gridCol w:w="1499"/>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jc w:val="center"/>
              <w:rPr>
                <w:rFonts w:ascii="宋体" w:hAnsi="宋体"/>
                <w:bCs/>
                <w:color w:val="auto"/>
                <w:highlight w:val="none"/>
              </w:rPr>
            </w:pPr>
            <w:r>
              <w:rPr>
                <w:rFonts w:hint="eastAsia" w:ascii="宋体" w:hAnsi="宋体"/>
                <w:bCs/>
                <w:color w:val="auto"/>
                <w:highlight w:val="none"/>
              </w:rPr>
              <w:t>部门</w:t>
            </w:r>
          </w:p>
        </w:tc>
        <w:tc>
          <w:tcPr>
            <w:tcW w:w="1251" w:type="dxa"/>
          </w:tcPr>
          <w:p>
            <w:pPr>
              <w:jc w:val="center"/>
              <w:rPr>
                <w:rFonts w:ascii="宋体" w:hAnsi="宋体"/>
                <w:bCs/>
                <w:color w:val="auto"/>
                <w:highlight w:val="none"/>
              </w:rPr>
            </w:pPr>
            <w:r>
              <w:rPr>
                <w:rFonts w:hint="eastAsia" w:ascii="宋体" w:hAnsi="宋体"/>
                <w:bCs/>
                <w:color w:val="auto"/>
                <w:highlight w:val="none"/>
              </w:rPr>
              <w:t>岗位或工种</w:t>
            </w:r>
          </w:p>
        </w:tc>
        <w:tc>
          <w:tcPr>
            <w:tcW w:w="686" w:type="dxa"/>
            <w:vAlign w:val="center"/>
          </w:tcPr>
          <w:p>
            <w:pPr>
              <w:jc w:val="center"/>
              <w:rPr>
                <w:rFonts w:ascii="宋体" w:hAnsi="宋体"/>
                <w:bCs/>
                <w:color w:val="auto"/>
                <w:highlight w:val="none"/>
              </w:rPr>
            </w:pPr>
            <w:r>
              <w:rPr>
                <w:rFonts w:hint="eastAsia" w:ascii="宋体" w:hAnsi="宋体"/>
                <w:bCs/>
                <w:color w:val="auto"/>
                <w:highlight w:val="none"/>
              </w:rPr>
              <w:t>姓名</w:t>
            </w:r>
          </w:p>
        </w:tc>
        <w:tc>
          <w:tcPr>
            <w:tcW w:w="746" w:type="dxa"/>
            <w:vAlign w:val="center"/>
          </w:tcPr>
          <w:p>
            <w:pPr>
              <w:jc w:val="center"/>
              <w:rPr>
                <w:rFonts w:ascii="宋体" w:hAnsi="宋体"/>
                <w:bCs/>
                <w:color w:val="auto"/>
                <w:highlight w:val="none"/>
              </w:rPr>
            </w:pPr>
            <w:r>
              <w:rPr>
                <w:rFonts w:hint="eastAsia" w:ascii="宋体" w:hAnsi="宋体"/>
                <w:bCs/>
                <w:color w:val="auto"/>
                <w:highlight w:val="none"/>
              </w:rPr>
              <w:t>年龄</w:t>
            </w:r>
          </w:p>
        </w:tc>
        <w:tc>
          <w:tcPr>
            <w:tcW w:w="853" w:type="dxa"/>
            <w:vAlign w:val="center"/>
          </w:tcPr>
          <w:p>
            <w:pPr>
              <w:jc w:val="center"/>
              <w:rPr>
                <w:rFonts w:ascii="宋体" w:hAnsi="宋体"/>
                <w:bCs/>
                <w:color w:val="auto"/>
                <w:highlight w:val="none"/>
              </w:rPr>
            </w:pPr>
            <w:r>
              <w:rPr>
                <w:rFonts w:hint="eastAsia" w:ascii="宋体" w:hAnsi="宋体"/>
                <w:bCs/>
                <w:color w:val="auto"/>
                <w:highlight w:val="none"/>
              </w:rPr>
              <w:t>学</w:t>
            </w:r>
          </w:p>
          <w:p>
            <w:pPr>
              <w:jc w:val="center"/>
              <w:rPr>
                <w:rFonts w:ascii="宋体" w:hAnsi="宋体"/>
                <w:bCs/>
                <w:color w:val="auto"/>
                <w:highlight w:val="none"/>
              </w:rPr>
            </w:pPr>
            <w:r>
              <w:rPr>
                <w:rFonts w:hint="eastAsia" w:ascii="宋体" w:hAnsi="宋体"/>
                <w:bCs/>
                <w:color w:val="auto"/>
                <w:highlight w:val="none"/>
              </w:rPr>
              <w:t>历</w:t>
            </w:r>
          </w:p>
        </w:tc>
        <w:tc>
          <w:tcPr>
            <w:tcW w:w="1884" w:type="dxa"/>
            <w:vAlign w:val="center"/>
          </w:tcPr>
          <w:p>
            <w:pPr>
              <w:jc w:val="center"/>
              <w:rPr>
                <w:rFonts w:ascii="宋体" w:hAnsi="宋体"/>
                <w:bCs/>
                <w:color w:val="auto"/>
                <w:highlight w:val="none"/>
              </w:rPr>
            </w:pPr>
            <w:r>
              <w:rPr>
                <w:rFonts w:hint="eastAsia" w:ascii="宋体" w:hAnsi="宋体"/>
                <w:bCs/>
                <w:color w:val="auto"/>
                <w:highlight w:val="none"/>
              </w:rPr>
              <w:t>身份证号码</w:t>
            </w:r>
          </w:p>
        </w:tc>
        <w:tc>
          <w:tcPr>
            <w:tcW w:w="1499" w:type="dxa"/>
            <w:vAlign w:val="center"/>
          </w:tcPr>
          <w:p>
            <w:pPr>
              <w:jc w:val="center"/>
              <w:rPr>
                <w:rFonts w:ascii="宋体" w:hAnsi="宋体"/>
                <w:bCs/>
                <w:color w:val="auto"/>
                <w:highlight w:val="none"/>
              </w:rPr>
            </w:pPr>
            <w:r>
              <w:rPr>
                <w:rFonts w:hint="eastAsia" w:ascii="宋体" w:hAnsi="宋体"/>
                <w:bCs/>
                <w:color w:val="auto"/>
                <w:highlight w:val="none"/>
              </w:rPr>
              <w:t>工作资历</w:t>
            </w:r>
          </w:p>
        </w:tc>
        <w:tc>
          <w:tcPr>
            <w:tcW w:w="828" w:type="dxa"/>
            <w:vAlign w:val="center"/>
          </w:tcPr>
          <w:p>
            <w:pPr>
              <w:jc w:val="center"/>
              <w:rPr>
                <w:rFonts w:ascii="宋体" w:hAnsi="宋体"/>
                <w:bCs/>
                <w:color w:val="auto"/>
                <w:highlight w:val="none"/>
              </w:rPr>
            </w:pPr>
            <w:r>
              <w:rPr>
                <w:rFonts w:hint="eastAsia" w:ascii="宋体" w:hAnsi="宋体"/>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81" w:type="dxa"/>
            <w:vMerge w:val="restart"/>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81" w:type="dxa"/>
            <w:vMerge w:val="restart"/>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81" w:type="dxa"/>
            <w:vMerge w:val="restart"/>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1" w:type="dxa"/>
            <w:vMerge w:val="continue"/>
          </w:tcPr>
          <w:p>
            <w:pPr>
              <w:rPr>
                <w:rFonts w:ascii="宋体" w:hAnsi="宋体"/>
                <w:color w:val="auto"/>
                <w:highlight w:val="none"/>
              </w:rPr>
            </w:pPr>
          </w:p>
        </w:tc>
        <w:tc>
          <w:tcPr>
            <w:tcW w:w="1251" w:type="dxa"/>
          </w:tcPr>
          <w:p>
            <w:pPr>
              <w:rPr>
                <w:rFonts w:ascii="宋体" w:hAnsi="宋体"/>
                <w:color w:val="auto"/>
                <w:highlight w:val="none"/>
              </w:rPr>
            </w:pPr>
          </w:p>
        </w:tc>
        <w:tc>
          <w:tcPr>
            <w:tcW w:w="686" w:type="dxa"/>
          </w:tcPr>
          <w:p>
            <w:pPr>
              <w:rPr>
                <w:rFonts w:ascii="宋体" w:hAnsi="宋体"/>
                <w:color w:val="auto"/>
                <w:highlight w:val="none"/>
              </w:rPr>
            </w:pPr>
          </w:p>
        </w:tc>
        <w:tc>
          <w:tcPr>
            <w:tcW w:w="746" w:type="dxa"/>
          </w:tcPr>
          <w:p>
            <w:pPr>
              <w:rPr>
                <w:rFonts w:ascii="宋体" w:hAnsi="宋体"/>
                <w:color w:val="auto"/>
                <w:highlight w:val="none"/>
              </w:rPr>
            </w:pPr>
          </w:p>
        </w:tc>
        <w:tc>
          <w:tcPr>
            <w:tcW w:w="853" w:type="dxa"/>
          </w:tcPr>
          <w:p>
            <w:pPr>
              <w:rPr>
                <w:rFonts w:ascii="宋体" w:hAnsi="宋体"/>
                <w:color w:val="auto"/>
                <w:highlight w:val="none"/>
              </w:rPr>
            </w:pPr>
          </w:p>
        </w:tc>
        <w:tc>
          <w:tcPr>
            <w:tcW w:w="1884" w:type="dxa"/>
          </w:tcPr>
          <w:p>
            <w:pPr>
              <w:rPr>
                <w:rFonts w:ascii="宋体" w:hAnsi="宋体"/>
                <w:color w:val="auto"/>
                <w:highlight w:val="none"/>
              </w:rPr>
            </w:pPr>
          </w:p>
        </w:tc>
        <w:tc>
          <w:tcPr>
            <w:tcW w:w="1499" w:type="dxa"/>
          </w:tcPr>
          <w:p>
            <w:pPr>
              <w:rPr>
                <w:rFonts w:ascii="宋体" w:hAnsi="宋体"/>
                <w:color w:val="auto"/>
                <w:highlight w:val="none"/>
              </w:rPr>
            </w:pPr>
          </w:p>
        </w:tc>
        <w:tc>
          <w:tcPr>
            <w:tcW w:w="828" w:type="dxa"/>
          </w:tcPr>
          <w:p>
            <w:pPr>
              <w:rPr>
                <w:rFonts w:ascii="宋体" w:hAnsi="宋体"/>
                <w:color w:val="auto"/>
                <w:highlight w:val="none"/>
              </w:rPr>
            </w:pPr>
          </w:p>
        </w:tc>
      </w:tr>
    </w:tbl>
    <w:p>
      <w:pPr>
        <w:pStyle w:val="32"/>
        <w:widowControl w:val="0"/>
        <w:spacing w:beforeAutospacing="0" w:afterAutospacing="0" w:line="360" w:lineRule="auto"/>
        <w:ind w:firstLine="301"/>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注：1、表格不够用时可自行扩展。</w:t>
      </w:r>
    </w:p>
    <w:p>
      <w:pPr>
        <w:pStyle w:val="32"/>
        <w:widowControl w:val="0"/>
        <w:spacing w:beforeAutospacing="0" w:afterAutospacing="0" w:line="360" w:lineRule="auto"/>
        <w:ind w:firstLine="301"/>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2、后附评分标准表要求提供的证明材料。</w:t>
      </w:r>
    </w:p>
    <w:p>
      <w:pPr>
        <w:widowControl/>
        <w:spacing w:line="360" w:lineRule="auto"/>
        <w:jc w:val="left"/>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widowControl/>
        <w:jc w:val="left"/>
        <w:rPr>
          <w:rFonts w:ascii="宋体" w:hAnsi="宋体" w:cs="宋体"/>
          <w:color w:val="auto"/>
          <w:szCs w:val="21"/>
          <w:highlight w:val="none"/>
        </w:rPr>
      </w:pPr>
    </w:p>
    <w:p>
      <w:pPr>
        <w:tabs>
          <w:tab w:val="left" w:pos="606"/>
        </w:tabs>
        <w:rPr>
          <w:rFonts w:ascii="宋体" w:hAnsi="宋体" w:cs="宋体"/>
          <w:color w:val="auto"/>
          <w:szCs w:val="21"/>
          <w:highlight w:val="none"/>
        </w:rPr>
      </w:pPr>
    </w:p>
    <w:p>
      <w:pPr>
        <w:tabs>
          <w:tab w:val="left" w:pos="606"/>
        </w:tabs>
        <w:rPr>
          <w:rFonts w:ascii="宋体" w:hAnsi="宋体" w:cs="宋体"/>
          <w:color w:val="auto"/>
          <w:szCs w:val="21"/>
          <w:highlight w:val="none"/>
        </w:rPr>
      </w:pPr>
    </w:p>
    <w:p>
      <w:pPr>
        <w:snapToGrid w:val="0"/>
        <w:spacing w:line="360" w:lineRule="auto"/>
        <w:ind w:left="413"/>
        <w:jc w:val="left"/>
        <w:rPr>
          <w:rFonts w:ascii="宋体" w:hAnsi="宋体" w:cs="宋体"/>
          <w:b/>
          <w:color w:val="auto"/>
          <w:szCs w:val="21"/>
          <w:highlight w:val="none"/>
        </w:rPr>
      </w:pPr>
      <w:r>
        <w:rPr>
          <w:rFonts w:hint="eastAsia" w:ascii="宋体" w:hAnsi="宋体" w:cs="宋体"/>
          <w:b/>
          <w:color w:val="auto"/>
          <w:highlight w:val="none"/>
        </w:rPr>
        <w:br w:type="page"/>
      </w:r>
      <w:r>
        <w:rPr>
          <w:rFonts w:hint="eastAsia" w:ascii="宋体" w:hAnsi="宋体" w:cs="宋体"/>
          <w:b/>
          <w:color w:val="auto"/>
          <w:szCs w:val="21"/>
          <w:highlight w:val="none"/>
        </w:rPr>
        <w:t>3. 报价部分包括以下内容：</w:t>
      </w:r>
    </w:p>
    <w:p>
      <w:pPr>
        <w:tabs>
          <w:tab w:val="left" w:pos="420"/>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 (格式见附件)；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（2）开标一览表(格式见附件)；</w:t>
      </w:r>
    </w:p>
    <w:p>
      <w:pPr>
        <w:tabs>
          <w:tab w:val="left" w:pos="518"/>
        </w:tabs>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投标报价明细表</w:t>
      </w:r>
      <w:r>
        <w:rPr>
          <w:rFonts w:hint="eastAsia" w:ascii="宋体" w:hAnsi="宋体" w:cs="宋体"/>
          <w:color w:val="auto"/>
          <w:szCs w:val="21"/>
          <w:highlight w:val="none"/>
        </w:rPr>
        <w:t>(格式见附件)；</w:t>
      </w:r>
    </w:p>
    <w:p>
      <w:pPr>
        <w:spacing w:line="360" w:lineRule="auto"/>
        <w:ind w:firstLine="420" w:firstLineChars="200"/>
        <w:rPr>
          <w:rFonts w:ascii="宋体" w:hAnsi="宋体" w:cs="宋体"/>
          <w:color w:val="auto"/>
          <w:szCs w:val="21"/>
          <w:highlight w:val="none"/>
        </w:rPr>
        <w:sectPr>
          <w:pgSz w:w="11906" w:h="16838"/>
          <w:pgMar w:top="1474" w:right="1531" w:bottom="1247" w:left="1531" w:header="851" w:footer="851" w:gutter="0"/>
          <w:cols w:space="720" w:num="1"/>
          <w:titlePg/>
          <w:docGrid w:linePitch="312" w:charSpace="0"/>
        </w:sectPr>
      </w:pPr>
      <w:r>
        <w:rPr>
          <w:rFonts w:hint="eastAsia" w:ascii="宋体" w:hAnsi="宋体" w:cs="宋体"/>
          <w:color w:val="auto"/>
          <w:szCs w:val="21"/>
          <w:highlight w:val="none"/>
        </w:rPr>
        <w:t>（4）中标服务费支付承诺函(格式见附件)。</w:t>
      </w:r>
    </w:p>
    <w:p>
      <w:pPr>
        <w:widowControl/>
        <w:jc w:val="left"/>
        <w:rPr>
          <w:rFonts w:ascii="宋体" w:hAnsi="宋体" w:cs="宋体"/>
          <w:b/>
          <w:color w:val="auto"/>
          <w:highlight w:val="none"/>
        </w:rPr>
      </w:pPr>
      <w:r>
        <w:rPr>
          <w:rFonts w:hint="eastAsia" w:ascii="宋体" w:hAnsi="宋体" w:cs="宋体"/>
          <w:b/>
          <w:color w:val="auto"/>
          <w:highlight w:val="none"/>
        </w:rPr>
        <w:t>格式十六：</w:t>
      </w:r>
      <w:r>
        <w:rPr>
          <w:rFonts w:hint="eastAsia" w:ascii="宋体" w:hAnsi="宋体" w:cs="宋体"/>
          <w:b/>
          <w:color w:val="auto"/>
          <w:szCs w:val="21"/>
          <w:highlight w:val="none"/>
        </w:rPr>
        <w:t>投标函</w:t>
      </w:r>
    </w:p>
    <w:p>
      <w:pPr>
        <w:widowControl/>
        <w:spacing w:line="400" w:lineRule="exact"/>
        <w:jc w:val="center"/>
        <w:rPr>
          <w:rFonts w:ascii="宋体" w:hAnsi="宋体" w:cs="宋体"/>
          <w:b/>
          <w:color w:val="auto"/>
          <w:sz w:val="24"/>
          <w:highlight w:val="none"/>
        </w:rPr>
      </w:pPr>
      <w:r>
        <w:rPr>
          <w:rFonts w:hint="eastAsia" w:ascii="宋体" w:hAnsi="宋体" w:cs="宋体"/>
          <w:b/>
          <w:color w:val="auto"/>
          <w:sz w:val="24"/>
          <w:szCs w:val="21"/>
          <w:highlight w:val="none"/>
        </w:rPr>
        <w:t>投标函</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致：宁波中基国际招标有限公司</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u w:val="single"/>
        </w:rPr>
        <w:t xml:space="preserve">   （投标人全称）   </w:t>
      </w:r>
      <w:r>
        <w:rPr>
          <w:rFonts w:hint="eastAsia" w:hAnsi="宋体" w:cs="宋体"/>
          <w:color w:val="auto"/>
          <w:sz w:val="21"/>
          <w:szCs w:val="21"/>
          <w:highlight w:val="none"/>
        </w:rPr>
        <w:t xml:space="preserve"> 授权</w:t>
      </w:r>
      <w:r>
        <w:rPr>
          <w:rFonts w:hint="eastAsia" w:hAnsi="宋体" w:cs="宋体"/>
          <w:color w:val="auto"/>
          <w:sz w:val="21"/>
          <w:szCs w:val="21"/>
          <w:highlight w:val="none"/>
          <w:u w:val="single"/>
        </w:rPr>
        <w:t xml:space="preserve"> （授权代表姓名、职务）   </w:t>
      </w:r>
      <w:r>
        <w:rPr>
          <w:rFonts w:hint="eastAsia" w:hAnsi="宋体" w:cs="宋体"/>
          <w:color w:val="auto"/>
          <w:sz w:val="21"/>
          <w:szCs w:val="21"/>
          <w:highlight w:val="none"/>
        </w:rPr>
        <w:t xml:space="preserve">为本公司合法代理人，参加贵方组织的 </w:t>
      </w:r>
      <w:r>
        <w:rPr>
          <w:rFonts w:hint="eastAsia" w:hAnsi="宋体" w:cs="宋体"/>
          <w:color w:val="auto"/>
          <w:sz w:val="21"/>
          <w:szCs w:val="21"/>
          <w:highlight w:val="none"/>
          <w:u w:val="single"/>
        </w:rPr>
        <w:t xml:space="preserve">   （项目编号、项目名称） </w:t>
      </w:r>
      <w:r>
        <w:rPr>
          <w:rFonts w:hint="eastAsia" w:hAnsi="宋体" w:cs="宋体"/>
          <w:color w:val="auto"/>
          <w:sz w:val="21"/>
          <w:szCs w:val="21"/>
          <w:highlight w:val="none"/>
        </w:rPr>
        <w:t>招投标活动，代表本公司</w:t>
      </w:r>
      <w:r>
        <w:rPr>
          <w:rFonts w:hint="eastAsia" w:hAnsi="宋体" w:cs="宋体"/>
          <w:color w:val="auto"/>
          <w:sz w:val="21"/>
          <w:szCs w:val="21"/>
          <w:highlight w:val="none"/>
          <w:u w:val="single"/>
        </w:rPr>
        <w:t>（单位）</w:t>
      </w:r>
      <w:r>
        <w:rPr>
          <w:rFonts w:hint="eastAsia" w:hAnsi="宋体" w:cs="宋体"/>
          <w:color w:val="auto"/>
          <w:sz w:val="21"/>
          <w:szCs w:val="21"/>
          <w:highlight w:val="none"/>
        </w:rPr>
        <w:t>处理招投标活动中的一切事宜，在此：</w:t>
      </w:r>
    </w:p>
    <w:p>
      <w:pPr>
        <w:pStyle w:val="15"/>
        <w:widowControl/>
        <w:numPr>
          <w:ilvl w:val="0"/>
          <w:numId w:val="10"/>
        </w:numPr>
        <w:spacing w:line="360" w:lineRule="auto"/>
        <w:jc w:val="left"/>
        <w:rPr>
          <w:rFonts w:hAnsi="宋体" w:cs="宋体"/>
          <w:color w:val="auto"/>
          <w:sz w:val="21"/>
          <w:szCs w:val="21"/>
          <w:highlight w:val="none"/>
        </w:rPr>
      </w:pPr>
      <w:r>
        <w:rPr>
          <w:rFonts w:hint="eastAsia" w:hAnsi="宋体" w:cs="宋体"/>
          <w:color w:val="auto"/>
          <w:sz w:val="21"/>
          <w:szCs w:val="21"/>
          <w:highlight w:val="none"/>
        </w:rPr>
        <w:t>提供招标文件中“投标须知”规定的全部投标文件：电子投标文件（含资格证明文件、商务技术文件、报价文件）1份；U盘存储的电子备份投标文件（含资格证明文件、商务技术文件、报价文件）1份。</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2、据此函，签字代表宣布并承诺如下：</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（1）我方对招标项目愿以投标报价为：元（大写：元人民币），承担招标文件规定内容。</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（2）本报价已经包含了所供货物应纳的税金及招标文件规定的报价方式应包含的其它费用。本报价在投标有效期内固定不变，并在合同有效期内不受利率波动的影响。</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（3）本投标自投标截止日起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（4）我们已详细审查全部招标文件及有关的澄清/修改文件(若有的话)，我们完全理解并同意放弃对这方面提出任何异议的权利。保证遵守招标文件有关条款规定。</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（5）保证在中标后忠实地执行与招标人所签署的合同，并承担合同规定的责任义务。</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（6）承诺应贵方要求提供任何与该项目投标有关的数据、情况和技术资料。</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（7）我们承诺，与为招标人采购本次招标的货物进行设计、编制规范和其他文件所委托的咨询公司或其附属机构无任何直接或间接的关联。</w:t>
      </w:r>
    </w:p>
    <w:p>
      <w:pPr>
        <w:pStyle w:val="15"/>
        <w:widowControl/>
        <w:spacing w:line="360" w:lineRule="auto"/>
        <w:ind w:left="303" w:hanging="303" w:hangingChars="150"/>
        <w:jc w:val="left"/>
        <w:rPr>
          <w:rFonts w:hAnsi="宋体" w:cs="宋体"/>
          <w:color w:val="auto"/>
          <w:sz w:val="21"/>
          <w:szCs w:val="21"/>
          <w:highlight w:val="none"/>
        </w:rPr>
      </w:pPr>
      <w:r>
        <w:rPr>
          <w:rFonts w:hint="eastAsia" w:hAnsi="宋体" w:cs="宋体"/>
          <w:color w:val="auto"/>
          <w:sz w:val="21"/>
          <w:szCs w:val="21"/>
          <w:highlight w:val="none"/>
        </w:rPr>
        <w:t>3、我们郑重声明：</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我公司符合有关法律法规规定的参加采购活动应当具备的条件：具有健全的财务会计制度、依法缴纳税收和社会保障资金、参加本次采购活动之前的三年内，在经营活动中无重大违法活动。</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4、我方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pStyle w:val="15"/>
        <w:widowControl/>
        <w:spacing w:line="360" w:lineRule="auto"/>
        <w:ind w:firstLine="0"/>
        <w:jc w:val="left"/>
        <w:rPr>
          <w:rFonts w:hAnsi="宋体" w:cs="宋体"/>
          <w:color w:val="auto"/>
          <w:sz w:val="21"/>
          <w:szCs w:val="21"/>
          <w:highlight w:val="none"/>
        </w:rPr>
      </w:pPr>
      <w:r>
        <w:rPr>
          <w:rFonts w:hint="eastAsia" w:hAnsi="宋体" w:cs="宋体"/>
          <w:color w:val="auto"/>
          <w:sz w:val="21"/>
          <w:szCs w:val="21"/>
          <w:highlight w:val="none"/>
        </w:rPr>
        <w:t>5、与本投标有关的一切往来通讯请寄：</w:t>
      </w:r>
    </w:p>
    <w:p>
      <w:pPr>
        <w:pStyle w:val="15"/>
        <w:widowControl/>
        <w:spacing w:line="360" w:lineRule="auto"/>
        <w:jc w:val="left"/>
        <w:rPr>
          <w:rFonts w:hAnsi="宋体" w:cs="宋体"/>
          <w:color w:val="auto"/>
          <w:sz w:val="21"/>
          <w:szCs w:val="21"/>
          <w:highlight w:val="none"/>
          <w:u w:val="single"/>
        </w:rPr>
      </w:pPr>
      <w:r>
        <w:rPr>
          <w:rFonts w:hint="eastAsia" w:hAnsi="宋体" w:cs="宋体"/>
          <w:color w:val="auto"/>
          <w:sz w:val="21"/>
          <w:szCs w:val="21"/>
          <w:highlight w:val="none"/>
        </w:rPr>
        <w:t>地址：</w:t>
      </w:r>
    </w:p>
    <w:p>
      <w:pPr>
        <w:pStyle w:val="15"/>
        <w:widowControl/>
        <w:spacing w:line="360" w:lineRule="auto"/>
        <w:jc w:val="left"/>
        <w:rPr>
          <w:rFonts w:hAnsi="宋体" w:cs="宋体"/>
          <w:color w:val="auto"/>
          <w:sz w:val="21"/>
          <w:szCs w:val="21"/>
          <w:highlight w:val="none"/>
          <w:u w:val="single"/>
        </w:rPr>
      </w:pPr>
      <w:r>
        <w:rPr>
          <w:rFonts w:hint="eastAsia" w:hAnsi="宋体" w:cs="宋体"/>
          <w:color w:val="auto"/>
          <w:sz w:val="21"/>
          <w:szCs w:val="21"/>
          <w:highlight w:val="none"/>
        </w:rPr>
        <w:t>邮编：  电话：  传真：</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pStyle w:val="15"/>
        <w:widowControl/>
        <w:spacing w:line="360" w:lineRule="auto"/>
        <w:ind w:firstLine="348" w:firstLineChars="150"/>
        <w:jc w:val="left"/>
        <w:rPr>
          <w:rFonts w:hAnsi="宋体" w:cs="宋体"/>
          <w:b/>
          <w:color w:val="auto"/>
          <w:szCs w:val="21"/>
          <w:highlight w:val="none"/>
        </w:rPr>
      </w:pPr>
      <w:r>
        <w:rPr>
          <w:rFonts w:hint="eastAsia" w:hAnsi="宋体" w:cs="宋体"/>
          <w:color w:val="auto"/>
          <w:sz w:val="24"/>
          <w:highlight w:val="none"/>
        </w:rPr>
        <w:br w:type="page"/>
      </w:r>
      <w:r>
        <w:rPr>
          <w:rFonts w:hint="eastAsia" w:hAnsi="宋体" w:cs="宋体"/>
          <w:b/>
          <w:color w:val="auto"/>
          <w:spacing w:val="0"/>
          <w:kern w:val="2"/>
          <w:sz w:val="21"/>
          <w:szCs w:val="21"/>
          <w:highlight w:val="none"/>
        </w:rPr>
        <w:t>格式十七：开标一览表</w:t>
      </w:r>
    </w:p>
    <w:p>
      <w:pPr>
        <w:spacing w:line="360" w:lineRule="auto"/>
        <w:rPr>
          <w:rFonts w:ascii="宋体" w:hAnsi="宋体" w:cs="宋体"/>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pacing w:line="360" w:lineRule="auto"/>
        <w:jc w:val="center"/>
        <w:rPr>
          <w:rFonts w:ascii="宋体" w:hAnsi="宋体" w:cs="宋体"/>
          <w:b/>
          <w:color w:val="auto"/>
          <w:sz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                                 项目编号：</w:t>
      </w:r>
    </w:p>
    <w:tbl>
      <w:tblPr>
        <w:tblStyle w:val="35"/>
        <w:tblW w:w="89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306"/>
        <w:gridCol w:w="4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87"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06"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采购内容</w:t>
            </w:r>
          </w:p>
        </w:tc>
        <w:tc>
          <w:tcPr>
            <w:tcW w:w="408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587"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306" w:type="dxa"/>
            <w:vAlign w:val="center"/>
          </w:tcPr>
          <w:p>
            <w:pPr>
              <w:widowControl/>
              <w:autoSpaceDN w:val="0"/>
              <w:spacing w:line="400" w:lineRule="exact"/>
              <w:jc w:val="center"/>
              <w:rPr>
                <w:rFonts w:ascii="宋体" w:hAnsi="宋体" w:cs="宋体"/>
                <w:color w:val="auto"/>
                <w:szCs w:val="21"/>
                <w:highlight w:val="none"/>
              </w:rPr>
            </w:pPr>
          </w:p>
        </w:tc>
        <w:tc>
          <w:tcPr>
            <w:tcW w:w="4085"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小写：</w:t>
            </w:r>
          </w:p>
          <w:p>
            <w:pPr>
              <w:pStyle w:val="34"/>
              <w:rPr>
                <w:rFonts w:ascii="宋体" w:hAnsi="宋体" w:cs="宋体"/>
                <w:color w:val="auto"/>
                <w:szCs w:val="21"/>
                <w:highlight w:val="none"/>
              </w:rPr>
            </w:pPr>
          </w:p>
          <w:p>
            <w:pPr>
              <w:rPr>
                <w:color w:val="auto"/>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大写：</w:t>
            </w:r>
          </w:p>
        </w:tc>
      </w:tr>
    </w:tbl>
    <w:p>
      <w:pPr>
        <w:spacing w:line="360" w:lineRule="auto"/>
        <w:rPr>
          <w:rFonts w:hAnsi="宋体" w:cs="宋体"/>
          <w:b/>
          <w:bCs/>
          <w:color w:val="auto"/>
          <w:szCs w:val="21"/>
          <w:highlight w:val="none"/>
        </w:rPr>
      </w:pPr>
      <w:r>
        <w:rPr>
          <w:rFonts w:hint="eastAsia" w:ascii="宋体" w:hAnsi="宋体" w:cs="宋体"/>
          <w:b/>
          <w:bCs/>
          <w:color w:val="auto"/>
          <w:szCs w:val="21"/>
          <w:highlight w:val="none"/>
        </w:rPr>
        <w:t>注：</w:t>
      </w:r>
      <w:r>
        <w:rPr>
          <w:rFonts w:hint="eastAsia" w:hAnsi="宋体" w:cs="宋体"/>
          <w:b/>
          <w:bCs/>
          <w:color w:val="auto"/>
          <w:szCs w:val="21"/>
          <w:highlight w:val="none"/>
        </w:rPr>
        <w:t>1、若投标人尚有其它内容需明列的，请按此表格式扩展。</w:t>
      </w:r>
    </w:p>
    <w:p>
      <w:pPr>
        <w:pStyle w:val="15"/>
        <w:spacing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2、“投标报价”应与格式一“投标函”中“投标报价”一致。</w:t>
      </w:r>
    </w:p>
    <w:p>
      <w:pPr>
        <w:pStyle w:val="15"/>
        <w:spacing w:line="360" w:lineRule="auto"/>
        <w:ind w:left="-178" w:leftChars="-85" w:firstLine="505" w:firstLineChars="250"/>
        <w:rPr>
          <w:rFonts w:hAnsi="宋体" w:cs="宋体"/>
          <w:color w:val="auto"/>
          <w:sz w:val="21"/>
          <w:szCs w:val="21"/>
          <w:highlight w:val="none"/>
        </w:rPr>
      </w:pPr>
    </w:p>
    <w:p>
      <w:pPr>
        <w:spacing w:line="400" w:lineRule="exact"/>
        <w:rPr>
          <w:rFonts w:ascii="宋体" w:hAnsi="宋体" w:cs="宋体"/>
          <w:color w:val="auto"/>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20"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pStyle w:val="15"/>
        <w:widowControl/>
        <w:spacing w:line="360" w:lineRule="auto"/>
        <w:ind w:firstLine="0"/>
        <w:jc w:val="left"/>
        <w:rPr>
          <w:rFonts w:hAnsi="宋体" w:cs="宋体"/>
          <w:b/>
          <w:color w:val="auto"/>
          <w:sz w:val="28"/>
          <w:highlight w:val="none"/>
        </w:rPr>
        <w:sectPr>
          <w:pgSz w:w="11906" w:h="16838"/>
          <w:pgMar w:top="1474" w:right="1531" w:bottom="1247" w:left="1531" w:header="851" w:footer="851" w:gutter="0"/>
          <w:cols w:space="720" w:num="1"/>
          <w:titlePg/>
          <w:docGrid w:linePitch="312" w:charSpace="0"/>
        </w:sectPr>
      </w:pPr>
    </w:p>
    <w:p>
      <w:pPr>
        <w:rPr>
          <w:rFonts w:ascii="宋体" w:hAnsi="宋体" w:cs="宋体"/>
          <w:b/>
          <w:color w:val="auto"/>
          <w:sz w:val="24"/>
          <w:szCs w:val="21"/>
          <w:highlight w:val="none"/>
        </w:rPr>
      </w:pPr>
      <w:bookmarkStart w:id="245" w:name="_Toc460857948"/>
      <w:r>
        <w:rPr>
          <w:rFonts w:hint="eastAsia" w:ascii="宋体" w:hAnsi="宋体" w:cs="宋体"/>
          <w:b/>
          <w:color w:val="auto"/>
          <w:highlight w:val="none"/>
        </w:rPr>
        <w:t>格式十八：</w:t>
      </w:r>
      <w:bookmarkEnd w:id="245"/>
      <w:r>
        <w:rPr>
          <w:rFonts w:hint="eastAsia" w:ascii="宋体" w:hAnsi="宋体" w:cs="宋体"/>
          <w:b/>
          <w:color w:val="auto"/>
          <w:szCs w:val="21"/>
          <w:highlight w:val="none"/>
        </w:rPr>
        <w:t>投标报价明细表</w:t>
      </w:r>
    </w:p>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投标报价明细表</w:t>
      </w:r>
    </w:p>
    <w:p>
      <w:pPr>
        <w:pStyle w:val="8"/>
        <w:ind w:left="420" w:firstLine="0"/>
        <w:rPr>
          <w:rFonts w:ascii="宋体" w:hAnsi="宋体" w:cs="宋体"/>
          <w:b/>
          <w:color w:val="auto"/>
          <w:sz w:val="24"/>
          <w:szCs w:val="21"/>
          <w:highlight w:val="none"/>
        </w:rPr>
      </w:pPr>
    </w:p>
    <w:p>
      <w:pPr>
        <w:rPr>
          <w:color w:val="auto"/>
          <w:highlight w:val="none"/>
        </w:rPr>
      </w:pP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                                   项目编号：</w:t>
      </w:r>
    </w:p>
    <w:p>
      <w:pPr>
        <w:spacing w:line="360" w:lineRule="auto"/>
        <w:rPr>
          <w:color w:val="auto"/>
          <w:highlight w:val="none"/>
        </w:rPr>
      </w:pPr>
      <w:r>
        <w:rPr>
          <w:rFonts w:hint="eastAsia"/>
          <w:color w:val="auto"/>
          <w:highlight w:val="none"/>
        </w:rPr>
        <w:t>单位：人民币（元）</w:t>
      </w:r>
    </w:p>
    <w:tbl>
      <w:tblPr>
        <w:tblStyle w:val="35"/>
        <w:tblW w:w="100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923"/>
        <w:gridCol w:w="1284"/>
        <w:gridCol w:w="1284"/>
        <w:gridCol w:w="1284"/>
        <w:gridCol w:w="12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序号</w:t>
            </w:r>
          </w:p>
        </w:tc>
        <w:tc>
          <w:tcPr>
            <w:tcW w:w="3923"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报价组成</w:t>
            </w:r>
          </w:p>
        </w:tc>
        <w:tc>
          <w:tcPr>
            <w:tcW w:w="128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单价</w:t>
            </w:r>
          </w:p>
        </w:tc>
        <w:tc>
          <w:tcPr>
            <w:tcW w:w="128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数量</w:t>
            </w:r>
          </w:p>
        </w:tc>
        <w:tc>
          <w:tcPr>
            <w:tcW w:w="128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合计</w:t>
            </w:r>
          </w:p>
        </w:tc>
        <w:tc>
          <w:tcPr>
            <w:tcW w:w="128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1</w:t>
            </w:r>
          </w:p>
        </w:tc>
        <w:tc>
          <w:tcPr>
            <w:tcW w:w="3923"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2</w:t>
            </w:r>
          </w:p>
        </w:tc>
        <w:tc>
          <w:tcPr>
            <w:tcW w:w="3923"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3</w:t>
            </w:r>
          </w:p>
        </w:tc>
        <w:tc>
          <w:tcPr>
            <w:tcW w:w="3923"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4</w:t>
            </w:r>
          </w:p>
        </w:tc>
        <w:tc>
          <w:tcPr>
            <w:tcW w:w="3923"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5</w:t>
            </w:r>
          </w:p>
        </w:tc>
        <w:tc>
          <w:tcPr>
            <w:tcW w:w="3923"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6</w:t>
            </w:r>
          </w:p>
        </w:tc>
        <w:tc>
          <w:tcPr>
            <w:tcW w:w="3923"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7</w:t>
            </w:r>
          </w:p>
        </w:tc>
        <w:tc>
          <w:tcPr>
            <w:tcW w:w="3923"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r>
              <w:rPr>
                <w:rFonts w:hAnsi="宋体"/>
                <w:color w:val="auto"/>
                <w:sz w:val="21"/>
                <w:szCs w:val="21"/>
                <w:highlight w:val="none"/>
              </w:rPr>
              <w:t>…</w:t>
            </w:r>
          </w:p>
        </w:tc>
        <w:tc>
          <w:tcPr>
            <w:tcW w:w="3923" w:type="dxa"/>
            <w:vAlign w:val="center"/>
          </w:tcPr>
          <w:p>
            <w:pPr>
              <w:pStyle w:val="15"/>
              <w:spacing w:line="400" w:lineRule="exact"/>
              <w:ind w:firstLine="0"/>
              <w:jc w:val="center"/>
              <w:rPr>
                <w:rFonts w:hAnsi="宋体"/>
                <w:color w:val="auto"/>
                <w:sz w:val="21"/>
                <w:szCs w:val="21"/>
                <w:highlight w:val="none"/>
              </w:rPr>
            </w:pPr>
            <w:r>
              <w:rPr>
                <w:rFonts w:hAnsi="宋体"/>
                <w:color w:val="auto"/>
                <w:sz w:val="21"/>
                <w:szCs w:val="21"/>
                <w:highlight w:val="none"/>
              </w:rPr>
              <w:t>…</w:t>
            </w: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color w:val="auto"/>
                <w:sz w:val="21"/>
                <w:szCs w:val="21"/>
                <w:highlight w:val="none"/>
              </w:rPr>
            </w:pPr>
          </w:p>
        </w:tc>
        <w:tc>
          <w:tcPr>
            <w:tcW w:w="3923" w:type="dxa"/>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合计</w:t>
            </w:r>
          </w:p>
        </w:tc>
        <w:tc>
          <w:tcPr>
            <w:tcW w:w="2568" w:type="dxa"/>
            <w:gridSpan w:val="2"/>
            <w:vAlign w:val="center"/>
          </w:tcPr>
          <w:p>
            <w:pPr>
              <w:pStyle w:val="15"/>
              <w:spacing w:line="400" w:lineRule="exact"/>
              <w:ind w:firstLine="0"/>
              <w:jc w:val="center"/>
              <w:rPr>
                <w:rFonts w:hAnsi="宋体"/>
                <w:color w:val="auto"/>
                <w:sz w:val="21"/>
                <w:szCs w:val="21"/>
                <w:highlight w:val="none"/>
              </w:rPr>
            </w:pPr>
            <w:r>
              <w:rPr>
                <w:rFonts w:hint="eastAsia" w:hAnsi="宋体"/>
                <w:color w:val="auto"/>
                <w:sz w:val="21"/>
                <w:szCs w:val="21"/>
                <w:highlight w:val="none"/>
              </w:rPr>
              <w:t>/</w:t>
            </w:r>
          </w:p>
        </w:tc>
        <w:tc>
          <w:tcPr>
            <w:tcW w:w="1284" w:type="dxa"/>
            <w:vAlign w:val="center"/>
          </w:tcPr>
          <w:p>
            <w:pPr>
              <w:pStyle w:val="15"/>
              <w:spacing w:line="400" w:lineRule="exact"/>
              <w:ind w:firstLine="0"/>
              <w:jc w:val="center"/>
              <w:rPr>
                <w:rFonts w:hAnsi="宋体"/>
                <w:color w:val="auto"/>
                <w:sz w:val="21"/>
                <w:szCs w:val="21"/>
                <w:highlight w:val="none"/>
              </w:rPr>
            </w:pPr>
          </w:p>
        </w:tc>
        <w:tc>
          <w:tcPr>
            <w:tcW w:w="1284" w:type="dxa"/>
            <w:vAlign w:val="center"/>
          </w:tcPr>
          <w:p>
            <w:pPr>
              <w:pStyle w:val="15"/>
              <w:spacing w:line="400" w:lineRule="exact"/>
              <w:ind w:firstLine="0"/>
              <w:jc w:val="center"/>
              <w:rPr>
                <w:rFonts w:hAnsi="宋体"/>
                <w:color w:val="auto"/>
                <w:sz w:val="21"/>
                <w:szCs w:val="21"/>
                <w:highlight w:val="none"/>
              </w:rPr>
            </w:pPr>
          </w:p>
        </w:tc>
      </w:tr>
    </w:tbl>
    <w:p>
      <w:pPr>
        <w:pStyle w:val="15"/>
        <w:spacing w:line="360" w:lineRule="auto"/>
        <w:ind w:firstLine="0"/>
        <w:rPr>
          <w:rFonts w:hAnsi="宋体"/>
          <w:color w:val="auto"/>
          <w:sz w:val="21"/>
          <w:szCs w:val="21"/>
          <w:highlight w:val="none"/>
        </w:rPr>
      </w:pPr>
      <w:r>
        <w:rPr>
          <w:rFonts w:hint="eastAsia" w:hAnsi="宋体"/>
          <w:color w:val="auto"/>
          <w:sz w:val="21"/>
          <w:szCs w:val="21"/>
          <w:highlight w:val="none"/>
        </w:rPr>
        <w:t>注： 1. 报价组成可由投标人自行拟定或修改。</w:t>
      </w:r>
    </w:p>
    <w:p>
      <w:pPr>
        <w:pStyle w:val="15"/>
        <w:numPr>
          <w:ilvl w:val="0"/>
          <w:numId w:val="11"/>
        </w:numPr>
        <w:spacing w:line="360" w:lineRule="auto"/>
        <w:rPr>
          <w:rFonts w:hAnsi="宋体"/>
          <w:color w:val="auto"/>
          <w:sz w:val="21"/>
          <w:szCs w:val="21"/>
          <w:highlight w:val="none"/>
        </w:rPr>
      </w:pPr>
      <w:r>
        <w:rPr>
          <w:rFonts w:hint="eastAsia" w:hAnsi="宋体"/>
          <w:color w:val="auto"/>
          <w:sz w:val="21"/>
          <w:szCs w:val="21"/>
          <w:highlight w:val="none"/>
        </w:rPr>
        <w:t>对于未列入本表投标价组成栏内的费项可自行增加填报。</w:t>
      </w:r>
    </w:p>
    <w:p>
      <w:pPr>
        <w:pStyle w:val="15"/>
        <w:spacing w:line="360" w:lineRule="auto"/>
        <w:ind w:firstLine="0"/>
        <w:rPr>
          <w:rFonts w:hAnsi="宋体"/>
          <w:color w:val="auto"/>
          <w:sz w:val="21"/>
          <w:szCs w:val="21"/>
          <w:highlight w:val="none"/>
        </w:rPr>
      </w:pPr>
      <w:r>
        <w:rPr>
          <w:rFonts w:hint="eastAsia" w:hAnsi="宋体"/>
          <w:color w:val="auto"/>
          <w:sz w:val="21"/>
          <w:szCs w:val="21"/>
          <w:highlight w:val="none"/>
        </w:rPr>
        <w:t xml:space="preserve">     3. 合计金额应与开标一览表中的投标报价一致。</w:t>
      </w:r>
    </w:p>
    <w:p>
      <w:pPr>
        <w:pStyle w:val="8"/>
        <w:ind w:firstLine="0"/>
        <w:rPr>
          <w:color w:val="auto"/>
          <w:highlight w:val="none"/>
        </w:rPr>
      </w:pPr>
    </w:p>
    <w:p>
      <w:pPr>
        <w:pStyle w:val="15"/>
        <w:snapToGrid w:val="0"/>
        <w:spacing w:line="360" w:lineRule="auto"/>
        <w:rPr>
          <w:rFonts w:hAnsi="宋体" w:cs="宋体"/>
          <w:color w:val="auto"/>
          <w:sz w:val="21"/>
          <w:szCs w:val="21"/>
          <w:highlight w:val="none"/>
        </w:rPr>
      </w:pPr>
      <w:bookmarkStart w:id="246" w:name="_Toc460857950"/>
    </w:p>
    <w:p>
      <w:pPr>
        <w:pStyle w:val="15"/>
        <w:snapToGrid w:val="0"/>
        <w:spacing w:line="360" w:lineRule="auto"/>
        <w:rPr>
          <w:rFonts w:hAnsi="宋体" w:cs="宋体"/>
          <w:color w:val="auto"/>
          <w:sz w:val="21"/>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56"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rPr>
          <w:color w:val="auto"/>
          <w:highlight w:val="none"/>
        </w:rPr>
      </w:pPr>
      <w:r>
        <w:rPr>
          <w:rFonts w:hint="eastAsia" w:ascii="宋体" w:hAnsi="宋体" w:cs="宋体"/>
          <w:b/>
          <w:color w:val="auto"/>
          <w:highlight w:val="none"/>
        </w:rPr>
        <w:br w:type="page"/>
      </w:r>
      <w:bookmarkEnd w:id="246"/>
      <w:bookmarkStart w:id="247" w:name="OLE_LINK14"/>
      <w:bookmarkStart w:id="248" w:name="OLE_LINK13"/>
      <w:r>
        <w:rPr>
          <w:rFonts w:hAnsi="宋体" w:cs="宋体"/>
          <w:b/>
          <w:color w:val="auto"/>
          <w:spacing w:val="-4"/>
          <w:szCs w:val="21"/>
          <w:highlight w:val="none"/>
        </w:rPr>
        <w:t xml:space="preserve"> </w:t>
      </w:r>
      <w:r>
        <w:rPr>
          <w:rFonts w:hint="eastAsia" w:hAnsi="宋体" w:cs="宋体"/>
          <w:b/>
          <w:color w:val="auto"/>
          <w:spacing w:val="-4"/>
          <w:szCs w:val="21"/>
          <w:highlight w:val="none"/>
        </w:rPr>
        <w:t>格式十九：</w:t>
      </w:r>
    </w:p>
    <w:p>
      <w:pPr>
        <w:widowControl/>
        <w:spacing w:line="360" w:lineRule="auto"/>
        <w:jc w:val="center"/>
        <w:rPr>
          <w:rFonts w:ascii="宋体" w:hAnsi="宋体" w:cs="宋体"/>
          <w:b/>
          <w:color w:val="auto"/>
          <w:spacing w:val="-4"/>
          <w:sz w:val="24"/>
          <w:highlight w:val="none"/>
        </w:rPr>
      </w:pPr>
    </w:p>
    <w:p>
      <w:pPr>
        <w:widowControl/>
        <w:spacing w:line="360" w:lineRule="auto"/>
        <w:jc w:val="center"/>
        <w:rPr>
          <w:rFonts w:ascii="宋体" w:hAnsi="宋体" w:cs="宋体"/>
          <w:b/>
          <w:color w:val="auto"/>
          <w:spacing w:val="-4"/>
          <w:sz w:val="24"/>
          <w:highlight w:val="none"/>
        </w:rPr>
      </w:pPr>
      <w:r>
        <w:rPr>
          <w:rFonts w:hint="eastAsia" w:ascii="宋体" w:hAnsi="宋体" w:cs="宋体"/>
          <w:b/>
          <w:color w:val="auto"/>
          <w:spacing w:val="-4"/>
          <w:sz w:val="24"/>
          <w:highlight w:val="none"/>
        </w:rPr>
        <w:t>中标服务费支付承诺函</w:t>
      </w:r>
    </w:p>
    <w:p>
      <w:pPr>
        <w:widowControl/>
        <w:spacing w:line="360" w:lineRule="auto"/>
        <w:rPr>
          <w:rFonts w:ascii="宋体" w:hAnsi="宋体" w:cs="宋体"/>
          <w:b/>
          <w:color w:val="auto"/>
          <w:spacing w:val="-4"/>
          <w:sz w:val="24"/>
          <w:highlight w:val="none"/>
        </w:rPr>
      </w:pPr>
    </w:p>
    <w:p>
      <w:pPr>
        <w:widowControl/>
        <w:spacing w:line="360" w:lineRule="auto"/>
        <w:rPr>
          <w:rFonts w:ascii="宋体" w:hAnsi="宋体" w:cs="宋体"/>
          <w:b/>
          <w:color w:val="auto"/>
          <w:spacing w:val="-4"/>
          <w:szCs w:val="21"/>
          <w:highlight w:val="none"/>
        </w:rPr>
      </w:pPr>
      <w:r>
        <w:rPr>
          <w:rFonts w:hint="eastAsia" w:ascii="宋体" w:hAnsi="宋体" w:cs="宋体"/>
          <w:b/>
          <w:color w:val="auto"/>
          <w:spacing w:val="-4"/>
          <w:szCs w:val="21"/>
          <w:highlight w:val="none"/>
        </w:rPr>
        <w:t>致：宁波中基国际招标有限公司</w:t>
      </w:r>
    </w:p>
    <w:p>
      <w:pPr>
        <w:widowControl/>
        <w:spacing w:line="360" w:lineRule="auto"/>
        <w:ind w:firstLine="404" w:firstLineChars="200"/>
        <w:rPr>
          <w:rFonts w:ascii="宋体" w:hAnsi="宋体" w:cs="宋体"/>
          <w:bCs/>
          <w:color w:val="auto"/>
          <w:spacing w:val="-4"/>
          <w:szCs w:val="21"/>
          <w:highlight w:val="none"/>
        </w:rPr>
      </w:pPr>
      <w:r>
        <w:rPr>
          <w:rFonts w:hint="eastAsia" w:ascii="宋体" w:hAnsi="宋体" w:cs="宋体"/>
          <w:bCs/>
          <w:i/>
          <w:iCs/>
          <w:color w:val="auto"/>
          <w:spacing w:val="-4"/>
          <w:szCs w:val="21"/>
          <w:highlight w:val="none"/>
          <w:u w:val="single"/>
        </w:rPr>
        <w:t>投标人单位名称</w:t>
      </w:r>
      <w:r>
        <w:rPr>
          <w:rFonts w:hint="eastAsia" w:ascii="宋体" w:hAnsi="宋体" w:cs="宋体"/>
          <w:bCs/>
          <w:color w:val="auto"/>
          <w:spacing w:val="-4"/>
          <w:szCs w:val="21"/>
          <w:highlight w:val="none"/>
        </w:rPr>
        <w:t>郑重承诺：</w:t>
      </w:r>
    </w:p>
    <w:p>
      <w:pPr>
        <w:widowControl/>
        <w:spacing w:line="360" w:lineRule="auto"/>
        <w:ind w:firstLine="404" w:firstLineChars="200"/>
        <w:rPr>
          <w:rFonts w:ascii="宋体" w:hAnsi="宋体" w:cs="宋体"/>
          <w:color w:val="auto"/>
          <w:szCs w:val="21"/>
          <w:highlight w:val="none"/>
        </w:rPr>
      </w:pPr>
      <w:r>
        <w:rPr>
          <w:rFonts w:hint="eastAsia" w:ascii="宋体" w:hAnsi="宋体" w:cs="宋体"/>
          <w:bCs/>
          <w:color w:val="auto"/>
          <w:spacing w:val="-4"/>
          <w:szCs w:val="21"/>
          <w:highlight w:val="none"/>
        </w:rPr>
        <w:t>若我司在项目（以下简称“本项目”）中有幸中标，我司将严格按照本项目招标文件第三章供应商须知序号3中有关</w:t>
      </w:r>
      <w:r>
        <w:rPr>
          <w:rFonts w:hint="eastAsia" w:ascii="宋体" w:hAnsi="宋体" w:cs="宋体"/>
          <w:color w:val="auto"/>
          <w:szCs w:val="21"/>
          <w:highlight w:val="none"/>
        </w:rPr>
        <w:t>中标服务费的规定，在本项目结果公示期满后5个工作日内向贵司支付中标服务费。</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若我司未按上述承诺内容执行，我司自愿承担本项目中标服务费200%的违约金，且在结果公示期满后5个工作日内支付上述违约金，否则由此引起的一切法律责任和经济责任由我司承担。</w:t>
      </w:r>
    </w:p>
    <w:p>
      <w:pPr>
        <w:widowControl/>
        <w:spacing w:line="360" w:lineRule="auto"/>
        <w:ind w:firstLine="406" w:firstLineChars="200"/>
        <w:rPr>
          <w:rFonts w:ascii="宋体" w:hAnsi="宋体" w:cs="宋体"/>
          <w:b/>
          <w:color w:val="auto"/>
          <w:spacing w:val="-4"/>
          <w:szCs w:val="21"/>
          <w:highlight w:val="none"/>
        </w:rPr>
      </w:pPr>
      <w:r>
        <w:rPr>
          <w:rFonts w:hint="eastAsia" w:ascii="宋体" w:hAnsi="宋体" w:cs="宋体"/>
          <w:b/>
          <w:color w:val="auto"/>
          <w:spacing w:val="-4"/>
          <w:szCs w:val="21"/>
          <w:highlight w:val="none"/>
        </w:rPr>
        <w:t>特此承诺！</w:t>
      </w:r>
    </w:p>
    <w:p>
      <w:pPr>
        <w:widowControl/>
        <w:spacing w:line="360" w:lineRule="auto"/>
        <w:ind w:firstLine="406" w:firstLineChars="200"/>
        <w:rPr>
          <w:rFonts w:ascii="宋体" w:hAnsi="宋体" w:cs="宋体"/>
          <w:b/>
          <w:color w:val="auto"/>
          <w:spacing w:val="-4"/>
          <w:szCs w:val="21"/>
          <w:highlight w:val="none"/>
        </w:rPr>
      </w:pPr>
    </w:p>
    <w:p>
      <w:pPr>
        <w:widowControl/>
        <w:spacing w:line="360" w:lineRule="auto"/>
        <w:rPr>
          <w:rFonts w:ascii="宋体" w:hAnsi="宋体" w:cs="宋体"/>
          <w:bCs/>
          <w:color w:val="auto"/>
          <w:spacing w:val="-4"/>
          <w:szCs w:val="21"/>
          <w:highlight w:val="none"/>
        </w:rPr>
      </w:pPr>
    </w:p>
    <w:p>
      <w:pPr>
        <w:widowControl/>
        <w:spacing w:line="360" w:lineRule="auto"/>
        <w:rPr>
          <w:rFonts w:ascii="宋体" w:hAnsi="宋体" w:cs="宋体"/>
          <w:bCs/>
          <w:color w:val="auto"/>
          <w:spacing w:val="-4"/>
          <w:szCs w:val="21"/>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 标 人（盖章）：</w:t>
      </w:r>
    </w:p>
    <w:p>
      <w:pPr>
        <w:pStyle w:val="15"/>
        <w:widowControl/>
        <w:spacing w:line="360" w:lineRule="auto"/>
        <w:ind w:firstLine="0"/>
        <w:jc w:val="left"/>
        <w:rPr>
          <w:rFonts w:hAnsi="宋体" w:cs="宋体"/>
          <w:color w:val="auto"/>
          <w:spacing w:val="0"/>
          <w:sz w:val="21"/>
          <w:szCs w:val="21"/>
          <w:highlight w:val="none"/>
        </w:rPr>
      </w:pPr>
      <w:r>
        <w:rPr>
          <w:rFonts w:hint="eastAsia" w:hAnsi="宋体" w:cs="宋体"/>
          <w:color w:val="auto"/>
          <w:spacing w:val="0"/>
          <w:sz w:val="21"/>
          <w:szCs w:val="21"/>
          <w:highlight w:val="none"/>
        </w:rPr>
        <w:t>日            期：</w:t>
      </w:r>
    </w:p>
    <w:p>
      <w:pPr>
        <w:snapToGrid w:val="0"/>
        <w:spacing w:line="360" w:lineRule="auto"/>
        <w:jc w:val="left"/>
        <w:rPr>
          <w:rFonts w:ascii="宋体" w:hAnsi="宋体" w:cs="宋体"/>
          <w:b/>
          <w:color w:val="auto"/>
          <w:szCs w:val="21"/>
          <w:highlight w:val="none"/>
        </w:rPr>
      </w:pPr>
    </w:p>
    <w:p>
      <w:pPr>
        <w:pStyle w:val="34"/>
        <w:rPr>
          <w:rFonts w:ascii="宋体" w:hAnsi="宋体" w:cs="宋体"/>
          <w:b/>
          <w:color w:val="auto"/>
          <w:szCs w:val="21"/>
          <w:highlight w:val="none"/>
        </w:rPr>
      </w:pPr>
    </w:p>
    <w:p>
      <w:pPr>
        <w:snapToGrid w:val="0"/>
        <w:spacing w:before="156" w:beforeLines="50" w:after="50"/>
        <w:rPr>
          <w:rFonts w:ascii="宋体" w:hAnsi="宋体" w:cs="宋体"/>
          <w:color w:val="auto"/>
          <w:sz w:val="24"/>
          <w:highlight w:val="none"/>
        </w:rPr>
      </w:pPr>
      <w:r>
        <w:rPr>
          <w:rFonts w:hint="eastAsia" w:ascii="宋体"/>
          <w:bCs/>
          <w:color w:val="auto"/>
          <w:szCs w:val="21"/>
          <w:highlight w:val="none"/>
        </w:rPr>
        <w:t>备注：若联合体参加投标，投标人盖章处盖联合牵头人公章。</w:t>
      </w:r>
    </w:p>
    <w:p>
      <w:pPr>
        <w:pStyle w:val="32"/>
        <w:spacing w:before="0" w:beforeAutospacing="0" w:after="0" w:afterAutospacing="0" w:line="360" w:lineRule="auto"/>
        <w:rPr>
          <w:rFonts w:ascii="宋体" w:hAnsi="宋体" w:cs="宋体"/>
          <w:b/>
          <w:color w:val="auto"/>
          <w:sz w:val="21"/>
          <w:szCs w:val="21"/>
          <w:highlight w:val="none"/>
        </w:rPr>
      </w:pPr>
    </w:p>
    <w:p>
      <w:pPr>
        <w:pStyle w:val="32"/>
        <w:spacing w:before="0" w:beforeAutospacing="0" w:after="0" w:afterAutospacing="0" w:line="360" w:lineRule="auto"/>
        <w:rPr>
          <w:rFonts w:ascii="宋体" w:hAnsi="宋体" w:cs="宋体"/>
          <w:b/>
          <w:color w:val="auto"/>
          <w:sz w:val="21"/>
          <w:szCs w:val="21"/>
          <w:highlight w:val="none"/>
        </w:rPr>
      </w:pPr>
    </w:p>
    <w:p>
      <w:pPr>
        <w:pStyle w:val="32"/>
        <w:spacing w:before="0" w:beforeAutospacing="0" w:after="0" w:afterAutospacing="0" w:line="360" w:lineRule="auto"/>
        <w:rPr>
          <w:rFonts w:ascii="宋体" w:hAnsi="宋体" w:cs="宋体"/>
          <w:b/>
          <w:color w:val="auto"/>
          <w:sz w:val="21"/>
          <w:szCs w:val="21"/>
          <w:highlight w:val="none"/>
        </w:rPr>
      </w:pPr>
    </w:p>
    <w:p>
      <w:pPr>
        <w:pStyle w:val="32"/>
        <w:spacing w:before="0" w:beforeAutospacing="0" w:after="0" w:afterAutospacing="0" w:line="360" w:lineRule="auto"/>
        <w:rPr>
          <w:rFonts w:ascii="宋体" w:hAnsi="宋体" w:cs="宋体"/>
          <w:b/>
          <w:color w:val="auto"/>
          <w:sz w:val="21"/>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服务费汇入以下账户：</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开户银行：宁波银行科技支行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    号：31010122000005488</w:t>
      </w:r>
    </w:p>
    <w:p>
      <w:pPr>
        <w:snapToGrid w:val="0"/>
        <w:spacing w:line="360" w:lineRule="auto"/>
        <w:rPr>
          <w:rFonts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Cs w:val="21"/>
          <w:highlight w:val="none"/>
        </w:rPr>
        <w:t>户    名：宁波中基国际招标有限公司</w:t>
      </w:r>
      <w:bookmarkEnd w:id="247"/>
      <w:bookmarkEnd w:id="248"/>
    </w:p>
    <w:p>
      <w:pPr>
        <w:tabs>
          <w:tab w:val="left" w:pos="360"/>
        </w:tabs>
        <w:adjustRightInd w:val="0"/>
        <w:snapToGrid w:val="0"/>
        <w:spacing w:line="360" w:lineRule="auto"/>
        <w:textAlignment w:val="baseline"/>
        <w:rPr>
          <w:rFonts w:ascii="宋体" w:hAnsi="宋体"/>
          <w:b/>
          <w:bCs/>
          <w:color w:val="auto"/>
          <w:highlight w:val="none"/>
        </w:rPr>
      </w:pPr>
      <w:r>
        <w:rPr>
          <w:rFonts w:hint="eastAsia" w:ascii="宋体" w:hAnsi="宋体"/>
          <w:b/>
          <w:bCs/>
          <w:color w:val="auto"/>
          <w:highlight w:val="none"/>
        </w:rPr>
        <w:t>附件：</w:t>
      </w:r>
      <w:r>
        <w:rPr>
          <w:rFonts w:ascii="宋体" w:hAnsi="宋体" w:cs="Calibri"/>
          <w:b/>
          <w:bCs/>
          <w:color w:val="auto"/>
          <w:highlight w:val="none"/>
        </w:rPr>
        <w:t>政府采购活动现场确认声明书</w:t>
      </w:r>
    </w:p>
    <w:p>
      <w:pPr>
        <w:snapToGrid w:val="0"/>
        <w:spacing w:line="360" w:lineRule="auto"/>
        <w:ind w:firstLine="562" w:firstLineChars="200"/>
        <w:jc w:val="center"/>
        <w:rPr>
          <w:rFonts w:ascii="宋体" w:hAnsi="宋体" w:cs="宋体"/>
          <w:color w:val="auto"/>
          <w:kern w:val="0"/>
          <w:sz w:val="24"/>
          <w:highlight w:val="none"/>
        </w:rPr>
      </w:pPr>
      <w:r>
        <w:rPr>
          <w:rFonts w:hint="eastAsia" w:ascii="宋体" w:hAnsi="宋体" w:cs="方正小标宋简体"/>
          <w:b/>
          <w:bCs/>
          <w:color w:val="auto"/>
          <w:sz w:val="28"/>
          <w:szCs w:val="28"/>
          <w:highlight w:val="none"/>
        </w:rPr>
        <w:t>政府采购活动现场确认声明书</w:t>
      </w:r>
    </w:p>
    <w:p>
      <w:pPr>
        <w:snapToGrid w:val="0"/>
        <w:spacing w:line="360" w:lineRule="auto"/>
        <w:rPr>
          <w:rFonts w:ascii="宋体" w:hAnsi="宋体"/>
          <w:bCs/>
          <w:color w:val="auto"/>
          <w:sz w:val="22"/>
          <w:szCs w:val="22"/>
          <w:highlight w:val="none"/>
        </w:rPr>
      </w:pPr>
      <w:r>
        <w:rPr>
          <w:rFonts w:hint="eastAsia" w:ascii="宋体" w:hAnsi="宋体" w:cs="宋体"/>
          <w:color w:val="auto"/>
          <w:kern w:val="0"/>
          <w:sz w:val="22"/>
          <w:szCs w:val="22"/>
          <w:highlight w:val="none"/>
        </w:rPr>
        <w:t>宁波中基国际招标有限公司：</w:t>
      </w:r>
    </w:p>
    <w:p>
      <w:pPr>
        <w:snapToGrid w:val="0"/>
        <w:spacing w:line="312"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本人（授权代表姓名），经由（单位）（法定代表人姓名）合法授权参加（编号：）政府采购活动，经与本单位法人代表（负责人）联系确认，现就有关公平竞争事项郑重声明如下：</w:t>
      </w:r>
    </w:p>
    <w:p>
      <w:pPr>
        <w:widowControl/>
        <w:numPr>
          <w:ilvl w:val="0"/>
          <w:numId w:val="12"/>
        </w:numPr>
        <w:snapToGrid w:val="0"/>
        <w:spacing w:line="312" w:lineRule="auto"/>
        <w:ind w:firstLine="415" w:firstLineChars="189"/>
        <w:rPr>
          <w:rFonts w:ascii="宋体" w:hAnsi="宋体"/>
          <w:color w:val="auto"/>
          <w:kern w:val="0"/>
          <w:sz w:val="22"/>
          <w:szCs w:val="22"/>
          <w:highlight w:val="none"/>
        </w:rPr>
      </w:pPr>
      <w:r>
        <w:rPr>
          <w:rFonts w:hint="eastAsia" w:ascii="宋体" w:hAnsi="宋体" w:cs="宋体"/>
          <w:color w:val="auto"/>
          <w:kern w:val="0"/>
          <w:sz w:val="22"/>
          <w:szCs w:val="22"/>
          <w:highlight w:val="none"/>
        </w:rPr>
        <w:t>本单位与采购人之间□不存在利害关系□存在下列利害关系：</w:t>
      </w:r>
    </w:p>
    <w:p>
      <w:pPr>
        <w:widowControl/>
        <w:snapToGrid w:val="0"/>
        <w:spacing w:line="312" w:lineRule="auto"/>
        <w:ind w:firstLine="440" w:firstLineChars="200"/>
        <w:rPr>
          <w:rFonts w:ascii="宋体" w:hAnsi="宋体"/>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pPr>
        <w:widowControl/>
        <w:snapToGrid w:val="0"/>
        <w:spacing w:line="312" w:lineRule="auto"/>
        <w:ind w:firstLine="440" w:firstLineChars="200"/>
        <w:rPr>
          <w:rFonts w:ascii="宋体" w:hAnsi="宋体"/>
          <w:color w:val="auto"/>
          <w:kern w:val="0"/>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p>
    <w:p>
      <w:pPr>
        <w:widowControl/>
        <w:numPr>
          <w:ilvl w:val="0"/>
          <w:numId w:val="12"/>
        </w:numPr>
        <w:snapToGrid w:val="0"/>
        <w:spacing w:line="312" w:lineRule="auto"/>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现已清楚知道参加本项目采购活动的其他所有供应商名称，本单位□与其他所有供应商之间均不存在利害关系□与（供应商名称）之间存在下列利害关系：</w:t>
      </w:r>
    </w:p>
    <w:p>
      <w:pPr>
        <w:snapToGrid w:val="0"/>
        <w:spacing w:line="312" w:lineRule="auto"/>
        <w:ind w:firstLine="440" w:firstLineChars="200"/>
        <w:rPr>
          <w:rFonts w:ascii="宋体" w:hAnsi="宋体"/>
          <w:color w:val="auto"/>
          <w:kern w:val="0"/>
          <w:sz w:val="22"/>
          <w:szCs w:val="22"/>
          <w:highlight w:val="none"/>
        </w:rPr>
      </w:pPr>
      <w:r>
        <w:rPr>
          <w:rFonts w:ascii="宋体" w:hAnsi="宋体" w:cs="宋体"/>
          <w:color w:val="auto"/>
          <w:kern w:val="0"/>
          <w:sz w:val="22"/>
          <w:szCs w:val="22"/>
          <w:highlight w:val="none"/>
        </w:rPr>
        <w:t xml:space="preserve">  A.</w:t>
      </w:r>
      <w:r>
        <w:rPr>
          <w:rFonts w:hint="eastAsia" w:ascii="宋体" w:hAnsi="宋体" w:cs="宋体"/>
          <w:color w:val="auto"/>
          <w:kern w:val="0"/>
          <w:sz w:val="22"/>
          <w:szCs w:val="22"/>
          <w:highlight w:val="none"/>
        </w:rPr>
        <w:t>法定代表人或负责人或实际控制人是同一人</w:t>
      </w:r>
    </w:p>
    <w:p>
      <w:pPr>
        <w:snapToGrid w:val="0"/>
        <w:spacing w:line="312" w:lineRule="auto"/>
        <w:ind w:firstLine="440" w:firstLineChars="200"/>
        <w:rPr>
          <w:rFonts w:ascii="宋体" w:hAnsi="宋体"/>
          <w:color w:val="auto"/>
          <w:spacing w:val="6"/>
          <w:sz w:val="22"/>
          <w:szCs w:val="22"/>
          <w:highlight w:val="none"/>
        </w:rPr>
      </w:pP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法定代表人或负责人或实际控制人是夫妻关系</w:t>
      </w:r>
    </w:p>
    <w:p>
      <w:pPr>
        <w:snapToGrid w:val="0"/>
        <w:spacing w:line="312" w:lineRule="auto"/>
        <w:ind w:firstLine="440" w:firstLineChars="200"/>
        <w:rPr>
          <w:rFonts w:ascii="宋体" w:hAnsi="宋体"/>
          <w:color w:val="auto"/>
          <w:spacing w:val="6"/>
          <w:sz w:val="22"/>
          <w:szCs w:val="22"/>
          <w:highlight w:val="none"/>
        </w:rPr>
      </w:pP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法定代表人或负责人或实际控制人是直系血亲关系</w:t>
      </w:r>
    </w:p>
    <w:p>
      <w:pPr>
        <w:snapToGrid w:val="0"/>
        <w:spacing w:line="312" w:lineRule="auto"/>
        <w:ind w:firstLine="440" w:firstLineChars="200"/>
        <w:rPr>
          <w:rFonts w:ascii="宋体" w:hAnsi="宋体"/>
          <w:color w:val="auto"/>
          <w:spacing w:val="6"/>
          <w:sz w:val="22"/>
          <w:szCs w:val="22"/>
          <w:highlight w:val="none"/>
        </w:rPr>
      </w:pPr>
      <w:r>
        <w:rPr>
          <w:rFonts w:ascii="宋体" w:hAnsi="宋体" w:cs="宋体"/>
          <w:color w:val="auto"/>
          <w:kern w:val="0"/>
          <w:sz w:val="22"/>
          <w:szCs w:val="22"/>
          <w:highlight w:val="none"/>
        </w:rPr>
        <w:t xml:space="preserve">  D.</w:t>
      </w:r>
      <w:r>
        <w:rPr>
          <w:rFonts w:hint="eastAsia" w:ascii="宋体" w:hAnsi="宋体" w:cs="宋体"/>
          <w:color w:val="auto"/>
          <w:kern w:val="0"/>
          <w:sz w:val="22"/>
          <w:szCs w:val="22"/>
          <w:highlight w:val="none"/>
        </w:rPr>
        <w:t>法定代表人或负责人或实际控制人存在三代以内旁系血亲关系</w:t>
      </w:r>
    </w:p>
    <w:p>
      <w:pPr>
        <w:snapToGrid w:val="0"/>
        <w:spacing w:line="312" w:lineRule="auto"/>
        <w:ind w:firstLine="440" w:firstLineChars="200"/>
        <w:rPr>
          <w:rFonts w:ascii="宋体" w:hAnsi="宋体"/>
          <w:color w:val="auto"/>
          <w:kern w:val="0"/>
          <w:sz w:val="22"/>
          <w:szCs w:val="22"/>
          <w:highlight w:val="none"/>
        </w:rPr>
      </w:pPr>
      <w:r>
        <w:rPr>
          <w:rFonts w:ascii="宋体" w:hAnsi="宋体" w:cs="宋体"/>
          <w:color w:val="auto"/>
          <w:kern w:val="0"/>
          <w:sz w:val="22"/>
          <w:szCs w:val="22"/>
          <w:highlight w:val="none"/>
        </w:rPr>
        <w:t xml:space="preserve">  E.</w:t>
      </w:r>
      <w:r>
        <w:rPr>
          <w:rFonts w:hint="eastAsia" w:ascii="宋体" w:hAnsi="宋体" w:cs="宋体"/>
          <w:color w:val="auto"/>
          <w:kern w:val="0"/>
          <w:sz w:val="22"/>
          <w:szCs w:val="22"/>
          <w:highlight w:val="none"/>
        </w:rPr>
        <w:t>法定代表人或负责人或实际控制人存在近姻亲关系</w:t>
      </w:r>
    </w:p>
    <w:p>
      <w:pPr>
        <w:snapToGrid w:val="0"/>
        <w:spacing w:line="312" w:lineRule="auto"/>
        <w:ind w:firstLine="440" w:firstLineChars="200"/>
        <w:rPr>
          <w:rFonts w:ascii="宋体" w:hAnsi="宋体"/>
          <w:color w:val="auto"/>
          <w:kern w:val="0"/>
          <w:sz w:val="22"/>
          <w:szCs w:val="22"/>
          <w:highlight w:val="none"/>
        </w:rPr>
      </w:pPr>
      <w:r>
        <w:rPr>
          <w:rFonts w:ascii="宋体" w:hAnsi="宋体" w:cs="宋体"/>
          <w:color w:val="auto"/>
          <w:kern w:val="0"/>
          <w:sz w:val="22"/>
          <w:szCs w:val="22"/>
          <w:highlight w:val="none"/>
        </w:rPr>
        <w:t xml:space="preserve">  F.</w:t>
      </w:r>
      <w:r>
        <w:rPr>
          <w:rFonts w:hint="eastAsia" w:ascii="宋体" w:hAnsi="宋体" w:cs="宋体"/>
          <w:color w:val="auto"/>
          <w:kern w:val="0"/>
          <w:sz w:val="22"/>
          <w:szCs w:val="22"/>
          <w:highlight w:val="none"/>
        </w:rPr>
        <w:t>法定代表人或负责人或实际控制人存在股份控制或实际控制关系</w:t>
      </w:r>
    </w:p>
    <w:p>
      <w:pPr>
        <w:snapToGrid w:val="0"/>
        <w:spacing w:line="312" w:lineRule="auto"/>
        <w:ind w:firstLine="440" w:firstLineChars="200"/>
        <w:rPr>
          <w:rFonts w:ascii="宋体" w:hAnsi="宋体"/>
          <w:color w:val="auto"/>
          <w:kern w:val="0"/>
          <w:sz w:val="22"/>
          <w:szCs w:val="22"/>
          <w:highlight w:val="none"/>
        </w:rPr>
      </w:pPr>
      <w:r>
        <w:rPr>
          <w:rFonts w:ascii="宋体" w:hAnsi="宋体" w:cs="宋体"/>
          <w:color w:val="auto"/>
          <w:kern w:val="0"/>
          <w:sz w:val="22"/>
          <w:szCs w:val="22"/>
          <w:highlight w:val="none"/>
        </w:rPr>
        <w:t xml:space="preserve">  G.</w:t>
      </w:r>
      <w:r>
        <w:rPr>
          <w:rFonts w:hint="eastAsia" w:ascii="宋体" w:hAnsi="宋体" w:cs="宋体"/>
          <w:color w:val="auto"/>
          <w:kern w:val="0"/>
          <w:sz w:val="22"/>
          <w:szCs w:val="22"/>
          <w:highlight w:val="none"/>
        </w:rPr>
        <w:t>存在共同直接或间接投资设立子公司、联营企业和合营企业情况</w:t>
      </w:r>
    </w:p>
    <w:p>
      <w:pPr>
        <w:snapToGrid w:val="0"/>
        <w:spacing w:line="312" w:lineRule="auto"/>
        <w:ind w:firstLine="440" w:firstLineChars="200"/>
        <w:rPr>
          <w:rFonts w:ascii="宋体" w:hAnsi="宋体"/>
          <w:color w:val="auto"/>
          <w:sz w:val="22"/>
          <w:szCs w:val="22"/>
          <w:highlight w:val="none"/>
        </w:rPr>
      </w:pPr>
      <w:r>
        <w:rPr>
          <w:rFonts w:ascii="宋体" w:hAnsi="宋体" w:cs="宋体"/>
          <w:color w:val="auto"/>
          <w:kern w:val="0"/>
          <w:sz w:val="22"/>
          <w:szCs w:val="22"/>
          <w:highlight w:val="none"/>
        </w:rPr>
        <w:t xml:space="preserve">  H.</w:t>
      </w:r>
      <w:r>
        <w:rPr>
          <w:rFonts w:hint="eastAsia" w:ascii="宋体" w:hAnsi="宋体" w:cs="宋体"/>
          <w:color w:val="auto"/>
          <w:kern w:val="0"/>
          <w:sz w:val="22"/>
          <w:szCs w:val="22"/>
          <w:highlight w:val="none"/>
        </w:rPr>
        <w:t>存在分级代理或代销关系、同一生产制造商关系、</w:t>
      </w:r>
      <w:r>
        <w:rPr>
          <w:rFonts w:hint="eastAsia" w:ascii="宋体" w:hAnsi="宋体" w:cs="宋体"/>
          <w:color w:val="auto"/>
          <w:sz w:val="22"/>
          <w:szCs w:val="22"/>
          <w:highlight w:val="none"/>
        </w:rPr>
        <w:t>管理关系、重要业务（占主营业务收入</w:t>
      </w:r>
      <w:r>
        <w:rPr>
          <w:rFonts w:ascii="宋体" w:hAnsi="宋体" w:cs="宋体"/>
          <w:color w:val="auto"/>
          <w:sz w:val="22"/>
          <w:szCs w:val="22"/>
          <w:highlight w:val="none"/>
        </w:rPr>
        <w:t>50%</w:t>
      </w:r>
      <w:r>
        <w:rPr>
          <w:rFonts w:hint="eastAsia" w:ascii="宋体" w:hAnsi="宋体" w:cs="宋体"/>
          <w:color w:val="auto"/>
          <w:sz w:val="22"/>
          <w:szCs w:val="22"/>
          <w:highlight w:val="none"/>
        </w:rPr>
        <w:t>以上）或重要财务往来关系（如融资）等其他实质性控制关系</w:t>
      </w:r>
    </w:p>
    <w:p>
      <w:pPr>
        <w:snapToGrid w:val="0"/>
        <w:spacing w:line="312" w:lineRule="auto"/>
        <w:ind w:firstLine="440" w:firstLineChars="200"/>
        <w:rPr>
          <w:rFonts w:ascii="宋体" w:hAnsi="宋体"/>
          <w:color w:val="auto"/>
          <w:spacing w:val="6"/>
          <w:sz w:val="22"/>
          <w:szCs w:val="22"/>
          <w:highlight w:val="none"/>
        </w:rPr>
      </w:pPr>
      <w:r>
        <w:rPr>
          <w:rFonts w:ascii="宋体" w:hAnsi="宋体" w:cs="宋体"/>
          <w:color w:val="auto"/>
          <w:sz w:val="22"/>
          <w:szCs w:val="22"/>
          <w:highlight w:val="none"/>
        </w:rPr>
        <w:t xml:space="preserve">  I</w:t>
      </w:r>
      <w:r>
        <w:rPr>
          <w:rFonts w:ascii="宋体" w:hAnsi="宋体" w:cs="宋体"/>
          <w:color w:val="auto"/>
          <w:kern w:val="0"/>
          <w:sz w:val="22"/>
          <w:szCs w:val="22"/>
          <w:highlight w:val="none"/>
        </w:rPr>
        <w:t>.</w:t>
      </w:r>
      <w:r>
        <w:rPr>
          <w:rFonts w:hint="eastAsia" w:ascii="宋体" w:hAnsi="宋体" w:cs="宋体"/>
          <w:color w:val="auto"/>
          <w:sz w:val="22"/>
          <w:szCs w:val="22"/>
          <w:highlight w:val="none"/>
        </w:rPr>
        <w:t>其他利害关系情况</w:t>
      </w:r>
      <w:r>
        <w:rPr>
          <w:rFonts w:hint="eastAsia" w:ascii="宋体" w:hAnsi="宋体" w:cs="宋体"/>
          <w:color w:val="auto"/>
          <w:kern w:val="0"/>
          <w:sz w:val="22"/>
          <w:szCs w:val="22"/>
          <w:highlight w:val="none"/>
        </w:rPr>
        <w:t>。</w:t>
      </w:r>
    </w:p>
    <w:p>
      <w:pPr>
        <w:widowControl/>
        <w:numPr>
          <w:ilvl w:val="0"/>
          <w:numId w:val="13"/>
        </w:numPr>
        <w:snapToGrid w:val="0"/>
        <w:spacing w:line="312" w:lineRule="auto"/>
        <w:ind w:firstLine="415" w:firstLineChars="189"/>
        <w:rPr>
          <w:rFonts w:ascii="宋体" w:hAnsi="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pPr>
        <w:widowControl/>
        <w:numPr>
          <w:ilvl w:val="0"/>
          <w:numId w:val="13"/>
        </w:numPr>
        <w:snapToGrid w:val="0"/>
        <w:spacing w:line="312" w:lineRule="auto"/>
        <w:ind w:firstLine="415" w:firstLineChars="189"/>
        <w:rPr>
          <w:rFonts w:ascii="宋体" w:hAnsi="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我发现供应商之间存在或可能存在上述第二条第项利害关系。</w:t>
      </w:r>
    </w:p>
    <w:p>
      <w:pPr>
        <w:snapToGrid w:val="0"/>
        <w:spacing w:line="312" w:lineRule="auto"/>
        <w:ind w:firstLine="440" w:firstLineChars="200"/>
        <w:rPr>
          <w:rFonts w:ascii="宋体" w:hAnsi="宋体"/>
          <w:color w:val="auto"/>
          <w:sz w:val="22"/>
          <w:szCs w:val="22"/>
          <w:highlight w:val="none"/>
        </w:rPr>
      </w:pPr>
      <w:r>
        <w:rPr>
          <w:rFonts w:hint="eastAsia" w:ascii="宋体" w:hAnsi="宋体" w:cs="宋体"/>
          <w:color w:val="auto"/>
          <w:sz w:val="22"/>
          <w:szCs w:val="22"/>
          <w:highlight w:val="none"/>
        </w:rPr>
        <w:t>（供应商代表签名）：</w:t>
      </w:r>
    </w:p>
    <w:p>
      <w:pPr>
        <w:spacing w:line="312" w:lineRule="auto"/>
        <w:ind w:firstLine="440" w:firstLineChars="200"/>
        <w:rPr>
          <w:rFonts w:ascii="宋体" w:hAnsi="宋体" w:cs="宋体"/>
          <w:b/>
          <w:color w:val="auto"/>
          <w:sz w:val="20"/>
          <w:szCs w:val="20"/>
          <w:highlight w:val="none"/>
        </w:rPr>
      </w:pPr>
      <w:r>
        <w:rPr>
          <w:rFonts w:hint="eastAsia" w:ascii="宋体" w:hAnsi="宋体" w:cs="宋体"/>
          <w:color w:val="auto"/>
          <w:sz w:val="22"/>
          <w:szCs w:val="22"/>
          <w:highlight w:val="none"/>
        </w:rPr>
        <w:t>2022年  月  日</w:t>
      </w:r>
    </w:p>
    <w:p>
      <w:pPr>
        <w:spacing w:line="312" w:lineRule="auto"/>
        <w:ind w:firstLine="420" w:firstLineChars="200"/>
        <w:rPr>
          <w:rFonts w:ascii="宋体" w:hAnsi="宋体" w:cs="宋体"/>
          <w:color w:val="auto"/>
          <w:szCs w:val="21"/>
          <w:highlight w:val="none"/>
        </w:rPr>
      </w:pPr>
    </w:p>
    <w:p>
      <w:pPr>
        <w:spacing w:line="312" w:lineRule="auto"/>
        <w:ind w:firstLine="420" w:firstLineChars="200"/>
        <w:rPr>
          <w:rFonts w:ascii="宋体" w:hAnsi="宋体" w:cs="宋体"/>
          <w:color w:val="auto"/>
          <w:szCs w:val="21"/>
          <w:highlight w:val="none"/>
        </w:rPr>
      </w:pP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说明：（1）投标人解密投标文件及获知其他供应商信息进行如实声明并盖章或授权代表签名后，以扫描件形式通过邮件方式发送至邮箱：</w:t>
      </w:r>
      <w:r>
        <w:rPr>
          <w:color w:val="auto"/>
          <w:highlight w:val="none"/>
        </w:rPr>
        <w:fldChar w:fldCharType="begin"/>
      </w:r>
      <w:r>
        <w:rPr>
          <w:color w:val="auto"/>
          <w:highlight w:val="none"/>
        </w:rPr>
        <w:instrText xml:space="preserve"> HYPERLINK "mailto:4893224@qq.com" </w:instrText>
      </w:r>
      <w:r>
        <w:rPr>
          <w:color w:val="auto"/>
          <w:highlight w:val="none"/>
        </w:rPr>
        <w:fldChar w:fldCharType="separate"/>
      </w:r>
      <w:r>
        <w:rPr>
          <w:rFonts w:hint="eastAsia" w:ascii="宋体" w:hAnsi="宋体" w:cs="宋体"/>
          <w:color w:val="auto"/>
          <w:highlight w:val="none"/>
          <w:u w:val="single"/>
        </w:rPr>
        <w:t>1285588203@qq.com</w:t>
      </w:r>
      <w:r>
        <w:rPr>
          <w:rFonts w:hint="eastAsia" w:ascii="宋体" w:hAnsi="宋体" w:cs="宋体"/>
          <w:color w:val="auto"/>
          <w:highlight w:val="none"/>
          <w:u w:val="single"/>
        </w:rPr>
        <w:fldChar w:fldCharType="end"/>
      </w:r>
      <w:r>
        <w:rPr>
          <w:rFonts w:hint="eastAsia" w:ascii="宋体" w:hAnsi="宋体" w:cs="宋体"/>
          <w:color w:val="auto"/>
          <w:szCs w:val="21"/>
          <w:highlight w:val="none"/>
        </w:rPr>
        <w:t xml:space="preserve"> 。</w:t>
      </w:r>
    </w:p>
    <w:p>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（2）在电子投标文件解密后供应商可看到所参与标项的投标人名称，在确认与采购人和其他供应商</w:t>
      </w:r>
      <w:r>
        <w:rPr>
          <w:rFonts w:hint="eastAsia"/>
          <w:color w:val="auto"/>
          <w:highlight w:val="none"/>
        </w:rPr>
        <w:t>不在存声明书中所列利害关系</w:t>
      </w:r>
      <w:r>
        <w:rPr>
          <w:rFonts w:hint="eastAsia" w:ascii="宋体" w:hAnsi="宋体" w:cs="宋体"/>
          <w:color w:val="auto"/>
          <w:szCs w:val="21"/>
          <w:highlight w:val="none"/>
        </w:rPr>
        <w:t>的情况下，请在一中的“□不存在利害关系”打钩，二中的“□与其他所有投标人之间均不存在利害关系”打钩，四中的2个下划线用斜杠“/”划掉。</w:t>
      </w:r>
    </w:p>
    <w:p>
      <w:pPr>
        <w:rPr>
          <w:color w:val="auto"/>
          <w:highlight w:val="none"/>
        </w:rPr>
      </w:pPr>
      <w:r>
        <w:rPr>
          <w:rFonts w:hint="eastAsia" w:ascii="宋体" w:hAnsi="宋体" w:cs="宋体"/>
          <w:color w:val="auto"/>
          <w:szCs w:val="21"/>
          <w:highlight w:val="none"/>
        </w:rPr>
        <w:t>（3）此声明书非投标文件的组成内容，无需编入投标文件中。</w:t>
      </w:r>
    </w:p>
    <w:p>
      <w:pPr>
        <w:pStyle w:val="14"/>
        <w:ind w:firstLine="0" w:firstLineChars="0"/>
        <w:rPr>
          <w:color w:val="auto"/>
          <w:highlight w:val="none"/>
        </w:rPr>
      </w:pPr>
    </w:p>
    <w:sectPr>
      <w:pgSz w:w="11906" w:h="16838"/>
      <w:pgMar w:top="1474" w:right="1417" w:bottom="1247" w:left="1797" w:header="851" w:footer="850"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0288;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l9NQtYAAAAGAQAADwAAAAAAAAABACAAAAAiAAAAZHJzL2Rvd25yZXYueG1sUEsB&#10;AhQAFAAAAAgAh07iQOyHHK2+AQAAfwMAAA4AAAAAAAAAAQAgAAAAJQEAAGRycy9lMm9Eb2MueG1s&#10;UEsFBgAAAAAGAAYAWQEAAFUFA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Pr>
        <w:rFonts w:ascii="Calibri" w:hAnsi="Calibri"/>
        <w:sz w:val="18"/>
        <w:szCs w:val="18"/>
        <w:lang w:val="zh-CN"/>
      </w:rPr>
      <w:t>50</w:t>
    </w:r>
    <w:r>
      <w:rPr>
        <w:rFonts w:ascii="Calibri" w:hAnsi="Calibri"/>
        <w:sz w:val="18"/>
        <w:szCs w:val="18"/>
        <w:lang w:val="zh-CN"/>
      </w:rPr>
      <w:fldChar w:fldCharType="end"/>
    </w:r>
  </w:p>
  <w:p>
    <w:pPr>
      <w:tabs>
        <w:tab w:val="center" w:pos="4153"/>
        <w:tab w:val="right" w:pos="8306"/>
      </w:tabs>
      <w:snapToGrid w:val="0"/>
      <w:jc w:val="left"/>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076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00685" cy="207645"/>
                      </a:xfrm>
                      <a:prstGeom prst="rect">
                        <a:avLst/>
                      </a:prstGeom>
                      <a:noFill/>
                      <a:ln>
                        <a:noFill/>
                      </a:ln>
                      <a:effectLst/>
                    </wps:spPr>
                    <wps:txbx>
                      <w:txbxContent>
                        <w:p>
                          <w:pPr>
                            <w:pStyle w:val="23"/>
                          </w:pPr>
                          <w:r>
                            <w:fldChar w:fldCharType="begin"/>
                          </w:r>
                          <w:r>
                            <w:instrText xml:space="preserve"> PAGE  \* MERGEFORMAT </w:instrText>
                          </w:r>
                          <w:r>
                            <w:fldChar w:fldCharType="separate"/>
                          </w:r>
                          <w:r>
                            <w:t>67</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6.35pt;width:31.55pt;mso-position-horizontal:center;mso-position-horizontal-relative:margin;z-index:251659264;mso-width-relative:page;mso-height-relative:page;" filled="f" stroked="f" coordsize="21600,21600" o:gfxdata="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mczzDUAAAAAwEAAA8AAAAAAAAAAQAgAAAAIgAAAGRycy9kb3ducmV2LnhtbFBLAQIU&#10;ABQAAAAIAIdO4kCGwvBHvgEAAH8DAAAOAAAAAAAAAAEAIAAAACMBAABkcnMvZTJvRG9jLnhtbFBL&#10;BQYAAAAABgAGAFkBAABTBQAAAAA=&#10;">
              <v:fill on="f" focussize="0,0"/>
              <v:stroke on="f"/>
              <v:imagedata o:title=""/>
              <o:lock v:ext="edit" aspectratio="f"/>
              <v:textbox inset="0mm,0mm,0mm,0mm">
                <w:txbxContent>
                  <w:p>
                    <w:pPr>
                      <w:pStyle w:val="2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3"/>
                          </w:pPr>
                          <w:r>
                            <w:fldChar w:fldCharType="begin"/>
                          </w:r>
                          <w:r>
                            <w:instrText xml:space="preserve"> PAGE  \* MERGEFORMAT </w:instrText>
                          </w:r>
                          <w:r>
                            <w:fldChar w:fldCharType="separate"/>
                          </w:r>
                          <w:r>
                            <w:t>90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J1bjUAQAApQ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8giydN5qDDr3mNe7N+7Hpdm8gM6E+teBpO+yIdgHMU9nsUVfSQ8PSqX14srSjiGykW5XF4llOLp&#10;sQ8Q74QzJBk1DTi7LCk7fIQ4pE4pqZZ1t0rrPD9t/3Ig5uAReQHG14nH0G+yYr/tR3Jb1xyRW4dL&#10;UFOLO0+J/mBR47QvkxEmYzsZex/UrsVGy9wl+Hf7iC3lTlOFARYZpgtOL3MdNy2tx5/3nPX0d60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ArCdW41AEAAKUDAAAOAAAAAAAAAAEAIAAAAB8B&#10;AABkcnMvZTJvRG9jLnhtbFBLBQYAAAAABgAGAFkBAABl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DCA33"/>
    <w:multiLevelType w:val="singleLevel"/>
    <w:tmpl w:val="839DCA33"/>
    <w:lvl w:ilvl="0" w:tentative="0">
      <w:start w:val="1"/>
      <w:numFmt w:val="decimal"/>
      <w:lvlText w:val="%1."/>
      <w:lvlJc w:val="left"/>
      <w:pPr>
        <w:tabs>
          <w:tab w:val="left" w:pos="312"/>
        </w:tabs>
      </w:pPr>
    </w:lvl>
  </w:abstractNum>
  <w:abstractNum w:abstractNumId="1">
    <w:nsid w:val="C5E93138"/>
    <w:multiLevelType w:val="singleLevel"/>
    <w:tmpl w:val="C5E93138"/>
    <w:lvl w:ilvl="0" w:tentative="0">
      <w:start w:val="2"/>
      <w:numFmt w:val="decimal"/>
      <w:suff w:val="space"/>
      <w:lvlText w:val="%1."/>
      <w:lvlJc w:val="left"/>
      <w:pPr>
        <w:ind w:left="485" w:firstLine="0"/>
      </w:pPr>
    </w:lvl>
  </w:abstractNum>
  <w:abstractNum w:abstractNumId="2">
    <w:nsid w:val="00000001"/>
    <w:multiLevelType w:val="singleLevel"/>
    <w:tmpl w:val="00000001"/>
    <w:lvl w:ilvl="0" w:tentative="0">
      <w:start w:val="4"/>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E"/>
    <w:multiLevelType w:val="singleLevel"/>
    <w:tmpl w:val="0000000E"/>
    <w:lvl w:ilvl="0" w:tentative="0">
      <w:start w:val="1"/>
      <w:numFmt w:val="decimal"/>
      <w:suff w:val="nothing"/>
      <w:lvlText w:val="%1."/>
      <w:lvlJc w:val="left"/>
    </w:lvl>
  </w:abstractNum>
  <w:abstractNum w:abstractNumId="5">
    <w:nsid w:val="00000010"/>
    <w:multiLevelType w:val="singleLevel"/>
    <w:tmpl w:val="00000010"/>
    <w:lvl w:ilvl="0" w:tentative="0">
      <w:start w:val="1"/>
      <w:numFmt w:val="decimal"/>
      <w:suff w:val="nothing"/>
      <w:lvlText w:val="（%1）"/>
      <w:lvlJc w:val="left"/>
    </w:lvl>
  </w:abstractNum>
  <w:abstractNum w:abstractNumId="6">
    <w:nsid w:val="06728067"/>
    <w:multiLevelType w:val="singleLevel"/>
    <w:tmpl w:val="06728067"/>
    <w:lvl w:ilvl="0" w:tentative="0">
      <w:start w:val="2"/>
      <w:numFmt w:val="decimal"/>
      <w:suff w:val="nothing"/>
      <w:lvlText w:val="（%1）"/>
      <w:lvlJc w:val="left"/>
    </w:lvl>
  </w:abstractNum>
  <w:abstractNum w:abstractNumId="7">
    <w:nsid w:val="33792F74"/>
    <w:multiLevelType w:val="singleLevel"/>
    <w:tmpl w:val="33792F74"/>
    <w:lvl w:ilvl="0" w:tentative="0">
      <w:start w:val="1"/>
      <w:numFmt w:val="decimal"/>
      <w:lvlText w:val="%1."/>
      <w:lvlJc w:val="left"/>
      <w:pPr>
        <w:tabs>
          <w:tab w:val="left" w:pos="312"/>
        </w:tabs>
      </w:pPr>
    </w:lvl>
  </w:abstractNum>
  <w:abstractNum w:abstractNumId="8">
    <w:nsid w:val="45E799AE"/>
    <w:multiLevelType w:val="singleLevel"/>
    <w:tmpl w:val="45E799AE"/>
    <w:lvl w:ilvl="0" w:tentative="0">
      <w:start w:val="1"/>
      <w:numFmt w:val="chineseCounting"/>
      <w:suff w:val="nothing"/>
      <w:lvlText w:val="%1、"/>
      <w:lvlJc w:val="left"/>
      <w:rPr>
        <w:rFonts w:hint="eastAsia"/>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690664FA"/>
    <w:multiLevelType w:val="multilevel"/>
    <w:tmpl w:val="690664F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BF563A4"/>
    <w:multiLevelType w:val="singleLevel"/>
    <w:tmpl w:val="7BF563A4"/>
    <w:lvl w:ilvl="0" w:tentative="0">
      <w:start w:val="2"/>
      <w:numFmt w:val="decimal"/>
      <w:suff w:val="nothing"/>
      <w:lvlText w:val="%1、"/>
      <w:lvlJc w:val="left"/>
    </w:lvl>
  </w:abstractNum>
  <w:num w:numId="1">
    <w:abstractNumId w:val="7"/>
  </w:num>
  <w:num w:numId="2">
    <w:abstractNumId w:val="2"/>
  </w:num>
  <w:num w:numId="3">
    <w:abstractNumId w:val="8"/>
  </w:num>
  <w:num w:numId="4">
    <w:abstractNumId w:val="0"/>
  </w:num>
  <w:num w:numId="5">
    <w:abstractNumId w:val="11"/>
  </w:num>
  <w:num w:numId="6">
    <w:abstractNumId w:val="6"/>
  </w:num>
  <w:num w:numId="7">
    <w:abstractNumId w:val="5"/>
  </w:num>
  <w:num w:numId="8">
    <w:abstractNumId w:val="12"/>
  </w:num>
  <w:num w:numId="9">
    <w:abstractNumId w:val="4"/>
  </w:num>
  <w:num w:numId="10">
    <w:abstractNumId w:val="3"/>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YWQwMzdhODcxZTQ3NmQxZjc4MmViYmNiZmRhYjEifQ=="/>
  </w:docVars>
  <w:rsids>
    <w:rsidRoot w:val="00172A27"/>
    <w:rsid w:val="00001CC7"/>
    <w:rsid w:val="000022E1"/>
    <w:rsid w:val="00004B5D"/>
    <w:rsid w:val="0000569B"/>
    <w:rsid w:val="00007C29"/>
    <w:rsid w:val="00015277"/>
    <w:rsid w:val="00022957"/>
    <w:rsid w:val="00023531"/>
    <w:rsid w:val="0002628D"/>
    <w:rsid w:val="000263AA"/>
    <w:rsid w:val="0003205E"/>
    <w:rsid w:val="00033FC5"/>
    <w:rsid w:val="000404A8"/>
    <w:rsid w:val="0005077E"/>
    <w:rsid w:val="00052F33"/>
    <w:rsid w:val="00057037"/>
    <w:rsid w:val="00064A86"/>
    <w:rsid w:val="000704B7"/>
    <w:rsid w:val="00072623"/>
    <w:rsid w:val="00074B9D"/>
    <w:rsid w:val="00076D9F"/>
    <w:rsid w:val="00077E9B"/>
    <w:rsid w:val="0008630D"/>
    <w:rsid w:val="0009285D"/>
    <w:rsid w:val="0009471A"/>
    <w:rsid w:val="00095776"/>
    <w:rsid w:val="000A41FD"/>
    <w:rsid w:val="000A7328"/>
    <w:rsid w:val="000A7842"/>
    <w:rsid w:val="000A7D2A"/>
    <w:rsid w:val="000B24CC"/>
    <w:rsid w:val="000B55FA"/>
    <w:rsid w:val="000B5B42"/>
    <w:rsid w:val="000B7767"/>
    <w:rsid w:val="000B794A"/>
    <w:rsid w:val="000C7053"/>
    <w:rsid w:val="000D01BD"/>
    <w:rsid w:val="000E1E48"/>
    <w:rsid w:val="000E4A61"/>
    <w:rsid w:val="000E6611"/>
    <w:rsid w:val="000E6CE1"/>
    <w:rsid w:val="000E70E2"/>
    <w:rsid w:val="000E7D8C"/>
    <w:rsid w:val="000F2ABE"/>
    <w:rsid w:val="000F4152"/>
    <w:rsid w:val="00101CF3"/>
    <w:rsid w:val="00110C0A"/>
    <w:rsid w:val="00114BCB"/>
    <w:rsid w:val="0012039A"/>
    <w:rsid w:val="001357C6"/>
    <w:rsid w:val="00136686"/>
    <w:rsid w:val="00137501"/>
    <w:rsid w:val="00140DBA"/>
    <w:rsid w:val="001439E3"/>
    <w:rsid w:val="001462CB"/>
    <w:rsid w:val="001474D7"/>
    <w:rsid w:val="001540EC"/>
    <w:rsid w:val="0015620E"/>
    <w:rsid w:val="00161BF9"/>
    <w:rsid w:val="001667A0"/>
    <w:rsid w:val="00172A27"/>
    <w:rsid w:val="00172E00"/>
    <w:rsid w:val="0017360C"/>
    <w:rsid w:val="001737AA"/>
    <w:rsid w:val="00175476"/>
    <w:rsid w:val="00176288"/>
    <w:rsid w:val="00176EC6"/>
    <w:rsid w:val="00181233"/>
    <w:rsid w:val="0018162D"/>
    <w:rsid w:val="00184306"/>
    <w:rsid w:val="0018444A"/>
    <w:rsid w:val="00184D99"/>
    <w:rsid w:val="00186BF0"/>
    <w:rsid w:val="00191493"/>
    <w:rsid w:val="00195F5A"/>
    <w:rsid w:val="001A67D5"/>
    <w:rsid w:val="001B18CF"/>
    <w:rsid w:val="001B255A"/>
    <w:rsid w:val="001B38FA"/>
    <w:rsid w:val="001B7D18"/>
    <w:rsid w:val="001C2677"/>
    <w:rsid w:val="001C5333"/>
    <w:rsid w:val="001D302C"/>
    <w:rsid w:val="001D7AA1"/>
    <w:rsid w:val="001E1C45"/>
    <w:rsid w:val="001E5E37"/>
    <w:rsid w:val="001F1927"/>
    <w:rsid w:val="001F1C7C"/>
    <w:rsid w:val="001F4F06"/>
    <w:rsid w:val="001F60B3"/>
    <w:rsid w:val="001F679D"/>
    <w:rsid w:val="00200A4C"/>
    <w:rsid w:val="00201750"/>
    <w:rsid w:val="0020268A"/>
    <w:rsid w:val="00202C27"/>
    <w:rsid w:val="0020388D"/>
    <w:rsid w:val="00203CE3"/>
    <w:rsid w:val="002103C9"/>
    <w:rsid w:val="00213E0F"/>
    <w:rsid w:val="002148D9"/>
    <w:rsid w:val="00214EB0"/>
    <w:rsid w:val="002150E7"/>
    <w:rsid w:val="00216A6D"/>
    <w:rsid w:val="00222168"/>
    <w:rsid w:val="0022599C"/>
    <w:rsid w:val="0022770D"/>
    <w:rsid w:val="00237E65"/>
    <w:rsid w:val="00246B35"/>
    <w:rsid w:val="00246F36"/>
    <w:rsid w:val="00253126"/>
    <w:rsid w:val="00254407"/>
    <w:rsid w:val="00261E25"/>
    <w:rsid w:val="00262715"/>
    <w:rsid w:val="0026550F"/>
    <w:rsid w:val="00265B1A"/>
    <w:rsid w:val="00270CE8"/>
    <w:rsid w:val="00274040"/>
    <w:rsid w:val="00274047"/>
    <w:rsid w:val="00276AF3"/>
    <w:rsid w:val="00280DA0"/>
    <w:rsid w:val="00280DD8"/>
    <w:rsid w:val="00291070"/>
    <w:rsid w:val="00293087"/>
    <w:rsid w:val="00294399"/>
    <w:rsid w:val="00295E24"/>
    <w:rsid w:val="002A3F96"/>
    <w:rsid w:val="002A4124"/>
    <w:rsid w:val="002A6EFF"/>
    <w:rsid w:val="002A7D8E"/>
    <w:rsid w:val="002B206B"/>
    <w:rsid w:val="002B34F6"/>
    <w:rsid w:val="002B3D12"/>
    <w:rsid w:val="002C1008"/>
    <w:rsid w:val="002C163B"/>
    <w:rsid w:val="002C1BC9"/>
    <w:rsid w:val="002C5AF9"/>
    <w:rsid w:val="002D0D87"/>
    <w:rsid w:val="002D1271"/>
    <w:rsid w:val="002D359A"/>
    <w:rsid w:val="002D520A"/>
    <w:rsid w:val="002D7A6F"/>
    <w:rsid w:val="002F2044"/>
    <w:rsid w:val="002F5248"/>
    <w:rsid w:val="002F7E08"/>
    <w:rsid w:val="00302137"/>
    <w:rsid w:val="0030279E"/>
    <w:rsid w:val="003050A1"/>
    <w:rsid w:val="003154BA"/>
    <w:rsid w:val="003156C4"/>
    <w:rsid w:val="0031775D"/>
    <w:rsid w:val="003225FC"/>
    <w:rsid w:val="00322F73"/>
    <w:rsid w:val="00324BE4"/>
    <w:rsid w:val="0032507E"/>
    <w:rsid w:val="0033051A"/>
    <w:rsid w:val="00331586"/>
    <w:rsid w:val="003350BC"/>
    <w:rsid w:val="00336C93"/>
    <w:rsid w:val="0034201D"/>
    <w:rsid w:val="003438C3"/>
    <w:rsid w:val="003453EB"/>
    <w:rsid w:val="00345C69"/>
    <w:rsid w:val="0034795A"/>
    <w:rsid w:val="00347C52"/>
    <w:rsid w:val="00351D91"/>
    <w:rsid w:val="00354AC3"/>
    <w:rsid w:val="0036708B"/>
    <w:rsid w:val="0037164E"/>
    <w:rsid w:val="00376E1A"/>
    <w:rsid w:val="0038189E"/>
    <w:rsid w:val="00381BB0"/>
    <w:rsid w:val="00382110"/>
    <w:rsid w:val="003825CB"/>
    <w:rsid w:val="00391159"/>
    <w:rsid w:val="00391AC0"/>
    <w:rsid w:val="00391F64"/>
    <w:rsid w:val="00395D95"/>
    <w:rsid w:val="003962D0"/>
    <w:rsid w:val="003A4EBE"/>
    <w:rsid w:val="003B06E5"/>
    <w:rsid w:val="003B09F4"/>
    <w:rsid w:val="003B6D59"/>
    <w:rsid w:val="003C15B6"/>
    <w:rsid w:val="003D12DE"/>
    <w:rsid w:val="003D2A07"/>
    <w:rsid w:val="003D5F55"/>
    <w:rsid w:val="003D7E97"/>
    <w:rsid w:val="003E325F"/>
    <w:rsid w:val="003F156D"/>
    <w:rsid w:val="003F3B7C"/>
    <w:rsid w:val="003F5217"/>
    <w:rsid w:val="003F6A50"/>
    <w:rsid w:val="0040079B"/>
    <w:rsid w:val="004020FB"/>
    <w:rsid w:val="004057AF"/>
    <w:rsid w:val="00406F89"/>
    <w:rsid w:val="004112B7"/>
    <w:rsid w:val="00412808"/>
    <w:rsid w:val="004146A0"/>
    <w:rsid w:val="00414A13"/>
    <w:rsid w:val="00416AED"/>
    <w:rsid w:val="00417BD1"/>
    <w:rsid w:val="00420890"/>
    <w:rsid w:val="004208F3"/>
    <w:rsid w:val="0042205D"/>
    <w:rsid w:val="00423252"/>
    <w:rsid w:val="004253CF"/>
    <w:rsid w:val="00427469"/>
    <w:rsid w:val="00434043"/>
    <w:rsid w:val="00436850"/>
    <w:rsid w:val="00441106"/>
    <w:rsid w:val="004421DD"/>
    <w:rsid w:val="00442F4E"/>
    <w:rsid w:val="00444E84"/>
    <w:rsid w:val="00445E5C"/>
    <w:rsid w:val="0045356A"/>
    <w:rsid w:val="0046088E"/>
    <w:rsid w:val="004709B9"/>
    <w:rsid w:val="00474393"/>
    <w:rsid w:val="0048180E"/>
    <w:rsid w:val="00481AAB"/>
    <w:rsid w:val="004844E0"/>
    <w:rsid w:val="00490005"/>
    <w:rsid w:val="0049002A"/>
    <w:rsid w:val="00495E33"/>
    <w:rsid w:val="004A272C"/>
    <w:rsid w:val="004A2B09"/>
    <w:rsid w:val="004A508C"/>
    <w:rsid w:val="004A5406"/>
    <w:rsid w:val="004B02C0"/>
    <w:rsid w:val="004B06A9"/>
    <w:rsid w:val="004B123A"/>
    <w:rsid w:val="004B27BB"/>
    <w:rsid w:val="004B2FC6"/>
    <w:rsid w:val="004B4AB3"/>
    <w:rsid w:val="004B557B"/>
    <w:rsid w:val="004B6CA3"/>
    <w:rsid w:val="004C13F2"/>
    <w:rsid w:val="004C4B17"/>
    <w:rsid w:val="004C5D6C"/>
    <w:rsid w:val="004C6A85"/>
    <w:rsid w:val="004D3D9A"/>
    <w:rsid w:val="004D5F85"/>
    <w:rsid w:val="004E274F"/>
    <w:rsid w:val="004F301E"/>
    <w:rsid w:val="00501F01"/>
    <w:rsid w:val="005031AF"/>
    <w:rsid w:val="005050AD"/>
    <w:rsid w:val="00506AA7"/>
    <w:rsid w:val="00507D53"/>
    <w:rsid w:val="0051696E"/>
    <w:rsid w:val="005243DC"/>
    <w:rsid w:val="0052602B"/>
    <w:rsid w:val="005260F2"/>
    <w:rsid w:val="00526217"/>
    <w:rsid w:val="00536072"/>
    <w:rsid w:val="005378EB"/>
    <w:rsid w:val="005403FF"/>
    <w:rsid w:val="00541465"/>
    <w:rsid w:val="00543C05"/>
    <w:rsid w:val="00545353"/>
    <w:rsid w:val="00547A13"/>
    <w:rsid w:val="00551ACD"/>
    <w:rsid w:val="00552C96"/>
    <w:rsid w:val="00556D0E"/>
    <w:rsid w:val="0055752B"/>
    <w:rsid w:val="00561F08"/>
    <w:rsid w:val="00562303"/>
    <w:rsid w:val="0056411A"/>
    <w:rsid w:val="005678FD"/>
    <w:rsid w:val="00567EB3"/>
    <w:rsid w:val="005717C1"/>
    <w:rsid w:val="0057332C"/>
    <w:rsid w:val="00576E3B"/>
    <w:rsid w:val="00577140"/>
    <w:rsid w:val="00580D14"/>
    <w:rsid w:val="00581369"/>
    <w:rsid w:val="00581B2D"/>
    <w:rsid w:val="0058204C"/>
    <w:rsid w:val="00584339"/>
    <w:rsid w:val="005933C6"/>
    <w:rsid w:val="00594885"/>
    <w:rsid w:val="0059508F"/>
    <w:rsid w:val="00595B3C"/>
    <w:rsid w:val="005A01B1"/>
    <w:rsid w:val="005A0748"/>
    <w:rsid w:val="005A0A57"/>
    <w:rsid w:val="005A294D"/>
    <w:rsid w:val="005A3E7D"/>
    <w:rsid w:val="005B0C17"/>
    <w:rsid w:val="005B3D1C"/>
    <w:rsid w:val="005B4E63"/>
    <w:rsid w:val="005C06D5"/>
    <w:rsid w:val="005D0888"/>
    <w:rsid w:val="005D08F3"/>
    <w:rsid w:val="005D0FD0"/>
    <w:rsid w:val="005D23AF"/>
    <w:rsid w:val="005D2EEE"/>
    <w:rsid w:val="005D37B8"/>
    <w:rsid w:val="005D62B9"/>
    <w:rsid w:val="005E0D52"/>
    <w:rsid w:val="005E5A5E"/>
    <w:rsid w:val="005E75EE"/>
    <w:rsid w:val="005F441A"/>
    <w:rsid w:val="005F74AF"/>
    <w:rsid w:val="0060220E"/>
    <w:rsid w:val="006036C4"/>
    <w:rsid w:val="00610A84"/>
    <w:rsid w:val="00611A2D"/>
    <w:rsid w:val="00614E86"/>
    <w:rsid w:val="00617EAE"/>
    <w:rsid w:val="006217AA"/>
    <w:rsid w:val="00622F16"/>
    <w:rsid w:val="00632DBA"/>
    <w:rsid w:val="00633E31"/>
    <w:rsid w:val="00634931"/>
    <w:rsid w:val="00634CFC"/>
    <w:rsid w:val="00636366"/>
    <w:rsid w:val="00636582"/>
    <w:rsid w:val="00652023"/>
    <w:rsid w:val="00654AC8"/>
    <w:rsid w:val="00663E77"/>
    <w:rsid w:val="006641A5"/>
    <w:rsid w:val="00675456"/>
    <w:rsid w:val="00680FDB"/>
    <w:rsid w:val="006852CD"/>
    <w:rsid w:val="00690C56"/>
    <w:rsid w:val="00693D6A"/>
    <w:rsid w:val="00695B8A"/>
    <w:rsid w:val="00695DBE"/>
    <w:rsid w:val="006972C0"/>
    <w:rsid w:val="006A2191"/>
    <w:rsid w:val="006A5429"/>
    <w:rsid w:val="006A56C0"/>
    <w:rsid w:val="006B0B8D"/>
    <w:rsid w:val="006B1F70"/>
    <w:rsid w:val="006B2412"/>
    <w:rsid w:val="006B3773"/>
    <w:rsid w:val="006B4FA0"/>
    <w:rsid w:val="006B6449"/>
    <w:rsid w:val="006B6A7A"/>
    <w:rsid w:val="006B7E35"/>
    <w:rsid w:val="006C03A4"/>
    <w:rsid w:val="006C2091"/>
    <w:rsid w:val="006D0D1B"/>
    <w:rsid w:val="006D634F"/>
    <w:rsid w:val="006E5958"/>
    <w:rsid w:val="006F09C5"/>
    <w:rsid w:val="006F1E06"/>
    <w:rsid w:val="006F69F3"/>
    <w:rsid w:val="00700BF4"/>
    <w:rsid w:val="00700C99"/>
    <w:rsid w:val="0070101D"/>
    <w:rsid w:val="007023B6"/>
    <w:rsid w:val="007052C8"/>
    <w:rsid w:val="00713DA8"/>
    <w:rsid w:val="0071768B"/>
    <w:rsid w:val="00717E83"/>
    <w:rsid w:val="00720AD0"/>
    <w:rsid w:val="007222D9"/>
    <w:rsid w:val="00722D93"/>
    <w:rsid w:val="00723909"/>
    <w:rsid w:val="00724320"/>
    <w:rsid w:val="007246CA"/>
    <w:rsid w:val="00726053"/>
    <w:rsid w:val="00733084"/>
    <w:rsid w:val="00741E60"/>
    <w:rsid w:val="00746142"/>
    <w:rsid w:val="00747C40"/>
    <w:rsid w:val="00747D62"/>
    <w:rsid w:val="0075467D"/>
    <w:rsid w:val="00754CFB"/>
    <w:rsid w:val="00754D27"/>
    <w:rsid w:val="0075591B"/>
    <w:rsid w:val="007612D8"/>
    <w:rsid w:val="007621AE"/>
    <w:rsid w:val="00764DAC"/>
    <w:rsid w:val="00766F6D"/>
    <w:rsid w:val="00770D43"/>
    <w:rsid w:val="00776DD4"/>
    <w:rsid w:val="00782839"/>
    <w:rsid w:val="00784DC9"/>
    <w:rsid w:val="007877EF"/>
    <w:rsid w:val="0079001A"/>
    <w:rsid w:val="007900E6"/>
    <w:rsid w:val="0079181D"/>
    <w:rsid w:val="00792DDF"/>
    <w:rsid w:val="007938D3"/>
    <w:rsid w:val="00794A22"/>
    <w:rsid w:val="007A4BB2"/>
    <w:rsid w:val="007A6E59"/>
    <w:rsid w:val="007B0FD4"/>
    <w:rsid w:val="007B6FE3"/>
    <w:rsid w:val="007B7BA4"/>
    <w:rsid w:val="007C74C4"/>
    <w:rsid w:val="007D00BD"/>
    <w:rsid w:val="007D17D0"/>
    <w:rsid w:val="007D27D6"/>
    <w:rsid w:val="007D3ADC"/>
    <w:rsid w:val="007D7513"/>
    <w:rsid w:val="007E4C02"/>
    <w:rsid w:val="007E4FC3"/>
    <w:rsid w:val="007E6B93"/>
    <w:rsid w:val="007F00D1"/>
    <w:rsid w:val="007F24E6"/>
    <w:rsid w:val="007F5359"/>
    <w:rsid w:val="008048F4"/>
    <w:rsid w:val="008056DB"/>
    <w:rsid w:val="0081048D"/>
    <w:rsid w:val="00811242"/>
    <w:rsid w:val="00815CCF"/>
    <w:rsid w:val="00815DB1"/>
    <w:rsid w:val="0082246D"/>
    <w:rsid w:val="00822B1B"/>
    <w:rsid w:val="00823655"/>
    <w:rsid w:val="0082622B"/>
    <w:rsid w:val="008278EA"/>
    <w:rsid w:val="008307D2"/>
    <w:rsid w:val="00834091"/>
    <w:rsid w:val="00834DA6"/>
    <w:rsid w:val="0083564E"/>
    <w:rsid w:val="00836AFB"/>
    <w:rsid w:val="00837262"/>
    <w:rsid w:val="00842249"/>
    <w:rsid w:val="00842476"/>
    <w:rsid w:val="0084262A"/>
    <w:rsid w:val="0084710F"/>
    <w:rsid w:val="008476AC"/>
    <w:rsid w:val="008510BA"/>
    <w:rsid w:val="00855F57"/>
    <w:rsid w:val="00861BEA"/>
    <w:rsid w:val="00861CCF"/>
    <w:rsid w:val="00867038"/>
    <w:rsid w:val="0088160B"/>
    <w:rsid w:val="00886CBB"/>
    <w:rsid w:val="008874C2"/>
    <w:rsid w:val="00887A71"/>
    <w:rsid w:val="00892152"/>
    <w:rsid w:val="008A3A44"/>
    <w:rsid w:val="008A5DB7"/>
    <w:rsid w:val="008B0A24"/>
    <w:rsid w:val="008B0C65"/>
    <w:rsid w:val="008B3EAA"/>
    <w:rsid w:val="008B673F"/>
    <w:rsid w:val="008C08C4"/>
    <w:rsid w:val="008C177C"/>
    <w:rsid w:val="008D162D"/>
    <w:rsid w:val="008D3A2B"/>
    <w:rsid w:val="008E1175"/>
    <w:rsid w:val="008E5FFA"/>
    <w:rsid w:val="008F09F4"/>
    <w:rsid w:val="008F0BC6"/>
    <w:rsid w:val="008F2207"/>
    <w:rsid w:val="008F3AD3"/>
    <w:rsid w:val="008F4CC7"/>
    <w:rsid w:val="008F6023"/>
    <w:rsid w:val="00900E63"/>
    <w:rsid w:val="0090182F"/>
    <w:rsid w:val="00903255"/>
    <w:rsid w:val="0090673B"/>
    <w:rsid w:val="0090683C"/>
    <w:rsid w:val="00910D89"/>
    <w:rsid w:val="00913EA7"/>
    <w:rsid w:val="00917EE0"/>
    <w:rsid w:val="0092287A"/>
    <w:rsid w:val="00933725"/>
    <w:rsid w:val="00934762"/>
    <w:rsid w:val="0093671E"/>
    <w:rsid w:val="00937048"/>
    <w:rsid w:val="00937088"/>
    <w:rsid w:val="00941698"/>
    <w:rsid w:val="00946F92"/>
    <w:rsid w:val="00947DA9"/>
    <w:rsid w:val="00955F28"/>
    <w:rsid w:val="009560DC"/>
    <w:rsid w:val="00957CD0"/>
    <w:rsid w:val="00962386"/>
    <w:rsid w:val="009634FF"/>
    <w:rsid w:val="00964D3F"/>
    <w:rsid w:val="00965768"/>
    <w:rsid w:val="00965800"/>
    <w:rsid w:val="00971370"/>
    <w:rsid w:val="00975AAF"/>
    <w:rsid w:val="0098038E"/>
    <w:rsid w:val="009823B5"/>
    <w:rsid w:val="0098477A"/>
    <w:rsid w:val="00987F7B"/>
    <w:rsid w:val="00987F85"/>
    <w:rsid w:val="00996078"/>
    <w:rsid w:val="009961B7"/>
    <w:rsid w:val="009A4E6F"/>
    <w:rsid w:val="009B0862"/>
    <w:rsid w:val="009B4731"/>
    <w:rsid w:val="009B59B6"/>
    <w:rsid w:val="009B5E86"/>
    <w:rsid w:val="009C26B0"/>
    <w:rsid w:val="009C55A4"/>
    <w:rsid w:val="009C560E"/>
    <w:rsid w:val="009D14D5"/>
    <w:rsid w:val="009D44F7"/>
    <w:rsid w:val="009D4A6A"/>
    <w:rsid w:val="009E1A7C"/>
    <w:rsid w:val="009E1DEE"/>
    <w:rsid w:val="009E22AF"/>
    <w:rsid w:val="009E3A28"/>
    <w:rsid w:val="009F63A7"/>
    <w:rsid w:val="009F6DAC"/>
    <w:rsid w:val="00A2089E"/>
    <w:rsid w:val="00A218A9"/>
    <w:rsid w:val="00A27DA8"/>
    <w:rsid w:val="00A35C4F"/>
    <w:rsid w:val="00A3600F"/>
    <w:rsid w:val="00A36E23"/>
    <w:rsid w:val="00A37DF5"/>
    <w:rsid w:val="00A42A1B"/>
    <w:rsid w:val="00A43468"/>
    <w:rsid w:val="00A461BA"/>
    <w:rsid w:val="00A469D0"/>
    <w:rsid w:val="00A46D6A"/>
    <w:rsid w:val="00A474F1"/>
    <w:rsid w:val="00A62DAB"/>
    <w:rsid w:val="00A6444F"/>
    <w:rsid w:val="00A65A82"/>
    <w:rsid w:val="00A73C33"/>
    <w:rsid w:val="00A90A98"/>
    <w:rsid w:val="00A90BB0"/>
    <w:rsid w:val="00A90E8A"/>
    <w:rsid w:val="00A948CE"/>
    <w:rsid w:val="00A94D3D"/>
    <w:rsid w:val="00A95CB5"/>
    <w:rsid w:val="00A97F11"/>
    <w:rsid w:val="00AA3945"/>
    <w:rsid w:val="00AB2AA1"/>
    <w:rsid w:val="00AC266C"/>
    <w:rsid w:val="00AC3B8E"/>
    <w:rsid w:val="00AD0947"/>
    <w:rsid w:val="00AD1AA9"/>
    <w:rsid w:val="00AD5C72"/>
    <w:rsid w:val="00AD7573"/>
    <w:rsid w:val="00AE6E64"/>
    <w:rsid w:val="00AF0586"/>
    <w:rsid w:val="00AF3AE3"/>
    <w:rsid w:val="00B023A8"/>
    <w:rsid w:val="00B02696"/>
    <w:rsid w:val="00B12007"/>
    <w:rsid w:val="00B12388"/>
    <w:rsid w:val="00B13726"/>
    <w:rsid w:val="00B14314"/>
    <w:rsid w:val="00B153CF"/>
    <w:rsid w:val="00B1692A"/>
    <w:rsid w:val="00B22924"/>
    <w:rsid w:val="00B244B3"/>
    <w:rsid w:val="00B25EB5"/>
    <w:rsid w:val="00B314BE"/>
    <w:rsid w:val="00B332B5"/>
    <w:rsid w:val="00B33FB2"/>
    <w:rsid w:val="00B349F1"/>
    <w:rsid w:val="00B43D22"/>
    <w:rsid w:val="00B45AFF"/>
    <w:rsid w:val="00B54EB0"/>
    <w:rsid w:val="00B56884"/>
    <w:rsid w:val="00B57EFA"/>
    <w:rsid w:val="00B60B9C"/>
    <w:rsid w:val="00B64BCD"/>
    <w:rsid w:val="00B675C8"/>
    <w:rsid w:val="00B70196"/>
    <w:rsid w:val="00B70B18"/>
    <w:rsid w:val="00B73B66"/>
    <w:rsid w:val="00B74425"/>
    <w:rsid w:val="00B8070B"/>
    <w:rsid w:val="00B80A3E"/>
    <w:rsid w:val="00B81A05"/>
    <w:rsid w:val="00B865DA"/>
    <w:rsid w:val="00B93A26"/>
    <w:rsid w:val="00BA2F41"/>
    <w:rsid w:val="00BA6325"/>
    <w:rsid w:val="00BA70AC"/>
    <w:rsid w:val="00BA7699"/>
    <w:rsid w:val="00BB3B73"/>
    <w:rsid w:val="00BB408D"/>
    <w:rsid w:val="00BB5E7F"/>
    <w:rsid w:val="00BB63EC"/>
    <w:rsid w:val="00BB7AE9"/>
    <w:rsid w:val="00BC0FF5"/>
    <w:rsid w:val="00BC17F4"/>
    <w:rsid w:val="00BC2A4F"/>
    <w:rsid w:val="00BC55CF"/>
    <w:rsid w:val="00BC7241"/>
    <w:rsid w:val="00BD3818"/>
    <w:rsid w:val="00BD5277"/>
    <w:rsid w:val="00BD779B"/>
    <w:rsid w:val="00BE0720"/>
    <w:rsid w:val="00BE0F1E"/>
    <w:rsid w:val="00BE1C2A"/>
    <w:rsid w:val="00BE22CF"/>
    <w:rsid w:val="00BE4C23"/>
    <w:rsid w:val="00BE5C67"/>
    <w:rsid w:val="00BF1E48"/>
    <w:rsid w:val="00BF4318"/>
    <w:rsid w:val="00BF5E73"/>
    <w:rsid w:val="00C02C9F"/>
    <w:rsid w:val="00C106F0"/>
    <w:rsid w:val="00C20790"/>
    <w:rsid w:val="00C20D2C"/>
    <w:rsid w:val="00C231E0"/>
    <w:rsid w:val="00C23AB4"/>
    <w:rsid w:val="00C26702"/>
    <w:rsid w:val="00C36D96"/>
    <w:rsid w:val="00C42E80"/>
    <w:rsid w:val="00C42FBA"/>
    <w:rsid w:val="00C51976"/>
    <w:rsid w:val="00C5238B"/>
    <w:rsid w:val="00C535BB"/>
    <w:rsid w:val="00C53BFE"/>
    <w:rsid w:val="00C55486"/>
    <w:rsid w:val="00C56B7C"/>
    <w:rsid w:val="00C704B4"/>
    <w:rsid w:val="00C7459A"/>
    <w:rsid w:val="00C77C8C"/>
    <w:rsid w:val="00C8304D"/>
    <w:rsid w:val="00C91664"/>
    <w:rsid w:val="00C95D34"/>
    <w:rsid w:val="00CA00A8"/>
    <w:rsid w:val="00CA637D"/>
    <w:rsid w:val="00CB0E1C"/>
    <w:rsid w:val="00CC15A7"/>
    <w:rsid w:val="00CC19EB"/>
    <w:rsid w:val="00CC1A42"/>
    <w:rsid w:val="00CC50EC"/>
    <w:rsid w:val="00CC5D63"/>
    <w:rsid w:val="00CD0F1B"/>
    <w:rsid w:val="00CD7F3E"/>
    <w:rsid w:val="00CE5B4A"/>
    <w:rsid w:val="00CF4530"/>
    <w:rsid w:val="00D05A88"/>
    <w:rsid w:val="00D05BB1"/>
    <w:rsid w:val="00D0627D"/>
    <w:rsid w:val="00D0707D"/>
    <w:rsid w:val="00D11A3A"/>
    <w:rsid w:val="00D13142"/>
    <w:rsid w:val="00D15442"/>
    <w:rsid w:val="00D170A1"/>
    <w:rsid w:val="00D21BA5"/>
    <w:rsid w:val="00D30985"/>
    <w:rsid w:val="00D30F13"/>
    <w:rsid w:val="00D320B9"/>
    <w:rsid w:val="00D32BBD"/>
    <w:rsid w:val="00D37E55"/>
    <w:rsid w:val="00D44E7A"/>
    <w:rsid w:val="00D45FC9"/>
    <w:rsid w:val="00D501EB"/>
    <w:rsid w:val="00D50600"/>
    <w:rsid w:val="00D51FAF"/>
    <w:rsid w:val="00D53392"/>
    <w:rsid w:val="00D54B43"/>
    <w:rsid w:val="00D6082A"/>
    <w:rsid w:val="00D629A1"/>
    <w:rsid w:val="00D63475"/>
    <w:rsid w:val="00D67F7F"/>
    <w:rsid w:val="00D707E3"/>
    <w:rsid w:val="00D7403F"/>
    <w:rsid w:val="00D822FB"/>
    <w:rsid w:val="00D84D74"/>
    <w:rsid w:val="00D90AA4"/>
    <w:rsid w:val="00D9448E"/>
    <w:rsid w:val="00DA16C3"/>
    <w:rsid w:val="00DA2FD2"/>
    <w:rsid w:val="00DA51E6"/>
    <w:rsid w:val="00DA569A"/>
    <w:rsid w:val="00DA70E8"/>
    <w:rsid w:val="00DA76F6"/>
    <w:rsid w:val="00DB4297"/>
    <w:rsid w:val="00DB4C45"/>
    <w:rsid w:val="00DB6023"/>
    <w:rsid w:val="00DC00A3"/>
    <w:rsid w:val="00DC0148"/>
    <w:rsid w:val="00DC3EC1"/>
    <w:rsid w:val="00DC4A39"/>
    <w:rsid w:val="00DD35CD"/>
    <w:rsid w:val="00DD7E8E"/>
    <w:rsid w:val="00DE254E"/>
    <w:rsid w:val="00DE6F8F"/>
    <w:rsid w:val="00DF6EF5"/>
    <w:rsid w:val="00E0642F"/>
    <w:rsid w:val="00E06F98"/>
    <w:rsid w:val="00E1079C"/>
    <w:rsid w:val="00E10D08"/>
    <w:rsid w:val="00E10D97"/>
    <w:rsid w:val="00E15253"/>
    <w:rsid w:val="00E1594B"/>
    <w:rsid w:val="00E15B83"/>
    <w:rsid w:val="00E325F9"/>
    <w:rsid w:val="00E33B43"/>
    <w:rsid w:val="00E35A5B"/>
    <w:rsid w:val="00E55A59"/>
    <w:rsid w:val="00E80C21"/>
    <w:rsid w:val="00E81000"/>
    <w:rsid w:val="00E82ECC"/>
    <w:rsid w:val="00E83C04"/>
    <w:rsid w:val="00E86BCD"/>
    <w:rsid w:val="00E92EFE"/>
    <w:rsid w:val="00E93DAE"/>
    <w:rsid w:val="00E9444B"/>
    <w:rsid w:val="00EA0A73"/>
    <w:rsid w:val="00EA7B49"/>
    <w:rsid w:val="00EB6D26"/>
    <w:rsid w:val="00EB7B9E"/>
    <w:rsid w:val="00EC03E3"/>
    <w:rsid w:val="00EC14AD"/>
    <w:rsid w:val="00EC5B9A"/>
    <w:rsid w:val="00EC7248"/>
    <w:rsid w:val="00ED141A"/>
    <w:rsid w:val="00ED1E0D"/>
    <w:rsid w:val="00ED2675"/>
    <w:rsid w:val="00ED2E86"/>
    <w:rsid w:val="00EE0DD1"/>
    <w:rsid w:val="00EE349C"/>
    <w:rsid w:val="00EE4287"/>
    <w:rsid w:val="00EF1B13"/>
    <w:rsid w:val="00F06689"/>
    <w:rsid w:val="00F074FC"/>
    <w:rsid w:val="00F12853"/>
    <w:rsid w:val="00F133B1"/>
    <w:rsid w:val="00F16265"/>
    <w:rsid w:val="00F165D1"/>
    <w:rsid w:val="00F21D78"/>
    <w:rsid w:val="00F242D0"/>
    <w:rsid w:val="00F267BC"/>
    <w:rsid w:val="00F270D4"/>
    <w:rsid w:val="00F32415"/>
    <w:rsid w:val="00F33702"/>
    <w:rsid w:val="00F35F84"/>
    <w:rsid w:val="00F371C0"/>
    <w:rsid w:val="00F5193B"/>
    <w:rsid w:val="00F55388"/>
    <w:rsid w:val="00F55F98"/>
    <w:rsid w:val="00F5727C"/>
    <w:rsid w:val="00F60781"/>
    <w:rsid w:val="00F613C4"/>
    <w:rsid w:val="00F630F1"/>
    <w:rsid w:val="00F665CA"/>
    <w:rsid w:val="00F71086"/>
    <w:rsid w:val="00F76B76"/>
    <w:rsid w:val="00F82802"/>
    <w:rsid w:val="00F82F37"/>
    <w:rsid w:val="00F83867"/>
    <w:rsid w:val="00F91C7B"/>
    <w:rsid w:val="00F933FF"/>
    <w:rsid w:val="00FA49F9"/>
    <w:rsid w:val="00FA4CE8"/>
    <w:rsid w:val="00FA589B"/>
    <w:rsid w:val="00FA6EAA"/>
    <w:rsid w:val="00FA755B"/>
    <w:rsid w:val="00FA7B83"/>
    <w:rsid w:val="00FB08AE"/>
    <w:rsid w:val="00FB2555"/>
    <w:rsid w:val="00FB5C00"/>
    <w:rsid w:val="00FC274D"/>
    <w:rsid w:val="00FD465E"/>
    <w:rsid w:val="00FD66A4"/>
    <w:rsid w:val="00FD7D3F"/>
    <w:rsid w:val="00FE20BE"/>
    <w:rsid w:val="00FE340B"/>
    <w:rsid w:val="00FE3DA1"/>
    <w:rsid w:val="00FE68E9"/>
    <w:rsid w:val="00FF0E87"/>
    <w:rsid w:val="00FF54DD"/>
    <w:rsid w:val="00FF5C7C"/>
    <w:rsid w:val="00FF7244"/>
    <w:rsid w:val="00FF74FA"/>
    <w:rsid w:val="01215C21"/>
    <w:rsid w:val="013A575E"/>
    <w:rsid w:val="0162119C"/>
    <w:rsid w:val="01813696"/>
    <w:rsid w:val="01A069BC"/>
    <w:rsid w:val="01A36CB6"/>
    <w:rsid w:val="01BD62DD"/>
    <w:rsid w:val="01C604AF"/>
    <w:rsid w:val="01CC57D6"/>
    <w:rsid w:val="01E32343"/>
    <w:rsid w:val="01E84620"/>
    <w:rsid w:val="01F5452D"/>
    <w:rsid w:val="01F5735F"/>
    <w:rsid w:val="024617F2"/>
    <w:rsid w:val="025630CF"/>
    <w:rsid w:val="027B1053"/>
    <w:rsid w:val="028B52A4"/>
    <w:rsid w:val="02A1004D"/>
    <w:rsid w:val="02A12F14"/>
    <w:rsid w:val="02AC6D47"/>
    <w:rsid w:val="02BB4F8D"/>
    <w:rsid w:val="02EA4873"/>
    <w:rsid w:val="02EB1F0B"/>
    <w:rsid w:val="03032288"/>
    <w:rsid w:val="031E3C9F"/>
    <w:rsid w:val="032014B6"/>
    <w:rsid w:val="038E2093"/>
    <w:rsid w:val="03A11D07"/>
    <w:rsid w:val="03EB11DD"/>
    <w:rsid w:val="0401090C"/>
    <w:rsid w:val="04281E21"/>
    <w:rsid w:val="043953C0"/>
    <w:rsid w:val="044C266D"/>
    <w:rsid w:val="044F479B"/>
    <w:rsid w:val="048D2975"/>
    <w:rsid w:val="04975D30"/>
    <w:rsid w:val="049E36DF"/>
    <w:rsid w:val="04B144CD"/>
    <w:rsid w:val="04C2673B"/>
    <w:rsid w:val="04D70FBC"/>
    <w:rsid w:val="050956B1"/>
    <w:rsid w:val="05134F18"/>
    <w:rsid w:val="05560984"/>
    <w:rsid w:val="05573D16"/>
    <w:rsid w:val="057D3253"/>
    <w:rsid w:val="05A11814"/>
    <w:rsid w:val="05E20773"/>
    <w:rsid w:val="05E45FDA"/>
    <w:rsid w:val="05FD3AFB"/>
    <w:rsid w:val="06020126"/>
    <w:rsid w:val="061849F2"/>
    <w:rsid w:val="06220228"/>
    <w:rsid w:val="06226326"/>
    <w:rsid w:val="062D5ACF"/>
    <w:rsid w:val="063F7A6A"/>
    <w:rsid w:val="065739A5"/>
    <w:rsid w:val="06573A8D"/>
    <w:rsid w:val="06600BC8"/>
    <w:rsid w:val="06733D9B"/>
    <w:rsid w:val="067B3A34"/>
    <w:rsid w:val="068134F9"/>
    <w:rsid w:val="06856661"/>
    <w:rsid w:val="06BE3760"/>
    <w:rsid w:val="06CE0C43"/>
    <w:rsid w:val="06E23217"/>
    <w:rsid w:val="0715219C"/>
    <w:rsid w:val="07183C7A"/>
    <w:rsid w:val="07294C98"/>
    <w:rsid w:val="07364EBA"/>
    <w:rsid w:val="07383FB2"/>
    <w:rsid w:val="07384398"/>
    <w:rsid w:val="078D4C37"/>
    <w:rsid w:val="0797664C"/>
    <w:rsid w:val="079A0B69"/>
    <w:rsid w:val="07AE721E"/>
    <w:rsid w:val="07B114B1"/>
    <w:rsid w:val="07E13789"/>
    <w:rsid w:val="07EF0236"/>
    <w:rsid w:val="07F43A9E"/>
    <w:rsid w:val="07F847F4"/>
    <w:rsid w:val="081952B3"/>
    <w:rsid w:val="082B536B"/>
    <w:rsid w:val="083E5109"/>
    <w:rsid w:val="0840641B"/>
    <w:rsid w:val="08467F67"/>
    <w:rsid w:val="08910E29"/>
    <w:rsid w:val="08A137EC"/>
    <w:rsid w:val="08AB172A"/>
    <w:rsid w:val="08FC70AE"/>
    <w:rsid w:val="091E5277"/>
    <w:rsid w:val="093525C0"/>
    <w:rsid w:val="093F28F7"/>
    <w:rsid w:val="094635A4"/>
    <w:rsid w:val="0949703C"/>
    <w:rsid w:val="09881080"/>
    <w:rsid w:val="099401EF"/>
    <w:rsid w:val="09B52371"/>
    <w:rsid w:val="09C532F5"/>
    <w:rsid w:val="09FC3424"/>
    <w:rsid w:val="0A17704C"/>
    <w:rsid w:val="0A1C1ED6"/>
    <w:rsid w:val="0A5B7E05"/>
    <w:rsid w:val="0A5D6CB1"/>
    <w:rsid w:val="0A8A2498"/>
    <w:rsid w:val="0AA93CB9"/>
    <w:rsid w:val="0AAA248C"/>
    <w:rsid w:val="0AB176BD"/>
    <w:rsid w:val="0ADE74E9"/>
    <w:rsid w:val="0B1C2B07"/>
    <w:rsid w:val="0B3B6B1E"/>
    <w:rsid w:val="0B4D54FF"/>
    <w:rsid w:val="0B6251C3"/>
    <w:rsid w:val="0B6B1F82"/>
    <w:rsid w:val="0B76185C"/>
    <w:rsid w:val="0B844831"/>
    <w:rsid w:val="0BA027A0"/>
    <w:rsid w:val="0BD43C42"/>
    <w:rsid w:val="0BDE26E9"/>
    <w:rsid w:val="0C074729"/>
    <w:rsid w:val="0C234952"/>
    <w:rsid w:val="0C481107"/>
    <w:rsid w:val="0C7E51DC"/>
    <w:rsid w:val="0C875A43"/>
    <w:rsid w:val="0C9D2956"/>
    <w:rsid w:val="0CEA48BA"/>
    <w:rsid w:val="0D1424ED"/>
    <w:rsid w:val="0D165377"/>
    <w:rsid w:val="0D165887"/>
    <w:rsid w:val="0D1A71C4"/>
    <w:rsid w:val="0D482514"/>
    <w:rsid w:val="0D532E09"/>
    <w:rsid w:val="0D626A46"/>
    <w:rsid w:val="0D7073D4"/>
    <w:rsid w:val="0D823F05"/>
    <w:rsid w:val="0D974265"/>
    <w:rsid w:val="0D9F74A7"/>
    <w:rsid w:val="0DA16476"/>
    <w:rsid w:val="0DAA6B33"/>
    <w:rsid w:val="0DB12191"/>
    <w:rsid w:val="0DB93E84"/>
    <w:rsid w:val="0DFA1A3D"/>
    <w:rsid w:val="0E07438A"/>
    <w:rsid w:val="0E606787"/>
    <w:rsid w:val="0E61157B"/>
    <w:rsid w:val="0E664B94"/>
    <w:rsid w:val="0E686681"/>
    <w:rsid w:val="0E7119B4"/>
    <w:rsid w:val="0E7666B1"/>
    <w:rsid w:val="0E7726A1"/>
    <w:rsid w:val="0E8731EE"/>
    <w:rsid w:val="0E875E5F"/>
    <w:rsid w:val="0E8B6EB9"/>
    <w:rsid w:val="0E8F5D32"/>
    <w:rsid w:val="0E961C21"/>
    <w:rsid w:val="0EA36CCB"/>
    <w:rsid w:val="0ECF398B"/>
    <w:rsid w:val="0EDA79FF"/>
    <w:rsid w:val="0EE20AF5"/>
    <w:rsid w:val="0F10732D"/>
    <w:rsid w:val="0F177BB5"/>
    <w:rsid w:val="0F1B6AA9"/>
    <w:rsid w:val="0F2A5FF8"/>
    <w:rsid w:val="0F345B39"/>
    <w:rsid w:val="0F3C1CFE"/>
    <w:rsid w:val="0F3C5F34"/>
    <w:rsid w:val="0F4C09D3"/>
    <w:rsid w:val="0F5762D8"/>
    <w:rsid w:val="0F5958A6"/>
    <w:rsid w:val="0F864CB6"/>
    <w:rsid w:val="0F8C1794"/>
    <w:rsid w:val="0F9314C9"/>
    <w:rsid w:val="10014F43"/>
    <w:rsid w:val="10134FF0"/>
    <w:rsid w:val="102E0797"/>
    <w:rsid w:val="103E0F42"/>
    <w:rsid w:val="105270E1"/>
    <w:rsid w:val="1062590B"/>
    <w:rsid w:val="108D5050"/>
    <w:rsid w:val="109C4AD8"/>
    <w:rsid w:val="10A9765A"/>
    <w:rsid w:val="10AF153E"/>
    <w:rsid w:val="10C036D9"/>
    <w:rsid w:val="10C155CF"/>
    <w:rsid w:val="10D06EB9"/>
    <w:rsid w:val="10EB41F5"/>
    <w:rsid w:val="11577442"/>
    <w:rsid w:val="116C43F6"/>
    <w:rsid w:val="11787405"/>
    <w:rsid w:val="119229CC"/>
    <w:rsid w:val="11AF3E96"/>
    <w:rsid w:val="11B40FCE"/>
    <w:rsid w:val="11D4764A"/>
    <w:rsid w:val="11DD50EE"/>
    <w:rsid w:val="11E42DD6"/>
    <w:rsid w:val="120650B6"/>
    <w:rsid w:val="12174F59"/>
    <w:rsid w:val="12371157"/>
    <w:rsid w:val="12490E8B"/>
    <w:rsid w:val="12977BDD"/>
    <w:rsid w:val="12B908D7"/>
    <w:rsid w:val="12C57249"/>
    <w:rsid w:val="12C827E6"/>
    <w:rsid w:val="12CF0A72"/>
    <w:rsid w:val="12DE5B33"/>
    <w:rsid w:val="12ED4F78"/>
    <w:rsid w:val="13033FEE"/>
    <w:rsid w:val="130866EA"/>
    <w:rsid w:val="130D7AEF"/>
    <w:rsid w:val="13313DF9"/>
    <w:rsid w:val="13433DBD"/>
    <w:rsid w:val="1358723D"/>
    <w:rsid w:val="1381324F"/>
    <w:rsid w:val="1399374C"/>
    <w:rsid w:val="139D57F1"/>
    <w:rsid w:val="13C05D95"/>
    <w:rsid w:val="13F37300"/>
    <w:rsid w:val="141A5B7E"/>
    <w:rsid w:val="14437D94"/>
    <w:rsid w:val="144F3596"/>
    <w:rsid w:val="145A78EA"/>
    <w:rsid w:val="14673058"/>
    <w:rsid w:val="146E5F0B"/>
    <w:rsid w:val="146F3F8E"/>
    <w:rsid w:val="14726990"/>
    <w:rsid w:val="14840DB5"/>
    <w:rsid w:val="14A2231C"/>
    <w:rsid w:val="14A454F4"/>
    <w:rsid w:val="14A6393D"/>
    <w:rsid w:val="14B654C1"/>
    <w:rsid w:val="151E3784"/>
    <w:rsid w:val="15444FF6"/>
    <w:rsid w:val="15813391"/>
    <w:rsid w:val="159E4555"/>
    <w:rsid w:val="15A22F2B"/>
    <w:rsid w:val="15A5274B"/>
    <w:rsid w:val="15B07880"/>
    <w:rsid w:val="15B265F1"/>
    <w:rsid w:val="15B44591"/>
    <w:rsid w:val="15C51D26"/>
    <w:rsid w:val="15DB7681"/>
    <w:rsid w:val="15F35395"/>
    <w:rsid w:val="16223693"/>
    <w:rsid w:val="1625350E"/>
    <w:rsid w:val="169954CD"/>
    <w:rsid w:val="16D30690"/>
    <w:rsid w:val="16DF603A"/>
    <w:rsid w:val="16EA6EE7"/>
    <w:rsid w:val="16F71B39"/>
    <w:rsid w:val="16FA03FD"/>
    <w:rsid w:val="171A3F7B"/>
    <w:rsid w:val="172123D6"/>
    <w:rsid w:val="1727128A"/>
    <w:rsid w:val="17404AFA"/>
    <w:rsid w:val="17457DFD"/>
    <w:rsid w:val="17761332"/>
    <w:rsid w:val="17821F5B"/>
    <w:rsid w:val="17C43273"/>
    <w:rsid w:val="17E76655"/>
    <w:rsid w:val="180E64B6"/>
    <w:rsid w:val="1828421F"/>
    <w:rsid w:val="18380551"/>
    <w:rsid w:val="18403591"/>
    <w:rsid w:val="1852401D"/>
    <w:rsid w:val="18582787"/>
    <w:rsid w:val="18617814"/>
    <w:rsid w:val="18801A96"/>
    <w:rsid w:val="18826D7F"/>
    <w:rsid w:val="18916CEA"/>
    <w:rsid w:val="18AE1046"/>
    <w:rsid w:val="18AE7C99"/>
    <w:rsid w:val="18E715CE"/>
    <w:rsid w:val="18F54F0A"/>
    <w:rsid w:val="18FE38BD"/>
    <w:rsid w:val="19033E41"/>
    <w:rsid w:val="19223474"/>
    <w:rsid w:val="192254A6"/>
    <w:rsid w:val="19612578"/>
    <w:rsid w:val="196971DE"/>
    <w:rsid w:val="19701C26"/>
    <w:rsid w:val="19B77130"/>
    <w:rsid w:val="19BC4D76"/>
    <w:rsid w:val="19DC1545"/>
    <w:rsid w:val="19F539DF"/>
    <w:rsid w:val="19F658D3"/>
    <w:rsid w:val="1A017191"/>
    <w:rsid w:val="1A197394"/>
    <w:rsid w:val="1A1C13D2"/>
    <w:rsid w:val="1A4745EA"/>
    <w:rsid w:val="1A787533"/>
    <w:rsid w:val="1A8A4238"/>
    <w:rsid w:val="1A8B2953"/>
    <w:rsid w:val="1A931D97"/>
    <w:rsid w:val="1AB10D08"/>
    <w:rsid w:val="1ABA7B1A"/>
    <w:rsid w:val="1AC2720A"/>
    <w:rsid w:val="1AE43B4E"/>
    <w:rsid w:val="1AE921B3"/>
    <w:rsid w:val="1B16314C"/>
    <w:rsid w:val="1B297BD5"/>
    <w:rsid w:val="1B845309"/>
    <w:rsid w:val="1BAB0B3B"/>
    <w:rsid w:val="1BB21B8F"/>
    <w:rsid w:val="1BC066DD"/>
    <w:rsid w:val="1BF76F53"/>
    <w:rsid w:val="1C0D0A63"/>
    <w:rsid w:val="1C7237D6"/>
    <w:rsid w:val="1C89719F"/>
    <w:rsid w:val="1C8A5084"/>
    <w:rsid w:val="1C911A30"/>
    <w:rsid w:val="1C9A0F31"/>
    <w:rsid w:val="1CA63994"/>
    <w:rsid w:val="1CB72CA0"/>
    <w:rsid w:val="1CCA15F3"/>
    <w:rsid w:val="1CD811BF"/>
    <w:rsid w:val="1CE353B0"/>
    <w:rsid w:val="1CFC11B5"/>
    <w:rsid w:val="1CFD1C8C"/>
    <w:rsid w:val="1CFD5A6D"/>
    <w:rsid w:val="1D061C10"/>
    <w:rsid w:val="1D0D14B2"/>
    <w:rsid w:val="1D0E24FE"/>
    <w:rsid w:val="1D1251FB"/>
    <w:rsid w:val="1D127C33"/>
    <w:rsid w:val="1D3060F9"/>
    <w:rsid w:val="1D5D6F38"/>
    <w:rsid w:val="1D661610"/>
    <w:rsid w:val="1D695404"/>
    <w:rsid w:val="1D76522A"/>
    <w:rsid w:val="1D7A6953"/>
    <w:rsid w:val="1D8669FF"/>
    <w:rsid w:val="1D963534"/>
    <w:rsid w:val="1DAA26BB"/>
    <w:rsid w:val="1DF3687A"/>
    <w:rsid w:val="1DF454E0"/>
    <w:rsid w:val="1E094A9A"/>
    <w:rsid w:val="1E0E4FDE"/>
    <w:rsid w:val="1E2437E4"/>
    <w:rsid w:val="1E392547"/>
    <w:rsid w:val="1E554830"/>
    <w:rsid w:val="1E8474D2"/>
    <w:rsid w:val="1E871490"/>
    <w:rsid w:val="1E877BA2"/>
    <w:rsid w:val="1E8811CA"/>
    <w:rsid w:val="1E8C690E"/>
    <w:rsid w:val="1E9A4D75"/>
    <w:rsid w:val="1E9F4E93"/>
    <w:rsid w:val="1EA63B0A"/>
    <w:rsid w:val="1EAF533E"/>
    <w:rsid w:val="1EED6EEA"/>
    <w:rsid w:val="1F2839E9"/>
    <w:rsid w:val="1F2862EF"/>
    <w:rsid w:val="1F641EF9"/>
    <w:rsid w:val="1F6B41EE"/>
    <w:rsid w:val="1F7D6C15"/>
    <w:rsid w:val="1F7F3683"/>
    <w:rsid w:val="1FA92956"/>
    <w:rsid w:val="1FBC4086"/>
    <w:rsid w:val="1FD716A5"/>
    <w:rsid w:val="1FF60072"/>
    <w:rsid w:val="200563F1"/>
    <w:rsid w:val="20351E9F"/>
    <w:rsid w:val="20632DD7"/>
    <w:rsid w:val="2067508B"/>
    <w:rsid w:val="206C76F9"/>
    <w:rsid w:val="20977E55"/>
    <w:rsid w:val="20AC50FB"/>
    <w:rsid w:val="20B21F32"/>
    <w:rsid w:val="20B77599"/>
    <w:rsid w:val="20BC37C8"/>
    <w:rsid w:val="20BF1749"/>
    <w:rsid w:val="20D14525"/>
    <w:rsid w:val="2110596A"/>
    <w:rsid w:val="2110733B"/>
    <w:rsid w:val="216830DB"/>
    <w:rsid w:val="216C32B8"/>
    <w:rsid w:val="21BB784B"/>
    <w:rsid w:val="21BE0E1A"/>
    <w:rsid w:val="21C16F10"/>
    <w:rsid w:val="21CE3E73"/>
    <w:rsid w:val="21E75319"/>
    <w:rsid w:val="21FE6338"/>
    <w:rsid w:val="220D6751"/>
    <w:rsid w:val="222B683E"/>
    <w:rsid w:val="22345621"/>
    <w:rsid w:val="223617D8"/>
    <w:rsid w:val="225E2520"/>
    <w:rsid w:val="22657D0C"/>
    <w:rsid w:val="227A7A21"/>
    <w:rsid w:val="22A2261D"/>
    <w:rsid w:val="22AD522D"/>
    <w:rsid w:val="22BA60AB"/>
    <w:rsid w:val="22BB336C"/>
    <w:rsid w:val="22CC7691"/>
    <w:rsid w:val="22E03145"/>
    <w:rsid w:val="23203542"/>
    <w:rsid w:val="232660F2"/>
    <w:rsid w:val="23535C47"/>
    <w:rsid w:val="237A0D40"/>
    <w:rsid w:val="23891485"/>
    <w:rsid w:val="23930C4E"/>
    <w:rsid w:val="239D4A37"/>
    <w:rsid w:val="239D543A"/>
    <w:rsid w:val="23AE0634"/>
    <w:rsid w:val="23B23ECA"/>
    <w:rsid w:val="23CD737F"/>
    <w:rsid w:val="241E5CD3"/>
    <w:rsid w:val="24380218"/>
    <w:rsid w:val="245B6F27"/>
    <w:rsid w:val="24601187"/>
    <w:rsid w:val="24675BDA"/>
    <w:rsid w:val="24A40084"/>
    <w:rsid w:val="24AA382C"/>
    <w:rsid w:val="24AC1230"/>
    <w:rsid w:val="24B70860"/>
    <w:rsid w:val="24C15424"/>
    <w:rsid w:val="24C7413C"/>
    <w:rsid w:val="24E10A4C"/>
    <w:rsid w:val="2532647F"/>
    <w:rsid w:val="25571825"/>
    <w:rsid w:val="25590594"/>
    <w:rsid w:val="256A4F48"/>
    <w:rsid w:val="25850B6C"/>
    <w:rsid w:val="25943EAE"/>
    <w:rsid w:val="259A017B"/>
    <w:rsid w:val="25AB5E92"/>
    <w:rsid w:val="25AC0A9F"/>
    <w:rsid w:val="25C00FC4"/>
    <w:rsid w:val="25C91E8A"/>
    <w:rsid w:val="25DB4189"/>
    <w:rsid w:val="25ED17C2"/>
    <w:rsid w:val="25ED5F6E"/>
    <w:rsid w:val="26044BE2"/>
    <w:rsid w:val="2624159B"/>
    <w:rsid w:val="26287704"/>
    <w:rsid w:val="26314F45"/>
    <w:rsid w:val="263670E6"/>
    <w:rsid w:val="264651DF"/>
    <w:rsid w:val="26484B38"/>
    <w:rsid w:val="264A713F"/>
    <w:rsid w:val="264B1E0B"/>
    <w:rsid w:val="26745514"/>
    <w:rsid w:val="268A7650"/>
    <w:rsid w:val="2692331B"/>
    <w:rsid w:val="26F45ADA"/>
    <w:rsid w:val="26FF0949"/>
    <w:rsid w:val="272044C6"/>
    <w:rsid w:val="27231852"/>
    <w:rsid w:val="27402508"/>
    <w:rsid w:val="275426FE"/>
    <w:rsid w:val="277569EA"/>
    <w:rsid w:val="278222E9"/>
    <w:rsid w:val="2787035E"/>
    <w:rsid w:val="27A74287"/>
    <w:rsid w:val="27B754B9"/>
    <w:rsid w:val="27D3129F"/>
    <w:rsid w:val="27E6336B"/>
    <w:rsid w:val="28005CD8"/>
    <w:rsid w:val="28017527"/>
    <w:rsid w:val="28164E7F"/>
    <w:rsid w:val="282B6A4C"/>
    <w:rsid w:val="282B6C11"/>
    <w:rsid w:val="28443A8C"/>
    <w:rsid w:val="2853715B"/>
    <w:rsid w:val="286933CB"/>
    <w:rsid w:val="28AC5FA3"/>
    <w:rsid w:val="28B97D1E"/>
    <w:rsid w:val="28C64684"/>
    <w:rsid w:val="28CC1C10"/>
    <w:rsid w:val="28DD6067"/>
    <w:rsid w:val="2903280D"/>
    <w:rsid w:val="290348B8"/>
    <w:rsid w:val="29441712"/>
    <w:rsid w:val="295F7B1C"/>
    <w:rsid w:val="296E18BB"/>
    <w:rsid w:val="29784589"/>
    <w:rsid w:val="298641BA"/>
    <w:rsid w:val="29A749BD"/>
    <w:rsid w:val="29B775DE"/>
    <w:rsid w:val="29C21A06"/>
    <w:rsid w:val="29E1240E"/>
    <w:rsid w:val="2A156519"/>
    <w:rsid w:val="2A2F0585"/>
    <w:rsid w:val="2A42088B"/>
    <w:rsid w:val="2A444159"/>
    <w:rsid w:val="2A5B027C"/>
    <w:rsid w:val="2A6F6E4C"/>
    <w:rsid w:val="2A7179BA"/>
    <w:rsid w:val="2A7B5120"/>
    <w:rsid w:val="2A9D65E3"/>
    <w:rsid w:val="2AB1327E"/>
    <w:rsid w:val="2AC21AF1"/>
    <w:rsid w:val="2B08552C"/>
    <w:rsid w:val="2B261911"/>
    <w:rsid w:val="2B3264F9"/>
    <w:rsid w:val="2B330B9E"/>
    <w:rsid w:val="2B3D5E24"/>
    <w:rsid w:val="2B3E6ED4"/>
    <w:rsid w:val="2B4238AF"/>
    <w:rsid w:val="2B4C6459"/>
    <w:rsid w:val="2B7F0F68"/>
    <w:rsid w:val="2BA632D7"/>
    <w:rsid w:val="2BAB6CDC"/>
    <w:rsid w:val="2BCF3841"/>
    <w:rsid w:val="2BD452EC"/>
    <w:rsid w:val="2BD80E5D"/>
    <w:rsid w:val="2BFA0DD4"/>
    <w:rsid w:val="2C056E97"/>
    <w:rsid w:val="2C09269C"/>
    <w:rsid w:val="2C13456A"/>
    <w:rsid w:val="2C153E60"/>
    <w:rsid w:val="2C2B42E3"/>
    <w:rsid w:val="2C3A1B18"/>
    <w:rsid w:val="2C424E85"/>
    <w:rsid w:val="2CA33D17"/>
    <w:rsid w:val="2CF85178"/>
    <w:rsid w:val="2D0E1CAA"/>
    <w:rsid w:val="2D1A05DB"/>
    <w:rsid w:val="2D235204"/>
    <w:rsid w:val="2D2A3E0C"/>
    <w:rsid w:val="2D2C37EB"/>
    <w:rsid w:val="2D69746A"/>
    <w:rsid w:val="2D780C38"/>
    <w:rsid w:val="2D8004C8"/>
    <w:rsid w:val="2DAE1A3D"/>
    <w:rsid w:val="2DBA15C5"/>
    <w:rsid w:val="2DBE23AC"/>
    <w:rsid w:val="2DFB22A4"/>
    <w:rsid w:val="2E0011C8"/>
    <w:rsid w:val="2E337108"/>
    <w:rsid w:val="2E381539"/>
    <w:rsid w:val="2E3A05E6"/>
    <w:rsid w:val="2E56399A"/>
    <w:rsid w:val="2E5A0250"/>
    <w:rsid w:val="2E6D1D25"/>
    <w:rsid w:val="2E87710E"/>
    <w:rsid w:val="2EBC0FFC"/>
    <w:rsid w:val="2EC57754"/>
    <w:rsid w:val="2EE06DE8"/>
    <w:rsid w:val="2EFC6CFD"/>
    <w:rsid w:val="2EFF1EF7"/>
    <w:rsid w:val="2F1D79A9"/>
    <w:rsid w:val="2F5153A0"/>
    <w:rsid w:val="2F6A6270"/>
    <w:rsid w:val="2F767113"/>
    <w:rsid w:val="2FA12934"/>
    <w:rsid w:val="2FBB2F70"/>
    <w:rsid w:val="2FC462F5"/>
    <w:rsid w:val="2FC53911"/>
    <w:rsid w:val="2FEE707A"/>
    <w:rsid w:val="301C226C"/>
    <w:rsid w:val="30446E13"/>
    <w:rsid w:val="30566DD5"/>
    <w:rsid w:val="307F02A8"/>
    <w:rsid w:val="30980BBB"/>
    <w:rsid w:val="30BE0205"/>
    <w:rsid w:val="30C0743E"/>
    <w:rsid w:val="30D63ACC"/>
    <w:rsid w:val="30ED06A5"/>
    <w:rsid w:val="30ED7159"/>
    <w:rsid w:val="30F50C5B"/>
    <w:rsid w:val="30FD5744"/>
    <w:rsid w:val="30FE24A4"/>
    <w:rsid w:val="3126787A"/>
    <w:rsid w:val="31313FF7"/>
    <w:rsid w:val="31396172"/>
    <w:rsid w:val="315C5923"/>
    <w:rsid w:val="3167095C"/>
    <w:rsid w:val="316E7992"/>
    <w:rsid w:val="3171047B"/>
    <w:rsid w:val="31987173"/>
    <w:rsid w:val="31A519DE"/>
    <w:rsid w:val="31BD6F05"/>
    <w:rsid w:val="31E51C4C"/>
    <w:rsid w:val="31ED3189"/>
    <w:rsid w:val="31F476C7"/>
    <w:rsid w:val="31F62333"/>
    <w:rsid w:val="322C1DA9"/>
    <w:rsid w:val="322E19E2"/>
    <w:rsid w:val="32353F19"/>
    <w:rsid w:val="32464912"/>
    <w:rsid w:val="325A322E"/>
    <w:rsid w:val="326C2B25"/>
    <w:rsid w:val="32F543B0"/>
    <w:rsid w:val="331A78F0"/>
    <w:rsid w:val="33296443"/>
    <w:rsid w:val="336C3BFA"/>
    <w:rsid w:val="33875D1B"/>
    <w:rsid w:val="33A1219E"/>
    <w:rsid w:val="33CC29E4"/>
    <w:rsid w:val="33F80817"/>
    <w:rsid w:val="340D33ED"/>
    <w:rsid w:val="343E7861"/>
    <w:rsid w:val="34530903"/>
    <w:rsid w:val="347D657B"/>
    <w:rsid w:val="3490033B"/>
    <w:rsid w:val="34C76DCE"/>
    <w:rsid w:val="34D66156"/>
    <w:rsid w:val="34DC285B"/>
    <w:rsid w:val="34F132FE"/>
    <w:rsid w:val="350D64CA"/>
    <w:rsid w:val="35363B2B"/>
    <w:rsid w:val="35563ECB"/>
    <w:rsid w:val="355A28E3"/>
    <w:rsid w:val="359A6545"/>
    <w:rsid w:val="359B742E"/>
    <w:rsid w:val="35B20E42"/>
    <w:rsid w:val="35BE76C5"/>
    <w:rsid w:val="35E52AF5"/>
    <w:rsid w:val="35ED348D"/>
    <w:rsid w:val="361137CE"/>
    <w:rsid w:val="362F3D70"/>
    <w:rsid w:val="36315D3A"/>
    <w:rsid w:val="36511C8F"/>
    <w:rsid w:val="365B2DB7"/>
    <w:rsid w:val="367234BC"/>
    <w:rsid w:val="367D6C84"/>
    <w:rsid w:val="36A54F4A"/>
    <w:rsid w:val="36BA0AE0"/>
    <w:rsid w:val="36F6525B"/>
    <w:rsid w:val="376D4604"/>
    <w:rsid w:val="37844042"/>
    <w:rsid w:val="378C240E"/>
    <w:rsid w:val="378E6F7A"/>
    <w:rsid w:val="379A16BD"/>
    <w:rsid w:val="37B56CEC"/>
    <w:rsid w:val="37C15D3C"/>
    <w:rsid w:val="37C66AAB"/>
    <w:rsid w:val="37C77E2D"/>
    <w:rsid w:val="37E21278"/>
    <w:rsid w:val="38082B1E"/>
    <w:rsid w:val="380E6EAB"/>
    <w:rsid w:val="384E0BEE"/>
    <w:rsid w:val="38573767"/>
    <w:rsid w:val="386830FF"/>
    <w:rsid w:val="386E5BFC"/>
    <w:rsid w:val="387C7736"/>
    <w:rsid w:val="38922098"/>
    <w:rsid w:val="389E2855"/>
    <w:rsid w:val="38D77409"/>
    <w:rsid w:val="38D92458"/>
    <w:rsid w:val="38F04065"/>
    <w:rsid w:val="38F54AB9"/>
    <w:rsid w:val="38F70143"/>
    <w:rsid w:val="39111068"/>
    <w:rsid w:val="392212D9"/>
    <w:rsid w:val="39437B88"/>
    <w:rsid w:val="394A47A4"/>
    <w:rsid w:val="396C20C1"/>
    <w:rsid w:val="399F33F0"/>
    <w:rsid w:val="39BF0E35"/>
    <w:rsid w:val="39C73D23"/>
    <w:rsid w:val="39CE6E64"/>
    <w:rsid w:val="39D36367"/>
    <w:rsid w:val="3A383608"/>
    <w:rsid w:val="3A5B15D7"/>
    <w:rsid w:val="3A611085"/>
    <w:rsid w:val="3A654204"/>
    <w:rsid w:val="3A721CCD"/>
    <w:rsid w:val="3A8D27E1"/>
    <w:rsid w:val="3AA45590"/>
    <w:rsid w:val="3ABD0DAD"/>
    <w:rsid w:val="3ABF28A2"/>
    <w:rsid w:val="3AC52EF5"/>
    <w:rsid w:val="3AD44FF0"/>
    <w:rsid w:val="3AD51F50"/>
    <w:rsid w:val="3AE23470"/>
    <w:rsid w:val="3AF730BF"/>
    <w:rsid w:val="3AFE0CBF"/>
    <w:rsid w:val="3AFF18AD"/>
    <w:rsid w:val="3B1C06DF"/>
    <w:rsid w:val="3B2858AD"/>
    <w:rsid w:val="3B3B4F65"/>
    <w:rsid w:val="3B44115B"/>
    <w:rsid w:val="3B783549"/>
    <w:rsid w:val="3B80126E"/>
    <w:rsid w:val="3B884697"/>
    <w:rsid w:val="3B9A67CD"/>
    <w:rsid w:val="3B9F54F4"/>
    <w:rsid w:val="3BA025FE"/>
    <w:rsid w:val="3BAD6603"/>
    <w:rsid w:val="3BBA0807"/>
    <w:rsid w:val="3BD53828"/>
    <w:rsid w:val="3BF75330"/>
    <w:rsid w:val="3C057493"/>
    <w:rsid w:val="3C075AE7"/>
    <w:rsid w:val="3C243096"/>
    <w:rsid w:val="3C2974B3"/>
    <w:rsid w:val="3C4A6873"/>
    <w:rsid w:val="3C4E45F8"/>
    <w:rsid w:val="3C5062F1"/>
    <w:rsid w:val="3C5F2ED5"/>
    <w:rsid w:val="3C783D09"/>
    <w:rsid w:val="3C8F624E"/>
    <w:rsid w:val="3CA07775"/>
    <w:rsid w:val="3CB7614A"/>
    <w:rsid w:val="3CBD309D"/>
    <w:rsid w:val="3CC00BFD"/>
    <w:rsid w:val="3CEE0E9A"/>
    <w:rsid w:val="3CFB1D1C"/>
    <w:rsid w:val="3CFE0E94"/>
    <w:rsid w:val="3D352D47"/>
    <w:rsid w:val="3D4F2517"/>
    <w:rsid w:val="3D69121A"/>
    <w:rsid w:val="3D8A3B9D"/>
    <w:rsid w:val="3DB01A38"/>
    <w:rsid w:val="3DC060B2"/>
    <w:rsid w:val="3DC80013"/>
    <w:rsid w:val="3DD65D2B"/>
    <w:rsid w:val="3DDB7302"/>
    <w:rsid w:val="3DF47B7C"/>
    <w:rsid w:val="3DF54680"/>
    <w:rsid w:val="3E0C1CC4"/>
    <w:rsid w:val="3E104931"/>
    <w:rsid w:val="3E112AF5"/>
    <w:rsid w:val="3E2B306F"/>
    <w:rsid w:val="3E4E377D"/>
    <w:rsid w:val="3E651BDC"/>
    <w:rsid w:val="3E6676EB"/>
    <w:rsid w:val="3EA414BF"/>
    <w:rsid w:val="3EB05C1D"/>
    <w:rsid w:val="3EB92D70"/>
    <w:rsid w:val="3EC3774B"/>
    <w:rsid w:val="3F045DE7"/>
    <w:rsid w:val="3F0820E6"/>
    <w:rsid w:val="3F087854"/>
    <w:rsid w:val="3F23359B"/>
    <w:rsid w:val="3F2C06A0"/>
    <w:rsid w:val="3F390295"/>
    <w:rsid w:val="3F473ED8"/>
    <w:rsid w:val="3F6D1EC6"/>
    <w:rsid w:val="3F965779"/>
    <w:rsid w:val="3FA70E1B"/>
    <w:rsid w:val="3FC9485C"/>
    <w:rsid w:val="3FCB28D2"/>
    <w:rsid w:val="3FFB2188"/>
    <w:rsid w:val="40216774"/>
    <w:rsid w:val="404D1F41"/>
    <w:rsid w:val="40771B83"/>
    <w:rsid w:val="408B6B29"/>
    <w:rsid w:val="4097648C"/>
    <w:rsid w:val="40A50B35"/>
    <w:rsid w:val="40AC1F42"/>
    <w:rsid w:val="40BC4452"/>
    <w:rsid w:val="40E07E77"/>
    <w:rsid w:val="40E112AA"/>
    <w:rsid w:val="410D7451"/>
    <w:rsid w:val="410E1460"/>
    <w:rsid w:val="41152D5D"/>
    <w:rsid w:val="4149117E"/>
    <w:rsid w:val="41824CA7"/>
    <w:rsid w:val="41911A61"/>
    <w:rsid w:val="41A53138"/>
    <w:rsid w:val="41B620C5"/>
    <w:rsid w:val="41C77552"/>
    <w:rsid w:val="41D0561B"/>
    <w:rsid w:val="41D71961"/>
    <w:rsid w:val="41DA54D8"/>
    <w:rsid w:val="420F2115"/>
    <w:rsid w:val="423544BC"/>
    <w:rsid w:val="42482522"/>
    <w:rsid w:val="424967F8"/>
    <w:rsid w:val="425360EA"/>
    <w:rsid w:val="42576B28"/>
    <w:rsid w:val="429F4493"/>
    <w:rsid w:val="42A47894"/>
    <w:rsid w:val="42B62845"/>
    <w:rsid w:val="42BF717C"/>
    <w:rsid w:val="42E13903"/>
    <w:rsid w:val="431E7460"/>
    <w:rsid w:val="432942DC"/>
    <w:rsid w:val="43630DAB"/>
    <w:rsid w:val="436D6D3B"/>
    <w:rsid w:val="438576C5"/>
    <w:rsid w:val="43DE48FE"/>
    <w:rsid w:val="43E02B4D"/>
    <w:rsid w:val="43E72B76"/>
    <w:rsid w:val="441C4F41"/>
    <w:rsid w:val="444268C4"/>
    <w:rsid w:val="44426FDE"/>
    <w:rsid w:val="44447A3A"/>
    <w:rsid w:val="445830FF"/>
    <w:rsid w:val="44651E2F"/>
    <w:rsid w:val="446E3018"/>
    <w:rsid w:val="44871106"/>
    <w:rsid w:val="448B2C2C"/>
    <w:rsid w:val="44B1402F"/>
    <w:rsid w:val="44B21F77"/>
    <w:rsid w:val="44CB7DE5"/>
    <w:rsid w:val="44D52B95"/>
    <w:rsid w:val="44D93564"/>
    <w:rsid w:val="44E25B64"/>
    <w:rsid w:val="4504495A"/>
    <w:rsid w:val="45113C09"/>
    <w:rsid w:val="451221DE"/>
    <w:rsid w:val="4537798A"/>
    <w:rsid w:val="4541721F"/>
    <w:rsid w:val="455B692F"/>
    <w:rsid w:val="456C2DE4"/>
    <w:rsid w:val="456E5F17"/>
    <w:rsid w:val="45A3342C"/>
    <w:rsid w:val="45AD451E"/>
    <w:rsid w:val="46002E3B"/>
    <w:rsid w:val="461D6185"/>
    <w:rsid w:val="462B6D0E"/>
    <w:rsid w:val="4634308B"/>
    <w:rsid w:val="46450DB8"/>
    <w:rsid w:val="464B2236"/>
    <w:rsid w:val="46A53572"/>
    <w:rsid w:val="46D01270"/>
    <w:rsid w:val="46D72C64"/>
    <w:rsid w:val="46EA2230"/>
    <w:rsid w:val="46F012F9"/>
    <w:rsid w:val="46F67732"/>
    <w:rsid w:val="475B64E8"/>
    <w:rsid w:val="476840D5"/>
    <w:rsid w:val="47F778B5"/>
    <w:rsid w:val="47FC54BD"/>
    <w:rsid w:val="48205759"/>
    <w:rsid w:val="482B4D9F"/>
    <w:rsid w:val="48350558"/>
    <w:rsid w:val="485D3F20"/>
    <w:rsid w:val="48B90820"/>
    <w:rsid w:val="48D22491"/>
    <w:rsid w:val="48ED38BE"/>
    <w:rsid w:val="490F67DD"/>
    <w:rsid w:val="493236D3"/>
    <w:rsid w:val="493A6131"/>
    <w:rsid w:val="49442594"/>
    <w:rsid w:val="495429BC"/>
    <w:rsid w:val="49696660"/>
    <w:rsid w:val="499542C0"/>
    <w:rsid w:val="499A3A19"/>
    <w:rsid w:val="49A75C13"/>
    <w:rsid w:val="49BC6E4B"/>
    <w:rsid w:val="49F521ED"/>
    <w:rsid w:val="4A05330E"/>
    <w:rsid w:val="4A13758F"/>
    <w:rsid w:val="4A1C136D"/>
    <w:rsid w:val="4A1D7C57"/>
    <w:rsid w:val="4A241BB8"/>
    <w:rsid w:val="4A485916"/>
    <w:rsid w:val="4A6902EC"/>
    <w:rsid w:val="4A757800"/>
    <w:rsid w:val="4A842484"/>
    <w:rsid w:val="4A952FF9"/>
    <w:rsid w:val="4A987CDE"/>
    <w:rsid w:val="4A9C4040"/>
    <w:rsid w:val="4A9C547F"/>
    <w:rsid w:val="4AB01565"/>
    <w:rsid w:val="4AB84E46"/>
    <w:rsid w:val="4ABF3049"/>
    <w:rsid w:val="4ADB5E1D"/>
    <w:rsid w:val="4B29791D"/>
    <w:rsid w:val="4B4420DB"/>
    <w:rsid w:val="4B4C71D9"/>
    <w:rsid w:val="4BA15CE6"/>
    <w:rsid w:val="4BA218D5"/>
    <w:rsid w:val="4BB31A0E"/>
    <w:rsid w:val="4BCF33F2"/>
    <w:rsid w:val="4BD905AE"/>
    <w:rsid w:val="4BF55118"/>
    <w:rsid w:val="4BF864D0"/>
    <w:rsid w:val="4C22421D"/>
    <w:rsid w:val="4C2E11EF"/>
    <w:rsid w:val="4C4C2E51"/>
    <w:rsid w:val="4C5C3847"/>
    <w:rsid w:val="4C5C7C7E"/>
    <w:rsid w:val="4C884213"/>
    <w:rsid w:val="4C8D69B8"/>
    <w:rsid w:val="4C9B46AA"/>
    <w:rsid w:val="4CB9372A"/>
    <w:rsid w:val="4CF73AB4"/>
    <w:rsid w:val="4D2A7549"/>
    <w:rsid w:val="4D2F37DC"/>
    <w:rsid w:val="4D4B335E"/>
    <w:rsid w:val="4D4E5AAC"/>
    <w:rsid w:val="4DCA49FB"/>
    <w:rsid w:val="4DFD207E"/>
    <w:rsid w:val="4E3448D0"/>
    <w:rsid w:val="4E467615"/>
    <w:rsid w:val="4E634A54"/>
    <w:rsid w:val="4E67351E"/>
    <w:rsid w:val="4E7D2A5A"/>
    <w:rsid w:val="4E7D64B2"/>
    <w:rsid w:val="4E947749"/>
    <w:rsid w:val="4E977924"/>
    <w:rsid w:val="4EA07B35"/>
    <w:rsid w:val="4EB42C0C"/>
    <w:rsid w:val="4ECC6F1E"/>
    <w:rsid w:val="4F276974"/>
    <w:rsid w:val="4F4F59DB"/>
    <w:rsid w:val="4F69492D"/>
    <w:rsid w:val="4F7C7556"/>
    <w:rsid w:val="4F8722FC"/>
    <w:rsid w:val="4F936A51"/>
    <w:rsid w:val="4F9A2FE6"/>
    <w:rsid w:val="4FC7771A"/>
    <w:rsid w:val="4FF359B6"/>
    <w:rsid w:val="502C3E87"/>
    <w:rsid w:val="502E2742"/>
    <w:rsid w:val="5043350B"/>
    <w:rsid w:val="50522D53"/>
    <w:rsid w:val="506F1AA1"/>
    <w:rsid w:val="507329A4"/>
    <w:rsid w:val="50B12A42"/>
    <w:rsid w:val="50C05E5C"/>
    <w:rsid w:val="50E02396"/>
    <w:rsid w:val="50E2482B"/>
    <w:rsid w:val="50F73284"/>
    <w:rsid w:val="51456B69"/>
    <w:rsid w:val="514E2D70"/>
    <w:rsid w:val="514F5FFC"/>
    <w:rsid w:val="516B1A79"/>
    <w:rsid w:val="51712A70"/>
    <w:rsid w:val="517448D5"/>
    <w:rsid w:val="517F76F4"/>
    <w:rsid w:val="51942A04"/>
    <w:rsid w:val="51A17D81"/>
    <w:rsid w:val="51BA4BBD"/>
    <w:rsid w:val="51BE78BF"/>
    <w:rsid w:val="51C3780E"/>
    <w:rsid w:val="51C94C21"/>
    <w:rsid w:val="51DF33B8"/>
    <w:rsid w:val="51E92FD1"/>
    <w:rsid w:val="51F91B0D"/>
    <w:rsid w:val="5217598C"/>
    <w:rsid w:val="52597F9D"/>
    <w:rsid w:val="52601BF3"/>
    <w:rsid w:val="52616A3D"/>
    <w:rsid w:val="52707792"/>
    <w:rsid w:val="52711166"/>
    <w:rsid w:val="528843EB"/>
    <w:rsid w:val="529B2CC5"/>
    <w:rsid w:val="52FA6AC1"/>
    <w:rsid w:val="53093013"/>
    <w:rsid w:val="53241459"/>
    <w:rsid w:val="532B6F76"/>
    <w:rsid w:val="5361214F"/>
    <w:rsid w:val="53991307"/>
    <w:rsid w:val="53A163FC"/>
    <w:rsid w:val="53D76A77"/>
    <w:rsid w:val="53D9666E"/>
    <w:rsid w:val="53F27F9E"/>
    <w:rsid w:val="540B4B0C"/>
    <w:rsid w:val="541A4812"/>
    <w:rsid w:val="54246AAE"/>
    <w:rsid w:val="54270977"/>
    <w:rsid w:val="54451333"/>
    <w:rsid w:val="54515999"/>
    <w:rsid w:val="54642C47"/>
    <w:rsid w:val="54715D70"/>
    <w:rsid w:val="54774E08"/>
    <w:rsid w:val="548F2152"/>
    <w:rsid w:val="549635BC"/>
    <w:rsid w:val="549D1F36"/>
    <w:rsid w:val="54D5118E"/>
    <w:rsid w:val="54E970AC"/>
    <w:rsid w:val="54ED60B7"/>
    <w:rsid w:val="55183716"/>
    <w:rsid w:val="55194018"/>
    <w:rsid w:val="5526678C"/>
    <w:rsid w:val="555164D0"/>
    <w:rsid w:val="55697B42"/>
    <w:rsid w:val="55742E0A"/>
    <w:rsid w:val="55747599"/>
    <w:rsid w:val="55860920"/>
    <w:rsid w:val="558A19BE"/>
    <w:rsid w:val="559E172C"/>
    <w:rsid w:val="55B40BA8"/>
    <w:rsid w:val="55EC63FA"/>
    <w:rsid w:val="55F0459B"/>
    <w:rsid w:val="55FC182E"/>
    <w:rsid w:val="56081CEB"/>
    <w:rsid w:val="56190555"/>
    <w:rsid w:val="56327B17"/>
    <w:rsid w:val="564E1B99"/>
    <w:rsid w:val="566257D8"/>
    <w:rsid w:val="56BD07CA"/>
    <w:rsid w:val="56C0178A"/>
    <w:rsid w:val="56CB143B"/>
    <w:rsid w:val="56D93B58"/>
    <w:rsid w:val="56E22207"/>
    <w:rsid w:val="56F363ED"/>
    <w:rsid w:val="56F866D7"/>
    <w:rsid w:val="57191C4F"/>
    <w:rsid w:val="57266671"/>
    <w:rsid w:val="57365986"/>
    <w:rsid w:val="5775329A"/>
    <w:rsid w:val="5777276A"/>
    <w:rsid w:val="57960165"/>
    <w:rsid w:val="57981816"/>
    <w:rsid w:val="57B43353"/>
    <w:rsid w:val="57D4582C"/>
    <w:rsid w:val="57E209B7"/>
    <w:rsid w:val="57F537BA"/>
    <w:rsid w:val="581542BF"/>
    <w:rsid w:val="581E1776"/>
    <w:rsid w:val="581E65B1"/>
    <w:rsid w:val="582740A9"/>
    <w:rsid w:val="583568CF"/>
    <w:rsid w:val="58436111"/>
    <w:rsid w:val="58BC7453"/>
    <w:rsid w:val="58C554B3"/>
    <w:rsid w:val="58CC64E4"/>
    <w:rsid w:val="58E77261"/>
    <w:rsid w:val="594A4E97"/>
    <w:rsid w:val="595158B5"/>
    <w:rsid w:val="595E3540"/>
    <w:rsid w:val="59785F2D"/>
    <w:rsid w:val="59905953"/>
    <w:rsid w:val="59A05382"/>
    <w:rsid w:val="59B80B50"/>
    <w:rsid w:val="59BC691B"/>
    <w:rsid w:val="59F13A04"/>
    <w:rsid w:val="5A2033B2"/>
    <w:rsid w:val="5A2C0EAA"/>
    <w:rsid w:val="5A4D4172"/>
    <w:rsid w:val="5A675E17"/>
    <w:rsid w:val="5A6A1E9E"/>
    <w:rsid w:val="5AA41D7F"/>
    <w:rsid w:val="5AA438C1"/>
    <w:rsid w:val="5AB47E9B"/>
    <w:rsid w:val="5ABF1FEE"/>
    <w:rsid w:val="5AC37A18"/>
    <w:rsid w:val="5ADD5D1F"/>
    <w:rsid w:val="5AE75922"/>
    <w:rsid w:val="5B0E516E"/>
    <w:rsid w:val="5B1020A1"/>
    <w:rsid w:val="5B10384E"/>
    <w:rsid w:val="5B132A07"/>
    <w:rsid w:val="5B433C96"/>
    <w:rsid w:val="5B5F3C0A"/>
    <w:rsid w:val="5B644F10"/>
    <w:rsid w:val="5B7058E8"/>
    <w:rsid w:val="5BBA65B5"/>
    <w:rsid w:val="5BEE0F69"/>
    <w:rsid w:val="5BFA33F2"/>
    <w:rsid w:val="5C2175B6"/>
    <w:rsid w:val="5C6A2F16"/>
    <w:rsid w:val="5C6C3C27"/>
    <w:rsid w:val="5CBE5DD4"/>
    <w:rsid w:val="5CF35378"/>
    <w:rsid w:val="5D120C2C"/>
    <w:rsid w:val="5D124819"/>
    <w:rsid w:val="5D2D0024"/>
    <w:rsid w:val="5D301107"/>
    <w:rsid w:val="5D5061F6"/>
    <w:rsid w:val="5D7221EB"/>
    <w:rsid w:val="5D9B28C6"/>
    <w:rsid w:val="5DDC7A09"/>
    <w:rsid w:val="5DDF7D89"/>
    <w:rsid w:val="5DE828D3"/>
    <w:rsid w:val="5DF36E74"/>
    <w:rsid w:val="5E453881"/>
    <w:rsid w:val="5E592972"/>
    <w:rsid w:val="5E596ACF"/>
    <w:rsid w:val="5E6A153A"/>
    <w:rsid w:val="5E7E6469"/>
    <w:rsid w:val="5E8766D0"/>
    <w:rsid w:val="5E8954E8"/>
    <w:rsid w:val="5E985357"/>
    <w:rsid w:val="5EAA549F"/>
    <w:rsid w:val="5EC525F5"/>
    <w:rsid w:val="5ED72921"/>
    <w:rsid w:val="5EDC3E56"/>
    <w:rsid w:val="5EE557F6"/>
    <w:rsid w:val="5F07103D"/>
    <w:rsid w:val="5F0E7E2E"/>
    <w:rsid w:val="5F257BB0"/>
    <w:rsid w:val="5F756F8B"/>
    <w:rsid w:val="5F825336"/>
    <w:rsid w:val="5F9745B0"/>
    <w:rsid w:val="5FA2425E"/>
    <w:rsid w:val="5FA323CE"/>
    <w:rsid w:val="5FA81413"/>
    <w:rsid w:val="5FB16C8B"/>
    <w:rsid w:val="5FF026CE"/>
    <w:rsid w:val="60047AB6"/>
    <w:rsid w:val="601C4AB5"/>
    <w:rsid w:val="6023001F"/>
    <w:rsid w:val="60680901"/>
    <w:rsid w:val="608D0A5D"/>
    <w:rsid w:val="60A21FA0"/>
    <w:rsid w:val="60F20AB4"/>
    <w:rsid w:val="61125DC7"/>
    <w:rsid w:val="61285899"/>
    <w:rsid w:val="61314591"/>
    <w:rsid w:val="6131474E"/>
    <w:rsid w:val="61444752"/>
    <w:rsid w:val="61550F38"/>
    <w:rsid w:val="61590D2B"/>
    <w:rsid w:val="61653D23"/>
    <w:rsid w:val="61826B9A"/>
    <w:rsid w:val="61954B1F"/>
    <w:rsid w:val="61A15CC7"/>
    <w:rsid w:val="61D66A13"/>
    <w:rsid w:val="61DC3DCF"/>
    <w:rsid w:val="61EE681C"/>
    <w:rsid w:val="61F72241"/>
    <w:rsid w:val="621F726B"/>
    <w:rsid w:val="623B1AB9"/>
    <w:rsid w:val="628F5E41"/>
    <w:rsid w:val="62902312"/>
    <w:rsid w:val="62C74574"/>
    <w:rsid w:val="62D71249"/>
    <w:rsid w:val="63022451"/>
    <w:rsid w:val="630A2FC9"/>
    <w:rsid w:val="63391E7B"/>
    <w:rsid w:val="63602248"/>
    <w:rsid w:val="63610E11"/>
    <w:rsid w:val="636F767D"/>
    <w:rsid w:val="63723F5D"/>
    <w:rsid w:val="637F4F6C"/>
    <w:rsid w:val="639118D4"/>
    <w:rsid w:val="63CD1381"/>
    <w:rsid w:val="63CE0FE4"/>
    <w:rsid w:val="63E26824"/>
    <w:rsid w:val="63F87D92"/>
    <w:rsid w:val="6401473A"/>
    <w:rsid w:val="6415534B"/>
    <w:rsid w:val="641C3B4A"/>
    <w:rsid w:val="64300D8E"/>
    <w:rsid w:val="644E4B61"/>
    <w:rsid w:val="6458100E"/>
    <w:rsid w:val="645F3B29"/>
    <w:rsid w:val="64682105"/>
    <w:rsid w:val="64741D38"/>
    <w:rsid w:val="64A67C8F"/>
    <w:rsid w:val="64AB71B7"/>
    <w:rsid w:val="64E75692"/>
    <w:rsid w:val="64FD42AF"/>
    <w:rsid w:val="651564A3"/>
    <w:rsid w:val="651D2E62"/>
    <w:rsid w:val="653341BC"/>
    <w:rsid w:val="658D6624"/>
    <w:rsid w:val="65954F1A"/>
    <w:rsid w:val="65BB7E74"/>
    <w:rsid w:val="65C019F7"/>
    <w:rsid w:val="65C92FEA"/>
    <w:rsid w:val="65E65A50"/>
    <w:rsid w:val="660C6239"/>
    <w:rsid w:val="661E1616"/>
    <w:rsid w:val="662E4F23"/>
    <w:rsid w:val="663A4D84"/>
    <w:rsid w:val="663B3767"/>
    <w:rsid w:val="664A2D7F"/>
    <w:rsid w:val="66644488"/>
    <w:rsid w:val="66695DDC"/>
    <w:rsid w:val="666B0372"/>
    <w:rsid w:val="66822AB6"/>
    <w:rsid w:val="669A3A58"/>
    <w:rsid w:val="669D6685"/>
    <w:rsid w:val="66A442EC"/>
    <w:rsid w:val="66BF04BD"/>
    <w:rsid w:val="66C32BE9"/>
    <w:rsid w:val="66D333E8"/>
    <w:rsid w:val="67084450"/>
    <w:rsid w:val="672D634A"/>
    <w:rsid w:val="6768294A"/>
    <w:rsid w:val="676E4A29"/>
    <w:rsid w:val="678462D0"/>
    <w:rsid w:val="67B42755"/>
    <w:rsid w:val="67D70BE2"/>
    <w:rsid w:val="680D380B"/>
    <w:rsid w:val="685D6FA1"/>
    <w:rsid w:val="6864456A"/>
    <w:rsid w:val="689D3916"/>
    <w:rsid w:val="68B43ADD"/>
    <w:rsid w:val="68B81DE3"/>
    <w:rsid w:val="68B924E7"/>
    <w:rsid w:val="68DD005D"/>
    <w:rsid w:val="68E00BCA"/>
    <w:rsid w:val="691F6BC1"/>
    <w:rsid w:val="692432CA"/>
    <w:rsid w:val="692F585A"/>
    <w:rsid w:val="69307E9E"/>
    <w:rsid w:val="696A0C89"/>
    <w:rsid w:val="697773A4"/>
    <w:rsid w:val="69872909"/>
    <w:rsid w:val="699A0879"/>
    <w:rsid w:val="69B4690D"/>
    <w:rsid w:val="69F16C12"/>
    <w:rsid w:val="6A056092"/>
    <w:rsid w:val="6A094D6F"/>
    <w:rsid w:val="6A156053"/>
    <w:rsid w:val="6A246A40"/>
    <w:rsid w:val="6A285A12"/>
    <w:rsid w:val="6A2C1E11"/>
    <w:rsid w:val="6A2F40C9"/>
    <w:rsid w:val="6A333844"/>
    <w:rsid w:val="6A3E6BBB"/>
    <w:rsid w:val="6A5D6289"/>
    <w:rsid w:val="6A606477"/>
    <w:rsid w:val="6A9575E8"/>
    <w:rsid w:val="6A965F2D"/>
    <w:rsid w:val="6A9A0367"/>
    <w:rsid w:val="6AAE093F"/>
    <w:rsid w:val="6AB448D3"/>
    <w:rsid w:val="6AC16985"/>
    <w:rsid w:val="6AD7148C"/>
    <w:rsid w:val="6AEC79FA"/>
    <w:rsid w:val="6B043415"/>
    <w:rsid w:val="6B0A1759"/>
    <w:rsid w:val="6B1B2E57"/>
    <w:rsid w:val="6B213518"/>
    <w:rsid w:val="6B842FB7"/>
    <w:rsid w:val="6B927DB2"/>
    <w:rsid w:val="6BB376B4"/>
    <w:rsid w:val="6C1545B9"/>
    <w:rsid w:val="6C326A9A"/>
    <w:rsid w:val="6C5C4BB7"/>
    <w:rsid w:val="6C5F709B"/>
    <w:rsid w:val="6C6D7CDC"/>
    <w:rsid w:val="6C781724"/>
    <w:rsid w:val="6C9E6F7E"/>
    <w:rsid w:val="6CA548C6"/>
    <w:rsid w:val="6CAF5AFE"/>
    <w:rsid w:val="6CB31830"/>
    <w:rsid w:val="6CB70040"/>
    <w:rsid w:val="6CB7260D"/>
    <w:rsid w:val="6CC638A3"/>
    <w:rsid w:val="6CE07E9A"/>
    <w:rsid w:val="6D175D26"/>
    <w:rsid w:val="6D3D399E"/>
    <w:rsid w:val="6D5557FD"/>
    <w:rsid w:val="6D7970A3"/>
    <w:rsid w:val="6D902F49"/>
    <w:rsid w:val="6D914DB3"/>
    <w:rsid w:val="6DC83BF5"/>
    <w:rsid w:val="6DCA7BEC"/>
    <w:rsid w:val="6DCD6473"/>
    <w:rsid w:val="6E610C25"/>
    <w:rsid w:val="6E696562"/>
    <w:rsid w:val="6ECF12BC"/>
    <w:rsid w:val="6EF86C71"/>
    <w:rsid w:val="6F1C1F16"/>
    <w:rsid w:val="6F35524C"/>
    <w:rsid w:val="6F3D2CBA"/>
    <w:rsid w:val="6F481A68"/>
    <w:rsid w:val="6F5E6501"/>
    <w:rsid w:val="6F76710D"/>
    <w:rsid w:val="6FB865A9"/>
    <w:rsid w:val="6FB92EDC"/>
    <w:rsid w:val="6FF53D83"/>
    <w:rsid w:val="700C0C58"/>
    <w:rsid w:val="70304EE3"/>
    <w:rsid w:val="70551272"/>
    <w:rsid w:val="70821B85"/>
    <w:rsid w:val="708A7C9C"/>
    <w:rsid w:val="70904221"/>
    <w:rsid w:val="70AB3A18"/>
    <w:rsid w:val="70BF4D5D"/>
    <w:rsid w:val="70F71186"/>
    <w:rsid w:val="711315BD"/>
    <w:rsid w:val="71263CB9"/>
    <w:rsid w:val="712D1824"/>
    <w:rsid w:val="71334DFF"/>
    <w:rsid w:val="714627C0"/>
    <w:rsid w:val="716D2E0E"/>
    <w:rsid w:val="717A2733"/>
    <w:rsid w:val="718D7271"/>
    <w:rsid w:val="71A97DEC"/>
    <w:rsid w:val="71C0472B"/>
    <w:rsid w:val="71CB25AA"/>
    <w:rsid w:val="71CE46FE"/>
    <w:rsid w:val="71E3575C"/>
    <w:rsid w:val="72435809"/>
    <w:rsid w:val="72455A7D"/>
    <w:rsid w:val="725772B5"/>
    <w:rsid w:val="726502D4"/>
    <w:rsid w:val="726D6471"/>
    <w:rsid w:val="726E4FFF"/>
    <w:rsid w:val="72780519"/>
    <w:rsid w:val="72AE13ED"/>
    <w:rsid w:val="72C24D04"/>
    <w:rsid w:val="73082FE0"/>
    <w:rsid w:val="7316010C"/>
    <w:rsid w:val="733774A5"/>
    <w:rsid w:val="73460D7F"/>
    <w:rsid w:val="735657D3"/>
    <w:rsid w:val="738B4A5C"/>
    <w:rsid w:val="738B5D82"/>
    <w:rsid w:val="739002D0"/>
    <w:rsid w:val="73BC418E"/>
    <w:rsid w:val="73C66DBA"/>
    <w:rsid w:val="73D02658"/>
    <w:rsid w:val="73EB25D1"/>
    <w:rsid w:val="73EC2FA0"/>
    <w:rsid w:val="73F12DAA"/>
    <w:rsid w:val="740B03EA"/>
    <w:rsid w:val="74157C47"/>
    <w:rsid w:val="741F06C8"/>
    <w:rsid w:val="744171A8"/>
    <w:rsid w:val="745C3D3E"/>
    <w:rsid w:val="74690F71"/>
    <w:rsid w:val="74887383"/>
    <w:rsid w:val="748D2E98"/>
    <w:rsid w:val="74A920E6"/>
    <w:rsid w:val="74B63D55"/>
    <w:rsid w:val="74CB28DA"/>
    <w:rsid w:val="74DA739A"/>
    <w:rsid w:val="750A2CD7"/>
    <w:rsid w:val="750B1C19"/>
    <w:rsid w:val="75274DF9"/>
    <w:rsid w:val="753B0285"/>
    <w:rsid w:val="756568C4"/>
    <w:rsid w:val="757979F3"/>
    <w:rsid w:val="75982C83"/>
    <w:rsid w:val="759D7555"/>
    <w:rsid w:val="75BA7605"/>
    <w:rsid w:val="75CC0A7F"/>
    <w:rsid w:val="75D258A8"/>
    <w:rsid w:val="75D948DA"/>
    <w:rsid w:val="76042DD1"/>
    <w:rsid w:val="762F6E99"/>
    <w:rsid w:val="763A6DE8"/>
    <w:rsid w:val="763E46CC"/>
    <w:rsid w:val="76C131C1"/>
    <w:rsid w:val="76C916DB"/>
    <w:rsid w:val="770010BF"/>
    <w:rsid w:val="777C7EBC"/>
    <w:rsid w:val="778F0807"/>
    <w:rsid w:val="77B73FC3"/>
    <w:rsid w:val="77B75710"/>
    <w:rsid w:val="77BF3E90"/>
    <w:rsid w:val="77C65BBE"/>
    <w:rsid w:val="77D311C4"/>
    <w:rsid w:val="77DD2DCB"/>
    <w:rsid w:val="77ED7981"/>
    <w:rsid w:val="77F52C7E"/>
    <w:rsid w:val="780E47B1"/>
    <w:rsid w:val="782518E6"/>
    <w:rsid w:val="785D57D1"/>
    <w:rsid w:val="786442A7"/>
    <w:rsid w:val="78692B52"/>
    <w:rsid w:val="78707BBA"/>
    <w:rsid w:val="78774A0D"/>
    <w:rsid w:val="78A63490"/>
    <w:rsid w:val="78C33DFF"/>
    <w:rsid w:val="78CC4E73"/>
    <w:rsid w:val="78DB48E5"/>
    <w:rsid w:val="78EF381B"/>
    <w:rsid w:val="78F604C3"/>
    <w:rsid w:val="79036D1D"/>
    <w:rsid w:val="791C41F2"/>
    <w:rsid w:val="791F6D20"/>
    <w:rsid w:val="792C65B3"/>
    <w:rsid w:val="79307C2E"/>
    <w:rsid w:val="793858A8"/>
    <w:rsid w:val="79490708"/>
    <w:rsid w:val="796449F7"/>
    <w:rsid w:val="796A38C5"/>
    <w:rsid w:val="796C417F"/>
    <w:rsid w:val="79741E47"/>
    <w:rsid w:val="79817071"/>
    <w:rsid w:val="79895016"/>
    <w:rsid w:val="79DB1356"/>
    <w:rsid w:val="79E05081"/>
    <w:rsid w:val="79FD2B56"/>
    <w:rsid w:val="7A205141"/>
    <w:rsid w:val="7AB731C3"/>
    <w:rsid w:val="7AF47DAB"/>
    <w:rsid w:val="7B791408"/>
    <w:rsid w:val="7BA8093C"/>
    <w:rsid w:val="7BB32DB4"/>
    <w:rsid w:val="7BC53B58"/>
    <w:rsid w:val="7BDA539F"/>
    <w:rsid w:val="7BDC717B"/>
    <w:rsid w:val="7BDF1631"/>
    <w:rsid w:val="7BE2177F"/>
    <w:rsid w:val="7BF428A0"/>
    <w:rsid w:val="7BFC250C"/>
    <w:rsid w:val="7BFD3595"/>
    <w:rsid w:val="7C17320C"/>
    <w:rsid w:val="7C2028AD"/>
    <w:rsid w:val="7C25698E"/>
    <w:rsid w:val="7C4E3395"/>
    <w:rsid w:val="7C887A04"/>
    <w:rsid w:val="7C9A1801"/>
    <w:rsid w:val="7CA946B8"/>
    <w:rsid w:val="7CB70FFB"/>
    <w:rsid w:val="7CB71653"/>
    <w:rsid w:val="7CD15472"/>
    <w:rsid w:val="7D0073C1"/>
    <w:rsid w:val="7D056BA5"/>
    <w:rsid w:val="7D1A4795"/>
    <w:rsid w:val="7D1D3EEF"/>
    <w:rsid w:val="7D3354C1"/>
    <w:rsid w:val="7D6E695E"/>
    <w:rsid w:val="7D784B03"/>
    <w:rsid w:val="7D7C62F5"/>
    <w:rsid w:val="7D830316"/>
    <w:rsid w:val="7D973A3C"/>
    <w:rsid w:val="7D9C43DD"/>
    <w:rsid w:val="7D9F4260"/>
    <w:rsid w:val="7DA134D7"/>
    <w:rsid w:val="7DBC55DB"/>
    <w:rsid w:val="7DC221CB"/>
    <w:rsid w:val="7DE22A43"/>
    <w:rsid w:val="7DF974F2"/>
    <w:rsid w:val="7E00078A"/>
    <w:rsid w:val="7E0155BF"/>
    <w:rsid w:val="7E162E8E"/>
    <w:rsid w:val="7E712D54"/>
    <w:rsid w:val="7E771592"/>
    <w:rsid w:val="7E9A50CB"/>
    <w:rsid w:val="7ED175B4"/>
    <w:rsid w:val="7EE42649"/>
    <w:rsid w:val="7EE7398F"/>
    <w:rsid w:val="7EEA60C1"/>
    <w:rsid w:val="7F4A590E"/>
    <w:rsid w:val="7F604011"/>
    <w:rsid w:val="7F6246B1"/>
    <w:rsid w:val="7F642918"/>
    <w:rsid w:val="7F6666BA"/>
    <w:rsid w:val="7F705743"/>
    <w:rsid w:val="7F91049D"/>
    <w:rsid w:val="7F975E82"/>
    <w:rsid w:val="7FB17779"/>
    <w:rsid w:val="7FCB5E84"/>
    <w:rsid w:val="7FCE2264"/>
    <w:rsid w:val="7FDC37A4"/>
    <w:rsid w:val="7FDD5E9A"/>
    <w:rsid w:val="7FF6562E"/>
    <w:rsid w:val="FCFE6287"/>
    <w:rsid w:val="FEBF4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7"/>
    <w:qFormat/>
    <w:uiPriority w:val="0"/>
    <w:pPr>
      <w:keepNext/>
      <w:keepLines/>
      <w:tabs>
        <w:tab w:val="left" w:pos="576"/>
      </w:tabs>
      <w:spacing w:beforeLines="100" w:afterLines="100" w:line="413" w:lineRule="auto"/>
      <w:ind w:left="578" w:hanging="578"/>
      <w:outlineLvl w:val="1"/>
    </w:pPr>
    <w:rPr>
      <w:rFonts w:ascii="Arial" w:hAnsi="Arial" w:eastAsia="黑体"/>
      <w:b/>
      <w:bCs/>
      <w:kern w:val="0"/>
      <w:szCs w:val="32"/>
    </w:rPr>
  </w:style>
  <w:style w:type="paragraph" w:styleId="4">
    <w:name w:val="heading 3"/>
    <w:basedOn w:val="1"/>
    <w:next w:val="1"/>
    <w:link w:val="48"/>
    <w:qFormat/>
    <w:uiPriority w:val="0"/>
    <w:pPr>
      <w:keepNext/>
      <w:keepLines/>
      <w:spacing w:beforeLines="100" w:afterLines="100" w:line="416" w:lineRule="auto"/>
      <w:ind w:hanging="640" w:hangingChars="200"/>
      <w:outlineLvl w:val="2"/>
    </w:pPr>
    <w:rPr>
      <w:b/>
      <w:bCs/>
      <w:kern w:val="0"/>
      <w:sz w:val="20"/>
      <w:szCs w:val="32"/>
    </w:rPr>
  </w:style>
  <w:style w:type="paragraph" w:styleId="5">
    <w:name w:val="heading 4"/>
    <w:basedOn w:val="1"/>
    <w:next w:val="1"/>
    <w:link w:val="49"/>
    <w:qFormat/>
    <w:uiPriority w:val="0"/>
    <w:pPr>
      <w:keepNext/>
      <w:keepLines/>
      <w:tabs>
        <w:tab w:val="left" w:pos="864"/>
      </w:tabs>
      <w:spacing w:before="280" w:after="290" w:line="372" w:lineRule="auto"/>
      <w:ind w:left="864" w:hanging="864"/>
      <w:outlineLvl w:val="3"/>
    </w:pPr>
    <w:rPr>
      <w:rFonts w:ascii="Arial" w:hAnsi="Arial" w:eastAsia="黑体"/>
      <w:b/>
      <w:bCs/>
      <w:kern w:val="0"/>
      <w:sz w:val="20"/>
      <w:szCs w:val="28"/>
    </w:rPr>
  </w:style>
  <w:style w:type="paragraph" w:styleId="6">
    <w:name w:val="heading 5"/>
    <w:basedOn w:val="1"/>
    <w:next w:val="1"/>
    <w:link w:val="50"/>
    <w:qFormat/>
    <w:uiPriority w:val="0"/>
    <w:pPr>
      <w:keepNext/>
      <w:keepLines/>
      <w:spacing w:before="280" w:after="290" w:line="372" w:lineRule="auto"/>
      <w:outlineLvl w:val="4"/>
    </w:pPr>
    <w:rPr>
      <w:b/>
      <w:bCs/>
      <w:kern w:val="0"/>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8">
    <w:name w:val="Normal Indent"/>
    <w:basedOn w:val="1"/>
    <w:next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1"/>
    <w:qFormat/>
    <w:uiPriority w:val="0"/>
    <w:pPr>
      <w:shd w:val="clear" w:color="auto" w:fill="000080"/>
    </w:pPr>
    <w:rPr>
      <w:kern w:val="0"/>
      <w:sz w:val="20"/>
    </w:rPr>
  </w:style>
  <w:style w:type="paragraph" w:styleId="11">
    <w:name w:val="annotation text"/>
    <w:basedOn w:val="1"/>
    <w:link w:val="52"/>
    <w:qFormat/>
    <w:uiPriority w:val="0"/>
    <w:pPr>
      <w:jc w:val="left"/>
    </w:pPr>
    <w:rPr>
      <w:kern w:val="0"/>
      <w:sz w:val="20"/>
      <w:szCs w:val="20"/>
    </w:rPr>
  </w:style>
  <w:style w:type="paragraph" w:styleId="12">
    <w:name w:val="Body Text 3"/>
    <w:basedOn w:val="1"/>
    <w:link w:val="53"/>
    <w:qFormat/>
    <w:uiPriority w:val="0"/>
    <w:pPr>
      <w:snapToGrid w:val="0"/>
      <w:spacing w:before="50" w:after="50"/>
    </w:pPr>
    <w:rPr>
      <w:rFonts w:eastAsia="仿宋_GB2312"/>
      <w:b/>
      <w:bCs/>
      <w:kern w:val="0"/>
      <w:sz w:val="24"/>
      <w:szCs w:val="20"/>
    </w:rPr>
  </w:style>
  <w:style w:type="paragraph" w:styleId="13">
    <w:name w:val="Body Text"/>
    <w:basedOn w:val="1"/>
    <w:next w:val="14"/>
    <w:link w:val="54"/>
    <w:qFormat/>
    <w:uiPriority w:val="0"/>
    <w:pPr>
      <w:spacing w:after="120"/>
    </w:pPr>
    <w:rPr>
      <w:kern w:val="0"/>
      <w:sz w:val="28"/>
    </w:rPr>
  </w:style>
  <w:style w:type="paragraph" w:styleId="14">
    <w:name w:val="Body Text First Indent"/>
    <w:basedOn w:val="13"/>
    <w:next w:val="1"/>
    <w:qFormat/>
    <w:uiPriority w:val="0"/>
    <w:pPr>
      <w:spacing w:after="160"/>
      <w:ind w:firstLine="250" w:firstLineChars="250"/>
    </w:pPr>
  </w:style>
  <w:style w:type="paragraph" w:styleId="15">
    <w:name w:val="Body Text Indent"/>
    <w:basedOn w:val="1"/>
    <w:next w:val="1"/>
    <w:link w:val="55"/>
    <w:qFormat/>
    <w:uiPriority w:val="0"/>
    <w:pPr>
      <w:spacing w:line="200" w:lineRule="exact"/>
      <w:ind w:firstLine="301"/>
    </w:pPr>
    <w:rPr>
      <w:rFonts w:ascii="宋体"/>
      <w:spacing w:val="-4"/>
      <w:kern w:val="0"/>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ind w:left="400" w:leftChars="200" w:hanging="200" w:hangingChars="200"/>
    </w:pPr>
    <w:rPr>
      <w:sz w:val="28"/>
    </w:rPr>
  </w:style>
  <w:style w:type="paragraph" w:styleId="18">
    <w:name w:val="toc 3"/>
    <w:basedOn w:val="1"/>
    <w:next w:val="1"/>
    <w:qFormat/>
    <w:uiPriority w:val="0"/>
    <w:pPr>
      <w:ind w:left="400" w:leftChars="400"/>
    </w:pPr>
  </w:style>
  <w:style w:type="paragraph" w:styleId="19">
    <w:name w:val="Plain Text"/>
    <w:basedOn w:val="1"/>
    <w:next w:val="1"/>
    <w:link w:val="45"/>
    <w:qFormat/>
    <w:uiPriority w:val="0"/>
    <w:pPr>
      <w:spacing w:beforeLines="50" w:afterLines="50" w:line="400" w:lineRule="exact"/>
    </w:pPr>
    <w:rPr>
      <w:rFonts w:ascii="宋体"/>
      <w:kern w:val="0"/>
      <w:sz w:val="24"/>
    </w:rPr>
  </w:style>
  <w:style w:type="paragraph" w:styleId="20">
    <w:name w:val="Date"/>
    <w:basedOn w:val="1"/>
    <w:next w:val="1"/>
    <w:link w:val="56"/>
    <w:qFormat/>
    <w:uiPriority w:val="0"/>
    <w:pPr>
      <w:ind w:left="2500" w:leftChars="2500"/>
    </w:pPr>
    <w:rPr>
      <w:rFonts w:eastAsia="楷体_GB2312"/>
      <w:kern w:val="0"/>
      <w:sz w:val="32"/>
      <w:szCs w:val="20"/>
    </w:rPr>
  </w:style>
  <w:style w:type="paragraph" w:styleId="21">
    <w:name w:val="Body Text Indent 2"/>
    <w:basedOn w:val="1"/>
    <w:link w:val="57"/>
    <w:qFormat/>
    <w:uiPriority w:val="0"/>
    <w:pPr>
      <w:snapToGrid w:val="0"/>
      <w:ind w:firstLine="225" w:firstLineChars="225"/>
    </w:pPr>
    <w:rPr>
      <w:rFonts w:ascii="仿宋_GB2312" w:hAnsi="仿宋_GB2312"/>
      <w:b/>
      <w:bCs/>
      <w:color w:val="000000"/>
      <w:kern w:val="0"/>
      <w:sz w:val="24"/>
    </w:rPr>
  </w:style>
  <w:style w:type="paragraph" w:styleId="22">
    <w:name w:val="Balloon Text"/>
    <w:basedOn w:val="1"/>
    <w:link w:val="58"/>
    <w:qFormat/>
    <w:uiPriority w:val="0"/>
    <w:rPr>
      <w:kern w:val="0"/>
      <w:sz w:val="18"/>
      <w:szCs w:val="18"/>
    </w:rPr>
  </w:style>
  <w:style w:type="paragraph" w:styleId="23">
    <w:name w:val="footer"/>
    <w:basedOn w:val="1"/>
    <w:link w:val="59"/>
    <w:qFormat/>
    <w:uiPriority w:val="0"/>
    <w:pPr>
      <w:tabs>
        <w:tab w:val="center" w:pos="4153"/>
        <w:tab w:val="right" w:pos="8306"/>
      </w:tabs>
      <w:snapToGrid w:val="0"/>
      <w:jc w:val="left"/>
    </w:pPr>
    <w:rPr>
      <w:kern w:val="0"/>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0"/>
  </w:style>
  <w:style w:type="paragraph" w:styleId="26">
    <w:name w:val="Subtitle"/>
    <w:basedOn w:val="1"/>
    <w:next w:val="1"/>
    <w:link w:val="61"/>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qFormat/>
    <w:uiPriority w:val="0"/>
    <w:pPr>
      <w:ind w:left="200" w:hanging="200" w:hangingChars="200"/>
    </w:pPr>
    <w:rPr>
      <w:sz w:val="28"/>
    </w:rPr>
  </w:style>
  <w:style w:type="paragraph" w:styleId="28">
    <w:name w:val="Body Text Indent 3"/>
    <w:basedOn w:val="1"/>
    <w:link w:val="62"/>
    <w:qFormat/>
    <w:uiPriority w:val="0"/>
    <w:pPr>
      <w:snapToGrid w:val="0"/>
      <w:ind w:firstLine="200" w:firstLineChars="200"/>
      <w:jc w:val="left"/>
    </w:pPr>
    <w:rPr>
      <w:rFonts w:ascii="仿宋_GB2312" w:eastAsia="仿宋_GB2312"/>
      <w:color w:val="000000"/>
      <w:kern w:val="0"/>
      <w:sz w:val="24"/>
    </w:rPr>
  </w:style>
  <w:style w:type="paragraph" w:styleId="29">
    <w:name w:val="toc 2"/>
    <w:basedOn w:val="1"/>
    <w:next w:val="1"/>
    <w:qFormat/>
    <w:uiPriority w:val="0"/>
    <w:pPr>
      <w:ind w:left="200" w:leftChars="200"/>
    </w:pPr>
  </w:style>
  <w:style w:type="paragraph" w:styleId="30">
    <w:name w:val="Body Text 2"/>
    <w:basedOn w:val="1"/>
    <w:link w:val="63"/>
    <w:qFormat/>
    <w:uiPriority w:val="0"/>
    <w:pPr>
      <w:widowControl/>
      <w:snapToGrid w:val="0"/>
      <w:spacing w:before="50" w:afterLines="50" w:line="400" w:lineRule="exact"/>
      <w:jc w:val="left"/>
    </w:pPr>
    <w:rPr>
      <w:rFonts w:ascii="宋体"/>
      <w:color w:val="000000"/>
      <w:kern w:val="0"/>
      <w:sz w:val="24"/>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Normal (Web)"/>
    <w:basedOn w:val="1"/>
    <w:qFormat/>
    <w:uiPriority w:val="0"/>
    <w:pPr>
      <w:widowControl/>
      <w:spacing w:before="100" w:beforeAutospacing="1" w:after="100" w:afterAutospacing="1"/>
      <w:jc w:val="left"/>
    </w:pPr>
    <w:rPr>
      <w:kern w:val="0"/>
      <w:sz w:val="24"/>
    </w:rPr>
  </w:style>
  <w:style w:type="paragraph" w:styleId="33">
    <w:name w:val="annotation subject"/>
    <w:basedOn w:val="11"/>
    <w:next w:val="11"/>
    <w:link w:val="64"/>
    <w:qFormat/>
    <w:uiPriority w:val="0"/>
  </w:style>
  <w:style w:type="paragraph" w:styleId="34">
    <w:name w:val="Body Text First Indent 2"/>
    <w:basedOn w:val="15"/>
    <w:next w:val="1"/>
    <w:qFormat/>
    <w:uiPriority w:val="0"/>
    <w:pPr>
      <w:tabs>
        <w:tab w:val="left" w:pos="0"/>
        <w:tab w:val="left" w:pos="1260"/>
        <w:tab w:val="left" w:pos="1365"/>
      </w:tabs>
      <w:ind w:firstLine="420"/>
    </w:pPr>
    <w:rPr>
      <w:rFonts w:ascii="Times New Roman"/>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bCs/>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800080"/>
      <w:u w:val="single"/>
    </w:rPr>
  </w:style>
  <w:style w:type="character" w:styleId="41">
    <w:name w:val="Emphasis"/>
    <w:qFormat/>
    <w:uiPriority w:val="0"/>
    <w:rPr>
      <w:rFonts w:ascii="Times New Roman" w:hAnsi="Times New Roman" w:eastAsia="宋体" w:cs="Times New Roman"/>
      <w:color w:val="CC0000"/>
    </w:rPr>
  </w:style>
  <w:style w:type="character" w:styleId="42">
    <w:name w:val="Hyperlink"/>
    <w:qFormat/>
    <w:uiPriority w:val="0"/>
    <w:rPr>
      <w:rFonts w:ascii="Times New Roman" w:hAnsi="Times New Roman" w:eastAsia="宋体" w:cs="Times New Roman"/>
      <w:color w:val="0000FF"/>
      <w:u w:val="single"/>
    </w:rPr>
  </w:style>
  <w:style w:type="character" w:styleId="43">
    <w:name w:val="annotation reference"/>
    <w:qFormat/>
    <w:uiPriority w:val="0"/>
    <w:rPr>
      <w:rFonts w:ascii="Times New Roman" w:hAnsi="Times New Roman" w:eastAsia="宋体" w:cs="Times New Roman"/>
      <w:sz w:val="21"/>
      <w:szCs w:val="21"/>
    </w:rPr>
  </w:style>
  <w:style w:type="paragraph" w:customStyle="1" w:styleId="44">
    <w:name w:val="_Style 3"/>
    <w:qFormat/>
    <w:uiPriority w:val="0"/>
    <w:pPr>
      <w:widowControl w:val="0"/>
      <w:ind w:firstLine="420" w:firstLineChars="200"/>
      <w:jc w:val="both"/>
    </w:pPr>
    <w:rPr>
      <w:rFonts w:ascii="Calibri" w:hAnsi="Calibri" w:eastAsia="仿宋_GB2312" w:cs="Times New Roman"/>
      <w:kern w:val="2"/>
      <w:sz w:val="28"/>
      <w:szCs w:val="24"/>
      <w:lang w:val="en-US" w:eastAsia="zh-CN" w:bidi="ar-SA"/>
    </w:rPr>
  </w:style>
  <w:style w:type="character" w:customStyle="1" w:styleId="45">
    <w:name w:val="纯文本 字符"/>
    <w:link w:val="19"/>
    <w:qFormat/>
    <w:uiPriority w:val="0"/>
    <w:rPr>
      <w:rFonts w:ascii="宋体" w:hAnsi="Times New Roman" w:eastAsia="宋体" w:cs="Times New Roman"/>
      <w:sz w:val="24"/>
      <w:szCs w:val="24"/>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标题 2 字符"/>
    <w:link w:val="3"/>
    <w:qFormat/>
    <w:uiPriority w:val="0"/>
    <w:rPr>
      <w:rFonts w:ascii="Arial" w:hAnsi="Arial" w:eastAsia="黑体"/>
      <w:b/>
      <w:bCs/>
      <w:sz w:val="21"/>
      <w:szCs w:val="32"/>
    </w:rPr>
  </w:style>
  <w:style w:type="character" w:customStyle="1" w:styleId="48">
    <w:name w:val="标题 3 字符"/>
    <w:link w:val="4"/>
    <w:qFormat/>
    <w:uiPriority w:val="0"/>
    <w:rPr>
      <w:b/>
      <w:bCs/>
      <w:szCs w:val="32"/>
    </w:rPr>
  </w:style>
  <w:style w:type="character" w:customStyle="1" w:styleId="49">
    <w:name w:val="标题 4 字符"/>
    <w:link w:val="5"/>
    <w:qFormat/>
    <w:uiPriority w:val="0"/>
    <w:rPr>
      <w:rFonts w:ascii="Arial" w:hAnsi="Arial" w:eastAsia="黑体"/>
      <w:b/>
      <w:bCs/>
      <w:szCs w:val="28"/>
    </w:rPr>
  </w:style>
  <w:style w:type="character" w:customStyle="1" w:styleId="50">
    <w:name w:val="标题 5 字符"/>
    <w:link w:val="6"/>
    <w:qFormat/>
    <w:uiPriority w:val="0"/>
    <w:rPr>
      <w:rFonts w:ascii="Times New Roman" w:hAnsi="Times New Roman" w:eastAsia="宋体" w:cs="Times New Roman"/>
      <w:b/>
      <w:bCs/>
      <w:sz w:val="28"/>
      <w:szCs w:val="28"/>
    </w:rPr>
  </w:style>
  <w:style w:type="character" w:customStyle="1" w:styleId="51">
    <w:name w:val="文档结构图 字符"/>
    <w:link w:val="10"/>
    <w:qFormat/>
    <w:uiPriority w:val="0"/>
    <w:rPr>
      <w:rFonts w:ascii="Times New Roman" w:hAnsi="Times New Roman" w:eastAsia="宋体" w:cs="Times New Roman"/>
      <w:szCs w:val="24"/>
      <w:shd w:val="clear" w:color="auto" w:fill="000080"/>
    </w:rPr>
  </w:style>
  <w:style w:type="character" w:customStyle="1" w:styleId="52">
    <w:name w:val="批注文字 字符"/>
    <w:link w:val="11"/>
    <w:qFormat/>
    <w:uiPriority w:val="0"/>
    <w:rPr>
      <w:rFonts w:ascii="Times New Roman" w:hAnsi="Times New Roman" w:eastAsia="宋体" w:cs="Times New Roman"/>
      <w:szCs w:val="20"/>
    </w:rPr>
  </w:style>
  <w:style w:type="character" w:customStyle="1" w:styleId="53">
    <w:name w:val="正文文本 3 字符"/>
    <w:link w:val="12"/>
    <w:qFormat/>
    <w:uiPriority w:val="0"/>
    <w:rPr>
      <w:rFonts w:eastAsia="仿宋_GB2312"/>
      <w:b/>
      <w:bCs/>
      <w:sz w:val="24"/>
    </w:rPr>
  </w:style>
  <w:style w:type="character" w:customStyle="1" w:styleId="54">
    <w:name w:val="正文文本 字符"/>
    <w:link w:val="13"/>
    <w:qFormat/>
    <w:uiPriority w:val="0"/>
    <w:rPr>
      <w:rFonts w:ascii="Times New Roman" w:hAnsi="Times New Roman" w:eastAsia="宋体" w:cs="Times New Roman"/>
      <w:sz w:val="28"/>
      <w:szCs w:val="24"/>
    </w:rPr>
  </w:style>
  <w:style w:type="character" w:customStyle="1" w:styleId="55">
    <w:name w:val="正文文本缩进 字符"/>
    <w:link w:val="15"/>
    <w:qFormat/>
    <w:uiPriority w:val="0"/>
    <w:rPr>
      <w:rFonts w:ascii="宋体" w:hAnsi="Times New Roman" w:eastAsia="宋体" w:cs="Times New Roman"/>
      <w:spacing w:val="-4"/>
      <w:sz w:val="18"/>
      <w:szCs w:val="20"/>
    </w:rPr>
  </w:style>
  <w:style w:type="character" w:customStyle="1" w:styleId="56">
    <w:name w:val="日期 字符"/>
    <w:link w:val="20"/>
    <w:qFormat/>
    <w:uiPriority w:val="0"/>
    <w:rPr>
      <w:rFonts w:eastAsia="楷体_GB2312"/>
      <w:sz w:val="32"/>
    </w:rPr>
  </w:style>
  <w:style w:type="character" w:customStyle="1" w:styleId="57">
    <w:name w:val="正文文本缩进 2 字符"/>
    <w:link w:val="21"/>
    <w:qFormat/>
    <w:uiPriority w:val="0"/>
    <w:rPr>
      <w:rFonts w:ascii="仿宋_GB2312" w:hAnsi="仿宋_GB2312" w:eastAsia="宋体" w:cs="Times New Roman"/>
      <w:b/>
      <w:bCs/>
      <w:color w:val="000000"/>
      <w:sz w:val="24"/>
      <w:szCs w:val="24"/>
    </w:rPr>
  </w:style>
  <w:style w:type="character" w:customStyle="1" w:styleId="58">
    <w:name w:val="批注框文本 字符"/>
    <w:link w:val="22"/>
    <w:qFormat/>
    <w:uiPriority w:val="0"/>
    <w:rPr>
      <w:rFonts w:ascii="Times New Roman" w:hAnsi="Times New Roman" w:eastAsia="宋体" w:cs="Times New Roman"/>
      <w:sz w:val="18"/>
      <w:szCs w:val="18"/>
    </w:rPr>
  </w:style>
  <w:style w:type="character" w:customStyle="1" w:styleId="59">
    <w:name w:val="页脚 字符1"/>
    <w:link w:val="23"/>
    <w:qFormat/>
    <w:uiPriority w:val="0"/>
    <w:rPr>
      <w:rFonts w:ascii="Times New Roman" w:hAnsi="Times New Roman" w:eastAsia="宋体" w:cs="Times New Roman"/>
      <w:sz w:val="18"/>
      <w:szCs w:val="18"/>
    </w:rPr>
  </w:style>
  <w:style w:type="character" w:customStyle="1" w:styleId="60">
    <w:name w:val="页眉 字符1"/>
    <w:link w:val="24"/>
    <w:qFormat/>
    <w:uiPriority w:val="0"/>
    <w:rPr>
      <w:rFonts w:ascii="Times New Roman" w:hAnsi="Times New Roman" w:eastAsia="宋体" w:cs="Times New Roman"/>
      <w:sz w:val="18"/>
      <w:szCs w:val="18"/>
    </w:rPr>
  </w:style>
  <w:style w:type="character" w:customStyle="1" w:styleId="61">
    <w:name w:val="副标题 字符"/>
    <w:link w:val="26"/>
    <w:qFormat/>
    <w:uiPriority w:val="0"/>
    <w:rPr>
      <w:rFonts w:ascii="Cambria" w:hAnsi="Cambria" w:eastAsia="宋体" w:cs="Times New Roman"/>
      <w:b/>
      <w:bCs/>
      <w:kern w:val="28"/>
      <w:sz w:val="32"/>
      <w:szCs w:val="32"/>
    </w:rPr>
  </w:style>
  <w:style w:type="character" w:customStyle="1" w:styleId="62">
    <w:name w:val="正文文本缩进 3 字符"/>
    <w:link w:val="28"/>
    <w:qFormat/>
    <w:uiPriority w:val="0"/>
    <w:rPr>
      <w:rFonts w:ascii="仿宋_GB2312" w:eastAsia="仿宋_GB2312"/>
      <w:color w:val="000000"/>
      <w:sz w:val="24"/>
      <w:szCs w:val="24"/>
    </w:rPr>
  </w:style>
  <w:style w:type="character" w:customStyle="1" w:styleId="63">
    <w:name w:val="正文文本 2 字符"/>
    <w:link w:val="30"/>
    <w:qFormat/>
    <w:uiPriority w:val="0"/>
    <w:rPr>
      <w:rFonts w:ascii="宋体" w:hAnsi="Times New Roman" w:eastAsia="宋体" w:cs="Times New Roman"/>
      <w:color w:val="000000"/>
      <w:sz w:val="24"/>
      <w:szCs w:val="24"/>
    </w:rPr>
  </w:style>
  <w:style w:type="character" w:customStyle="1" w:styleId="64">
    <w:name w:val="批注主题 字符"/>
    <w:link w:val="33"/>
    <w:qFormat/>
    <w:uiPriority w:val="0"/>
    <w:rPr>
      <w:rFonts w:ascii="Times New Roman" w:hAnsi="Times New Roman" w:eastAsia="宋体" w:cs="Times New Roman"/>
      <w:szCs w:val="20"/>
    </w:rPr>
  </w:style>
  <w:style w:type="character" w:customStyle="1" w:styleId="65">
    <w:name w:val="样式 标题 1合同标题卷标题H1h1Level 1 Topic HeadingH11H12H111H13H1... Char"/>
    <w:qFormat/>
    <w:uiPriority w:val="0"/>
    <w:rPr>
      <w:rFonts w:ascii="宋体" w:hAnsi="Times New Roman" w:eastAsia="宋体" w:cs="Times New Roman"/>
      <w:b/>
      <w:bCs/>
      <w:kern w:val="44"/>
      <w:sz w:val="24"/>
      <w:szCs w:val="44"/>
      <w:lang w:val="en-US" w:eastAsia="zh-CN" w:bidi="ar-SA"/>
    </w:rPr>
  </w:style>
  <w:style w:type="character" w:customStyle="1" w:styleId="66">
    <w:name w:val="未处理的提及1"/>
    <w:qFormat/>
    <w:uiPriority w:val="0"/>
    <w:rPr>
      <w:rFonts w:ascii="Times New Roman" w:hAnsi="Times New Roman" w:eastAsia="宋体" w:cs="Times New Roman"/>
      <w:color w:val="605E5C"/>
      <w:shd w:val="clear" w:color="auto" w:fill="E1DFDD"/>
    </w:rPr>
  </w:style>
  <w:style w:type="character" w:customStyle="1" w:styleId="67">
    <w:name w:val="NormalCharacter"/>
    <w:qFormat/>
    <w:uiPriority w:val="0"/>
    <w:rPr>
      <w:rFonts w:ascii="Times New Roman" w:hAnsi="Times New Roman" w:eastAsia="宋体" w:cs="Times New Roman"/>
    </w:rPr>
  </w:style>
  <w:style w:type="character" w:customStyle="1" w:styleId="68">
    <w:name w:val="style7"/>
    <w:qFormat/>
    <w:uiPriority w:val="0"/>
    <w:rPr>
      <w:rFonts w:ascii="Times New Roman" w:hAnsi="Times New Roman" w:eastAsia="宋体" w:cs="Times New Roman"/>
    </w:rPr>
  </w:style>
  <w:style w:type="character" w:customStyle="1" w:styleId="69">
    <w:name w:val="页脚 字符"/>
    <w:qFormat/>
    <w:uiPriority w:val="0"/>
    <w:rPr>
      <w:rFonts w:ascii="Times New Roman" w:hAnsi="Times New Roman" w:eastAsia="宋体" w:cs="Times New Roman"/>
      <w:sz w:val="18"/>
      <w:szCs w:val="18"/>
    </w:rPr>
  </w:style>
  <w:style w:type="character" w:customStyle="1" w:styleId="70">
    <w:name w:val="c_title1"/>
    <w:qFormat/>
    <w:uiPriority w:val="0"/>
    <w:rPr>
      <w:rFonts w:ascii="黑体" w:hAnsi="Times New Roman" w:eastAsia="黑体" w:cs="Times New Roman"/>
      <w:color w:val="03005C"/>
      <w:sz w:val="30"/>
      <w:szCs w:val="30"/>
      <w:u w:val="none"/>
    </w:rPr>
  </w:style>
  <w:style w:type="character" w:customStyle="1" w:styleId="71">
    <w:name w:val="fontstyle01"/>
    <w:qFormat/>
    <w:uiPriority w:val="0"/>
    <w:rPr>
      <w:rFonts w:hint="eastAsia" w:ascii="宋体" w:hAnsi="宋体" w:eastAsia="宋体" w:cs="Times New Roman"/>
      <w:color w:val="000000"/>
      <w:sz w:val="22"/>
      <w:szCs w:val="22"/>
    </w:rPr>
  </w:style>
  <w:style w:type="character" w:customStyle="1" w:styleId="72">
    <w:name w:val="unnamed1"/>
    <w:qFormat/>
    <w:uiPriority w:val="0"/>
    <w:rPr>
      <w:rFonts w:ascii="Times New Roman" w:hAnsi="Times New Roman" w:eastAsia="宋体" w:cs="Times New Roman"/>
    </w:rPr>
  </w:style>
  <w:style w:type="character" w:customStyle="1" w:styleId="73">
    <w:name w:val="apple-style-span"/>
    <w:qFormat/>
    <w:uiPriority w:val="0"/>
    <w:rPr>
      <w:rFonts w:ascii="Times New Roman" w:hAnsi="Times New Roman" w:eastAsia="宋体" w:cs="Times New Roman"/>
    </w:rPr>
  </w:style>
  <w:style w:type="character" w:customStyle="1" w:styleId="74">
    <w:name w:val="bookmark-item"/>
    <w:qFormat/>
    <w:uiPriority w:val="0"/>
    <w:rPr>
      <w:rFonts w:ascii="Times New Roman" w:hAnsi="Times New Roman" w:eastAsia="宋体" w:cs="Times New Roman"/>
    </w:rPr>
  </w:style>
  <w:style w:type="character" w:customStyle="1" w:styleId="75">
    <w:name w:val="页眉 字符"/>
    <w:qFormat/>
    <w:uiPriority w:val="0"/>
    <w:rPr>
      <w:rFonts w:ascii="Times New Roman" w:hAnsi="Times New Roman" w:eastAsia="宋体" w:cs="Times New Roman"/>
      <w:sz w:val="18"/>
      <w:szCs w:val="18"/>
    </w:rPr>
  </w:style>
  <w:style w:type="character" w:customStyle="1" w:styleId="76">
    <w:name w:val="未处理的提及2"/>
    <w:qFormat/>
    <w:uiPriority w:val="0"/>
    <w:rPr>
      <w:rFonts w:ascii="Times New Roman" w:hAnsi="Times New Roman" w:eastAsia="宋体" w:cs="Times New Roman"/>
      <w:color w:val="605E5C"/>
      <w:shd w:val="clear" w:color="auto" w:fill="E1DFDD"/>
    </w:rPr>
  </w:style>
  <w:style w:type="character" w:customStyle="1" w:styleId="77">
    <w:name w:val="style11"/>
    <w:qFormat/>
    <w:uiPriority w:val="0"/>
    <w:rPr>
      <w:rFonts w:ascii="Times New Roman" w:hAnsi="Times New Roman" w:eastAsia="宋体" w:cs="Times New Roman"/>
      <w:color w:val="000000"/>
      <w:sz w:val="16"/>
      <w:szCs w:val="16"/>
    </w:rPr>
  </w:style>
  <w:style w:type="character" w:customStyle="1" w:styleId="78">
    <w:name w:val="副标题 Char1"/>
    <w:qFormat/>
    <w:uiPriority w:val="0"/>
    <w:rPr>
      <w:rFonts w:ascii="Cambria" w:hAnsi="Cambria" w:eastAsia="宋体" w:cs="Times New Roman"/>
      <w:b/>
      <w:bCs/>
      <w:kern w:val="28"/>
      <w:sz w:val="32"/>
      <w:szCs w:val="32"/>
    </w:rPr>
  </w:style>
  <w:style w:type="character" w:customStyle="1" w:styleId="79">
    <w:name w:val="纯文本 Char"/>
    <w:qFormat/>
    <w:uiPriority w:val="0"/>
    <w:rPr>
      <w:rFonts w:ascii="宋体" w:hAnsi="Courier New" w:eastAsia="宋体" w:cs="Times New Roman"/>
      <w:szCs w:val="20"/>
    </w:rPr>
  </w:style>
  <w:style w:type="character" w:customStyle="1" w:styleId="80">
    <w:name w:val="ca-32"/>
    <w:qFormat/>
    <w:uiPriority w:val="0"/>
    <w:rPr>
      <w:rFonts w:ascii="Times New Roman" w:hAnsi="Times New Roman" w:eastAsia="宋体" w:cs="Times New Roman"/>
    </w:rPr>
  </w:style>
  <w:style w:type="paragraph" w:customStyle="1" w:styleId="81">
    <w:name w:val="tgt2"/>
    <w:basedOn w:val="1"/>
    <w:qFormat/>
    <w:uiPriority w:val="0"/>
    <w:pPr>
      <w:widowControl/>
      <w:spacing w:after="150" w:line="360" w:lineRule="auto"/>
      <w:jc w:val="left"/>
    </w:pPr>
    <w:rPr>
      <w:rFonts w:ascii="宋体" w:cs="宋体"/>
      <w:b/>
      <w:bCs/>
      <w:kern w:val="0"/>
      <w:sz w:val="36"/>
      <w:szCs w:val="36"/>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列出段落1"/>
    <w:basedOn w:val="1"/>
    <w:qFormat/>
    <w:uiPriority w:val="0"/>
    <w:pPr>
      <w:ind w:firstLine="200" w:firstLineChars="200"/>
    </w:pPr>
    <w:rPr>
      <w:rFonts w:ascii="Calibri" w:hAnsi="Calibri"/>
      <w:szCs w:val="22"/>
    </w:rPr>
  </w:style>
  <w:style w:type="paragraph" w:customStyle="1" w:styleId="84">
    <w:name w:val="Char Char Char Char Char Char"/>
    <w:basedOn w:val="1"/>
    <w:qFormat/>
    <w:uiPriority w:val="0"/>
    <w:pPr>
      <w:ind w:firstLine="200" w:firstLineChars="200"/>
    </w:pPr>
    <w:rPr>
      <w:rFonts w:ascii="Tahoma" w:hAnsi="Tahoma"/>
      <w:sz w:val="24"/>
      <w:szCs w:val="20"/>
    </w:rPr>
  </w:style>
  <w:style w:type="paragraph" w:customStyle="1" w:styleId="85">
    <w:name w:val="op_mapdots_left"/>
    <w:basedOn w:val="1"/>
    <w:qFormat/>
    <w:uiPriority w:val="0"/>
    <w:pPr>
      <w:widowControl/>
      <w:jc w:val="left"/>
    </w:pPr>
    <w:rPr>
      <w:rFonts w:ascii="宋体" w:cs="宋体"/>
      <w:kern w:val="0"/>
      <w:sz w:val="24"/>
    </w:rPr>
  </w:style>
  <w:style w:type="paragraph" w:customStyle="1" w:styleId="8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列出段落11"/>
    <w:basedOn w:val="1"/>
    <w:qFormat/>
    <w:uiPriority w:val="0"/>
    <w:pPr>
      <w:ind w:firstLine="200" w:firstLineChars="200"/>
      <w:jc w:val="left"/>
    </w:pPr>
    <w:rPr>
      <w:rFonts w:ascii="Calibri" w:hAnsi="Calibri" w:cs="Arial"/>
      <w:szCs w:val="22"/>
    </w:rPr>
  </w:style>
  <w:style w:type="paragraph" w:customStyle="1" w:styleId="88">
    <w:name w:val="Table Paragraph"/>
    <w:basedOn w:val="1"/>
    <w:qFormat/>
    <w:uiPriority w:val="0"/>
    <w:pPr>
      <w:jc w:val="left"/>
    </w:pPr>
    <w:rPr>
      <w:rFonts w:ascii="Calibri" w:hAnsi="Calibri"/>
      <w:sz w:val="22"/>
      <w:szCs w:val="22"/>
      <w:lang w:eastAsia="en-US"/>
    </w:rPr>
  </w:style>
  <w:style w:type="paragraph" w:customStyle="1" w:styleId="89">
    <w:name w:val="Char1"/>
    <w:basedOn w:val="1"/>
    <w:qFormat/>
    <w:uiPriority w:val="0"/>
    <w:rPr>
      <w:rFonts w:ascii="Tahoma" w:hAnsi="Tahoma"/>
      <w:sz w:val="24"/>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Char1 Char Char Char1"/>
    <w:basedOn w:val="1"/>
    <w:qFormat/>
    <w:uiPriority w:val="0"/>
    <w:pPr>
      <w:tabs>
        <w:tab w:val="left" w:pos="840"/>
      </w:tabs>
      <w:ind w:left="840" w:hanging="420"/>
      <w:jc w:val="left"/>
    </w:pPr>
    <w:rPr>
      <w:rFonts w:ascii="宋体" w:hAnsi="宋体" w:cs="Arial"/>
      <w:sz w:val="24"/>
    </w:rPr>
  </w:style>
  <w:style w:type="paragraph" w:customStyle="1" w:styleId="92">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3">
    <w:name w:val="正文1"/>
    <w:basedOn w:val="1"/>
    <w:qFormat/>
    <w:uiPriority w:val="0"/>
    <w:pPr>
      <w:spacing w:line="318" w:lineRule="atLeast"/>
      <w:ind w:left="369" w:firstLine="369"/>
    </w:pPr>
    <w:rPr>
      <w:rFonts w:ascii="宋体"/>
    </w:rPr>
  </w:style>
  <w:style w:type="paragraph" w:customStyle="1" w:styleId="94">
    <w:name w:val="Char3"/>
    <w:basedOn w:val="1"/>
    <w:qFormat/>
    <w:uiPriority w:val="0"/>
    <w:pPr>
      <w:ind w:firstLine="200" w:firstLineChars="200"/>
      <w:jc w:val="left"/>
    </w:pPr>
    <w:rPr>
      <w:rFonts w:ascii="幼圆" w:hAnsi="宋体" w:eastAsia="幼圆" w:cs="幼圆"/>
      <w:sz w:val="24"/>
      <w:szCs w:val="21"/>
    </w:rPr>
  </w:style>
  <w:style w:type="paragraph" w:customStyle="1" w:styleId="95">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9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7">
    <w:name w:val="333"/>
    <w:basedOn w:val="1"/>
    <w:qFormat/>
    <w:uiPriority w:val="0"/>
  </w:style>
  <w:style w:type="paragraph" w:customStyle="1" w:styleId="98">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99">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00">
    <w:name w:val="p0"/>
    <w:basedOn w:val="1"/>
    <w:qFormat/>
    <w:uiPriority w:val="0"/>
    <w:pPr>
      <w:widowControl/>
    </w:pPr>
    <w:rPr>
      <w:kern w:val="0"/>
      <w:szCs w:val="21"/>
    </w:rPr>
  </w:style>
  <w:style w:type="paragraph" w:customStyle="1" w:styleId="10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2">
    <w:name w:val="Char"/>
    <w:basedOn w:val="1"/>
    <w:qFormat/>
    <w:uiPriority w:val="0"/>
    <w:pPr>
      <w:ind w:firstLine="200" w:firstLineChars="200"/>
    </w:pPr>
    <w:rPr>
      <w:rFonts w:ascii="幼圆" w:eastAsia="幼圆" w:cs="幼圆"/>
      <w:sz w:val="24"/>
      <w:szCs w:val="20"/>
    </w:rPr>
  </w:style>
  <w:style w:type="paragraph" w:customStyle="1" w:styleId="1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0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07">
    <w:name w:val="Char21"/>
    <w:basedOn w:val="1"/>
    <w:qFormat/>
    <w:uiPriority w:val="0"/>
    <w:pPr>
      <w:jc w:val="left"/>
    </w:pPr>
    <w:rPr>
      <w:rFonts w:ascii="仿宋_GB2312" w:hAnsi="宋体" w:eastAsia="仿宋_GB2312" w:cs="Arial"/>
      <w:b/>
      <w:sz w:val="32"/>
      <w:szCs w:val="32"/>
    </w:rPr>
  </w:style>
  <w:style w:type="paragraph" w:customStyle="1" w:styleId="108">
    <w:name w:val="Char2"/>
    <w:basedOn w:val="1"/>
    <w:qFormat/>
    <w:uiPriority w:val="0"/>
    <w:rPr>
      <w:rFonts w:ascii="仿宋_GB2312" w:eastAsia="仿宋_GB2312"/>
      <w:b/>
      <w:sz w:val="32"/>
      <w:szCs w:val="32"/>
    </w:rPr>
  </w:style>
  <w:style w:type="paragraph" w:customStyle="1" w:styleId="109">
    <w:name w:val="Char Char Char Char Char Char Char Char Char Char Char Char1 Char"/>
    <w:basedOn w:val="10"/>
    <w:qFormat/>
    <w:uiPriority w:val="0"/>
    <w:rPr>
      <w:rFonts w:ascii="Tahoma" w:hAnsi="Tahoma"/>
      <w:sz w:val="24"/>
    </w:rPr>
  </w:style>
  <w:style w:type="paragraph" w:customStyle="1" w:styleId="110">
    <w:name w:val="table_1stline"/>
    <w:basedOn w:val="1"/>
    <w:qFormat/>
    <w:uiPriority w:val="0"/>
    <w:pPr>
      <w:spacing w:before="120"/>
    </w:pPr>
    <w:rPr>
      <w:bCs/>
      <w:szCs w:val="20"/>
    </w:rPr>
  </w:style>
  <w:style w:type="paragraph" w:styleId="111">
    <w:name w:val="List Paragraph"/>
    <w:basedOn w:val="1"/>
    <w:qFormat/>
    <w:uiPriority w:val="0"/>
    <w:pPr>
      <w:ind w:firstLine="420" w:firstLineChars="200"/>
    </w:pPr>
  </w:style>
  <w:style w:type="paragraph" w:customStyle="1" w:styleId="112">
    <w:name w:val="自由格式 A"/>
    <w:qFormat/>
    <w:uiPriority w:val="0"/>
    <w:rPr>
      <w:rFonts w:ascii="Helvetica" w:hAnsi="Helvetica" w:eastAsia="ヒラギノ角ゴ Pro W3" w:cs="Times New Roman"/>
      <w:color w:val="000000"/>
      <w:sz w:val="24"/>
      <w:lang w:val="en-US" w:eastAsia="zh-CN" w:bidi="ar-SA"/>
    </w:rPr>
  </w:style>
  <w:style w:type="paragraph" w:customStyle="1" w:styleId="113">
    <w:name w:val="_Style 2"/>
    <w:basedOn w:val="1"/>
    <w:qFormat/>
    <w:uiPriority w:val="0"/>
    <w:pPr>
      <w:ind w:firstLine="420" w:firstLineChars="200"/>
    </w:pPr>
  </w:style>
  <w:style w:type="paragraph" w:customStyle="1" w:styleId="114">
    <w:name w:val="p15"/>
    <w:basedOn w:val="1"/>
    <w:qFormat/>
    <w:uiPriority w:val="0"/>
    <w:pPr>
      <w:widowControl/>
    </w:pPr>
    <w:rPr>
      <w:kern w:val="0"/>
      <w:szCs w:val="21"/>
    </w:rPr>
  </w:style>
  <w:style w:type="paragraph" w:customStyle="1" w:styleId="115">
    <w:name w:val="无间隔1"/>
    <w:basedOn w:val="1"/>
    <w:qFormat/>
    <w:uiPriority w:val="0"/>
    <w:rPr>
      <w:rFonts w:cs="宋体"/>
      <w:kern w:val="0"/>
      <w:szCs w:val="21"/>
    </w:rPr>
  </w:style>
  <w:style w:type="paragraph" w:customStyle="1" w:styleId="116">
    <w:name w:val="Char11"/>
    <w:basedOn w:val="1"/>
    <w:qFormat/>
    <w:uiPriority w:val="0"/>
  </w:style>
  <w:style w:type="paragraph" w:customStyle="1" w:styleId="117">
    <w:name w:val="列出段落2"/>
    <w:basedOn w:val="1"/>
    <w:qFormat/>
    <w:uiPriority w:val="0"/>
    <w:pPr>
      <w:ind w:firstLine="200" w:firstLineChars="200"/>
    </w:pPr>
    <w:rPr>
      <w:rFonts w:ascii="Calibri" w:hAnsi="Calibri"/>
      <w:szCs w:val="22"/>
    </w:rPr>
  </w:style>
  <w:style w:type="paragraph" w:customStyle="1" w:styleId="118">
    <w:name w:val="样式1"/>
    <w:basedOn w:val="5"/>
    <w:qFormat/>
    <w:uiPriority w:val="0"/>
    <w:rPr>
      <w:rFonts w:ascii="Times New Roman" w:hAnsi="Times New Roman" w:eastAsia="宋体"/>
    </w:rPr>
  </w:style>
  <w:style w:type="paragraph" w:customStyle="1" w:styleId="119">
    <w:name w:val="table_lines"/>
    <w:basedOn w:val="1"/>
    <w:qFormat/>
    <w:uiPriority w:val="0"/>
    <w:rPr>
      <w:szCs w:val="20"/>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Default"/>
    <w:next w:val="8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Char Char Char Char Char Char1"/>
    <w:basedOn w:val="1"/>
    <w:qFormat/>
    <w:uiPriority w:val="0"/>
    <w:pPr>
      <w:ind w:firstLine="200" w:firstLineChars="200"/>
      <w:jc w:val="left"/>
    </w:pPr>
    <w:rPr>
      <w:rFonts w:ascii="Tahoma" w:hAnsi="Tahoma" w:cs="Arial"/>
      <w:sz w:val="24"/>
      <w:szCs w:val="21"/>
    </w:rPr>
  </w:style>
  <w:style w:type="paragraph" w:customStyle="1" w:styleId="123">
    <w:name w:val="纯文本1"/>
    <w:basedOn w:val="1"/>
    <w:qFormat/>
    <w:uiPriority w:val="0"/>
    <w:pPr>
      <w:spacing w:beforeLines="50" w:afterLines="50" w:line="400" w:lineRule="exact"/>
    </w:pPr>
    <w:rPr>
      <w:rFonts w:ascii="宋体" w:hAnsi="Courier New"/>
      <w:sz w:val="24"/>
    </w:rPr>
  </w:style>
  <w:style w:type="paragraph" w:customStyle="1" w:styleId="124">
    <w:name w:val="Char Char Char Char"/>
    <w:basedOn w:val="1"/>
    <w:qFormat/>
    <w:uiPriority w:val="0"/>
    <w:pPr>
      <w:widowControl/>
      <w:spacing w:after="160" w:line="240" w:lineRule="exact"/>
      <w:jc w:val="left"/>
    </w:pPr>
    <w:rPr>
      <w:szCs w:val="20"/>
    </w:rPr>
  </w:style>
  <w:style w:type="paragraph" w:customStyle="1" w:styleId="125">
    <w:name w:val="Char Char Char Char1"/>
    <w:basedOn w:val="1"/>
    <w:qFormat/>
    <w:uiPriority w:val="0"/>
    <w:pPr>
      <w:widowControl/>
      <w:spacing w:after="160" w:line="240" w:lineRule="exact"/>
      <w:jc w:val="left"/>
    </w:pPr>
    <w:rPr>
      <w:rFonts w:ascii="宋体" w:hAnsi="宋体" w:cs="Arial"/>
      <w:szCs w:val="21"/>
    </w:rPr>
  </w:style>
  <w:style w:type="paragraph" w:customStyle="1" w:styleId="126">
    <w:name w:val="NormalIndent"/>
    <w:basedOn w:val="1"/>
    <w:qFormat/>
    <w:uiPriority w:val="0"/>
    <w:pPr>
      <w:tabs>
        <w:tab w:val="left" w:pos="2040"/>
      </w:tabs>
      <w:ind w:firstLine="420"/>
      <w:textAlignment w:val="baseline"/>
    </w:pPr>
    <w:rPr>
      <w:szCs w:val="20"/>
    </w:rPr>
  </w:style>
  <w:style w:type="paragraph" w:customStyle="1" w:styleId="12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8">
    <w:name w:val="Char1 Char Char Char"/>
    <w:basedOn w:val="1"/>
    <w:qFormat/>
    <w:uiPriority w:val="0"/>
    <w:pPr>
      <w:tabs>
        <w:tab w:val="left" w:pos="840"/>
      </w:tabs>
      <w:ind w:left="840" w:hanging="420"/>
    </w:pPr>
    <w:rPr>
      <w:sz w:val="24"/>
    </w:rPr>
  </w:style>
  <w:style w:type="paragraph" w:customStyle="1" w:styleId="129">
    <w:name w:val="pa-1"/>
    <w:basedOn w:val="1"/>
    <w:qFormat/>
    <w:uiPriority w:val="0"/>
    <w:pPr>
      <w:widowControl/>
      <w:spacing w:before="100" w:beforeAutospacing="1" w:after="100" w:afterAutospacing="1"/>
      <w:jc w:val="left"/>
    </w:pPr>
    <w:rPr>
      <w:rFonts w:ascii="宋体" w:cs="宋体"/>
      <w:kern w:val="0"/>
      <w:sz w:val="24"/>
    </w:rPr>
  </w:style>
  <w:style w:type="paragraph" w:customStyle="1" w:styleId="130">
    <w:name w:val="Char Char Char Char Char Char Char Char Char Char Char Char1 Char1"/>
    <w:basedOn w:val="10"/>
    <w:qFormat/>
    <w:uiPriority w:val="0"/>
    <w:pPr>
      <w:jc w:val="left"/>
    </w:pPr>
    <w:rPr>
      <w:rFonts w:ascii="Tahoma" w:hAnsi="Tahoma" w:cs="Arial"/>
      <w:sz w:val="24"/>
    </w:rPr>
  </w:style>
  <w:style w:type="paragraph" w:customStyle="1" w:styleId="131">
    <w:name w:val="正文2"/>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56798-53B0-4192-8D72-E1EF242F5CB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62973</Words>
  <Characters>64805</Characters>
  <Lines>507</Lines>
  <Paragraphs>142</Paragraphs>
  <TotalTime>12</TotalTime>
  <ScaleCrop>false</ScaleCrop>
  <LinksUpToDate>false</LinksUpToDate>
  <CharactersWithSpaces>66875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2022-06-19T08:38:00Z</dcterms:created>
  <dc:creator>yan</dc:creator>
  <cp:lastModifiedBy>S&amp;W</cp:lastModifiedBy>
  <cp:lastPrinted>2022-11-15T02:54:00Z</cp:lastPrinted>
  <dcterms:modified xsi:type="dcterms:W3CDTF">2022-11-28T10:10:04Z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F0DC9B52B8324350A5CCF6A6050AAD3F</vt:lpwstr>
  </property>
</Properties>
</file>