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ascii="宋体" w:hAnsi="宋体"/>
          <w:b/>
          <w:color w:val="auto"/>
          <w:sz w:val="52"/>
          <w:szCs w:val="52"/>
          <w:highlight w:val="none"/>
        </w:rPr>
      </w:pPr>
    </w:p>
    <w:p>
      <w:pPr>
        <w:spacing w:after="120"/>
        <w:jc w:val="center"/>
        <w:rPr>
          <w:rFonts w:ascii="宋体" w:hAnsi="宋体" w:cs="宋体"/>
          <w:b/>
          <w:color w:val="auto"/>
          <w:sz w:val="72"/>
          <w:highlight w:val="none"/>
        </w:rPr>
      </w:pPr>
      <w:r>
        <w:rPr>
          <w:rFonts w:hint="eastAsia" w:ascii="宋体" w:hAnsi="宋体" w:cs="宋体"/>
          <w:b/>
          <w:color w:val="auto"/>
          <w:sz w:val="72"/>
          <w:highlight w:val="none"/>
        </w:rPr>
        <w:t>政府</w:t>
      </w:r>
      <w:r>
        <w:rPr>
          <w:rFonts w:ascii="宋体" w:hAnsi="宋体" w:cs="宋体"/>
          <w:b/>
          <w:color w:val="auto"/>
          <w:sz w:val="72"/>
          <w:highlight w:val="none"/>
        </w:rPr>
        <w:t>采购</w:t>
      </w:r>
    </w:p>
    <w:p>
      <w:pPr>
        <w:spacing w:after="120"/>
        <w:jc w:val="center"/>
        <w:rPr>
          <w:rFonts w:ascii="宋体" w:hAnsi="宋体" w:cs="宋体"/>
          <w:b/>
          <w:color w:val="auto"/>
          <w:sz w:val="72"/>
          <w:highlight w:val="none"/>
        </w:rPr>
      </w:pPr>
      <w:r>
        <w:rPr>
          <w:rFonts w:hint="eastAsia" w:ascii="宋体" w:hAnsi="宋体" w:cs="宋体"/>
          <w:b/>
          <w:color w:val="auto"/>
          <w:sz w:val="72"/>
          <w:highlight w:val="none"/>
        </w:rPr>
        <w:t>国内公开采购文件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tbl>
      <w:tblPr>
        <w:tblStyle w:val="40"/>
        <w:tblW w:w="0" w:type="auto"/>
        <w:tblInd w:w="0" w:type="dxa"/>
        <w:tblLayout w:type="fixed"/>
        <w:tblCellMar>
          <w:top w:w="0" w:type="dxa"/>
          <w:left w:w="108" w:type="dxa"/>
          <w:bottom w:w="0" w:type="dxa"/>
          <w:right w:w="108" w:type="dxa"/>
        </w:tblCellMar>
      </w:tblPr>
      <w:tblGrid>
        <w:gridCol w:w="2093"/>
        <w:gridCol w:w="6836"/>
      </w:tblGrid>
      <w:tr>
        <w:tblPrEx>
          <w:tblCellMar>
            <w:top w:w="0" w:type="dxa"/>
            <w:left w:w="108" w:type="dxa"/>
            <w:bottom w:w="0" w:type="dxa"/>
            <w:right w:w="108" w:type="dxa"/>
          </w:tblCellMar>
        </w:tblPrEx>
        <w:trPr>
          <w:trHeight w:val="726" w:hRule="atLeast"/>
        </w:trPr>
        <w:tc>
          <w:tcPr>
            <w:tcW w:w="2093" w:type="dxa"/>
            <w:tcBorders>
              <w:top w:val="nil"/>
              <w:left w:val="nil"/>
              <w:bottom w:val="nil"/>
              <w:right w:val="nil"/>
            </w:tcBorders>
            <w:vAlign w:val="center"/>
          </w:tcPr>
          <w:p>
            <w:pPr>
              <w:snapToGrid w:val="0"/>
              <w:jc w:val="right"/>
              <w:rPr>
                <w:rFonts w:ascii="宋体" w:hAnsi="宋体"/>
                <w:b/>
                <w:color w:val="auto"/>
                <w:sz w:val="34"/>
                <w:szCs w:val="32"/>
                <w:highlight w:val="none"/>
              </w:rPr>
            </w:pPr>
            <w:r>
              <w:rPr>
                <w:rFonts w:hint="eastAsia" w:ascii="宋体" w:hAnsi="宋体"/>
                <w:b/>
                <w:color w:val="auto"/>
                <w:sz w:val="34"/>
                <w:szCs w:val="32"/>
                <w:highlight w:val="none"/>
              </w:rPr>
              <w:t>项目编号：</w:t>
            </w:r>
          </w:p>
        </w:tc>
        <w:tc>
          <w:tcPr>
            <w:tcW w:w="6836" w:type="dxa"/>
            <w:tcBorders>
              <w:top w:val="nil"/>
              <w:left w:val="nil"/>
              <w:bottom w:val="nil"/>
              <w:right w:val="nil"/>
            </w:tcBorders>
            <w:vAlign w:val="center"/>
          </w:tcPr>
          <w:p>
            <w:pPr>
              <w:pStyle w:val="22"/>
              <w:snapToGrid w:val="0"/>
              <w:spacing w:beforeLines="0" w:afterLines="0" w:line="240" w:lineRule="auto"/>
              <w:rPr>
                <w:rFonts w:hAnsi="宋体"/>
                <w:b/>
                <w:color w:val="auto"/>
                <w:sz w:val="34"/>
                <w:szCs w:val="32"/>
                <w:highlight w:val="none"/>
                <w:u w:val="single"/>
              </w:rPr>
            </w:pPr>
            <w:r>
              <w:rPr>
                <w:rFonts w:hint="eastAsia" w:hAnsi="宋体"/>
                <w:b/>
                <w:color w:val="auto"/>
                <w:sz w:val="34"/>
                <w:szCs w:val="32"/>
                <w:highlight w:val="none"/>
                <w:u w:val="single"/>
              </w:rPr>
              <w:t>CBNB-20223287G</w:t>
            </w:r>
          </w:p>
        </w:tc>
      </w:tr>
      <w:tr>
        <w:tblPrEx>
          <w:tblCellMar>
            <w:top w:w="0" w:type="dxa"/>
            <w:left w:w="108" w:type="dxa"/>
            <w:bottom w:w="0" w:type="dxa"/>
            <w:right w:w="108" w:type="dxa"/>
          </w:tblCellMar>
        </w:tblPrEx>
        <w:trPr>
          <w:trHeight w:val="1170" w:hRule="atLeast"/>
        </w:trPr>
        <w:tc>
          <w:tcPr>
            <w:tcW w:w="2093" w:type="dxa"/>
            <w:tcBorders>
              <w:top w:val="nil"/>
              <w:left w:val="nil"/>
              <w:bottom w:val="nil"/>
              <w:right w:val="nil"/>
            </w:tcBorders>
            <w:vAlign w:val="center"/>
          </w:tcPr>
          <w:p>
            <w:pPr>
              <w:snapToGrid w:val="0"/>
              <w:jc w:val="right"/>
              <w:rPr>
                <w:rFonts w:ascii="宋体" w:hAnsi="宋体"/>
                <w:b/>
                <w:color w:val="auto"/>
                <w:sz w:val="34"/>
                <w:szCs w:val="32"/>
                <w:highlight w:val="none"/>
              </w:rPr>
            </w:pPr>
            <w:r>
              <w:rPr>
                <w:rFonts w:hint="eastAsia" w:ascii="宋体" w:hAnsi="宋体"/>
                <w:b/>
                <w:color w:val="auto"/>
                <w:sz w:val="34"/>
                <w:szCs w:val="32"/>
                <w:highlight w:val="none"/>
              </w:rPr>
              <w:t>项目名称：</w:t>
            </w:r>
          </w:p>
        </w:tc>
        <w:tc>
          <w:tcPr>
            <w:tcW w:w="6836" w:type="dxa"/>
            <w:tcBorders>
              <w:top w:val="nil"/>
              <w:left w:val="nil"/>
              <w:bottom w:val="nil"/>
              <w:right w:val="nil"/>
            </w:tcBorders>
            <w:vAlign w:val="center"/>
          </w:tcPr>
          <w:p>
            <w:pPr>
              <w:pStyle w:val="22"/>
              <w:snapToGrid w:val="0"/>
              <w:spacing w:beforeLines="0" w:afterLines="0" w:line="300" w:lineRule="auto"/>
              <w:rPr>
                <w:rFonts w:hint="eastAsia" w:hAnsi="宋体" w:eastAsia="宋体"/>
                <w:b/>
                <w:color w:val="auto"/>
                <w:sz w:val="34"/>
                <w:szCs w:val="32"/>
                <w:highlight w:val="none"/>
                <w:u w:val="single"/>
                <w:lang w:eastAsia="zh-CN"/>
              </w:rPr>
            </w:pPr>
            <w:r>
              <w:rPr>
                <w:rFonts w:hint="eastAsia" w:hAnsi="宋体"/>
                <w:b/>
                <w:color w:val="auto"/>
                <w:sz w:val="34"/>
                <w:szCs w:val="32"/>
                <w:highlight w:val="none"/>
                <w:u w:val="single"/>
                <w:lang w:eastAsia="zh-CN"/>
              </w:rPr>
              <w:t>北京航空航天大学宁波创新研究院等离子弧焊机采购项目（重发）</w:t>
            </w:r>
          </w:p>
        </w:tc>
      </w:tr>
    </w:tbl>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22"/>
        <w:snapToGrid w:val="0"/>
        <w:spacing w:beforeLines="0" w:afterLines="0" w:line="600" w:lineRule="auto"/>
        <w:rPr>
          <w:rFonts w:hAnsi="宋体"/>
          <w:b/>
          <w:bCs/>
          <w:color w:val="auto"/>
          <w:sz w:val="30"/>
          <w:szCs w:val="30"/>
          <w:highlight w:val="none"/>
        </w:rPr>
      </w:pPr>
      <w:r>
        <w:rPr>
          <w:rFonts w:hint="eastAsia" w:hAnsi="宋体"/>
          <w:b/>
          <w:color w:val="auto"/>
          <w:sz w:val="30"/>
          <w:szCs w:val="72"/>
          <w:highlight w:val="none"/>
        </w:rPr>
        <w:t>采购人：</w:t>
      </w:r>
      <w:r>
        <w:rPr>
          <w:rFonts w:hint="eastAsia" w:hAnsi="宋体"/>
          <w:b/>
          <w:color w:val="auto"/>
          <w:sz w:val="30"/>
          <w:szCs w:val="72"/>
          <w:highlight w:val="none"/>
          <w:u w:val="single"/>
        </w:rPr>
        <w:t>北京航空航天大学宁波创新研究院</w:t>
      </w:r>
    </w:p>
    <w:p>
      <w:pPr>
        <w:pStyle w:val="22"/>
        <w:snapToGrid w:val="0"/>
        <w:spacing w:beforeLines="0" w:afterLines="0" w:line="600" w:lineRule="auto"/>
        <w:rPr>
          <w:rFonts w:hAnsi="宋体"/>
          <w:b/>
          <w:color w:val="auto"/>
          <w:sz w:val="30"/>
          <w:szCs w:val="72"/>
          <w:highlight w:val="none"/>
        </w:rPr>
      </w:pPr>
      <w:r>
        <w:rPr>
          <w:rFonts w:hint="eastAsia" w:hAnsi="宋体"/>
          <w:b/>
          <w:color w:val="auto"/>
          <w:sz w:val="30"/>
          <w:szCs w:val="72"/>
          <w:highlight w:val="none"/>
        </w:rPr>
        <w:t>招标代理机构：</w:t>
      </w:r>
      <w:r>
        <w:rPr>
          <w:rFonts w:hint="eastAsia" w:hAnsi="宋体"/>
          <w:b/>
          <w:color w:val="auto"/>
          <w:sz w:val="30"/>
          <w:szCs w:val="72"/>
          <w:highlight w:val="none"/>
          <w:u w:val="single"/>
        </w:rPr>
        <w:t>宁波中基国际招标有限公司</w:t>
      </w:r>
    </w:p>
    <w:p>
      <w:pPr>
        <w:spacing w:line="600" w:lineRule="exact"/>
        <w:rPr>
          <w:rFonts w:ascii="宋体" w:hAnsi="宋体"/>
          <w:color w:val="auto"/>
          <w:highlight w:val="none"/>
        </w:rPr>
      </w:pPr>
      <w:r>
        <w:rPr>
          <w:rFonts w:hint="eastAsia" w:ascii="宋体" w:hAnsi="宋体"/>
          <w:b/>
          <w:color w:val="auto"/>
          <w:sz w:val="30"/>
          <w:szCs w:val="72"/>
          <w:highlight w:val="none"/>
        </w:rPr>
        <w:t>编制日期：二〇二</w:t>
      </w:r>
      <w:r>
        <w:rPr>
          <w:rFonts w:hint="eastAsia" w:ascii="宋体" w:hAnsi="宋体"/>
          <w:b/>
          <w:color w:val="auto"/>
          <w:sz w:val="30"/>
          <w:szCs w:val="72"/>
          <w:highlight w:val="none"/>
          <w:lang w:val="en-US" w:eastAsia="zh-CN"/>
        </w:rPr>
        <w:t>三</w:t>
      </w:r>
      <w:r>
        <w:rPr>
          <w:rFonts w:hint="eastAsia" w:ascii="宋体" w:hAnsi="宋体"/>
          <w:b/>
          <w:color w:val="auto"/>
          <w:sz w:val="30"/>
          <w:szCs w:val="72"/>
          <w:highlight w:val="none"/>
        </w:rPr>
        <w:t>年</w:t>
      </w:r>
      <w:r>
        <w:rPr>
          <w:rFonts w:hint="eastAsia" w:ascii="宋体" w:hAnsi="宋体"/>
          <w:b/>
          <w:color w:val="auto"/>
          <w:sz w:val="30"/>
          <w:szCs w:val="72"/>
          <w:highlight w:val="none"/>
          <w:lang w:val="en-US" w:eastAsia="zh-CN"/>
        </w:rPr>
        <w:t>二</w:t>
      </w:r>
      <w:r>
        <w:rPr>
          <w:rFonts w:hint="eastAsia" w:ascii="宋体" w:hAnsi="宋体"/>
          <w:b/>
          <w:color w:val="auto"/>
          <w:sz w:val="30"/>
          <w:szCs w:val="72"/>
          <w:highlight w:val="none"/>
        </w:rPr>
        <w:t>月</w:t>
      </w:r>
      <w:r>
        <w:rPr>
          <w:rFonts w:hint="eastAsia" w:ascii="宋体" w:hAnsi="宋体"/>
          <w:color w:val="auto"/>
          <w:highlight w:val="none"/>
        </w:rPr>
        <w:br w:type="page"/>
      </w:r>
    </w:p>
    <w:p>
      <w:pPr>
        <w:wordWrap w:val="0"/>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wordWrap w:val="0"/>
        <w:spacing w:line="1200" w:lineRule="exact"/>
        <w:jc w:val="center"/>
        <w:rPr>
          <w:rFonts w:ascii="宋体" w:hAnsi="宋体"/>
          <w:b/>
          <w:color w:val="auto"/>
          <w:sz w:val="52"/>
          <w:szCs w:val="52"/>
          <w:highlight w:val="none"/>
        </w:rPr>
      </w:pPr>
    </w:p>
    <w:p>
      <w:pPr>
        <w:wordWrap w:val="0"/>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、投标文件应按采购文件要求将“资格文件”、“商务和技术文件”、“报价文件”分别编制。</w:t>
      </w:r>
    </w:p>
    <w:p>
      <w:pPr>
        <w:wordWrap w:val="0"/>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2、采购人可以对已发出的采购文件进行必要的澄清或者修改，将以“更正公告”的形式发布在政采云平台，供应商应及时登录政采云平台，进行浏览并下载，未及时浏览下载的责任自负。</w:t>
      </w:r>
    </w:p>
    <w:p>
      <w:pPr>
        <w:widowControl/>
        <w:jc w:val="left"/>
        <w:rPr>
          <w:rFonts w:ascii="宋体" w:hAnsi="宋体"/>
          <w:b/>
          <w:color w:val="auto"/>
          <w:sz w:val="52"/>
          <w:szCs w:val="52"/>
          <w:highlight w:val="none"/>
        </w:rPr>
      </w:pPr>
      <w:r>
        <w:rPr>
          <w:rFonts w:ascii="宋体" w:hAnsi="宋体"/>
          <w:b/>
          <w:color w:val="auto"/>
          <w:sz w:val="52"/>
          <w:szCs w:val="52"/>
          <w:highlight w:val="none"/>
        </w:rPr>
        <w:br w:type="page"/>
      </w:r>
    </w:p>
    <w:p>
      <w:pPr>
        <w:jc w:val="center"/>
        <w:rPr>
          <w:rFonts w:ascii="宋体" w:hAnsi="宋体"/>
          <w:b/>
          <w:color w:val="auto"/>
          <w:sz w:val="52"/>
          <w:szCs w:val="52"/>
          <w:highlight w:val="none"/>
        </w:rPr>
      </w:pPr>
      <w:r>
        <w:rPr>
          <w:rFonts w:hint="eastAsia" w:ascii="宋体" w:hAnsi="宋体"/>
          <w:b/>
          <w:color w:val="auto"/>
          <w:sz w:val="52"/>
          <w:szCs w:val="52"/>
          <w:highlight w:val="none"/>
        </w:rPr>
        <w:t>目  录</w:t>
      </w:r>
    </w:p>
    <w:p>
      <w:pPr>
        <w:pStyle w:val="29"/>
        <w:tabs>
          <w:tab w:val="right" w:leader="dot" w:pos="8949"/>
        </w:tabs>
        <w:spacing w:line="360" w:lineRule="auto"/>
        <w:rPr>
          <w:rFonts w:ascii="宋体" w:hAnsi="宋体"/>
          <w:color w:val="auto"/>
          <w:sz w:val="24"/>
          <w:highlight w:val="none"/>
        </w:rPr>
      </w:pPr>
    </w:p>
    <w:p>
      <w:pPr>
        <w:pStyle w:val="29"/>
        <w:tabs>
          <w:tab w:val="right" w:leader="dot" w:pos="8959"/>
        </w:tabs>
        <w:spacing w:line="600" w:lineRule="auto"/>
        <w:rPr>
          <w:rFonts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"1-3" \h \z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"_Toc21020" </w:instrText>
      </w:r>
      <w:r>
        <w:rPr>
          <w:color w:val="auto"/>
          <w:highlight w:val="none"/>
        </w:rPr>
        <w:fldChar w:fldCharType="separate"/>
      </w:r>
      <w:r>
        <w:rPr>
          <w:rFonts w:hint="eastAsia" w:ascii="宋体" w:hAnsi="宋体" w:cs="宋体"/>
          <w:b/>
          <w:bCs/>
          <w:color w:val="auto"/>
          <w:sz w:val="24"/>
          <w:highlight w:val="none"/>
        </w:rPr>
        <w:t>第一章  采购公告</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_Toc21020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959"/>
        </w:tabs>
        <w:spacing w:line="60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"_Toc24032" </w:instrText>
      </w:r>
      <w:r>
        <w:rPr>
          <w:color w:val="auto"/>
          <w:highlight w:val="none"/>
        </w:rPr>
        <w:fldChar w:fldCharType="separate"/>
      </w:r>
      <w:r>
        <w:rPr>
          <w:rFonts w:hint="eastAsia" w:ascii="宋体" w:hAnsi="宋体" w:cs="宋体"/>
          <w:b/>
          <w:bCs/>
          <w:color w:val="auto"/>
          <w:sz w:val="24"/>
          <w:highlight w:val="none"/>
        </w:rPr>
        <w:t>第二章  招标需求</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_Toc24032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8</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959"/>
        </w:tabs>
        <w:spacing w:line="60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"_Toc8602" </w:instrText>
      </w:r>
      <w:r>
        <w:rPr>
          <w:color w:val="auto"/>
          <w:highlight w:val="none"/>
        </w:rPr>
        <w:fldChar w:fldCharType="separate"/>
      </w:r>
      <w:r>
        <w:rPr>
          <w:rFonts w:hint="eastAsia" w:ascii="宋体" w:hAnsi="宋体" w:cs="宋体"/>
          <w:b/>
          <w:bCs/>
          <w:color w:val="auto"/>
          <w:sz w:val="24"/>
          <w:highlight w:val="none"/>
        </w:rPr>
        <w:t>第三章  投标人须知</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_Toc8602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959"/>
        </w:tabs>
        <w:spacing w:line="60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"_Toc26701" </w:instrText>
      </w:r>
      <w:r>
        <w:rPr>
          <w:color w:val="auto"/>
          <w:highlight w:val="none"/>
        </w:rPr>
        <w:fldChar w:fldCharType="separate"/>
      </w:r>
      <w:r>
        <w:rPr>
          <w:rFonts w:hint="eastAsia" w:ascii="宋体" w:hAnsi="宋体" w:cs="宋体"/>
          <w:b/>
          <w:bCs/>
          <w:color w:val="auto"/>
          <w:sz w:val="24"/>
          <w:highlight w:val="none"/>
        </w:rPr>
        <w:t>前附表</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_Toc26701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959"/>
        </w:tabs>
        <w:spacing w:line="60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"_Toc29961" </w:instrText>
      </w:r>
      <w:r>
        <w:rPr>
          <w:color w:val="auto"/>
          <w:highlight w:val="none"/>
        </w:rPr>
        <w:fldChar w:fldCharType="separate"/>
      </w:r>
      <w:r>
        <w:rPr>
          <w:rFonts w:hint="eastAsia" w:ascii="宋体" w:hAnsi="宋体" w:cs="宋体"/>
          <w:b/>
          <w:bCs/>
          <w:color w:val="auto"/>
          <w:sz w:val="24"/>
          <w:highlight w:val="none"/>
        </w:rPr>
        <w:t>第四章  评标办法及评分标准</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_Toc29961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25</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959"/>
        </w:tabs>
        <w:spacing w:line="60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"_Toc19473" </w:instrText>
      </w:r>
      <w:r>
        <w:rPr>
          <w:color w:val="auto"/>
          <w:highlight w:val="none"/>
        </w:rPr>
        <w:fldChar w:fldCharType="separate"/>
      </w:r>
      <w:r>
        <w:rPr>
          <w:rFonts w:hint="eastAsia" w:ascii="宋体" w:hAnsi="宋体" w:cs="宋体"/>
          <w:b/>
          <w:bCs/>
          <w:color w:val="auto"/>
          <w:sz w:val="24"/>
          <w:highlight w:val="none"/>
        </w:rPr>
        <w:t>第五章  政府采购合同主要条款</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_Toc19473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31</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959"/>
        </w:tabs>
        <w:spacing w:line="60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"_Toc19498" </w:instrText>
      </w:r>
      <w:r>
        <w:rPr>
          <w:color w:val="auto"/>
          <w:highlight w:val="none"/>
        </w:rPr>
        <w:fldChar w:fldCharType="separate"/>
      </w:r>
      <w:r>
        <w:rPr>
          <w:rFonts w:hint="eastAsia" w:ascii="宋体" w:hAnsi="宋体" w:cs="宋体"/>
          <w:b/>
          <w:bCs/>
          <w:color w:val="auto"/>
          <w:sz w:val="24"/>
          <w:highlight w:val="none"/>
        </w:rPr>
        <w:t>第六章 投标文件格式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_Toc19498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43</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29"/>
        <w:tabs>
          <w:tab w:val="right" w:leader="dot" w:pos="8311"/>
        </w:tabs>
        <w:spacing w:line="600" w:lineRule="auto"/>
        <w:rPr>
          <w:rFonts w:ascii="宋体" w:hAnsi="宋体"/>
          <w:color w:val="auto"/>
          <w:highlight w:val="none"/>
        </w:rPr>
      </w:pPr>
      <w:r>
        <w:rPr>
          <w:rFonts w:hint="eastAsia" w:ascii="宋体" w:hAnsi="宋体" w:cs="宋体"/>
          <w:b/>
          <w:bCs/>
          <w:color w:val="auto"/>
          <w:sz w:val="24"/>
          <w:highlight w:val="none"/>
        </w:rPr>
        <w:fldChar w:fldCharType="end"/>
      </w:r>
    </w:p>
    <w:p>
      <w:pPr>
        <w:spacing w:line="360" w:lineRule="exact"/>
        <w:rPr>
          <w:rFonts w:ascii="宋体" w:hAnsi="宋体"/>
          <w:b/>
          <w:color w:val="auto"/>
          <w:szCs w:val="21"/>
          <w:highlight w:val="none"/>
        </w:rPr>
      </w:pPr>
    </w:p>
    <w:p>
      <w:pPr>
        <w:pStyle w:val="3"/>
        <w:spacing w:before="0" w:after="0" w:line="360" w:lineRule="auto"/>
        <w:jc w:val="center"/>
        <w:rPr>
          <w:rFonts w:ascii="宋体" w:hAnsi="宋体"/>
          <w:color w:val="auto"/>
          <w:sz w:val="30"/>
          <w:highlight w:val="none"/>
        </w:rPr>
        <w:sectPr>
          <w:footerReference r:id="rId5" w:type="first"/>
          <w:headerReference r:id="rId3" w:type="default"/>
          <w:footerReference r:id="rId4" w:type="default"/>
          <w:pgSz w:w="11907" w:h="16840"/>
          <w:pgMar w:top="1361" w:right="1474" w:bottom="1242" w:left="1474" w:header="720" w:footer="720" w:gutter="0"/>
          <w:cols w:space="720" w:num="1"/>
          <w:docGrid w:linePitch="285" w:charSpace="0"/>
        </w:sectPr>
      </w:pPr>
      <w:bookmarkStart w:id="0" w:name="_Toc460857890"/>
      <w:bookmarkStart w:id="233" w:name="_GoBack"/>
      <w:bookmarkEnd w:id="233"/>
    </w:p>
    <w:p>
      <w:pPr>
        <w:pStyle w:val="3"/>
        <w:spacing w:before="0" w:after="0" w:line="360" w:lineRule="auto"/>
        <w:jc w:val="center"/>
        <w:rPr>
          <w:rFonts w:ascii="宋体" w:hAnsi="宋体"/>
          <w:color w:val="auto"/>
          <w:sz w:val="30"/>
          <w:highlight w:val="none"/>
        </w:rPr>
      </w:pPr>
      <w:bookmarkStart w:id="1" w:name="_Toc21020"/>
      <w:r>
        <w:rPr>
          <w:rFonts w:hint="eastAsia" w:ascii="宋体" w:hAnsi="宋体"/>
          <w:color w:val="auto"/>
          <w:sz w:val="30"/>
          <w:highlight w:val="none"/>
        </w:rPr>
        <w:t>第一章  采购公告</w:t>
      </w:r>
      <w:bookmarkEnd w:id="0"/>
      <w:bookmarkEnd w:id="1"/>
    </w:p>
    <w:p>
      <w:pPr>
        <w:rPr>
          <w:rFonts w:ascii="宋体" w:hAnsi="宋体"/>
          <w:color w:val="auto"/>
          <w:highlight w:val="none"/>
        </w:rPr>
      </w:pPr>
    </w:p>
    <w:p>
      <w:pPr>
        <w:rPr>
          <w:color w:val="auto"/>
          <w:highlight w:val="none"/>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项目概况：</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u w:val="single"/>
          <w:lang w:eastAsia="zh-CN"/>
        </w:rPr>
        <w:t>北京航空航天大学宁波创新研究院等离子弧焊机采购项目（重发）</w:t>
      </w:r>
      <w:r>
        <w:rPr>
          <w:rFonts w:hint="eastAsia" w:asciiTheme="minorEastAsia" w:hAnsiTheme="minorEastAsia" w:eastAsiaTheme="minorEastAsia" w:cstheme="minorEastAsia"/>
          <w:snapToGrid w:val="0"/>
          <w:color w:val="auto"/>
          <w:kern w:val="0"/>
          <w:szCs w:val="21"/>
          <w:highlight w:val="none"/>
          <w:u w:val="single"/>
        </w:rPr>
        <w:t xml:space="preserve"> </w:t>
      </w:r>
      <w:r>
        <w:rPr>
          <w:rFonts w:hint="eastAsia" w:asciiTheme="minorEastAsia" w:hAnsiTheme="minorEastAsia" w:eastAsiaTheme="minorEastAsia" w:cstheme="minorEastAsia"/>
          <w:snapToGrid w:val="0"/>
          <w:color w:val="auto"/>
          <w:kern w:val="0"/>
          <w:szCs w:val="21"/>
          <w:highlight w:val="none"/>
        </w:rPr>
        <w:t>招标项目的潜在投标人应在</w:t>
      </w:r>
      <w:r>
        <w:rPr>
          <w:rFonts w:hint="eastAsia" w:asciiTheme="minorEastAsia" w:hAnsiTheme="minorEastAsia" w:eastAsiaTheme="minorEastAsia" w:cstheme="minorEastAsia"/>
          <w:snapToGrid w:val="0"/>
          <w:color w:val="auto"/>
          <w:kern w:val="0"/>
          <w:szCs w:val="21"/>
          <w:highlight w:val="none"/>
          <w:u w:val="single"/>
        </w:rPr>
        <w:t>政采云平台</w:t>
      </w:r>
      <w:r>
        <w:rPr>
          <w:rFonts w:hint="eastAsia" w:asciiTheme="minorEastAsia" w:hAnsiTheme="minorEastAsia" w:eastAsiaTheme="minorEastAsia" w:cstheme="minorEastAsia"/>
          <w:snapToGrid w:val="0"/>
          <w:color w:val="auto"/>
          <w:kern w:val="0"/>
          <w:szCs w:val="21"/>
          <w:highlight w:val="none"/>
        </w:rPr>
        <w:t>获取招标文件，并于</w:t>
      </w:r>
      <w:r>
        <w:rPr>
          <w:rFonts w:hint="eastAsia" w:asciiTheme="minorEastAsia" w:hAnsiTheme="minorEastAsia" w:eastAsiaTheme="minorEastAsia" w:cstheme="minorEastAsia"/>
          <w:snapToGrid w:val="0"/>
          <w:color w:val="auto"/>
          <w:kern w:val="0"/>
          <w:szCs w:val="21"/>
          <w:highlight w:val="none"/>
          <w:u w:val="single"/>
        </w:rPr>
        <w:t xml:space="preserve"> 202</w:t>
      </w:r>
      <w:r>
        <w:rPr>
          <w:rFonts w:hint="eastAsia" w:asciiTheme="minorEastAsia" w:hAnsiTheme="minorEastAsia" w:eastAsiaTheme="minorEastAsia" w:cstheme="minorEastAsia"/>
          <w:snapToGrid w:val="0"/>
          <w:color w:val="auto"/>
          <w:kern w:val="0"/>
          <w:szCs w:val="21"/>
          <w:highlight w:val="none"/>
          <w:u w:val="single"/>
          <w:lang w:val="en-US" w:eastAsia="zh-CN"/>
        </w:rPr>
        <w:t>3</w:t>
      </w:r>
      <w:r>
        <w:rPr>
          <w:rFonts w:hint="eastAsia" w:asciiTheme="minorEastAsia" w:hAnsiTheme="minorEastAsia" w:eastAsiaTheme="minorEastAsia" w:cstheme="minorEastAsia"/>
          <w:bCs/>
          <w:snapToGrid w:val="0"/>
          <w:color w:val="auto"/>
          <w:kern w:val="0"/>
          <w:szCs w:val="21"/>
          <w:highlight w:val="none"/>
          <w:u w:val="single"/>
        </w:rPr>
        <w:t>年</w:t>
      </w:r>
      <w:r>
        <w:rPr>
          <w:rFonts w:hint="eastAsia" w:asciiTheme="minorEastAsia" w:hAnsiTheme="minorEastAsia" w:eastAsiaTheme="minorEastAsia" w:cstheme="minorEastAsia"/>
          <w:bCs/>
          <w:snapToGrid w:val="0"/>
          <w:color w:val="auto"/>
          <w:kern w:val="0"/>
          <w:szCs w:val="21"/>
          <w:highlight w:val="none"/>
          <w:u w:val="single"/>
          <w:lang w:val="en-US" w:eastAsia="zh-CN"/>
        </w:rPr>
        <w:t>3</w:t>
      </w:r>
      <w:r>
        <w:rPr>
          <w:rFonts w:hint="eastAsia" w:asciiTheme="minorEastAsia" w:hAnsiTheme="minorEastAsia" w:eastAsiaTheme="minorEastAsia" w:cstheme="minorEastAsia"/>
          <w:bCs/>
          <w:snapToGrid w:val="0"/>
          <w:color w:val="auto"/>
          <w:kern w:val="0"/>
          <w:szCs w:val="21"/>
          <w:highlight w:val="none"/>
          <w:u w:val="single"/>
        </w:rPr>
        <w:t>月</w:t>
      </w:r>
      <w:r>
        <w:rPr>
          <w:rFonts w:hint="eastAsia" w:asciiTheme="minorEastAsia" w:hAnsiTheme="minorEastAsia" w:eastAsiaTheme="minorEastAsia" w:cstheme="minorEastAsia"/>
          <w:bCs/>
          <w:snapToGrid w:val="0"/>
          <w:color w:val="auto"/>
          <w:kern w:val="0"/>
          <w:szCs w:val="21"/>
          <w:highlight w:val="none"/>
          <w:u w:val="single"/>
          <w:lang w:val="en-US" w:eastAsia="zh-CN"/>
        </w:rPr>
        <w:t>7</w:t>
      </w:r>
      <w:r>
        <w:rPr>
          <w:rFonts w:hint="eastAsia" w:asciiTheme="minorEastAsia" w:hAnsiTheme="minorEastAsia" w:eastAsiaTheme="minorEastAsia" w:cstheme="minorEastAsia"/>
          <w:bCs/>
          <w:snapToGrid w:val="0"/>
          <w:color w:val="auto"/>
          <w:kern w:val="0"/>
          <w:szCs w:val="21"/>
          <w:highlight w:val="none"/>
          <w:u w:val="single"/>
        </w:rPr>
        <w:t>日</w:t>
      </w:r>
      <w:r>
        <w:rPr>
          <w:rFonts w:hint="eastAsia" w:asciiTheme="minorEastAsia" w:hAnsiTheme="minorEastAsia" w:eastAsiaTheme="minorEastAsia" w:cstheme="minorEastAsia"/>
          <w:bCs/>
          <w:snapToGrid w:val="0"/>
          <w:color w:val="auto"/>
          <w:kern w:val="0"/>
          <w:szCs w:val="21"/>
          <w:highlight w:val="none"/>
          <w:u w:val="single"/>
          <w:lang w:val="en-US" w:eastAsia="zh-CN"/>
        </w:rPr>
        <w:t>14</w:t>
      </w:r>
      <w:r>
        <w:rPr>
          <w:rFonts w:hint="eastAsia" w:asciiTheme="minorEastAsia" w:hAnsiTheme="minorEastAsia" w:eastAsiaTheme="minorEastAsia" w:cstheme="minorEastAsia"/>
          <w:bCs/>
          <w:snapToGrid w:val="0"/>
          <w:color w:val="auto"/>
          <w:kern w:val="0"/>
          <w:szCs w:val="21"/>
          <w:highlight w:val="none"/>
          <w:u w:val="single"/>
        </w:rPr>
        <w:t>点</w:t>
      </w:r>
      <w:r>
        <w:rPr>
          <w:rFonts w:hint="eastAsia" w:asciiTheme="minorEastAsia" w:hAnsiTheme="minorEastAsia" w:eastAsiaTheme="minorEastAsia" w:cstheme="minorEastAsia"/>
          <w:bCs/>
          <w:snapToGrid w:val="0"/>
          <w:color w:val="auto"/>
          <w:kern w:val="0"/>
          <w:szCs w:val="21"/>
          <w:highlight w:val="none"/>
          <w:u w:val="single"/>
          <w:lang w:val="en-US" w:eastAsia="zh-CN"/>
        </w:rPr>
        <w:t>00</w:t>
      </w:r>
      <w:r>
        <w:rPr>
          <w:rFonts w:hint="eastAsia" w:asciiTheme="minorEastAsia" w:hAnsiTheme="minorEastAsia" w:eastAsiaTheme="minorEastAsia" w:cstheme="minorEastAsia"/>
          <w:bCs/>
          <w:snapToGrid w:val="0"/>
          <w:color w:val="auto"/>
          <w:kern w:val="0"/>
          <w:szCs w:val="21"/>
          <w:highlight w:val="none"/>
          <w:u w:val="single"/>
        </w:rPr>
        <w:t xml:space="preserve">分 </w:t>
      </w:r>
      <w:r>
        <w:rPr>
          <w:rFonts w:hint="eastAsia" w:asciiTheme="minorEastAsia" w:hAnsiTheme="minorEastAsia" w:eastAsiaTheme="minorEastAsia" w:cstheme="minorEastAsia"/>
          <w:bCs/>
          <w:snapToGrid w:val="0"/>
          <w:color w:val="auto"/>
          <w:kern w:val="0"/>
          <w:szCs w:val="21"/>
          <w:highlight w:val="none"/>
        </w:rPr>
        <w:t>（北京时间）前递交投标文件</w:t>
      </w:r>
      <w:r>
        <w:rPr>
          <w:rFonts w:hint="eastAsia" w:asciiTheme="minorEastAsia" w:hAnsiTheme="minorEastAsia" w:eastAsiaTheme="minorEastAsia" w:cstheme="minorEastAsia"/>
          <w:snapToGrid w:val="0"/>
          <w:color w:val="auto"/>
          <w:kern w:val="0"/>
          <w:szCs w:val="21"/>
          <w:highlight w:val="none"/>
        </w:rPr>
        <w:t>。</w:t>
      </w:r>
    </w:p>
    <w:p>
      <w:pPr>
        <w:wordWrap w:val="0"/>
        <w:spacing w:line="360" w:lineRule="auto"/>
        <w:rPr>
          <w:rFonts w:ascii="宋体" w:hAnsi="宋体"/>
          <w:b/>
          <w:color w:val="auto"/>
          <w:szCs w:val="21"/>
          <w:highlight w:val="none"/>
        </w:rPr>
      </w:pPr>
      <w:bookmarkStart w:id="2" w:name="_Toc28359079"/>
      <w:bookmarkStart w:id="3" w:name="_Toc35393790"/>
      <w:bookmarkStart w:id="4" w:name="_Hlk24379207"/>
      <w:bookmarkStart w:id="5" w:name="_Toc35393621"/>
      <w:bookmarkStart w:id="6" w:name="_Toc28359002"/>
      <w:r>
        <w:rPr>
          <w:color w:val="auto"/>
          <w:highlight w:val="none"/>
        </w:rPr>
        <w:t xml:space="preserve"> </w:t>
      </w:r>
      <w:r>
        <w:rPr>
          <w:color w:val="auto"/>
          <w:highlight w:val="none"/>
        </w:rPr>
        <w:tab/>
      </w:r>
      <w:r>
        <w:rPr>
          <w:rFonts w:hint="eastAsia" w:ascii="宋体" w:hAnsi="宋体"/>
          <w:b/>
          <w:color w:val="auto"/>
          <w:szCs w:val="21"/>
          <w:highlight w:val="none"/>
        </w:rPr>
        <w:t>一、项目基本情况</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项目编号：</w:t>
      </w:r>
      <w:r>
        <w:rPr>
          <w:rFonts w:hint="eastAsia" w:ascii="宋体" w:hAnsi="宋体"/>
          <w:color w:val="auto"/>
          <w:szCs w:val="21"/>
          <w:highlight w:val="none"/>
        </w:rPr>
        <w:t>CBNB-20223287G</w:t>
      </w:r>
    </w:p>
    <w:p>
      <w:pPr>
        <w:wordWrap w:val="0"/>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项目名称：</w:t>
      </w:r>
      <w:r>
        <w:rPr>
          <w:rFonts w:hint="eastAsia" w:ascii="宋体" w:hAnsi="宋体"/>
          <w:color w:val="auto"/>
          <w:szCs w:val="21"/>
          <w:highlight w:val="none"/>
          <w:lang w:eastAsia="zh-CN"/>
        </w:rPr>
        <w:t>北京航空航天大学宁波创新研究院等离子弧焊机采购项目（重发）</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300000</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最高限价（元）：</w:t>
      </w:r>
      <w:r>
        <w:rPr>
          <w:rFonts w:hint="eastAsia" w:ascii="宋体" w:hAnsi="宋体"/>
          <w:color w:val="auto"/>
          <w:szCs w:val="21"/>
          <w:highlight w:val="none"/>
        </w:rPr>
        <w:t>285000</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采购需求：</w:t>
      </w:r>
    </w:p>
    <w:p>
      <w:pPr>
        <w:wordWrap w:val="0"/>
        <w:spacing w:line="360" w:lineRule="auto"/>
        <w:ind w:firstLine="420"/>
        <w:rPr>
          <w:rFonts w:ascii="宋体" w:hAnsi="宋体"/>
          <w:color w:val="auto"/>
          <w:szCs w:val="21"/>
          <w:highlight w:val="none"/>
        </w:rPr>
      </w:pPr>
      <w:r>
        <w:rPr>
          <w:rFonts w:hint="eastAsia" w:ascii="宋体" w:hAnsi="宋体"/>
          <w:color w:val="auto"/>
          <w:szCs w:val="21"/>
          <w:highlight w:val="none"/>
        </w:rPr>
        <w:t>标项：</w:t>
      </w:r>
      <w:r>
        <w:rPr>
          <w:rFonts w:ascii="宋体" w:hAnsi="宋体"/>
          <w:color w:val="auto"/>
          <w:szCs w:val="21"/>
          <w:highlight w:val="none"/>
        </w:rPr>
        <w:t>一</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标项名称：</w:t>
      </w:r>
      <w:r>
        <w:rPr>
          <w:rFonts w:hint="eastAsia" w:ascii="宋体" w:hAnsi="宋体"/>
          <w:color w:val="auto"/>
          <w:szCs w:val="21"/>
          <w:highlight w:val="none"/>
        </w:rPr>
        <w:t>等离子弧焊机</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数量：</w:t>
      </w:r>
      <w:r>
        <w:rPr>
          <w:rFonts w:hint="eastAsia" w:ascii="宋体" w:hAnsi="宋体"/>
          <w:color w:val="auto"/>
          <w:szCs w:val="21"/>
          <w:highlight w:val="none"/>
        </w:rPr>
        <w:t>1套</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285000</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简要规格描述或项目基本概况介绍、用途：</w:t>
      </w:r>
      <w:r>
        <w:rPr>
          <w:rFonts w:hint="eastAsia" w:asciiTheme="minorEastAsia" w:hAnsiTheme="minorEastAsia" w:eastAsiaTheme="minorEastAsia" w:cstheme="minorEastAsia"/>
          <w:color w:val="auto"/>
          <w:szCs w:val="21"/>
          <w:highlight w:val="none"/>
        </w:rPr>
        <w:t>等离子弧焊机系统具备粉末等离子喷焊（PTA）、焊丝等离子堆焊、焊丝气体保护焊（MIG）功能，可使用各类实芯/药芯焊丝（直径∅0.8-2.8mm）、球形合金粉末以及大尺寸颗粒状（对角线长度3-5mm）填充材料；</w:t>
      </w:r>
      <w:r>
        <w:rPr>
          <w:rFonts w:hint="eastAsia" w:ascii="宋体" w:hAnsi="宋体"/>
          <w:color w:val="auto"/>
          <w:szCs w:val="21"/>
          <w:highlight w:val="none"/>
        </w:rPr>
        <w:t>具体详见第二章采购需求。本项目不允许采购进口设备。</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备注：详细采购需求见本公告附件</w:t>
      </w:r>
      <w:r>
        <w:rPr>
          <w:rFonts w:hint="eastAsia" w:ascii="宋体" w:hAnsi="宋体"/>
          <w:color w:val="auto"/>
          <w:szCs w:val="21"/>
          <w:highlight w:val="none"/>
        </w:rPr>
        <w:t>。</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合同履约期限：</w:t>
      </w:r>
      <w:r>
        <w:rPr>
          <w:rFonts w:hint="eastAsia" w:ascii="宋体" w:hAnsi="宋体"/>
          <w:color w:val="auto"/>
          <w:szCs w:val="21"/>
          <w:highlight w:val="none"/>
        </w:rPr>
        <w:t>合同签订后</w:t>
      </w:r>
      <w:r>
        <w:rPr>
          <w:rFonts w:hint="eastAsia" w:ascii="宋体" w:hAnsi="宋体"/>
          <w:color w:val="auto"/>
          <w:szCs w:val="21"/>
          <w:highlight w:val="none"/>
          <w:u w:val="single"/>
        </w:rPr>
        <w:t xml:space="preserve"> 3 </w:t>
      </w:r>
      <w:r>
        <w:rPr>
          <w:rFonts w:hint="eastAsia" w:ascii="宋体" w:hAnsi="宋体"/>
          <w:color w:val="auto"/>
          <w:szCs w:val="21"/>
          <w:highlight w:val="none"/>
        </w:rPr>
        <w:t>个月内（含国定节假日）完成安装调试并</w:t>
      </w:r>
      <w:r>
        <w:rPr>
          <w:rFonts w:ascii="宋体" w:hAnsi="宋体"/>
          <w:color w:val="auto"/>
          <w:szCs w:val="21"/>
          <w:highlight w:val="none"/>
        </w:rPr>
        <w:t>验收合格</w:t>
      </w:r>
      <w:r>
        <w:rPr>
          <w:rFonts w:hint="eastAsia" w:ascii="宋体" w:hAnsi="宋体"/>
          <w:color w:val="auto"/>
          <w:szCs w:val="21"/>
          <w:highlight w:val="none"/>
        </w:rPr>
        <w:t>。</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本项目（否）接受联合体投标。</w:t>
      </w:r>
    </w:p>
    <w:bookmarkEnd w:id="2"/>
    <w:bookmarkEnd w:id="3"/>
    <w:bookmarkEnd w:id="4"/>
    <w:bookmarkEnd w:id="5"/>
    <w:bookmarkEnd w:id="6"/>
    <w:p>
      <w:pPr>
        <w:pStyle w:val="4"/>
        <w:numPr>
          <w:ilvl w:val="1"/>
          <w:numId w:val="0"/>
        </w:numPr>
        <w:spacing w:before="0" w:after="0" w:line="360" w:lineRule="auto"/>
        <w:ind w:left="420" w:leftChars="200"/>
        <w:rPr>
          <w:rFonts w:asciiTheme="minorEastAsia" w:hAnsiTheme="minorEastAsia" w:eastAsiaTheme="minorEastAsia" w:cstheme="minorEastAsia"/>
          <w:b w:val="0"/>
          <w:snapToGrid w:val="0"/>
          <w:color w:val="auto"/>
          <w:kern w:val="0"/>
          <w:sz w:val="21"/>
          <w:szCs w:val="21"/>
          <w:highlight w:val="none"/>
        </w:rPr>
      </w:pPr>
      <w:bookmarkStart w:id="7" w:name="_Toc9821"/>
      <w:bookmarkStart w:id="8" w:name="_Toc21439"/>
      <w:r>
        <w:rPr>
          <w:rFonts w:hint="eastAsia" w:asciiTheme="minorEastAsia" w:hAnsiTheme="minorEastAsia" w:eastAsiaTheme="minorEastAsia" w:cstheme="minorEastAsia"/>
          <w:bCs w:val="0"/>
          <w:snapToGrid w:val="0"/>
          <w:color w:val="auto"/>
          <w:kern w:val="0"/>
          <w:sz w:val="21"/>
          <w:szCs w:val="21"/>
          <w:highlight w:val="none"/>
        </w:rPr>
        <w:t>二、申请人的资格要求</w:t>
      </w:r>
      <w:bookmarkEnd w:id="7"/>
      <w:bookmarkEnd w:id="8"/>
    </w:p>
    <w:p>
      <w:pPr>
        <w:pStyle w:val="36"/>
        <w:snapToGrid w:val="0"/>
        <w:spacing w:before="0" w:beforeAutospacing="0" w:after="0" w:afterAutospacing="0" w:line="360" w:lineRule="auto"/>
        <w:ind w:firstLine="420"/>
        <w:rPr>
          <w:rFonts w:ascii="Arial" w:hAnsi="Arial" w:cs="Arial" w:eastAsiaTheme="minorEastAsia"/>
          <w:color w:val="auto"/>
          <w:sz w:val="21"/>
          <w:highlight w:val="none"/>
        </w:rPr>
      </w:pPr>
      <w:bookmarkStart w:id="9" w:name="_Toc28359081"/>
      <w:bookmarkStart w:id="10" w:name="_Toc28359004"/>
      <w:bookmarkStart w:id="11" w:name="_Toc35393792"/>
      <w:bookmarkStart w:id="12" w:name="_Toc35393623"/>
      <w:r>
        <w:rPr>
          <w:rFonts w:ascii="Arial" w:hAnsi="Arial" w:cs="Arial" w:eastAsiaTheme="minorEastAsia"/>
          <w:color w:val="auto"/>
          <w:sz w:val="21"/>
          <w:szCs w:val="27"/>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6"/>
        <w:snapToGrid w:val="0"/>
        <w:spacing w:before="0" w:beforeAutospacing="0" w:after="0" w:afterAutospacing="0" w:line="360" w:lineRule="auto"/>
        <w:ind w:firstLine="420"/>
        <w:rPr>
          <w:rFonts w:ascii="Arial" w:hAnsi="Arial" w:cs="Arial" w:eastAsiaTheme="minorEastAsia"/>
          <w:color w:val="auto"/>
          <w:sz w:val="21"/>
          <w:highlight w:val="none"/>
        </w:rPr>
      </w:pPr>
      <w:r>
        <w:rPr>
          <w:rFonts w:ascii="Arial" w:hAnsi="Arial" w:cs="Arial" w:eastAsiaTheme="minorEastAsia"/>
          <w:color w:val="auto"/>
          <w:sz w:val="21"/>
          <w:szCs w:val="27"/>
          <w:highlight w:val="none"/>
        </w:rPr>
        <w:t>2.落实政府采购政策需满足的资格要求：无</w:t>
      </w:r>
    </w:p>
    <w:p>
      <w:pPr>
        <w:spacing w:line="360" w:lineRule="auto"/>
        <w:ind w:firstLine="420" w:firstLineChars="200"/>
        <w:rPr>
          <w:rFonts w:asciiTheme="minorEastAsia" w:hAnsiTheme="minorEastAsia" w:eastAsiaTheme="minorEastAsia" w:cstheme="minorEastAsia"/>
          <w:snapToGrid w:val="0"/>
          <w:color w:val="auto"/>
          <w:kern w:val="0"/>
          <w:szCs w:val="21"/>
          <w:highlight w:val="none"/>
        </w:rPr>
      </w:pPr>
      <w:r>
        <w:rPr>
          <w:rFonts w:ascii="Arial" w:hAnsi="Arial" w:cs="Arial" w:eastAsiaTheme="minorEastAsia"/>
          <w:color w:val="auto"/>
          <w:szCs w:val="27"/>
          <w:highlight w:val="none"/>
        </w:rPr>
        <w:t>3.本项目的特定资格要求：</w:t>
      </w:r>
      <w:r>
        <w:rPr>
          <w:rFonts w:hint="eastAsia" w:ascii="Arial" w:hAnsi="Arial" w:cs="Arial" w:eastAsiaTheme="minorEastAsia"/>
          <w:color w:val="auto"/>
          <w:szCs w:val="27"/>
          <w:highlight w:val="none"/>
        </w:rPr>
        <w:t>无</w:t>
      </w:r>
    </w:p>
    <w:p>
      <w:pPr>
        <w:pStyle w:val="4"/>
        <w:numPr>
          <w:ilvl w:val="1"/>
          <w:numId w:val="0"/>
        </w:numPr>
        <w:spacing w:before="0" w:after="0" w:line="360" w:lineRule="auto"/>
        <w:ind w:left="420" w:leftChars="200"/>
        <w:rPr>
          <w:rFonts w:asciiTheme="minorEastAsia" w:hAnsiTheme="minorEastAsia" w:eastAsiaTheme="minorEastAsia" w:cstheme="minorEastAsia"/>
          <w:bCs w:val="0"/>
          <w:snapToGrid w:val="0"/>
          <w:color w:val="auto"/>
          <w:kern w:val="0"/>
          <w:sz w:val="21"/>
          <w:szCs w:val="21"/>
          <w:highlight w:val="none"/>
        </w:rPr>
      </w:pPr>
      <w:bookmarkStart w:id="13" w:name="_Toc21581"/>
      <w:bookmarkStart w:id="14" w:name="_Toc6581"/>
      <w:r>
        <w:rPr>
          <w:rFonts w:hint="eastAsia" w:asciiTheme="minorEastAsia" w:hAnsiTheme="minorEastAsia" w:eastAsiaTheme="minorEastAsia" w:cstheme="minorEastAsia"/>
          <w:bCs w:val="0"/>
          <w:snapToGrid w:val="0"/>
          <w:color w:val="auto"/>
          <w:kern w:val="0"/>
          <w:sz w:val="21"/>
          <w:szCs w:val="21"/>
          <w:highlight w:val="none"/>
        </w:rPr>
        <w:t>三、获取招标文件</w:t>
      </w:r>
      <w:bookmarkEnd w:id="9"/>
      <w:bookmarkEnd w:id="10"/>
      <w:bookmarkEnd w:id="11"/>
      <w:bookmarkEnd w:id="12"/>
      <w:bookmarkEnd w:id="13"/>
      <w:bookmarkEnd w:id="14"/>
    </w:p>
    <w:p>
      <w:pPr>
        <w:pStyle w:val="36"/>
        <w:snapToGrid w:val="0"/>
        <w:spacing w:before="0" w:beforeAutospacing="0" w:after="0" w:afterAutospacing="0" w:line="360" w:lineRule="auto"/>
        <w:ind w:firstLine="420"/>
        <w:rPr>
          <w:rFonts w:ascii="Arial" w:hAnsi="Arial" w:cs="Arial" w:eastAsiaTheme="minorEastAsia"/>
          <w:color w:val="auto"/>
          <w:sz w:val="21"/>
          <w:szCs w:val="21"/>
          <w:highlight w:val="none"/>
        </w:rPr>
      </w:pPr>
      <w:bookmarkStart w:id="15" w:name="_Toc28359082"/>
      <w:bookmarkStart w:id="16" w:name="_Toc28359005"/>
      <w:bookmarkStart w:id="17" w:name="_Toc35393793"/>
      <w:bookmarkStart w:id="18" w:name="_Toc35393624"/>
      <w:r>
        <w:rPr>
          <w:rFonts w:hint="eastAsia" w:ascii="Arial" w:hAnsi="Arial" w:cs="Arial" w:eastAsiaTheme="minorEastAsia"/>
          <w:color w:val="auto"/>
          <w:sz w:val="21"/>
          <w:szCs w:val="21"/>
          <w:highlight w:val="none"/>
        </w:rPr>
        <w:t>时间：/至投标截止时间前，每天上午00:00至12:00，下午12:00至23:59（北京时间，线上获取法定节假日均可，线下获取文件法定节假日除外）</w:t>
      </w:r>
    </w:p>
    <w:p>
      <w:pPr>
        <w:pStyle w:val="36"/>
        <w:snapToGrid w:val="0"/>
        <w:spacing w:before="0" w:beforeAutospacing="0" w:after="0" w:afterAutospacing="0" w:line="360" w:lineRule="auto"/>
        <w:ind w:firstLine="420"/>
        <w:rPr>
          <w:rFonts w:ascii="Arial" w:hAnsi="Arial" w:cs="Arial" w:eastAsiaTheme="minorEastAsia"/>
          <w:color w:val="auto"/>
          <w:sz w:val="21"/>
          <w:szCs w:val="21"/>
          <w:highlight w:val="none"/>
          <w:u w:val="single"/>
        </w:rPr>
      </w:pPr>
      <w:r>
        <w:rPr>
          <w:rFonts w:hint="eastAsia" w:ascii="Arial" w:hAnsi="Arial" w:cs="Arial" w:eastAsiaTheme="minorEastAsia"/>
          <w:color w:val="auto"/>
          <w:sz w:val="21"/>
          <w:szCs w:val="21"/>
          <w:highlight w:val="none"/>
        </w:rPr>
        <w:t>地点：政采云平台。</w:t>
      </w:r>
    </w:p>
    <w:p>
      <w:pPr>
        <w:pStyle w:val="36"/>
        <w:snapToGrid w:val="0"/>
        <w:spacing w:before="0" w:beforeAutospacing="0" w:after="0" w:afterAutospacing="0" w:line="360" w:lineRule="auto"/>
        <w:ind w:firstLine="420"/>
        <w:jc w:val="both"/>
        <w:rPr>
          <w:rFonts w:ascii="Arial" w:hAnsi="Arial" w:cs="Arial" w:eastAsiaTheme="minorEastAsia"/>
          <w:color w:val="auto"/>
          <w:sz w:val="21"/>
          <w:szCs w:val="21"/>
          <w:highlight w:val="none"/>
        </w:rPr>
      </w:pPr>
      <w:r>
        <w:rPr>
          <w:rFonts w:hint="eastAsia" w:ascii="Arial" w:hAnsi="Arial" w:cs="Arial" w:eastAsiaTheme="minorEastAsia"/>
          <w:color w:val="auto"/>
          <w:sz w:val="21"/>
          <w:szCs w:val="21"/>
          <w:highlight w:val="none"/>
        </w:rPr>
        <w:t xml:space="preserve">方式：（1）本项目不提供纸制版招标文件，供应商可通过“浙江政府采购网”在线获取（采购公告下方选取“潜在供应商”处“获取招标文件”）；供应商只有在“浙江政府采购网”完成获取招标文件申请并下载了招标文件后才视作依法获取招标文件（法律法规所指的供应商获取招标文件时间以供应商完成获取招标文件申请后下载招标文件的时间为准）；供应商网上报名操作指南： http://zfcg.czt.zj.gov.cn/bs_other/2018-03-30/12002.html?_=2018-03-30 11:40:47。 </w:t>
      </w:r>
    </w:p>
    <w:p>
      <w:pPr>
        <w:pStyle w:val="36"/>
        <w:snapToGrid w:val="0"/>
        <w:spacing w:before="0" w:beforeAutospacing="0" w:after="0" w:afterAutospacing="0" w:line="360" w:lineRule="auto"/>
        <w:ind w:firstLine="420"/>
        <w:jc w:val="both"/>
        <w:rPr>
          <w:rFonts w:ascii="Arial" w:hAnsi="Arial" w:cs="Arial" w:eastAsiaTheme="minorEastAsia"/>
          <w:color w:val="auto"/>
          <w:sz w:val="21"/>
          <w:szCs w:val="21"/>
          <w:highlight w:val="none"/>
        </w:rPr>
      </w:pPr>
      <w:r>
        <w:rPr>
          <w:rFonts w:hint="eastAsia" w:ascii="Arial" w:hAnsi="Arial" w:cs="Arial" w:eastAsiaTheme="minorEastAsia"/>
          <w:color w:val="auto"/>
          <w:sz w:val="21"/>
          <w:szCs w:val="21"/>
          <w:highlight w:val="none"/>
        </w:rPr>
        <w:t>（2）通过本公告下方“游客，浏览招标文件”下载的招标文件仅供浏览，不视作依法获取招标文件，不得就招标文件提出质疑投诉，未按规定获取招标文件者的投标将被拒绝。</w:t>
      </w:r>
    </w:p>
    <w:p>
      <w:pPr>
        <w:pStyle w:val="36"/>
        <w:snapToGrid w:val="0"/>
        <w:spacing w:before="0" w:beforeAutospacing="0" w:after="0" w:afterAutospacing="0" w:line="360" w:lineRule="auto"/>
        <w:ind w:firstLine="420"/>
        <w:jc w:val="both"/>
        <w:rPr>
          <w:rFonts w:ascii="Arial" w:hAnsi="Arial" w:cs="Arial" w:eastAsiaTheme="minorEastAsia"/>
          <w:color w:val="auto"/>
          <w:sz w:val="21"/>
          <w:szCs w:val="21"/>
          <w:highlight w:val="none"/>
        </w:rPr>
      </w:pPr>
      <w:r>
        <w:rPr>
          <w:rFonts w:hint="eastAsia" w:ascii="Arial" w:hAnsi="Arial" w:cs="Arial" w:eastAsiaTheme="minorEastAsia"/>
          <w:color w:val="auto"/>
          <w:sz w:val="21"/>
          <w:szCs w:val="21"/>
          <w:highlight w:val="none"/>
        </w:rPr>
        <w:t xml:space="preserve">（3）招标文件及更正补充公告请自行登录浙江政府采购网，在招标公告及更正公告页面中下载。 </w:t>
      </w:r>
    </w:p>
    <w:p>
      <w:pPr>
        <w:pStyle w:val="36"/>
        <w:snapToGrid w:val="0"/>
        <w:spacing w:before="0" w:beforeAutospacing="0" w:after="0" w:afterAutospacing="0" w:line="360" w:lineRule="auto"/>
        <w:ind w:firstLine="420"/>
        <w:jc w:val="both"/>
        <w:rPr>
          <w:rFonts w:ascii="Arial" w:hAnsi="Arial" w:cs="Arial" w:eastAsiaTheme="minorEastAsia"/>
          <w:color w:val="auto"/>
          <w:sz w:val="21"/>
          <w:szCs w:val="21"/>
          <w:highlight w:val="none"/>
          <w:u w:val="single"/>
        </w:rPr>
      </w:pPr>
      <w:r>
        <w:rPr>
          <w:rFonts w:hint="eastAsia" w:ascii="Arial" w:hAnsi="Arial" w:cs="Arial" w:eastAsiaTheme="minorEastAsia"/>
          <w:b/>
          <w:color w:val="auto"/>
          <w:sz w:val="21"/>
          <w:szCs w:val="21"/>
          <w:highlight w:val="none"/>
        </w:rPr>
        <w:t>特别提醒：供应商在系统中如果没经过如上流程获取采购文件，而是直接从公告上下载采购文件或操作不规范，使得不能参与后续的项目投标等流程的，由此引起的后果由投标人自负。</w:t>
      </w:r>
    </w:p>
    <w:p>
      <w:pPr>
        <w:spacing w:line="360" w:lineRule="auto"/>
        <w:ind w:firstLine="420" w:firstLineChars="200"/>
        <w:rPr>
          <w:rFonts w:asciiTheme="minorEastAsia" w:hAnsiTheme="minorEastAsia" w:eastAsiaTheme="minorEastAsia" w:cstheme="minorEastAsia"/>
          <w:b/>
          <w:snapToGrid w:val="0"/>
          <w:color w:val="auto"/>
          <w:kern w:val="0"/>
          <w:szCs w:val="21"/>
          <w:highlight w:val="none"/>
        </w:rPr>
      </w:pPr>
      <w:r>
        <w:rPr>
          <w:rFonts w:hint="eastAsia" w:ascii="Arial" w:hAnsi="Arial" w:cs="Arial" w:eastAsiaTheme="minorEastAsia"/>
          <w:color w:val="auto"/>
          <w:szCs w:val="21"/>
          <w:highlight w:val="none"/>
        </w:rPr>
        <w:t>售价：0元。</w:t>
      </w:r>
    </w:p>
    <w:p>
      <w:pPr>
        <w:pStyle w:val="4"/>
        <w:numPr>
          <w:ilvl w:val="1"/>
          <w:numId w:val="0"/>
        </w:numPr>
        <w:spacing w:before="0" w:after="0" w:line="360" w:lineRule="auto"/>
        <w:ind w:left="420" w:leftChars="200"/>
        <w:rPr>
          <w:rFonts w:asciiTheme="minorEastAsia" w:hAnsiTheme="minorEastAsia" w:eastAsiaTheme="minorEastAsia" w:cstheme="minorEastAsia"/>
          <w:bCs w:val="0"/>
          <w:snapToGrid w:val="0"/>
          <w:color w:val="auto"/>
          <w:kern w:val="0"/>
          <w:sz w:val="21"/>
          <w:szCs w:val="21"/>
          <w:highlight w:val="none"/>
        </w:rPr>
      </w:pPr>
      <w:bookmarkStart w:id="19" w:name="_Toc720"/>
      <w:bookmarkStart w:id="20" w:name="_Toc26588"/>
      <w:r>
        <w:rPr>
          <w:rFonts w:hint="eastAsia" w:asciiTheme="minorEastAsia" w:hAnsiTheme="minorEastAsia" w:eastAsiaTheme="minorEastAsia" w:cstheme="minorEastAsia"/>
          <w:bCs w:val="0"/>
          <w:snapToGrid w:val="0"/>
          <w:color w:val="auto"/>
          <w:kern w:val="0"/>
          <w:sz w:val="21"/>
          <w:szCs w:val="21"/>
          <w:highlight w:val="none"/>
        </w:rPr>
        <w:t>四、提交投标文件</w:t>
      </w:r>
      <w:bookmarkEnd w:id="15"/>
      <w:bookmarkEnd w:id="16"/>
      <w:r>
        <w:rPr>
          <w:rFonts w:hint="eastAsia" w:asciiTheme="minorEastAsia" w:hAnsiTheme="minorEastAsia" w:eastAsiaTheme="minorEastAsia" w:cstheme="minorEastAsia"/>
          <w:bCs w:val="0"/>
          <w:snapToGrid w:val="0"/>
          <w:color w:val="auto"/>
          <w:kern w:val="0"/>
          <w:sz w:val="21"/>
          <w:szCs w:val="21"/>
          <w:highlight w:val="none"/>
        </w:rPr>
        <w:t>截止时间、开标时间和地点</w:t>
      </w:r>
      <w:bookmarkEnd w:id="17"/>
      <w:bookmarkEnd w:id="18"/>
      <w:bookmarkEnd w:id="19"/>
      <w:bookmarkEnd w:id="20"/>
    </w:p>
    <w:p>
      <w:pPr>
        <w:wordWrap w:val="0"/>
        <w:spacing w:line="360" w:lineRule="auto"/>
        <w:ind w:firstLine="420"/>
        <w:rPr>
          <w:rFonts w:ascii="宋体" w:hAnsi="宋体"/>
          <w:color w:val="auto"/>
          <w:szCs w:val="21"/>
          <w:highlight w:val="none"/>
        </w:rPr>
      </w:pPr>
      <w:bookmarkStart w:id="21" w:name="_Toc28359007"/>
      <w:bookmarkStart w:id="22" w:name="_Toc28359084"/>
      <w:bookmarkStart w:id="23" w:name="_Toc35393625"/>
      <w:bookmarkStart w:id="24" w:name="_Toc35393794"/>
      <w:r>
        <w:rPr>
          <w:rFonts w:ascii="宋体" w:hAnsi="宋体"/>
          <w:color w:val="auto"/>
          <w:szCs w:val="21"/>
          <w:highlight w:val="none"/>
        </w:rPr>
        <w:t>提交投标文件截止时间：</w:t>
      </w:r>
      <w:r>
        <w:rPr>
          <w:rFonts w:hint="default" w:ascii="Arial" w:hAnsi="Arial" w:cs="Arial" w:eastAsiaTheme="minorEastAsia"/>
          <w:color w:val="auto"/>
          <w:sz w:val="21"/>
          <w:szCs w:val="21"/>
          <w:highlight w:val="none"/>
        </w:rPr>
        <w:t>202</w:t>
      </w:r>
      <w:r>
        <w:rPr>
          <w:rFonts w:hint="default" w:ascii="Arial" w:hAnsi="Arial" w:cs="Arial" w:eastAsiaTheme="minorEastAsia"/>
          <w:color w:val="auto"/>
          <w:sz w:val="21"/>
          <w:szCs w:val="21"/>
          <w:highlight w:val="none"/>
          <w:lang w:val="en-US" w:eastAsia="zh-CN"/>
        </w:rPr>
        <w:t>3</w:t>
      </w:r>
      <w:r>
        <w:rPr>
          <w:rFonts w:hint="default" w:ascii="Arial" w:hAnsi="Arial" w:cs="Arial" w:eastAsiaTheme="minorEastAsia"/>
          <w:color w:val="auto"/>
          <w:sz w:val="21"/>
          <w:szCs w:val="21"/>
          <w:highlight w:val="none"/>
        </w:rPr>
        <w:t>年</w:t>
      </w:r>
      <w:r>
        <w:rPr>
          <w:rFonts w:hint="eastAsia" w:ascii="Arial" w:hAnsi="Arial" w:cs="Arial" w:eastAsiaTheme="minorEastAsia"/>
          <w:color w:val="auto"/>
          <w:sz w:val="21"/>
          <w:szCs w:val="21"/>
          <w:highlight w:val="none"/>
          <w:lang w:val="en-US" w:eastAsia="zh-CN"/>
        </w:rPr>
        <w:t>3</w:t>
      </w:r>
      <w:r>
        <w:rPr>
          <w:rFonts w:hint="default" w:ascii="Arial" w:hAnsi="Arial" w:cs="Arial" w:eastAsiaTheme="minorEastAsia"/>
          <w:color w:val="auto"/>
          <w:sz w:val="21"/>
          <w:szCs w:val="21"/>
          <w:highlight w:val="none"/>
        </w:rPr>
        <w:t>月</w:t>
      </w:r>
      <w:r>
        <w:rPr>
          <w:rFonts w:hint="eastAsia" w:ascii="Arial" w:hAnsi="Arial" w:cs="Arial" w:eastAsiaTheme="minorEastAsia"/>
          <w:color w:val="auto"/>
          <w:sz w:val="21"/>
          <w:szCs w:val="21"/>
          <w:highlight w:val="none"/>
          <w:lang w:val="en-US" w:eastAsia="zh-CN"/>
        </w:rPr>
        <w:t>7</w:t>
      </w:r>
      <w:r>
        <w:rPr>
          <w:rFonts w:hint="default" w:ascii="Arial" w:hAnsi="Arial" w:cs="Arial" w:eastAsiaTheme="minorEastAsia"/>
          <w:color w:val="auto"/>
          <w:sz w:val="21"/>
          <w:szCs w:val="21"/>
          <w:highlight w:val="none"/>
        </w:rPr>
        <w:t>日14:00</w:t>
      </w:r>
      <w:r>
        <w:rPr>
          <w:rFonts w:ascii="宋体" w:hAnsi="宋体"/>
          <w:color w:val="auto"/>
          <w:szCs w:val="21"/>
          <w:highlight w:val="none"/>
        </w:rPr>
        <w:t>（北京时间）</w:t>
      </w:r>
    </w:p>
    <w:p>
      <w:pPr>
        <w:wordWrap w:val="0"/>
        <w:spacing w:line="360" w:lineRule="auto"/>
        <w:ind w:firstLine="420"/>
        <w:rPr>
          <w:rFonts w:ascii="宋体" w:hAnsi="宋体" w:cs="宋体"/>
          <w:color w:val="auto"/>
          <w:kern w:val="0"/>
          <w:szCs w:val="21"/>
          <w:highlight w:val="none"/>
        </w:rPr>
      </w:pPr>
      <w:r>
        <w:rPr>
          <w:rFonts w:ascii="宋体" w:hAnsi="宋体"/>
          <w:color w:val="auto"/>
          <w:szCs w:val="21"/>
          <w:highlight w:val="none"/>
        </w:rPr>
        <w:t>投标地点（网址）：</w:t>
      </w:r>
      <w:r>
        <w:rPr>
          <w:rFonts w:hint="eastAsia" w:ascii="宋体" w:hAnsi="宋体"/>
          <w:bCs/>
          <w:iCs/>
          <w:color w:val="auto"/>
          <w:highlight w:val="none"/>
        </w:rPr>
        <w:t>宁波市</w:t>
      </w:r>
      <w:r>
        <w:rPr>
          <w:rFonts w:hint="eastAsia" w:ascii="宋体" w:hAnsi="宋体"/>
          <w:color w:val="auto"/>
          <w:szCs w:val="21"/>
          <w:highlight w:val="none"/>
        </w:rPr>
        <w:t>北仑区招投标中心开标室（北仑区长江路1166号行政服务中心B座三楼）,本项目通过“政府采购云平台（www.zcygov.cn）”实行在线制作并提交投标文件（电子投标）。</w:t>
      </w:r>
    </w:p>
    <w:p>
      <w:pPr>
        <w:wordWrap w:val="0"/>
        <w:spacing w:line="360" w:lineRule="auto"/>
        <w:ind w:firstLine="420"/>
        <w:rPr>
          <w:rFonts w:ascii="宋体" w:hAnsi="宋体"/>
          <w:color w:val="auto"/>
          <w:szCs w:val="21"/>
          <w:highlight w:val="none"/>
        </w:rPr>
      </w:pPr>
      <w:r>
        <w:rPr>
          <w:rFonts w:ascii="宋体" w:hAnsi="宋体"/>
          <w:color w:val="auto"/>
          <w:szCs w:val="21"/>
          <w:highlight w:val="none"/>
        </w:rPr>
        <w:t>开标时间：</w:t>
      </w:r>
      <w:r>
        <w:rPr>
          <w:rFonts w:hint="default" w:ascii="Arial" w:hAnsi="Arial" w:cs="Arial" w:eastAsiaTheme="minorEastAsia"/>
          <w:color w:val="auto"/>
          <w:sz w:val="21"/>
          <w:szCs w:val="21"/>
          <w:highlight w:val="none"/>
        </w:rPr>
        <w:t>202</w:t>
      </w:r>
      <w:r>
        <w:rPr>
          <w:rFonts w:hint="default" w:ascii="Arial" w:hAnsi="Arial" w:cs="Arial" w:eastAsiaTheme="minorEastAsia"/>
          <w:color w:val="auto"/>
          <w:sz w:val="21"/>
          <w:szCs w:val="21"/>
          <w:highlight w:val="none"/>
          <w:lang w:val="en-US" w:eastAsia="zh-CN"/>
        </w:rPr>
        <w:t>3</w:t>
      </w:r>
      <w:r>
        <w:rPr>
          <w:rFonts w:hint="default" w:ascii="Arial" w:hAnsi="Arial" w:cs="Arial" w:eastAsiaTheme="minorEastAsia"/>
          <w:color w:val="auto"/>
          <w:sz w:val="21"/>
          <w:szCs w:val="21"/>
          <w:highlight w:val="none"/>
        </w:rPr>
        <w:t>年</w:t>
      </w:r>
      <w:r>
        <w:rPr>
          <w:rFonts w:hint="eastAsia" w:ascii="Arial" w:hAnsi="Arial" w:cs="Arial" w:eastAsiaTheme="minorEastAsia"/>
          <w:color w:val="auto"/>
          <w:sz w:val="21"/>
          <w:szCs w:val="21"/>
          <w:highlight w:val="none"/>
          <w:lang w:val="en-US" w:eastAsia="zh-CN"/>
        </w:rPr>
        <w:t>3</w:t>
      </w:r>
      <w:r>
        <w:rPr>
          <w:rFonts w:hint="default" w:ascii="Arial" w:hAnsi="Arial" w:cs="Arial" w:eastAsiaTheme="minorEastAsia"/>
          <w:color w:val="auto"/>
          <w:sz w:val="21"/>
          <w:szCs w:val="21"/>
          <w:highlight w:val="none"/>
        </w:rPr>
        <w:t>月</w:t>
      </w:r>
      <w:r>
        <w:rPr>
          <w:rFonts w:hint="eastAsia" w:ascii="Arial" w:hAnsi="Arial" w:cs="Arial" w:eastAsiaTheme="minorEastAsia"/>
          <w:color w:val="auto"/>
          <w:sz w:val="21"/>
          <w:szCs w:val="21"/>
          <w:highlight w:val="none"/>
          <w:lang w:val="en-US" w:eastAsia="zh-CN"/>
        </w:rPr>
        <w:t>7</w:t>
      </w:r>
      <w:r>
        <w:rPr>
          <w:rFonts w:hint="default" w:ascii="Arial" w:hAnsi="Arial" w:cs="Arial" w:eastAsiaTheme="minorEastAsia"/>
          <w:color w:val="auto"/>
          <w:sz w:val="21"/>
          <w:szCs w:val="21"/>
          <w:highlight w:val="none"/>
        </w:rPr>
        <w:t>日14:00</w:t>
      </w:r>
    </w:p>
    <w:p>
      <w:pPr>
        <w:wordWrap w:val="0"/>
        <w:spacing w:line="360" w:lineRule="auto"/>
        <w:ind w:firstLine="420"/>
        <w:rPr>
          <w:rFonts w:ascii="宋体" w:hAnsi="宋体" w:cs="宋体"/>
          <w:color w:val="auto"/>
          <w:kern w:val="0"/>
          <w:szCs w:val="21"/>
          <w:highlight w:val="none"/>
        </w:rPr>
      </w:pPr>
      <w:r>
        <w:rPr>
          <w:rFonts w:ascii="宋体" w:hAnsi="宋体"/>
          <w:color w:val="auto"/>
          <w:szCs w:val="21"/>
          <w:highlight w:val="none"/>
        </w:rPr>
        <w:t>开标地点（网址）：</w:t>
      </w:r>
      <w:r>
        <w:rPr>
          <w:rFonts w:hint="eastAsia" w:ascii="宋体" w:hAnsi="宋体"/>
          <w:bCs/>
          <w:iCs/>
          <w:color w:val="auto"/>
          <w:highlight w:val="none"/>
        </w:rPr>
        <w:t>宁波市</w:t>
      </w:r>
      <w:r>
        <w:rPr>
          <w:rFonts w:hint="eastAsia" w:ascii="宋体" w:hAnsi="宋体"/>
          <w:color w:val="auto"/>
          <w:szCs w:val="21"/>
          <w:highlight w:val="none"/>
        </w:rPr>
        <w:t>北仑区招投标中心开标室（北仑区长江路1166号行政服务中心B座三楼）,本项目通过“政府采购云平台（www.zcygov.cn）”实行在线开标。</w:t>
      </w:r>
    </w:p>
    <w:p>
      <w:pPr>
        <w:pStyle w:val="4"/>
        <w:numPr>
          <w:ilvl w:val="1"/>
          <w:numId w:val="0"/>
        </w:numPr>
        <w:spacing w:before="0" w:after="0" w:line="360" w:lineRule="auto"/>
        <w:ind w:left="420" w:leftChars="200"/>
        <w:rPr>
          <w:rFonts w:asciiTheme="minorEastAsia" w:hAnsiTheme="minorEastAsia" w:eastAsiaTheme="minorEastAsia" w:cstheme="minorEastAsia"/>
          <w:bCs w:val="0"/>
          <w:snapToGrid w:val="0"/>
          <w:color w:val="auto"/>
          <w:kern w:val="0"/>
          <w:sz w:val="21"/>
          <w:szCs w:val="21"/>
          <w:highlight w:val="none"/>
        </w:rPr>
      </w:pPr>
      <w:bookmarkStart w:id="25" w:name="_Toc23804"/>
      <w:bookmarkStart w:id="26" w:name="_Toc29757"/>
      <w:r>
        <w:rPr>
          <w:rFonts w:hint="eastAsia" w:asciiTheme="minorEastAsia" w:hAnsiTheme="minorEastAsia" w:eastAsiaTheme="minorEastAsia" w:cstheme="minorEastAsia"/>
          <w:bCs w:val="0"/>
          <w:snapToGrid w:val="0"/>
          <w:color w:val="auto"/>
          <w:kern w:val="0"/>
          <w:sz w:val="21"/>
          <w:szCs w:val="21"/>
          <w:highlight w:val="none"/>
        </w:rPr>
        <w:t>五、公告期限</w:t>
      </w:r>
      <w:bookmarkEnd w:id="21"/>
      <w:bookmarkEnd w:id="22"/>
      <w:bookmarkEnd w:id="23"/>
      <w:bookmarkEnd w:id="24"/>
      <w:bookmarkEnd w:id="25"/>
      <w:bookmarkEnd w:id="26"/>
    </w:p>
    <w:p>
      <w:pPr>
        <w:spacing w:line="360" w:lineRule="auto"/>
        <w:ind w:firstLine="420" w:firstLineChars="200"/>
        <w:rPr>
          <w:rFonts w:asciiTheme="minorEastAsia" w:hAnsiTheme="minorEastAsia" w:eastAsiaTheme="minorEastAsia" w:cstheme="minorEastAsia"/>
          <w:b/>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自本公告发布之日起5个工作日。</w:t>
      </w:r>
      <w:bookmarkStart w:id="27" w:name="_Toc35393795"/>
      <w:bookmarkStart w:id="28" w:name="_Toc35393626"/>
    </w:p>
    <w:p>
      <w:pPr>
        <w:pStyle w:val="4"/>
        <w:numPr>
          <w:ilvl w:val="1"/>
          <w:numId w:val="0"/>
        </w:numPr>
        <w:spacing w:before="0" w:after="0" w:line="360" w:lineRule="auto"/>
        <w:ind w:left="420" w:leftChars="200"/>
        <w:rPr>
          <w:rFonts w:asciiTheme="minorEastAsia" w:hAnsiTheme="minorEastAsia" w:eastAsiaTheme="minorEastAsia" w:cstheme="minorEastAsia"/>
          <w:bCs w:val="0"/>
          <w:snapToGrid w:val="0"/>
          <w:color w:val="auto"/>
          <w:kern w:val="0"/>
          <w:sz w:val="21"/>
          <w:szCs w:val="21"/>
          <w:highlight w:val="none"/>
        </w:rPr>
      </w:pPr>
      <w:bookmarkStart w:id="29" w:name="_Toc12621"/>
      <w:bookmarkStart w:id="30" w:name="_Toc9675"/>
      <w:r>
        <w:rPr>
          <w:rFonts w:hint="eastAsia" w:asciiTheme="minorEastAsia" w:hAnsiTheme="minorEastAsia" w:eastAsiaTheme="minorEastAsia" w:cstheme="minorEastAsia"/>
          <w:bCs w:val="0"/>
          <w:snapToGrid w:val="0"/>
          <w:color w:val="auto"/>
          <w:kern w:val="0"/>
          <w:sz w:val="21"/>
          <w:szCs w:val="21"/>
          <w:highlight w:val="none"/>
        </w:rPr>
        <w:t>六、其他补充事宜</w:t>
      </w:r>
      <w:bookmarkEnd w:id="27"/>
      <w:bookmarkEnd w:id="28"/>
      <w:bookmarkEnd w:id="29"/>
      <w:bookmarkEnd w:id="30"/>
    </w:p>
    <w:p>
      <w:pPr>
        <w:spacing w:line="360" w:lineRule="auto"/>
        <w:ind w:firstLine="420"/>
        <w:contextualSpacing/>
        <w:jc w:val="left"/>
        <w:rPr>
          <w:rFonts w:ascii="Arial" w:hAnsi="Arial" w:cs="Arial" w:eastAsiaTheme="minorEastAsia"/>
          <w:color w:val="auto"/>
          <w:szCs w:val="27"/>
          <w:highlight w:val="none"/>
        </w:rPr>
      </w:pPr>
      <w:bookmarkStart w:id="31" w:name="_Toc28359008"/>
      <w:bookmarkStart w:id="32" w:name="_Toc35393796"/>
      <w:bookmarkStart w:id="33" w:name="_Toc35393627"/>
      <w:bookmarkStart w:id="34" w:name="_Toc28359085"/>
      <w:r>
        <w:rPr>
          <w:rFonts w:ascii="Arial" w:hAnsi="Arial" w:cs="Arial" w:eastAsiaTheme="minorEastAsia"/>
          <w:color w:val="auto"/>
          <w:szCs w:val="27"/>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Arial" w:hAnsi="Arial" w:cs="Arial" w:eastAsiaTheme="minorEastAsia"/>
          <w:color w:val="auto"/>
          <w:szCs w:val="27"/>
          <w:highlight w:val="none"/>
        </w:rPr>
        <w:br w:type="textWrapping"/>
      </w:r>
      <w:r>
        <w:rPr>
          <w:rFonts w:ascii="Arial" w:hAnsi="Arial" w:cs="Arial" w:eastAsiaTheme="minorEastAsia"/>
          <w:color w:val="auto"/>
          <w:szCs w:val="27"/>
          <w:highlight w:val="none"/>
        </w:rPr>
        <w:t>    2.其他事项：</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单位负责人为同一人或者存在直接控股、管理关系的不同供应商，不得参加同一标项号的投标。</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为本项目提供整体设计、规范编制或者项目管理、监理、检测等服务的供应商，不得再参加本项目的投标。</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（3）与采购人存在利害关系可能影响招标公正性的法人或其他组织不得参加投标。存在利害关系的投标人包括但不限于：</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北京航空航天大学、北京航空航天大学宁波创新研究院在该投标人中有股份的。</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项目负责人、项目主要成员或经办人在该投标人中有股份或任职的。</w:t>
      </w:r>
    </w:p>
    <w:p>
      <w:pPr>
        <w:spacing w:line="360" w:lineRule="auto"/>
        <w:ind w:firstLine="420"/>
        <w:contextualSpacing/>
        <w:jc w:val="left"/>
        <w:rPr>
          <w:rFonts w:ascii="Arial" w:hAnsi="Arial" w:cs="Arial" w:eastAsiaTheme="minorEastAsia"/>
          <w:color w:val="auto"/>
          <w:szCs w:val="27"/>
          <w:highlight w:val="none"/>
        </w:rPr>
      </w:pPr>
      <w:r>
        <w:rPr>
          <w:rFonts w:ascii="Arial" w:hAnsi="Arial" w:cs="Arial" w:eastAsiaTheme="minorEastAsia"/>
          <w:color w:val="auto"/>
          <w:szCs w:val="27"/>
          <w:highlight w:val="none"/>
        </w:rPr>
        <w:t>（</w:t>
      </w:r>
      <w:r>
        <w:rPr>
          <w:rFonts w:hint="eastAsia" w:ascii="Arial" w:hAnsi="Arial" w:cs="Arial" w:eastAsiaTheme="minorEastAsia"/>
          <w:color w:val="auto"/>
          <w:szCs w:val="27"/>
          <w:highlight w:val="none"/>
        </w:rPr>
        <w:t>4</w:t>
      </w:r>
      <w:r>
        <w:rPr>
          <w:rFonts w:ascii="Arial" w:hAnsi="Arial" w:cs="Arial" w:eastAsiaTheme="minorEastAsia"/>
          <w:color w:val="auto"/>
          <w:szCs w:val="27"/>
          <w:highlight w:val="none"/>
        </w:rPr>
        <w:t>）</w:t>
      </w:r>
      <w:r>
        <w:rPr>
          <w:rFonts w:hint="default" w:ascii="Arial" w:hAnsi="Arial" w:cs="Arial" w:eastAsiaTheme="minorEastAsia"/>
          <w:color w:val="auto"/>
          <w:sz w:val="21"/>
          <w:szCs w:val="21"/>
          <w:highlight w:val="none"/>
        </w:rPr>
        <w:t>落实的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pPr>
        <w:spacing w:line="360" w:lineRule="auto"/>
        <w:ind w:firstLine="420"/>
        <w:contextualSpacing/>
        <w:jc w:val="left"/>
        <w:rPr>
          <w:rFonts w:ascii="Arial" w:hAnsi="Arial" w:cs="Arial" w:eastAsiaTheme="minorEastAsia"/>
          <w:color w:val="auto"/>
          <w:szCs w:val="27"/>
          <w:highlight w:val="none"/>
        </w:rPr>
      </w:pPr>
      <w:r>
        <w:rPr>
          <w:rFonts w:ascii="Arial" w:hAnsi="Arial" w:cs="Arial" w:eastAsiaTheme="minorEastAsia"/>
          <w:color w:val="auto"/>
          <w:szCs w:val="27"/>
          <w:highlight w:val="none"/>
        </w:rPr>
        <w:t>（</w:t>
      </w:r>
      <w:r>
        <w:rPr>
          <w:rFonts w:hint="eastAsia" w:ascii="Arial" w:hAnsi="Arial" w:cs="Arial" w:eastAsiaTheme="minorEastAsia"/>
          <w:color w:val="auto"/>
          <w:szCs w:val="27"/>
          <w:highlight w:val="none"/>
        </w:rPr>
        <w:t>5</w:t>
      </w:r>
      <w:r>
        <w:rPr>
          <w:rFonts w:ascii="Arial" w:hAnsi="Arial" w:cs="Arial" w:eastAsiaTheme="minorEastAsia"/>
          <w:color w:val="auto"/>
          <w:szCs w:val="27"/>
          <w:highlight w:val="none"/>
        </w:rPr>
        <w:t>）本公告发布网站：浙江省政府采购网、宁波市政府采购网、宁波公共资源交易网北仑区分网、北京航空航天大学宁波创新研究院网站、宁波中基国际招标有限公司网站</w:t>
      </w:r>
      <w:r>
        <w:rPr>
          <w:rFonts w:hint="eastAsia" w:ascii="Arial" w:hAnsi="Arial" w:cs="Arial" w:eastAsiaTheme="minorEastAsia"/>
          <w:color w:val="auto"/>
          <w:szCs w:val="27"/>
          <w:highlight w:val="none"/>
        </w:rPr>
        <w:t>。</w:t>
      </w:r>
    </w:p>
    <w:p>
      <w:pPr>
        <w:spacing w:line="360" w:lineRule="auto"/>
        <w:ind w:firstLine="420"/>
        <w:contextualSpacing/>
        <w:jc w:val="left"/>
        <w:rPr>
          <w:rFonts w:ascii="宋体" w:hAnsi="宋体" w:cs="宋体"/>
          <w:color w:val="auto"/>
          <w:kern w:val="0"/>
          <w:szCs w:val="21"/>
          <w:highlight w:val="none"/>
        </w:rPr>
      </w:pPr>
      <w:bookmarkStart w:id="35" w:name="_Toc26467"/>
      <w:bookmarkStart w:id="36" w:name="_Toc4110"/>
      <w:bookmarkStart w:id="37" w:name="_Toc7038"/>
      <w:r>
        <w:rPr>
          <w:rFonts w:hint="eastAsia" w:ascii="Arial" w:hAnsi="Arial" w:cs="Arial" w:eastAsiaTheme="minorEastAsia"/>
          <w:color w:val="auto"/>
          <w:szCs w:val="27"/>
          <w:highlight w:val="none"/>
        </w:rPr>
        <w:t>（6）</w:t>
      </w:r>
      <w:r>
        <w:rPr>
          <w:rFonts w:hint="default" w:ascii="Arial" w:hAnsi="Arial" w:cs="Arial" w:eastAsiaTheme="minorEastAsia"/>
          <w:color w:val="auto"/>
          <w:kern w:val="0"/>
          <w:sz w:val="21"/>
          <w:szCs w:val="21"/>
          <w:highlight w:val="none"/>
        </w:rPr>
        <w:t>投标人应于</w:t>
      </w:r>
      <w:r>
        <w:rPr>
          <w:rFonts w:hint="default" w:ascii="Arial" w:hAnsi="Arial" w:cs="Arial" w:eastAsiaTheme="minorEastAsia"/>
          <w:color w:val="auto"/>
          <w:kern w:val="0"/>
          <w:sz w:val="21"/>
          <w:szCs w:val="21"/>
          <w:highlight w:val="none"/>
          <w:lang w:val="en-US" w:eastAsia="zh-CN"/>
        </w:rPr>
        <w:t>投标截止</w:t>
      </w:r>
      <w:r>
        <w:rPr>
          <w:rFonts w:hint="default" w:ascii="Arial" w:hAnsi="Arial" w:cs="Arial" w:eastAsiaTheme="minorEastAsia"/>
          <w:color w:val="auto"/>
          <w:kern w:val="0"/>
          <w:sz w:val="21"/>
          <w:szCs w:val="21"/>
          <w:highlight w:val="none"/>
        </w:rPr>
        <w:t>时前将电子加密投标文件上传到政府采购云平台（www.zcygov.cn），未上传电子加密投标文件，视为投标人放弃投标。</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（7）代理机构将在招标文件规定的时间通过政府采购云平台组织开标、开启投标文件，所有投标人均应准时在线参加。开标时间后</w:t>
      </w:r>
      <w:r>
        <w:rPr>
          <w:rFonts w:ascii="宋体" w:hAnsi="宋体" w:cs="宋体"/>
          <w:color w:val="auto"/>
          <w:kern w:val="0"/>
          <w:szCs w:val="21"/>
          <w:highlight w:val="none"/>
        </w:rPr>
        <w:t>30</w:t>
      </w:r>
      <w:r>
        <w:rPr>
          <w:rFonts w:hint="eastAsia" w:ascii="宋体" w:hAnsi="宋体" w:cs="宋体"/>
          <w:color w:val="auto"/>
          <w:kern w:val="0"/>
          <w:szCs w:val="21"/>
          <w:highlight w:val="none"/>
        </w:rPr>
        <w:t>分钟内投标人可以登录政府采购云平台（www.zcygov.cn），用“项目采购-开标评标”功能进行解密投标文件。</w:t>
      </w:r>
    </w:p>
    <w:p>
      <w:pPr>
        <w:spacing w:line="360" w:lineRule="auto"/>
        <w:ind w:firstLine="42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（8）投标与开标注意事项：</w:t>
      </w:r>
    </w:p>
    <w:p>
      <w:pPr>
        <w:spacing w:line="360" w:lineRule="auto"/>
        <w:ind w:firstLine="630" w:firstLineChars="3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1）本项目实行网上投标，采用电子加密投标文件。若投标人参与投标，自行承担投标一切费用。</w:t>
      </w:r>
    </w:p>
    <w:p>
      <w:pPr>
        <w:spacing w:line="360" w:lineRule="auto"/>
        <w:ind w:firstLine="630" w:firstLineChars="3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2）标前准备：各投标人应在开标前确保成为浙江政府采购网正式注册入库投标人，并完成CA数字证书办理。因未注册入库、未办理CA数字证书等原因造成无法投标或投标失败等后果由投标人自行承担。</w:t>
      </w:r>
    </w:p>
    <w:p>
      <w:pPr>
        <w:spacing w:line="360" w:lineRule="auto"/>
        <w:ind w:firstLine="630" w:firstLineChars="3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（9）投标文件制作：</w:t>
      </w:r>
    </w:p>
    <w:p>
      <w:pPr>
        <w:spacing w:line="360" w:lineRule="auto"/>
        <w:ind w:firstLine="630" w:firstLineChars="300"/>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9.1应按照本项目招标文件和政府采购云平台的要求编制、加密并递交投标文件。投标人在使用系统进行投标的过程中遇到涉及平台使用的任何问题，可致电政府采购云平台技术支持热线咨询，联系方式：4008817190。</w:t>
      </w:r>
    </w:p>
    <w:p>
      <w:pPr>
        <w:spacing w:line="360" w:lineRule="auto"/>
        <w:ind w:firstLine="630" w:firstLineChars="300"/>
        <w:contextualSpacing/>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9.2投标人通过政府采购云平台电子投标工具制作投标文件，电子投标工具请投标人自行前往浙江政府采购网下载并安装，投标文件制作具体流程详见政府采购云平台。</w:t>
      </w:r>
    </w:p>
    <w:p>
      <w:pPr>
        <w:spacing w:line="360" w:lineRule="auto"/>
        <w:ind w:firstLine="630" w:firstLineChars="3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10）因信用中国网站中“重大税收违法案件当事人名单”已调整为”重大税收违法失信主体“，但政采云系统自动生成的仍为“重大税收违法案件当事人名单”，故查询的内容以“重大税收违法失信主体”为准。</w:t>
      </w:r>
    </w:p>
    <w:p>
      <w:pPr>
        <w:pStyle w:val="4"/>
        <w:numPr>
          <w:ilvl w:val="1"/>
          <w:numId w:val="0"/>
        </w:numPr>
        <w:spacing w:before="0" w:after="0" w:line="360" w:lineRule="auto"/>
        <w:ind w:left="420" w:leftChars="200"/>
        <w:rPr>
          <w:rFonts w:asciiTheme="minorEastAsia" w:hAnsiTheme="minorEastAsia" w:eastAsiaTheme="minorEastAsia" w:cstheme="minorEastAsia"/>
          <w:bCs w:val="0"/>
          <w:snapToGrid w:val="0"/>
          <w:color w:val="auto"/>
          <w:kern w:val="0"/>
          <w:sz w:val="21"/>
          <w:szCs w:val="21"/>
          <w:highlight w:val="none"/>
        </w:rPr>
      </w:pPr>
      <w:r>
        <w:rPr>
          <w:rFonts w:hint="eastAsia" w:asciiTheme="minorEastAsia" w:hAnsiTheme="minorEastAsia" w:eastAsiaTheme="minorEastAsia" w:cstheme="minorEastAsia"/>
          <w:bCs w:val="0"/>
          <w:snapToGrid w:val="0"/>
          <w:color w:val="auto"/>
          <w:kern w:val="0"/>
          <w:sz w:val="21"/>
          <w:szCs w:val="21"/>
          <w:highlight w:val="none"/>
        </w:rPr>
        <w:t>七、对本次招标提出询问，请按以下方式联系</w:t>
      </w:r>
      <w:bookmarkEnd w:id="31"/>
      <w:bookmarkEnd w:id="32"/>
      <w:bookmarkEnd w:id="33"/>
      <w:bookmarkEnd w:id="34"/>
      <w:bookmarkEnd w:id="35"/>
      <w:bookmarkEnd w:id="36"/>
      <w:bookmarkEnd w:id="3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1.采购人信息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称：北京航空航天大学宁波创新研究院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使用中心：</w:t>
      </w:r>
      <w:r>
        <w:rPr>
          <w:rFonts w:hint="eastAsia" w:asciiTheme="minorEastAsia" w:hAnsiTheme="minorEastAsia" w:eastAsiaTheme="minorEastAsia"/>
          <w:color w:val="auto"/>
          <w:szCs w:val="21"/>
          <w:highlight w:val="none"/>
        </w:rPr>
        <w:t>增材制造高性能结构设计与评价技术创新研究中心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技术部分联系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联系人：</w:t>
      </w:r>
      <w:r>
        <w:rPr>
          <w:rFonts w:hint="eastAsia" w:asciiTheme="minorEastAsia" w:hAnsiTheme="minorEastAsia" w:eastAsiaTheme="minorEastAsia"/>
          <w:color w:val="auto"/>
          <w:szCs w:val="21"/>
          <w:highlight w:val="none"/>
        </w:rPr>
        <w:t>张老师   电  话： 0574-86001571</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商务部分联系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联系人：张老师   电  话：0574-86001572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项目联系人（询问）：张老师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项目联系方式（询问）：0574-86001572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质疑联系人：汪耀如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质疑联系方式：0574-86001551</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2.采购代理机构信息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称：宁波中基国际招标有限公司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址：宁波市天童南路666号中基大厦19楼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真：0574- 87425386</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项目联系人（询问）：高书焓、徐军、林申杰、张龙锋、陈露</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项目联系方式（询问）：0574-88090039，88090336</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质疑联系人：夏巍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质疑联系方式：0574-87425385 </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3.政府采购监督管理部门及投诉受理部门</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称：宁波市北仑区财政局政府采购管理办公室</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址：宁波市北仑区新碶长江路1166号6楼</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传  真：/</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val="en-US" w:eastAsia="zh-CN"/>
          <w14:textFill>
            <w14:solidFill>
              <w14:schemeClr w14:val="tx1"/>
            </w14:solidFill>
          </w14:textFill>
        </w:rPr>
        <w:t>严</w:t>
      </w:r>
      <w:r>
        <w:rPr>
          <w:rFonts w:hint="eastAsia" w:ascii="宋体" w:hAnsi="宋体"/>
          <w:color w:val="000000" w:themeColor="text1"/>
          <w:sz w:val="21"/>
          <w:szCs w:val="21"/>
          <w:highlight w:val="none"/>
          <w14:textFill>
            <w14:solidFill>
              <w14:schemeClr w14:val="tx1"/>
            </w14:solidFill>
          </w14:textFill>
        </w:rPr>
        <w:t>老师</w:t>
      </w:r>
    </w:p>
    <w:p>
      <w:pPr>
        <w:spacing w:line="360" w:lineRule="auto"/>
        <w:ind w:firstLine="420" w:firstLineChars="200"/>
        <w:rPr>
          <w:rFonts w:ascii="宋体" w:hAnsi="宋体"/>
          <w:color w:val="auto"/>
          <w:szCs w:val="21"/>
          <w:highlight w:val="none"/>
        </w:rPr>
      </w:pPr>
      <w:r>
        <w:rPr>
          <w:rFonts w:hint="eastAsia" w:ascii="宋体" w:hAnsi="宋体"/>
          <w:color w:val="000000" w:themeColor="text1"/>
          <w:sz w:val="21"/>
          <w:szCs w:val="21"/>
          <w:highlight w:val="none"/>
          <w14:textFill>
            <w14:solidFill>
              <w14:schemeClr w14:val="tx1"/>
            </w14:solidFill>
          </w14:textFill>
        </w:rPr>
        <w:t>监督投诉电话：0574-89383756</w:t>
      </w:r>
    </w:p>
    <w:p>
      <w:pPr>
        <w:rPr>
          <w:rFonts w:ascii="宋体" w:hAnsi="宋体"/>
          <w:color w:val="auto"/>
          <w:highlight w:val="none"/>
        </w:rPr>
      </w:pPr>
    </w:p>
    <w:p>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若对项目采购电子交易系统操作有疑问，可登录政采云（</w:t>
      </w:r>
      <w:r>
        <w:rPr>
          <w:rFonts w:ascii="宋体" w:hAnsi="宋体" w:cs="宋体"/>
          <w:color w:val="auto"/>
          <w:kern w:val="0"/>
          <w:szCs w:val="21"/>
          <w:highlight w:val="none"/>
        </w:rPr>
        <w:t>https://www.zcygov.cn/</w:t>
      </w:r>
      <w:r>
        <w:rPr>
          <w:rFonts w:hint="eastAsia" w:ascii="宋体" w:hAnsi="宋体" w:cs="宋体"/>
          <w:color w:val="auto"/>
          <w:kern w:val="0"/>
          <w:szCs w:val="21"/>
          <w:highlight w:val="none"/>
        </w:rPr>
        <w:t>），点击右侧咨询小采，获取采小蜜智能服务管家帮助，或拨打政采云服务热线</w:t>
      </w:r>
      <w:r>
        <w:rPr>
          <w:rFonts w:ascii="宋体" w:hAnsi="宋体" w:cs="宋体"/>
          <w:color w:val="auto"/>
          <w:kern w:val="0"/>
          <w:szCs w:val="21"/>
          <w:highlight w:val="none"/>
        </w:rPr>
        <w:t>400-881-7190</w:t>
      </w:r>
      <w:r>
        <w:rPr>
          <w:rFonts w:hint="eastAsia" w:ascii="宋体" w:hAnsi="宋体" w:cs="宋体"/>
          <w:color w:val="auto"/>
          <w:kern w:val="0"/>
          <w:szCs w:val="21"/>
          <w:highlight w:val="none"/>
        </w:rPr>
        <w:t>获取热线服务帮助。</w:t>
      </w:r>
    </w:p>
    <w:p>
      <w:pPr>
        <w:rPr>
          <w:rFonts w:ascii="宋体" w:hAnsi="宋体"/>
          <w:color w:val="auto"/>
          <w:highlight w:val="none"/>
        </w:rPr>
      </w:pPr>
      <w:r>
        <w:rPr>
          <w:rFonts w:ascii="宋体" w:hAnsi="宋体" w:cs="宋体"/>
          <w:color w:val="auto"/>
          <w:kern w:val="0"/>
          <w:szCs w:val="21"/>
          <w:highlight w:val="none"/>
        </w:rPr>
        <w:t>CA</w:t>
      </w:r>
      <w:r>
        <w:rPr>
          <w:rFonts w:hint="eastAsia" w:ascii="宋体" w:hAnsi="宋体" w:cs="宋体"/>
          <w:color w:val="auto"/>
          <w:kern w:val="0"/>
          <w:szCs w:val="21"/>
          <w:highlight w:val="none"/>
        </w:rPr>
        <w:t>问题联系电话（人工）：汇信</w:t>
      </w:r>
      <w:r>
        <w:rPr>
          <w:rFonts w:ascii="宋体" w:hAnsi="宋体" w:cs="宋体"/>
          <w:color w:val="auto"/>
          <w:kern w:val="0"/>
          <w:szCs w:val="21"/>
          <w:highlight w:val="none"/>
        </w:rPr>
        <w:t>CA 400-888-4636</w:t>
      </w:r>
      <w:r>
        <w:rPr>
          <w:rFonts w:hint="eastAsia" w:ascii="宋体" w:hAnsi="宋体" w:cs="宋体"/>
          <w:color w:val="auto"/>
          <w:kern w:val="0"/>
          <w:szCs w:val="21"/>
          <w:highlight w:val="none"/>
        </w:rPr>
        <w:t>；天谷</w:t>
      </w:r>
      <w:r>
        <w:rPr>
          <w:rFonts w:ascii="宋体" w:hAnsi="宋体" w:cs="宋体"/>
          <w:color w:val="auto"/>
          <w:kern w:val="0"/>
          <w:szCs w:val="21"/>
          <w:highlight w:val="none"/>
        </w:rPr>
        <w:t>CA 400-087-8198</w:t>
      </w:r>
      <w:r>
        <w:rPr>
          <w:rFonts w:hint="eastAsia" w:ascii="宋体" w:hAnsi="宋体" w:cs="宋体"/>
          <w:color w:val="auto"/>
          <w:kern w:val="0"/>
          <w:szCs w:val="21"/>
          <w:highlight w:val="none"/>
        </w:rPr>
        <w:t>。</w:t>
      </w:r>
    </w:p>
    <w:p>
      <w:pPr>
        <w:widowControl/>
        <w:jc w:val="left"/>
        <w:rPr>
          <w:rFonts w:ascii="宋体" w:hAnsi="宋体"/>
          <w:color w:val="auto"/>
          <w:highlight w:val="none"/>
        </w:rPr>
      </w:pPr>
      <w:r>
        <w:rPr>
          <w:rFonts w:ascii="宋体" w:hAnsi="宋体"/>
          <w:color w:val="auto"/>
          <w:highlight w:val="none"/>
        </w:rPr>
        <w:br w:type="page"/>
      </w:r>
    </w:p>
    <w:p>
      <w:pPr>
        <w:rPr>
          <w:rFonts w:ascii="宋体" w:hAnsi="宋体"/>
          <w:color w:val="auto"/>
          <w:highlight w:val="none"/>
        </w:rPr>
      </w:pPr>
    </w:p>
    <w:p>
      <w:pPr>
        <w:pStyle w:val="3"/>
        <w:spacing w:before="0" w:after="0" w:line="360" w:lineRule="auto"/>
        <w:jc w:val="center"/>
        <w:rPr>
          <w:rFonts w:ascii="宋体" w:hAnsi="宋体"/>
          <w:color w:val="auto"/>
          <w:sz w:val="30"/>
          <w:highlight w:val="none"/>
        </w:rPr>
      </w:pPr>
      <w:bookmarkStart w:id="38" w:name="_Toc24032"/>
      <w:bookmarkStart w:id="39" w:name="_Toc460857891"/>
      <w:bookmarkStart w:id="40" w:name="_Toc460416585"/>
      <w:r>
        <w:rPr>
          <w:rFonts w:hint="eastAsia" w:ascii="宋体" w:hAnsi="宋体"/>
          <w:color w:val="auto"/>
          <w:sz w:val="30"/>
          <w:highlight w:val="none"/>
        </w:rPr>
        <w:t>第二章  招标需求</w:t>
      </w:r>
      <w:bookmarkEnd w:id="38"/>
      <w:bookmarkEnd w:id="39"/>
      <w:bookmarkEnd w:id="40"/>
      <w:bookmarkStart w:id="41" w:name="_Toc460857894"/>
    </w:p>
    <w:p>
      <w:pPr>
        <w:spacing w:before="120" w:beforeLines="50" w:line="360" w:lineRule="auto"/>
        <w:jc w:val="center"/>
        <w:rPr>
          <w:rFonts w:ascii="宋体" w:hAnsi="宋体"/>
          <w:color w:val="auto"/>
          <w:highlight w:val="none"/>
        </w:rPr>
      </w:pPr>
      <w:r>
        <w:rPr>
          <w:rFonts w:hint="eastAsia" w:ascii="宋体" w:hAnsi="宋体"/>
          <w:b/>
          <w:bCs/>
          <w:color w:val="auto"/>
          <w:sz w:val="24"/>
          <w:highlight w:val="none"/>
        </w:rPr>
        <w:t>前附表</w:t>
      </w:r>
    </w:p>
    <w:tbl>
      <w:tblPr>
        <w:tblStyle w:val="40"/>
        <w:tblW w:w="0" w:type="auto"/>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
                <w:color w:val="auto"/>
                <w:highlight w:val="none"/>
              </w:rPr>
            </w:pPr>
            <w:r>
              <w:rPr>
                <w:rFonts w:hint="eastAsia" w:ascii="宋体" w:hAnsi="宋体"/>
                <w:b/>
                <w:color w:val="auto"/>
                <w:highlight w:val="none"/>
              </w:rPr>
              <w:t>序号</w:t>
            </w:r>
          </w:p>
        </w:tc>
        <w:tc>
          <w:tcPr>
            <w:tcW w:w="3840" w:type="dxa"/>
            <w:vAlign w:val="center"/>
          </w:tcPr>
          <w:p>
            <w:pPr>
              <w:jc w:val="center"/>
              <w:rPr>
                <w:rFonts w:ascii="宋体" w:hAnsi="宋体"/>
                <w:b/>
                <w:color w:val="auto"/>
                <w:highlight w:val="none"/>
              </w:rPr>
            </w:pPr>
            <w:r>
              <w:rPr>
                <w:rFonts w:hint="eastAsia" w:ascii="宋体" w:hAnsi="宋体"/>
                <w:b/>
                <w:color w:val="auto"/>
                <w:highlight w:val="none"/>
              </w:rPr>
              <w:t>子项</w:t>
            </w:r>
          </w:p>
        </w:tc>
        <w:tc>
          <w:tcPr>
            <w:tcW w:w="4425" w:type="dxa"/>
            <w:vAlign w:val="center"/>
          </w:tcPr>
          <w:p>
            <w:pPr>
              <w:jc w:val="center"/>
              <w:rPr>
                <w:rFonts w:ascii="宋体" w:hAnsi="宋体"/>
                <w:b/>
                <w:color w:val="auto"/>
                <w:highlight w:val="none"/>
              </w:rPr>
            </w:pPr>
            <w:r>
              <w:rPr>
                <w:rFonts w:hint="eastAsia" w:ascii="宋体" w:hAnsi="宋体"/>
                <w:b/>
                <w:color w:val="auto"/>
                <w:highlight w:val="none"/>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pPr>
              <w:spacing w:line="400" w:lineRule="exact"/>
              <w:jc w:val="center"/>
              <w:rPr>
                <w:rFonts w:ascii="宋体" w:hAnsi="宋体"/>
                <w:color w:val="auto"/>
                <w:highlight w:val="none"/>
              </w:rPr>
            </w:pPr>
            <w:r>
              <w:rPr>
                <w:rFonts w:hint="eastAsia" w:ascii="宋体" w:hAnsi="宋体"/>
                <w:color w:val="auto"/>
                <w:highlight w:val="none"/>
              </w:rPr>
              <w:t>一</w:t>
            </w:r>
          </w:p>
        </w:tc>
        <w:tc>
          <w:tcPr>
            <w:tcW w:w="3840" w:type="dxa"/>
            <w:vAlign w:val="center"/>
          </w:tcPr>
          <w:p>
            <w:pPr>
              <w:rPr>
                <w:rFonts w:ascii="宋体" w:hAnsi="宋体"/>
                <w:bCs/>
                <w:color w:val="auto"/>
                <w:highlight w:val="none"/>
              </w:rPr>
            </w:pPr>
            <w:r>
              <w:rPr>
                <w:rFonts w:hint="eastAsia" w:ascii="宋体" w:hAnsi="宋体"/>
                <w:bCs/>
                <w:color w:val="auto"/>
                <w:highlight w:val="none"/>
              </w:rPr>
              <w:t>采购标的需实现的功能或者目标</w:t>
            </w:r>
          </w:p>
        </w:tc>
        <w:tc>
          <w:tcPr>
            <w:tcW w:w="4425" w:type="dxa"/>
            <w:vAlign w:val="center"/>
          </w:tcPr>
          <w:p>
            <w:pPr>
              <w:rPr>
                <w:rFonts w:ascii="宋体" w:hAnsi="宋体"/>
                <w:color w:val="auto"/>
                <w:highlight w:val="none"/>
              </w:rPr>
            </w:pPr>
            <w:r>
              <w:rPr>
                <w:rFonts w:hint="eastAsia" w:ascii="宋体" w:hAnsi="宋体"/>
                <w:bCs/>
                <w:color w:val="auto"/>
                <w:highlight w:val="none"/>
              </w:rPr>
              <w:t>详见第二章 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spacing w:line="400" w:lineRule="exact"/>
              <w:jc w:val="center"/>
              <w:rPr>
                <w:rFonts w:ascii="宋体" w:hAnsi="宋体"/>
                <w:color w:val="auto"/>
                <w:highlight w:val="none"/>
              </w:rPr>
            </w:pPr>
          </w:p>
        </w:tc>
        <w:tc>
          <w:tcPr>
            <w:tcW w:w="3840" w:type="dxa"/>
            <w:vAlign w:val="center"/>
          </w:tcPr>
          <w:p>
            <w:pPr>
              <w:rPr>
                <w:rFonts w:ascii="宋体" w:hAnsi="宋体"/>
                <w:bCs/>
                <w:color w:val="auto"/>
                <w:highlight w:val="none"/>
              </w:rPr>
            </w:pPr>
            <w:r>
              <w:rPr>
                <w:rFonts w:hint="eastAsia" w:ascii="宋体" w:hAnsi="宋体"/>
                <w:bCs/>
                <w:color w:val="auto"/>
                <w:highlight w:val="none"/>
              </w:rPr>
              <w:t>为落实政府采购需满足的要求</w:t>
            </w:r>
          </w:p>
        </w:tc>
        <w:tc>
          <w:tcPr>
            <w:tcW w:w="4425" w:type="dxa"/>
            <w:vAlign w:val="center"/>
          </w:tcPr>
          <w:p>
            <w:pPr>
              <w:rPr>
                <w:rFonts w:ascii="宋体" w:hAnsi="宋体"/>
                <w:color w:val="auto"/>
                <w:highlight w:val="none"/>
              </w:rPr>
            </w:pPr>
            <w:r>
              <w:rPr>
                <w:rFonts w:hint="eastAsia" w:ascii="宋体" w:hAnsi="宋体"/>
                <w:bCs/>
                <w:color w:val="auto"/>
                <w:highlight w:val="none"/>
              </w:rPr>
              <w:t>详见第二章 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vAlign w:val="center"/>
          </w:tcPr>
          <w:p>
            <w:pPr>
              <w:spacing w:line="400" w:lineRule="exact"/>
              <w:jc w:val="center"/>
              <w:rPr>
                <w:rFonts w:ascii="宋体" w:hAnsi="宋体"/>
                <w:color w:val="auto"/>
                <w:highlight w:val="none"/>
              </w:rPr>
            </w:pPr>
            <w:r>
              <w:rPr>
                <w:rFonts w:hint="eastAsia" w:ascii="宋体" w:hAnsi="宋体"/>
                <w:color w:val="auto"/>
                <w:highlight w:val="none"/>
              </w:rPr>
              <w:t>二</w:t>
            </w:r>
          </w:p>
        </w:tc>
        <w:tc>
          <w:tcPr>
            <w:tcW w:w="3840" w:type="dxa"/>
            <w:vAlign w:val="center"/>
          </w:tcPr>
          <w:p>
            <w:pPr>
              <w:spacing w:line="400" w:lineRule="exact"/>
              <w:rPr>
                <w:rFonts w:ascii="宋体" w:hAnsi="宋体"/>
                <w:bCs/>
                <w:color w:val="auto"/>
                <w:highlight w:val="none"/>
              </w:rPr>
            </w:pPr>
            <w:r>
              <w:rPr>
                <w:rFonts w:hint="eastAsia" w:ascii="宋体" w:hAnsi="宋体"/>
                <w:bCs/>
                <w:color w:val="auto"/>
                <w:highlight w:val="none"/>
              </w:rPr>
              <w:t>采购标的需执行的国家相关标准、行业标准、地方标准或者其他标准规范</w:t>
            </w:r>
          </w:p>
        </w:tc>
        <w:tc>
          <w:tcPr>
            <w:tcW w:w="4425" w:type="dxa"/>
            <w:vAlign w:val="center"/>
          </w:tcPr>
          <w:p>
            <w:pPr>
              <w:spacing w:line="400" w:lineRule="exact"/>
              <w:rPr>
                <w:rFonts w:ascii="宋体" w:hAnsi="宋体"/>
                <w:color w:val="auto"/>
                <w:highlight w:val="none"/>
              </w:rPr>
            </w:pPr>
            <w:r>
              <w:rPr>
                <w:rFonts w:hint="eastAsia" w:ascii="宋体" w:hAnsi="宋体"/>
                <w:color w:val="auto"/>
                <w:highlight w:val="none"/>
              </w:rPr>
              <w:t>由采购人认可的有关国家标准、行业标准、地方标准或者其他标准规范。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0" w:type="dxa"/>
            <w:vAlign w:val="center"/>
          </w:tcPr>
          <w:p>
            <w:pPr>
              <w:spacing w:line="400" w:lineRule="exact"/>
              <w:jc w:val="center"/>
              <w:rPr>
                <w:rFonts w:ascii="宋体" w:hAnsi="宋体"/>
                <w:color w:val="auto"/>
                <w:highlight w:val="none"/>
              </w:rPr>
            </w:pPr>
            <w:r>
              <w:rPr>
                <w:rFonts w:hint="eastAsia" w:ascii="宋体" w:hAnsi="宋体"/>
                <w:color w:val="auto"/>
                <w:highlight w:val="none"/>
              </w:rPr>
              <w:t>三</w:t>
            </w:r>
          </w:p>
        </w:tc>
        <w:tc>
          <w:tcPr>
            <w:tcW w:w="3840" w:type="dxa"/>
            <w:vAlign w:val="center"/>
          </w:tcPr>
          <w:p>
            <w:pPr>
              <w:spacing w:line="400" w:lineRule="exact"/>
              <w:rPr>
                <w:rFonts w:ascii="宋体" w:hAnsi="宋体"/>
                <w:bCs/>
                <w:color w:val="auto"/>
                <w:highlight w:val="none"/>
              </w:rPr>
            </w:pPr>
            <w:r>
              <w:rPr>
                <w:rFonts w:hint="eastAsia" w:ascii="宋体" w:hAnsi="宋体"/>
                <w:bCs/>
                <w:color w:val="auto"/>
                <w:highlight w:val="none"/>
              </w:rPr>
              <w:t>采购标的需满足的质量、安全、技术规格、物理特性等要求</w:t>
            </w:r>
          </w:p>
        </w:tc>
        <w:tc>
          <w:tcPr>
            <w:tcW w:w="4425" w:type="dxa"/>
            <w:vAlign w:val="center"/>
          </w:tcPr>
          <w:p>
            <w:pPr>
              <w:spacing w:line="400" w:lineRule="exact"/>
              <w:rPr>
                <w:rFonts w:ascii="宋体" w:hAnsi="宋体"/>
                <w:color w:val="auto"/>
                <w:highlight w:val="none"/>
              </w:rPr>
            </w:pPr>
            <w:r>
              <w:rPr>
                <w:rFonts w:hint="eastAsia" w:ascii="宋体" w:hAnsi="宋体"/>
                <w:bCs/>
                <w:color w:val="auto"/>
                <w:highlight w:val="none"/>
              </w:rPr>
              <w:t>详见第二章 招标需求第二条。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Align w:val="center"/>
          </w:tcPr>
          <w:p>
            <w:pPr>
              <w:spacing w:line="400" w:lineRule="exact"/>
              <w:jc w:val="center"/>
              <w:rPr>
                <w:rFonts w:ascii="宋体" w:hAnsi="宋体"/>
                <w:bCs/>
                <w:color w:val="auto"/>
                <w:highlight w:val="none"/>
              </w:rPr>
            </w:pPr>
            <w:r>
              <w:rPr>
                <w:rFonts w:hint="eastAsia" w:ascii="宋体" w:hAnsi="宋体"/>
                <w:bCs/>
                <w:color w:val="auto"/>
                <w:highlight w:val="none"/>
              </w:rPr>
              <w:t>四</w:t>
            </w:r>
          </w:p>
        </w:tc>
        <w:tc>
          <w:tcPr>
            <w:tcW w:w="3840" w:type="dxa"/>
            <w:vAlign w:val="center"/>
          </w:tcPr>
          <w:p>
            <w:pPr>
              <w:spacing w:line="400" w:lineRule="exact"/>
              <w:rPr>
                <w:rFonts w:ascii="宋体" w:hAnsi="宋体"/>
                <w:bCs/>
                <w:color w:val="auto"/>
                <w:highlight w:val="none"/>
              </w:rPr>
            </w:pPr>
            <w:r>
              <w:rPr>
                <w:rFonts w:hint="eastAsia" w:ascii="宋体" w:hAnsi="宋体"/>
                <w:bCs/>
                <w:color w:val="auto"/>
                <w:highlight w:val="none"/>
              </w:rPr>
              <w:t>采购标的的数量、采购项目交付或者实施的时间和地点</w:t>
            </w:r>
          </w:p>
        </w:tc>
        <w:tc>
          <w:tcPr>
            <w:tcW w:w="4425" w:type="dxa"/>
            <w:vAlign w:val="center"/>
          </w:tcPr>
          <w:p>
            <w:pPr>
              <w:spacing w:line="400" w:lineRule="exact"/>
              <w:rPr>
                <w:rFonts w:ascii="宋体" w:hAnsi="宋体"/>
                <w:color w:val="auto"/>
                <w:highlight w:val="none"/>
              </w:rPr>
            </w:pPr>
            <w:r>
              <w:rPr>
                <w:rFonts w:hint="eastAsia" w:ascii="宋体" w:hAnsi="宋体"/>
                <w:bCs/>
                <w:color w:val="auto"/>
                <w:highlight w:val="none"/>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spacing w:line="400" w:lineRule="exact"/>
              <w:jc w:val="center"/>
              <w:rPr>
                <w:rFonts w:ascii="宋体" w:hAnsi="宋体"/>
                <w:bCs/>
                <w:color w:val="auto"/>
                <w:highlight w:val="none"/>
              </w:rPr>
            </w:pPr>
            <w:r>
              <w:rPr>
                <w:rFonts w:hint="eastAsia" w:ascii="宋体" w:hAnsi="宋体"/>
                <w:bCs/>
                <w:color w:val="auto"/>
                <w:highlight w:val="none"/>
              </w:rPr>
              <w:t>五</w:t>
            </w:r>
          </w:p>
        </w:tc>
        <w:tc>
          <w:tcPr>
            <w:tcW w:w="3840" w:type="dxa"/>
            <w:vAlign w:val="center"/>
          </w:tcPr>
          <w:p>
            <w:pPr>
              <w:spacing w:line="400" w:lineRule="exact"/>
              <w:rPr>
                <w:rFonts w:ascii="宋体" w:hAnsi="宋体"/>
                <w:bCs/>
                <w:color w:val="auto"/>
                <w:highlight w:val="none"/>
              </w:rPr>
            </w:pPr>
            <w:r>
              <w:rPr>
                <w:rFonts w:hint="eastAsia" w:ascii="宋体" w:hAnsi="宋体"/>
                <w:bCs/>
                <w:color w:val="auto"/>
                <w:highlight w:val="none"/>
              </w:rPr>
              <w:t>采购标的需满足的服务标准、期限、效率等要求</w:t>
            </w:r>
          </w:p>
        </w:tc>
        <w:tc>
          <w:tcPr>
            <w:tcW w:w="4425" w:type="dxa"/>
            <w:vAlign w:val="center"/>
          </w:tcPr>
          <w:p>
            <w:pPr>
              <w:spacing w:line="400" w:lineRule="exact"/>
              <w:rPr>
                <w:rFonts w:ascii="宋体" w:hAnsi="宋体"/>
                <w:color w:val="auto"/>
                <w:highlight w:val="none"/>
              </w:rPr>
            </w:pPr>
            <w:r>
              <w:rPr>
                <w:rFonts w:hint="eastAsia" w:ascii="宋体" w:hAnsi="宋体"/>
                <w:bCs/>
                <w:color w:val="auto"/>
                <w:highlight w:val="none"/>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spacing w:line="400" w:lineRule="exact"/>
              <w:jc w:val="center"/>
              <w:rPr>
                <w:rFonts w:ascii="宋体" w:hAnsi="宋体"/>
                <w:bCs/>
                <w:color w:val="auto"/>
                <w:highlight w:val="none"/>
              </w:rPr>
            </w:pPr>
            <w:r>
              <w:rPr>
                <w:rFonts w:hint="eastAsia" w:ascii="宋体" w:hAnsi="宋体"/>
                <w:bCs/>
                <w:color w:val="auto"/>
                <w:highlight w:val="none"/>
              </w:rPr>
              <w:t>六</w:t>
            </w:r>
          </w:p>
        </w:tc>
        <w:tc>
          <w:tcPr>
            <w:tcW w:w="3840" w:type="dxa"/>
            <w:vAlign w:val="center"/>
          </w:tcPr>
          <w:p>
            <w:pPr>
              <w:spacing w:line="400" w:lineRule="exact"/>
              <w:rPr>
                <w:rFonts w:ascii="宋体" w:hAnsi="宋体"/>
                <w:bCs/>
                <w:color w:val="auto"/>
                <w:highlight w:val="none"/>
              </w:rPr>
            </w:pPr>
            <w:r>
              <w:rPr>
                <w:rFonts w:hint="eastAsia" w:ascii="宋体" w:hAnsi="宋体"/>
                <w:bCs/>
                <w:color w:val="auto"/>
                <w:highlight w:val="none"/>
              </w:rPr>
              <w:t>采购标的的验收标准</w:t>
            </w:r>
          </w:p>
        </w:tc>
        <w:tc>
          <w:tcPr>
            <w:tcW w:w="4425" w:type="dxa"/>
            <w:vAlign w:val="center"/>
          </w:tcPr>
          <w:p>
            <w:pPr>
              <w:spacing w:line="400" w:lineRule="exact"/>
              <w:rPr>
                <w:rFonts w:ascii="宋体" w:hAnsi="宋体"/>
                <w:bCs/>
                <w:color w:val="auto"/>
                <w:szCs w:val="21"/>
                <w:highlight w:val="none"/>
              </w:rPr>
            </w:pPr>
            <w:r>
              <w:rPr>
                <w:rFonts w:hint="eastAsia" w:ascii="宋体" w:hAnsi="宋体"/>
                <w:bCs/>
                <w:color w:val="auto"/>
                <w:szCs w:val="21"/>
                <w:highlight w:val="none"/>
              </w:rPr>
              <w:t>1）采购人根据采购文件和</w:t>
            </w:r>
            <w:r>
              <w:rPr>
                <w:rFonts w:ascii="宋体" w:hAnsi="宋体"/>
                <w:bCs/>
                <w:color w:val="auto"/>
                <w:szCs w:val="21"/>
                <w:highlight w:val="none"/>
              </w:rPr>
              <w:t>投标人</w:t>
            </w:r>
            <w:r>
              <w:rPr>
                <w:rFonts w:hint="eastAsia" w:ascii="宋体" w:hAnsi="宋体"/>
                <w:bCs/>
                <w:color w:val="auto"/>
                <w:szCs w:val="21"/>
                <w:highlight w:val="none"/>
              </w:rPr>
              <w:t>提供的投标文件及</w:t>
            </w:r>
            <w:r>
              <w:rPr>
                <w:rFonts w:ascii="宋体" w:hAnsi="宋体"/>
                <w:bCs/>
                <w:color w:val="auto"/>
                <w:szCs w:val="21"/>
                <w:highlight w:val="none"/>
              </w:rPr>
              <w:t>投标人</w:t>
            </w:r>
            <w:r>
              <w:rPr>
                <w:rFonts w:hint="eastAsia" w:ascii="宋体" w:hAnsi="宋体"/>
                <w:bCs/>
                <w:color w:val="auto"/>
                <w:szCs w:val="21"/>
                <w:highlight w:val="none"/>
              </w:rPr>
              <w:t>和采购人签订的政府采购合同为标准进行验收。</w:t>
            </w:r>
          </w:p>
          <w:p>
            <w:pPr>
              <w:spacing w:line="400" w:lineRule="exact"/>
              <w:rPr>
                <w:rFonts w:ascii="宋体" w:hAnsi="宋体"/>
                <w:color w:val="auto"/>
                <w:highlight w:val="none"/>
              </w:rPr>
            </w:pPr>
            <w:r>
              <w:rPr>
                <w:rFonts w:hint="eastAsia" w:ascii="宋体" w:hAnsi="宋体"/>
                <w:color w:val="auto"/>
                <w:highlight w:val="none"/>
              </w:rPr>
              <w:t>2）项目安装、调试并完成初步验收后，应经过六个月的试运行，试运行后，由采购人进行最终验收。系统验收合格的条件必须至少满足以下要求：已提供了合同要求的全部设备和资料；性能测试和试运行验收时出现的问题已被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auto"/>
                <w:highlight w:val="none"/>
              </w:rPr>
            </w:pPr>
            <w:r>
              <w:rPr>
                <w:rFonts w:hint="eastAsia" w:ascii="宋体" w:hAnsi="宋体"/>
                <w:bCs/>
                <w:color w:val="auto"/>
                <w:highlight w:val="none"/>
              </w:rPr>
              <w:t>七</w:t>
            </w:r>
          </w:p>
        </w:tc>
        <w:tc>
          <w:tcPr>
            <w:tcW w:w="3840" w:type="dxa"/>
            <w:vAlign w:val="center"/>
          </w:tcPr>
          <w:p>
            <w:pPr>
              <w:rPr>
                <w:rFonts w:ascii="宋体" w:hAnsi="宋体"/>
                <w:bCs/>
                <w:color w:val="auto"/>
                <w:highlight w:val="none"/>
              </w:rPr>
            </w:pPr>
            <w:r>
              <w:rPr>
                <w:rFonts w:hint="eastAsia" w:ascii="宋体" w:hAnsi="宋体"/>
                <w:bCs/>
                <w:color w:val="auto"/>
                <w:highlight w:val="none"/>
              </w:rPr>
              <w:t>采购标的的其他技术、服务等要求</w:t>
            </w:r>
          </w:p>
        </w:tc>
        <w:tc>
          <w:tcPr>
            <w:tcW w:w="4425" w:type="dxa"/>
            <w:vAlign w:val="center"/>
          </w:tcPr>
          <w:p>
            <w:pPr>
              <w:rPr>
                <w:rFonts w:ascii="宋体" w:hAnsi="宋体"/>
                <w:bCs/>
                <w:color w:val="auto"/>
                <w:highlight w:val="none"/>
              </w:rPr>
            </w:pPr>
            <w:r>
              <w:rPr>
                <w:rFonts w:hint="eastAsia" w:ascii="宋体" w:hAnsi="宋体"/>
                <w:bCs/>
                <w:color w:val="auto"/>
                <w:highlight w:val="none"/>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auto"/>
                <w:highlight w:val="none"/>
              </w:rPr>
            </w:pPr>
            <w:r>
              <w:rPr>
                <w:rFonts w:hint="eastAsia" w:ascii="宋体" w:hAnsi="宋体"/>
                <w:bCs/>
                <w:color w:val="auto"/>
                <w:highlight w:val="none"/>
              </w:rPr>
              <w:t>八</w:t>
            </w:r>
          </w:p>
        </w:tc>
        <w:tc>
          <w:tcPr>
            <w:tcW w:w="3840" w:type="dxa"/>
            <w:vAlign w:val="center"/>
          </w:tcPr>
          <w:p>
            <w:pPr>
              <w:rPr>
                <w:rFonts w:ascii="宋体" w:hAnsi="宋体"/>
                <w:bCs/>
                <w:color w:val="auto"/>
                <w:highlight w:val="none"/>
              </w:rPr>
            </w:pPr>
            <w:r>
              <w:rPr>
                <w:rFonts w:hint="eastAsia" w:ascii="宋体" w:hAnsi="宋体"/>
                <w:bCs/>
                <w:color w:val="auto"/>
                <w:highlight w:val="none"/>
              </w:rPr>
              <w:t>核心产品</w:t>
            </w:r>
          </w:p>
        </w:tc>
        <w:tc>
          <w:tcPr>
            <w:tcW w:w="4425" w:type="dxa"/>
            <w:vAlign w:val="center"/>
          </w:tcPr>
          <w:p>
            <w:pPr>
              <w:rPr>
                <w:rFonts w:ascii="宋体" w:hAnsi="宋体"/>
                <w:bCs/>
                <w:color w:val="auto"/>
                <w:highlight w:val="none"/>
              </w:rPr>
            </w:pPr>
            <w:r>
              <w:rPr>
                <w:rFonts w:hint="eastAsia" w:ascii="宋体" w:hAnsi="宋体"/>
                <w:bCs/>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0" w:type="dxa"/>
            <w:vAlign w:val="center"/>
          </w:tcPr>
          <w:p>
            <w:pPr>
              <w:jc w:val="center"/>
              <w:rPr>
                <w:rFonts w:ascii="宋体" w:hAnsi="宋体"/>
                <w:bCs/>
                <w:color w:val="auto"/>
                <w:highlight w:val="none"/>
              </w:rPr>
            </w:pPr>
            <w:r>
              <w:rPr>
                <w:rFonts w:hint="eastAsia" w:ascii="宋体" w:hAnsi="宋体"/>
                <w:bCs/>
                <w:color w:val="auto"/>
                <w:highlight w:val="none"/>
              </w:rPr>
              <w:t>九</w:t>
            </w:r>
          </w:p>
        </w:tc>
        <w:tc>
          <w:tcPr>
            <w:tcW w:w="3840" w:type="dxa"/>
            <w:vAlign w:val="center"/>
          </w:tcPr>
          <w:p>
            <w:pPr>
              <w:rPr>
                <w:rFonts w:ascii="宋体" w:hAnsi="宋体"/>
                <w:bCs/>
                <w:color w:val="auto"/>
                <w:highlight w:val="none"/>
              </w:rPr>
            </w:pPr>
            <w:r>
              <w:rPr>
                <w:rFonts w:hint="eastAsia" w:ascii="宋体" w:hAnsi="宋体"/>
                <w:color w:val="auto"/>
                <w:highlight w:val="none"/>
              </w:rPr>
              <w:t>现场踏勘</w:t>
            </w:r>
          </w:p>
        </w:tc>
        <w:tc>
          <w:tcPr>
            <w:tcW w:w="4425" w:type="dxa"/>
            <w:vAlign w:val="center"/>
          </w:tcPr>
          <w:p>
            <w:pPr>
              <w:rPr>
                <w:rFonts w:ascii="宋体" w:hAnsi="宋体"/>
                <w:bCs/>
                <w:color w:val="auto"/>
                <w:highlight w:val="none"/>
              </w:rPr>
            </w:pPr>
            <w:r>
              <w:rPr>
                <w:rFonts w:hint="eastAsia" w:ascii="宋体" w:hAnsi="宋体"/>
                <w:bCs/>
                <w:color w:val="auto"/>
                <w:highlight w:val="none"/>
              </w:rPr>
              <w:t>由</w:t>
            </w:r>
            <w:r>
              <w:rPr>
                <w:rFonts w:ascii="宋体" w:hAnsi="宋体"/>
                <w:bCs/>
                <w:color w:val="auto"/>
                <w:highlight w:val="none"/>
              </w:rPr>
              <w:t>投标人</w:t>
            </w:r>
            <w:r>
              <w:rPr>
                <w:rFonts w:hint="eastAsia" w:ascii="宋体" w:hAnsi="宋体"/>
                <w:bCs/>
                <w:color w:val="auto"/>
                <w:highlight w:val="none"/>
              </w:rPr>
              <w:t>自行前往现场进行踏勘</w:t>
            </w:r>
            <w:r>
              <w:rPr>
                <w:rFonts w:hint="eastAsia" w:ascii="宋体" w:hAnsi="宋体"/>
                <w:color w:val="auto"/>
                <w:szCs w:val="21"/>
                <w:highlight w:val="none"/>
              </w:rPr>
              <w:t>，遵守现场安全和防疫管理要求。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auto"/>
                <w:highlight w:val="none"/>
              </w:rPr>
            </w:pPr>
            <w:r>
              <w:rPr>
                <w:rFonts w:hint="eastAsia" w:ascii="宋体" w:hAnsi="宋体"/>
                <w:bCs/>
                <w:color w:val="auto"/>
                <w:highlight w:val="none"/>
              </w:rPr>
              <w:t>十</w:t>
            </w:r>
          </w:p>
        </w:tc>
        <w:tc>
          <w:tcPr>
            <w:tcW w:w="3840" w:type="dxa"/>
            <w:vAlign w:val="center"/>
          </w:tcPr>
          <w:p>
            <w:pPr>
              <w:rPr>
                <w:rFonts w:ascii="宋体" w:hAnsi="宋体"/>
                <w:color w:val="auto"/>
                <w:highlight w:val="none"/>
              </w:rPr>
            </w:pPr>
            <w:r>
              <w:rPr>
                <w:rFonts w:hint="eastAsia" w:ascii="宋体" w:hAnsi="宋体"/>
                <w:color w:val="auto"/>
                <w:highlight w:val="none"/>
              </w:rPr>
              <w:t>样品要求</w:t>
            </w:r>
          </w:p>
        </w:tc>
        <w:tc>
          <w:tcPr>
            <w:tcW w:w="4425" w:type="dxa"/>
            <w:vAlign w:val="center"/>
          </w:tcPr>
          <w:p>
            <w:pPr>
              <w:rPr>
                <w:rFonts w:ascii="宋体" w:hAnsi="宋体"/>
                <w:bCs/>
                <w:color w:val="auto"/>
                <w:highlight w:val="none"/>
              </w:rPr>
            </w:pPr>
            <w:r>
              <w:rPr>
                <w:rFonts w:hint="eastAsia" w:ascii="宋体" w:hAnsi="宋体"/>
                <w:bCs/>
                <w:color w:val="auto"/>
                <w:highlight w:val="none"/>
              </w:rPr>
              <w:t>无要求。</w:t>
            </w:r>
          </w:p>
        </w:tc>
      </w:tr>
    </w:tbl>
    <w:p>
      <w:pPr>
        <w:spacing w:before="120" w:beforeLines="50" w:line="360" w:lineRule="auto"/>
        <w:rPr>
          <w:rFonts w:ascii="宋体" w:hAnsi="宋体"/>
          <w:b/>
          <w:color w:val="auto"/>
          <w:highlight w:val="none"/>
        </w:rPr>
      </w:pPr>
    </w:p>
    <w:p>
      <w:pPr>
        <w:spacing w:before="120" w:beforeLines="50" w:line="360" w:lineRule="auto"/>
        <w:rPr>
          <w:rFonts w:ascii="宋体" w:hAnsi="宋体"/>
          <w:b/>
          <w:color w:val="auto"/>
          <w:highlight w:val="none"/>
        </w:rPr>
      </w:pPr>
      <w:r>
        <w:rPr>
          <w:rFonts w:ascii="宋体" w:hAnsi="宋体"/>
          <w:b/>
          <w:color w:val="auto"/>
          <w:highlight w:val="none"/>
        </w:rPr>
        <w:br w:type="page"/>
      </w:r>
      <w:r>
        <w:rPr>
          <w:rFonts w:hint="eastAsia" w:ascii="宋体" w:hAnsi="宋体"/>
          <w:b/>
          <w:color w:val="auto"/>
          <w:highlight w:val="none"/>
        </w:rPr>
        <w:t>一、采购标的需实现的功能或者目标、以及为落实政府采购需满足的要求</w:t>
      </w:r>
    </w:p>
    <w:p>
      <w:pPr>
        <w:spacing w:line="360" w:lineRule="auto"/>
        <w:ind w:firstLine="420"/>
        <w:rPr>
          <w:rFonts w:ascii="宋体" w:hAnsi="宋体"/>
          <w:color w:val="auto"/>
          <w:highlight w:val="none"/>
        </w:rPr>
      </w:pPr>
      <w:r>
        <w:rPr>
          <w:rFonts w:hint="eastAsia" w:ascii="宋体" w:hAnsi="宋体"/>
          <w:color w:val="auto"/>
          <w:highlight w:val="none"/>
        </w:rPr>
        <w:t>本次采购为</w:t>
      </w:r>
      <w:r>
        <w:rPr>
          <w:rFonts w:hint="eastAsia" w:ascii="宋体" w:hAnsi="宋体"/>
          <w:color w:val="auto"/>
          <w:highlight w:val="none"/>
          <w:lang w:eastAsia="zh-CN"/>
        </w:rPr>
        <w:t>北京航空航天大学宁波创新研究院等离子弧焊机采购项目（重发）</w:t>
      </w:r>
      <w:r>
        <w:rPr>
          <w:rFonts w:hint="eastAsia" w:ascii="宋体" w:hAnsi="宋体"/>
          <w:color w:val="auto"/>
          <w:highlight w:val="none"/>
        </w:rPr>
        <w:t>，完成后可满足</w:t>
      </w:r>
      <w:r>
        <w:rPr>
          <w:rFonts w:ascii="宋体" w:hAnsi="宋体"/>
          <w:color w:val="auto"/>
          <w:szCs w:val="21"/>
          <w:highlight w:val="none"/>
        </w:rPr>
        <w:t>宁波创新研究院</w:t>
      </w:r>
      <w:r>
        <w:rPr>
          <w:rFonts w:hint="eastAsia" w:ascii="宋体" w:hAnsi="宋体"/>
          <w:color w:val="auto"/>
          <w:szCs w:val="21"/>
          <w:highlight w:val="none"/>
        </w:rPr>
        <w:t>教学和科研的</w:t>
      </w:r>
      <w:r>
        <w:rPr>
          <w:rFonts w:hint="eastAsia" w:ascii="宋体" w:hAnsi="宋体"/>
          <w:color w:val="auto"/>
          <w:highlight w:val="none"/>
        </w:rPr>
        <w:t>使用要求。</w:t>
      </w:r>
    </w:p>
    <w:p>
      <w:pPr>
        <w:spacing w:line="360" w:lineRule="auto"/>
        <w:ind w:firstLine="420"/>
        <w:rPr>
          <w:rFonts w:ascii="宋体" w:hAnsi="宋体"/>
          <w:b/>
          <w:color w:val="auto"/>
          <w:szCs w:val="28"/>
          <w:highlight w:val="none"/>
        </w:rPr>
      </w:pPr>
      <w:r>
        <w:rPr>
          <w:rFonts w:hint="eastAsia" w:ascii="宋体" w:hAnsi="宋体"/>
          <w:color w:val="auto"/>
          <w:highlight w:val="none"/>
        </w:rPr>
        <w:t>落实政府采购需满足的要求详见第一章采购公告。</w:t>
      </w:r>
    </w:p>
    <w:p>
      <w:pPr>
        <w:spacing w:before="120" w:beforeLines="50" w:line="360" w:lineRule="auto"/>
        <w:rPr>
          <w:rFonts w:ascii="宋体" w:hAnsi="宋体"/>
          <w:b/>
          <w:color w:val="auto"/>
          <w:szCs w:val="28"/>
          <w:highlight w:val="none"/>
        </w:rPr>
      </w:pPr>
      <w:r>
        <w:rPr>
          <w:rFonts w:hint="eastAsia" w:ascii="宋体" w:hAnsi="宋体"/>
          <w:b/>
          <w:color w:val="auto"/>
          <w:szCs w:val="28"/>
          <w:highlight w:val="none"/>
        </w:rPr>
        <w:t>二、采购标的需满足的质量、安全、技术规格、物理特性等要求</w:t>
      </w:r>
    </w:p>
    <w:bookmarkEnd w:id="41"/>
    <w:p>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（一）招标产品清单</w:t>
      </w:r>
    </w:p>
    <w:tbl>
      <w:tblPr>
        <w:tblStyle w:val="40"/>
        <w:tblW w:w="92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2897"/>
        <w:gridCol w:w="1260"/>
        <w:gridCol w:w="3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序号</w:t>
            </w:r>
          </w:p>
        </w:tc>
        <w:tc>
          <w:tcPr>
            <w:tcW w:w="2897" w:type="dxa"/>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货物名称</w:t>
            </w:r>
          </w:p>
        </w:tc>
        <w:tc>
          <w:tcPr>
            <w:tcW w:w="1260" w:type="dxa"/>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数量</w:t>
            </w:r>
          </w:p>
        </w:tc>
        <w:tc>
          <w:tcPr>
            <w:tcW w:w="3989" w:type="dxa"/>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05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897" w:type="dxa"/>
            <w:vAlign w:val="center"/>
          </w:tcPr>
          <w:p>
            <w:pPr>
              <w:jc w:val="center"/>
              <w:rPr>
                <w:rFonts w:ascii="宋体" w:hAnsi="宋体"/>
                <w:color w:val="auto"/>
                <w:szCs w:val="21"/>
                <w:highlight w:val="none"/>
              </w:rPr>
            </w:pPr>
            <w:r>
              <w:rPr>
                <w:rFonts w:hint="eastAsia" w:ascii="宋体" w:hAnsi="宋体"/>
                <w:color w:val="auto"/>
                <w:szCs w:val="21"/>
                <w:highlight w:val="none"/>
              </w:rPr>
              <w:t>等离子弧焊机</w:t>
            </w:r>
          </w:p>
        </w:tc>
        <w:tc>
          <w:tcPr>
            <w:tcW w:w="1260" w:type="dxa"/>
            <w:vAlign w:val="center"/>
          </w:tcPr>
          <w:p>
            <w:pPr>
              <w:jc w:val="center"/>
              <w:rPr>
                <w:rFonts w:ascii="宋体" w:hAnsi="宋体"/>
                <w:color w:val="auto"/>
                <w:szCs w:val="21"/>
                <w:highlight w:val="none"/>
              </w:rPr>
            </w:pPr>
            <w:r>
              <w:rPr>
                <w:rFonts w:hint="eastAsia" w:ascii="宋体" w:hAnsi="宋体"/>
                <w:color w:val="auto"/>
                <w:szCs w:val="21"/>
                <w:highlight w:val="none"/>
              </w:rPr>
              <w:t>1套</w:t>
            </w:r>
          </w:p>
        </w:tc>
        <w:tc>
          <w:tcPr>
            <w:tcW w:w="3989" w:type="dxa"/>
            <w:vAlign w:val="center"/>
          </w:tcPr>
          <w:p>
            <w:pPr>
              <w:jc w:val="center"/>
              <w:rPr>
                <w:rFonts w:ascii="宋体" w:hAnsi="宋体"/>
                <w:color w:val="auto"/>
                <w:szCs w:val="21"/>
                <w:highlight w:val="none"/>
              </w:rPr>
            </w:pPr>
            <w:r>
              <w:rPr>
                <w:rFonts w:hint="eastAsia" w:ascii="宋体" w:hAnsi="宋体"/>
                <w:color w:val="auto"/>
                <w:szCs w:val="21"/>
                <w:highlight w:val="none"/>
              </w:rPr>
              <w:t>*本项目产品不</w:t>
            </w:r>
            <w:r>
              <w:rPr>
                <w:rFonts w:ascii="宋体" w:hAnsi="宋体"/>
                <w:color w:val="auto"/>
                <w:szCs w:val="21"/>
                <w:highlight w:val="none"/>
              </w:rPr>
              <w:t>允许采购</w:t>
            </w:r>
            <w:r>
              <w:rPr>
                <w:rFonts w:hint="eastAsia" w:ascii="宋体" w:hAnsi="宋体"/>
                <w:color w:val="auto"/>
                <w:szCs w:val="21"/>
                <w:highlight w:val="none"/>
              </w:rPr>
              <w:t>进口产品</w:t>
            </w:r>
          </w:p>
        </w:tc>
      </w:tr>
    </w:tbl>
    <w:p>
      <w:pPr>
        <w:jc w:val="center"/>
        <w:rPr>
          <w:rFonts w:ascii="宋体" w:hAnsi="宋体"/>
          <w:b/>
          <w:bCs/>
          <w:color w:val="auto"/>
          <w:sz w:val="24"/>
          <w:szCs w:val="21"/>
          <w:highlight w:val="none"/>
        </w:rPr>
      </w:pPr>
      <w:bookmarkStart w:id="42" w:name="_Toc146809079"/>
      <w:bookmarkStart w:id="43" w:name="_Toc151648181"/>
      <w:bookmarkStart w:id="44" w:name="_Toc326255597"/>
      <w:bookmarkStart w:id="45" w:name="_Toc434566530"/>
      <w:bookmarkStart w:id="46" w:name="_Toc325971125"/>
    </w:p>
    <w:bookmarkEnd w:id="42"/>
    <w:bookmarkEnd w:id="43"/>
    <w:bookmarkEnd w:id="44"/>
    <w:bookmarkEnd w:id="45"/>
    <w:bookmarkEnd w:id="46"/>
    <w:p>
      <w:pPr>
        <w:numPr>
          <w:ilvl w:val="0"/>
          <w:numId w:val="10"/>
        </w:numPr>
        <w:snapToGrid w:val="0"/>
        <w:spacing w:line="360" w:lineRule="auto"/>
        <w:jc w:val="center"/>
        <w:rPr>
          <w:rFonts w:ascii="宋体" w:hAnsi="宋体"/>
          <w:b/>
          <w:color w:val="auto"/>
          <w:highlight w:val="none"/>
        </w:rPr>
      </w:pPr>
      <w:r>
        <w:rPr>
          <w:rFonts w:hint="eastAsia" w:ascii="宋体" w:hAnsi="宋体"/>
          <w:b/>
          <w:color w:val="auto"/>
          <w:highlight w:val="none"/>
        </w:rPr>
        <w:t>表B货物的技术规格要求</w:t>
      </w:r>
    </w:p>
    <w:tbl>
      <w:tblPr>
        <w:tblStyle w:val="40"/>
        <w:tblW w:w="94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149"/>
        <w:gridCol w:w="12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64" w:type="dxa"/>
            <w:tcBorders>
              <w:tl2br w:val="nil"/>
              <w:tr2bl w:val="nil"/>
            </w:tcBorders>
            <w:vAlign w:val="center"/>
          </w:tcPr>
          <w:p>
            <w:pPr>
              <w:contextualSpacing/>
              <w:jc w:val="center"/>
              <w:rPr>
                <w:rFonts w:asciiTheme="minorEastAsia" w:hAnsiTheme="minorEastAsia" w:eastAsiaTheme="minorEastAsia" w:cstheme="minorEastAsia"/>
                <w:b/>
                <w:bCs/>
                <w:color w:val="auto"/>
                <w:szCs w:val="21"/>
                <w:highlight w:val="none"/>
              </w:rPr>
            </w:pPr>
            <w:bookmarkStart w:id="47" w:name="_Toc460416594"/>
            <w:bookmarkStart w:id="48" w:name="_Toc460857895"/>
            <w:r>
              <w:rPr>
                <w:rFonts w:hint="eastAsia" w:asciiTheme="minorEastAsia" w:hAnsiTheme="minorEastAsia" w:eastAsiaTheme="minorEastAsia" w:cstheme="minorEastAsia"/>
                <w:b/>
                <w:color w:val="auto"/>
                <w:kern w:val="1"/>
                <w:szCs w:val="21"/>
                <w:highlight w:val="none"/>
              </w:rPr>
              <w:t>序号</w:t>
            </w:r>
          </w:p>
        </w:tc>
        <w:tc>
          <w:tcPr>
            <w:tcW w:w="7149" w:type="dxa"/>
            <w:tcBorders>
              <w:tl2br w:val="nil"/>
              <w:tr2bl w:val="nil"/>
            </w:tcBorders>
            <w:vAlign w:val="center"/>
          </w:tcPr>
          <w:p>
            <w:pPr>
              <w:contextualSpacing/>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1"/>
                <w:szCs w:val="21"/>
                <w:highlight w:val="none"/>
              </w:rPr>
              <w:t>招标技术要求</w:t>
            </w:r>
          </w:p>
        </w:tc>
        <w:tc>
          <w:tcPr>
            <w:tcW w:w="1282" w:type="dxa"/>
            <w:tcBorders>
              <w:tl2br w:val="nil"/>
              <w:tr2bl w:val="nil"/>
            </w:tcBorders>
            <w:vAlign w:val="center"/>
          </w:tcPr>
          <w:p>
            <w:pPr>
              <w:contextualSpacing/>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1"/>
                <w:szCs w:val="21"/>
                <w:highlight w:val="none"/>
              </w:rPr>
              <w:t>投标人响应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w:t>
            </w:r>
          </w:p>
        </w:tc>
        <w:tc>
          <w:tcPr>
            <w:tcW w:w="7149" w:type="dxa"/>
            <w:tcBorders>
              <w:tl2br w:val="nil"/>
              <w:tr2bl w:val="nil"/>
            </w:tcBorders>
            <w:vAlign w:val="center"/>
          </w:tcPr>
          <w:p>
            <w:pPr>
              <w:spacing w:line="40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等离子弧焊机系统具备粉末等离子喷焊（PTA）、焊丝等离子堆焊、焊丝气体保护焊（MIG）功能，可使用各类实芯/药芯焊丝（直径∅0.8-2.8mm）、球形合金粉末以及大尺寸颗粒状（对角线长度3-5mm）填充材料</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7149" w:type="dxa"/>
            <w:tcBorders>
              <w:tl2br w:val="nil"/>
              <w:tr2bl w:val="nil"/>
            </w:tcBorders>
            <w:vAlign w:val="center"/>
          </w:tcPr>
          <w:p>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离子弧焊机系统配置的转移弧电源为脉冲型电源，可以工作在直流以及脉冲状态。脉冲状态下工作时，峰值电流、基值电流、脉冲宽度以及脉冲频率均在焊接参数控制系统触摸屏上以数字方式设置。非转移弧、转移弧真实工作电流及电压可在控制柜仪表上单独显示。</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等离子弧焊机系统配置的气体保护焊电源为脉冲型电源，可以工作在直流以及脉冲状态。焊机工作电流以及工作电压均在焊接参数控制系统触摸屏上以数字方式设置，在控制柜仪表上独立显示。</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等离子转移弧电源以及气体保护焊电源，不允许采用自制焊机。推荐品牌：松下、OTC、林肯、米勒、福尼斯、SAF。</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主要焊接参数（如摆动宽度、摆动速度、工作电流、送粉量、送丝速度等）可以按回转圆弧角度、直线焊道长度或数控运动轨迹分多段（不小于10段）独立设定，在焊接过程中可随时调节。</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tcBorders>
              <w:tl2br w:val="nil"/>
              <w:tr2bl w:val="nil"/>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7149" w:type="dxa"/>
            <w:tcBorders>
              <w:tl2br w:val="nil"/>
              <w:tr2bl w:val="nil"/>
            </w:tcBorders>
            <w:vAlign w:val="center"/>
          </w:tcPr>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焊接参数控制系统应具备控制2台送粉器和1台送丝机同时工作的能力。</w:t>
            </w:r>
          </w:p>
        </w:tc>
        <w:tc>
          <w:tcPr>
            <w:tcW w:w="1282" w:type="dxa"/>
            <w:tcBorders>
              <w:tl2br w:val="nil"/>
              <w:tr2bl w:val="nil"/>
            </w:tcBorders>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焊枪及工件运动控制系统由主控PLC、专用焊接数控系统和相应的交流伺服电机驱动器构成，焊枪及工件运动可选择由PLC或数控系统控制，简单轨迹（圆、直线）无需在数控系统上编程。焊接数控系统至少为四轴三联动专用喷焊数控系统，可对焊枪的X/Y/Z轴移动以及工件回转C轴运动进行编程，且每一段运动轨迹的主要焊接参数（如焊接电流、送粉/送丝速度、摆动速度、摆动宽度等）也可随轨迹同步编程变化。</w:t>
            </w:r>
            <w:r>
              <w:rPr>
                <w:rFonts w:hint="eastAsia" w:asciiTheme="minorEastAsia" w:hAnsiTheme="minorEastAsia" w:eastAsiaTheme="minorEastAsia" w:cstheme="minorEastAsia"/>
                <w:color w:val="auto"/>
                <w:kern w:val="0"/>
                <w:szCs w:val="21"/>
                <w:highlight w:val="none"/>
              </w:rPr>
              <w:t>编程方法采用G代码，</w:t>
            </w:r>
            <w:r>
              <w:rPr>
                <w:rFonts w:hint="eastAsia" w:asciiTheme="minorEastAsia" w:hAnsiTheme="minorEastAsia" w:eastAsiaTheme="minorEastAsia" w:cstheme="minorEastAsia"/>
                <w:color w:val="auto"/>
                <w:szCs w:val="21"/>
                <w:highlight w:val="none"/>
              </w:rPr>
              <w:t>系统至少具备用CAD绘制运动轨迹后离线转化为G代码功能。</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tcBorders>
              <w:tl2br w:val="nil"/>
              <w:tr2bl w:val="nil"/>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7149" w:type="dxa"/>
            <w:tcBorders>
              <w:tl2br w:val="nil"/>
              <w:tr2bl w:val="nil"/>
            </w:tcBorders>
            <w:vAlign w:val="center"/>
          </w:tcPr>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焊枪X/Y/Z轴移动以及工件回转均采用交流伺服电机驱动。</w:t>
            </w:r>
          </w:p>
        </w:tc>
        <w:tc>
          <w:tcPr>
            <w:tcW w:w="1282" w:type="dxa"/>
            <w:tcBorders>
              <w:tl2br w:val="nil"/>
              <w:tr2bl w:val="nil"/>
            </w:tcBorders>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bookmarkStart w:id="49" w:name="_Hlk113973313"/>
            <w:r>
              <w:rPr>
                <w:rFonts w:hint="eastAsia" w:asciiTheme="minorEastAsia" w:hAnsiTheme="minorEastAsia" w:eastAsiaTheme="minorEastAsia" w:cstheme="minorEastAsia"/>
                <w:color w:val="auto"/>
                <w:szCs w:val="21"/>
                <w:highlight w:val="none"/>
              </w:rPr>
              <w:t>9</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熔池监控系统由摄像机、硬盘录像机、27吋监视器组成，可清晰观察、记录电弧（PTA、MIG）、熔池及焊丝状态</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焊接参数控制系统外接红外测温仪，可以实时、准确测量光亮表面工件温度。测温仪最高测量温度应不低于600℃，测得的温度可以在控制柜仪表上独立显示。</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离子气流量控制采用进口品牌的高精度数控质量流量计，在触摸屏上以数字方式设定流量，其真实流量可在控制柜仪表上显示，</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4"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7149"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焊接参数控制系统、运动控制系统、供气系统、焊接参数记录系统、显示仪表应安装在独立的控制柜内。</w:t>
            </w:r>
          </w:p>
        </w:tc>
        <w:tc>
          <w:tcPr>
            <w:tcW w:w="1282"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r>
      <w:bookmarkEnd w:id="49"/>
    </w:tbl>
    <w:p>
      <w:pPr>
        <w:rPr>
          <w:rFonts w:ascii="宋体" w:hAnsi="宋体"/>
          <w:b/>
          <w:color w:val="auto"/>
          <w:szCs w:val="21"/>
          <w:highlight w:val="none"/>
        </w:rPr>
      </w:pPr>
      <w:r>
        <w:rPr>
          <w:rFonts w:hint="eastAsia" w:ascii="宋体" w:hAnsi="宋体"/>
          <w:b/>
          <w:color w:val="auto"/>
          <w:szCs w:val="21"/>
          <w:highlight w:val="none"/>
        </w:rPr>
        <w:t>备注：</w:t>
      </w:r>
    </w:p>
    <w:p>
      <w:pPr>
        <w:spacing w:line="400" w:lineRule="exac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、投标人需对以上技术参数做出逐条具体应答，并填写偏离情况，</w:t>
      </w:r>
      <w:r>
        <w:rPr>
          <w:rFonts w:ascii="宋体" w:hAnsi="宋体"/>
          <w:b/>
          <w:color w:val="auto"/>
          <w:szCs w:val="21"/>
          <w:highlight w:val="none"/>
        </w:rPr>
        <w:t>否则作</w:t>
      </w:r>
      <w:r>
        <w:rPr>
          <w:rFonts w:hint="eastAsia" w:ascii="宋体" w:hAnsi="宋体"/>
          <w:b/>
          <w:color w:val="auto"/>
          <w:szCs w:val="21"/>
          <w:highlight w:val="none"/>
        </w:rPr>
        <w:t>技术</w:t>
      </w:r>
      <w:r>
        <w:rPr>
          <w:rFonts w:ascii="宋体" w:hAnsi="宋体"/>
          <w:b/>
          <w:color w:val="auto"/>
          <w:szCs w:val="21"/>
          <w:highlight w:val="none"/>
        </w:rPr>
        <w:t>参数</w:t>
      </w:r>
      <w:r>
        <w:rPr>
          <w:rFonts w:hint="eastAsia" w:ascii="宋体" w:hAnsi="宋体"/>
          <w:b/>
          <w:color w:val="auto"/>
          <w:szCs w:val="21"/>
          <w:highlight w:val="none"/>
        </w:rPr>
        <w:t>负偏离</w:t>
      </w:r>
      <w:r>
        <w:rPr>
          <w:rFonts w:ascii="宋体" w:hAnsi="宋体"/>
          <w:b/>
          <w:color w:val="auto"/>
          <w:szCs w:val="21"/>
          <w:highlight w:val="none"/>
        </w:rPr>
        <w:t>处理</w:t>
      </w:r>
      <w:r>
        <w:rPr>
          <w:rFonts w:hint="eastAsia" w:ascii="宋体" w:hAnsi="宋体"/>
          <w:b/>
          <w:color w:val="auto"/>
          <w:szCs w:val="21"/>
          <w:highlight w:val="none"/>
        </w:rPr>
        <w:t>。</w:t>
      </w:r>
    </w:p>
    <w:p>
      <w:pPr>
        <w:spacing w:line="400" w:lineRule="exact"/>
        <w:rPr>
          <w:rFonts w:ascii="宋体" w:hAnsi="宋体"/>
          <w:b/>
          <w:color w:val="auto"/>
          <w:szCs w:val="21"/>
          <w:highlight w:val="none"/>
        </w:rPr>
      </w:pPr>
      <w:r>
        <w:rPr>
          <w:rFonts w:hint="eastAsia" w:ascii="宋体" w:hAnsi="宋体"/>
          <w:b/>
          <w:color w:val="auto"/>
          <w:szCs w:val="21"/>
          <w:highlight w:val="none"/>
        </w:rPr>
        <w:t>2、投标人应认真阅读标书，理解标书的全部内容。严禁以虚假的技术参数和描述来应标，一经查实，将直接导致无效标处理。任何对投标供货范围不完整的、有遗漏的投标，如果评委会认为该不完整、有遗漏的投标将对整体设备的使用和性能产生较大影响，经评委会评议，将可能直接导致无效标处理。</w:t>
      </w:r>
    </w:p>
    <w:p>
      <w:pPr>
        <w:spacing w:line="400" w:lineRule="exac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、投标文件中任何内容使用中文以外的其他语言，须提供中文译本，否则将导致投标被否决。中文译本与原文如有冲突，以中文译本为准。</w:t>
      </w:r>
    </w:p>
    <w:p>
      <w:pPr>
        <w:widowControl/>
        <w:jc w:val="left"/>
        <w:rPr>
          <w:rFonts w:ascii="宋体" w:hAnsi="宋体"/>
          <w:b/>
          <w:color w:val="auto"/>
          <w:szCs w:val="21"/>
          <w:highlight w:val="none"/>
        </w:rPr>
      </w:pPr>
    </w:p>
    <w:p>
      <w:pPr>
        <w:numPr>
          <w:ilvl w:val="0"/>
          <w:numId w:val="11"/>
        </w:numPr>
        <w:spacing w:line="360" w:lineRule="auto"/>
        <w:rPr>
          <w:rFonts w:ascii="宋体" w:hAnsi="宋体"/>
          <w:b/>
          <w:color w:val="auto"/>
          <w:szCs w:val="28"/>
          <w:highlight w:val="none"/>
        </w:rPr>
      </w:pPr>
      <w:bookmarkStart w:id="50" w:name="_Toc460857893"/>
      <w:bookmarkStart w:id="51" w:name="_Toc460416338"/>
      <w:bookmarkStart w:id="52" w:name="_Toc460416642"/>
      <w:bookmarkStart w:id="53" w:name="_Toc460416593"/>
      <w:r>
        <w:rPr>
          <w:rFonts w:hint="eastAsia" w:ascii="宋体" w:hAnsi="宋体"/>
          <w:b/>
          <w:color w:val="auto"/>
          <w:szCs w:val="28"/>
          <w:highlight w:val="none"/>
        </w:rPr>
        <w:t>商务要求</w:t>
      </w:r>
      <w:bookmarkEnd w:id="50"/>
      <w:bookmarkEnd w:id="51"/>
      <w:bookmarkEnd w:id="52"/>
      <w:bookmarkEnd w:id="53"/>
    </w:p>
    <w:tbl>
      <w:tblPr>
        <w:tblStyle w:val="40"/>
        <w:tblW w:w="9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13"/>
        <w:gridCol w:w="7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871" w:type="dxa"/>
            <w:tcBorders>
              <w:tl2br w:val="nil"/>
              <w:tr2bl w:val="nil"/>
            </w:tcBorders>
            <w:vAlign w:val="center"/>
          </w:tcPr>
          <w:p>
            <w:pPr>
              <w:spacing w:line="400" w:lineRule="exact"/>
              <w:contextualSpacing/>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78" w:type="dxa"/>
            <w:gridSpan w:val="2"/>
            <w:tcBorders>
              <w:tl2br w:val="nil"/>
              <w:tr2bl w:val="nil"/>
            </w:tcBorders>
            <w:vAlign w:val="center"/>
          </w:tcPr>
          <w:p>
            <w:pPr>
              <w:spacing w:line="400" w:lineRule="exact"/>
              <w:contextualSpacing/>
              <w:jc w:val="center"/>
              <w:rPr>
                <w:rFonts w:ascii="宋体" w:hAnsi="宋体" w:cs="宋体"/>
                <w:b/>
                <w:color w:val="auto"/>
                <w:szCs w:val="21"/>
                <w:highlight w:val="none"/>
              </w:rPr>
            </w:pPr>
            <w:r>
              <w:rPr>
                <w:rFonts w:hint="eastAsia" w:ascii="宋体" w:hAnsi="宋体" w:cs="宋体"/>
                <w:b/>
                <w:color w:val="auto"/>
                <w:szCs w:val="21"/>
                <w:highlight w:val="none"/>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365" w:type="dxa"/>
            <w:tcBorders>
              <w:tl2br w:val="nil"/>
              <w:tr2bl w:val="nil"/>
            </w:tcBorders>
            <w:vAlign w:val="center"/>
          </w:tcPr>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履约保证金金额：合同总价的1%。</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履约保证金形式：转账或银行、保险公司出具的保函形式。</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履约保证金递交时间：中标通知书发出后30天内缴纳</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履约保证金退还时间：最终验收合格后，具体详见付款方式。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*2</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365" w:type="dxa"/>
            <w:tcBorders>
              <w:tl2br w:val="nil"/>
              <w:tr2bl w:val="nil"/>
            </w:tcBorders>
            <w:vAlign w:val="center"/>
          </w:tcPr>
          <w:p>
            <w:pPr>
              <w:adjustRightInd w:val="0"/>
              <w:snapToGrid w:val="0"/>
              <w:spacing w:line="400" w:lineRule="exact"/>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1）合同签订后，采购人在收到中标人提供的预付款保函（预付款保函有效期须与交货期相一致）具备实施条件后7个工作日内支付中标人合同总价的40%作为预付款；</w:t>
            </w:r>
          </w:p>
          <w:p>
            <w:pPr>
              <w:adjustRightInd w:val="0"/>
              <w:snapToGrid w:val="0"/>
              <w:spacing w:line="400" w:lineRule="exact"/>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2）设备调试安装完毕经采购人初步验收合格正常启动运行后，采购人支付中标人合同总价的50%。</w:t>
            </w:r>
          </w:p>
          <w:p>
            <w:pPr>
              <w:adjustRightInd w:val="0"/>
              <w:snapToGrid w:val="0"/>
              <w:spacing w:line="40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3）设备试运行满6个月并经采购人最终验收后，采购人收到中标人提供的全额增值税专用发票及抵扣联后7个工作日内支付中标人剩余合同总价的10%，同时无息返还履约保证金。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*3</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7365" w:type="dxa"/>
            <w:tcBorders>
              <w:tl2br w:val="nil"/>
              <w:tr2bl w:val="nil"/>
            </w:tcBorders>
            <w:vAlign w:val="center"/>
          </w:tcPr>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1）交货地点：宁波市北仑区梅山街道康达路399号。</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2）交货期：合同签订后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个月内（含国定节假日）完成安装调试并验收合格。</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3）运输：中标人负责安排合同货物的运输、装卸、安装，费用由中标人负责。</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4）包装和装运：中标人应对货物进行适当包装并采取防潮、防雨、防锈、防腐蚀、防震动及防止其它损坏的必要措施。中标人应对不充分或不适当包装造成的货物损坏承担责任。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4</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ascii="Arial" w:hAnsi="Arial" w:cs="Arial"/>
                <w:color w:val="auto"/>
                <w:szCs w:val="21"/>
                <w:highlight w:val="none"/>
              </w:rPr>
              <w:t>安装调试</w:t>
            </w:r>
          </w:p>
        </w:tc>
        <w:tc>
          <w:tcPr>
            <w:tcW w:w="7365" w:type="dxa"/>
            <w:tcBorders>
              <w:tl2br w:val="nil"/>
              <w:tr2bl w:val="nil"/>
            </w:tcBorders>
            <w:vAlign w:val="center"/>
          </w:tcPr>
          <w:p>
            <w:pPr>
              <w:spacing w:line="400" w:lineRule="exact"/>
              <w:contextualSpacing/>
              <w:jc w:val="left"/>
              <w:rPr>
                <w:rFonts w:ascii="宋体" w:hAnsi="宋体" w:cs="宋体"/>
                <w:bCs/>
                <w:color w:val="auto"/>
                <w:szCs w:val="21"/>
                <w:highlight w:val="none"/>
              </w:rPr>
            </w:pPr>
            <w:r>
              <w:rPr>
                <w:rFonts w:ascii="Arial" w:hAnsi="Arial" w:cs="Arial"/>
                <w:bCs/>
                <w:color w:val="auto"/>
                <w:szCs w:val="21"/>
                <w:highlight w:val="none"/>
              </w:rPr>
              <w:t>安装调试阶段，投标人需根据采购人的要求安排工程师现场指导安装调试，并提供相关技术培训确保采购人能够熟练使用设备。安装调试与培训费用由投标人承担。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88"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5</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验收</w:t>
            </w:r>
          </w:p>
        </w:tc>
        <w:tc>
          <w:tcPr>
            <w:tcW w:w="7365" w:type="dxa"/>
            <w:tcBorders>
              <w:tl2br w:val="nil"/>
              <w:tr2bl w:val="nil"/>
            </w:tcBorders>
            <w:vAlign w:val="center"/>
          </w:tcPr>
          <w:p>
            <w:pPr>
              <w:spacing w:line="400" w:lineRule="exact"/>
              <w:rPr>
                <w:color w:val="auto"/>
                <w:highlight w:val="none"/>
              </w:rPr>
            </w:pPr>
            <w:r>
              <w:rPr>
                <w:rFonts w:hint="eastAsia"/>
                <w:color w:val="auto"/>
                <w:highlight w:val="none"/>
              </w:rPr>
              <w:t>验收在采购人指定地点进行。</w:t>
            </w:r>
          </w:p>
          <w:p>
            <w:pPr>
              <w:spacing w:line="400" w:lineRule="exact"/>
              <w:rPr>
                <w:color w:val="auto"/>
                <w:highlight w:val="none"/>
              </w:rPr>
            </w:pPr>
            <w:r>
              <w:rPr>
                <w:rFonts w:hint="eastAsia"/>
                <w:color w:val="auto"/>
                <w:highlight w:val="none"/>
              </w:rPr>
              <w:t>1）采购人根据采购文件和投标人提供的投标文件、中标人和采购人签订的政府采购合同要求，对设备技术性能指标进行初步验收。</w:t>
            </w:r>
          </w:p>
          <w:p>
            <w:pPr>
              <w:spacing w:line="400" w:lineRule="exact"/>
              <w:rPr>
                <w:color w:val="auto"/>
                <w:highlight w:val="none"/>
              </w:rPr>
            </w:pPr>
            <w:r>
              <w:rPr>
                <w:rFonts w:hint="eastAsia"/>
                <w:color w:val="auto"/>
                <w:highlight w:val="none"/>
              </w:rPr>
              <w:t>2）完成初步验收后，试运行6个月。试运行完成后，采购人进行最终验收。验收合格的条件必须至少满足以下要求：已提供了合同要求的全部设备和资料；性能测试和试运行验收时出现的问题已被解决，技术指标满足合同要求，中标人履行完采购合同约定义务事项。</w:t>
            </w:r>
          </w:p>
          <w:p>
            <w:pPr>
              <w:spacing w:line="400" w:lineRule="exact"/>
              <w:rPr>
                <w:color w:val="auto"/>
                <w:highlight w:val="none"/>
              </w:rPr>
            </w:pPr>
            <w:r>
              <w:rPr>
                <w:rFonts w:hint="eastAsia"/>
                <w:color w:val="auto"/>
                <w:highlight w:val="none"/>
              </w:rPr>
              <w:t>3）设备预验收冷调在中标人现场进行，实现真空、控制等基本功能并达到指标。由中标人负责，采购人进行配合。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6</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ascii="Arial" w:hAnsi="Arial" w:cs="Arial"/>
                <w:color w:val="auto"/>
                <w:szCs w:val="21"/>
                <w:highlight w:val="none"/>
              </w:rPr>
              <w:t>培训要求</w:t>
            </w:r>
          </w:p>
        </w:tc>
        <w:tc>
          <w:tcPr>
            <w:tcW w:w="7365" w:type="dxa"/>
            <w:tcBorders>
              <w:tl2br w:val="nil"/>
              <w:tr2bl w:val="nil"/>
            </w:tcBorders>
            <w:vAlign w:val="center"/>
          </w:tcPr>
          <w:p>
            <w:pPr>
              <w:spacing w:line="400" w:lineRule="exact"/>
              <w:contextualSpacing/>
              <w:rPr>
                <w:rFonts w:ascii="宋体" w:hAnsi="宋体" w:cs="宋体"/>
                <w:bCs/>
                <w:color w:val="auto"/>
                <w:szCs w:val="21"/>
                <w:highlight w:val="none"/>
              </w:rPr>
            </w:pPr>
            <w:r>
              <w:rPr>
                <w:rFonts w:hint="eastAsia" w:ascii="Arial" w:hAnsi="Arial" w:cs="Arial"/>
                <w:bCs/>
                <w:color w:val="auto"/>
                <w:szCs w:val="21"/>
                <w:highlight w:val="none"/>
              </w:rPr>
              <w:t>中标人应指派具备国家认可工程师资质的技术人员，在招标人指定的工作现场，对使用方技术及操作人员进行技术培训，使操作人员能够掌握等离子喷焊工艺原理，具备编制喷焊工艺及调整参数能力，可独立操作堆焊出合格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7</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ascii="Arial" w:hAnsi="Arial" w:cs="Arial"/>
                <w:color w:val="auto"/>
                <w:szCs w:val="21"/>
                <w:highlight w:val="none"/>
              </w:rPr>
              <w:t>质保期</w:t>
            </w:r>
          </w:p>
        </w:tc>
        <w:tc>
          <w:tcPr>
            <w:tcW w:w="7365" w:type="dxa"/>
            <w:tcBorders>
              <w:tl2br w:val="nil"/>
              <w:tr2bl w:val="nil"/>
            </w:tcBorders>
            <w:vAlign w:val="center"/>
          </w:tcPr>
          <w:p>
            <w:pPr>
              <w:spacing w:line="400" w:lineRule="exact"/>
              <w:contextualSpacing/>
              <w:rPr>
                <w:rFonts w:ascii="宋体" w:hAnsi="宋体" w:cs="宋体"/>
                <w:color w:val="auto"/>
                <w:szCs w:val="21"/>
                <w:highlight w:val="none"/>
              </w:rPr>
            </w:pPr>
            <w:r>
              <w:rPr>
                <w:rFonts w:ascii="Arial" w:hAnsi="Arial" w:cs="Arial"/>
                <w:color w:val="auto"/>
                <w:szCs w:val="21"/>
                <w:highlight w:val="none"/>
              </w:rPr>
              <w:t>本项目安装调试并验收合格之日起</w:t>
            </w:r>
            <w:r>
              <w:rPr>
                <w:rFonts w:hint="eastAsia" w:ascii="Arial" w:hAnsi="Arial" w:cs="Arial"/>
                <w:color w:val="auto"/>
                <w:szCs w:val="21"/>
                <w:highlight w:val="none"/>
              </w:rPr>
              <w:t>1年（质保期从最终验收通过之日算起）</w:t>
            </w:r>
            <w:r>
              <w:rPr>
                <w:rFonts w:ascii="Arial" w:hAnsi="Arial" w:cs="Arial"/>
                <w:color w:val="auto"/>
                <w:szCs w:val="21"/>
                <w:highlight w:val="none"/>
              </w:rPr>
              <w:t>。</w:t>
            </w:r>
            <w:r>
              <w:rPr>
                <w:rFonts w:hint="eastAsia" w:ascii="Arial" w:hAnsi="Arial" w:cs="Arial"/>
                <w:color w:val="auto"/>
                <w:szCs w:val="21"/>
                <w:highlight w:val="none"/>
              </w:rPr>
              <w:t>质保期内免费提供设备试验过程中的技术支持与损伤修复。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8</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产品及服务质量保证</w:t>
            </w:r>
          </w:p>
        </w:tc>
        <w:tc>
          <w:tcPr>
            <w:tcW w:w="7365" w:type="dxa"/>
            <w:tcBorders>
              <w:tl2br w:val="nil"/>
              <w:tr2bl w:val="nil"/>
            </w:tcBorders>
            <w:vAlign w:val="center"/>
          </w:tcPr>
          <w:p>
            <w:pPr>
              <w:spacing w:line="400" w:lineRule="exact"/>
              <w:contextualSpacing/>
              <w:rPr>
                <w:rFonts w:ascii="宋体" w:hAnsi="宋体" w:cs="宋体"/>
                <w:color w:val="auto"/>
                <w:highlight w:val="none"/>
              </w:rPr>
            </w:pPr>
            <w:r>
              <w:rPr>
                <w:rFonts w:hint="eastAsia" w:ascii="宋体" w:hAnsi="宋体" w:cs="宋体"/>
                <w:color w:val="auto"/>
                <w:highlight w:val="none"/>
              </w:rPr>
              <w:t>1）中标人应按采购文件规定的货物性能、技术要求、质量标准向招标人提供未经使用的全新产品。</w:t>
            </w:r>
          </w:p>
          <w:p>
            <w:pPr>
              <w:spacing w:line="400" w:lineRule="exact"/>
              <w:contextualSpacing/>
              <w:rPr>
                <w:rFonts w:ascii="宋体" w:hAnsi="宋体" w:cs="宋体"/>
                <w:color w:val="auto"/>
                <w:highlight w:val="none"/>
              </w:rPr>
            </w:pPr>
            <w:r>
              <w:rPr>
                <w:rFonts w:hint="eastAsia" w:ascii="宋体" w:hAnsi="宋体" w:cs="宋体"/>
                <w:color w:val="auto"/>
                <w:highlight w:val="none"/>
              </w:rPr>
              <w:t>2）在保证期内因货物本身的质量问题发生故障，中标人应负责免费修理和更换零部件。对达不到技术要求者，根据实际情况，经双方协商，可按以下办法处理：</w:t>
            </w:r>
          </w:p>
          <w:p>
            <w:pPr>
              <w:spacing w:line="400" w:lineRule="exact"/>
              <w:contextualSpacing/>
              <w:rPr>
                <w:rFonts w:ascii="宋体" w:hAnsi="宋体" w:cs="宋体"/>
                <w:color w:val="auto"/>
                <w:highlight w:val="none"/>
              </w:rPr>
            </w:pPr>
            <w:r>
              <w:rPr>
                <w:rFonts w:hint="eastAsia" w:ascii="宋体" w:hAnsi="宋体" w:cs="宋体"/>
                <w:color w:val="auto"/>
                <w:highlight w:val="none"/>
              </w:rPr>
              <w:t>（a）更换：由中标人承担所发生的全部费用；</w:t>
            </w:r>
          </w:p>
          <w:p>
            <w:pPr>
              <w:spacing w:line="400" w:lineRule="exact"/>
              <w:contextualSpacing/>
              <w:rPr>
                <w:rFonts w:ascii="宋体" w:hAnsi="宋体" w:cs="宋体"/>
                <w:color w:val="auto"/>
                <w:highlight w:val="none"/>
              </w:rPr>
            </w:pPr>
            <w:r>
              <w:rPr>
                <w:rFonts w:hint="eastAsia" w:ascii="宋体" w:hAnsi="宋体" w:cs="宋体"/>
                <w:color w:val="auto"/>
                <w:highlight w:val="none"/>
              </w:rPr>
              <w:t>（b）贬值处理：由双方合议定价；</w:t>
            </w:r>
          </w:p>
          <w:p>
            <w:pPr>
              <w:spacing w:line="400" w:lineRule="exact"/>
              <w:contextualSpacing/>
              <w:rPr>
                <w:rFonts w:ascii="宋体" w:hAnsi="宋体" w:cs="宋体"/>
                <w:color w:val="auto"/>
                <w:highlight w:val="none"/>
              </w:rPr>
            </w:pPr>
            <w:r>
              <w:rPr>
                <w:rFonts w:hint="eastAsia" w:ascii="宋体" w:hAnsi="宋体" w:cs="宋体"/>
                <w:color w:val="auto"/>
                <w:highlight w:val="none"/>
              </w:rPr>
              <w:t>（c）退货处理：中标人应退还采购人支付的货物款，同时应承担该货物的直接费用（运输、保险、检验、货款利息及银行手续费等）。</w:t>
            </w:r>
          </w:p>
          <w:p>
            <w:pPr>
              <w:spacing w:line="400" w:lineRule="exact"/>
              <w:contextualSpacing/>
              <w:rPr>
                <w:rFonts w:ascii="宋体" w:hAnsi="宋体" w:cs="宋体"/>
                <w:color w:val="auto"/>
                <w:highlight w:val="none"/>
              </w:rPr>
            </w:pPr>
            <w:r>
              <w:rPr>
                <w:rFonts w:hint="eastAsia" w:ascii="宋体" w:hAnsi="宋体" w:cs="宋体"/>
                <w:color w:val="auto"/>
                <w:highlight w:val="none"/>
              </w:rPr>
              <w:t>3）如质保期外的使用过程中发生质量问题，中标在接到采购人通知后48小时内派相关技术人员到达招标人设备现场。</w:t>
            </w:r>
          </w:p>
          <w:p>
            <w:pPr>
              <w:spacing w:line="400" w:lineRule="exact"/>
              <w:contextualSpacing/>
              <w:rPr>
                <w:rFonts w:ascii="宋体" w:hAnsi="宋体" w:cs="宋体"/>
                <w:color w:val="auto"/>
                <w:highlight w:val="none"/>
              </w:rPr>
            </w:pPr>
            <w:r>
              <w:rPr>
                <w:rFonts w:hint="eastAsia" w:ascii="宋体" w:hAnsi="宋体" w:cs="宋体"/>
                <w:color w:val="auto"/>
                <w:highlight w:val="none"/>
              </w:rPr>
              <w:t>4）在免费质保期内，中标人应对货物出现的质量及安全问题负责处理解决。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313" w:type="dxa"/>
            <w:tcBorders>
              <w:tl2br w:val="nil"/>
              <w:tr2bl w:val="nil"/>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备品备件要求</w:t>
            </w:r>
          </w:p>
        </w:tc>
        <w:tc>
          <w:tcPr>
            <w:tcW w:w="7365" w:type="dxa"/>
            <w:tcBorders>
              <w:tl2br w:val="nil"/>
              <w:tr2bl w:val="nil"/>
            </w:tcBorders>
            <w:vAlign w:val="center"/>
          </w:tcPr>
          <w:p>
            <w:pPr>
              <w:spacing w:line="400" w:lineRule="exact"/>
              <w:rPr>
                <w:rFonts w:ascii="宋体" w:hAnsi="宋体" w:cs="宋体"/>
                <w:color w:val="auto"/>
                <w:szCs w:val="21"/>
                <w:highlight w:val="none"/>
              </w:rPr>
            </w:pPr>
            <w:r>
              <w:rPr>
                <w:rFonts w:hint="eastAsia" w:ascii="宋体" w:hAnsi="宋体"/>
                <w:color w:val="auto"/>
                <w:highlight w:val="none"/>
              </w:rPr>
              <w:t>质保期满后主要零配件报价单、质保期满后维护费、软件升级及其相关服务内容，并列出清单及价格，不计入投标总价。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10</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ascii="Arial" w:hAnsi="Arial" w:cs="Arial"/>
                <w:color w:val="auto"/>
                <w:szCs w:val="21"/>
                <w:highlight w:val="none"/>
              </w:rPr>
              <w:t>售后服务要求</w:t>
            </w:r>
          </w:p>
        </w:tc>
        <w:tc>
          <w:tcPr>
            <w:tcW w:w="7365" w:type="dxa"/>
            <w:tcBorders>
              <w:tl2br w:val="nil"/>
              <w:tr2bl w:val="nil"/>
            </w:tcBorders>
            <w:vAlign w:val="center"/>
          </w:tcPr>
          <w:p>
            <w:pPr>
              <w:autoSpaceDE w:val="0"/>
              <w:autoSpaceDN w:val="0"/>
              <w:snapToGrid w:val="0"/>
              <w:spacing w:line="400" w:lineRule="exact"/>
              <w:textAlignment w:val="bottom"/>
              <w:rPr>
                <w:rFonts w:ascii="Arial" w:hAnsi="Arial" w:cs="Arial"/>
                <w:color w:val="auto"/>
                <w:spacing w:val="-6"/>
                <w:szCs w:val="21"/>
                <w:highlight w:val="none"/>
              </w:rPr>
            </w:pPr>
            <w:r>
              <w:rPr>
                <w:rFonts w:hint="eastAsia" w:ascii="Arial" w:hAnsi="Arial" w:cs="Arial"/>
                <w:color w:val="auto"/>
                <w:spacing w:val="-6"/>
                <w:szCs w:val="21"/>
                <w:highlight w:val="none"/>
              </w:rPr>
              <w:t>1）在保修期内若设备出现故障，供方4小时内响应，若电话或网络形式可以解决，则在48小时内以电话或网络沟通形式解决；若不能解决，则在72小时内确定派工程师到达现场进行维修。</w:t>
            </w:r>
          </w:p>
          <w:p>
            <w:pPr>
              <w:autoSpaceDE w:val="0"/>
              <w:autoSpaceDN w:val="0"/>
              <w:snapToGrid w:val="0"/>
              <w:spacing w:line="400" w:lineRule="exact"/>
              <w:textAlignment w:val="bottom"/>
              <w:rPr>
                <w:rFonts w:ascii="Arial" w:hAnsi="Arial" w:cs="Arial"/>
                <w:color w:val="auto"/>
                <w:spacing w:val="-6"/>
                <w:szCs w:val="21"/>
                <w:highlight w:val="none"/>
              </w:rPr>
            </w:pPr>
            <w:r>
              <w:rPr>
                <w:rFonts w:hint="eastAsia" w:ascii="Arial" w:hAnsi="Arial" w:cs="Arial"/>
                <w:color w:val="auto"/>
                <w:spacing w:val="-6"/>
                <w:szCs w:val="21"/>
                <w:highlight w:val="none"/>
              </w:rPr>
              <w:t>2）维修时，应向买方告知故障分析及定位、对故障原因的合理解释、更换零部组件的必要性等。</w:t>
            </w:r>
          </w:p>
          <w:p>
            <w:pPr>
              <w:autoSpaceDE w:val="0"/>
              <w:autoSpaceDN w:val="0"/>
              <w:snapToGrid w:val="0"/>
              <w:spacing w:line="400" w:lineRule="exact"/>
              <w:textAlignment w:val="bottom"/>
              <w:rPr>
                <w:rFonts w:ascii="Arial" w:hAnsi="Arial" w:cs="Arial"/>
                <w:color w:val="auto"/>
                <w:spacing w:val="-6"/>
                <w:szCs w:val="21"/>
                <w:highlight w:val="none"/>
              </w:rPr>
            </w:pPr>
            <w:r>
              <w:rPr>
                <w:rFonts w:hint="eastAsia" w:ascii="Arial" w:hAnsi="Arial" w:cs="Arial"/>
                <w:color w:val="auto"/>
                <w:spacing w:val="-6"/>
                <w:szCs w:val="21"/>
                <w:highlight w:val="none"/>
              </w:rPr>
              <w:t>3）保证维修的有效性及效率，保证一次将故障排除，并对每次维修承担质量保证。</w:t>
            </w:r>
          </w:p>
          <w:p>
            <w:pPr>
              <w:autoSpaceDE w:val="0"/>
              <w:autoSpaceDN w:val="0"/>
              <w:snapToGrid w:val="0"/>
              <w:spacing w:line="400" w:lineRule="exact"/>
              <w:textAlignment w:val="bottom"/>
              <w:rPr>
                <w:color w:val="auto"/>
                <w:highlight w:val="none"/>
              </w:rPr>
            </w:pPr>
            <w:r>
              <w:rPr>
                <w:rFonts w:hint="eastAsia" w:ascii="Arial" w:hAnsi="Arial" w:cs="Arial"/>
                <w:color w:val="auto"/>
                <w:spacing w:val="-6"/>
                <w:szCs w:val="21"/>
                <w:highlight w:val="none"/>
              </w:rPr>
              <w:t>4）根据故障情况按维修质量效果收费，该费用不包括因故障判断不准而造成的多次重复性维修、不必要的零部组件更换、因维修不当引起的其它维修费用等。维修费在维修完成并验证后由买方支付。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11</w:t>
            </w:r>
          </w:p>
        </w:tc>
        <w:tc>
          <w:tcPr>
            <w:tcW w:w="1313"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365" w:type="dxa"/>
            <w:tcBorders>
              <w:tl2br w:val="nil"/>
              <w:tr2bl w:val="nil"/>
            </w:tcBorders>
            <w:vAlign w:val="center"/>
          </w:tcPr>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1）本项目投标报价应包括但不仅限于：所有货物费、运输及装卸、安装调试、验收等，质保期内的售后服务、利润、税金、技术培训，及政策性文件规定的各项应有的所有费用。</w:t>
            </w:r>
          </w:p>
          <w:p>
            <w:pPr>
              <w:tabs>
                <w:tab w:val="left" w:pos="647"/>
              </w:tabs>
              <w:spacing w:line="400" w:lineRule="exact"/>
              <w:rPr>
                <w:rFonts w:ascii="宋体" w:hAnsi="宋体" w:cs="宋体"/>
                <w:color w:val="auto"/>
                <w:szCs w:val="21"/>
                <w:highlight w:val="none"/>
              </w:rPr>
            </w:pPr>
            <w:r>
              <w:rPr>
                <w:rFonts w:hint="eastAsia" w:ascii="宋体" w:hAnsi="宋体" w:cs="宋体"/>
                <w:color w:val="auto"/>
                <w:szCs w:val="21"/>
                <w:highlight w:val="none"/>
              </w:rPr>
              <w:t>2）本次招标采购预算和最高限价详见第一章 采购公告；投标报价（人民币报价）超过本次招标最高限价的作无效标处理。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12</w:t>
            </w:r>
          </w:p>
        </w:tc>
        <w:tc>
          <w:tcPr>
            <w:tcW w:w="1313" w:type="dxa"/>
            <w:tcBorders>
              <w:tl2br w:val="nil"/>
              <w:tr2bl w:val="nil"/>
            </w:tcBorders>
            <w:vAlign w:val="center"/>
          </w:tcPr>
          <w:p>
            <w:pPr>
              <w:spacing w:line="400" w:lineRule="exact"/>
              <w:contextualSpacing/>
              <w:jc w:val="center"/>
              <w:rPr>
                <w:rFonts w:ascii="宋体" w:hAnsi="宋体" w:cs="宋体"/>
                <w:color w:val="auto"/>
                <w:highlight w:val="none"/>
              </w:rPr>
            </w:pPr>
            <w:r>
              <w:rPr>
                <w:rFonts w:hint="eastAsia" w:ascii="宋体" w:hAnsi="宋体"/>
                <w:color w:val="auto"/>
                <w:szCs w:val="21"/>
                <w:highlight w:val="none"/>
              </w:rPr>
              <w:t>技术服务</w:t>
            </w:r>
          </w:p>
        </w:tc>
        <w:tc>
          <w:tcPr>
            <w:tcW w:w="7365" w:type="dxa"/>
            <w:tcBorders>
              <w:tl2br w:val="nil"/>
              <w:tr2bl w:val="nil"/>
            </w:tcBorders>
            <w:vAlign w:val="center"/>
          </w:tcPr>
          <w:p>
            <w:pPr>
              <w:spacing w:line="400" w:lineRule="exact"/>
              <w:contextualSpacing/>
              <w:rPr>
                <w:rFonts w:ascii="宋体" w:hAnsi="宋体" w:cs="宋体"/>
                <w:color w:val="auto"/>
                <w:highlight w:val="none"/>
              </w:rPr>
            </w:pPr>
            <w:r>
              <w:rPr>
                <w:rFonts w:hint="eastAsia" w:ascii="宋体" w:hAnsi="宋体" w:cs="宋体"/>
                <w:color w:val="auto"/>
                <w:highlight w:val="none"/>
              </w:rPr>
              <w:t>1）设备的运输、卸货、安装、调试工作由中标人负责，整个过程涉及到的叉车、吊车等装卸设备由中标方负责。</w:t>
            </w:r>
          </w:p>
          <w:p>
            <w:pPr>
              <w:spacing w:line="400" w:lineRule="exact"/>
              <w:contextualSpacing/>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）中标人</w:t>
            </w:r>
            <w:r>
              <w:rPr>
                <w:rFonts w:ascii="宋体" w:hAnsi="宋体" w:cs="宋体"/>
                <w:color w:val="auto"/>
                <w:highlight w:val="none"/>
              </w:rPr>
              <w:t>应确保设备运行可靠、维护方便</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）中标人</w:t>
            </w:r>
            <w:r>
              <w:rPr>
                <w:rFonts w:ascii="宋体" w:hAnsi="宋体" w:cs="宋体"/>
                <w:color w:val="auto"/>
                <w:highlight w:val="none"/>
              </w:rPr>
              <w:t>负责组织专业技术人员进行设备安装调试</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ascii="宋体" w:hAnsi="宋体" w:cs="宋体"/>
                <w:color w:val="auto"/>
                <w:highlight w:val="none"/>
              </w:rPr>
              <w:t>安装调试到位后的设备由</w:t>
            </w:r>
            <w:r>
              <w:rPr>
                <w:rFonts w:hint="eastAsia" w:ascii="宋体" w:hAnsi="宋体" w:cs="宋体"/>
                <w:color w:val="auto"/>
                <w:highlight w:val="none"/>
              </w:rPr>
              <w:t>中标人</w:t>
            </w:r>
            <w:r>
              <w:rPr>
                <w:rFonts w:ascii="宋体" w:hAnsi="宋体" w:cs="宋体"/>
                <w:color w:val="auto"/>
                <w:highlight w:val="none"/>
              </w:rPr>
              <w:t>与设备使用单位组织的验收小组共同进行质量验收签字。（验收标准：各类设备的数量、技术质量性能</w:t>
            </w:r>
            <w:r>
              <w:rPr>
                <w:rFonts w:hint="eastAsia" w:ascii="宋体" w:hAnsi="宋体" w:cs="宋体"/>
                <w:color w:val="auto"/>
                <w:highlight w:val="none"/>
              </w:rPr>
              <w:t>指标</w:t>
            </w:r>
            <w:r>
              <w:rPr>
                <w:rFonts w:ascii="宋体" w:hAnsi="宋体" w:cs="宋体"/>
                <w:color w:val="auto"/>
                <w:highlight w:val="none"/>
              </w:rPr>
              <w:t>和规格型号、外观等应符合采购文件要求及合同中的相关条款，同时应符合产品制造商和国家相关标准</w:t>
            </w:r>
            <w:r>
              <w:rPr>
                <w:rFonts w:hint="eastAsia" w:ascii="宋体" w:hAnsi="宋体" w:cs="宋体"/>
                <w:color w:val="auto"/>
                <w:highlight w:val="none"/>
              </w:rPr>
              <w:t>，明确安装调试、保修服务、配件提供、培训与技术升级等事宜</w:t>
            </w:r>
            <w:r>
              <w:rPr>
                <w:rFonts w:ascii="宋体" w:hAnsi="宋体" w:cs="宋体"/>
                <w:color w:val="auto"/>
                <w:highlight w:val="none"/>
              </w:rPr>
              <w:t>）</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hint="eastAsia" w:ascii="宋体" w:hAnsi="宋体" w:cs="宋体"/>
                <w:color w:val="auto"/>
                <w:highlight w:val="none"/>
              </w:rPr>
              <w:t>5）</w:t>
            </w:r>
            <w:r>
              <w:rPr>
                <w:rFonts w:ascii="宋体" w:hAnsi="宋体" w:cs="宋体"/>
                <w:color w:val="auto"/>
                <w:highlight w:val="none"/>
              </w:rPr>
              <w:t>设备交货的同时，</w:t>
            </w:r>
            <w:r>
              <w:rPr>
                <w:rFonts w:hint="eastAsia" w:ascii="宋体" w:hAnsi="宋体" w:cs="宋体"/>
                <w:color w:val="auto"/>
                <w:highlight w:val="none"/>
              </w:rPr>
              <w:t>中标人</w:t>
            </w:r>
            <w:r>
              <w:rPr>
                <w:rFonts w:ascii="宋体" w:hAnsi="宋体" w:cs="宋体"/>
                <w:color w:val="auto"/>
                <w:highlight w:val="none"/>
              </w:rPr>
              <w:t>应向</w:t>
            </w:r>
            <w:r>
              <w:rPr>
                <w:rFonts w:hint="eastAsia" w:ascii="宋体" w:hAnsi="宋体" w:cs="宋体"/>
                <w:color w:val="auto"/>
                <w:highlight w:val="none"/>
              </w:rPr>
              <w:t>中标人</w:t>
            </w:r>
            <w:r>
              <w:rPr>
                <w:rFonts w:ascii="宋体" w:hAnsi="宋体" w:cs="宋体"/>
                <w:color w:val="auto"/>
                <w:highlight w:val="none"/>
              </w:rPr>
              <w:t>提供不少于</w:t>
            </w:r>
            <w:r>
              <w:rPr>
                <w:rFonts w:hint="eastAsia" w:ascii="宋体" w:hAnsi="宋体" w:cs="宋体"/>
                <w:color w:val="auto"/>
                <w:highlight w:val="none"/>
              </w:rPr>
              <w:t>两套</w:t>
            </w:r>
            <w:r>
              <w:rPr>
                <w:rFonts w:ascii="宋体" w:hAnsi="宋体" w:cs="宋体"/>
                <w:color w:val="auto"/>
                <w:highlight w:val="none"/>
              </w:rPr>
              <w:t>以下列明的中文技术资料，其费用应包括在</w:t>
            </w:r>
            <w:r>
              <w:rPr>
                <w:rFonts w:hint="eastAsia" w:ascii="宋体" w:hAnsi="宋体" w:cs="宋体"/>
                <w:color w:val="auto"/>
                <w:highlight w:val="none"/>
              </w:rPr>
              <w:t>投标总价内。</w:t>
            </w:r>
          </w:p>
          <w:p>
            <w:pPr>
              <w:spacing w:line="400" w:lineRule="exact"/>
              <w:contextualSpacing/>
              <w:rPr>
                <w:rFonts w:ascii="宋体" w:hAnsi="宋体" w:cs="宋体"/>
                <w:color w:val="auto"/>
                <w:highlight w:val="none"/>
              </w:rPr>
            </w:pPr>
            <w:r>
              <w:rPr>
                <w:rFonts w:hint="eastAsia" w:ascii="宋体" w:hAnsi="宋体" w:cs="宋体"/>
                <w:color w:val="auto"/>
                <w:highlight w:val="none"/>
              </w:rPr>
              <w:t>（a）</w:t>
            </w:r>
            <w:r>
              <w:rPr>
                <w:rFonts w:ascii="宋体" w:hAnsi="宋体" w:cs="宋体"/>
                <w:color w:val="auto"/>
                <w:highlight w:val="none"/>
              </w:rPr>
              <w:t>产品技术说明书</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hint="eastAsia" w:ascii="宋体" w:hAnsi="宋体" w:cs="宋体"/>
                <w:color w:val="auto"/>
                <w:highlight w:val="none"/>
              </w:rPr>
              <w:t>（b）用</w:t>
            </w:r>
            <w:r>
              <w:rPr>
                <w:rFonts w:ascii="宋体" w:hAnsi="宋体" w:cs="宋体"/>
                <w:color w:val="auto"/>
                <w:highlight w:val="none"/>
              </w:rPr>
              <w:t>户手册</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hint="eastAsia" w:ascii="宋体" w:hAnsi="宋体" w:cs="宋体"/>
                <w:color w:val="auto"/>
                <w:highlight w:val="none"/>
              </w:rPr>
              <w:t>（c）</w:t>
            </w:r>
            <w:r>
              <w:rPr>
                <w:rFonts w:ascii="宋体" w:hAnsi="宋体" w:cs="宋体"/>
                <w:color w:val="auto"/>
                <w:highlight w:val="none"/>
              </w:rPr>
              <w:t>出厂明细表（装箱单）</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hint="eastAsia" w:ascii="宋体" w:hAnsi="宋体" w:cs="宋体"/>
                <w:color w:val="auto"/>
                <w:highlight w:val="none"/>
              </w:rPr>
              <w:t>（d）</w:t>
            </w:r>
            <w:r>
              <w:rPr>
                <w:rFonts w:ascii="宋体" w:hAnsi="宋体" w:cs="宋体"/>
                <w:color w:val="auto"/>
                <w:highlight w:val="none"/>
              </w:rPr>
              <w:t>出厂检验报告和合格书</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hint="eastAsia" w:ascii="宋体" w:hAnsi="宋体" w:cs="宋体"/>
                <w:color w:val="auto"/>
                <w:highlight w:val="none"/>
              </w:rPr>
              <w:t>（e）</w:t>
            </w:r>
            <w:r>
              <w:rPr>
                <w:rFonts w:ascii="宋体" w:hAnsi="宋体" w:cs="宋体"/>
                <w:color w:val="auto"/>
                <w:highlight w:val="none"/>
              </w:rPr>
              <w:t>其他相关技术资料。</w:t>
            </w:r>
          </w:p>
          <w:p>
            <w:pPr>
              <w:spacing w:line="400" w:lineRule="exact"/>
              <w:contextualSpacing/>
              <w:rPr>
                <w:rFonts w:ascii="宋体" w:hAnsi="宋体" w:cs="宋体"/>
                <w:color w:val="auto"/>
                <w:highlight w:val="none"/>
              </w:rPr>
            </w:pPr>
            <w:r>
              <w:rPr>
                <w:rFonts w:hint="eastAsia" w:ascii="宋体" w:hAnsi="宋体" w:cs="宋体"/>
                <w:color w:val="auto"/>
                <w:highlight w:val="none"/>
              </w:rPr>
              <w:t>6）中标人应</w:t>
            </w:r>
            <w:r>
              <w:rPr>
                <w:rFonts w:ascii="宋体" w:hAnsi="宋体" w:cs="宋体"/>
                <w:color w:val="auto"/>
                <w:highlight w:val="none"/>
              </w:rPr>
              <w:t>向用户提供安装和维修所需特殊专用的工具</w:t>
            </w:r>
            <w:r>
              <w:rPr>
                <w:rFonts w:hint="eastAsia" w:ascii="宋体" w:hAnsi="宋体" w:cs="宋体"/>
                <w:color w:val="auto"/>
                <w:highlight w:val="none"/>
              </w:rPr>
              <w:t>至少一套</w:t>
            </w:r>
            <w:r>
              <w:rPr>
                <w:rFonts w:ascii="宋体" w:hAnsi="宋体" w:cs="宋体"/>
                <w:color w:val="auto"/>
                <w:highlight w:val="none"/>
              </w:rPr>
              <w:t>、随机备件及清单和中文说明书，其费用包括在</w:t>
            </w:r>
            <w:r>
              <w:rPr>
                <w:rFonts w:hint="eastAsia" w:ascii="宋体" w:hAnsi="宋体" w:cs="宋体"/>
                <w:color w:val="auto"/>
                <w:highlight w:val="none"/>
              </w:rPr>
              <w:t>投标价格</w:t>
            </w:r>
            <w:r>
              <w:rPr>
                <w:rFonts w:ascii="宋体" w:hAnsi="宋体" w:cs="宋体"/>
                <w:color w:val="auto"/>
                <w:highlight w:val="none"/>
              </w:rPr>
              <w:t>内</w:t>
            </w:r>
            <w:r>
              <w:rPr>
                <w:rFonts w:hint="eastAsia" w:ascii="宋体" w:hAnsi="宋体" w:cs="宋体"/>
                <w:color w:val="auto"/>
                <w:highlight w:val="none"/>
              </w:rPr>
              <w:t>。</w:t>
            </w:r>
          </w:p>
          <w:p>
            <w:pPr>
              <w:spacing w:line="400" w:lineRule="exact"/>
              <w:contextualSpacing/>
              <w:rPr>
                <w:rFonts w:ascii="宋体" w:hAnsi="宋体" w:cs="宋体"/>
                <w:color w:val="auto"/>
                <w:highlight w:val="none"/>
              </w:rPr>
            </w:pPr>
            <w:r>
              <w:rPr>
                <w:rFonts w:hint="eastAsia" w:ascii="宋体" w:hAnsi="宋体" w:cs="宋体"/>
                <w:color w:val="auto"/>
                <w:highlight w:val="none"/>
              </w:rPr>
              <w:t>7）如因供应商责任而造成的安装延期，产生的费用由中标方负担。</w:t>
            </w:r>
          </w:p>
          <w:p>
            <w:pPr>
              <w:spacing w:line="400" w:lineRule="exact"/>
              <w:contextualSpacing/>
              <w:rPr>
                <w:rFonts w:ascii="宋体" w:hAnsi="宋体" w:cs="宋体"/>
                <w:color w:val="auto"/>
                <w:highlight w:val="none"/>
              </w:rPr>
            </w:pPr>
            <w:r>
              <w:rPr>
                <w:rFonts w:hint="eastAsia" w:ascii="宋体" w:hAnsi="宋体" w:cs="宋体"/>
                <w:color w:val="auto"/>
                <w:highlight w:val="none"/>
              </w:rPr>
              <w:t>8）</w:t>
            </w:r>
            <w:r>
              <w:rPr>
                <w:rFonts w:ascii="宋体" w:hAnsi="宋体" w:cs="宋体"/>
                <w:color w:val="auto"/>
                <w:highlight w:val="none"/>
              </w:rPr>
              <w:t>验收不合格的货物，</w:t>
            </w:r>
            <w:r>
              <w:rPr>
                <w:rFonts w:hint="eastAsia" w:ascii="宋体" w:hAnsi="宋体" w:cs="宋体"/>
                <w:color w:val="auto"/>
                <w:highlight w:val="none"/>
              </w:rPr>
              <w:t>招标人</w:t>
            </w:r>
            <w:r>
              <w:rPr>
                <w:rFonts w:ascii="宋体" w:hAnsi="宋体" w:cs="宋体"/>
                <w:color w:val="auto"/>
                <w:highlight w:val="none"/>
              </w:rPr>
              <w:t>可以要求中标</w:t>
            </w:r>
            <w:r>
              <w:rPr>
                <w:rFonts w:hint="eastAsia" w:ascii="宋体" w:hAnsi="宋体" w:cs="宋体"/>
                <w:color w:val="auto"/>
                <w:highlight w:val="none"/>
              </w:rPr>
              <w:t>人</w:t>
            </w:r>
            <w:r>
              <w:rPr>
                <w:rFonts w:ascii="宋体" w:hAnsi="宋体" w:cs="宋体"/>
                <w:color w:val="auto"/>
                <w:highlight w:val="none"/>
              </w:rPr>
              <w:t>无条件免费更换或退货，并赔偿由此造成的</w:t>
            </w:r>
            <w:r>
              <w:rPr>
                <w:rFonts w:hint="eastAsia" w:ascii="宋体" w:hAnsi="宋体" w:cs="宋体"/>
                <w:color w:val="auto"/>
                <w:highlight w:val="none"/>
              </w:rPr>
              <w:t>招标</w:t>
            </w:r>
            <w:r>
              <w:rPr>
                <w:rFonts w:ascii="宋体" w:hAnsi="宋体" w:cs="宋体"/>
                <w:color w:val="auto"/>
                <w:highlight w:val="none"/>
              </w:rPr>
              <w:t>人的损失</w:t>
            </w:r>
            <w:r>
              <w:rPr>
                <w:rFonts w:hint="eastAsia" w:ascii="宋体" w:hAnsi="宋体" w:cs="宋体"/>
                <w:color w:val="auto"/>
                <w:highlight w:val="none"/>
              </w:rPr>
              <w:t>。</w:t>
            </w:r>
          </w:p>
        </w:tc>
      </w:tr>
    </w:tbl>
    <w:p>
      <w:pPr>
        <w:pStyle w:val="38"/>
        <w:ind w:firstLine="0" w:firstLineChars="0"/>
        <w:rPr>
          <w:color w:val="auto"/>
          <w:highlight w:val="none"/>
        </w:rPr>
      </w:pPr>
    </w:p>
    <w:p>
      <w:pPr>
        <w:pStyle w:val="32"/>
        <w:rPr>
          <w:color w:val="auto"/>
          <w:highlight w:val="none"/>
        </w:rPr>
      </w:pPr>
    </w:p>
    <w:p>
      <w:pPr>
        <w:rPr>
          <w:color w:val="auto"/>
          <w:highlight w:val="none"/>
        </w:rPr>
      </w:pPr>
    </w:p>
    <w:p>
      <w:pPr>
        <w:rPr>
          <w:rFonts w:ascii="宋体" w:hAnsi="宋体"/>
          <w:color w:val="auto"/>
          <w:highlight w:val="none"/>
        </w:rPr>
      </w:pPr>
    </w:p>
    <w:p>
      <w:pPr>
        <w:widowControl/>
        <w:jc w:val="left"/>
        <w:rPr>
          <w:rFonts w:ascii="宋体" w:hAnsi="宋体"/>
          <w:color w:val="auto"/>
          <w:highlight w:val="none"/>
        </w:rPr>
        <w:sectPr>
          <w:footerReference r:id="rId6" w:type="default"/>
          <w:pgSz w:w="11907" w:h="16840"/>
          <w:pgMar w:top="1361" w:right="1474" w:bottom="1242" w:left="1474" w:header="720" w:footer="720" w:gutter="0"/>
          <w:cols w:space="720" w:num="1"/>
          <w:docGrid w:linePitch="285" w:charSpace="0"/>
        </w:sectPr>
      </w:pPr>
    </w:p>
    <w:p>
      <w:pPr>
        <w:pStyle w:val="3"/>
        <w:spacing w:after="0" w:line="360" w:lineRule="auto"/>
        <w:jc w:val="center"/>
        <w:rPr>
          <w:rFonts w:ascii="宋体" w:hAnsi="宋体"/>
          <w:color w:val="auto"/>
          <w:sz w:val="30"/>
          <w:szCs w:val="30"/>
          <w:highlight w:val="none"/>
        </w:rPr>
      </w:pPr>
      <w:bookmarkStart w:id="54" w:name="_Toc8602"/>
      <w:r>
        <w:rPr>
          <w:rFonts w:hint="eastAsia" w:ascii="宋体" w:hAnsi="宋体"/>
          <w:color w:val="auto"/>
          <w:sz w:val="30"/>
          <w:szCs w:val="30"/>
          <w:highlight w:val="none"/>
        </w:rPr>
        <w:t>第三章  投标人须知</w:t>
      </w:r>
      <w:bookmarkEnd w:id="47"/>
      <w:bookmarkEnd w:id="48"/>
      <w:bookmarkEnd w:id="54"/>
    </w:p>
    <w:p>
      <w:pPr>
        <w:pStyle w:val="3"/>
        <w:spacing w:before="0" w:after="0" w:line="360" w:lineRule="auto"/>
        <w:jc w:val="center"/>
        <w:rPr>
          <w:rFonts w:ascii="宋体" w:hAnsi="宋体"/>
          <w:color w:val="auto"/>
          <w:sz w:val="24"/>
          <w:szCs w:val="24"/>
          <w:highlight w:val="none"/>
        </w:rPr>
      </w:pPr>
      <w:bookmarkStart w:id="55" w:name="_Toc460416339"/>
      <w:bookmarkStart w:id="56" w:name="_Toc26701"/>
      <w:bookmarkStart w:id="57" w:name="_Toc460416595"/>
      <w:bookmarkStart w:id="58" w:name="_Toc460416644"/>
      <w:bookmarkStart w:id="59" w:name="_Toc460857896"/>
      <w:r>
        <w:rPr>
          <w:rFonts w:hint="eastAsia" w:ascii="宋体" w:hAnsi="宋体"/>
          <w:color w:val="auto"/>
          <w:sz w:val="24"/>
          <w:szCs w:val="24"/>
          <w:highlight w:val="none"/>
        </w:rPr>
        <w:t>前附表</w:t>
      </w:r>
      <w:bookmarkEnd w:id="55"/>
      <w:bookmarkEnd w:id="56"/>
      <w:bookmarkEnd w:id="57"/>
      <w:bookmarkEnd w:id="58"/>
      <w:bookmarkEnd w:id="59"/>
    </w:p>
    <w:tbl>
      <w:tblPr>
        <w:tblStyle w:val="40"/>
        <w:tblW w:w="8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709" w:type="dxa"/>
            <w:vAlign w:val="center"/>
          </w:tcPr>
          <w:p>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8222" w:type="dxa"/>
            <w:vAlign w:val="center"/>
          </w:tcPr>
          <w:p>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8222" w:type="dxa"/>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北京航空航天大学宁波创新研究院等离子弧焊机采购项目（重发）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222" w:type="dxa"/>
            <w:vAlign w:val="center"/>
          </w:tcPr>
          <w:p>
            <w:pPr>
              <w:spacing w:line="400" w:lineRule="exact"/>
              <w:rPr>
                <w:color w:val="auto"/>
                <w:szCs w:val="21"/>
                <w:highlight w:val="none"/>
              </w:rPr>
            </w:pPr>
            <w:r>
              <w:rPr>
                <w:rFonts w:hint="eastAsia"/>
                <w:color w:val="auto"/>
                <w:szCs w:val="21"/>
                <w:highlight w:val="none"/>
              </w:rPr>
              <w:t>使用中心：</w:t>
            </w:r>
            <w:r>
              <w:rPr>
                <w:rStyle w:val="49"/>
                <w:rFonts w:hint="eastAsia"/>
                <w:color w:val="auto"/>
                <w:highlight w:val="none"/>
              </w:rPr>
              <w:t>增材制造高性能结构设计与评价技术创新研究中心</w:t>
            </w:r>
          </w:p>
          <w:p>
            <w:pPr>
              <w:spacing w:line="400" w:lineRule="exact"/>
              <w:rPr>
                <w:rFonts w:ascii="Arial" w:hAnsi="Arial" w:cs="Arial" w:eastAsiaTheme="minorEastAsia"/>
                <w:color w:val="auto"/>
                <w:szCs w:val="21"/>
                <w:highlight w:val="none"/>
              </w:rPr>
            </w:pPr>
            <w:r>
              <w:rPr>
                <w:rFonts w:ascii="Arial" w:hAnsi="Arial" w:cs="Arial" w:eastAsiaTheme="minorEastAsia"/>
                <w:color w:val="auto"/>
                <w:szCs w:val="21"/>
                <w:highlight w:val="none"/>
              </w:rPr>
              <w:t>子包</w:t>
            </w:r>
            <w:r>
              <w:rPr>
                <w:rFonts w:hint="eastAsia" w:ascii="Arial" w:hAnsi="Arial" w:cs="Arial" w:eastAsiaTheme="minorEastAsia"/>
                <w:color w:val="auto"/>
                <w:szCs w:val="21"/>
                <w:highlight w:val="none"/>
              </w:rPr>
              <w:t>一</w:t>
            </w:r>
            <w:r>
              <w:rPr>
                <w:rFonts w:ascii="Arial" w:hAnsi="Arial" w:cs="Arial" w:eastAsiaTheme="minorEastAsia"/>
                <w:color w:val="auto"/>
                <w:szCs w:val="21"/>
                <w:highlight w:val="none"/>
              </w:rPr>
              <w:t>：</w:t>
            </w:r>
            <w:r>
              <w:rPr>
                <w:rFonts w:hint="eastAsia" w:ascii="宋体" w:hAnsi="宋体"/>
                <w:color w:val="auto"/>
                <w:szCs w:val="21"/>
                <w:highlight w:val="none"/>
              </w:rPr>
              <w:t>等离子弧焊机</w:t>
            </w:r>
          </w:p>
          <w:p>
            <w:pPr>
              <w:spacing w:line="400" w:lineRule="exact"/>
              <w:rPr>
                <w:rFonts w:ascii="Arial" w:hAnsi="Arial" w:cs="Arial" w:eastAsiaTheme="minorEastAsia"/>
                <w:color w:val="auto"/>
                <w:szCs w:val="21"/>
                <w:highlight w:val="none"/>
              </w:rPr>
            </w:pPr>
            <w:r>
              <w:rPr>
                <w:rFonts w:ascii="Arial" w:hAnsi="Arial" w:cs="Arial" w:eastAsiaTheme="minorEastAsia"/>
                <w:color w:val="auto"/>
                <w:szCs w:val="21"/>
                <w:highlight w:val="none"/>
              </w:rPr>
              <w:t>项目负责人：</w:t>
            </w:r>
            <w:r>
              <w:rPr>
                <w:rFonts w:hint="eastAsia" w:ascii="Arial" w:hAnsi="Arial" w:cs="Arial" w:eastAsiaTheme="minorEastAsia"/>
                <w:color w:val="auto"/>
                <w:szCs w:val="21"/>
                <w:highlight w:val="none"/>
              </w:rPr>
              <w:t>陈德强</w:t>
            </w:r>
          </w:p>
          <w:p>
            <w:pPr>
              <w:spacing w:line="400" w:lineRule="exact"/>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项目主要成员：张成行、王宏芳、熊林</w:t>
            </w:r>
          </w:p>
          <w:p>
            <w:pPr>
              <w:spacing w:line="400" w:lineRule="exact"/>
              <w:rPr>
                <w:rFonts w:ascii="宋体" w:hAnsi="宋体"/>
                <w:color w:val="auto"/>
                <w:szCs w:val="21"/>
                <w:highlight w:val="none"/>
              </w:rPr>
            </w:pPr>
            <w:r>
              <w:rPr>
                <w:rFonts w:ascii="Arial" w:hAnsi="Arial" w:cs="Arial" w:eastAsiaTheme="minorEastAsia"/>
                <w:color w:val="auto"/>
                <w:szCs w:val="21"/>
                <w:highlight w:val="none"/>
              </w:rPr>
              <w:t>经办人：</w:t>
            </w:r>
            <w:r>
              <w:rPr>
                <w:rFonts w:hint="eastAsia" w:ascii="Arial" w:hAnsi="Arial" w:cs="Arial" w:eastAsiaTheme="minorEastAsia"/>
                <w:color w:val="auto"/>
                <w:szCs w:val="21"/>
                <w:highlight w:val="none"/>
              </w:rPr>
              <w:t>陈德强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3</w:t>
            </w:r>
          </w:p>
        </w:tc>
        <w:tc>
          <w:tcPr>
            <w:tcW w:w="8222" w:type="dxa"/>
            <w:vAlign w:val="center"/>
          </w:tcPr>
          <w:p>
            <w:pPr>
              <w:rPr>
                <w:rFonts w:ascii="宋体" w:hAnsi="宋体"/>
                <w:color w:val="auto"/>
                <w:highlight w:val="none"/>
                <w:u w:val="single"/>
              </w:rPr>
            </w:pPr>
            <w:r>
              <w:rPr>
                <w:rFonts w:hint="eastAsia" w:ascii="宋体" w:hAnsi="宋体"/>
                <w:color w:val="auto"/>
                <w:szCs w:val="21"/>
                <w:highlight w:val="none"/>
              </w:rPr>
              <w:t>子包号：一  设备名称</w:t>
            </w:r>
            <w:r>
              <w:rPr>
                <w:rFonts w:hint="eastAsia" w:ascii="宋体" w:hAnsi="宋体"/>
                <w:color w:val="auto"/>
                <w:highlight w:val="none"/>
              </w:rPr>
              <w:t>：</w:t>
            </w:r>
            <w:r>
              <w:rPr>
                <w:rFonts w:hint="eastAsia" w:ascii="宋体" w:hAnsi="宋体"/>
                <w:color w:val="auto"/>
                <w:szCs w:val="21"/>
                <w:highlight w:val="none"/>
              </w:rPr>
              <w:t>等离子弧焊机</w:t>
            </w:r>
            <w:r>
              <w:rPr>
                <w:rFonts w:hint="eastAsia" w:ascii="宋体" w:hAnsi="宋体"/>
                <w:color w:val="auto"/>
                <w:highlight w:val="none"/>
              </w:rPr>
              <w:t xml:space="preserve">   数量</w:t>
            </w:r>
            <w:r>
              <w:rPr>
                <w:rFonts w:ascii="宋体" w:hAnsi="宋体"/>
                <w:color w:val="auto"/>
                <w:highlight w:val="none"/>
              </w:rPr>
              <w:t>：</w:t>
            </w:r>
            <w:r>
              <w:rPr>
                <w:rFonts w:hint="eastAsia" w:ascii="宋体" w:hAnsi="宋体"/>
                <w:color w:val="auto"/>
                <w:highlight w:val="none"/>
                <w:u w:val="single"/>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82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投标报价及费用：</w:t>
            </w:r>
          </w:p>
          <w:p>
            <w:pPr>
              <w:spacing w:line="400" w:lineRule="exact"/>
              <w:rPr>
                <w:rFonts w:ascii="宋体" w:hAnsi="宋体"/>
                <w:color w:val="auto"/>
                <w:szCs w:val="21"/>
                <w:highlight w:val="none"/>
              </w:rPr>
            </w:pPr>
            <w:r>
              <w:rPr>
                <w:rFonts w:hint="eastAsia" w:ascii="宋体" w:hAnsi="宋体"/>
                <w:color w:val="auto"/>
                <w:szCs w:val="21"/>
                <w:highlight w:val="none"/>
              </w:rPr>
              <w:t>1、投标报价：详见第二章招标需求中商务要求条款。</w:t>
            </w:r>
          </w:p>
          <w:p>
            <w:pPr>
              <w:spacing w:line="400" w:lineRule="exact"/>
              <w:rPr>
                <w:rFonts w:ascii="宋体" w:hAnsi="宋体"/>
                <w:color w:val="auto"/>
                <w:szCs w:val="21"/>
                <w:highlight w:val="none"/>
              </w:rPr>
            </w:pPr>
            <w:r>
              <w:rPr>
                <w:rFonts w:hint="eastAsia" w:ascii="宋体" w:hAnsi="宋体"/>
                <w:color w:val="auto"/>
                <w:szCs w:val="21"/>
                <w:highlight w:val="none"/>
              </w:rPr>
              <w:t>2、不论投标结果如何，投标人均应自行承担所有与投标有关的全部费用。</w:t>
            </w:r>
          </w:p>
          <w:p>
            <w:pPr>
              <w:spacing w:line="40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、招标代理服务费的收取标准：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（1）本招标公司参照国家发改委发改办价格[2003]857号通知和国家计委计价格[2002]1980号文件的规定的货物招标费率标准，按照中标通知书确定的中标总金额向中标人收取招标服务费，</w:t>
            </w:r>
            <w:r>
              <w:rPr>
                <w:rFonts w:hint="eastAsia" w:ascii="宋体" w:hAnsi="宋体" w:cs="宋体"/>
                <w:color w:val="auto"/>
                <w:highlight w:val="none"/>
              </w:rPr>
              <w:t>（按下浮</w:t>
            </w:r>
            <w:r>
              <w:rPr>
                <w:rFonts w:ascii="宋体" w:hAnsi="宋体" w:cs="宋体"/>
                <w:color w:val="auto"/>
                <w:highlight w:val="none"/>
              </w:rPr>
              <w:t>3</w:t>
            </w:r>
            <w:r>
              <w:rPr>
                <w:rFonts w:hint="eastAsia" w:ascii="宋体" w:hAnsi="宋体" w:cs="宋体"/>
                <w:color w:val="auto"/>
                <w:highlight w:val="none"/>
              </w:rPr>
              <w:t>0%收取，</w:t>
            </w:r>
            <w:r>
              <w:rPr>
                <w:rFonts w:hint="eastAsia" w:ascii="宋体" w:hAnsi="宋体"/>
                <w:color w:val="auto"/>
                <w:szCs w:val="21"/>
                <w:highlight w:val="none"/>
              </w:rPr>
              <w:t>最低收费</w:t>
            </w:r>
            <w:r>
              <w:rPr>
                <w:rFonts w:ascii="宋体" w:hAnsi="宋体"/>
                <w:color w:val="auto"/>
                <w:szCs w:val="21"/>
                <w:highlight w:val="none"/>
              </w:rPr>
              <w:t>4</w:t>
            </w:r>
            <w:r>
              <w:rPr>
                <w:rFonts w:hint="eastAsia" w:ascii="宋体" w:hAnsi="宋体"/>
                <w:color w:val="auto"/>
                <w:szCs w:val="21"/>
                <w:highlight w:val="none"/>
              </w:rPr>
              <w:t>000元/子包</w:t>
            </w:r>
            <w:r>
              <w:rPr>
                <w:rFonts w:hint="eastAsia" w:ascii="宋体" w:hAnsi="宋体" w:cs="宋体"/>
                <w:color w:val="auto"/>
                <w:highlight w:val="none"/>
              </w:rPr>
              <w:t>）</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（2）中标人在领取中标通知书时即向本招标代理机构电汇方式支付服务费。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5</w:t>
            </w:r>
          </w:p>
        </w:tc>
        <w:tc>
          <w:tcPr>
            <w:tcW w:w="8222" w:type="dxa"/>
            <w:vAlign w:val="center"/>
          </w:tcPr>
          <w:p>
            <w:pPr>
              <w:jc w:val="left"/>
              <w:rPr>
                <w:rFonts w:ascii="宋体" w:hAnsi="宋体" w:cs="Arial"/>
                <w:color w:val="auto"/>
                <w:szCs w:val="21"/>
                <w:highlight w:val="none"/>
              </w:rPr>
            </w:pPr>
            <w:r>
              <w:rPr>
                <w:rFonts w:hint="eastAsia" w:ascii="宋体" w:hAnsi="宋体"/>
                <w:color w:val="auto"/>
                <w:szCs w:val="21"/>
                <w:highlight w:val="none"/>
              </w:rPr>
              <w:t>投标保证金：本项目</w:t>
            </w:r>
            <w:r>
              <w:rPr>
                <w:rFonts w:ascii="宋体" w:hAnsi="宋体"/>
                <w:color w:val="auto"/>
                <w:szCs w:val="21"/>
                <w:highlight w:val="none"/>
              </w:rPr>
              <w:t>无须缴纳投标保证金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6</w:t>
            </w:r>
          </w:p>
        </w:tc>
        <w:tc>
          <w:tcPr>
            <w:tcW w:w="8222" w:type="dxa"/>
            <w:vAlign w:val="center"/>
          </w:tcPr>
          <w:p>
            <w:pPr>
              <w:contextualSpacing/>
              <w:jc w:val="left"/>
              <w:rPr>
                <w:rFonts w:ascii="宋体" w:hAnsi="宋体"/>
                <w:color w:val="auto"/>
                <w:highlight w:val="none"/>
              </w:rPr>
            </w:pPr>
            <w:r>
              <w:rPr>
                <w:rFonts w:hint="eastAsia" w:ascii="宋体" w:hAnsi="宋体"/>
                <w:color w:val="auto"/>
                <w:highlight w:val="none"/>
              </w:rPr>
              <w:t>现场踏勘：</w:t>
            </w:r>
            <w:r>
              <w:rPr>
                <w:rFonts w:hint="eastAsia" w:ascii="宋体" w:hAnsi="宋体"/>
                <w:color w:val="auto"/>
                <w:szCs w:val="21"/>
                <w:highlight w:val="none"/>
              </w:rPr>
              <w:t>请</w:t>
            </w:r>
            <w:r>
              <w:rPr>
                <w:rFonts w:ascii="宋体" w:hAnsi="宋体"/>
                <w:color w:val="auto"/>
                <w:szCs w:val="21"/>
                <w:highlight w:val="none"/>
              </w:rPr>
              <w:t>投标人</w:t>
            </w:r>
            <w:r>
              <w:rPr>
                <w:rFonts w:hint="eastAsia" w:ascii="宋体" w:hAnsi="宋体"/>
                <w:color w:val="auto"/>
                <w:szCs w:val="21"/>
                <w:highlight w:val="none"/>
              </w:rPr>
              <w:t>自行</w:t>
            </w:r>
            <w:r>
              <w:rPr>
                <w:rFonts w:hint="eastAsia" w:ascii="宋体" w:hAnsi="宋体"/>
                <w:color w:val="auto"/>
                <w:highlight w:val="none"/>
              </w:rPr>
              <w:t>踏勘现场</w:t>
            </w:r>
            <w:r>
              <w:rPr>
                <w:rFonts w:hint="eastAsia" w:ascii="宋体" w:hAnsi="宋体"/>
                <w:color w:val="auto"/>
                <w:szCs w:val="21"/>
                <w:highlight w:val="none"/>
              </w:rPr>
              <w:t>，遵守现场安全和防疫管理要求。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222" w:type="dxa"/>
            <w:vAlign w:val="center"/>
          </w:tcPr>
          <w:p>
            <w:pPr>
              <w:snapToGrid w:val="0"/>
              <w:spacing w:line="400" w:lineRule="exact"/>
              <w:contextualSpacing/>
              <w:rPr>
                <w:rFonts w:ascii="宋体" w:hAnsi="宋体"/>
                <w:color w:val="auto"/>
                <w:szCs w:val="21"/>
                <w:highlight w:val="none"/>
              </w:rPr>
            </w:pPr>
            <w:r>
              <w:rPr>
                <w:rFonts w:hint="eastAsia" w:ascii="宋体" w:hAnsi="宋体"/>
                <w:color w:val="auto"/>
                <w:szCs w:val="21"/>
                <w:highlight w:val="none"/>
              </w:rPr>
              <w:t>投标文件组成与份数：上传到政府采购云平台的电子加密投标文件（</w:t>
            </w:r>
            <w:r>
              <w:rPr>
                <w:rFonts w:ascii="宋体" w:hAnsi="宋体"/>
                <w:color w:val="auto"/>
                <w:szCs w:val="21"/>
                <w:highlight w:val="none"/>
              </w:rPr>
              <w:t>”资格文件”、“商务和技术文件</w:t>
            </w:r>
            <w:r>
              <w:rPr>
                <w:rFonts w:hint="eastAsia" w:ascii="宋体" w:hAnsi="宋体"/>
                <w:color w:val="auto"/>
                <w:szCs w:val="21"/>
                <w:highlight w:val="none"/>
              </w:rPr>
              <w:t>”、“报价文件”）1份；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82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文件递交时间：</w:t>
            </w:r>
            <w:r>
              <w:rPr>
                <w:rFonts w:hint="eastAsia" w:ascii="宋体" w:hAnsi="宋体"/>
                <w:color w:val="auto"/>
                <w:szCs w:val="21"/>
                <w:highlight w:val="none"/>
              </w:rPr>
              <w:t>详见第一章 采购公告。</w:t>
            </w:r>
          </w:p>
          <w:p>
            <w:pPr>
              <w:spacing w:line="400" w:lineRule="exact"/>
              <w:rPr>
                <w:rFonts w:ascii="宋体" w:hAnsi="宋体"/>
                <w:color w:val="auto"/>
                <w:szCs w:val="21"/>
                <w:highlight w:val="none"/>
              </w:rPr>
            </w:pPr>
            <w:r>
              <w:rPr>
                <w:rFonts w:hint="eastAsia" w:ascii="宋体" w:hAnsi="宋体"/>
                <w:color w:val="auto"/>
                <w:szCs w:val="21"/>
                <w:highlight w:val="none"/>
              </w:rPr>
              <w:t>投标截止时间及地点：详见第一章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8222" w:type="dxa"/>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开标时间及地点：详见第一章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8222" w:type="dxa"/>
            <w:vAlign w:val="center"/>
          </w:tcPr>
          <w:p>
            <w:pPr>
              <w:autoSpaceDE w:val="0"/>
              <w:autoSpaceDN w:val="0"/>
              <w:spacing w:line="400" w:lineRule="exact"/>
              <w:jc w:val="left"/>
              <w:textAlignment w:val="bottom"/>
              <w:rPr>
                <w:rFonts w:ascii="宋体" w:hAnsi="宋体"/>
                <w:color w:val="auto"/>
                <w:szCs w:val="21"/>
                <w:highlight w:val="none"/>
              </w:rPr>
            </w:pPr>
            <w:r>
              <w:rPr>
                <w:rFonts w:hint="eastAsia" w:ascii="宋体" w:hAnsi="宋体"/>
                <w:color w:val="auto"/>
                <w:szCs w:val="21"/>
                <w:highlight w:val="none"/>
              </w:rPr>
              <w:t>评标办法及评分标准：详见第四章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8222" w:type="dxa"/>
            <w:vAlign w:val="center"/>
          </w:tcPr>
          <w:p>
            <w:pPr>
              <w:spacing w:line="400" w:lineRule="exact"/>
              <w:contextualSpacing/>
              <w:jc w:val="left"/>
              <w:rPr>
                <w:rFonts w:ascii="宋体" w:hAnsi="宋体"/>
                <w:color w:val="auto"/>
                <w:highlight w:val="none"/>
              </w:rPr>
            </w:pPr>
            <w:r>
              <w:rPr>
                <w:rFonts w:hint="eastAsia" w:ascii="宋体" w:hAnsi="宋体"/>
                <w:color w:val="auto"/>
                <w:highlight w:val="none"/>
              </w:rPr>
              <w:t>中标结果公示：评标结束后，经采购人确认后，中标结果公示于</w:t>
            </w:r>
            <w:r>
              <w:rPr>
                <w:rFonts w:hint="eastAsia" w:ascii="宋体" w:hAnsi="宋体" w:cs="Arial"/>
                <w:color w:val="auto"/>
                <w:szCs w:val="21"/>
                <w:highlight w:val="none"/>
              </w:rPr>
              <w:t>浙江省政府采购网、宁波市政府采购网、宁波公共资源交易网北仑区分网、</w:t>
            </w:r>
            <w:r>
              <w:rPr>
                <w:rFonts w:hint="eastAsia" w:ascii="宋体" w:hAnsi="宋体"/>
                <w:color w:val="auto"/>
                <w:highlight w:val="none"/>
              </w:rPr>
              <w:t>宁波中基国际招标有限公司网站。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8222" w:type="dxa"/>
            <w:vAlign w:val="center"/>
          </w:tcPr>
          <w:p>
            <w:pPr>
              <w:autoSpaceDE w:val="0"/>
              <w:autoSpaceDN w:val="0"/>
              <w:spacing w:line="400" w:lineRule="exact"/>
              <w:textAlignment w:val="bottom"/>
              <w:rPr>
                <w:rFonts w:ascii="宋体" w:hAnsi="宋体"/>
                <w:color w:val="auto"/>
                <w:szCs w:val="21"/>
                <w:highlight w:val="none"/>
              </w:rPr>
            </w:pPr>
            <w:r>
              <w:rPr>
                <w:rFonts w:hint="eastAsia" w:ascii="宋体" w:hAnsi="宋体"/>
                <w:color w:val="auto"/>
                <w:szCs w:val="21"/>
                <w:highlight w:val="none"/>
              </w:rPr>
              <w:t>签订合同时间：中标通知书发出后30日内。</w:t>
            </w:r>
          </w:p>
          <w:p>
            <w:pPr>
              <w:autoSpaceDE w:val="0"/>
              <w:autoSpaceDN w:val="0"/>
              <w:spacing w:line="400" w:lineRule="exact"/>
              <w:textAlignment w:val="bottom"/>
              <w:rPr>
                <w:rFonts w:ascii="宋体" w:hAnsi="宋体"/>
                <w:color w:val="auto"/>
                <w:szCs w:val="21"/>
                <w:highlight w:val="none"/>
              </w:rPr>
            </w:pPr>
            <w:r>
              <w:rPr>
                <w:rFonts w:hint="eastAsia" w:ascii="宋体" w:hAnsi="宋体"/>
                <w:color w:val="auto"/>
                <w:szCs w:val="21"/>
                <w:highlight w:val="none"/>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8222" w:type="dxa"/>
            <w:vAlign w:val="center"/>
          </w:tcPr>
          <w:p>
            <w:pPr>
              <w:autoSpaceDE w:val="0"/>
              <w:autoSpaceDN w:val="0"/>
              <w:spacing w:line="400" w:lineRule="exact"/>
              <w:textAlignment w:val="bottom"/>
              <w:rPr>
                <w:rFonts w:ascii="宋体" w:hAnsi="宋体"/>
                <w:color w:val="auto"/>
                <w:szCs w:val="21"/>
                <w:highlight w:val="none"/>
              </w:rPr>
            </w:pPr>
            <w:r>
              <w:rPr>
                <w:rFonts w:hint="eastAsia" w:ascii="宋体" w:hAnsi="宋体"/>
                <w:color w:val="auto"/>
                <w:szCs w:val="21"/>
                <w:highlight w:val="none"/>
              </w:rPr>
              <w:t>采购资金来源：预算资金。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8222" w:type="dxa"/>
            <w:vAlign w:val="center"/>
          </w:tcPr>
          <w:p>
            <w:pPr>
              <w:autoSpaceDE w:val="0"/>
              <w:autoSpaceDN w:val="0"/>
              <w:spacing w:line="400" w:lineRule="exact"/>
              <w:textAlignment w:val="bottom"/>
              <w:rPr>
                <w:rFonts w:ascii="宋体" w:hAnsi="宋体"/>
                <w:color w:val="auto"/>
                <w:szCs w:val="21"/>
                <w:highlight w:val="none"/>
              </w:rPr>
            </w:pPr>
            <w:r>
              <w:rPr>
                <w:rFonts w:hint="eastAsia" w:ascii="宋体" w:hAnsi="宋体"/>
                <w:color w:val="auto"/>
                <w:szCs w:val="21"/>
                <w:highlight w:val="none"/>
              </w:rPr>
              <w:t>投标文件有效期：90天。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8222" w:type="dxa"/>
            <w:vAlign w:val="center"/>
          </w:tcPr>
          <w:p>
            <w:pPr>
              <w:autoSpaceDE w:val="0"/>
              <w:autoSpaceDN w:val="0"/>
              <w:spacing w:line="400" w:lineRule="exact"/>
              <w:textAlignment w:val="bottom"/>
              <w:rPr>
                <w:rFonts w:ascii="宋体" w:hAnsi="宋体"/>
                <w:color w:val="auto"/>
                <w:szCs w:val="21"/>
                <w:highlight w:val="none"/>
              </w:rPr>
            </w:pPr>
            <w:r>
              <w:rPr>
                <w:rFonts w:hint="eastAsia" w:ascii="宋体" w:hAnsi="宋体"/>
                <w:color w:val="auto"/>
                <w:szCs w:val="21"/>
                <w:highlight w:val="none"/>
              </w:rPr>
              <w:t>解释：本采购文件的解释权属于招标采购人。</w:t>
            </w:r>
          </w:p>
        </w:tc>
      </w:tr>
    </w:tbl>
    <w:p>
      <w:pPr>
        <w:pStyle w:val="3"/>
        <w:spacing w:before="0" w:after="0" w:line="360" w:lineRule="auto"/>
        <w:rPr>
          <w:rFonts w:ascii="宋体" w:hAnsi="宋体"/>
          <w:color w:val="auto"/>
          <w:sz w:val="21"/>
          <w:szCs w:val="21"/>
          <w:highlight w:val="none"/>
        </w:rPr>
        <w:sectPr>
          <w:pgSz w:w="11907" w:h="16840"/>
          <w:pgMar w:top="1361" w:right="1474" w:bottom="1242" w:left="1474" w:header="720" w:footer="720" w:gutter="0"/>
          <w:cols w:space="720" w:num="1"/>
          <w:docGrid w:linePitch="285" w:charSpace="0"/>
        </w:sectPr>
      </w:pPr>
      <w:bookmarkStart w:id="60" w:name="_Toc460857897"/>
    </w:p>
    <w:p>
      <w:pPr>
        <w:spacing w:line="360" w:lineRule="auto"/>
        <w:rPr>
          <w:rFonts w:ascii="宋体" w:hAnsi="宋体"/>
          <w:b/>
          <w:color w:val="auto"/>
          <w:highlight w:val="none"/>
        </w:rPr>
      </w:pPr>
      <w:bookmarkStart w:id="61" w:name="_Toc17884814"/>
      <w:r>
        <w:rPr>
          <w:rFonts w:hint="eastAsia" w:ascii="宋体" w:hAnsi="宋体"/>
          <w:b/>
          <w:color w:val="auto"/>
          <w:highlight w:val="none"/>
        </w:rPr>
        <w:t>一、总则</w:t>
      </w:r>
      <w:bookmarkEnd w:id="60"/>
      <w:bookmarkEnd w:id="61"/>
    </w:p>
    <w:p>
      <w:pPr>
        <w:spacing w:line="360" w:lineRule="auto"/>
        <w:rPr>
          <w:rFonts w:ascii="宋体" w:hAnsi="宋体"/>
          <w:b/>
          <w:color w:val="auto"/>
          <w:highlight w:val="none"/>
        </w:rPr>
      </w:pPr>
      <w:bookmarkStart w:id="62" w:name="_Toc460416340"/>
      <w:bookmarkStart w:id="63" w:name="_Toc17884815"/>
      <w:bookmarkStart w:id="64" w:name="_Toc460416645"/>
      <w:bookmarkStart w:id="65" w:name="_Toc460857898"/>
      <w:bookmarkStart w:id="66" w:name="_Toc460416596"/>
      <w:r>
        <w:rPr>
          <w:rFonts w:hint="eastAsia" w:ascii="宋体" w:hAnsi="宋体"/>
          <w:b/>
          <w:color w:val="auto"/>
          <w:highlight w:val="none"/>
        </w:rPr>
        <w:t>（一）适用范围</w:t>
      </w:r>
      <w:bookmarkEnd w:id="62"/>
      <w:bookmarkEnd w:id="63"/>
      <w:bookmarkEnd w:id="64"/>
      <w:bookmarkEnd w:id="65"/>
      <w:bookmarkEnd w:id="66"/>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本采购文件适用于本采购项目的招标、投标、评标、定标、验收、合同履约、付款等行为（法律、法规另有规定的，从其规定）。</w:t>
      </w:r>
    </w:p>
    <w:p>
      <w:pPr>
        <w:spacing w:line="360" w:lineRule="auto"/>
        <w:rPr>
          <w:rFonts w:ascii="宋体" w:hAnsi="宋体"/>
          <w:b/>
          <w:color w:val="auto"/>
          <w:highlight w:val="none"/>
        </w:rPr>
      </w:pPr>
      <w:bookmarkStart w:id="67" w:name="_Toc460857899"/>
      <w:bookmarkStart w:id="68" w:name="_Toc17884816"/>
      <w:bookmarkStart w:id="69" w:name="_Toc460416597"/>
      <w:bookmarkStart w:id="70" w:name="_Toc460416341"/>
      <w:bookmarkStart w:id="71" w:name="_Toc460416646"/>
      <w:r>
        <w:rPr>
          <w:rFonts w:hint="eastAsia" w:ascii="宋体" w:hAnsi="宋体"/>
          <w:b/>
          <w:color w:val="auto"/>
          <w:highlight w:val="none"/>
        </w:rPr>
        <w:t>（二）定义</w:t>
      </w:r>
      <w:bookmarkEnd w:id="67"/>
      <w:bookmarkEnd w:id="68"/>
      <w:bookmarkEnd w:id="69"/>
      <w:bookmarkEnd w:id="70"/>
      <w:bookmarkEnd w:id="71"/>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1、“采购人”系指</w:t>
      </w:r>
      <w:r>
        <w:rPr>
          <w:rFonts w:hint="eastAsia" w:ascii="宋体" w:hAnsi="宋体"/>
          <w:color w:val="auto"/>
          <w:highlight w:val="none"/>
        </w:rPr>
        <w:t>北京航空航天大学宁波创新研究院</w:t>
      </w:r>
      <w:r>
        <w:rPr>
          <w:rFonts w:hint="eastAsia" w:ascii="宋体" w:hAnsi="宋体"/>
          <w:color w:val="auto"/>
          <w:szCs w:val="21"/>
          <w:highlight w:val="none"/>
        </w:rPr>
        <w:t>（“招标人”）。</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2、“投标人”系指向采购人提交投标文件的单位或个人（“供应商”）。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3、“产品”系指供投标人按采购文件规定，须向采购人提供的一切设备、保险、税金、备品备件、工具、手册及其它有关技术资料和材料。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4、“服务”系指采购文件规定投标人须承担的安装、调试、技术协助、校准、培训、技术指导以及其他类似的义务。</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5、“项目”系指投标人按采购文件规定向采购人提供的产品和服务。</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6、“书面形式”包括信函、传真、电报等。</w:t>
      </w:r>
    </w:p>
    <w:p>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7、“*”系指实质性要求条款。</w:t>
      </w:r>
    </w:p>
    <w:p>
      <w:pPr>
        <w:spacing w:line="360" w:lineRule="auto"/>
        <w:rPr>
          <w:rFonts w:ascii="宋体" w:hAnsi="宋体"/>
          <w:b/>
          <w:color w:val="auto"/>
          <w:highlight w:val="none"/>
        </w:rPr>
      </w:pPr>
      <w:bookmarkStart w:id="72" w:name="_Toc460416342"/>
      <w:bookmarkStart w:id="73" w:name="_Toc460416598"/>
      <w:bookmarkStart w:id="74" w:name="_Toc17884817"/>
      <w:bookmarkStart w:id="75" w:name="_Toc460857900"/>
      <w:bookmarkStart w:id="76" w:name="_Toc460416647"/>
      <w:r>
        <w:rPr>
          <w:rFonts w:hint="eastAsia" w:ascii="宋体" w:hAnsi="宋体"/>
          <w:b/>
          <w:color w:val="auto"/>
          <w:highlight w:val="none"/>
        </w:rPr>
        <w:t>（三）招标方式</w:t>
      </w:r>
      <w:bookmarkEnd w:id="72"/>
      <w:bookmarkEnd w:id="73"/>
      <w:bookmarkEnd w:id="74"/>
      <w:bookmarkEnd w:id="75"/>
      <w:bookmarkEnd w:id="76"/>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本次招标采用公开招标方式进行。</w:t>
      </w:r>
    </w:p>
    <w:p>
      <w:pPr>
        <w:spacing w:line="360" w:lineRule="auto"/>
        <w:rPr>
          <w:rFonts w:ascii="宋体" w:hAnsi="宋体"/>
          <w:b/>
          <w:color w:val="auto"/>
          <w:highlight w:val="none"/>
        </w:rPr>
      </w:pPr>
      <w:bookmarkStart w:id="77" w:name="_Toc460857901"/>
      <w:bookmarkStart w:id="78" w:name="_Toc460416599"/>
      <w:bookmarkStart w:id="79" w:name="_Toc17884818"/>
      <w:bookmarkStart w:id="80" w:name="_Toc460416343"/>
      <w:bookmarkStart w:id="81" w:name="_Toc460416648"/>
      <w:r>
        <w:rPr>
          <w:rFonts w:hint="eastAsia" w:ascii="宋体" w:hAnsi="宋体"/>
          <w:b/>
          <w:color w:val="auto"/>
          <w:highlight w:val="none"/>
        </w:rPr>
        <w:t>（四）投标委托</w:t>
      </w:r>
      <w:bookmarkEnd w:id="77"/>
      <w:bookmarkEnd w:id="78"/>
      <w:bookmarkEnd w:id="79"/>
      <w:bookmarkEnd w:id="80"/>
      <w:bookmarkEnd w:id="81"/>
    </w:p>
    <w:p>
      <w:pPr>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如投标人代表不是法定代表人，须有法定代表人出具的授权委托书（正本用原件，副本可用复印件，格式见第六章）。</w:t>
      </w:r>
    </w:p>
    <w:p>
      <w:pPr>
        <w:spacing w:line="360" w:lineRule="auto"/>
        <w:rPr>
          <w:rFonts w:ascii="宋体" w:hAnsi="宋体"/>
          <w:b/>
          <w:color w:val="auto"/>
          <w:highlight w:val="none"/>
        </w:rPr>
      </w:pPr>
      <w:bookmarkStart w:id="82" w:name="_Toc17884819"/>
      <w:bookmarkStart w:id="83" w:name="_Toc460416344"/>
      <w:bookmarkStart w:id="84" w:name="_Toc460857902"/>
      <w:bookmarkStart w:id="85" w:name="_Toc460416649"/>
      <w:bookmarkStart w:id="86" w:name="_Toc460416600"/>
      <w:r>
        <w:rPr>
          <w:rFonts w:hint="eastAsia" w:ascii="宋体" w:hAnsi="宋体"/>
          <w:b/>
          <w:color w:val="auto"/>
          <w:highlight w:val="none"/>
        </w:rPr>
        <w:t>（五）投标费用</w:t>
      </w:r>
      <w:bookmarkEnd w:id="82"/>
      <w:bookmarkEnd w:id="83"/>
      <w:bookmarkEnd w:id="84"/>
      <w:bookmarkEnd w:id="85"/>
      <w:bookmarkEnd w:id="86"/>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不论投标结果如何，投标人均应自行承担所有与投标有关的全部费用（采购文件有相反规定除外）。</w:t>
      </w:r>
    </w:p>
    <w:p>
      <w:pPr>
        <w:spacing w:line="360" w:lineRule="auto"/>
        <w:rPr>
          <w:rFonts w:ascii="宋体" w:hAnsi="宋体"/>
          <w:b/>
          <w:color w:val="auto"/>
          <w:highlight w:val="none"/>
        </w:rPr>
      </w:pPr>
      <w:bookmarkStart w:id="87" w:name="_Toc17884820"/>
      <w:bookmarkStart w:id="88" w:name="_Toc460857903"/>
      <w:r>
        <w:rPr>
          <w:rFonts w:hint="eastAsia" w:ascii="宋体" w:hAnsi="宋体"/>
          <w:b/>
          <w:color w:val="auto"/>
          <w:highlight w:val="none"/>
        </w:rPr>
        <w:t>（六）联合体投标</w:t>
      </w:r>
      <w:bookmarkEnd w:id="87"/>
      <w:bookmarkEnd w:id="88"/>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宋体" w:hAnsi="宋体"/>
          <w:b/>
          <w:color w:val="auto"/>
          <w:highlight w:val="none"/>
        </w:rPr>
      </w:pPr>
      <w:bookmarkStart w:id="89" w:name="_Toc460857904"/>
      <w:bookmarkStart w:id="90" w:name="_Toc17884821"/>
      <w:r>
        <w:rPr>
          <w:rFonts w:hint="eastAsia" w:ascii="宋体" w:hAnsi="宋体"/>
          <w:b/>
          <w:color w:val="auto"/>
          <w:highlight w:val="none"/>
        </w:rPr>
        <w:t>（七）转包与分包</w:t>
      </w:r>
      <w:bookmarkEnd w:id="89"/>
      <w:bookmarkEnd w:id="90"/>
    </w:p>
    <w:p>
      <w:pPr>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w:t>
      </w:r>
      <w:r>
        <w:rPr>
          <w:rFonts w:hint="eastAsia" w:ascii="宋体" w:hAnsi="宋体"/>
          <w:color w:val="auto"/>
          <w:szCs w:val="21"/>
          <w:highlight w:val="none"/>
        </w:rPr>
        <w:t>项目</w:t>
      </w:r>
      <w:r>
        <w:rPr>
          <w:rFonts w:hint="eastAsia" w:ascii="宋体" w:hAnsi="宋体"/>
          <w:color w:val="auto"/>
          <w:kern w:val="0"/>
          <w:szCs w:val="21"/>
          <w:highlight w:val="none"/>
        </w:rPr>
        <w:t>不允许转包。</w:t>
      </w:r>
    </w:p>
    <w:p>
      <w:pPr>
        <w:spacing w:line="360" w:lineRule="auto"/>
        <w:rPr>
          <w:rFonts w:ascii="宋体" w:hAnsi="宋体"/>
          <w:b/>
          <w:color w:val="auto"/>
          <w:highlight w:val="none"/>
        </w:rPr>
      </w:pPr>
      <w:bookmarkStart w:id="91" w:name="_Toc460416601"/>
      <w:bookmarkStart w:id="92" w:name="_Toc460857905"/>
      <w:bookmarkStart w:id="93" w:name="_Toc460416650"/>
      <w:bookmarkStart w:id="94" w:name="_Toc460416345"/>
      <w:bookmarkStart w:id="95" w:name="_Toc17884822"/>
      <w:r>
        <w:rPr>
          <w:rFonts w:hint="eastAsia" w:ascii="宋体" w:hAnsi="宋体"/>
          <w:b/>
          <w:color w:val="auto"/>
          <w:highlight w:val="none"/>
        </w:rPr>
        <w:t>（八）特别说明</w:t>
      </w:r>
      <w:bookmarkEnd w:id="91"/>
      <w:bookmarkEnd w:id="92"/>
      <w:bookmarkEnd w:id="93"/>
      <w:bookmarkEnd w:id="94"/>
      <w:bookmarkEnd w:id="95"/>
    </w:p>
    <w:p>
      <w:pPr>
        <w:snapToGrid w:val="0"/>
        <w:spacing w:line="360" w:lineRule="auto"/>
        <w:ind w:firstLine="420" w:firstLineChars="200"/>
        <w:jc w:val="left"/>
        <w:rPr>
          <w:rFonts w:ascii="宋体" w:hAnsi="宋体"/>
          <w:bCs/>
          <w:color w:val="auto"/>
          <w:szCs w:val="21"/>
          <w:highlight w:val="none"/>
        </w:rPr>
      </w:pPr>
      <w:bookmarkStart w:id="96" w:name="_Toc304292183"/>
      <w:bookmarkStart w:id="97" w:name="_Toc317685566"/>
      <w:bookmarkStart w:id="98" w:name="_Toc436330203"/>
      <w:bookmarkStart w:id="99" w:name="_Toc460416346"/>
      <w:bookmarkStart w:id="100" w:name="_Toc460857906"/>
      <w:bookmarkStart w:id="101" w:name="_Toc460416602"/>
      <w:bookmarkStart w:id="102" w:name="_Toc460416651"/>
      <w:bookmarkStart w:id="103" w:name="_Toc17884823"/>
      <w:r>
        <w:rPr>
          <w:rFonts w:hint="eastAsia" w:ascii="宋体" w:hAnsi="宋体"/>
          <w:bCs/>
          <w:color w:val="auto"/>
          <w:szCs w:val="21"/>
          <w:highlight w:val="none"/>
        </w:rPr>
        <w:t>1、采用最低评标价法的采购项目，提供相同品牌产品的不同</w:t>
      </w:r>
      <w:r>
        <w:rPr>
          <w:rFonts w:ascii="宋体" w:hAnsi="宋体"/>
          <w:bCs/>
          <w:color w:val="auto"/>
          <w:szCs w:val="21"/>
          <w:highlight w:val="none"/>
        </w:rPr>
        <w:t>投标人</w:t>
      </w:r>
      <w:r>
        <w:rPr>
          <w:rFonts w:hint="eastAsia" w:ascii="宋体" w:hAnsi="宋体"/>
          <w:bCs/>
          <w:color w:val="auto"/>
          <w:szCs w:val="21"/>
          <w:highlight w:val="none"/>
        </w:rPr>
        <w:t>参加同一合同项下投标的，以其中</w:t>
      </w:r>
      <w:r>
        <w:rPr>
          <w:rFonts w:hint="eastAsia" w:ascii="宋体" w:hAnsi="宋体"/>
          <w:color w:val="auto"/>
          <w:szCs w:val="21"/>
          <w:highlight w:val="none"/>
        </w:rPr>
        <w:t>通过</w:t>
      </w:r>
      <w:r>
        <w:rPr>
          <w:rFonts w:hint="eastAsia" w:ascii="宋体" w:hAnsi="宋体"/>
          <w:bCs/>
          <w:color w:val="auto"/>
          <w:szCs w:val="21"/>
          <w:highlight w:val="none"/>
        </w:rPr>
        <w:t>资格审查、符合性审查且报价最低的参加评标；报价相同的，由采购人或者采购人委托评标委员会按照采购文件规定的方式确定一个参加评标的</w:t>
      </w:r>
      <w:r>
        <w:rPr>
          <w:rFonts w:ascii="宋体" w:hAnsi="宋体"/>
          <w:bCs/>
          <w:color w:val="auto"/>
          <w:szCs w:val="21"/>
          <w:highlight w:val="none"/>
        </w:rPr>
        <w:t>投标人</w:t>
      </w:r>
      <w:r>
        <w:rPr>
          <w:rFonts w:hint="eastAsia" w:ascii="宋体" w:hAnsi="宋体"/>
          <w:bCs/>
          <w:color w:val="auto"/>
          <w:szCs w:val="21"/>
          <w:highlight w:val="none"/>
        </w:rPr>
        <w:t>，采购文件未规定的采取随机抽取方式确定，其他投标无效。</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使用综合评分法的采购项目，提供相同品牌产品且通过资格审查、符合性审查的不同</w:t>
      </w:r>
      <w:r>
        <w:rPr>
          <w:rFonts w:ascii="宋体" w:hAnsi="宋体"/>
          <w:bCs/>
          <w:color w:val="auto"/>
          <w:szCs w:val="21"/>
          <w:highlight w:val="none"/>
        </w:rPr>
        <w:t>投标人</w:t>
      </w:r>
      <w:r>
        <w:rPr>
          <w:rFonts w:hint="eastAsia" w:ascii="宋体" w:hAnsi="宋体"/>
          <w:bCs/>
          <w:color w:val="auto"/>
          <w:szCs w:val="21"/>
          <w:highlight w:val="none"/>
        </w:rPr>
        <w:t>参加同一合同项下投标的，按一家</w:t>
      </w:r>
      <w:r>
        <w:rPr>
          <w:rFonts w:ascii="宋体" w:hAnsi="宋体"/>
          <w:bCs/>
          <w:color w:val="auto"/>
          <w:szCs w:val="21"/>
          <w:highlight w:val="none"/>
        </w:rPr>
        <w:t>投标人</w:t>
      </w:r>
      <w:r>
        <w:rPr>
          <w:rFonts w:hint="eastAsia" w:ascii="宋体" w:hAnsi="宋体"/>
          <w:bCs/>
          <w:color w:val="auto"/>
          <w:szCs w:val="21"/>
          <w:highlight w:val="none"/>
        </w:rPr>
        <w:t>计算，评审后得分最高的同品牌</w:t>
      </w:r>
      <w:r>
        <w:rPr>
          <w:rFonts w:ascii="宋体" w:hAnsi="宋体"/>
          <w:bCs/>
          <w:color w:val="auto"/>
          <w:szCs w:val="21"/>
          <w:highlight w:val="none"/>
        </w:rPr>
        <w:t>投标人</w:t>
      </w:r>
      <w:r>
        <w:rPr>
          <w:rFonts w:hint="eastAsia" w:ascii="宋体" w:hAnsi="宋体"/>
          <w:bCs/>
          <w:color w:val="auto"/>
          <w:szCs w:val="21"/>
          <w:highlight w:val="none"/>
        </w:rPr>
        <w:t>获得中标人推荐资格；评审得分相同的，由采购人或者采购人委托评标委员会按照采购文件规定的方式确定一个</w:t>
      </w:r>
      <w:r>
        <w:rPr>
          <w:rFonts w:ascii="宋体" w:hAnsi="宋体"/>
          <w:bCs/>
          <w:color w:val="auto"/>
          <w:szCs w:val="21"/>
          <w:highlight w:val="none"/>
        </w:rPr>
        <w:t>投标人</w:t>
      </w:r>
      <w:r>
        <w:rPr>
          <w:rFonts w:hint="eastAsia" w:ascii="宋体" w:hAnsi="宋体"/>
          <w:bCs/>
          <w:color w:val="auto"/>
          <w:szCs w:val="21"/>
          <w:highlight w:val="none"/>
        </w:rPr>
        <w:t>获得中标人推荐资格，采购文件未规定的采取随机抽取方式确定，其他同品牌</w:t>
      </w:r>
      <w:r>
        <w:rPr>
          <w:rFonts w:ascii="宋体" w:hAnsi="宋体"/>
          <w:bCs/>
          <w:color w:val="auto"/>
          <w:szCs w:val="21"/>
          <w:highlight w:val="none"/>
        </w:rPr>
        <w:t>投标人</w:t>
      </w:r>
      <w:r>
        <w:rPr>
          <w:rFonts w:hint="eastAsia" w:ascii="宋体" w:hAnsi="宋体"/>
          <w:bCs/>
          <w:color w:val="auto"/>
          <w:szCs w:val="21"/>
          <w:highlight w:val="none"/>
        </w:rPr>
        <w:t>不作为中标候选人。</w:t>
      </w:r>
    </w:p>
    <w:p>
      <w:pPr>
        <w:widowControl/>
        <w:spacing w:line="360" w:lineRule="auto"/>
        <w:ind w:firstLine="420" w:firstLineChars="200"/>
        <w:jc w:val="left"/>
        <w:rPr>
          <w:rFonts w:ascii="宋体" w:hAnsi="宋体"/>
          <w:bCs/>
          <w:color w:val="auto"/>
          <w:szCs w:val="21"/>
          <w:highlight w:val="none"/>
        </w:rPr>
      </w:pPr>
      <w:r>
        <w:rPr>
          <w:rFonts w:hint="eastAsia" w:ascii="宋体" w:hAnsi="宋体" w:cs="宋体"/>
          <w:color w:val="auto"/>
          <w:kern w:val="0"/>
          <w:szCs w:val="21"/>
          <w:highlight w:val="none"/>
        </w:rPr>
        <w:t>非单一产品采购项目，多家</w:t>
      </w:r>
      <w:r>
        <w:rPr>
          <w:rFonts w:ascii="宋体" w:hAnsi="宋体" w:cs="宋体"/>
          <w:color w:val="auto"/>
          <w:kern w:val="0"/>
          <w:szCs w:val="21"/>
          <w:highlight w:val="none"/>
        </w:rPr>
        <w:t>投标人</w:t>
      </w:r>
      <w:r>
        <w:rPr>
          <w:rFonts w:hint="eastAsia" w:ascii="宋体" w:hAnsi="宋体" w:cs="宋体"/>
          <w:color w:val="auto"/>
          <w:kern w:val="0"/>
          <w:szCs w:val="21"/>
          <w:highlight w:val="none"/>
        </w:rPr>
        <w:t>提供的核心产品品牌相同的，按前款处理。</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投标人</w:t>
      </w:r>
      <w:r>
        <w:rPr>
          <w:rFonts w:hint="eastAsia" w:ascii="宋体" w:hAnsi="宋体"/>
          <w:bCs/>
          <w:color w:val="auto"/>
          <w:szCs w:val="21"/>
          <w:highlight w:val="none"/>
        </w:rPr>
        <w:t>应仔细阅读采购文件的所有内容，按照采购文件的要求提交投标文件，并对所提供的全部资料的真实性承担法律责任。</w:t>
      </w:r>
    </w:p>
    <w:p>
      <w:pPr>
        <w:pStyle w:val="22"/>
        <w:widowControl/>
        <w:spacing w:beforeLines="0" w:afterLines="0" w:line="360" w:lineRule="auto"/>
        <w:ind w:left="2" w:leftChars="1" w:firstLine="420" w:firstLineChars="200"/>
        <w:jc w:val="left"/>
        <w:rPr>
          <w:rFonts w:hAnsi="宋体"/>
          <w:bCs/>
          <w:color w:val="auto"/>
          <w:sz w:val="21"/>
          <w:szCs w:val="21"/>
          <w:highlight w:val="none"/>
        </w:rPr>
      </w:pPr>
      <w:r>
        <w:rPr>
          <w:rFonts w:hint="eastAsia" w:hAnsi="宋体"/>
          <w:bCs/>
          <w:color w:val="auto"/>
          <w:sz w:val="21"/>
          <w:szCs w:val="21"/>
          <w:highlight w:val="none"/>
        </w:rPr>
        <w:t>*3、</w:t>
      </w:r>
      <w:r>
        <w:rPr>
          <w:rFonts w:hAnsi="宋体"/>
          <w:bCs/>
          <w:color w:val="auto"/>
          <w:sz w:val="21"/>
          <w:szCs w:val="21"/>
          <w:highlight w:val="none"/>
        </w:rPr>
        <w:t>投标人</w:t>
      </w:r>
      <w:r>
        <w:rPr>
          <w:rFonts w:hint="eastAsia" w:hAnsi="宋体"/>
          <w:bCs/>
          <w:color w:val="auto"/>
          <w:sz w:val="21"/>
          <w:szCs w:val="21"/>
          <w:highlight w:val="none"/>
        </w:rPr>
        <w:t>在投标活动中提供任何虚假材料，其投标无效，并报监管部门查处。</w:t>
      </w:r>
    </w:p>
    <w:bookmarkEnd w:id="96"/>
    <w:bookmarkEnd w:id="97"/>
    <w:bookmarkEnd w:id="98"/>
    <w:p>
      <w:pPr>
        <w:widowControl/>
        <w:spacing w:line="360" w:lineRule="auto"/>
        <w:jc w:val="left"/>
        <w:rPr>
          <w:rFonts w:ascii="宋体" w:hAnsi="宋体"/>
          <w:bCs/>
          <w:color w:val="auto"/>
          <w:szCs w:val="21"/>
          <w:highlight w:val="none"/>
        </w:rPr>
      </w:pPr>
      <w:r>
        <w:rPr>
          <w:rFonts w:hint="eastAsia" w:ascii="宋体" w:hAnsi="宋体"/>
          <w:b/>
          <w:color w:val="auto"/>
          <w:szCs w:val="21"/>
          <w:highlight w:val="none"/>
        </w:rPr>
        <w:t>（九）、关于分公司投标</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（十）、关于知识产权</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投标人</w:t>
      </w:r>
      <w:r>
        <w:rPr>
          <w:rFonts w:hint="eastAsia" w:ascii="宋体" w:hAnsi="宋体"/>
          <w:bCs/>
          <w:color w:val="auto"/>
          <w:szCs w:val="21"/>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ascii="宋体" w:hAnsi="宋体"/>
          <w:bCs/>
          <w:color w:val="auto"/>
          <w:szCs w:val="21"/>
          <w:highlight w:val="none"/>
        </w:rPr>
        <w:t>投标人</w:t>
      </w:r>
      <w:r>
        <w:rPr>
          <w:rFonts w:hint="eastAsia" w:ascii="宋体" w:hAnsi="宋体"/>
          <w:bCs/>
          <w:color w:val="auto"/>
          <w:szCs w:val="21"/>
          <w:highlight w:val="none"/>
        </w:rPr>
        <w:t>承担。</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2、投标报价应包含所有应向所有权人支付的专利权、商标权或其它知识产权的一切相关费用。</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3、系统软件、通用软件必须是具有在中国境内的合法使用权或版权的正版软件，涉及到第三方提出侵权或知识产权的起诉及支付版税等费用由</w:t>
      </w:r>
      <w:r>
        <w:rPr>
          <w:rFonts w:ascii="宋体" w:hAnsi="宋体"/>
          <w:bCs/>
          <w:color w:val="auto"/>
          <w:szCs w:val="21"/>
          <w:highlight w:val="none"/>
        </w:rPr>
        <w:t>投标人</w:t>
      </w:r>
      <w:r>
        <w:rPr>
          <w:rFonts w:hint="eastAsia" w:ascii="宋体" w:hAnsi="宋体"/>
          <w:bCs/>
          <w:color w:val="auto"/>
          <w:szCs w:val="21"/>
          <w:highlight w:val="none"/>
        </w:rPr>
        <w:t>承担所有责任及费用。</w:t>
      </w:r>
    </w:p>
    <w:p>
      <w:pPr>
        <w:spacing w:line="360" w:lineRule="auto"/>
        <w:rPr>
          <w:rFonts w:ascii="宋体" w:hAnsi="宋体"/>
          <w:b/>
          <w:color w:val="auto"/>
          <w:highlight w:val="none"/>
        </w:rPr>
      </w:pPr>
      <w:r>
        <w:rPr>
          <w:rFonts w:hint="eastAsia" w:ascii="宋体" w:hAnsi="宋体"/>
          <w:b/>
          <w:color w:val="auto"/>
          <w:highlight w:val="none"/>
        </w:rPr>
        <w:t>（十一）质疑和投诉</w:t>
      </w:r>
      <w:bookmarkEnd w:id="99"/>
      <w:bookmarkEnd w:id="100"/>
      <w:bookmarkEnd w:id="101"/>
      <w:bookmarkEnd w:id="102"/>
      <w:bookmarkEnd w:id="103"/>
    </w:p>
    <w:p>
      <w:pPr>
        <w:pStyle w:val="2"/>
        <w:spacing w:after="0" w:line="360" w:lineRule="auto"/>
        <w:ind w:firstLine="420" w:firstLineChars="200"/>
        <w:rPr>
          <w:rFonts w:ascii="宋体" w:hAnsi="宋体"/>
          <w:color w:val="auto"/>
          <w:highlight w:val="none"/>
        </w:rPr>
      </w:pPr>
      <w:r>
        <w:rPr>
          <w:rFonts w:ascii="宋体" w:hAnsi="宋体"/>
          <w:color w:val="auto"/>
          <w:sz w:val="21"/>
          <w:szCs w:val="21"/>
          <w:highlight w:val="none"/>
        </w:rPr>
        <w:t>1</w:t>
      </w:r>
      <w:r>
        <w:rPr>
          <w:rFonts w:hint="eastAsia" w:ascii="宋体" w:hAnsi="宋体"/>
          <w:color w:val="auto"/>
          <w:sz w:val="21"/>
          <w:szCs w:val="21"/>
          <w:highlight w:val="none"/>
        </w:rPr>
        <w:t>、供应商</w:t>
      </w:r>
      <w:r>
        <w:rPr>
          <w:rFonts w:ascii="宋体" w:hAnsi="宋体"/>
          <w:color w:val="auto"/>
          <w:sz w:val="21"/>
          <w:szCs w:val="21"/>
          <w:highlight w:val="none"/>
        </w:rPr>
        <w:t>认为采购文件、采购过程、中标或者成交结果使自己的权益受到损害的，</w:t>
      </w:r>
      <w:r>
        <w:rPr>
          <w:rFonts w:hint="eastAsia" w:ascii="宋体" w:hAnsi="宋体"/>
          <w:color w:val="auto"/>
          <w:sz w:val="21"/>
          <w:szCs w:val="21"/>
          <w:highlight w:val="none"/>
        </w:rPr>
        <w:t>须</w:t>
      </w:r>
      <w:r>
        <w:rPr>
          <w:rFonts w:ascii="宋体" w:hAnsi="宋体"/>
          <w:color w:val="auto"/>
          <w:sz w:val="21"/>
          <w:szCs w:val="21"/>
          <w:highlight w:val="none"/>
        </w:rPr>
        <w:t>在应</w:t>
      </w:r>
      <w:r>
        <w:rPr>
          <w:rFonts w:ascii="宋体" w:hAnsi="宋体"/>
          <w:color w:val="auto"/>
          <w:spacing w:val="2"/>
          <w:sz w:val="21"/>
          <w:highlight w:val="none"/>
        </w:rPr>
        <w:t>知其</w:t>
      </w:r>
      <w:r>
        <w:rPr>
          <w:rFonts w:hint="eastAsia" w:ascii="宋体" w:hAnsi="宋体"/>
          <w:color w:val="auto"/>
          <w:spacing w:val="2"/>
          <w:sz w:val="21"/>
          <w:highlight w:val="none"/>
        </w:rPr>
        <w:t>利</w:t>
      </w:r>
      <w:r>
        <w:rPr>
          <w:rFonts w:ascii="宋体" w:hAnsi="宋体"/>
          <w:color w:val="auto"/>
          <w:spacing w:val="2"/>
          <w:sz w:val="21"/>
          <w:highlight w:val="none"/>
        </w:rPr>
        <w:t>益受损之日起七个工作日内以书面形式向</w:t>
      </w:r>
      <w:r>
        <w:rPr>
          <w:rFonts w:hint="eastAsia" w:ascii="宋体" w:hAnsi="宋体"/>
          <w:color w:val="auto"/>
          <w:spacing w:val="2"/>
          <w:sz w:val="21"/>
          <w:highlight w:val="none"/>
        </w:rPr>
        <w:t>采购人、采购代理机构</w:t>
      </w:r>
      <w:r>
        <w:rPr>
          <w:rFonts w:ascii="宋体" w:hAnsi="宋体"/>
          <w:color w:val="auto"/>
          <w:spacing w:val="2"/>
          <w:sz w:val="21"/>
          <w:highlight w:val="none"/>
        </w:rPr>
        <w:t>提出质疑。供应商应当在法定质疑期内一次性提出针对同一采购程序环节的质疑。</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s="Arial"/>
          <w:color w:val="auto"/>
          <w:highlight w:val="none"/>
        </w:rPr>
        <w:t>提出质疑的供应商应当是参与所质疑项目采购活动的供应商。</w:t>
      </w:r>
      <w:r>
        <w:rPr>
          <w:rFonts w:ascii="宋体" w:hAnsi="宋体"/>
          <w:color w:val="auto"/>
          <w:highlight w:val="none"/>
        </w:rPr>
        <w:t>未</w:t>
      </w:r>
      <w:r>
        <w:rPr>
          <w:rFonts w:hint="eastAsia" w:ascii="宋体" w:hAnsi="宋体"/>
          <w:color w:val="auto"/>
          <w:highlight w:val="none"/>
        </w:rPr>
        <w:t>按招标公告规定</w:t>
      </w:r>
      <w:r>
        <w:rPr>
          <w:rFonts w:ascii="宋体" w:hAnsi="宋体"/>
          <w:color w:val="auto"/>
          <w:highlight w:val="none"/>
        </w:rPr>
        <w:t>获取采</w:t>
      </w:r>
      <w:r>
        <w:rPr>
          <w:rFonts w:ascii="宋体" w:hAnsi="宋体"/>
          <w:color w:val="auto"/>
          <w:spacing w:val="2"/>
          <w:highlight w:val="none"/>
        </w:rPr>
        <w:t>购文件的，不得就采购文件提出质疑；未提交投标文件的供应商，视为与采购结</w:t>
      </w:r>
      <w:r>
        <w:rPr>
          <w:rFonts w:ascii="宋体" w:hAnsi="宋体"/>
          <w:color w:val="auto"/>
          <w:highlight w:val="none"/>
        </w:rPr>
        <w:t>果没有利害关系，不得就采购响应截止时间后的采购过程、采购结果提出质疑。</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s="Arial"/>
          <w:color w:val="auto"/>
          <w:highlight w:val="none"/>
        </w:rPr>
        <w:t>供应商提出质疑应当提交质疑函和必要的证明材料</w:t>
      </w:r>
      <w:r>
        <w:rPr>
          <w:rFonts w:hint="eastAsia" w:ascii="宋体" w:hAnsi="宋体" w:cs="Arial"/>
          <w:color w:val="auto"/>
          <w:highlight w:val="none"/>
        </w:rPr>
        <w:t>，</w:t>
      </w:r>
      <w:r>
        <w:rPr>
          <w:rFonts w:ascii="宋体" w:hAnsi="宋体"/>
          <w:color w:val="auto"/>
          <w:highlight w:val="none"/>
        </w:rPr>
        <w:t>质疑函应当以书面形式</w:t>
      </w:r>
      <w:r>
        <w:rPr>
          <w:rFonts w:hint="eastAsia" w:ascii="宋体" w:hAnsi="宋体"/>
          <w:color w:val="auto"/>
          <w:szCs w:val="21"/>
          <w:highlight w:val="none"/>
        </w:rPr>
        <w:t>（需符合财政部令第94号</w:t>
      </w:r>
      <w:r>
        <w:rPr>
          <w:rFonts w:ascii="宋体" w:hAnsi="宋体"/>
          <w:color w:val="auto"/>
          <w:szCs w:val="21"/>
          <w:highlight w:val="none"/>
        </w:rPr>
        <w:t>政府采购质疑和投诉办法</w:t>
      </w:r>
      <w:r>
        <w:rPr>
          <w:rFonts w:hint="eastAsia" w:ascii="宋体" w:hAnsi="宋体"/>
          <w:color w:val="auto"/>
          <w:szCs w:val="21"/>
          <w:highlight w:val="none"/>
        </w:rPr>
        <w:t>要求）</w:t>
      </w:r>
      <w:r>
        <w:rPr>
          <w:rFonts w:ascii="宋体" w:hAnsi="宋体"/>
          <w:color w:val="auto"/>
          <w:spacing w:val="2"/>
          <w:highlight w:val="none"/>
        </w:rPr>
        <w:t>提出</w:t>
      </w:r>
      <w:r>
        <w:rPr>
          <w:rFonts w:hint="eastAsia" w:ascii="宋体" w:hAnsi="宋体"/>
          <w:color w:val="auto"/>
          <w:szCs w:val="21"/>
          <w:highlight w:val="none"/>
        </w:rPr>
        <w:t>。</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接收</w:t>
      </w:r>
      <w:r>
        <w:rPr>
          <w:rFonts w:hint="eastAsia" w:ascii="宋体" w:hAnsi="宋体"/>
          <w:color w:val="auto"/>
          <w:szCs w:val="21"/>
          <w:highlight w:val="none"/>
        </w:rPr>
        <w:t>书面</w:t>
      </w:r>
      <w:r>
        <w:rPr>
          <w:rFonts w:ascii="宋体" w:hAnsi="宋体"/>
          <w:color w:val="auto"/>
          <w:szCs w:val="21"/>
          <w:highlight w:val="none"/>
        </w:rPr>
        <w:t>质疑</w:t>
      </w:r>
      <w:r>
        <w:rPr>
          <w:rFonts w:hint="eastAsia" w:ascii="宋体" w:hAnsi="宋体"/>
          <w:color w:val="auto"/>
          <w:szCs w:val="21"/>
          <w:highlight w:val="none"/>
        </w:rPr>
        <w:t>函</w:t>
      </w:r>
      <w:r>
        <w:rPr>
          <w:rFonts w:ascii="宋体" w:hAnsi="宋体"/>
          <w:color w:val="auto"/>
          <w:szCs w:val="21"/>
          <w:highlight w:val="none"/>
        </w:rPr>
        <w:t>的方式</w:t>
      </w:r>
      <w:r>
        <w:rPr>
          <w:rFonts w:hint="eastAsia" w:ascii="宋体" w:hAnsi="宋体"/>
          <w:color w:val="auto"/>
          <w:szCs w:val="21"/>
          <w:highlight w:val="none"/>
        </w:rPr>
        <w:t>：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w:t>
      </w:r>
      <w:r>
        <w:rPr>
          <w:rFonts w:ascii="宋体" w:hAnsi="宋体"/>
          <w:color w:val="auto"/>
          <w:szCs w:val="21"/>
          <w:highlight w:val="none"/>
        </w:rPr>
        <w:t>联系部门</w:t>
      </w:r>
      <w:r>
        <w:rPr>
          <w:rFonts w:hint="eastAsia" w:ascii="宋体" w:hAnsi="宋体"/>
          <w:color w:val="auto"/>
          <w:szCs w:val="21"/>
          <w:highlight w:val="none"/>
        </w:rPr>
        <w:t>：本采购文件第一章中采购代理机构的有关联系方式。</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5、供应商对采购人或采购代理机构的质疑答复不满意或者采购人或采购代理机构未在规定时间内作出答复的，可以在答复期满后十五个工作日内向同级采购监管部门投诉，</w:t>
      </w:r>
      <w:r>
        <w:rPr>
          <w:rFonts w:ascii="宋体" w:hAnsi="宋体"/>
          <w:color w:val="auto"/>
          <w:szCs w:val="21"/>
          <w:highlight w:val="none"/>
        </w:rPr>
        <w:t>投诉</w:t>
      </w:r>
      <w:r>
        <w:rPr>
          <w:rFonts w:hint="eastAsia" w:ascii="宋体" w:hAnsi="宋体"/>
          <w:color w:val="auto"/>
          <w:szCs w:val="21"/>
          <w:highlight w:val="none"/>
        </w:rPr>
        <w:t>须</w:t>
      </w:r>
      <w:r>
        <w:rPr>
          <w:rFonts w:ascii="宋体" w:hAnsi="宋体"/>
          <w:color w:val="auto"/>
          <w:szCs w:val="21"/>
          <w:highlight w:val="none"/>
        </w:rPr>
        <w:t>采用书面形式</w:t>
      </w:r>
      <w:r>
        <w:rPr>
          <w:rFonts w:hint="eastAsia" w:ascii="宋体" w:hAnsi="宋体"/>
          <w:color w:val="auto"/>
          <w:szCs w:val="21"/>
          <w:highlight w:val="none"/>
        </w:rPr>
        <w:t>（需符合财政部令第94号</w:t>
      </w:r>
      <w:r>
        <w:rPr>
          <w:rFonts w:ascii="宋体" w:hAnsi="宋体"/>
          <w:color w:val="auto"/>
          <w:szCs w:val="21"/>
          <w:highlight w:val="none"/>
        </w:rPr>
        <w:t>政府采购质疑和投诉办法</w:t>
      </w:r>
      <w:r>
        <w:rPr>
          <w:rFonts w:hint="eastAsia" w:ascii="宋体" w:hAnsi="宋体"/>
          <w:color w:val="auto"/>
          <w:szCs w:val="21"/>
          <w:highlight w:val="none"/>
        </w:rPr>
        <w:t>要求）。</w:t>
      </w:r>
    </w:p>
    <w:p>
      <w:pPr>
        <w:spacing w:line="360" w:lineRule="auto"/>
        <w:rPr>
          <w:rFonts w:ascii="宋体" w:hAnsi="宋体"/>
          <w:b/>
          <w:color w:val="auto"/>
          <w:highlight w:val="none"/>
        </w:rPr>
      </w:pPr>
      <w:bookmarkStart w:id="104" w:name="_Toc460857907"/>
      <w:bookmarkStart w:id="105" w:name="_Toc460416652"/>
      <w:bookmarkStart w:id="106" w:name="_Toc460416347"/>
    </w:p>
    <w:p>
      <w:pPr>
        <w:spacing w:line="360" w:lineRule="auto"/>
        <w:rPr>
          <w:rFonts w:ascii="宋体" w:hAnsi="宋体"/>
          <w:b/>
          <w:color w:val="auto"/>
          <w:highlight w:val="none"/>
        </w:rPr>
      </w:pPr>
      <w:bookmarkStart w:id="107" w:name="_Toc17884824"/>
      <w:r>
        <w:rPr>
          <w:rFonts w:hint="eastAsia" w:ascii="宋体" w:hAnsi="宋体"/>
          <w:b/>
          <w:color w:val="auto"/>
          <w:highlight w:val="none"/>
        </w:rPr>
        <w:t>二、采购文件</w:t>
      </w:r>
      <w:bookmarkEnd w:id="104"/>
      <w:bookmarkEnd w:id="105"/>
      <w:bookmarkEnd w:id="106"/>
      <w:bookmarkEnd w:id="107"/>
    </w:p>
    <w:p>
      <w:pPr>
        <w:spacing w:line="360" w:lineRule="auto"/>
        <w:rPr>
          <w:rFonts w:ascii="宋体" w:hAnsi="宋体"/>
          <w:b/>
          <w:color w:val="auto"/>
          <w:highlight w:val="none"/>
        </w:rPr>
      </w:pPr>
      <w:bookmarkStart w:id="108" w:name="_Toc17884825"/>
      <w:bookmarkStart w:id="109" w:name="_Toc460857908"/>
      <w:r>
        <w:rPr>
          <w:rFonts w:hint="eastAsia" w:ascii="宋体" w:hAnsi="宋体"/>
          <w:b/>
          <w:color w:val="auto"/>
          <w:highlight w:val="none"/>
        </w:rPr>
        <w:t>（一）采购文件的构成。本采购文件由以下部份组成：</w:t>
      </w:r>
      <w:bookmarkEnd w:id="108"/>
      <w:bookmarkEnd w:id="109"/>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1、采购公告</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2、招标需求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4、评标办法及评分标准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6、投标文件格式</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7、本项目采购文件的澄清、答复、修改、补充的内容</w:t>
      </w:r>
    </w:p>
    <w:p>
      <w:pPr>
        <w:spacing w:line="360" w:lineRule="auto"/>
        <w:rPr>
          <w:rFonts w:ascii="宋体" w:hAnsi="宋体"/>
          <w:b/>
          <w:color w:val="auto"/>
          <w:highlight w:val="none"/>
        </w:rPr>
      </w:pPr>
      <w:bookmarkStart w:id="110" w:name="_Toc17884826"/>
      <w:bookmarkStart w:id="111" w:name="_Toc460857909"/>
      <w:r>
        <w:rPr>
          <w:rFonts w:hint="eastAsia" w:ascii="宋体" w:hAnsi="宋体"/>
          <w:b/>
          <w:color w:val="auto"/>
          <w:highlight w:val="none"/>
        </w:rPr>
        <w:t>（二）投标人的风险</w:t>
      </w:r>
      <w:bookmarkEnd w:id="110"/>
      <w:bookmarkEnd w:id="111"/>
    </w:p>
    <w:p>
      <w:pPr>
        <w:spacing w:line="360" w:lineRule="auto"/>
        <w:ind w:firstLine="420" w:firstLineChars="200"/>
        <w:rPr>
          <w:rFonts w:ascii="宋体" w:hAnsi="宋体"/>
          <w:color w:val="auto"/>
          <w:szCs w:val="21"/>
          <w:highlight w:val="none"/>
        </w:rPr>
      </w:pPr>
      <w:bookmarkStart w:id="112" w:name="_Toc17884827"/>
      <w:bookmarkStart w:id="113" w:name="_Toc460857910"/>
      <w:r>
        <w:rPr>
          <w:rFonts w:hint="eastAsia" w:ascii="宋体" w:hAnsi="宋体"/>
          <w:color w:val="auto"/>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2、无论因何种原因导致本次采购活动终止致投标人损失的，相关责任人均不承担任何责任。</w:t>
      </w:r>
    </w:p>
    <w:p>
      <w:pPr>
        <w:spacing w:line="360" w:lineRule="auto"/>
        <w:rPr>
          <w:rFonts w:ascii="宋体" w:hAnsi="宋体"/>
          <w:b/>
          <w:color w:val="auto"/>
          <w:highlight w:val="none"/>
        </w:rPr>
      </w:pPr>
      <w:r>
        <w:rPr>
          <w:rFonts w:hint="eastAsia" w:ascii="宋体" w:hAnsi="宋体"/>
          <w:b/>
          <w:color w:val="auto"/>
          <w:highlight w:val="none"/>
        </w:rPr>
        <w:t>（三）采购文件的澄清与修改</w:t>
      </w:r>
      <w:bookmarkEnd w:id="112"/>
      <w:bookmarkEnd w:id="113"/>
    </w:p>
    <w:p>
      <w:pPr>
        <w:pStyle w:val="33"/>
        <w:numPr>
          <w:ilvl w:val="0"/>
          <w:numId w:val="0"/>
        </w:num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3"/>
        <w:numPr>
          <w:ilvl w:val="0"/>
          <w:numId w:val="0"/>
        </w:num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2、更正公告为采购文件的组成部分，一经在网站发布，视同已通知所有采购文件的收受人，不再采用其它方式传达相关信息，若因未能及时了解到上述网站上发布的相关信息而导致的一切后果自行承担。</w:t>
      </w:r>
    </w:p>
    <w:p>
      <w:pPr>
        <w:pStyle w:val="33"/>
        <w:numPr>
          <w:ilvl w:val="0"/>
          <w:numId w:val="0"/>
        </w:num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3、如更正公告有重新发布电子采购文件的，</w:t>
      </w:r>
      <w:r>
        <w:rPr>
          <w:rFonts w:ascii="宋体" w:hAnsi="宋体" w:eastAsia="宋体"/>
          <w:color w:val="auto"/>
          <w:sz w:val="21"/>
          <w:szCs w:val="21"/>
          <w:highlight w:val="none"/>
        </w:rPr>
        <w:t>投标人</w:t>
      </w:r>
      <w:r>
        <w:rPr>
          <w:rFonts w:hint="eastAsia" w:ascii="宋体" w:hAnsi="宋体" w:eastAsia="宋体"/>
          <w:color w:val="auto"/>
          <w:sz w:val="21"/>
          <w:szCs w:val="21"/>
          <w:highlight w:val="none"/>
        </w:rPr>
        <w:t>应下载最新发布的电子采购文件制作投标文件。</w:t>
      </w:r>
    </w:p>
    <w:p>
      <w:pPr>
        <w:pStyle w:val="33"/>
        <w:numPr>
          <w:ilvl w:val="0"/>
          <w:numId w:val="0"/>
        </w:num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投标人</w:t>
      </w:r>
      <w:r>
        <w:rPr>
          <w:rFonts w:hint="eastAsia" w:ascii="宋体" w:hAnsi="宋体" w:eastAsia="宋体"/>
          <w:color w:val="auto"/>
          <w:sz w:val="21"/>
          <w:szCs w:val="21"/>
          <w:highlight w:val="none"/>
        </w:rPr>
        <w:t>在规定的时间内未对采购文件提出疑问、质疑或要求澄清的，将视其为无异议。对采购文件中描述有歧义或前后不一致的地方，评标委员会有权进行评判，但对同一条款的评判应适用于每个</w:t>
      </w:r>
      <w:r>
        <w:rPr>
          <w:rFonts w:ascii="宋体" w:hAnsi="宋体" w:eastAsia="宋体"/>
          <w:color w:val="auto"/>
          <w:sz w:val="21"/>
          <w:szCs w:val="21"/>
          <w:highlight w:val="none"/>
        </w:rPr>
        <w:t>投标人</w:t>
      </w:r>
      <w:r>
        <w:rPr>
          <w:rFonts w:hint="eastAsia" w:ascii="宋体" w:hAnsi="宋体" w:eastAsia="宋体"/>
          <w:color w:val="auto"/>
          <w:sz w:val="21"/>
          <w:szCs w:val="21"/>
          <w:highlight w:val="none"/>
        </w:rPr>
        <w:t>。</w:t>
      </w:r>
    </w:p>
    <w:p>
      <w:pPr>
        <w:spacing w:line="360" w:lineRule="auto"/>
        <w:rPr>
          <w:rFonts w:ascii="宋体" w:hAnsi="宋体"/>
          <w:b/>
          <w:color w:val="auto"/>
          <w:highlight w:val="none"/>
        </w:rPr>
      </w:pPr>
      <w:bookmarkStart w:id="114" w:name="_Toc460857912"/>
      <w:bookmarkStart w:id="115" w:name="_Toc460416348"/>
      <w:bookmarkStart w:id="116" w:name="_Toc460416653"/>
      <w:bookmarkStart w:id="117" w:name="_Toc17884828"/>
      <w:r>
        <w:rPr>
          <w:rFonts w:hint="eastAsia" w:ascii="宋体" w:hAnsi="宋体"/>
          <w:b/>
          <w:color w:val="auto"/>
          <w:highlight w:val="none"/>
        </w:rPr>
        <w:t>三、投标文件的编制</w:t>
      </w:r>
      <w:bookmarkEnd w:id="114"/>
      <w:bookmarkEnd w:id="115"/>
      <w:bookmarkEnd w:id="116"/>
      <w:bookmarkEnd w:id="117"/>
    </w:p>
    <w:p>
      <w:pPr>
        <w:spacing w:line="360" w:lineRule="auto"/>
        <w:rPr>
          <w:rFonts w:ascii="宋体" w:hAnsi="宋体"/>
          <w:b/>
          <w:color w:val="auto"/>
          <w:highlight w:val="none"/>
        </w:rPr>
      </w:pPr>
      <w:bookmarkStart w:id="118" w:name="_Toc460416349"/>
      <w:bookmarkStart w:id="119" w:name="_Toc460857913"/>
      <w:bookmarkStart w:id="120" w:name="_Toc460416654"/>
      <w:bookmarkStart w:id="121" w:name="_Toc17884829"/>
      <w:r>
        <w:rPr>
          <w:rFonts w:hint="eastAsia" w:ascii="宋体" w:hAnsi="宋体"/>
          <w:b/>
          <w:color w:val="auto"/>
          <w:highlight w:val="none"/>
        </w:rPr>
        <w:t>（一）投标文件的组成</w:t>
      </w:r>
      <w:bookmarkEnd w:id="118"/>
      <w:bookmarkEnd w:id="119"/>
      <w:bookmarkEnd w:id="120"/>
      <w:bookmarkEnd w:id="121"/>
    </w:p>
    <w:p>
      <w:pPr>
        <w:snapToGrid w:val="0"/>
        <w:spacing w:line="360" w:lineRule="auto"/>
        <w:ind w:firstLine="413" w:firstLineChars="196"/>
        <w:jc w:val="left"/>
        <w:rPr>
          <w:rFonts w:ascii="宋体" w:hAnsi="宋体"/>
          <w:color w:val="auto"/>
          <w:szCs w:val="21"/>
          <w:highlight w:val="none"/>
        </w:rPr>
      </w:pPr>
      <w:r>
        <w:rPr>
          <w:rFonts w:hint="eastAsia" w:ascii="宋体" w:hAnsi="宋体"/>
          <w:b/>
          <w:color w:val="auto"/>
          <w:szCs w:val="21"/>
          <w:highlight w:val="none"/>
        </w:rPr>
        <w:t>1、资格文件包括以下内容：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（1）有效的企业法人营业执照（或事业法人登记证）、其他组织（个体工商户）的营业执照或者民办非企业单位登记证书复印件（复印件加盖公章）；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（2）投标人资格声明(格式见附件一)；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（3）投标承诺书(格式见附件二)；</w:t>
      </w:r>
    </w:p>
    <w:p>
      <w:pPr>
        <w:pStyle w:val="39"/>
        <w:spacing w:line="360" w:lineRule="auto"/>
        <w:rPr>
          <w:color w:val="auto"/>
          <w:highlight w:val="none"/>
        </w:rPr>
      </w:pPr>
      <w:r>
        <w:rPr>
          <w:rFonts w:hint="eastAsia" w:hAnsi="宋体"/>
          <w:b/>
          <w:color w:val="auto"/>
          <w:spacing w:val="0"/>
          <w:sz w:val="21"/>
          <w:szCs w:val="21"/>
          <w:highlight w:val="none"/>
        </w:rPr>
        <w:t>2、商务技术文件包括以下内容：</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（1）投标函(格式见附件三)；</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（2）法定代表人的身份证明或法定代表人授权书（投标人的代表若为非法定代表人的，必须提交法定代表人授权书，格式见附件四</w:t>
      </w:r>
      <w:r>
        <w:rPr>
          <w:rFonts w:ascii="宋体" w:hAnsi="宋体"/>
          <w:color w:val="auto"/>
          <w:szCs w:val="21"/>
          <w:highlight w:val="none"/>
        </w:rPr>
        <w:t>）</w:t>
      </w:r>
      <w:r>
        <w:rPr>
          <w:rFonts w:hint="eastAsia" w:ascii="宋体" w:hAnsi="宋体"/>
          <w:color w:val="auto"/>
          <w:szCs w:val="21"/>
          <w:highlight w:val="none"/>
        </w:rPr>
        <w:t>；</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（3）投标人基本情况说明(格式见附件五)；</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（4）类似项目业绩表（如有</w:t>
      </w:r>
      <w:r>
        <w:rPr>
          <w:rFonts w:ascii="宋体" w:hAnsi="宋体"/>
          <w:color w:val="auto"/>
          <w:szCs w:val="21"/>
          <w:highlight w:val="none"/>
        </w:rPr>
        <w:t>，</w:t>
      </w:r>
      <w:r>
        <w:rPr>
          <w:rFonts w:hint="eastAsia" w:ascii="宋体" w:hAnsi="宋体"/>
          <w:color w:val="auto"/>
          <w:szCs w:val="21"/>
          <w:highlight w:val="none"/>
        </w:rPr>
        <w:t>格式见附件六）；</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（5）商务条款偏离表(格式见附件七)；</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（6）投标产品概况(格式见附件八)；</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（7）投标产品技术规格响应表（格式见附件九）；（附相关招标需求要求的证明材料）</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（8）设备附件清单(格式见附件十)；</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（9）距采购单位最近或者能为本项目提供最优服务的网点情况表(格式见附件十一)；</w:t>
      </w:r>
    </w:p>
    <w:p>
      <w:pPr>
        <w:widowControl/>
        <w:tabs>
          <w:tab w:val="left" w:pos="640"/>
        </w:tabs>
        <w:adjustRightInd w:val="0"/>
        <w:snapToGrid w:val="0"/>
        <w:spacing w:line="360" w:lineRule="auto"/>
        <w:ind w:left="400"/>
        <w:jc w:val="left"/>
        <w:outlineLvl w:val="1"/>
        <w:rPr>
          <w:rFonts w:ascii="宋体" w:hAnsi="宋体"/>
          <w:color w:val="auto"/>
          <w:szCs w:val="21"/>
          <w:highlight w:val="none"/>
        </w:rPr>
      </w:pPr>
      <w:bookmarkStart w:id="122" w:name="_Toc18881"/>
      <w:r>
        <w:rPr>
          <w:rFonts w:hint="eastAsia" w:ascii="宋体" w:hAnsi="宋体"/>
          <w:color w:val="auto"/>
          <w:szCs w:val="21"/>
          <w:highlight w:val="none"/>
        </w:rPr>
        <w:t>（10）货物运输、安装方案（根据评分标准要求提供）；</w:t>
      </w:r>
    </w:p>
    <w:p>
      <w:pPr>
        <w:widowControl/>
        <w:tabs>
          <w:tab w:val="left" w:pos="640"/>
        </w:tabs>
        <w:adjustRightInd w:val="0"/>
        <w:snapToGrid w:val="0"/>
        <w:spacing w:line="360" w:lineRule="auto"/>
        <w:ind w:left="400"/>
        <w:jc w:val="left"/>
        <w:outlineLvl w:val="1"/>
        <w:rPr>
          <w:rFonts w:ascii="宋体" w:hAnsi="宋体"/>
          <w:color w:val="auto"/>
          <w:szCs w:val="21"/>
          <w:highlight w:val="none"/>
        </w:rPr>
      </w:pPr>
      <w:r>
        <w:rPr>
          <w:rFonts w:hint="eastAsia" w:ascii="宋体" w:hAnsi="宋体"/>
          <w:color w:val="auto"/>
          <w:szCs w:val="21"/>
          <w:highlight w:val="none"/>
        </w:rPr>
        <w:t>（11）培训方案（根据评分标准要求提供）；</w:t>
      </w:r>
    </w:p>
    <w:p>
      <w:pPr>
        <w:widowControl/>
        <w:tabs>
          <w:tab w:val="left" w:pos="640"/>
        </w:tabs>
        <w:adjustRightInd w:val="0"/>
        <w:snapToGrid w:val="0"/>
        <w:spacing w:line="360" w:lineRule="auto"/>
        <w:ind w:left="400"/>
        <w:jc w:val="left"/>
        <w:outlineLvl w:val="1"/>
        <w:rPr>
          <w:rFonts w:ascii="宋体" w:hAnsi="宋体"/>
          <w:color w:val="auto"/>
          <w:szCs w:val="21"/>
          <w:highlight w:val="none"/>
        </w:rPr>
      </w:pPr>
      <w:r>
        <w:rPr>
          <w:rFonts w:hint="eastAsia" w:ascii="宋体" w:hAnsi="宋体"/>
          <w:color w:val="auto"/>
          <w:szCs w:val="21"/>
          <w:highlight w:val="none"/>
        </w:rPr>
        <w:t>（12）质保期（根据评分标准要求提供）；</w:t>
      </w:r>
    </w:p>
    <w:p>
      <w:pPr>
        <w:widowControl/>
        <w:tabs>
          <w:tab w:val="left" w:pos="640"/>
        </w:tabs>
        <w:adjustRightInd w:val="0"/>
        <w:snapToGrid w:val="0"/>
        <w:spacing w:line="360" w:lineRule="auto"/>
        <w:ind w:left="400"/>
        <w:jc w:val="left"/>
        <w:outlineLvl w:val="1"/>
        <w:rPr>
          <w:rFonts w:ascii="宋体" w:hAnsi="宋体"/>
          <w:color w:val="auto"/>
          <w:szCs w:val="21"/>
          <w:highlight w:val="none"/>
        </w:rPr>
      </w:pPr>
      <w:r>
        <w:rPr>
          <w:rFonts w:hint="eastAsia" w:ascii="宋体" w:hAnsi="宋体"/>
          <w:color w:val="auto"/>
          <w:szCs w:val="21"/>
          <w:highlight w:val="none"/>
        </w:rPr>
        <w:t>（13）售后服务（根据评分标准要求提供）；</w:t>
      </w:r>
    </w:p>
    <w:p>
      <w:pPr>
        <w:widowControl/>
        <w:tabs>
          <w:tab w:val="left" w:pos="640"/>
        </w:tabs>
        <w:adjustRightInd w:val="0"/>
        <w:snapToGrid w:val="0"/>
        <w:spacing w:line="360" w:lineRule="auto"/>
        <w:ind w:left="400"/>
        <w:jc w:val="left"/>
        <w:outlineLvl w:val="1"/>
        <w:rPr>
          <w:rFonts w:ascii="宋体" w:hAnsi="宋体"/>
          <w:color w:val="auto"/>
          <w:szCs w:val="21"/>
          <w:highlight w:val="none"/>
        </w:rPr>
      </w:pPr>
      <w:r>
        <w:rPr>
          <w:rFonts w:hint="eastAsia" w:ascii="宋体" w:hAnsi="宋体"/>
          <w:color w:val="auto"/>
          <w:szCs w:val="21"/>
          <w:highlight w:val="none"/>
        </w:rPr>
        <w:t>（14）其它评分标准中所需要提供的资料；</w:t>
      </w:r>
      <w:bookmarkEnd w:id="122"/>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（15）投标人认为有必要提交的其他技术资信说明文件和资料 。</w:t>
      </w:r>
    </w:p>
    <w:p>
      <w:pPr>
        <w:snapToGrid w:val="0"/>
        <w:spacing w:line="360" w:lineRule="auto"/>
        <w:ind w:left="413"/>
        <w:jc w:val="left"/>
        <w:rPr>
          <w:rFonts w:ascii="宋体" w:hAnsi="宋体"/>
          <w:b/>
          <w:color w:val="auto"/>
          <w:szCs w:val="21"/>
          <w:highlight w:val="none"/>
        </w:rPr>
      </w:pPr>
      <w:r>
        <w:rPr>
          <w:rFonts w:hint="eastAsia" w:ascii="宋体" w:hAnsi="宋体"/>
          <w:b/>
          <w:color w:val="auto"/>
          <w:szCs w:val="21"/>
          <w:highlight w:val="none"/>
        </w:rPr>
        <w:t>3、报价文件包括以下内容：</w:t>
      </w:r>
    </w:p>
    <w:p>
      <w:pPr>
        <w:tabs>
          <w:tab w:val="left" w:pos="420"/>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（1）开标一览表(格式见附件十二)；</w:t>
      </w:r>
    </w:p>
    <w:p>
      <w:pPr>
        <w:tabs>
          <w:tab w:val="left" w:pos="518"/>
        </w:tabs>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（2）投标分项报价表(格式见附件十三)；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（3）中小企业声明函（若有，格式见附件十四）；</w:t>
      </w:r>
    </w:p>
    <w:p>
      <w:pPr>
        <w:snapToGrid w:val="0"/>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本项目为非专门面向中小企业采购的项目，如果供应商和制造商为小微企业，提供《中小企业声明函》。如未按照要求提供，将不得享受评标标准中注明的针对小微企业的价格扣除优惠；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（4）残疾人福利性单位声明函（若有，格式见附件十五）。</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w:t>
      </w:r>
      <w:r>
        <w:rPr>
          <w:rFonts w:ascii="宋体" w:hAnsi="宋体"/>
          <w:color w:val="auto"/>
          <w:szCs w:val="21"/>
          <w:highlight w:val="none"/>
        </w:rPr>
        <w:t>认为还须提供的其他文件。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、上述组成投标文件的各项资料中本采购文件的有规定格式的，应统一按本采购文件的规定格式填写。未有规定格式的资料，投标人应自行编制，但至少要包含以上要求的内容。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在提供对投标产品技术条款响应表的应答时，对采购文件有技术数值要求的参数，应以投标货物的具体技术数值据实应答；对于采购文件无数值要求的参数的应答，应作出明确、直接、无导致两种理解可能的应答。</w:t>
      </w:r>
    </w:p>
    <w:p>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b/>
          <w:color w:val="auto"/>
          <w:highlight w:val="none"/>
        </w:rPr>
      </w:pPr>
      <w:bookmarkStart w:id="123" w:name="_Toc460416351"/>
      <w:bookmarkStart w:id="124" w:name="_Toc460416656"/>
      <w:bookmarkStart w:id="125" w:name="_Toc17884831"/>
      <w:bookmarkStart w:id="126" w:name="_Toc460857915"/>
      <w:r>
        <w:rPr>
          <w:rFonts w:hint="eastAsia" w:ascii="宋体" w:hAnsi="宋体"/>
          <w:b/>
          <w:color w:val="auto"/>
          <w:highlight w:val="none"/>
        </w:rPr>
        <w:t>（三）投标报价</w:t>
      </w:r>
      <w:bookmarkEnd w:id="123"/>
      <w:bookmarkEnd w:id="124"/>
      <w:bookmarkEnd w:id="125"/>
      <w:bookmarkEnd w:id="126"/>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1、投标报价应按采购文件中相关附表格式填写。</w:t>
      </w:r>
    </w:p>
    <w:p>
      <w:pPr>
        <w:tabs>
          <w:tab w:val="left" w:pos="525"/>
        </w:tabs>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*2、投标文件只允许有一个报价，有选择的或有条件的报价将不予接受。</w:t>
      </w:r>
    </w:p>
    <w:p>
      <w:pPr>
        <w:spacing w:line="360" w:lineRule="auto"/>
        <w:rPr>
          <w:rFonts w:ascii="宋体" w:hAnsi="宋体"/>
          <w:b/>
          <w:color w:val="auto"/>
          <w:highlight w:val="none"/>
        </w:rPr>
      </w:pPr>
      <w:bookmarkStart w:id="127" w:name="_Toc460857916"/>
      <w:bookmarkStart w:id="128" w:name="_Toc17884832"/>
      <w:r>
        <w:rPr>
          <w:rFonts w:hint="eastAsia" w:ascii="宋体" w:hAnsi="宋体"/>
          <w:b/>
          <w:color w:val="auto"/>
          <w:highlight w:val="none"/>
        </w:rPr>
        <w:t>（四）投标文件的有效期</w:t>
      </w:r>
      <w:bookmarkEnd w:id="127"/>
      <w:bookmarkEnd w:id="128"/>
    </w:p>
    <w:p>
      <w:pPr>
        <w:pStyle w:val="12"/>
        <w:widowControl w:val="0"/>
        <w:tabs>
          <w:tab w:val="clear" w:pos="454"/>
        </w:tabs>
        <w:snapToGrid w:val="0"/>
        <w:spacing w:before="120" w:afterLines="0" w:line="360" w:lineRule="auto"/>
        <w:ind w:left="0" w:firstLine="422" w:firstLineChars="200"/>
        <w:rPr>
          <w:rFonts w:ascii="宋体" w:hAnsi="宋体"/>
          <w:b/>
          <w:color w:val="auto"/>
          <w:sz w:val="21"/>
          <w:szCs w:val="21"/>
          <w:highlight w:val="none"/>
        </w:rPr>
      </w:pPr>
      <w:r>
        <w:rPr>
          <w:rFonts w:hint="eastAsia" w:ascii="宋体" w:hAnsi="宋体"/>
          <w:b/>
          <w:color w:val="auto"/>
          <w:sz w:val="21"/>
          <w:szCs w:val="21"/>
          <w:highlight w:val="none"/>
        </w:rPr>
        <w:t>*1、自投标截止日起</w:t>
      </w:r>
      <w:r>
        <w:rPr>
          <w:rFonts w:hint="eastAsia" w:ascii="宋体" w:hAnsi="宋体"/>
          <w:b/>
          <w:color w:val="auto"/>
          <w:sz w:val="21"/>
          <w:szCs w:val="21"/>
          <w:highlight w:val="none"/>
          <w:u w:val="single"/>
        </w:rPr>
        <w:t xml:space="preserve">90 </w:t>
      </w:r>
      <w:r>
        <w:rPr>
          <w:rFonts w:hint="eastAsia" w:ascii="宋体" w:hAnsi="宋体"/>
          <w:b/>
          <w:color w:val="auto"/>
          <w:sz w:val="21"/>
          <w:szCs w:val="21"/>
          <w:highlight w:val="none"/>
        </w:rPr>
        <w:t>天投标文件应保持有效。有效期不足的投标文件将被拒绝。</w:t>
      </w:r>
    </w:p>
    <w:p>
      <w:pPr>
        <w:pStyle w:val="12"/>
        <w:widowControl w:val="0"/>
        <w:tabs>
          <w:tab w:val="clear" w:pos="454"/>
        </w:tabs>
        <w:snapToGrid w:val="0"/>
        <w:spacing w:before="120" w:afterLines="0" w:line="360" w:lineRule="auto"/>
        <w:ind w:left="0" w:firstLine="420" w:firstLineChars="200"/>
        <w:rPr>
          <w:rFonts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pStyle w:val="12"/>
        <w:widowControl w:val="0"/>
        <w:tabs>
          <w:tab w:val="clear" w:pos="454"/>
        </w:tabs>
        <w:snapToGrid w:val="0"/>
        <w:spacing w:before="120" w:afterLines="0" w:line="360" w:lineRule="auto"/>
        <w:ind w:left="0" w:firstLine="420" w:firstLineChars="200"/>
        <w:rPr>
          <w:rFonts w:ascii="宋体" w:hAnsi="宋体"/>
          <w:color w:val="auto"/>
          <w:sz w:val="21"/>
          <w:szCs w:val="21"/>
          <w:highlight w:val="none"/>
        </w:rPr>
      </w:pPr>
      <w:bookmarkStart w:id="129" w:name="_Toc460416657"/>
      <w:bookmarkStart w:id="130" w:name="_Toc460416352"/>
      <w:r>
        <w:rPr>
          <w:rFonts w:hint="eastAsia" w:ascii="宋体" w:hAnsi="宋体"/>
          <w:color w:val="auto"/>
          <w:sz w:val="21"/>
          <w:szCs w:val="21"/>
          <w:highlight w:val="none"/>
        </w:rPr>
        <w:t>3</w:t>
      </w:r>
      <w:bookmarkEnd w:id="129"/>
      <w:bookmarkEnd w:id="130"/>
      <w:bookmarkStart w:id="131" w:name="_Toc460416353"/>
      <w:bookmarkStart w:id="132" w:name="_Toc460416658"/>
      <w:r>
        <w:rPr>
          <w:rFonts w:hint="eastAsia" w:ascii="宋体" w:hAnsi="宋体"/>
          <w:color w:val="auto"/>
          <w:sz w:val="21"/>
          <w:szCs w:val="21"/>
          <w:highlight w:val="none"/>
        </w:rPr>
        <w:t>、中标人的投标文件自开标之日起至合同履行完毕止均应保持有效。</w:t>
      </w:r>
      <w:bookmarkEnd w:id="131"/>
      <w:bookmarkEnd w:id="132"/>
    </w:p>
    <w:p>
      <w:pPr>
        <w:spacing w:line="360" w:lineRule="auto"/>
        <w:rPr>
          <w:rFonts w:ascii="宋体" w:hAnsi="宋体"/>
          <w:b/>
          <w:color w:val="auto"/>
          <w:highlight w:val="none"/>
        </w:rPr>
      </w:pPr>
      <w:bookmarkStart w:id="133" w:name="_Toc460416354"/>
      <w:bookmarkStart w:id="134" w:name="_Toc460857917"/>
      <w:bookmarkStart w:id="135" w:name="_Toc460416659"/>
      <w:bookmarkStart w:id="136" w:name="_Toc17884833"/>
      <w:r>
        <w:rPr>
          <w:rFonts w:hint="eastAsia" w:ascii="宋体" w:hAnsi="宋体"/>
          <w:b/>
          <w:color w:val="auto"/>
          <w:highlight w:val="none"/>
        </w:rPr>
        <w:t>（五）投标保证金</w:t>
      </w:r>
      <w:bookmarkEnd w:id="133"/>
      <w:bookmarkEnd w:id="134"/>
      <w:bookmarkEnd w:id="135"/>
      <w:bookmarkEnd w:id="136"/>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本项目无须缴纳投标保证金。</w:t>
      </w:r>
    </w:p>
    <w:p>
      <w:pPr>
        <w:spacing w:line="360" w:lineRule="auto"/>
        <w:rPr>
          <w:rFonts w:ascii="宋体" w:hAnsi="宋体"/>
          <w:b/>
          <w:color w:val="auto"/>
          <w:highlight w:val="none"/>
        </w:rPr>
      </w:pPr>
      <w:bookmarkStart w:id="137" w:name="_Toc460857918"/>
      <w:bookmarkStart w:id="138" w:name="_Toc17884834"/>
      <w:bookmarkStart w:id="139" w:name="_Toc460416660"/>
      <w:bookmarkStart w:id="140" w:name="_Toc460416355"/>
      <w:r>
        <w:rPr>
          <w:rFonts w:hint="eastAsia" w:ascii="宋体" w:hAnsi="宋体"/>
          <w:b/>
          <w:color w:val="auto"/>
          <w:highlight w:val="none"/>
        </w:rPr>
        <w:t>（六）投标文件的签署和份数</w:t>
      </w:r>
      <w:bookmarkEnd w:id="137"/>
      <w:bookmarkEnd w:id="138"/>
      <w:bookmarkEnd w:id="139"/>
      <w:bookmarkEnd w:id="140"/>
    </w:p>
    <w:p>
      <w:pPr>
        <w:spacing w:line="360" w:lineRule="auto"/>
        <w:ind w:firstLine="420"/>
        <w:rPr>
          <w:rFonts w:ascii="宋体" w:hAnsi="宋体"/>
          <w:bCs/>
          <w:color w:val="auto"/>
          <w:highlight w:val="none"/>
        </w:rPr>
      </w:pPr>
      <w:bookmarkStart w:id="141" w:name="_Toc460857919"/>
      <w:bookmarkStart w:id="142" w:name="_Toc17884835"/>
      <w:r>
        <w:rPr>
          <w:rFonts w:hint="eastAsia" w:ascii="宋体" w:hAnsi="宋体"/>
          <w:bCs/>
          <w:color w:val="auto"/>
          <w:highlight w:val="none"/>
        </w:rPr>
        <w:t>1、投标人应按本招标文件规定的格式和顺序编制、装订投标文件，投标文件要求有目录并标注页码，投标文件内容不完整、编排混乱导致投标文件被误读、漏读或者查找不到相关内容的，是投标人的责任。</w:t>
      </w:r>
    </w:p>
    <w:p>
      <w:pPr>
        <w:spacing w:line="360" w:lineRule="auto"/>
        <w:ind w:firstLine="420"/>
        <w:rPr>
          <w:rFonts w:ascii="宋体" w:hAnsi="宋体"/>
          <w:bCs/>
          <w:color w:val="auto"/>
          <w:highlight w:val="none"/>
        </w:rPr>
      </w:pPr>
      <w:r>
        <w:rPr>
          <w:rFonts w:hint="eastAsia" w:ascii="宋体" w:hAnsi="宋体"/>
          <w:bCs/>
          <w:color w:val="auto"/>
          <w:highlight w:val="none"/>
        </w:rPr>
        <w:t>2、投标文件的份数：</w:t>
      </w:r>
    </w:p>
    <w:p>
      <w:pPr>
        <w:spacing w:line="360" w:lineRule="auto"/>
        <w:ind w:firstLine="420"/>
        <w:rPr>
          <w:rFonts w:ascii="宋体" w:hAnsi="宋体"/>
          <w:bCs/>
          <w:color w:val="auto"/>
          <w:highlight w:val="none"/>
        </w:rPr>
      </w:pPr>
      <w:r>
        <w:rPr>
          <w:rFonts w:hint="eastAsia" w:ascii="宋体" w:hAnsi="宋体"/>
          <w:bCs/>
          <w:color w:val="auto"/>
          <w:highlight w:val="none"/>
        </w:rPr>
        <w:t>本项目实行网上投标，投标人应准备以下投标文件：</w:t>
      </w:r>
    </w:p>
    <w:p>
      <w:pPr>
        <w:spacing w:line="360" w:lineRule="auto"/>
        <w:ind w:firstLine="420"/>
        <w:rPr>
          <w:rFonts w:ascii="宋体" w:hAnsi="宋体"/>
          <w:bCs/>
          <w:color w:val="auto"/>
          <w:highlight w:val="none"/>
        </w:rPr>
      </w:pPr>
      <w:r>
        <w:rPr>
          <w:rFonts w:hint="eastAsia" w:ascii="宋体" w:hAnsi="宋体"/>
          <w:bCs/>
          <w:color w:val="auto"/>
          <w:highlight w:val="none"/>
        </w:rPr>
        <w:t>（1）上传到政府采购云平台的电子加密投标文件（</w:t>
      </w:r>
      <w:r>
        <w:rPr>
          <w:rFonts w:ascii="宋体" w:hAnsi="宋体"/>
          <w:bCs/>
          <w:color w:val="auto"/>
          <w:highlight w:val="none"/>
        </w:rPr>
        <w:t>”资格文件”、“商务和技术文件</w:t>
      </w:r>
      <w:r>
        <w:rPr>
          <w:rFonts w:hint="eastAsia" w:ascii="宋体" w:hAnsi="宋体"/>
          <w:bCs/>
          <w:color w:val="auto"/>
          <w:highlight w:val="none"/>
        </w:rPr>
        <w:t>”、“报价文件”）1份。</w:t>
      </w:r>
    </w:p>
    <w:p>
      <w:pPr>
        <w:spacing w:line="360" w:lineRule="auto"/>
        <w:ind w:firstLine="420"/>
        <w:rPr>
          <w:rFonts w:ascii="宋体" w:hAnsi="宋体"/>
          <w:bCs/>
          <w:color w:val="auto"/>
          <w:highlight w:val="none"/>
        </w:rPr>
      </w:pPr>
      <w:r>
        <w:rPr>
          <w:rFonts w:hint="eastAsia" w:ascii="宋体" w:hAnsi="宋体"/>
          <w:bCs/>
          <w:color w:val="auto"/>
          <w:highlight w:val="none"/>
        </w:rPr>
        <w:t>（2）投标人应根据政府采购云平台的要求及本招标文件规定的格式和顺序编制电子投标文件并进行关联定位。</w:t>
      </w:r>
    </w:p>
    <w:p>
      <w:pPr>
        <w:spacing w:line="360" w:lineRule="auto"/>
        <w:rPr>
          <w:rFonts w:ascii="宋体" w:hAnsi="宋体"/>
          <w:b/>
          <w:color w:val="auto"/>
          <w:highlight w:val="none"/>
        </w:rPr>
      </w:pPr>
      <w:r>
        <w:rPr>
          <w:rFonts w:hint="eastAsia" w:ascii="宋体" w:hAnsi="宋体"/>
          <w:b/>
          <w:color w:val="auto"/>
          <w:highlight w:val="none"/>
        </w:rPr>
        <w:t>（七）投标文件的修改和撤回</w:t>
      </w:r>
      <w:bookmarkEnd w:id="141"/>
      <w:bookmarkEnd w:id="142"/>
    </w:p>
    <w:p>
      <w:pPr>
        <w:spacing w:line="360" w:lineRule="auto"/>
        <w:ind w:firstLine="420"/>
        <w:rPr>
          <w:rFonts w:ascii="宋体" w:hAnsi="宋体"/>
          <w:bCs/>
          <w:color w:val="auto"/>
          <w:highlight w:val="none"/>
        </w:rPr>
      </w:pPr>
      <w:bookmarkStart w:id="143" w:name="_Toc460416661"/>
      <w:bookmarkStart w:id="144" w:name="_Toc460857920"/>
      <w:bookmarkStart w:id="145" w:name="_Toc460416356"/>
      <w:bookmarkStart w:id="146" w:name="_Toc17884836"/>
      <w:r>
        <w:rPr>
          <w:rFonts w:hint="eastAsia" w:ascii="宋体" w:hAnsi="宋体"/>
          <w:bCs/>
          <w:color w:val="auto"/>
          <w:highlight w:val="none"/>
        </w:rPr>
        <w:t>投标人应当在投标截止时间前完成电子加密投标文件的传输递交，并可以补充、修改或者撤回电子加密投标文件。补充或者修改电子加密投标文件的，应当先行撤回原文件，补充、修改后重新传输递交。投标截止时间前未完成传输的，视为撤回投标文件。投标、响应截止时间后传输递交的投标、响应文件，将被拒收。</w:t>
      </w:r>
    </w:p>
    <w:p>
      <w:pPr>
        <w:spacing w:line="360" w:lineRule="auto"/>
        <w:ind w:firstLine="420"/>
        <w:rPr>
          <w:rFonts w:ascii="宋体" w:hAnsi="宋体"/>
          <w:b/>
          <w:color w:val="auto"/>
          <w:highlight w:val="none"/>
        </w:rPr>
      </w:pPr>
      <w:r>
        <w:rPr>
          <w:rFonts w:hint="eastAsia" w:ascii="宋体" w:hAnsi="宋体"/>
          <w:b/>
          <w:color w:val="auto"/>
          <w:highlight w:val="none"/>
        </w:rPr>
        <w:t>（八）投标文件的形式和效力</w:t>
      </w:r>
    </w:p>
    <w:p>
      <w:pPr>
        <w:spacing w:line="360" w:lineRule="auto"/>
        <w:ind w:firstLine="420"/>
        <w:rPr>
          <w:rFonts w:ascii="宋体" w:hAnsi="宋体"/>
          <w:bCs/>
          <w:color w:val="auto"/>
          <w:highlight w:val="none"/>
        </w:rPr>
      </w:pPr>
      <w:r>
        <w:rPr>
          <w:rFonts w:hint="eastAsia" w:ascii="宋体" w:hAnsi="宋体"/>
          <w:bCs/>
          <w:color w:val="auto"/>
          <w:highlight w:val="none"/>
        </w:rPr>
        <w:t>①“电子加密投标文件”是指通过“政采云电子交易客户端”完成投标文件编制后生成并加密的数据电文形式的投标文件（文件后缀为：jmbs）。</w:t>
      </w:r>
    </w:p>
    <w:p>
      <w:pPr>
        <w:spacing w:line="360" w:lineRule="auto"/>
        <w:ind w:firstLine="420"/>
        <w:rPr>
          <w:rFonts w:ascii="宋体" w:hAnsi="宋体"/>
          <w:bCs/>
          <w:color w:val="auto"/>
          <w:highlight w:val="none"/>
        </w:rPr>
      </w:pPr>
      <w:r>
        <w:rPr>
          <w:rFonts w:ascii="Calibri" w:hAnsi="Calibri" w:cs="Calibri"/>
          <w:bCs/>
          <w:color w:val="auto"/>
          <w:highlight w:val="none"/>
        </w:rPr>
        <w:t>②</w:t>
      </w:r>
      <w:r>
        <w:rPr>
          <w:rFonts w:hint="eastAsia" w:ascii="宋体" w:hAnsi="宋体"/>
          <w:bCs/>
          <w:color w:val="auto"/>
          <w:highlight w:val="none"/>
        </w:rPr>
        <w:t>采购过程中出现以下情形，导致电子交易平台无法正常运行，或者无法保证电子交易的公平、公正和安全时，采购人（或代理机构）可中止电子交易活动：</w:t>
      </w:r>
    </w:p>
    <w:p>
      <w:pPr>
        <w:spacing w:line="360" w:lineRule="auto"/>
        <w:ind w:firstLine="420"/>
        <w:rPr>
          <w:rFonts w:ascii="宋体" w:hAnsi="宋体"/>
          <w:bCs/>
          <w:color w:val="auto"/>
          <w:highlight w:val="none"/>
        </w:rPr>
      </w:pPr>
      <w:r>
        <w:rPr>
          <w:rFonts w:hint="eastAsia" w:ascii="宋体" w:hAnsi="宋体"/>
          <w:bCs/>
          <w:color w:val="auto"/>
          <w:highlight w:val="none"/>
        </w:rPr>
        <w:t>A.“政府采购云平台”发生故障而无法登录访问的；</w:t>
      </w:r>
    </w:p>
    <w:p>
      <w:pPr>
        <w:spacing w:line="360" w:lineRule="auto"/>
        <w:ind w:firstLine="420"/>
        <w:rPr>
          <w:rFonts w:ascii="宋体" w:hAnsi="宋体"/>
          <w:bCs/>
          <w:color w:val="auto"/>
          <w:highlight w:val="none"/>
        </w:rPr>
      </w:pPr>
      <w:r>
        <w:rPr>
          <w:rFonts w:hint="eastAsia" w:ascii="宋体" w:hAnsi="宋体"/>
          <w:bCs/>
          <w:color w:val="auto"/>
          <w:highlight w:val="none"/>
        </w:rPr>
        <w:t>B.“政府采购云平台”应用或数据库出现错误，不能进行正常操作的；</w:t>
      </w:r>
    </w:p>
    <w:p>
      <w:pPr>
        <w:spacing w:line="360" w:lineRule="auto"/>
        <w:ind w:firstLine="420"/>
        <w:rPr>
          <w:rFonts w:ascii="宋体" w:hAnsi="宋体"/>
          <w:bCs/>
          <w:color w:val="auto"/>
          <w:highlight w:val="none"/>
        </w:rPr>
      </w:pPr>
      <w:r>
        <w:rPr>
          <w:rFonts w:hint="eastAsia" w:ascii="宋体" w:hAnsi="宋体"/>
          <w:bCs/>
          <w:color w:val="auto"/>
          <w:highlight w:val="none"/>
        </w:rPr>
        <w:t>C.“政府采购云平台”发现严重安全漏洞，有潜在泄密危险的；</w:t>
      </w:r>
    </w:p>
    <w:p>
      <w:pPr>
        <w:spacing w:line="360" w:lineRule="auto"/>
        <w:ind w:firstLine="420"/>
        <w:rPr>
          <w:rFonts w:ascii="宋体" w:hAnsi="宋体"/>
          <w:bCs/>
          <w:color w:val="auto"/>
          <w:highlight w:val="none"/>
        </w:rPr>
      </w:pPr>
      <w:r>
        <w:rPr>
          <w:rFonts w:hint="eastAsia" w:ascii="宋体" w:hAnsi="宋体"/>
          <w:bCs/>
          <w:color w:val="auto"/>
          <w:highlight w:val="none"/>
        </w:rPr>
        <w:t>D.病毒发作导致不能进行正常操作的；</w:t>
      </w:r>
    </w:p>
    <w:p>
      <w:pPr>
        <w:spacing w:line="360" w:lineRule="auto"/>
        <w:ind w:firstLine="420"/>
        <w:rPr>
          <w:rFonts w:ascii="宋体" w:hAnsi="宋体"/>
          <w:bCs/>
          <w:color w:val="auto"/>
          <w:highlight w:val="none"/>
        </w:rPr>
      </w:pPr>
      <w:r>
        <w:rPr>
          <w:rFonts w:hint="eastAsia" w:ascii="宋体" w:hAnsi="宋体"/>
          <w:bCs/>
          <w:color w:val="auto"/>
          <w:highlight w:val="none"/>
        </w:rPr>
        <w:t>E.其他无法保证电子交易的公平、公正和安全的情况。</w:t>
      </w:r>
    </w:p>
    <w:p>
      <w:pPr>
        <w:spacing w:line="360" w:lineRule="auto"/>
        <w:rPr>
          <w:rFonts w:ascii="宋体" w:hAnsi="宋体"/>
          <w:bCs/>
          <w:color w:val="auto"/>
          <w:highlight w:val="none"/>
        </w:rPr>
      </w:pPr>
      <w:r>
        <w:rPr>
          <w:rFonts w:hint="eastAsia" w:ascii="宋体" w:hAnsi="宋体"/>
          <w:bCs/>
          <w:color w:val="auto"/>
          <w:highlight w:val="none"/>
        </w:rPr>
        <w:t>出现前款规定情形，不影响采购公平、公正性的，采购组织机构可以待上述情形消除后继续组织电子交易活动；影响或可能影响采购公平、公正性的，应当重新采购。</w:t>
      </w:r>
    </w:p>
    <w:p>
      <w:pPr>
        <w:spacing w:line="360" w:lineRule="auto"/>
        <w:ind w:firstLine="420"/>
        <w:rPr>
          <w:rFonts w:ascii="宋体" w:hAnsi="宋体"/>
          <w:b/>
          <w:color w:val="auto"/>
          <w:highlight w:val="none"/>
        </w:rPr>
      </w:pPr>
      <w:r>
        <w:rPr>
          <w:rFonts w:hint="eastAsia" w:ascii="宋体" w:hAnsi="宋体"/>
          <w:b/>
          <w:color w:val="auto"/>
          <w:highlight w:val="none"/>
        </w:rPr>
        <w:t>（九）投标无效的情形</w:t>
      </w:r>
      <w:bookmarkEnd w:id="143"/>
      <w:bookmarkEnd w:id="144"/>
      <w:bookmarkEnd w:id="145"/>
      <w:bookmarkEnd w:id="146"/>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实质上没有响应采购文件要求的投标将被视为无效投标。投标人不得通过修正或撤销不合要求的偏离或保留从而使其投标成为实质上响应的投标。投标无效情形详见第四章《评标办法及评分标准》。</w:t>
      </w:r>
    </w:p>
    <w:p>
      <w:pPr>
        <w:spacing w:line="360" w:lineRule="auto"/>
        <w:rPr>
          <w:rFonts w:ascii="宋体" w:hAnsi="宋体"/>
          <w:b/>
          <w:color w:val="auto"/>
          <w:highlight w:val="none"/>
        </w:rPr>
      </w:pPr>
      <w:bookmarkStart w:id="147" w:name="_Toc460857924"/>
      <w:bookmarkStart w:id="148" w:name="_Toc460416663"/>
      <w:bookmarkStart w:id="149" w:name="_Toc17884840"/>
      <w:bookmarkStart w:id="150" w:name="_Toc460416358"/>
      <w:r>
        <w:rPr>
          <w:rFonts w:hint="eastAsia" w:ascii="宋体" w:hAnsi="宋体"/>
          <w:b/>
          <w:color w:val="auto"/>
          <w:highlight w:val="none"/>
        </w:rPr>
        <w:t>四、评标</w:t>
      </w:r>
      <w:bookmarkEnd w:id="147"/>
      <w:bookmarkEnd w:id="148"/>
      <w:bookmarkEnd w:id="149"/>
      <w:bookmarkEnd w:id="150"/>
    </w:p>
    <w:p>
      <w:pPr>
        <w:spacing w:line="360" w:lineRule="auto"/>
        <w:rPr>
          <w:rFonts w:ascii="宋体" w:hAnsi="宋体"/>
          <w:b/>
          <w:color w:val="auto"/>
          <w:highlight w:val="none"/>
        </w:rPr>
      </w:pPr>
      <w:bookmarkStart w:id="151" w:name="_Toc460857925"/>
      <w:bookmarkStart w:id="152" w:name="_Toc17884841"/>
      <w:r>
        <w:rPr>
          <w:rFonts w:hint="eastAsia" w:ascii="宋体" w:hAnsi="宋体"/>
          <w:b/>
          <w:color w:val="auto"/>
          <w:highlight w:val="none"/>
        </w:rPr>
        <w:t>（一）组建评标委员会</w:t>
      </w:r>
      <w:bookmarkEnd w:id="151"/>
      <w:bookmarkEnd w:id="152"/>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本项目评标委员会依法组建。</w:t>
      </w:r>
    </w:p>
    <w:p>
      <w:pPr>
        <w:spacing w:line="360" w:lineRule="auto"/>
        <w:rPr>
          <w:rFonts w:ascii="宋体" w:hAnsi="宋体"/>
          <w:b/>
          <w:color w:val="auto"/>
          <w:highlight w:val="none"/>
        </w:rPr>
      </w:pPr>
      <w:bookmarkStart w:id="153" w:name="_Toc460857926"/>
      <w:bookmarkStart w:id="154" w:name="_Toc17884842"/>
      <w:r>
        <w:rPr>
          <w:rFonts w:hint="eastAsia" w:ascii="宋体" w:hAnsi="宋体"/>
          <w:b/>
          <w:color w:val="auto"/>
          <w:highlight w:val="none"/>
        </w:rPr>
        <w:t>（二）评标的方式</w:t>
      </w:r>
      <w:bookmarkEnd w:id="153"/>
      <w:bookmarkEnd w:id="154"/>
    </w:p>
    <w:p>
      <w:pPr>
        <w:pStyle w:val="22"/>
        <w:snapToGrid w:val="0"/>
        <w:spacing w:beforeLines="0" w:afterLines="0" w:line="360" w:lineRule="auto"/>
        <w:ind w:left="689" w:leftChars="228" w:hanging="210" w:hangingChars="100"/>
        <w:jc w:val="left"/>
        <w:rPr>
          <w:rFonts w:hAnsi="宋体"/>
          <w:color w:val="auto"/>
          <w:sz w:val="21"/>
          <w:szCs w:val="21"/>
          <w:highlight w:val="none"/>
        </w:rPr>
      </w:pPr>
      <w:r>
        <w:rPr>
          <w:rFonts w:hint="eastAsia" w:hAnsi="宋体"/>
          <w:color w:val="auto"/>
          <w:sz w:val="21"/>
          <w:szCs w:val="21"/>
          <w:highlight w:val="none"/>
        </w:rPr>
        <w:t>本项目采用不公开方式评标，评标的依据为采购文件和投标文件。</w:t>
      </w:r>
    </w:p>
    <w:p>
      <w:pPr>
        <w:spacing w:line="360" w:lineRule="auto"/>
        <w:rPr>
          <w:rFonts w:ascii="宋体" w:hAnsi="宋体"/>
          <w:b/>
          <w:color w:val="auto"/>
          <w:highlight w:val="none"/>
        </w:rPr>
      </w:pPr>
      <w:bookmarkStart w:id="155" w:name="_Toc17884843"/>
      <w:bookmarkStart w:id="156" w:name="_Toc460857927"/>
      <w:r>
        <w:rPr>
          <w:rFonts w:hint="eastAsia" w:ascii="宋体" w:hAnsi="宋体"/>
          <w:b/>
          <w:color w:val="auto"/>
          <w:highlight w:val="none"/>
        </w:rPr>
        <w:t>（三）评标程序</w:t>
      </w:r>
      <w:bookmarkEnd w:id="155"/>
      <w:bookmarkEnd w:id="156"/>
    </w:p>
    <w:p>
      <w:pPr>
        <w:snapToGrid w:val="0"/>
        <w:spacing w:line="360" w:lineRule="auto"/>
        <w:ind w:firstLine="413" w:firstLineChars="196"/>
        <w:jc w:val="left"/>
        <w:rPr>
          <w:rFonts w:ascii="宋体" w:hAnsi="宋体"/>
          <w:b/>
          <w:bCs/>
          <w:color w:val="auto"/>
          <w:szCs w:val="21"/>
          <w:highlight w:val="none"/>
        </w:rPr>
      </w:pPr>
      <w:r>
        <w:rPr>
          <w:rFonts w:hint="eastAsia" w:ascii="宋体" w:hAnsi="宋体"/>
          <w:b/>
          <w:bCs/>
          <w:color w:val="auto"/>
          <w:szCs w:val="21"/>
          <w:highlight w:val="none"/>
        </w:rPr>
        <w:t>1、资格审查</w:t>
      </w:r>
    </w:p>
    <w:p>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招标代理机构工作人员对投标人的资格</w:t>
      </w:r>
      <w:r>
        <w:rPr>
          <w:rFonts w:ascii="宋体" w:hAnsi="宋体"/>
          <w:color w:val="auto"/>
          <w:szCs w:val="21"/>
          <w:highlight w:val="none"/>
        </w:rPr>
        <w:t>进行审查。</w:t>
      </w:r>
    </w:p>
    <w:p>
      <w:pPr>
        <w:snapToGrid w:val="0"/>
        <w:spacing w:line="360" w:lineRule="auto"/>
        <w:ind w:firstLine="413" w:firstLineChars="196"/>
        <w:jc w:val="left"/>
        <w:rPr>
          <w:rFonts w:ascii="宋体" w:hAnsi="宋体"/>
          <w:b/>
          <w:bCs/>
          <w:color w:val="auto"/>
          <w:szCs w:val="21"/>
          <w:highlight w:val="none"/>
        </w:rPr>
      </w:pPr>
      <w:r>
        <w:rPr>
          <w:rFonts w:hint="eastAsia" w:ascii="宋体" w:hAnsi="宋体"/>
          <w:b/>
          <w:bCs/>
          <w:color w:val="auto"/>
          <w:szCs w:val="21"/>
          <w:highlight w:val="none"/>
        </w:rPr>
        <w:t>2、符合性审查与比较</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（1）评标委员会审查投标文件的实质性内容是否符合采购文件的实质性要求。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（3）各投标人的技术商务得分为所有评委的有效评分的算术平均数，由指定专人进行计算复核。</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（4）采购代理机构工作人员协助评标委员会根据本项目的评分标准计算各投标人的商务报价得分。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（5）评标委员会完成评标后,评委对各部分得分汇总,计算出本项目最终得分。评标委员会按评标原则推荐中标候选人同时起草评标报告。</w:t>
      </w:r>
    </w:p>
    <w:p>
      <w:pPr>
        <w:spacing w:line="360" w:lineRule="auto"/>
        <w:rPr>
          <w:rFonts w:ascii="宋体" w:hAnsi="宋体"/>
          <w:b/>
          <w:color w:val="auto"/>
          <w:highlight w:val="none"/>
        </w:rPr>
      </w:pPr>
      <w:bookmarkStart w:id="157" w:name="_Toc460857928"/>
      <w:bookmarkStart w:id="158" w:name="_Toc17884844"/>
      <w:r>
        <w:rPr>
          <w:rFonts w:hint="eastAsia" w:ascii="宋体" w:hAnsi="宋体"/>
          <w:b/>
          <w:color w:val="auto"/>
          <w:highlight w:val="none"/>
        </w:rPr>
        <w:t>（四）澄清问题的形式</w:t>
      </w:r>
      <w:bookmarkEnd w:id="157"/>
      <w:bookmarkEnd w:id="158"/>
    </w:p>
    <w:p>
      <w:pPr>
        <w:widowControl/>
        <w:spacing w:line="360" w:lineRule="auto"/>
        <w:ind w:firstLine="420" w:firstLineChars="200"/>
        <w:jc w:val="left"/>
        <w:outlineLvl w:val="1"/>
        <w:rPr>
          <w:rFonts w:ascii="宋体" w:hAnsi="宋体"/>
          <w:color w:val="auto"/>
          <w:szCs w:val="21"/>
          <w:highlight w:val="none"/>
        </w:rPr>
      </w:pPr>
      <w:bookmarkStart w:id="159" w:name="_Toc497898868"/>
      <w:bookmarkStart w:id="160" w:name="_Toc460857930"/>
      <w:bookmarkStart w:id="161" w:name="_Toc17884845"/>
      <w:r>
        <w:rPr>
          <w:rFonts w:hint="eastAsia" w:ascii="宋体" w:hAnsi="宋体"/>
          <w:color w:val="auto"/>
          <w:szCs w:val="21"/>
          <w:highlight w:val="none"/>
        </w:rPr>
        <w:t>对于投标文件中含义不明确、同类问题表述不一致或者有明显文字和计算错误的内容，评标委员会可要求</w:t>
      </w:r>
      <w:r>
        <w:rPr>
          <w:rFonts w:ascii="宋体" w:hAnsi="宋体"/>
          <w:color w:val="auto"/>
          <w:szCs w:val="21"/>
          <w:highlight w:val="none"/>
        </w:rPr>
        <w:t>投标人</w:t>
      </w:r>
      <w:r>
        <w:rPr>
          <w:rFonts w:hint="eastAsia" w:ascii="宋体" w:hAnsi="宋体"/>
          <w:color w:val="auto"/>
          <w:szCs w:val="21"/>
          <w:highlight w:val="none"/>
        </w:rPr>
        <w:t>以书面形式作出必要的澄清、说明或者补正。</w:t>
      </w:r>
      <w:bookmarkEnd w:id="159"/>
    </w:p>
    <w:p>
      <w:pPr>
        <w:widowControl/>
        <w:spacing w:line="360" w:lineRule="auto"/>
        <w:ind w:firstLine="420" w:firstLineChars="200"/>
        <w:jc w:val="left"/>
        <w:outlineLvl w:val="1"/>
        <w:rPr>
          <w:rFonts w:ascii="宋体" w:hAnsi="宋体"/>
          <w:color w:val="auto"/>
          <w:szCs w:val="21"/>
          <w:highlight w:val="none"/>
        </w:rPr>
      </w:pPr>
      <w:bookmarkStart w:id="162" w:name="_Toc497898869"/>
      <w:r>
        <w:rPr>
          <w:rFonts w:ascii="宋体" w:hAnsi="宋体"/>
          <w:color w:val="auto"/>
          <w:szCs w:val="21"/>
          <w:highlight w:val="none"/>
        </w:rPr>
        <w:t>投标人</w:t>
      </w:r>
      <w:r>
        <w:rPr>
          <w:rFonts w:hint="eastAsia" w:ascii="宋体" w:hAnsi="宋体"/>
          <w:color w:val="auto"/>
          <w:szCs w:val="21"/>
          <w:highlight w:val="none"/>
        </w:rPr>
        <w:t>的澄清、说明或者补正应当采用书面形式，并加盖公章，或者由法定代表人或其授权代表签字确认，</w:t>
      </w:r>
      <w:r>
        <w:rPr>
          <w:rFonts w:ascii="宋体" w:hAnsi="宋体"/>
          <w:color w:val="auto"/>
          <w:szCs w:val="21"/>
          <w:highlight w:val="none"/>
        </w:rPr>
        <w:t>投标人</w:t>
      </w:r>
      <w:r>
        <w:rPr>
          <w:rFonts w:hint="eastAsia" w:ascii="宋体" w:hAnsi="宋体"/>
          <w:color w:val="auto"/>
          <w:szCs w:val="21"/>
          <w:highlight w:val="none"/>
        </w:rPr>
        <w:t>的澄清、说明或者补正不得超出投标文件的范围或者改变投标文件的实质性内容。</w:t>
      </w:r>
      <w:bookmarkEnd w:id="162"/>
    </w:p>
    <w:p>
      <w:pPr>
        <w:widowControl/>
        <w:spacing w:line="360" w:lineRule="auto"/>
        <w:jc w:val="left"/>
        <w:outlineLvl w:val="1"/>
        <w:rPr>
          <w:rFonts w:ascii="宋体" w:hAnsi="宋体"/>
          <w:b/>
          <w:color w:val="auto"/>
          <w:szCs w:val="28"/>
          <w:highlight w:val="none"/>
        </w:rPr>
      </w:pPr>
      <w:bookmarkStart w:id="163" w:name="_Toc497898870"/>
      <w:r>
        <w:rPr>
          <w:rFonts w:hint="eastAsia" w:ascii="宋体" w:hAnsi="宋体"/>
          <w:b/>
          <w:color w:val="auto"/>
          <w:szCs w:val="28"/>
          <w:highlight w:val="none"/>
        </w:rPr>
        <w:t>（五）、错误修正</w:t>
      </w:r>
      <w:bookmarkEnd w:id="163"/>
    </w:p>
    <w:p>
      <w:pPr>
        <w:pStyle w:val="123"/>
        <w:widowControl/>
        <w:spacing w:beforeLines="0" w:afterLines="0" w:line="360" w:lineRule="auto"/>
        <w:ind w:left="689" w:leftChars="228" w:hanging="210" w:hangingChars="100"/>
        <w:jc w:val="left"/>
        <w:rPr>
          <w:rFonts w:hAnsi="宋体"/>
          <w:color w:val="auto"/>
          <w:sz w:val="21"/>
          <w:szCs w:val="21"/>
          <w:highlight w:val="none"/>
        </w:rPr>
      </w:pPr>
      <w:r>
        <w:rPr>
          <w:rFonts w:hint="eastAsia" w:hAnsi="宋体"/>
          <w:color w:val="auto"/>
          <w:sz w:val="21"/>
          <w:szCs w:val="21"/>
          <w:highlight w:val="none"/>
        </w:rPr>
        <w:t>投标文件报价出现前后不一致的，除采购文件另有规定外，按照下列规定修正：</w:t>
      </w:r>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1、投标文件中开标一览表（报价表）内容与投标文件中相应内容不一致的，以开标一览表（报价表）为准；</w:t>
      </w:r>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2、大写金额和小写金额不一致的，以大写金额为准；</w:t>
      </w:r>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3、单价金额小数点或者百分比有明显错位的，以开标一览表的总价为准，并修改单价；</w:t>
      </w:r>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4、总价金额与按单价汇总金额不一致的，以单价金额计算结果为准；</w:t>
      </w:r>
    </w:p>
    <w:p>
      <w:pPr>
        <w:pStyle w:val="123"/>
        <w:widowControl/>
        <w:spacing w:beforeLines="0" w:afterLines="0" w:line="360" w:lineRule="auto"/>
        <w:ind w:firstLine="422" w:firstLineChars="200"/>
        <w:jc w:val="left"/>
        <w:rPr>
          <w:rFonts w:hAnsi="宋体"/>
          <w:color w:val="auto"/>
          <w:sz w:val="21"/>
          <w:szCs w:val="21"/>
          <w:highlight w:val="none"/>
        </w:rPr>
      </w:pPr>
      <w:r>
        <w:rPr>
          <w:rFonts w:hint="eastAsia" w:hAnsi="宋体"/>
          <w:b/>
          <w:bCs/>
          <w:color w:val="auto"/>
          <w:sz w:val="21"/>
          <w:szCs w:val="21"/>
          <w:highlight w:val="none"/>
        </w:rPr>
        <w:t>同时出现两种以上不一致的，按照前款规定的顺序修正。修正后的报价经</w:t>
      </w:r>
      <w:r>
        <w:rPr>
          <w:rFonts w:hAnsi="宋体"/>
          <w:b/>
          <w:bCs/>
          <w:color w:val="auto"/>
          <w:sz w:val="21"/>
          <w:szCs w:val="21"/>
          <w:highlight w:val="none"/>
        </w:rPr>
        <w:t>投标人</w:t>
      </w:r>
      <w:r>
        <w:rPr>
          <w:rFonts w:hint="eastAsia" w:hAnsi="宋体"/>
          <w:b/>
          <w:bCs/>
          <w:color w:val="auto"/>
          <w:sz w:val="21"/>
          <w:szCs w:val="21"/>
          <w:highlight w:val="none"/>
        </w:rPr>
        <w:t>确认后具有约束力，若</w:t>
      </w:r>
      <w:r>
        <w:rPr>
          <w:rFonts w:hAnsi="宋体"/>
          <w:b/>
          <w:bCs/>
          <w:color w:val="auto"/>
          <w:sz w:val="21"/>
          <w:szCs w:val="21"/>
          <w:highlight w:val="none"/>
        </w:rPr>
        <w:t>投标人</w:t>
      </w:r>
      <w:r>
        <w:rPr>
          <w:rFonts w:hint="eastAsia" w:hAnsi="宋体"/>
          <w:b/>
          <w:bCs/>
          <w:color w:val="auto"/>
          <w:sz w:val="21"/>
          <w:szCs w:val="21"/>
          <w:highlight w:val="none"/>
        </w:rPr>
        <w:t>不确认的，则其投标无效。</w:t>
      </w:r>
    </w:p>
    <w:p>
      <w:pPr>
        <w:spacing w:line="360" w:lineRule="auto"/>
        <w:rPr>
          <w:rFonts w:ascii="宋体" w:hAnsi="宋体"/>
          <w:b/>
          <w:color w:val="auto"/>
          <w:highlight w:val="none"/>
        </w:rPr>
      </w:pPr>
      <w:r>
        <w:rPr>
          <w:rFonts w:hint="eastAsia" w:ascii="宋体" w:hAnsi="宋体"/>
          <w:b/>
          <w:color w:val="auto"/>
          <w:highlight w:val="none"/>
        </w:rPr>
        <w:t>（六）评标原则和评标办法</w:t>
      </w:r>
      <w:bookmarkEnd w:id="160"/>
      <w:bookmarkEnd w:id="161"/>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2、评标办法。本项目评标办法是</w:t>
      </w:r>
      <w:r>
        <w:rPr>
          <w:rFonts w:hint="eastAsia" w:hAnsi="宋体"/>
          <w:color w:val="auto"/>
          <w:sz w:val="21"/>
          <w:szCs w:val="21"/>
          <w:highlight w:val="none"/>
          <w:u w:val="single"/>
        </w:rPr>
        <w:t xml:space="preserve"> 综合评分法 </w:t>
      </w:r>
      <w:r>
        <w:rPr>
          <w:rFonts w:hint="eastAsia" w:hAnsi="宋体"/>
          <w:color w:val="auto"/>
          <w:sz w:val="21"/>
          <w:szCs w:val="21"/>
          <w:highlight w:val="none"/>
        </w:rPr>
        <w:t>，具体评标内容及评分标准等详见《第四章 评标办法及评分标准》。</w:t>
      </w:r>
    </w:p>
    <w:p>
      <w:pPr>
        <w:spacing w:line="360" w:lineRule="auto"/>
        <w:rPr>
          <w:rFonts w:ascii="宋体" w:hAnsi="宋体"/>
          <w:b/>
          <w:color w:val="auto"/>
          <w:highlight w:val="none"/>
        </w:rPr>
      </w:pPr>
      <w:bookmarkStart w:id="164" w:name="_Toc460857931"/>
      <w:bookmarkStart w:id="165" w:name="_Toc17884846"/>
      <w:r>
        <w:rPr>
          <w:rFonts w:hint="eastAsia" w:ascii="宋体" w:hAnsi="宋体"/>
          <w:b/>
          <w:color w:val="auto"/>
          <w:highlight w:val="none"/>
        </w:rPr>
        <w:t>五、</w:t>
      </w:r>
      <w:bookmarkEnd w:id="164"/>
      <w:bookmarkEnd w:id="165"/>
      <w:r>
        <w:rPr>
          <w:rFonts w:hint="eastAsia" w:ascii="宋体" w:hAnsi="宋体"/>
          <w:b/>
          <w:color w:val="auto"/>
          <w:highlight w:val="none"/>
        </w:rPr>
        <w:t>项目终止</w:t>
      </w:r>
    </w:p>
    <w:p>
      <w:pPr>
        <w:snapToGrid w:val="0"/>
        <w:spacing w:line="360" w:lineRule="auto"/>
        <w:ind w:firstLine="420" w:firstLineChars="200"/>
        <w:jc w:val="left"/>
        <w:rPr>
          <w:rFonts w:ascii="宋体" w:hAnsi="宋体"/>
          <w:color w:val="auto"/>
          <w:szCs w:val="21"/>
          <w:highlight w:val="none"/>
        </w:rPr>
      </w:pPr>
      <w:bookmarkStart w:id="166" w:name="_Toc460857932"/>
      <w:r>
        <w:rPr>
          <w:rFonts w:hint="eastAsia" w:ascii="宋体" w:hAnsi="宋体"/>
          <w:color w:val="auto"/>
          <w:szCs w:val="21"/>
          <w:highlight w:val="none"/>
        </w:rPr>
        <w:t>政府采购的国内公开招标，采购响应截止时间或评审期间，出现参与采购响应或者对采购文件作出实质性响应的供应商不足3家的情况，招标人有权全部或部分终止招标。</w:t>
      </w:r>
    </w:p>
    <w:p>
      <w:pPr>
        <w:spacing w:line="360" w:lineRule="auto"/>
        <w:rPr>
          <w:rFonts w:ascii="宋体" w:hAnsi="宋体"/>
          <w:b/>
          <w:color w:val="auto"/>
          <w:highlight w:val="none"/>
        </w:rPr>
      </w:pPr>
      <w:bookmarkStart w:id="167" w:name="_Toc17884847"/>
      <w:r>
        <w:rPr>
          <w:rFonts w:hint="eastAsia" w:ascii="宋体" w:hAnsi="宋体"/>
          <w:b/>
          <w:color w:val="auto"/>
          <w:highlight w:val="none"/>
        </w:rPr>
        <w:t>六、定标</w:t>
      </w:r>
      <w:bookmarkEnd w:id="166"/>
      <w:bookmarkEnd w:id="167"/>
    </w:p>
    <w:p>
      <w:pPr>
        <w:spacing w:line="360" w:lineRule="auto"/>
        <w:rPr>
          <w:rFonts w:ascii="宋体" w:hAnsi="宋体"/>
          <w:b/>
          <w:color w:val="auto"/>
          <w:highlight w:val="none"/>
        </w:rPr>
      </w:pPr>
      <w:bookmarkStart w:id="168" w:name="_Toc460857933"/>
      <w:bookmarkStart w:id="169" w:name="_Toc17884848"/>
      <w:r>
        <w:rPr>
          <w:rFonts w:hint="eastAsia" w:ascii="宋体" w:hAnsi="宋体"/>
          <w:b/>
          <w:color w:val="auto"/>
          <w:highlight w:val="none"/>
        </w:rPr>
        <w:t>（一）确定中标人</w:t>
      </w:r>
      <w:bookmarkEnd w:id="168"/>
      <w:bookmarkEnd w:id="169"/>
    </w:p>
    <w:p>
      <w:pPr>
        <w:pStyle w:val="22"/>
        <w:widowControl/>
        <w:spacing w:beforeLines="0" w:afterLines="0" w:line="360" w:lineRule="auto"/>
        <w:ind w:firstLine="420" w:firstLineChars="200"/>
        <w:jc w:val="left"/>
        <w:rPr>
          <w:rFonts w:hAnsi="宋体"/>
          <w:color w:val="auto"/>
          <w:sz w:val="21"/>
          <w:szCs w:val="21"/>
          <w:highlight w:val="none"/>
        </w:rPr>
      </w:pPr>
      <w:bookmarkStart w:id="170" w:name="_Toc460416359"/>
      <w:bookmarkStart w:id="171" w:name="_Toc17884849"/>
      <w:bookmarkStart w:id="172" w:name="_Toc460416664"/>
      <w:bookmarkStart w:id="173" w:name="_Toc460857934"/>
      <w:r>
        <w:rPr>
          <w:rFonts w:hint="eastAsia" w:hAnsi="宋体"/>
          <w:color w:val="auto"/>
          <w:sz w:val="21"/>
          <w:szCs w:val="21"/>
          <w:highlight w:val="none"/>
        </w:rPr>
        <w:t>1、确定中标人。本项目由评标委员会推荐中标候选人，采购人不得在评标委员会推荐的中标候选人以外确定中标候选人。</w:t>
      </w:r>
    </w:p>
    <w:p>
      <w:pPr>
        <w:pStyle w:val="22"/>
        <w:widowControl/>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2"/>
        <w:widowControl/>
        <w:spacing w:beforeLines="0" w:afterLines="0" w:line="360" w:lineRule="auto"/>
        <w:ind w:firstLine="420" w:firstLineChars="200"/>
        <w:jc w:val="left"/>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、采购代理机构自中标人确定之日起2个工作日内，在发布招标公告的网站上对中标结果进行公示，中标结果公告期限为1个工作日。</w:t>
      </w:r>
    </w:p>
    <w:p>
      <w:pPr>
        <w:pStyle w:val="22"/>
        <w:widowControl/>
        <w:spacing w:beforeLines="0" w:afterLines="0" w:line="360" w:lineRule="auto"/>
        <w:ind w:firstLine="420" w:firstLineChars="200"/>
        <w:jc w:val="left"/>
        <w:rPr>
          <w:rFonts w:hAnsi="宋体"/>
          <w:color w:val="auto"/>
          <w:sz w:val="21"/>
          <w:szCs w:val="21"/>
          <w:highlight w:val="none"/>
        </w:rPr>
      </w:pPr>
      <w:r>
        <w:rPr>
          <w:rFonts w:hAnsi="宋体"/>
          <w:color w:val="auto"/>
          <w:sz w:val="21"/>
          <w:szCs w:val="21"/>
          <w:highlight w:val="none"/>
        </w:rPr>
        <w:t>4</w:t>
      </w:r>
      <w:r>
        <w:rPr>
          <w:rFonts w:hint="eastAsia" w:hAnsi="宋体"/>
          <w:color w:val="auto"/>
          <w:sz w:val="21"/>
          <w:szCs w:val="21"/>
          <w:highlight w:val="none"/>
        </w:rPr>
        <w:t>、凡发现中标人有下列行为之一的，将移交政府采购监督管理部门依法处理：</w:t>
      </w:r>
    </w:p>
    <w:p>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提供虚假材料谋取中标的；</w:t>
      </w:r>
    </w:p>
    <w:p>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采取不正当手段诋毁、排挤其他</w:t>
      </w:r>
      <w:r>
        <w:rPr>
          <w:rFonts w:ascii="宋体" w:hAnsi="宋体"/>
          <w:color w:val="auto"/>
          <w:szCs w:val="21"/>
          <w:highlight w:val="none"/>
        </w:rPr>
        <w:t>投标人</w:t>
      </w:r>
      <w:r>
        <w:rPr>
          <w:rFonts w:hint="eastAsia" w:ascii="宋体" w:hAnsi="宋体"/>
          <w:color w:val="auto"/>
          <w:szCs w:val="21"/>
          <w:highlight w:val="none"/>
        </w:rPr>
        <w:t>的；</w:t>
      </w:r>
    </w:p>
    <w:p>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与采购人、其他</w:t>
      </w:r>
      <w:r>
        <w:rPr>
          <w:rFonts w:ascii="宋体" w:hAnsi="宋体"/>
          <w:color w:val="auto"/>
          <w:szCs w:val="21"/>
          <w:highlight w:val="none"/>
        </w:rPr>
        <w:t>投标人</w:t>
      </w:r>
      <w:r>
        <w:rPr>
          <w:rFonts w:hint="eastAsia" w:ascii="宋体" w:hAnsi="宋体"/>
          <w:color w:val="auto"/>
          <w:szCs w:val="21"/>
          <w:highlight w:val="none"/>
        </w:rPr>
        <w:t>或者采购代理机构工作人员恶意串通的；</w:t>
      </w:r>
    </w:p>
    <w:p>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向采购人或采购代理机构人员行贿或者提供其他不正当利益的；</w:t>
      </w:r>
    </w:p>
    <w:p>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拒绝有关部门监督检查或者提供虚假情况的；</w:t>
      </w:r>
    </w:p>
    <w:p>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有法律、法规规定的其他损害采购人利益和社会公共利益情形的。</w:t>
      </w:r>
    </w:p>
    <w:p>
      <w:pPr>
        <w:widowControl/>
        <w:spacing w:line="360" w:lineRule="auto"/>
        <w:jc w:val="left"/>
        <w:outlineLvl w:val="1"/>
        <w:rPr>
          <w:rFonts w:ascii="宋体" w:hAnsi="宋体"/>
          <w:b/>
          <w:color w:val="auto"/>
          <w:szCs w:val="28"/>
          <w:highlight w:val="none"/>
        </w:rPr>
      </w:pPr>
      <w:bookmarkStart w:id="174" w:name="_Toc497898872"/>
      <w:r>
        <w:rPr>
          <w:rFonts w:hint="eastAsia" w:ascii="宋体" w:hAnsi="宋体"/>
          <w:b/>
          <w:color w:val="auto"/>
          <w:szCs w:val="28"/>
          <w:highlight w:val="none"/>
        </w:rPr>
        <w:t>七、评标过程的监控</w:t>
      </w:r>
      <w:bookmarkEnd w:id="174"/>
    </w:p>
    <w:p>
      <w:pPr>
        <w:snapToGrid w:val="0"/>
        <w:spacing w:line="360" w:lineRule="auto"/>
        <w:ind w:firstLine="420" w:firstLineChars="200"/>
        <w:jc w:val="left"/>
        <w:rPr>
          <w:rFonts w:ascii="宋体" w:hAnsi="宋体"/>
          <w:bCs/>
          <w:color w:val="auto"/>
          <w:szCs w:val="28"/>
          <w:highlight w:val="none"/>
        </w:rPr>
      </w:pPr>
      <w:bookmarkStart w:id="175" w:name="_Toc497898873"/>
      <w:r>
        <w:rPr>
          <w:rFonts w:hint="eastAsia" w:ascii="宋体" w:hAnsi="宋体"/>
          <w:color w:val="auto"/>
          <w:szCs w:val="21"/>
          <w:highlight w:val="none"/>
        </w:rPr>
        <w:t>本项目评标过程实行全程录音</w:t>
      </w:r>
      <w:r>
        <w:rPr>
          <w:rFonts w:hint="eastAsia" w:ascii="宋体" w:hAnsi="宋体"/>
          <w:bCs/>
          <w:color w:val="auto"/>
          <w:szCs w:val="28"/>
          <w:highlight w:val="none"/>
        </w:rPr>
        <w:t>、录像监控，</w:t>
      </w:r>
      <w:r>
        <w:rPr>
          <w:rFonts w:ascii="宋体" w:hAnsi="宋体"/>
          <w:bCs/>
          <w:color w:val="auto"/>
          <w:szCs w:val="28"/>
          <w:highlight w:val="none"/>
        </w:rPr>
        <w:t>投标人</w:t>
      </w:r>
      <w:r>
        <w:rPr>
          <w:rFonts w:hint="eastAsia" w:ascii="宋体" w:hAnsi="宋体"/>
          <w:bCs/>
          <w:color w:val="auto"/>
          <w:szCs w:val="28"/>
          <w:highlight w:val="none"/>
        </w:rPr>
        <w:t>在评标过程中所进行的试图影响评标结果的不公正活动，可能导致其投标被拒绝。</w:t>
      </w:r>
      <w:bookmarkEnd w:id="175"/>
    </w:p>
    <w:p>
      <w:pPr>
        <w:spacing w:line="360" w:lineRule="auto"/>
        <w:rPr>
          <w:rFonts w:ascii="宋体" w:hAnsi="宋体"/>
          <w:b/>
          <w:color w:val="auto"/>
          <w:highlight w:val="none"/>
        </w:rPr>
      </w:pPr>
      <w:r>
        <w:rPr>
          <w:rFonts w:hint="eastAsia" w:ascii="宋体" w:hAnsi="宋体"/>
          <w:b/>
          <w:color w:val="auto"/>
          <w:highlight w:val="none"/>
        </w:rPr>
        <w:t>八、合同授予</w:t>
      </w:r>
      <w:bookmarkEnd w:id="170"/>
      <w:bookmarkEnd w:id="171"/>
      <w:bookmarkEnd w:id="172"/>
      <w:bookmarkEnd w:id="173"/>
    </w:p>
    <w:p>
      <w:pPr>
        <w:spacing w:line="360" w:lineRule="auto"/>
        <w:rPr>
          <w:rFonts w:ascii="宋体" w:hAnsi="宋体"/>
          <w:b/>
          <w:color w:val="auto"/>
          <w:highlight w:val="none"/>
        </w:rPr>
      </w:pPr>
      <w:bookmarkStart w:id="176" w:name="_Toc17884850"/>
      <w:bookmarkStart w:id="177" w:name="_Toc460857935"/>
      <w:r>
        <w:rPr>
          <w:rFonts w:hint="eastAsia" w:ascii="宋体" w:hAnsi="宋体"/>
          <w:b/>
          <w:color w:val="auto"/>
          <w:highlight w:val="none"/>
        </w:rPr>
        <w:t>（一）签订合同</w:t>
      </w:r>
      <w:bookmarkEnd w:id="176"/>
      <w:bookmarkEnd w:id="177"/>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1、采购人与中标人应当在《中标通知书》发出之日起</w:t>
      </w:r>
      <w:r>
        <w:rPr>
          <w:rFonts w:hint="eastAsia" w:ascii="宋体" w:hAnsi="宋体"/>
          <w:b/>
          <w:color w:val="auto"/>
          <w:szCs w:val="21"/>
          <w:highlight w:val="none"/>
          <w:u w:val="single"/>
        </w:rPr>
        <w:t>30</w:t>
      </w:r>
      <w:r>
        <w:rPr>
          <w:rFonts w:hint="eastAsia" w:ascii="宋体" w:hAnsi="宋体"/>
          <w:color w:val="auto"/>
          <w:szCs w:val="21"/>
          <w:highlight w:val="none"/>
        </w:rPr>
        <w:t>日内签订政府采购合同。同时，采购代理机构对合同内容进行审查，如发现与采购结果和投标承诺内容不一致的，应予以纠正。</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2、中标人拖延、拒签合同的,将取消中标资格。</w:t>
      </w:r>
    </w:p>
    <w:p>
      <w:pPr>
        <w:spacing w:line="360" w:lineRule="auto"/>
        <w:rPr>
          <w:rFonts w:ascii="宋体" w:hAnsi="宋体"/>
          <w:b/>
          <w:color w:val="auto"/>
          <w:highlight w:val="none"/>
        </w:rPr>
      </w:pPr>
      <w:bookmarkStart w:id="178" w:name="_Toc460857936"/>
      <w:bookmarkStart w:id="179" w:name="_Toc17884851"/>
      <w:r>
        <w:rPr>
          <w:rFonts w:hint="eastAsia" w:ascii="宋体" w:hAnsi="宋体"/>
          <w:b/>
          <w:color w:val="auto"/>
          <w:highlight w:val="none"/>
        </w:rPr>
        <w:t>（二）履约保证金</w:t>
      </w:r>
      <w:bookmarkEnd w:id="178"/>
      <w:bookmarkEnd w:id="179"/>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1、中标人应按采购文件确定的履约保证金的金额，向采购人交纳履约保证金。</w:t>
      </w:r>
    </w:p>
    <w:p>
      <w:pPr>
        <w:pStyle w:val="22"/>
        <w:snapToGrid w:val="0"/>
        <w:spacing w:beforeLines="0" w:afterLines="0"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2、签订合同后，如中标人不按双方合同约定履约，则没收其全部履约保证金，履约保证金不足以赔偿损失的，按实际损失赔偿。</w:t>
      </w:r>
    </w:p>
    <w:p>
      <w:pPr>
        <w:spacing w:line="360" w:lineRule="auto"/>
        <w:rPr>
          <w:rFonts w:ascii="宋体" w:hAnsi="宋体"/>
          <w:b/>
          <w:color w:val="auto"/>
          <w:highlight w:val="none"/>
        </w:rPr>
      </w:pPr>
      <w:bookmarkStart w:id="180" w:name="_Toc17884852"/>
      <w:bookmarkStart w:id="181" w:name="_Toc460857937"/>
      <w:r>
        <w:rPr>
          <w:rFonts w:hint="eastAsia" w:ascii="宋体" w:hAnsi="宋体"/>
          <w:b/>
          <w:color w:val="auto"/>
          <w:highlight w:val="none"/>
        </w:rPr>
        <w:t>九、特别说明</w:t>
      </w:r>
      <w:bookmarkEnd w:id="180"/>
      <w:bookmarkEnd w:id="181"/>
    </w:p>
    <w:p>
      <w:pPr>
        <w:spacing w:line="360" w:lineRule="auto"/>
        <w:ind w:firstLine="420"/>
        <w:rPr>
          <w:color w:val="auto"/>
          <w:highlight w:val="none"/>
        </w:rPr>
      </w:pPr>
      <w:r>
        <w:rPr>
          <w:rFonts w:hint="eastAsia"/>
          <w:color w:val="auto"/>
          <w:highlight w:val="none"/>
        </w:rPr>
        <w:t>1、本项目</w:t>
      </w:r>
      <w:r>
        <w:rPr>
          <w:rFonts w:hint="eastAsia"/>
          <w:color w:val="auto"/>
          <w:highlight w:val="none"/>
          <w:u w:val="single"/>
        </w:rPr>
        <w:t xml:space="preserve">  非  </w:t>
      </w:r>
      <w:r>
        <w:rPr>
          <w:rFonts w:hint="eastAsia"/>
          <w:color w:val="auto"/>
          <w:highlight w:val="none"/>
        </w:rPr>
        <w:t>专门面向中小企业采购。</w:t>
      </w:r>
    </w:p>
    <w:p>
      <w:pPr>
        <w:spacing w:line="360" w:lineRule="auto"/>
        <w:ind w:firstLine="420"/>
        <w:rPr>
          <w:color w:val="auto"/>
          <w:highlight w:val="none"/>
        </w:rPr>
      </w:pPr>
      <w:r>
        <w:rPr>
          <w:rFonts w:hint="eastAsia"/>
          <w:color w:val="auto"/>
          <w:highlight w:val="none"/>
        </w:rPr>
        <w:t>2、本项目对应的中小企业划分标准所属行业：</w:t>
      </w:r>
      <w:r>
        <w:rPr>
          <w:rFonts w:hint="eastAsia"/>
          <w:color w:val="auto"/>
          <w:highlight w:val="none"/>
          <w:u w:val="single"/>
        </w:rPr>
        <w:t xml:space="preserve">  工业  </w:t>
      </w:r>
      <w:r>
        <w:rPr>
          <w:rFonts w:hint="eastAsia"/>
          <w:color w:val="auto"/>
          <w:highlight w:val="none"/>
        </w:rPr>
        <w:t>。</w:t>
      </w:r>
    </w:p>
    <w:p>
      <w:pPr>
        <w:spacing w:line="360" w:lineRule="auto"/>
        <w:ind w:firstLine="420"/>
        <w:rPr>
          <w:color w:val="auto"/>
          <w:highlight w:val="none"/>
        </w:rPr>
      </w:pPr>
      <w:r>
        <w:rPr>
          <w:rFonts w:hint="eastAsia"/>
          <w:color w:val="auto"/>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rPr>
          <w:color w:val="auto"/>
          <w:highlight w:val="none"/>
        </w:rPr>
      </w:pPr>
      <w:r>
        <w:rPr>
          <w:rFonts w:hint="eastAsia"/>
          <w:color w:val="auto"/>
          <w:highlight w:val="none"/>
        </w:rPr>
        <w:t>符合中小企业划分标准的个体工商户，在政府采购活动中视同中小企业。</w:t>
      </w:r>
    </w:p>
    <w:p>
      <w:pPr>
        <w:spacing w:line="360" w:lineRule="auto"/>
        <w:rPr>
          <w:color w:val="auto"/>
          <w:highlight w:val="none"/>
        </w:rPr>
      </w:pPr>
      <w:r>
        <w:rPr>
          <w:rFonts w:hint="eastAsia"/>
          <w:color w:val="auto"/>
          <w:highlight w:val="none"/>
        </w:rPr>
        <w:t>国务院批准的中小企业划分标准：具体见工信部联企业[2011]300号。</w:t>
      </w:r>
    </w:p>
    <w:p>
      <w:pPr>
        <w:spacing w:line="360" w:lineRule="auto"/>
        <w:ind w:firstLine="420"/>
        <w:rPr>
          <w:color w:val="auto"/>
          <w:highlight w:val="none"/>
        </w:rPr>
      </w:pPr>
      <w:r>
        <w:rPr>
          <w:rFonts w:hint="eastAsia"/>
          <w:color w:val="auto"/>
          <w:highlight w:val="none"/>
        </w:rPr>
        <w:t>4、在政府采购活动中，供应商提供的货物、工程或者服务符合下列情形的，可享受小型、微型企业（以下简称小微企业）的价格扣除：</w:t>
      </w:r>
    </w:p>
    <w:p>
      <w:pPr>
        <w:spacing w:line="360" w:lineRule="auto"/>
        <w:rPr>
          <w:color w:val="auto"/>
          <w:highlight w:val="none"/>
        </w:rPr>
      </w:pPr>
      <w:r>
        <w:rPr>
          <w:rFonts w:hint="eastAsia"/>
          <w:color w:val="auto"/>
          <w:highlight w:val="none"/>
        </w:rPr>
        <w:t>（1）在货物采购项目中，货物由小微企业制造，即货物由小微企业生产且使用该小微企业商号或者注册商标；</w:t>
      </w:r>
    </w:p>
    <w:p>
      <w:pPr>
        <w:spacing w:line="360" w:lineRule="auto"/>
        <w:rPr>
          <w:color w:val="auto"/>
          <w:highlight w:val="none"/>
        </w:rPr>
      </w:pPr>
      <w:r>
        <w:rPr>
          <w:rFonts w:hint="eastAsia"/>
          <w:color w:val="auto"/>
          <w:highlight w:val="none"/>
        </w:rPr>
        <w:t>（2）在工程采购项目中，工程由小微企业承建，即工程施工单位为小微企业；</w:t>
      </w:r>
    </w:p>
    <w:p>
      <w:pPr>
        <w:spacing w:line="360" w:lineRule="auto"/>
        <w:rPr>
          <w:color w:val="auto"/>
          <w:highlight w:val="none"/>
        </w:rPr>
      </w:pPr>
      <w:r>
        <w:rPr>
          <w:rFonts w:hint="eastAsia"/>
          <w:color w:val="auto"/>
          <w:highlight w:val="none"/>
        </w:rPr>
        <w:t>（3）在服务采购项目中，服务由小微企业承接，即提供服务的人员为小微企业依照《中华人民共和国劳动合同法》订立劳动合同的从业人员。</w:t>
      </w:r>
    </w:p>
    <w:p>
      <w:pPr>
        <w:spacing w:line="360" w:lineRule="auto"/>
        <w:rPr>
          <w:color w:val="auto"/>
          <w:highlight w:val="none"/>
        </w:rPr>
      </w:pPr>
      <w:r>
        <w:rPr>
          <w:rFonts w:hint="eastAsia"/>
          <w:color w:val="auto"/>
          <w:highlight w:val="none"/>
        </w:rPr>
        <w:t>以联合体形式参加政府采购活动，联合体各方均为小微企业的，联合体视同小微企业。</w:t>
      </w:r>
    </w:p>
    <w:p>
      <w:pPr>
        <w:spacing w:line="360" w:lineRule="auto"/>
        <w:ind w:firstLine="420"/>
        <w:rPr>
          <w:color w:val="auto"/>
          <w:highlight w:val="none"/>
        </w:rPr>
      </w:pPr>
      <w:r>
        <w:rPr>
          <w:rFonts w:hint="eastAsia"/>
          <w:color w:val="auto"/>
          <w:highlight w:val="none"/>
        </w:rPr>
        <w:t>5、在货物采购项目中，供应商提供的货物既有中小企业制造货物，也有大型企业制造货物的，不享受的小微企业价格扣除。</w:t>
      </w:r>
    </w:p>
    <w:p>
      <w:pPr>
        <w:spacing w:line="360" w:lineRule="auto"/>
        <w:ind w:firstLine="420"/>
        <w:rPr>
          <w:color w:val="auto"/>
          <w:highlight w:val="none"/>
        </w:rPr>
      </w:pPr>
      <w:r>
        <w:rPr>
          <w:rFonts w:hint="eastAsia"/>
          <w:color w:val="auto"/>
          <w:highlight w:val="none"/>
        </w:rPr>
        <w:t>6、本项目对符合《政府采购促进中小企业发展管理办法》（财库﹝2020）46号）规定的小微企业报价给予20%（工程项目为5%）的扣除，用扣除后的价格参加评审。</w:t>
      </w:r>
    </w:p>
    <w:p>
      <w:pPr>
        <w:spacing w:line="360" w:lineRule="auto"/>
        <w:rPr>
          <w:color w:val="auto"/>
          <w:highlight w:val="none"/>
        </w:rPr>
      </w:pPr>
      <w:r>
        <w:rPr>
          <w:rFonts w:hint="eastAsia"/>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spacing w:line="360" w:lineRule="auto"/>
        <w:ind w:firstLine="420"/>
        <w:rPr>
          <w:color w:val="auto"/>
          <w:highlight w:val="none"/>
        </w:rPr>
      </w:pPr>
      <w:r>
        <w:rPr>
          <w:rFonts w:hint="eastAsia"/>
          <w:color w:val="auto"/>
          <w:highlight w:val="none"/>
        </w:rPr>
        <w:t>7、小微企业应按照招标文件格式要求提供《中小企业声明函》。</w:t>
      </w:r>
    </w:p>
    <w:p>
      <w:pPr>
        <w:spacing w:line="360" w:lineRule="auto"/>
        <w:ind w:firstLine="420"/>
        <w:rPr>
          <w:color w:val="auto"/>
          <w:highlight w:val="none"/>
        </w:rPr>
      </w:pPr>
      <w:r>
        <w:rPr>
          <w:rFonts w:hint="eastAsia"/>
          <w:color w:val="auto"/>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rPr>
          <w:color w:val="auto"/>
          <w:highlight w:val="none"/>
        </w:rPr>
      </w:pPr>
      <w:r>
        <w:rPr>
          <w:rFonts w:hint="eastAsia"/>
          <w:color w:val="auto"/>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rPr>
          <w:color w:val="auto"/>
          <w:highlight w:val="none"/>
        </w:rPr>
      </w:pPr>
      <w:r>
        <w:rPr>
          <w:rFonts w:hint="eastAsia"/>
          <w:color w:val="auto"/>
          <w:highlight w:val="none"/>
        </w:rPr>
        <w:t>10、按规定享受扶持政策获得政府采购合同的，小微企业不得将合同分包给大中型企业，中型企业不得将合同分包给大型企业。</w:t>
      </w:r>
    </w:p>
    <w:p>
      <w:pPr>
        <w:spacing w:line="360" w:lineRule="auto"/>
        <w:ind w:firstLine="420"/>
        <w:rPr>
          <w:color w:val="auto"/>
          <w:highlight w:val="none"/>
        </w:rPr>
        <w:sectPr>
          <w:pgSz w:w="11907" w:h="16840"/>
          <w:pgMar w:top="1361" w:right="1474" w:bottom="1242" w:left="1474" w:header="720" w:footer="720" w:gutter="0"/>
          <w:cols w:space="720" w:num="1"/>
          <w:docGrid w:linePitch="285" w:charSpace="0"/>
        </w:sectPr>
      </w:pPr>
      <w:r>
        <w:rPr>
          <w:rFonts w:hint="eastAsia"/>
          <w:color w:val="auto"/>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pStyle w:val="3"/>
        <w:spacing w:before="0" w:after="0" w:line="360" w:lineRule="auto"/>
        <w:jc w:val="center"/>
        <w:rPr>
          <w:rFonts w:ascii="宋体" w:hAnsi="宋体"/>
          <w:b w:val="0"/>
          <w:bCs w:val="0"/>
          <w:color w:val="auto"/>
          <w:sz w:val="28"/>
          <w:szCs w:val="28"/>
          <w:highlight w:val="none"/>
        </w:rPr>
      </w:pPr>
      <w:bookmarkStart w:id="182" w:name="_Toc29961"/>
      <w:r>
        <w:rPr>
          <w:rFonts w:hint="eastAsia" w:ascii="宋体" w:hAnsi="宋体"/>
          <w:color w:val="auto"/>
          <w:sz w:val="30"/>
          <w:highlight w:val="none"/>
        </w:rPr>
        <w:t>第四章  评标办法及评分标准</w:t>
      </w:r>
      <w:bookmarkEnd w:id="182"/>
    </w:p>
    <w:p>
      <w:pPr>
        <w:spacing w:line="360" w:lineRule="auto"/>
        <w:ind w:firstLine="420" w:firstLineChars="200"/>
        <w:rPr>
          <w:rFonts w:ascii="宋体" w:hAnsi="宋体" w:cs="宋体"/>
          <w:color w:val="auto"/>
          <w:szCs w:val="21"/>
          <w:highlight w:val="none"/>
        </w:rPr>
      </w:pPr>
    </w:p>
    <w:p>
      <w:pPr>
        <w:pStyle w:val="25"/>
        <w:spacing w:line="360" w:lineRule="auto"/>
        <w:ind w:firstLine="422" w:firstLineChars="200"/>
        <w:rPr>
          <w:rFonts w:ascii="宋体" w:hAnsi="宋体"/>
          <w:color w:val="auto"/>
          <w:sz w:val="21"/>
          <w:szCs w:val="21"/>
          <w:highlight w:val="none"/>
        </w:rPr>
      </w:pPr>
      <w:bookmarkStart w:id="183" w:name="_Toc317685600"/>
      <w:r>
        <w:rPr>
          <w:rFonts w:hint="eastAsia" w:ascii="宋体" w:hAnsi="宋体"/>
          <w:color w:val="auto"/>
          <w:sz w:val="21"/>
          <w:szCs w:val="21"/>
          <w:highlight w:val="none"/>
        </w:rPr>
        <w:t>本办法严格遵照《中华人民共和国政府采购法》、《政府采购货物和服务招标投标管理办法》、《宁波市政府采购招标采购方式暂行实施规程》，结合项目所在地政府有关政府采购规定和项目的实际情况制定。</w:t>
      </w:r>
    </w:p>
    <w:bookmarkEnd w:id="183"/>
    <w:p>
      <w:pPr>
        <w:spacing w:line="360" w:lineRule="auto"/>
        <w:contextualSpacing/>
        <w:rPr>
          <w:rFonts w:ascii="宋体" w:hAnsi="宋体" w:cs="宋体"/>
          <w:b/>
          <w:bCs/>
          <w:color w:val="auto"/>
          <w:szCs w:val="21"/>
          <w:highlight w:val="none"/>
        </w:rPr>
      </w:pPr>
      <w:bookmarkStart w:id="184" w:name="_Toc493058316"/>
      <w:bookmarkStart w:id="185" w:name="_Toc495957614"/>
      <w:bookmarkStart w:id="186" w:name="_Toc259108326"/>
      <w:bookmarkStart w:id="187" w:name="_Toc249866769"/>
      <w:r>
        <w:rPr>
          <w:rFonts w:hint="eastAsia" w:ascii="宋体" w:hAnsi="宋体" w:cs="宋体"/>
          <w:b/>
          <w:bCs/>
          <w:color w:val="auto"/>
          <w:szCs w:val="21"/>
          <w:highlight w:val="none"/>
        </w:rPr>
        <w:t>一、开标准备</w:t>
      </w:r>
    </w:p>
    <w:p>
      <w:pPr>
        <w:pStyle w:val="25"/>
        <w:snapToGrid/>
        <w:spacing w:line="360" w:lineRule="auto"/>
        <w:ind w:firstLine="417" w:firstLineChars="199"/>
        <w:contextualSpacing/>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采购代理机构将在规定的时间和地点进行开标，投标人的法定代表人或其授权代表可参加开标会。投标人的法定代表人或其授权代表未参加开标会的，视同放弃开标监督权利、认可开标结果。</w:t>
      </w:r>
    </w:p>
    <w:p>
      <w:pPr>
        <w:pStyle w:val="30"/>
        <w:spacing w:before="0" w:after="0" w:line="360" w:lineRule="auto"/>
        <w:jc w:val="left"/>
        <w:rPr>
          <w:rFonts w:ascii="宋体" w:hAnsi="宋体" w:cs="宋体"/>
          <w:color w:val="auto"/>
          <w:sz w:val="21"/>
          <w:szCs w:val="21"/>
          <w:highlight w:val="none"/>
        </w:rPr>
      </w:pPr>
      <w:bookmarkStart w:id="188" w:name="_Toc14065"/>
      <w:r>
        <w:rPr>
          <w:rFonts w:hint="eastAsia" w:ascii="宋体" w:hAnsi="宋体" w:cs="宋体"/>
          <w:color w:val="auto"/>
          <w:sz w:val="21"/>
          <w:szCs w:val="21"/>
          <w:highlight w:val="none"/>
        </w:rPr>
        <w:t>二、开标程序</w:t>
      </w:r>
      <w:bookmarkEnd w:id="188"/>
    </w:p>
    <w:p>
      <w:pPr>
        <w:spacing w:line="360" w:lineRule="auto"/>
        <w:ind w:firstLine="420" w:firstLineChars="200"/>
        <w:contextualSpacing/>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numPr>
          <w:ilvl w:val="0"/>
          <w:numId w:val="13"/>
        </w:num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投标截止时间后，投标人登录政府采购云平台，用“项目采购-开标评标”功能对电子加密投标文件进行在线解密，在线解密电子加密投标文件时间为开标时间后30分钟内。</w:t>
      </w:r>
    </w:p>
    <w:p>
      <w:pPr>
        <w:numPr>
          <w:ilvl w:val="0"/>
          <w:numId w:val="13"/>
        </w:num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在政府采购云平台开启已解密投标人的“</w:t>
      </w:r>
      <w:r>
        <w:rPr>
          <w:rFonts w:hint="eastAsia" w:ascii="宋体" w:hAnsi="宋体" w:cs="宋体"/>
          <w:color w:val="auto"/>
          <w:highlight w:val="none"/>
        </w:rPr>
        <w:t>资格证明文件、</w:t>
      </w:r>
      <w:r>
        <w:rPr>
          <w:rFonts w:hint="eastAsia" w:ascii="宋体" w:hAnsi="宋体" w:cs="宋体"/>
          <w:color w:val="auto"/>
          <w:szCs w:val="21"/>
          <w:highlight w:val="none"/>
        </w:rPr>
        <w:t>技术商务文件、报价文件”并做开标记录；</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s="宋体"/>
          <w:color w:val="auto"/>
          <w:szCs w:val="21"/>
          <w:highlight w:val="none"/>
        </w:rPr>
        <w:t>，但有下情形之一的，按以下情况处理：</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采购过程中出现以下情形，导致电子交易平台无法正常运行，或者无法保证电子交易的公平、公正和安全时，采购人（或代理机构）可中止电子交易活动：</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电子交易平台发生故障而无法登录访问的；</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电子交易平台应用或数据库出现错误，不能进行正常操作的；</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电子交易平台发现严重安全漏洞，有潜在泄密危险的；</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病毒发作导致不能进行正常操作的； </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其他无法保证电子交易的公平、公正和安全的情况。</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投标人上传政采云平台的pdf版本电子加密投标文件内容与政采云系统中投标人填写的内容不一致的，经评标委员会审查，应以电子加密投标文件中的内容为准。</w:t>
      </w:r>
    </w:p>
    <w:p>
      <w:pPr>
        <w:pStyle w:val="30"/>
        <w:spacing w:before="0" w:after="0" w:line="360" w:lineRule="auto"/>
        <w:ind w:firstLine="413" w:firstLineChars="196"/>
        <w:jc w:val="left"/>
        <w:rPr>
          <w:rFonts w:ascii="宋体" w:hAnsi="宋体" w:eastAsia="宋体" w:cs="宋体"/>
          <w:color w:val="auto"/>
          <w:sz w:val="21"/>
          <w:szCs w:val="21"/>
          <w:highlight w:val="none"/>
        </w:rPr>
      </w:pPr>
      <w:bookmarkStart w:id="189" w:name="_Toc9140"/>
      <w:r>
        <w:rPr>
          <w:rFonts w:hint="eastAsia" w:ascii="宋体" w:hAnsi="宋体" w:eastAsia="宋体" w:cs="宋体"/>
          <w:color w:val="auto"/>
          <w:sz w:val="21"/>
          <w:szCs w:val="21"/>
          <w:highlight w:val="none"/>
        </w:rPr>
        <w:t>三、评标委员会</w:t>
      </w:r>
      <w:bookmarkEnd w:id="184"/>
      <w:bookmarkEnd w:id="185"/>
      <w:bookmarkEnd w:id="189"/>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bookmarkStart w:id="190" w:name="_Toc426"/>
      <w:bookmarkStart w:id="191" w:name="_Toc495957615"/>
      <w:bookmarkStart w:id="192" w:name="_Toc481567076"/>
      <w:bookmarkStart w:id="193" w:name="_Toc493058317"/>
      <w:r>
        <w:rPr>
          <w:rFonts w:hint="eastAsia" w:ascii="宋体" w:hAnsi="宋体" w:eastAsia="宋体" w:cs="宋体"/>
          <w:b w:val="0"/>
          <w:bCs w:val="0"/>
          <w:color w:val="auto"/>
          <w:sz w:val="21"/>
          <w:szCs w:val="21"/>
          <w:highlight w:val="none"/>
        </w:rPr>
        <w:t>（三）评审专家有下列情形之一的，受到邀请应主动提出回避，采购当事人也可以要求该评审专家回避：</w:t>
      </w:r>
      <w:bookmarkEnd w:id="190"/>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bookmarkStart w:id="194" w:name="_Toc2043"/>
      <w:r>
        <w:rPr>
          <w:rFonts w:hint="eastAsia" w:ascii="宋体" w:hAnsi="宋体" w:eastAsia="宋体" w:cs="宋体"/>
          <w:b w:val="0"/>
          <w:bCs w:val="0"/>
          <w:color w:val="auto"/>
          <w:sz w:val="21"/>
          <w:szCs w:val="21"/>
          <w:highlight w:val="none"/>
        </w:rPr>
        <w:t>1、参加采购活动前三年内，与供应商存在劳动关系，或者担任过供应商的董事、监事，或者是供应商的控股股东或实际控制人；</w:t>
      </w:r>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2、与供应商的法定代表人或者负责人有夫妻、直系血亲、三代以内旁系血亲或者近姻亲关系；</w:t>
      </w:r>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3、与供应商有其他可能影响政府采购活动公平、公正进行的关系；</w:t>
      </w:r>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4、参与过采购项目进口产品论证的专家应当回避；</w:t>
      </w:r>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5、通过随机抽到本单位的评审专家，采购人已经指定了采购人代表，该评审专家应当回避，采购人自行选定相应专业领域评审专家情形除外；</w:t>
      </w:r>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6、法律、法规、规章规定应当回避以及其他可能影响公正评审的。</w:t>
      </w:r>
      <w:bookmarkEnd w:id="194"/>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bookmarkStart w:id="195" w:name="_Toc16031"/>
      <w:r>
        <w:rPr>
          <w:rFonts w:hint="eastAsia" w:ascii="宋体" w:hAnsi="宋体" w:eastAsia="宋体" w:cs="宋体"/>
          <w:b w:val="0"/>
          <w:bCs w:val="0"/>
          <w:color w:val="auto"/>
          <w:sz w:val="21"/>
          <w:szCs w:val="21"/>
          <w:highlight w:val="none"/>
        </w:rPr>
        <w:t>（四）评标委员会判断投标文件的有效性、合格性和响应情况，仅依据投标人所递交一切文件的真实表述，不受与本项目无直接关联的外部信息、传言而影响自身的专业判断。</w:t>
      </w:r>
      <w:bookmarkEnd w:id="195"/>
    </w:p>
    <w:p>
      <w:pPr>
        <w:pStyle w:val="30"/>
        <w:spacing w:before="0" w:after="0" w:line="360" w:lineRule="auto"/>
        <w:ind w:firstLine="409" w:firstLineChars="195"/>
        <w:jc w:val="both"/>
        <w:rPr>
          <w:rFonts w:ascii="宋体" w:hAnsi="宋体" w:eastAsia="宋体" w:cs="宋体"/>
          <w:b w:val="0"/>
          <w:bCs w:val="0"/>
          <w:color w:val="auto"/>
          <w:sz w:val="21"/>
          <w:szCs w:val="21"/>
          <w:highlight w:val="none"/>
        </w:rPr>
      </w:pPr>
      <w:bookmarkStart w:id="196" w:name="_Toc24000"/>
      <w:r>
        <w:rPr>
          <w:rFonts w:hint="eastAsia" w:ascii="宋体" w:hAnsi="宋体" w:eastAsia="宋体" w:cs="宋体"/>
          <w:b w:val="0"/>
          <w:bCs w:val="0"/>
          <w:color w:val="auto"/>
          <w:sz w:val="21"/>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bookmarkEnd w:id="196"/>
    </w:p>
    <w:p>
      <w:pPr>
        <w:pStyle w:val="30"/>
        <w:spacing w:before="0" w:after="0" w:line="360" w:lineRule="auto"/>
        <w:ind w:firstLine="411" w:firstLineChars="195"/>
        <w:jc w:val="both"/>
        <w:rPr>
          <w:rFonts w:ascii="宋体" w:hAnsi="宋体" w:eastAsia="宋体" w:cs="宋体"/>
          <w:color w:val="auto"/>
          <w:sz w:val="21"/>
          <w:szCs w:val="21"/>
          <w:highlight w:val="none"/>
        </w:rPr>
      </w:pPr>
      <w:bookmarkStart w:id="197" w:name="_Toc6372"/>
      <w:r>
        <w:rPr>
          <w:rFonts w:hint="eastAsia" w:ascii="宋体" w:hAnsi="宋体" w:eastAsia="宋体" w:cs="宋体"/>
          <w:color w:val="auto"/>
          <w:sz w:val="21"/>
          <w:szCs w:val="21"/>
          <w:highlight w:val="none"/>
        </w:rPr>
        <w:t>四、评标方法</w:t>
      </w:r>
      <w:bookmarkEnd w:id="191"/>
      <w:bookmarkEnd w:id="192"/>
      <w:bookmarkEnd w:id="193"/>
      <w:bookmarkEnd w:id="19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（一）本次招标项目的评标方法为：综合评分法。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（二）评分权重</w:t>
      </w:r>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3714"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技术资信分（分）</w:t>
            </w:r>
          </w:p>
        </w:tc>
        <w:tc>
          <w:tcPr>
            <w:tcW w:w="3196"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3714" w:type="dxa"/>
            <w:vAlign w:val="center"/>
          </w:tcPr>
          <w:p>
            <w:pPr>
              <w:ind w:firstLine="200"/>
              <w:jc w:val="center"/>
              <w:rPr>
                <w:rFonts w:ascii="宋体" w:hAnsi="宋体" w:cs="宋体"/>
                <w:color w:val="auto"/>
                <w:szCs w:val="21"/>
                <w:highlight w:val="none"/>
                <w:u w:val="single"/>
              </w:rPr>
            </w:pPr>
            <w:r>
              <w:rPr>
                <w:rFonts w:hint="eastAsia" w:ascii="宋体" w:hAnsi="宋体" w:cs="宋体"/>
                <w:color w:val="auto"/>
                <w:szCs w:val="21"/>
                <w:highlight w:val="none"/>
                <w:u w:val="single"/>
              </w:rPr>
              <w:t>70</w:t>
            </w:r>
          </w:p>
        </w:tc>
        <w:tc>
          <w:tcPr>
            <w:tcW w:w="3196"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30</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参与评审价格=投标价格×（1-价格折扣率）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价格分=（评标基准价/参与评审的价格）×价格权值×100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2、合格投标人评标综合得分=价格分+技术资信分。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3、报价要求：本次招标设有最高限价，投标人报价超出最高限价的投标文件作无效处理。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每个子包号综合得分排序前二位的中标候选人，得分最高的为第一中标候选人。</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（三）</w:t>
      </w:r>
      <w:bookmarkStart w:id="198" w:name="_Toc481567079"/>
      <w:r>
        <w:rPr>
          <w:rFonts w:hint="eastAsia" w:ascii="宋体" w:hAnsi="宋体" w:cs="宋体"/>
          <w:color w:val="auto"/>
          <w:szCs w:val="21"/>
          <w:highlight w:val="none"/>
        </w:rPr>
        <w:t>投标文件的澄清</w:t>
      </w:r>
      <w:bookmarkEnd w:id="198"/>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before="0" w:after="0" w:line="360" w:lineRule="auto"/>
        <w:ind w:firstLine="413" w:firstLineChars="196"/>
        <w:jc w:val="both"/>
        <w:rPr>
          <w:rFonts w:ascii="宋体" w:hAnsi="宋体" w:eastAsia="宋体" w:cs="宋体"/>
          <w:color w:val="auto"/>
          <w:sz w:val="21"/>
          <w:szCs w:val="21"/>
          <w:highlight w:val="none"/>
        </w:rPr>
      </w:pPr>
      <w:bookmarkStart w:id="199" w:name="_Toc481567077"/>
      <w:bookmarkStart w:id="200" w:name="_Toc495957616"/>
      <w:bookmarkStart w:id="201" w:name="_Toc493058318"/>
      <w:bookmarkStart w:id="202" w:name="_Toc18513"/>
      <w:r>
        <w:rPr>
          <w:rFonts w:hint="eastAsia" w:ascii="宋体" w:hAnsi="宋体" w:eastAsia="宋体" w:cs="宋体"/>
          <w:color w:val="auto"/>
          <w:sz w:val="21"/>
          <w:szCs w:val="21"/>
          <w:highlight w:val="none"/>
        </w:rPr>
        <w:t>五、评标</w:t>
      </w:r>
      <w:bookmarkEnd w:id="186"/>
      <w:bookmarkEnd w:id="187"/>
      <w:bookmarkEnd w:id="199"/>
      <w:r>
        <w:rPr>
          <w:rFonts w:hint="eastAsia" w:ascii="宋体" w:hAnsi="宋体" w:eastAsia="宋体" w:cs="宋体"/>
          <w:color w:val="auto"/>
          <w:sz w:val="21"/>
          <w:szCs w:val="21"/>
          <w:highlight w:val="none"/>
        </w:rPr>
        <w:t>程序</w:t>
      </w:r>
      <w:bookmarkEnd w:id="200"/>
      <w:bookmarkEnd w:id="201"/>
      <w:bookmarkEnd w:id="202"/>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由招标代理机构对投标人的资格进行审查。</w:t>
      </w:r>
    </w:p>
    <w:tbl>
      <w:tblPr>
        <w:tblStyle w:val="40"/>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02" w:type="dxa"/>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审查类别</w:t>
            </w:r>
          </w:p>
        </w:tc>
        <w:tc>
          <w:tcPr>
            <w:tcW w:w="7803"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02"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7803"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Merge w:val="continue"/>
          </w:tcPr>
          <w:p>
            <w:pPr>
              <w:spacing w:line="400" w:lineRule="exact"/>
              <w:rPr>
                <w:rFonts w:ascii="宋体" w:hAnsi="宋体" w:cs="宋体"/>
                <w:color w:val="auto"/>
                <w:szCs w:val="21"/>
                <w:highlight w:val="none"/>
              </w:rPr>
            </w:pPr>
          </w:p>
        </w:tc>
        <w:tc>
          <w:tcPr>
            <w:tcW w:w="780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2、单位负责人为同一人或者存在直接控股、管理关系的不同投标人，不得参加同一合同项下的政府采购活动。为采购项目提供项目管理、监理、检测等服务的投标人，不得参加本项目的投标。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Merge w:val="continue"/>
          </w:tcPr>
          <w:p>
            <w:pPr>
              <w:spacing w:line="400" w:lineRule="exact"/>
              <w:rPr>
                <w:rFonts w:ascii="宋体" w:hAnsi="宋体" w:cs="宋体"/>
                <w:color w:val="auto"/>
                <w:szCs w:val="21"/>
                <w:highlight w:val="none"/>
              </w:rPr>
            </w:pPr>
          </w:p>
        </w:tc>
        <w:tc>
          <w:tcPr>
            <w:tcW w:w="7803" w:type="dxa"/>
          </w:tcPr>
          <w:p>
            <w:pPr>
              <w:spacing w:line="400" w:lineRule="exact"/>
              <w:rPr>
                <w:rFonts w:ascii="宋体" w:hAnsi="宋体"/>
                <w:color w:val="auto"/>
                <w:szCs w:val="21"/>
                <w:highlight w:val="none"/>
              </w:rPr>
            </w:pPr>
            <w:r>
              <w:rPr>
                <w:rFonts w:hint="eastAsia" w:ascii="宋体" w:hAnsi="宋体"/>
                <w:color w:val="auto"/>
                <w:szCs w:val="21"/>
                <w:highlight w:val="none"/>
              </w:rPr>
              <w:t>3、与采购人存在利害关系可能影响招标公正性的法人或其他组织不得参加投标。 存在利害关系的投标人是指：</w:t>
            </w:r>
          </w:p>
          <w:p>
            <w:pPr>
              <w:spacing w:line="400" w:lineRule="exact"/>
              <w:rPr>
                <w:rFonts w:ascii="宋体" w:hAnsi="宋体"/>
                <w:color w:val="auto"/>
                <w:szCs w:val="21"/>
                <w:highlight w:val="none"/>
              </w:rPr>
            </w:pPr>
            <w:r>
              <w:rPr>
                <w:rFonts w:hint="eastAsia" w:ascii="宋体" w:hAnsi="宋体"/>
                <w:color w:val="auto"/>
                <w:szCs w:val="21"/>
                <w:highlight w:val="none"/>
              </w:rPr>
              <w:t>（1）北京航空航天大学、北京航空航天大学宁波创新研究院在该投标人中有股份的。</w:t>
            </w:r>
          </w:p>
          <w:p>
            <w:pPr>
              <w:spacing w:line="400" w:lineRule="exact"/>
              <w:rPr>
                <w:rFonts w:ascii="宋体" w:hAnsi="宋体" w:cs="宋体"/>
                <w:color w:val="auto"/>
                <w:szCs w:val="21"/>
                <w:highlight w:val="none"/>
              </w:rPr>
            </w:pPr>
            <w:r>
              <w:rPr>
                <w:rFonts w:hint="eastAsia" w:ascii="宋体" w:hAnsi="宋体"/>
                <w:color w:val="auto"/>
                <w:szCs w:val="21"/>
                <w:highlight w:val="none"/>
              </w:rPr>
              <w:t>（2）项目负责人、项目主要成员及经办人在该投标人中有股份或担任高管的。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Merge w:val="continue"/>
          </w:tcPr>
          <w:p>
            <w:pPr>
              <w:spacing w:line="400" w:lineRule="exact"/>
              <w:rPr>
                <w:rFonts w:ascii="宋体" w:hAnsi="宋体" w:cs="宋体"/>
                <w:color w:val="auto"/>
                <w:szCs w:val="21"/>
                <w:highlight w:val="none"/>
              </w:rPr>
            </w:pPr>
          </w:p>
        </w:tc>
        <w:tc>
          <w:tcPr>
            <w:tcW w:w="780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02" w:type="dxa"/>
            <w:vMerge w:val="continue"/>
          </w:tcPr>
          <w:p>
            <w:pPr>
              <w:spacing w:line="400" w:lineRule="exact"/>
              <w:rPr>
                <w:rFonts w:ascii="宋体" w:hAnsi="宋体" w:cs="宋体"/>
                <w:color w:val="auto"/>
                <w:szCs w:val="21"/>
                <w:highlight w:val="none"/>
              </w:rPr>
            </w:pPr>
          </w:p>
        </w:tc>
        <w:tc>
          <w:tcPr>
            <w:tcW w:w="780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5、本项目不接受联合体投标。</w:t>
            </w:r>
          </w:p>
        </w:tc>
      </w:tr>
    </w:tbl>
    <w:p>
      <w:pPr>
        <w:spacing w:line="360" w:lineRule="auto"/>
        <w:ind w:firstLine="420" w:firstLineChars="200"/>
        <w:rPr>
          <w:rFonts w:ascii="宋体" w:hAnsi="宋体" w:cs="宋体"/>
          <w:color w:val="auto"/>
          <w:szCs w:val="21"/>
          <w:highlight w:val="none"/>
        </w:rPr>
      </w:pP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评标委员会应当对符合资格的投标人的投标文件进行符合性审查，以确定其是否满足采购文件的实质性要求。</w:t>
      </w:r>
    </w:p>
    <w:p>
      <w:pPr>
        <w:pStyle w:val="39"/>
        <w:rPr>
          <w:color w:val="auto"/>
          <w:highlight w:val="none"/>
        </w:rPr>
      </w:pPr>
    </w:p>
    <w:tbl>
      <w:tblPr>
        <w:tblStyle w:val="40"/>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审查类别</w:t>
            </w:r>
          </w:p>
        </w:tc>
        <w:tc>
          <w:tcPr>
            <w:tcW w:w="7573" w:type="dxa"/>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符合性审查</w:t>
            </w:r>
          </w:p>
        </w:tc>
        <w:tc>
          <w:tcPr>
            <w:tcW w:w="7573"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400" w:lineRule="exact"/>
              <w:rPr>
                <w:rFonts w:ascii="宋体" w:hAnsi="宋体" w:cs="宋体"/>
                <w:color w:val="auto"/>
                <w:szCs w:val="21"/>
                <w:highlight w:val="none"/>
              </w:rPr>
            </w:pPr>
          </w:p>
        </w:tc>
        <w:tc>
          <w:tcPr>
            <w:tcW w:w="7573"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按照采购文件规定要求签署、盖章且投标文件有法定代表人</w:t>
            </w:r>
            <w:r>
              <w:rPr>
                <w:rFonts w:hint="eastAsia" w:ascii="宋体" w:hAnsi="宋体" w:cs="宋体"/>
                <w:color w:val="auto"/>
                <w:szCs w:val="21"/>
                <w:highlight w:val="none"/>
                <w:lang w:eastAsia="zh-TW"/>
              </w:rPr>
              <w:t>签署本人姓名（或印盖本人姓名章）</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签署</w:t>
            </w:r>
            <w:r>
              <w:rPr>
                <w:rFonts w:hint="eastAsia" w:ascii="宋体" w:hAnsi="宋体" w:cs="宋体"/>
                <w:color w:val="auto"/>
                <w:szCs w:val="21"/>
                <w:highlight w:val="none"/>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32" w:type="dxa"/>
            <w:vMerge w:val="continue"/>
          </w:tcPr>
          <w:p>
            <w:pPr>
              <w:spacing w:line="400" w:lineRule="exact"/>
              <w:rPr>
                <w:rFonts w:ascii="宋体" w:hAnsi="宋体" w:cs="宋体"/>
                <w:color w:val="auto"/>
                <w:szCs w:val="21"/>
                <w:highlight w:val="none"/>
              </w:rPr>
            </w:pPr>
          </w:p>
        </w:tc>
        <w:tc>
          <w:tcPr>
            <w:tcW w:w="7573" w:type="dxa"/>
            <w:vAlign w:val="center"/>
          </w:tcPr>
          <w:p>
            <w:pPr>
              <w:tabs>
                <w:tab w:val="left" w:pos="612"/>
              </w:tabs>
              <w:spacing w:line="400" w:lineRule="exact"/>
              <w:rPr>
                <w:rFonts w:ascii="宋体" w:hAnsi="宋体" w:cs="宋体"/>
                <w:color w:val="auto"/>
                <w:kern w:val="0"/>
                <w:szCs w:val="21"/>
                <w:highlight w:val="none"/>
              </w:rPr>
            </w:pPr>
            <w:r>
              <w:rPr>
                <w:rFonts w:hint="eastAsia" w:ascii="宋体" w:hAnsi="宋体" w:cs="宋体"/>
                <w:color w:val="auto"/>
                <w:szCs w:val="21"/>
                <w:highlight w:val="none"/>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32" w:type="dxa"/>
            <w:vMerge w:val="continue"/>
          </w:tcPr>
          <w:p>
            <w:pPr>
              <w:spacing w:line="400" w:lineRule="exact"/>
              <w:rPr>
                <w:rFonts w:ascii="宋体" w:hAnsi="宋体" w:cs="宋体"/>
                <w:color w:val="auto"/>
                <w:szCs w:val="21"/>
                <w:highlight w:val="none"/>
              </w:rPr>
            </w:pPr>
          </w:p>
        </w:tc>
        <w:tc>
          <w:tcPr>
            <w:tcW w:w="7573"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32" w:type="dxa"/>
            <w:vMerge w:val="continue"/>
          </w:tcPr>
          <w:p>
            <w:pPr>
              <w:spacing w:line="400" w:lineRule="exact"/>
              <w:rPr>
                <w:rFonts w:ascii="宋体" w:hAnsi="宋体" w:cs="宋体"/>
                <w:color w:val="auto"/>
                <w:szCs w:val="21"/>
                <w:highlight w:val="none"/>
              </w:rPr>
            </w:pPr>
          </w:p>
        </w:tc>
        <w:tc>
          <w:tcPr>
            <w:tcW w:w="7573"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按有关法律、法规、规章不属于投标无效的。</w:t>
            </w:r>
          </w:p>
        </w:tc>
      </w:tr>
    </w:tbl>
    <w:p>
      <w:pPr>
        <w:spacing w:line="360" w:lineRule="auto"/>
        <w:ind w:firstLine="422" w:firstLineChars="200"/>
        <w:rPr>
          <w:rFonts w:ascii="宋体" w:hAnsi="宋体" w:cs="宋体"/>
          <w:b/>
          <w:color w:val="auto"/>
          <w:szCs w:val="21"/>
          <w:highlight w:val="none"/>
        </w:rPr>
      </w:pPr>
      <w:bookmarkStart w:id="203" w:name="_Toc249866767"/>
      <w:bookmarkStart w:id="204" w:name="_Toc259108323"/>
      <w:r>
        <w:rPr>
          <w:rFonts w:hint="eastAsia" w:ascii="宋体" w:hAnsi="宋体" w:cs="宋体"/>
          <w:b/>
          <w:color w:val="auto"/>
          <w:szCs w:val="21"/>
          <w:highlight w:val="none"/>
        </w:rPr>
        <w:t>（三）投标无效的情形</w:t>
      </w:r>
      <w:bookmarkEnd w:id="203"/>
      <w:bookmarkEnd w:id="20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没有响应采购文件实质性要求的投标将被视为无效投标。投标人不得通过修正或撤消不合要求的偏离或保留从而使其投标成为实质上响应的投标。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A、在资格审查、符合性审查和商务评审时，如发现下列情形之一的，将被视为无效投标文件：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1、资格证明文件不全的或者不符合采购文件规定的资格要求的；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2、投标文件未按照采购文件要求签署、盖章的；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3、投标文件项目不齐全或者内容虚假的；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5、带“*”的条款不能满足采购文件要求、未实质性响应采购文件要求或者投标文件有招标人不能接受的附加条件的；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B</w:t>
      </w:r>
      <w:r>
        <w:rPr>
          <w:rFonts w:hint="eastAsia" w:ascii="宋体" w:hAnsi="宋体" w:cs="宋体"/>
          <w:color w:val="auto"/>
          <w:szCs w:val="21"/>
          <w:highlight w:val="none"/>
        </w:rPr>
        <w:t>、在技术评审时，如发现下列情形之一的，将被视为无效投标文件：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1、明显不符合或无法满足采购文件要求，或者与采购文件中标“*”的条款发生实质性偏离的；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2、投标技术方案不明确，存在一个或一个以上备选（替代）投标方案的；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C</w:t>
      </w:r>
      <w:r>
        <w:rPr>
          <w:rFonts w:hint="eastAsia" w:ascii="宋体" w:hAnsi="宋体" w:cs="宋体"/>
          <w:color w:val="auto"/>
          <w:szCs w:val="21"/>
          <w:highlight w:val="none"/>
        </w:rPr>
        <w:t>、在报价评审时，如发现下列情形之一的，投标文件将被视为无效：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1、未采用人民币报价或者未按照采购文件标明的币种报价的；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2、报价超出最高限价，招标人不能支付的；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3、投标报价具有选择性的；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4、评委会一致认为报价明显不合理的（不平衡报价）；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5、投标报价中出现重大缺项、漏项；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6、评标委员会认为投标人的报价明显低于其他通过符合性审查投标人的报价，有可能影响服务质量或者不能诚信履约的，且不能在评标现场合理时间内提供相关证明材料说明其报价的合理性的。</w:t>
      </w:r>
    </w:p>
    <w:p>
      <w:pPr>
        <w:spacing w:line="360" w:lineRule="auto"/>
        <w:ind w:firstLine="420" w:firstLineChars="200"/>
        <w:rPr>
          <w:color w:val="auto"/>
          <w:highlight w:val="none"/>
        </w:rPr>
      </w:pPr>
      <w:r>
        <w:rPr>
          <w:rFonts w:hint="eastAsia"/>
          <w:color w:val="auto"/>
          <w:highlight w:val="none"/>
        </w:rPr>
        <w:t>D、不同投标人的投标文件出自同一终端设备或在相同Internet主机分配地址（相同IP地址）网上报名投标的。</w:t>
      </w:r>
    </w:p>
    <w:p>
      <w:pPr>
        <w:ind w:firstLine="420"/>
        <w:rPr>
          <w:color w:val="auto"/>
          <w:highlight w:val="none"/>
        </w:rPr>
      </w:pPr>
      <w:r>
        <w:rPr>
          <w:rFonts w:hint="eastAsia"/>
          <w:color w:val="auto"/>
          <w:highlight w:val="none"/>
        </w:rPr>
        <w:t>E、法律、法规和招标文件规定的其他无效情形。</w:t>
      </w:r>
    </w:p>
    <w:p>
      <w:pPr>
        <w:spacing w:line="360" w:lineRule="auto"/>
        <w:ind w:firstLine="420" w:firstLineChars="200"/>
        <w:rPr>
          <w:color w:val="auto"/>
          <w:highlight w:val="none"/>
        </w:rPr>
        <w:sectPr>
          <w:pgSz w:w="11907" w:h="16840"/>
          <w:pgMar w:top="1361" w:right="1474" w:bottom="1242" w:left="1474" w:header="720" w:footer="720" w:gutter="0"/>
          <w:cols w:space="720" w:num="1"/>
          <w:docGrid w:linePitch="285" w:charSpace="0"/>
        </w:sectPr>
      </w:pPr>
    </w:p>
    <w:p>
      <w:pPr>
        <w:pStyle w:val="30"/>
        <w:spacing w:before="0" w:after="0" w:line="360" w:lineRule="auto"/>
        <w:ind w:firstLine="413" w:firstLineChars="196"/>
        <w:jc w:val="both"/>
        <w:rPr>
          <w:color w:val="auto"/>
          <w:highlight w:val="none"/>
        </w:rPr>
      </w:pPr>
      <w:bookmarkStart w:id="205" w:name="_Toc22575"/>
      <w:r>
        <w:rPr>
          <w:rFonts w:hint="eastAsia" w:ascii="宋体" w:hAnsi="宋体" w:eastAsia="宋体" w:cs="宋体"/>
          <w:color w:val="auto"/>
          <w:sz w:val="21"/>
          <w:szCs w:val="21"/>
          <w:highlight w:val="none"/>
        </w:rPr>
        <w:t>六、评分标准表</w:t>
      </w:r>
      <w:bookmarkEnd w:id="205"/>
    </w:p>
    <w:tbl>
      <w:tblPr>
        <w:tblStyle w:val="40"/>
        <w:tblW w:w="93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96"/>
        <w:gridCol w:w="567"/>
        <w:gridCol w:w="6091"/>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4" w:type="dxa"/>
            <w:gridSpan w:val="2"/>
            <w:tcBorders>
              <w:tl2br w:val="nil"/>
              <w:tr2bl w:val="nil"/>
            </w:tcBorders>
            <w:vAlign w:val="center"/>
          </w:tcPr>
          <w:p>
            <w:pPr>
              <w:spacing w:line="400" w:lineRule="exact"/>
              <w:jc w:val="center"/>
              <w:rPr>
                <w:rFonts w:asciiTheme="minorEastAsia" w:hAnsiTheme="minorEastAsia" w:eastAsiaTheme="minorEastAsia" w:cstheme="minorEastAsia"/>
                <w:b/>
                <w:color w:val="auto"/>
                <w:szCs w:val="21"/>
                <w:highlight w:val="none"/>
              </w:rPr>
            </w:pPr>
            <w:bookmarkStart w:id="206" w:name="_Toc460857944"/>
            <w:r>
              <w:rPr>
                <w:rFonts w:hint="eastAsia" w:asciiTheme="minorEastAsia" w:hAnsiTheme="minorEastAsia" w:eastAsiaTheme="minorEastAsia" w:cstheme="minorEastAsia"/>
                <w:b/>
                <w:color w:val="auto"/>
                <w:szCs w:val="21"/>
                <w:highlight w:val="none"/>
              </w:rPr>
              <w:t>评标项目</w:t>
            </w:r>
          </w:p>
        </w:tc>
        <w:tc>
          <w:tcPr>
            <w:tcW w:w="567" w:type="dxa"/>
            <w:tcBorders>
              <w:tl2br w:val="nil"/>
              <w:tr2bl w:val="nil"/>
            </w:tcBorders>
            <w:vAlign w:val="center"/>
          </w:tcPr>
          <w:p>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分值</w:t>
            </w:r>
          </w:p>
        </w:tc>
        <w:tc>
          <w:tcPr>
            <w:tcW w:w="6091" w:type="dxa"/>
            <w:tcBorders>
              <w:tl2br w:val="nil"/>
              <w:tr2bl w:val="nil"/>
            </w:tcBorders>
            <w:vAlign w:val="center"/>
          </w:tcPr>
          <w:p>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评标要点及说明</w:t>
            </w:r>
          </w:p>
        </w:tc>
        <w:tc>
          <w:tcPr>
            <w:tcW w:w="850" w:type="dxa"/>
            <w:tcBorders>
              <w:tl2br w:val="nil"/>
              <w:tr2bl w:val="nil"/>
            </w:tcBorders>
          </w:tcPr>
          <w:p>
            <w:pPr>
              <w:spacing w:line="400" w:lineRule="exact"/>
              <w:ind w:right="-183" w:rightChars="-87"/>
              <w:jc w:val="center"/>
              <w:rPr>
                <w:rFonts w:asciiTheme="minorEastAsia" w:hAnsiTheme="minorEastAsia" w:eastAsiaTheme="minorEastAsia" w:cstheme="minorEastAsia"/>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38" w:type="dxa"/>
            <w:vMerge w:val="restart"/>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w:t>
            </w:r>
          </w:p>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资信部分</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70分</w:t>
            </w:r>
          </w:p>
        </w:tc>
        <w:tc>
          <w:tcPr>
            <w:tcW w:w="1096"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技术指标响应</w:t>
            </w:r>
          </w:p>
        </w:tc>
        <w:tc>
          <w:tcPr>
            <w:tcW w:w="567"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w:t>
            </w:r>
          </w:p>
        </w:tc>
        <w:tc>
          <w:tcPr>
            <w:tcW w:w="6091" w:type="dxa"/>
            <w:tcBorders>
              <w:tl2br w:val="nil"/>
              <w:tr2bl w:val="nil"/>
            </w:tcBorders>
            <w:vAlign w:val="center"/>
          </w:tcPr>
          <w:p>
            <w:pPr>
              <w:widowControl/>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完全满足招标文件技术要求的得50分；</w:t>
            </w:r>
          </w:p>
          <w:p>
            <w:pPr>
              <w:widowControl/>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对“*”技术要求负偏离的作无效标处理；非“*”指标每负偏离一条技术要求的扣5分，负偏离技术要求超过10条（不含）作无效标处理。</w:t>
            </w:r>
          </w:p>
        </w:tc>
        <w:tc>
          <w:tcPr>
            <w:tcW w:w="850" w:type="dxa"/>
            <w:tcBorders>
              <w:tl2br w:val="nil"/>
              <w:tr2bl w:val="nil"/>
            </w:tcBorders>
            <w:vAlign w:val="center"/>
          </w:tcPr>
          <w:p>
            <w:pPr>
              <w:widowControl/>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38" w:type="dxa"/>
            <w:vMerge w:val="continue"/>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c>
          <w:tcPr>
            <w:tcW w:w="1096"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w:t>
            </w:r>
          </w:p>
        </w:tc>
        <w:tc>
          <w:tcPr>
            <w:tcW w:w="567"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091" w:type="dxa"/>
            <w:tcBorders>
              <w:tl2br w:val="nil"/>
              <w:tr2bl w:val="nil"/>
            </w:tcBorders>
            <w:vAlign w:val="center"/>
          </w:tcPr>
          <w:p>
            <w:pPr>
              <w:tabs>
                <w:tab w:val="left" w:pos="984"/>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制造商或投标人2019年1月1日（以合同签订时间为准）至今具有等离子弧焊机项目业绩的，每个业绩得1分，满分3分，投标文件中提供完整合同复印件加盖公章。</w:t>
            </w:r>
          </w:p>
        </w:tc>
        <w:tc>
          <w:tcPr>
            <w:tcW w:w="850" w:type="dxa"/>
            <w:tcBorders>
              <w:tl2br w:val="nil"/>
              <w:tr2bl w:val="nil"/>
            </w:tcBorders>
            <w:vAlign w:val="center"/>
          </w:tcPr>
          <w:p>
            <w:pPr>
              <w:tabs>
                <w:tab w:val="left" w:pos="984"/>
              </w:tabs>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8" w:type="dxa"/>
            <w:vMerge w:val="continue"/>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c>
          <w:tcPr>
            <w:tcW w:w="1096" w:type="dxa"/>
            <w:tcBorders>
              <w:tl2br w:val="nil"/>
              <w:tr2bl w:val="nil"/>
            </w:tcBorders>
            <w:vAlign w:val="center"/>
          </w:tcPr>
          <w:p>
            <w:pPr>
              <w:tabs>
                <w:tab w:val="left" w:pos="984"/>
              </w:tabs>
              <w:spacing w:line="400" w:lineRule="exact"/>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货物运输、安装方案</w:t>
            </w:r>
          </w:p>
        </w:tc>
        <w:tc>
          <w:tcPr>
            <w:tcW w:w="567"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091" w:type="dxa"/>
            <w:tcBorders>
              <w:tl2br w:val="nil"/>
              <w:tr2bl w:val="nil"/>
            </w:tcBorders>
            <w:vAlign w:val="center"/>
          </w:tcPr>
          <w:p>
            <w:pPr>
              <w:tabs>
                <w:tab w:val="left" w:pos="984"/>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评标委员会根据投标人针对本项目运输安装方案（包括运输</w:t>
            </w:r>
            <w:r>
              <w:rPr>
                <w:rFonts w:hint="eastAsia" w:asciiTheme="minorEastAsia" w:hAnsiTheme="minorEastAsia" w:eastAsiaTheme="minorEastAsia" w:cstheme="minorEastAsia"/>
                <w:color w:val="auto"/>
                <w:szCs w:val="21"/>
                <w:highlight w:val="none"/>
              </w:rPr>
              <w:t>方案全面</w:t>
            </w:r>
            <w:r>
              <w:rPr>
                <w:rFonts w:hint="eastAsia" w:asciiTheme="minorEastAsia" w:hAnsiTheme="minorEastAsia" w:eastAsiaTheme="minorEastAsia" w:cstheme="minorEastAsia"/>
                <w:color w:val="auto"/>
                <w:szCs w:val="21"/>
                <w:highlight w:val="none"/>
                <w:lang w:val="zh-CN"/>
              </w:rPr>
              <w:t>、安装、调试</w:t>
            </w:r>
            <w:r>
              <w:rPr>
                <w:rFonts w:hint="eastAsia" w:asciiTheme="minorEastAsia" w:hAnsiTheme="minorEastAsia" w:eastAsiaTheme="minorEastAsia" w:cstheme="minorEastAsia"/>
                <w:color w:val="auto"/>
                <w:szCs w:val="21"/>
                <w:highlight w:val="none"/>
              </w:rPr>
              <w:t>进度合理</w:t>
            </w:r>
            <w:r>
              <w:rPr>
                <w:rFonts w:hint="eastAsia" w:asciiTheme="minorEastAsia" w:hAnsiTheme="minorEastAsia" w:eastAsiaTheme="minorEastAsia" w:cstheme="minorEastAsia"/>
                <w:color w:val="auto"/>
                <w:szCs w:val="21"/>
                <w:highlight w:val="none"/>
                <w:lang w:val="zh-CN"/>
              </w:rPr>
              <w:t>、验收方案</w:t>
            </w:r>
            <w:r>
              <w:rPr>
                <w:rFonts w:hint="eastAsia" w:asciiTheme="minorEastAsia" w:hAnsiTheme="minorEastAsia" w:eastAsiaTheme="minorEastAsia" w:cstheme="minorEastAsia"/>
                <w:color w:val="auto"/>
                <w:szCs w:val="21"/>
                <w:highlight w:val="none"/>
              </w:rPr>
              <w:t>全面合理</w:t>
            </w:r>
            <w:r>
              <w:rPr>
                <w:rFonts w:hint="eastAsia" w:asciiTheme="minorEastAsia" w:hAnsiTheme="minorEastAsia" w:eastAsiaTheme="minorEastAsia" w:cstheme="minorEastAsia"/>
                <w:color w:val="auto"/>
                <w:szCs w:val="21"/>
                <w:highlight w:val="none"/>
                <w:lang w:val="zh-CN"/>
              </w:rPr>
              <w:t>）进行评议</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运输、安装、调试、验收方案</w:t>
            </w:r>
            <w:r>
              <w:rPr>
                <w:rFonts w:hint="eastAsia" w:asciiTheme="minorEastAsia" w:hAnsiTheme="minorEastAsia" w:eastAsiaTheme="minorEastAsia" w:cstheme="minorEastAsia"/>
                <w:color w:val="auto"/>
                <w:szCs w:val="21"/>
                <w:highlight w:val="none"/>
              </w:rPr>
              <w:t>欠合理，欠充足，欠全面，欠完善，欠可行的，每项扣0.5分；不合理，不充足，</w:t>
            </w:r>
            <w:r>
              <w:rPr>
                <w:rFonts w:hint="eastAsia" w:asciiTheme="minorEastAsia" w:hAnsiTheme="minorEastAsia" w:eastAsiaTheme="minorEastAsia" w:cstheme="minorEastAsia"/>
                <w:color w:val="auto"/>
                <w:szCs w:val="21"/>
                <w:highlight w:val="none"/>
                <w:lang w:val="zh-CN"/>
              </w:rPr>
              <w:t>运输、安装、调试、验收方案</w:t>
            </w:r>
            <w:r>
              <w:rPr>
                <w:rFonts w:hint="eastAsia" w:asciiTheme="minorEastAsia" w:hAnsiTheme="minorEastAsia" w:eastAsiaTheme="minorEastAsia" w:cstheme="minorEastAsia"/>
                <w:color w:val="auto"/>
                <w:szCs w:val="21"/>
                <w:highlight w:val="none"/>
              </w:rPr>
              <w:t>不全面，不完善，不可行的，每项扣1分。（5分）</w:t>
            </w:r>
          </w:p>
        </w:tc>
        <w:tc>
          <w:tcPr>
            <w:tcW w:w="850" w:type="dxa"/>
            <w:tcBorders>
              <w:tl2br w:val="nil"/>
              <w:tr2bl w:val="nil"/>
            </w:tcBorders>
            <w:vAlign w:val="center"/>
          </w:tcPr>
          <w:p>
            <w:pPr>
              <w:tabs>
                <w:tab w:val="left" w:pos="984"/>
              </w:tabs>
              <w:snapToGrid w:val="0"/>
              <w:spacing w:line="400" w:lineRule="exact"/>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主观评审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38" w:type="dxa"/>
            <w:vMerge w:val="continue"/>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c>
          <w:tcPr>
            <w:tcW w:w="1096" w:type="dxa"/>
            <w:tcBorders>
              <w:tl2br w:val="nil"/>
              <w:tr2bl w:val="nil"/>
            </w:tcBorders>
            <w:vAlign w:val="center"/>
          </w:tcPr>
          <w:p>
            <w:pPr>
              <w:tabs>
                <w:tab w:val="left" w:pos="984"/>
              </w:tabs>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培训方案</w:t>
            </w:r>
          </w:p>
        </w:tc>
        <w:tc>
          <w:tcPr>
            <w:tcW w:w="567" w:type="dxa"/>
            <w:tcBorders>
              <w:tl2br w:val="nil"/>
              <w:tr2bl w:val="nil"/>
            </w:tcBorders>
            <w:vAlign w:val="center"/>
          </w:tcPr>
          <w:p>
            <w:pPr>
              <w:widowControl/>
              <w:spacing w:line="4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6091" w:type="dxa"/>
            <w:tcBorders>
              <w:tl2br w:val="nil"/>
              <w:tr2bl w:val="nil"/>
            </w:tcBorders>
            <w:vAlign w:val="center"/>
          </w:tcPr>
          <w:p>
            <w:pPr>
              <w:tabs>
                <w:tab w:val="left" w:pos="984"/>
              </w:tabs>
              <w:snapToGrid w:val="0"/>
              <w:spacing w:line="400" w:lineRule="exact"/>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评标委员会根据投标人的培训方案（包括培训次数</w:t>
            </w:r>
            <w:r>
              <w:rPr>
                <w:rFonts w:hint="eastAsia" w:asciiTheme="minorEastAsia" w:hAnsiTheme="minorEastAsia" w:eastAsiaTheme="minorEastAsia" w:cstheme="minorEastAsia"/>
                <w:color w:val="auto"/>
                <w:szCs w:val="21"/>
                <w:highlight w:val="none"/>
              </w:rPr>
              <w:t>充足</w:t>
            </w:r>
            <w:r>
              <w:rPr>
                <w:rFonts w:hint="eastAsia" w:asciiTheme="minorEastAsia" w:hAnsiTheme="minorEastAsia" w:eastAsiaTheme="minorEastAsia" w:cstheme="minorEastAsia"/>
                <w:color w:val="auto"/>
                <w:szCs w:val="21"/>
                <w:highlight w:val="none"/>
                <w:lang w:val="zh-CN"/>
              </w:rPr>
              <w:t>、每次培训人数、总人数</w:t>
            </w:r>
            <w:r>
              <w:rPr>
                <w:rFonts w:hint="eastAsia" w:asciiTheme="minorEastAsia" w:hAnsiTheme="minorEastAsia" w:eastAsiaTheme="minorEastAsia" w:cstheme="minorEastAsia"/>
                <w:color w:val="auto"/>
                <w:szCs w:val="21"/>
                <w:highlight w:val="none"/>
              </w:rPr>
              <w:t>合理</w:t>
            </w:r>
            <w:r>
              <w:rPr>
                <w:rFonts w:hint="eastAsia" w:asciiTheme="minorEastAsia" w:hAnsiTheme="minorEastAsia" w:eastAsiaTheme="minorEastAsia" w:cstheme="minorEastAsia"/>
                <w:color w:val="auto"/>
                <w:szCs w:val="21"/>
                <w:highlight w:val="none"/>
                <w:lang w:val="zh-CN"/>
              </w:rPr>
              <w:t>、培训内容</w:t>
            </w:r>
            <w:r>
              <w:rPr>
                <w:rFonts w:hint="eastAsia" w:asciiTheme="minorEastAsia" w:hAnsiTheme="minorEastAsia" w:eastAsiaTheme="minorEastAsia" w:cstheme="minorEastAsia"/>
                <w:color w:val="auto"/>
                <w:szCs w:val="21"/>
                <w:highlight w:val="none"/>
              </w:rPr>
              <w:t>丰富有效</w:t>
            </w:r>
            <w:r>
              <w:rPr>
                <w:rFonts w:hint="eastAsia" w:asciiTheme="minorEastAsia" w:hAnsiTheme="minorEastAsia" w:eastAsiaTheme="minorEastAsia" w:cstheme="minorEastAsia"/>
                <w:color w:val="auto"/>
                <w:szCs w:val="21"/>
                <w:highlight w:val="none"/>
                <w:lang w:val="zh-CN"/>
              </w:rPr>
              <w:t>等）进行评议。培训次数</w:t>
            </w:r>
            <w:r>
              <w:rPr>
                <w:rFonts w:hint="eastAsia" w:asciiTheme="minorEastAsia" w:hAnsiTheme="minorEastAsia" w:eastAsiaTheme="minorEastAsia" w:cstheme="minorEastAsia"/>
                <w:color w:val="auto"/>
                <w:szCs w:val="21"/>
                <w:highlight w:val="none"/>
              </w:rPr>
              <w:t>欠合理，</w:t>
            </w:r>
            <w:r>
              <w:rPr>
                <w:rFonts w:hint="eastAsia" w:asciiTheme="minorEastAsia" w:hAnsiTheme="minorEastAsia" w:eastAsiaTheme="minorEastAsia" w:cstheme="minorEastAsia"/>
                <w:color w:val="auto"/>
                <w:szCs w:val="21"/>
                <w:highlight w:val="none"/>
                <w:lang w:val="zh-CN"/>
              </w:rPr>
              <w:t>培训内容</w:t>
            </w:r>
            <w:r>
              <w:rPr>
                <w:rFonts w:hint="eastAsia" w:asciiTheme="minorEastAsia" w:hAnsiTheme="minorEastAsia" w:eastAsiaTheme="minorEastAsia" w:cstheme="minorEastAsia"/>
                <w:color w:val="auto"/>
                <w:szCs w:val="21"/>
                <w:highlight w:val="none"/>
              </w:rPr>
              <w:t>欠完善，</w:t>
            </w:r>
            <w:r>
              <w:rPr>
                <w:rFonts w:hint="eastAsia" w:asciiTheme="minorEastAsia" w:hAnsiTheme="minorEastAsia" w:eastAsiaTheme="minorEastAsia" w:cstheme="minorEastAsia"/>
                <w:color w:val="auto"/>
                <w:szCs w:val="21"/>
                <w:highlight w:val="none"/>
                <w:lang w:val="zh-CN"/>
              </w:rPr>
              <w:t>每次培训人数、总人数</w:t>
            </w:r>
            <w:r>
              <w:rPr>
                <w:rFonts w:hint="eastAsia" w:asciiTheme="minorEastAsia" w:hAnsiTheme="minorEastAsia" w:eastAsiaTheme="minorEastAsia" w:cstheme="minorEastAsia"/>
                <w:color w:val="auto"/>
                <w:szCs w:val="21"/>
                <w:highlight w:val="none"/>
              </w:rPr>
              <w:t>欠可行的，每项扣0.5分；</w:t>
            </w:r>
            <w:r>
              <w:rPr>
                <w:rFonts w:hint="eastAsia" w:asciiTheme="minorEastAsia" w:hAnsiTheme="minorEastAsia" w:eastAsiaTheme="minorEastAsia" w:cstheme="minorEastAsia"/>
                <w:color w:val="auto"/>
                <w:szCs w:val="21"/>
                <w:highlight w:val="none"/>
                <w:lang w:val="zh-CN"/>
              </w:rPr>
              <w:t>培训次数</w:t>
            </w:r>
            <w:r>
              <w:rPr>
                <w:rFonts w:hint="eastAsia" w:asciiTheme="minorEastAsia" w:hAnsiTheme="minorEastAsia" w:eastAsiaTheme="minorEastAsia" w:cstheme="minorEastAsia"/>
                <w:color w:val="auto"/>
                <w:szCs w:val="21"/>
                <w:highlight w:val="none"/>
              </w:rPr>
              <w:t>不合理，</w:t>
            </w:r>
            <w:r>
              <w:rPr>
                <w:rFonts w:hint="eastAsia" w:asciiTheme="minorEastAsia" w:hAnsiTheme="minorEastAsia" w:eastAsiaTheme="minorEastAsia" w:cstheme="minorEastAsia"/>
                <w:color w:val="auto"/>
                <w:szCs w:val="21"/>
                <w:highlight w:val="none"/>
                <w:lang w:val="zh-CN"/>
              </w:rPr>
              <w:t>培训内容</w:t>
            </w:r>
            <w:r>
              <w:rPr>
                <w:rFonts w:hint="eastAsia" w:asciiTheme="minorEastAsia" w:hAnsiTheme="minorEastAsia" w:eastAsiaTheme="minorEastAsia" w:cstheme="minorEastAsia"/>
                <w:color w:val="auto"/>
                <w:szCs w:val="21"/>
                <w:highlight w:val="none"/>
              </w:rPr>
              <w:t>不完善，</w:t>
            </w:r>
            <w:r>
              <w:rPr>
                <w:rFonts w:hint="eastAsia" w:asciiTheme="minorEastAsia" w:hAnsiTheme="minorEastAsia" w:eastAsiaTheme="minorEastAsia" w:cstheme="minorEastAsia"/>
                <w:color w:val="auto"/>
                <w:szCs w:val="21"/>
                <w:highlight w:val="none"/>
                <w:lang w:val="zh-CN"/>
              </w:rPr>
              <w:t>每次培训人数、总人数</w:t>
            </w:r>
            <w:r>
              <w:rPr>
                <w:rFonts w:hint="eastAsia" w:asciiTheme="minorEastAsia" w:hAnsiTheme="minorEastAsia" w:eastAsiaTheme="minorEastAsia" w:cstheme="minorEastAsia"/>
                <w:color w:val="auto"/>
                <w:szCs w:val="21"/>
                <w:highlight w:val="none"/>
              </w:rPr>
              <w:t>不可行的，每项扣1分。（</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tc>
        <w:tc>
          <w:tcPr>
            <w:tcW w:w="850" w:type="dxa"/>
            <w:tcBorders>
              <w:tl2br w:val="nil"/>
              <w:tr2bl w:val="nil"/>
            </w:tcBorders>
            <w:vAlign w:val="center"/>
          </w:tcPr>
          <w:p>
            <w:pPr>
              <w:tabs>
                <w:tab w:val="left" w:pos="984"/>
              </w:tabs>
              <w:snapToGrid w:val="0"/>
              <w:spacing w:line="400" w:lineRule="exact"/>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主观评审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8" w:type="dxa"/>
            <w:vMerge w:val="continue"/>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c>
          <w:tcPr>
            <w:tcW w:w="1096"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w:t>
            </w:r>
          </w:p>
        </w:tc>
        <w:tc>
          <w:tcPr>
            <w:tcW w:w="567"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6091" w:type="dxa"/>
            <w:tcBorders>
              <w:tl2br w:val="nil"/>
              <w:tr2bl w:val="nil"/>
            </w:tcBorders>
            <w:vAlign w:val="center"/>
          </w:tcPr>
          <w:p>
            <w:pPr>
              <w:widowControl/>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满足投标文件要求（1年）的不得分，每延长12个月质保期得1分，最多得2分。</w:t>
            </w:r>
          </w:p>
        </w:tc>
        <w:tc>
          <w:tcPr>
            <w:tcW w:w="850" w:type="dxa"/>
            <w:tcBorders>
              <w:tl2br w:val="nil"/>
              <w:tr2bl w:val="nil"/>
            </w:tcBorders>
            <w:vAlign w:val="center"/>
          </w:tcPr>
          <w:p>
            <w:pPr>
              <w:widowControl/>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8" w:type="dxa"/>
            <w:vMerge w:val="continue"/>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c>
          <w:tcPr>
            <w:tcW w:w="1096"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售后服务</w:t>
            </w:r>
          </w:p>
        </w:tc>
        <w:tc>
          <w:tcPr>
            <w:tcW w:w="567"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091" w:type="dxa"/>
            <w:tcBorders>
              <w:tl2br w:val="nil"/>
              <w:tr2bl w:val="nil"/>
            </w:tcBorders>
            <w:vAlign w:val="center"/>
          </w:tcPr>
          <w:p>
            <w:pPr>
              <w:tabs>
                <w:tab w:val="left" w:pos="984"/>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根据供应商针对本项目的售后服务方案（包括售后服务机构的设置合理、售后服务人员配置充足、应急保障方案全面、服务响应时间及时、维修培训方案完善及软件升级方案可行）进行评议：欠合理，欠充足，欠全面，欠及时，欠完善，欠可行的，每项扣0.5分；不合理，不充足，不全面，不及时，不完善，不可行的，每项扣1分。（5分）</w:t>
            </w:r>
          </w:p>
        </w:tc>
        <w:tc>
          <w:tcPr>
            <w:tcW w:w="850" w:type="dxa"/>
            <w:tcBorders>
              <w:tl2br w:val="nil"/>
              <w:tr2bl w:val="nil"/>
            </w:tcBorders>
            <w:vAlign w:val="center"/>
          </w:tcPr>
          <w:p>
            <w:pPr>
              <w:tabs>
                <w:tab w:val="left" w:pos="984"/>
              </w:tabs>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p>
        </w:tc>
        <w:tc>
          <w:tcPr>
            <w:tcW w:w="1096" w:type="dxa"/>
            <w:tcBorders>
              <w:tl2br w:val="nil"/>
              <w:tr2bl w:val="nil"/>
            </w:tcBorders>
            <w:vAlign w:val="center"/>
          </w:tcPr>
          <w:p>
            <w:pPr>
              <w:tabs>
                <w:tab w:val="left" w:pos="984"/>
              </w:tabs>
              <w:spacing w:line="400" w:lineRule="exact"/>
              <w:jc w:val="cente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节能环保政策</w:t>
            </w:r>
          </w:p>
        </w:tc>
        <w:tc>
          <w:tcPr>
            <w:tcW w:w="567" w:type="dxa"/>
            <w:tcBorders>
              <w:tl2br w:val="nil"/>
              <w:tr2bl w:val="nil"/>
            </w:tcBorders>
            <w:vAlign w:val="center"/>
          </w:tcPr>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091" w:type="dxa"/>
            <w:tcBorders>
              <w:tl2br w:val="nil"/>
              <w:tr2bl w:val="nil"/>
            </w:tcBorders>
            <w:vAlign w:val="center"/>
          </w:tcPr>
          <w:p>
            <w:pPr>
              <w:tabs>
                <w:tab w:val="left" w:pos="4469"/>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节能环保产品（1分）：</w:t>
            </w:r>
          </w:p>
          <w:p>
            <w:pPr>
              <w:tabs>
                <w:tab w:val="left" w:pos="4469"/>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投标产品属于《节能产品政府采购品目清单》范围的且具有国家确定的认证机构出具的、处于有效期之内的节能产品认证证书的得0.5分；</w:t>
            </w:r>
          </w:p>
          <w:p>
            <w:pPr>
              <w:tabs>
                <w:tab w:val="left" w:pos="4469"/>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投标产品属于《环境标志产品政府采购品目清单》范围的且具有国家确定的认证机构出具的、处于有效期之内的环境标志产品认证证书的得0.5分。</w:t>
            </w:r>
          </w:p>
          <w:p>
            <w:pPr>
              <w:tabs>
                <w:tab w:val="left" w:pos="4469"/>
              </w:tabs>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850" w:type="dxa"/>
            <w:tcBorders>
              <w:tl2br w:val="nil"/>
              <w:tr2bl w:val="nil"/>
            </w:tcBorders>
            <w:vAlign w:val="center"/>
          </w:tcPr>
          <w:p>
            <w:pPr>
              <w:tabs>
                <w:tab w:val="left" w:pos="4469"/>
              </w:tabs>
              <w:snapToGrid w:val="0"/>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8"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价格部分</w:t>
            </w:r>
          </w:p>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30分</w:t>
            </w:r>
          </w:p>
        </w:tc>
        <w:tc>
          <w:tcPr>
            <w:tcW w:w="1096"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价格分</w:t>
            </w:r>
          </w:p>
        </w:tc>
        <w:tc>
          <w:tcPr>
            <w:tcW w:w="567" w:type="dxa"/>
            <w:tcBorders>
              <w:tl2br w:val="nil"/>
              <w:tr2bl w:val="nil"/>
            </w:tcBorders>
            <w:vAlign w:val="center"/>
          </w:tcPr>
          <w:p>
            <w:pPr>
              <w:spacing w:line="400" w:lineRule="exact"/>
              <w:jc w:val="center"/>
              <w:rPr>
                <w:rFonts w:asciiTheme="minorEastAsia" w:hAnsiTheme="minorEastAsia" w:eastAsiaTheme="minorEastAsia" w:cstheme="minorEastAsia"/>
                <w:strike/>
                <w:color w:val="auto"/>
                <w:szCs w:val="21"/>
                <w:highlight w:val="none"/>
              </w:rPr>
            </w:pPr>
            <w:r>
              <w:rPr>
                <w:rFonts w:hint="eastAsia" w:asciiTheme="minorEastAsia" w:hAnsiTheme="minorEastAsia" w:eastAsiaTheme="minorEastAsia" w:cstheme="minorEastAsia"/>
                <w:color w:val="auto"/>
                <w:szCs w:val="21"/>
                <w:highlight w:val="none"/>
              </w:rPr>
              <w:t>30</w:t>
            </w:r>
          </w:p>
        </w:tc>
        <w:tc>
          <w:tcPr>
            <w:tcW w:w="6091" w:type="dxa"/>
            <w:tcBorders>
              <w:tl2br w:val="nil"/>
              <w:tr2bl w:val="nil"/>
            </w:tcBorders>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参与评审的价格=投标报价－小微企业价格扣除优惠值（如有）</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满足采购文件要求且最低的参与评审的价格为评标基准价，其价格分为满分30分。其他投标供应商的价格分统一按照下列公式计算：</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投标报价得分=(评标基准价／参与评审的价格)×</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%×100</w:t>
            </w:r>
          </w:p>
          <w:p>
            <w:pPr>
              <w:snapToGrid w:val="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（投标价得分以四舍五入方法整合到小数点后两位）</w:t>
            </w:r>
          </w:p>
        </w:tc>
        <w:tc>
          <w:tcPr>
            <w:tcW w:w="850" w:type="dxa"/>
            <w:tcBorders>
              <w:tl2br w:val="nil"/>
              <w:tr2bl w:val="nil"/>
            </w:tcBorders>
            <w:vAlign w:val="center"/>
          </w:tcPr>
          <w:p>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2" w:type="dxa"/>
            <w:gridSpan w:val="4"/>
            <w:tcBorders>
              <w:tl2br w:val="nil"/>
              <w:tr2bl w:val="nil"/>
            </w:tcBorders>
            <w:vAlign w:val="center"/>
          </w:tcPr>
          <w:p>
            <w:pPr>
              <w:tabs>
                <w:tab w:val="left" w:pos="984"/>
              </w:tabs>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总分（100分）</w:t>
            </w:r>
          </w:p>
        </w:tc>
        <w:tc>
          <w:tcPr>
            <w:tcW w:w="850" w:type="dxa"/>
            <w:tcBorders>
              <w:tl2br w:val="nil"/>
              <w:tr2bl w:val="nil"/>
            </w:tcBorders>
          </w:tcPr>
          <w:p>
            <w:pPr>
              <w:tabs>
                <w:tab w:val="left" w:pos="984"/>
              </w:tabs>
              <w:spacing w:line="400" w:lineRule="exact"/>
              <w:jc w:val="center"/>
              <w:rPr>
                <w:rFonts w:asciiTheme="minorEastAsia" w:hAnsiTheme="minorEastAsia" w:eastAsiaTheme="minorEastAsia" w:cstheme="minorEastAsia"/>
                <w:color w:val="auto"/>
                <w:szCs w:val="21"/>
                <w:highlight w:val="none"/>
              </w:rPr>
            </w:pPr>
          </w:p>
        </w:tc>
      </w:tr>
    </w:tbl>
    <w:p>
      <w:pPr>
        <w:pStyle w:val="39"/>
        <w:ind w:firstLine="0"/>
        <w:rPr>
          <w:rFonts w:hAnsi="宋体"/>
          <w:color w:val="auto"/>
          <w:highlight w:val="none"/>
        </w:rPr>
      </w:pPr>
    </w:p>
    <w:p>
      <w:pPr>
        <w:widowControl/>
        <w:jc w:val="left"/>
        <w:rPr>
          <w:rFonts w:ascii="宋体" w:hAnsi="宋体"/>
          <w:color w:val="auto"/>
          <w:sz w:val="30"/>
          <w:highlight w:val="none"/>
        </w:rPr>
      </w:pPr>
      <w:r>
        <w:rPr>
          <w:rFonts w:hint="eastAsia" w:ascii="宋体" w:hAnsi="宋体"/>
          <w:color w:val="auto"/>
          <w:sz w:val="30"/>
          <w:highlight w:val="none"/>
        </w:rPr>
        <w:br w:type="page"/>
      </w:r>
    </w:p>
    <w:p>
      <w:pPr>
        <w:pStyle w:val="3"/>
        <w:spacing w:before="0" w:after="0" w:line="360" w:lineRule="auto"/>
        <w:jc w:val="center"/>
        <w:rPr>
          <w:rFonts w:ascii="宋体" w:hAnsi="宋体"/>
          <w:color w:val="auto"/>
          <w:sz w:val="30"/>
          <w:highlight w:val="none"/>
        </w:rPr>
      </w:pPr>
      <w:bookmarkStart w:id="207" w:name="_Toc19473"/>
      <w:r>
        <w:rPr>
          <w:rFonts w:hint="eastAsia" w:ascii="宋体" w:hAnsi="宋体"/>
          <w:color w:val="auto"/>
          <w:sz w:val="30"/>
          <w:highlight w:val="none"/>
        </w:rPr>
        <w:t>第五章  政府采购合同主要条款</w:t>
      </w:r>
      <w:bookmarkEnd w:id="206"/>
      <w:bookmarkEnd w:id="207"/>
    </w:p>
    <w:p>
      <w:pPr>
        <w:rPr>
          <w:color w:val="auto"/>
          <w:highlight w:val="none"/>
        </w:rPr>
      </w:pPr>
    </w:p>
    <w:p>
      <w:pPr>
        <w:spacing w:line="360" w:lineRule="auto"/>
        <w:jc w:val="center"/>
        <w:rPr>
          <w:rFonts w:ascii="宋体" w:hAnsi="宋体" w:cs="宋体"/>
          <w:b/>
          <w:color w:val="auto"/>
          <w:szCs w:val="21"/>
          <w:highlight w:val="none"/>
        </w:rPr>
      </w:pPr>
      <w:bookmarkStart w:id="208" w:name="_Toc9973047"/>
      <w:bookmarkStart w:id="209" w:name="_Toc17884861"/>
      <w:bookmarkStart w:id="210" w:name="_Toc460857945"/>
      <w:bookmarkStart w:id="211" w:name="_Toc460857947"/>
      <w:r>
        <w:rPr>
          <w:rFonts w:hint="eastAsia" w:ascii="宋体" w:hAnsi="宋体" w:cs="宋体"/>
          <w:b/>
          <w:color w:val="auto"/>
          <w:szCs w:val="21"/>
          <w:highlight w:val="none"/>
        </w:rPr>
        <w:t>北京航空航天大学宁波创新研究院科研设备采购合同</w:t>
      </w:r>
      <w:bookmarkEnd w:id="208"/>
      <w:bookmarkEnd w:id="209"/>
      <w:r>
        <w:rPr>
          <w:rFonts w:hint="eastAsia" w:ascii="宋体" w:hAnsi="宋体" w:cs="宋体"/>
          <w:b/>
          <w:color w:val="auto"/>
          <w:szCs w:val="21"/>
          <w:highlight w:val="none"/>
        </w:rPr>
        <w:t>（供参考）</w:t>
      </w:r>
    </w:p>
    <w:p>
      <w:pPr>
        <w:spacing w:line="440" w:lineRule="exact"/>
        <w:jc w:val="right"/>
        <w:rPr>
          <w:color w:val="auto"/>
          <w:highlight w:val="none"/>
        </w:rPr>
      </w:pPr>
      <w:r>
        <w:rPr>
          <w:rFonts w:hint="eastAsia" w:ascii="宋体" w:hAnsi="宋体" w:cs="仿宋"/>
          <w:b/>
          <w:color w:val="auto"/>
          <w:szCs w:val="21"/>
          <w:highlight w:val="none"/>
        </w:rPr>
        <w:t xml:space="preserve"> </w:t>
      </w:r>
      <w:r>
        <w:rPr>
          <w:rFonts w:ascii="宋体" w:hAnsi="宋体" w:cs="仿宋"/>
          <w:b/>
          <w:color w:val="auto"/>
          <w:szCs w:val="21"/>
          <w:highlight w:val="none"/>
        </w:rPr>
        <w:t xml:space="preserve"> </w:t>
      </w:r>
      <w:r>
        <w:rPr>
          <w:rFonts w:hint="eastAsia" w:ascii="宋体" w:hAnsi="宋体" w:cs="仿宋"/>
          <w:b/>
          <w:color w:val="auto"/>
          <w:szCs w:val="21"/>
          <w:highlight w:val="none"/>
        </w:rPr>
        <w:t>使用中心</w:t>
      </w:r>
      <w:r>
        <w:rPr>
          <w:rFonts w:hint="eastAsia" w:ascii="宋体" w:hAnsi="宋体" w:cs="仿宋"/>
          <w:b/>
          <w:color w:val="auto"/>
          <w:szCs w:val="21"/>
          <w:highlight w:val="none"/>
          <w:u w:val="single"/>
        </w:rPr>
        <w:t xml:space="preserve">：      </w:t>
      </w:r>
      <w:r>
        <w:rPr>
          <w:rFonts w:hint="eastAsia" w:ascii="宋体" w:hAnsi="宋体" w:cs="仿宋"/>
          <w:b/>
          <w:color w:val="auto"/>
          <w:szCs w:val="21"/>
          <w:highlight w:val="none"/>
        </w:rPr>
        <w:t xml:space="preserve"> 项目负责人</w:t>
      </w:r>
      <w:r>
        <w:rPr>
          <w:rFonts w:hint="eastAsia" w:ascii="宋体" w:hAnsi="宋体" w:cs="仿宋"/>
          <w:b/>
          <w:color w:val="auto"/>
          <w:szCs w:val="21"/>
          <w:highlight w:val="none"/>
          <w:u w:val="single"/>
        </w:rPr>
        <w:t xml:space="preserve">：      </w:t>
      </w:r>
    </w:p>
    <w:p>
      <w:pPr>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甲方：北京航空航天大学宁波创新研究院 </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地址： 浙江省宁波市梅山保税港区三创基地七号楼</w:t>
      </w:r>
    </w:p>
    <w:p>
      <w:pPr>
        <w:spacing w:line="360" w:lineRule="auto"/>
        <w:rPr>
          <w:rFonts w:ascii="宋体" w:hAnsi="宋体" w:cs="仿宋"/>
          <w:color w:val="auto"/>
          <w:szCs w:val="21"/>
          <w:highlight w:val="none"/>
        </w:rPr>
      </w:pPr>
    </w:p>
    <w:p>
      <w:pPr>
        <w:spacing w:line="360" w:lineRule="auto"/>
        <w:rPr>
          <w:rFonts w:ascii="宋体" w:hAnsi="宋体" w:cs="仿宋"/>
          <w:color w:val="auto"/>
          <w:szCs w:val="21"/>
          <w:highlight w:val="none"/>
        </w:rPr>
      </w:pPr>
      <w:r>
        <w:rPr>
          <w:rFonts w:hint="eastAsia" w:ascii="宋体" w:hAnsi="宋体" w:cs="仿宋"/>
          <w:color w:val="auto"/>
          <w:szCs w:val="21"/>
          <w:highlight w:val="none"/>
        </w:rPr>
        <w:t>乙方：</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地址：</w:t>
      </w:r>
    </w:p>
    <w:p>
      <w:pPr>
        <w:spacing w:line="360" w:lineRule="auto"/>
        <w:rPr>
          <w:rFonts w:ascii="宋体" w:hAnsi="宋体" w:cs="仿宋"/>
          <w:color w:val="auto"/>
          <w:szCs w:val="21"/>
          <w:highlight w:val="none"/>
          <w:u w:val="single"/>
        </w:rPr>
      </w:pPr>
      <w:r>
        <w:rPr>
          <w:rFonts w:hint="eastAsia" w:ascii="宋体" w:hAnsi="宋体" w:cs="仿宋"/>
          <w:color w:val="auto"/>
          <w:szCs w:val="21"/>
          <w:highlight w:val="none"/>
        </w:rPr>
        <w:t>招标编号：</w:t>
      </w:r>
    </w:p>
    <w:p>
      <w:pPr>
        <w:spacing w:line="360" w:lineRule="auto"/>
        <w:rPr>
          <w:rFonts w:ascii="宋体" w:hAnsi="宋体" w:cs="仿宋"/>
          <w:color w:val="auto"/>
          <w:szCs w:val="21"/>
          <w:highlight w:val="none"/>
          <w:u w:val="single"/>
        </w:rPr>
      </w:pPr>
      <w:r>
        <w:rPr>
          <w:rFonts w:hint="eastAsia" w:ascii="宋体" w:hAnsi="宋体" w:cs="仿宋"/>
          <w:color w:val="auto"/>
          <w:szCs w:val="21"/>
          <w:highlight w:val="none"/>
        </w:rPr>
        <w:t>招标日期：</w:t>
      </w:r>
    </w:p>
    <w:p>
      <w:pPr>
        <w:spacing w:line="360" w:lineRule="auto"/>
        <w:rPr>
          <w:rFonts w:ascii="宋体" w:hAnsi="宋体" w:cs="仿宋"/>
          <w:color w:val="auto"/>
          <w:szCs w:val="21"/>
          <w:highlight w:val="none"/>
          <w:u w:val="single"/>
        </w:rPr>
      </w:pPr>
      <w:r>
        <w:rPr>
          <w:rFonts w:hint="eastAsia" w:ascii="宋体" w:hAnsi="宋体" w:cs="仿宋"/>
          <w:color w:val="auto"/>
          <w:szCs w:val="21"/>
          <w:highlight w:val="none"/>
        </w:rPr>
        <w:t>合同编号：</w:t>
      </w:r>
    </w:p>
    <w:p>
      <w:pPr>
        <w:spacing w:line="360" w:lineRule="auto"/>
        <w:rPr>
          <w:rFonts w:ascii="宋体" w:hAnsi="宋体" w:cs="仿宋"/>
          <w:color w:val="auto"/>
          <w:szCs w:val="21"/>
          <w:highlight w:val="none"/>
        </w:rPr>
      </w:pPr>
      <w:r>
        <w:rPr>
          <w:rFonts w:hint="eastAsia" w:ascii="宋体" w:hAnsi="宋体" w:cs="仿宋"/>
          <w:color w:val="auto"/>
          <w:szCs w:val="21"/>
          <w:highlight w:val="none"/>
        </w:rPr>
        <w:t>一、内容、要求和金额：</w:t>
      </w:r>
    </w:p>
    <w:tbl>
      <w:tblPr>
        <w:tblStyle w:val="40"/>
        <w:tblW w:w="9633"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81"/>
        <w:gridCol w:w="1818"/>
        <w:gridCol w:w="709"/>
        <w:gridCol w:w="1374"/>
        <w:gridCol w:w="1319"/>
        <w:gridCol w:w="1560"/>
        <w:gridCol w:w="117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3"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设备名称</w:t>
            </w: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型号、规格</w:t>
            </w:r>
          </w:p>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（配置清单附后）</w:t>
            </w:r>
          </w:p>
        </w:tc>
        <w:tc>
          <w:tcPr>
            <w:tcW w:w="709"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数量</w:t>
            </w: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单价(元)</w:t>
            </w: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金额(元)</w:t>
            </w: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原产地及品牌</w:t>
            </w: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r>
              <w:rPr>
                <w:rFonts w:hint="eastAsia" w:hAnsi="宋体" w:cs="仿宋"/>
                <w:color w:val="auto"/>
                <w:sz w:val="21"/>
                <w:szCs w:val="21"/>
                <w:highlight w:val="none"/>
              </w:rPr>
              <w:t>使用单位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709" w:type="dxa"/>
            <w:tcBorders>
              <w:top w:val="single" w:color="auto" w:sz="4" w:space="0"/>
              <w:bottom w:val="single" w:color="auto" w:sz="4" w:space="0"/>
            </w:tcBorders>
            <w:vAlign w:val="center"/>
          </w:tcPr>
          <w:p>
            <w:pPr>
              <w:pStyle w:val="18"/>
              <w:spacing w:line="360" w:lineRule="auto"/>
              <w:ind w:left="-110" w:right="-115" w:firstLine="0"/>
              <w:jc w:val="center"/>
              <w:rPr>
                <w:rFonts w:hAnsi="宋体" w:cs="仿宋"/>
                <w:color w:val="auto"/>
                <w:sz w:val="21"/>
                <w:szCs w:val="21"/>
                <w:highlight w:val="none"/>
              </w:rPr>
            </w:pP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709" w:type="dxa"/>
            <w:tcBorders>
              <w:top w:val="single" w:color="auto" w:sz="4" w:space="0"/>
              <w:bottom w:val="single" w:color="auto" w:sz="4" w:space="0"/>
            </w:tcBorders>
            <w:vAlign w:val="center"/>
          </w:tcPr>
          <w:p>
            <w:pPr>
              <w:pStyle w:val="18"/>
              <w:spacing w:line="360" w:lineRule="auto"/>
              <w:ind w:left="-110" w:right="-115" w:firstLine="0"/>
              <w:jc w:val="center"/>
              <w:rPr>
                <w:rFonts w:hAnsi="宋体" w:cs="仿宋"/>
                <w:color w:val="auto"/>
                <w:sz w:val="21"/>
                <w:szCs w:val="21"/>
                <w:highlight w:val="none"/>
              </w:rPr>
            </w:pP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709" w:type="dxa"/>
            <w:tcBorders>
              <w:top w:val="single" w:color="auto" w:sz="4" w:space="0"/>
              <w:bottom w:val="single" w:color="auto" w:sz="4" w:space="0"/>
            </w:tcBorders>
            <w:vAlign w:val="center"/>
          </w:tcPr>
          <w:p>
            <w:pPr>
              <w:pStyle w:val="18"/>
              <w:spacing w:line="360" w:lineRule="auto"/>
              <w:ind w:left="-110" w:right="-115" w:firstLine="0"/>
              <w:jc w:val="center"/>
              <w:rPr>
                <w:rFonts w:hAnsi="宋体" w:cs="仿宋"/>
                <w:color w:val="auto"/>
                <w:sz w:val="21"/>
                <w:szCs w:val="21"/>
                <w:highlight w:val="none"/>
              </w:rPr>
            </w:pP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9633" w:type="dxa"/>
            <w:gridSpan w:val="7"/>
            <w:tcBorders>
              <w:top w:val="single" w:color="auto" w:sz="4" w:space="0"/>
            </w:tcBorders>
            <w:vAlign w:val="center"/>
          </w:tcPr>
          <w:p>
            <w:pPr>
              <w:pStyle w:val="18"/>
              <w:spacing w:line="360" w:lineRule="auto"/>
              <w:ind w:firstLine="0"/>
              <w:jc w:val="left"/>
              <w:rPr>
                <w:rFonts w:hAnsi="宋体" w:cs="仿宋"/>
                <w:color w:val="auto"/>
                <w:sz w:val="21"/>
                <w:szCs w:val="21"/>
                <w:highlight w:val="none"/>
              </w:rPr>
            </w:pPr>
            <w:r>
              <w:rPr>
                <w:rFonts w:hint="eastAsia" w:hAnsi="宋体" w:cs="仿宋"/>
                <w:color w:val="auto"/>
                <w:sz w:val="21"/>
                <w:szCs w:val="21"/>
                <w:highlight w:val="none"/>
              </w:rPr>
              <w:t>含税合计（人民币大写）：</w:t>
            </w:r>
          </w:p>
        </w:tc>
      </w:tr>
    </w:tbl>
    <w:p>
      <w:pPr>
        <w:pStyle w:val="27"/>
        <w:spacing w:after="120"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合同金额包括但不仅限于：所有设备、运输及装卸、安装调试、验收、质保期内的售后服务、利润、税金、技术培训，及政策性文件规定的各项应有的所有费用。</w:t>
      </w:r>
    </w:p>
    <w:p>
      <w:pPr>
        <w:pStyle w:val="27"/>
        <w:spacing w:line="360" w:lineRule="auto"/>
        <w:rPr>
          <w:rFonts w:ascii="宋体" w:hAnsi="宋体" w:cs="仿宋"/>
          <w:color w:val="auto"/>
          <w:sz w:val="21"/>
          <w:szCs w:val="21"/>
          <w:highlight w:val="none"/>
        </w:rPr>
      </w:pPr>
      <w:r>
        <w:rPr>
          <w:rFonts w:hint="eastAsia" w:ascii="宋体" w:hAnsi="宋体" w:cs="仿宋"/>
          <w:color w:val="auto"/>
          <w:sz w:val="21"/>
          <w:szCs w:val="21"/>
          <w:highlight w:val="none"/>
        </w:rPr>
        <w:t>二、付款方式及条件</w:t>
      </w:r>
    </w:p>
    <w:p>
      <w:pPr>
        <w:tabs>
          <w:tab w:val="left" w:pos="426"/>
        </w:tabs>
        <w:spacing w:line="360" w:lineRule="auto"/>
        <w:rPr>
          <w:rFonts w:ascii="宋体" w:hAnsi="宋体" w:cs="仿宋"/>
          <w:color w:val="auto"/>
          <w:szCs w:val="21"/>
          <w:highlight w:val="none"/>
        </w:rPr>
      </w:pPr>
      <w:r>
        <w:rPr>
          <w:rFonts w:ascii="宋体" w:hAnsi="宋体" w:cs="仿宋"/>
          <w:color w:val="auto"/>
          <w:szCs w:val="21"/>
          <w:highlight w:val="none"/>
        </w:rPr>
        <w:t>1</w:t>
      </w:r>
      <w:r>
        <w:rPr>
          <w:rFonts w:hint="eastAsia" w:ascii="宋体" w:hAnsi="宋体" w:cs="仿宋"/>
          <w:color w:val="auto"/>
          <w:szCs w:val="21"/>
          <w:highlight w:val="none"/>
        </w:rPr>
        <w:t>．乙方应当向甲方支付履约保证金，以作为其履行本合同的保证。</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（1）履约保证金金额：合同总价的1%。</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（2）履约保证金形式：转账或银行、保险公司出具的保函形式。</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（3）履约保证金递交时间：中标通知书发出后30天内缴纳。</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（4）履约保证金退还时间：最终验收合格后，具体详见付款方式。</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收件人：北京航空航天大学宁波创新研究院</w:t>
      </w:r>
    </w:p>
    <w:p>
      <w:pPr>
        <w:tabs>
          <w:tab w:val="left" w:pos="426"/>
        </w:tabs>
        <w:spacing w:line="360" w:lineRule="auto"/>
        <w:rPr>
          <w:rFonts w:ascii="宋体" w:hAnsi="宋体" w:cs="仿宋"/>
          <w:color w:val="auto"/>
          <w:szCs w:val="21"/>
          <w:highlight w:val="none"/>
        </w:rPr>
      </w:pPr>
      <w:r>
        <w:rPr>
          <w:rFonts w:hint="eastAsia" w:ascii="宋体" w:hAnsi="宋体" w:cs="仿宋"/>
          <w:color w:val="auto"/>
          <w:szCs w:val="21"/>
          <w:highlight w:val="none"/>
        </w:rPr>
        <w:t>2．付款方式：</w:t>
      </w:r>
    </w:p>
    <w:p>
      <w:pPr>
        <w:spacing w:line="400" w:lineRule="exact"/>
        <w:contextualSpacing/>
        <w:jc w:val="left"/>
        <w:rPr>
          <w:rFonts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合同签订后，甲方在收到乙方提供的预付款保函并具备实施条件后7个工作日内支付乙方合同总价的40%作为预付款；</w:t>
      </w:r>
    </w:p>
    <w:p>
      <w:pPr>
        <w:spacing w:line="400" w:lineRule="exact"/>
        <w:contextualSpacing/>
        <w:jc w:val="left"/>
        <w:rPr>
          <w:rFonts w:ascii="宋体" w:hAnsi="宋体" w:cs="宋体"/>
          <w:bCs/>
          <w:color w:val="auto"/>
          <w:szCs w:val="21"/>
          <w:highlight w:val="none"/>
        </w:rPr>
      </w:pPr>
      <w:r>
        <w:rPr>
          <w:rFonts w:ascii="宋体" w:hAnsi="宋体" w:cs="宋体"/>
          <w:bCs/>
          <w:color w:val="auto"/>
          <w:szCs w:val="21"/>
          <w:highlight w:val="none"/>
        </w:rPr>
        <w:t>2）设备</w:t>
      </w:r>
      <w:r>
        <w:rPr>
          <w:rFonts w:hint="eastAsia" w:ascii="宋体" w:hAnsi="宋体" w:cs="宋体"/>
          <w:bCs/>
          <w:color w:val="auto"/>
          <w:szCs w:val="21"/>
          <w:highlight w:val="none"/>
        </w:rPr>
        <w:t>调试</w:t>
      </w:r>
      <w:r>
        <w:rPr>
          <w:rFonts w:ascii="宋体" w:hAnsi="宋体" w:cs="宋体"/>
          <w:bCs/>
          <w:color w:val="auto"/>
          <w:szCs w:val="21"/>
          <w:highlight w:val="none"/>
        </w:rPr>
        <w:t>安装完毕经</w:t>
      </w:r>
      <w:r>
        <w:rPr>
          <w:rFonts w:hint="eastAsia" w:ascii="宋体" w:hAnsi="宋体" w:cs="宋体"/>
          <w:bCs/>
          <w:color w:val="auto"/>
          <w:szCs w:val="21"/>
          <w:highlight w:val="none"/>
        </w:rPr>
        <w:t>甲方</w:t>
      </w:r>
      <w:r>
        <w:rPr>
          <w:rFonts w:ascii="宋体" w:hAnsi="宋体" w:cs="宋体"/>
          <w:bCs/>
          <w:color w:val="auto"/>
          <w:szCs w:val="21"/>
          <w:highlight w:val="none"/>
        </w:rPr>
        <w:t>初步验收合格正常启动运行后，</w:t>
      </w:r>
      <w:r>
        <w:rPr>
          <w:rFonts w:hint="eastAsia" w:ascii="宋体" w:hAnsi="宋体" w:cs="宋体"/>
          <w:bCs/>
          <w:color w:val="auto"/>
          <w:szCs w:val="21"/>
          <w:highlight w:val="none"/>
        </w:rPr>
        <w:t>甲方</w:t>
      </w:r>
      <w:r>
        <w:rPr>
          <w:rFonts w:ascii="宋体" w:hAnsi="宋体" w:cs="宋体"/>
          <w:bCs/>
          <w:color w:val="auto"/>
          <w:szCs w:val="21"/>
          <w:highlight w:val="none"/>
        </w:rPr>
        <w:t>支付</w:t>
      </w:r>
      <w:r>
        <w:rPr>
          <w:rFonts w:hint="eastAsia" w:ascii="宋体" w:hAnsi="宋体" w:cs="宋体"/>
          <w:bCs/>
          <w:color w:val="auto"/>
          <w:szCs w:val="21"/>
          <w:highlight w:val="none"/>
        </w:rPr>
        <w:t>乙方</w:t>
      </w:r>
      <w:r>
        <w:rPr>
          <w:rFonts w:ascii="宋体" w:hAnsi="宋体" w:cs="宋体"/>
          <w:bCs/>
          <w:color w:val="auto"/>
          <w:szCs w:val="21"/>
          <w:highlight w:val="none"/>
        </w:rPr>
        <w:t>合同总价的</w:t>
      </w:r>
      <w:r>
        <w:rPr>
          <w:rFonts w:hint="eastAsia" w:ascii="宋体" w:hAnsi="宋体" w:cs="宋体"/>
          <w:bCs/>
          <w:color w:val="auto"/>
          <w:szCs w:val="21"/>
          <w:highlight w:val="none"/>
        </w:rPr>
        <w:t>50</w:t>
      </w:r>
      <w:r>
        <w:rPr>
          <w:rFonts w:ascii="宋体" w:hAnsi="宋体" w:cs="宋体"/>
          <w:bCs/>
          <w:color w:val="auto"/>
          <w:szCs w:val="21"/>
          <w:highlight w:val="none"/>
        </w:rPr>
        <w:t>%。</w:t>
      </w:r>
    </w:p>
    <w:p>
      <w:pPr>
        <w:spacing w:line="400" w:lineRule="exact"/>
        <w:contextualSpacing/>
        <w:jc w:val="left"/>
        <w:rPr>
          <w:rFonts w:ascii="宋体" w:hAnsi="宋体" w:cs="宋体"/>
          <w:bCs/>
          <w:color w:val="auto"/>
          <w:szCs w:val="21"/>
          <w:highlight w:val="none"/>
        </w:rPr>
      </w:pPr>
      <w:r>
        <w:rPr>
          <w:rFonts w:ascii="宋体" w:hAnsi="宋体" w:cs="宋体"/>
          <w:bCs/>
          <w:color w:val="auto"/>
          <w:szCs w:val="21"/>
          <w:highlight w:val="none"/>
        </w:rPr>
        <w:t>3）设备试运行</w:t>
      </w:r>
      <w:r>
        <w:rPr>
          <w:rFonts w:hint="eastAsia" w:ascii="宋体" w:hAnsi="宋体" w:cs="宋体"/>
          <w:bCs/>
          <w:color w:val="auto"/>
          <w:szCs w:val="21"/>
          <w:highlight w:val="none"/>
        </w:rPr>
        <w:t>满</w:t>
      </w:r>
      <w:r>
        <w:rPr>
          <w:rFonts w:ascii="宋体" w:hAnsi="宋体" w:cs="宋体"/>
          <w:bCs/>
          <w:color w:val="auto"/>
          <w:szCs w:val="21"/>
          <w:highlight w:val="none"/>
        </w:rPr>
        <w:t>6个月</w:t>
      </w:r>
      <w:r>
        <w:rPr>
          <w:rFonts w:hint="eastAsia" w:ascii="宋体" w:hAnsi="宋体" w:cs="宋体"/>
          <w:bCs/>
          <w:color w:val="auto"/>
          <w:szCs w:val="21"/>
          <w:highlight w:val="none"/>
        </w:rPr>
        <w:t>并</w:t>
      </w:r>
      <w:r>
        <w:rPr>
          <w:rFonts w:ascii="宋体" w:hAnsi="宋体" w:cs="宋体"/>
          <w:bCs/>
          <w:color w:val="auto"/>
          <w:szCs w:val="21"/>
          <w:highlight w:val="none"/>
        </w:rPr>
        <w:t>经</w:t>
      </w:r>
      <w:r>
        <w:rPr>
          <w:rFonts w:hint="eastAsia" w:ascii="宋体" w:hAnsi="宋体" w:cs="宋体"/>
          <w:bCs/>
          <w:color w:val="auto"/>
          <w:szCs w:val="21"/>
          <w:highlight w:val="none"/>
        </w:rPr>
        <w:t>甲方</w:t>
      </w:r>
      <w:r>
        <w:rPr>
          <w:rFonts w:ascii="宋体" w:hAnsi="宋体" w:cs="宋体"/>
          <w:bCs/>
          <w:color w:val="auto"/>
          <w:szCs w:val="21"/>
          <w:highlight w:val="none"/>
        </w:rPr>
        <w:t>最终验收后，</w:t>
      </w:r>
      <w:r>
        <w:rPr>
          <w:rFonts w:hint="eastAsia" w:ascii="宋体" w:hAnsi="宋体" w:cs="宋体"/>
          <w:bCs/>
          <w:color w:val="auto"/>
          <w:szCs w:val="21"/>
          <w:highlight w:val="none"/>
        </w:rPr>
        <w:t>甲方收到乙方</w:t>
      </w:r>
      <w:r>
        <w:rPr>
          <w:rFonts w:ascii="宋体" w:hAnsi="宋体" w:cs="宋体"/>
          <w:bCs/>
          <w:color w:val="auto"/>
          <w:szCs w:val="21"/>
          <w:highlight w:val="none"/>
        </w:rPr>
        <w:t>提供的全额增值税专用发票及抵扣联后</w:t>
      </w:r>
      <w:r>
        <w:rPr>
          <w:rFonts w:hint="eastAsia" w:ascii="宋体" w:hAnsi="宋体" w:cs="宋体"/>
          <w:bCs/>
          <w:color w:val="auto"/>
          <w:szCs w:val="21"/>
          <w:highlight w:val="none"/>
        </w:rPr>
        <w:t>7</w:t>
      </w:r>
      <w:r>
        <w:rPr>
          <w:rFonts w:ascii="宋体" w:hAnsi="宋体" w:cs="宋体"/>
          <w:bCs/>
          <w:color w:val="auto"/>
          <w:szCs w:val="21"/>
          <w:highlight w:val="none"/>
        </w:rPr>
        <w:t>个</w:t>
      </w:r>
      <w:r>
        <w:rPr>
          <w:rFonts w:hint="eastAsia" w:ascii="宋体" w:hAnsi="宋体" w:cs="宋体"/>
          <w:bCs/>
          <w:color w:val="auto"/>
          <w:szCs w:val="21"/>
          <w:highlight w:val="none"/>
        </w:rPr>
        <w:t>工作日</w:t>
      </w:r>
      <w:r>
        <w:rPr>
          <w:rFonts w:ascii="宋体" w:hAnsi="宋体" w:cs="宋体"/>
          <w:bCs/>
          <w:color w:val="auto"/>
          <w:szCs w:val="21"/>
          <w:highlight w:val="none"/>
        </w:rPr>
        <w:t>内支付</w:t>
      </w:r>
      <w:r>
        <w:rPr>
          <w:rFonts w:hint="eastAsia" w:ascii="宋体" w:hAnsi="宋体" w:cs="宋体"/>
          <w:bCs/>
          <w:color w:val="auto"/>
          <w:szCs w:val="21"/>
          <w:highlight w:val="none"/>
        </w:rPr>
        <w:t>乙方</w:t>
      </w:r>
      <w:r>
        <w:rPr>
          <w:rFonts w:ascii="宋体" w:hAnsi="宋体" w:cs="宋体"/>
          <w:bCs/>
          <w:color w:val="auto"/>
          <w:szCs w:val="21"/>
          <w:highlight w:val="none"/>
        </w:rPr>
        <w:t>剩余合同总价的10%，同时无息返还履约保证金。</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3．甲方增值税专用发票信息：</w:t>
      </w:r>
    </w:p>
    <w:p>
      <w:pPr>
        <w:tabs>
          <w:tab w:val="left" w:pos="4320"/>
        </w:tabs>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名称：北京航空航天大学宁波创新研究院</w:t>
      </w:r>
    </w:p>
    <w:p>
      <w:pPr>
        <w:tabs>
          <w:tab w:val="left" w:pos="4320"/>
        </w:tabs>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纳税人识别号：</w:t>
      </w:r>
    </w:p>
    <w:p>
      <w:pPr>
        <w:tabs>
          <w:tab w:val="left" w:pos="4320"/>
        </w:tabs>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开户银行及账号：</w:t>
      </w:r>
    </w:p>
    <w:p>
      <w:pPr>
        <w:tabs>
          <w:tab w:val="left" w:pos="4320"/>
        </w:tabs>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 xml:space="preserve">地址： </w:t>
      </w:r>
      <w:r>
        <w:rPr>
          <w:rFonts w:ascii="宋体" w:hAnsi="宋体" w:cs="仿宋"/>
          <w:color w:val="auto"/>
          <w:szCs w:val="21"/>
          <w:highlight w:val="none"/>
        </w:rPr>
        <w:t xml:space="preserve">                  </w:t>
      </w:r>
      <w:r>
        <w:rPr>
          <w:rFonts w:hint="eastAsia" w:ascii="宋体" w:hAnsi="宋体" w:cs="仿宋"/>
          <w:color w:val="auto"/>
          <w:szCs w:val="21"/>
          <w:highlight w:val="none"/>
        </w:rPr>
        <w:t>，电话</w:t>
      </w:r>
    </w:p>
    <w:p>
      <w:pPr>
        <w:tabs>
          <w:tab w:val="left" w:pos="4320"/>
        </w:tabs>
        <w:spacing w:line="360" w:lineRule="auto"/>
        <w:rPr>
          <w:rFonts w:ascii="宋体" w:hAnsi="宋体" w:cs="仿宋"/>
          <w:color w:val="auto"/>
          <w:szCs w:val="21"/>
          <w:highlight w:val="none"/>
        </w:rPr>
      </w:pPr>
      <w:r>
        <w:rPr>
          <w:rFonts w:hint="eastAsia" w:ascii="宋体" w:hAnsi="宋体" w:cs="仿宋"/>
          <w:color w:val="auto"/>
          <w:szCs w:val="21"/>
          <w:highlight w:val="none"/>
        </w:rPr>
        <w:t>4．以上款项由甲方汇入乙方指定的如下帐户内：</w:t>
      </w:r>
    </w:p>
    <w:p>
      <w:pPr>
        <w:spacing w:before="120" w:beforeLines="50" w:after="120" w:afterLines="50"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户    名：</w:t>
      </w:r>
    </w:p>
    <w:p>
      <w:pPr>
        <w:spacing w:before="120" w:beforeLines="50" w:after="120" w:afterLines="50"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帐    号：</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开户银行：</w:t>
      </w:r>
    </w:p>
    <w:p>
      <w:pPr>
        <w:spacing w:line="360" w:lineRule="auto"/>
        <w:rPr>
          <w:rFonts w:ascii="宋体" w:hAnsi="宋体" w:cs="仿宋"/>
          <w:color w:val="auto"/>
          <w:szCs w:val="21"/>
          <w:highlight w:val="none"/>
        </w:rPr>
      </w:pPr>
      <w:r>
        <w:rPr>
          <w:rFonts w:hint="eastAsia" w:ascii="宋体" w:hAnsi="宋体" w:cs="仿宋"/>
          <w:color w:val="auto"/>
          <w:szCs w:val="21"/>
          <w:highlight w:val="none"/>
        </w:rPr>
        <w:t>三、设备交货时间及地点</w:t>
      </w:r>
    </w:p>
    <w:p>
      <w:pPr>
        <w:numPr>
          <w:ilvl w:val="0"/>
          <w:numId w:val="14"/>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乙方应当于合同签订之日起</w:t>
      </w:r>
      <w:r>
        <w:rPr>
          <w:rFonts w:ascii="宋体" w:hAnsi="宋体" w:cs="仿宋"/>
          <w:color w:val="auto"/>
          <w:szCs w:val="21"/>
          <w:highlight w:val="none"/>
          <w:u w:val="single"/>
        </w:rPr>
        <w:t xml:space="preserve">   </w:t>
      </w:r>
      <w:r>
        <w:rPr>
          <w:rFonts w:hint="eastAsia" w:ascii="宋体" w:hAnsi="宋体" w:cs="仿宋"/>
          <w:color w:val="auto"/>
          <w:szCs w:val="21"/>
          <w:highlight w:val="none"/>
        </w:rPr>
        <w:t>日内将货物交付甲方，乙方必须同时向甲方提供产品说明书、产品合格证、质量保证书、保修卡、软件光盘等必须具备的相关资料和附件。</w:t>
      </w:r>
    </w:p>
    <w:p>
      <w:pPr>
        <w:numPr>
          <w:ilvl w:val="0"/>
          <w:numId w:val="14"/>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乙方负责对设备进行坚固的包装，以防止设备在运输中发生损坏。</w:t>
      </w:r>
    </w:p>
    <w:p>
      <w:pPr>
        <w:numPr>
          <w:ilvl w:val="0"/>
          <w:numId w:val="14"/>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乙方应当于设备运至甲方指定地点后</w:t>
      </w:r>
      <w:r>
        <w:rPr>
          <w:rFonts w:ascii="宋体" w:hAnsi="宋体" w:cs="仿宋"/>
          <w:color w:val="auto"/>
          <w:szCs w:val="21"/>
          <w:highlight w:val="none"/>
          <w:u w:val="single"/>
        </w:rPr>
        <w:t xml:space="preserve">   </w:t>
      </w:r>
      <w:r>
        <w:rPr>
          <w:rFonts w:hint="eastAsia" w:ascii="宋体" w:hAnsi="宋体" w:cs="仿宋"/>
          <w:color w:val="auto"/>
          <w:szCs w:val="21"/>
          <w:highlight w:val="none"/>
        </w:rPr>
        <w:t>个工作日内免费安装完毕。</w:t>
      </w:r>
    </w:p>
    <w:p>
      <w:pPr>
        <w:pStyle w:val="16"/>
        <w:numPr>
          <w:ilvl w:val="0"/>
          <w:numId w:val="14"/>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若甲方原因影响进度，则乙方的到货交付日期顺延。</w:t>
      </w:r>
    </w:p>
    <w:p>
      <w:pPr>
        <w:pStyle w:val="16"/>
        <w:numPr>
          <w:ilvl w:val="0"/>
          <w:numId w:val="14"/>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若因火灾、水灾、台风、地震等及双方同意的其它不可抗力因素影响进度，则乙方的到货交付日期顺延。</w:t>
      </w:r>
    </w:p>
    <w:p>
      <w:pPr>
        <w:numPr>
          <w:ilvl w:val="0"/>
          <w:numId w:val="14"/>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交货地点为甲方指定地点：</w:t>
      </w:r>
      <w:r>
        <w:rPr>
          <w:rFonts w:ascii="宋体" w:hAnsi="宋体" w:cs="仿宋"/>
          <w:color w:val="auto"/>
          <w:szCs w:val="21"/>
          <w:highlight w:val="none"/>
          <w:u w:val="single"/>
        </w:rPr>
        <w:t xml:space="preserve">                                </w:t>
      </w:r>
      <w:r>
        <w:rPr>
          <w:rFonts w:hint="eastAsia" w:ascii="宋体" w:hAnsi="宋体" w:cs="仿宋"/>
          <w:color w:val="auto"/>
          <w:szCs w:val="21"/>
          <w:highlight w:val="none"/>
        </w:rPr>
        <w:t>。</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四、双方的义务</w:t>
      </w:r>
    </w:p>
    <w:p>
      <w:pPr>
        <w:spacing w:line="360" w:lineRule="auto"/>
        <w:rPr>
          <w:rFonts w:ascii="宋体" w:hAnsi="宋体" w:cs="仿宋"/>
          <w:color w:val="auto"/>
          <w:szCs w:val="21"/>
          <w:highlight w:val="none"/>
        </w:rPr>
      </w:pPr>
      <w:r>
        <w:rPr>
          <w:rFonts w:hint="eastAsia" w:ascii="宋体" w:hAnsi="宋体" w:cs="仿宋"/>
          <w:color w:val="auto"/>
          <w:szCs w:val="21"/>
          <w:highlight w:val="none"/>
        </w:rPr>
        <w:t>甲方义务</w:t>
      </w:r>
    </w:p>
    <w:p>
      <w:pPr>
        <w:numPr>
          <w:ilvl w:val="0"/>
          <w:numId w:val="15"/>
        </w:numPr>
        <w:tabs>
          <w:tab w:val="left" w:pos="142"/>
          <w:tab w:val="left" w:pos="426"/>
        </w:tabs>
        <w:spacing w:line="360" w:lineRule="auto"/>
        <w:rPr>
          <w:rFonts w:ascii="宋体" w:hAnsi="宋体" w:cs="仿宋"/>
          <w:color w:val="auto"/>
          <w:szCs w:val="21"/>
          <w:highlight w:val="none"/>
        </w:rPr>
      </w:pPr>
      <w:r>
        <w:rPr>
          <w:rFonts w:hint="eastAsia" w:ascii="宋体" w:hAnsi="宋体" w:cs="仿宋"/>
          <w:color w:val="auto"/>
          <w:szCs w:val="21"/>
          <w:highlight w:val="none"/>
        </w:rPr>
        <w:t>甲方应当配合乙方在设备安装过程提供衔接事务，提供符合设备正常使用的场地和环境。</w:t>
      </w:r>
    </w:p>
    <w:p>
      <w:pPr>
        <w:numPr>
          <w:ilvl w:val="0"/>
          <w:numId w:val="15"/>
        </w:numPr>
        <w:tabs>
          <w:tab w:val="left" w:pos="142"/>
          <w:tab w:val="left" w:pos="426"/>
        </w:tabs>
        <w:spacing w:line="360" w:lineRule="auto"/>
        <w:rPr>
          <w:rFonts w:ascii="宋体" w:hAnsi="宋体" w:cs="仿宋"/>
          <w:color w:val="auto"/>
          <w:szCs w:val="21"/>
          <w:highlight w:val="none"/>
        </w:rPr>
      </w:pPr>
      <w:r>
        <w:rPr>
          <w:rFonts w:hint="eastAsia" w:ascii="宋体" w:hAnsi="宋体" w:cs="仿宋"/>
          <w:color w:val="auto"/>
          <w:szCs w:val="21"/>
          <w:highlight w:val="none"/>
        </w:rPr>
        <w:t>甲方应当按合同约定组织办理验收和款项支付。</w:t>
      </w:r>
    </w:p>
    <w:p>
      <w:pPr>
        <w:pStyle w:val="27"/>
        <w:spacing w:line="360" w:lineRule="auto"/>
        <w:jc w:val="both"/>
        <w:rPr>
          <w:rFonts w:ascii="宋体" w:hAnsi="宋体" w:cs="仿宋"/>
          <w:color w:val="auto"/>
          <w:sz w:val="21"/>
          <w:szCs w:val="21"/>
          <w:highlight w:val="none"/>
        </w:rPr>
      </w:pPr>
      <w:r>
        <w:rPr>
          <w:rFonts w:hint="eastAsia" w:ascii="宋体" w:hAnsi="宋体" w:cs="仿宋"/>
          <w:color w:val="auto"/>
          <w:sz w:val="21"/>
          <w:szCs w:val="21"/>
          <w:highlight w:val="none"/>
        </w:rPr>
        <w:t>乙方义务</w:t>
      </w:r>
    </w:p>
    <w:p>
      <w:pPr>
        <w:pStyle w:val="27"/>
        <w:numPr>
          <w:ilvl w:val="0"/>
          <w:numId w:val="16"/>
        </w:numPr>
        <w:tabs>
          <w:tab w:val="left" w:pos="426"/>
        </w:tabs>
        <w:spacing w:line="360" w:lineRule="auto"/>
        <w:rPr>
          <w:rFonts w:ascii="宋体" w:hAnsi="宋体" w:cs="仿宋"/>
          <w:color w:val="auto"/>
          <w:sz w:val="21"/>
          <w:szCs w:val="21"/>
          <w:highlight w:val="none"/>
        </w:rPr>
      </w:pPr>
      <w:r>
        <w:rPr>
          <w:rFonts w:hint="eastAsia" w:ascii="宋体" w:hAnsi="宋体" w:cs="仿宋"/>
          <w:color w:val="auto"/>
          <w:sz w:val="21"/>
          <w:szCs w:val="21"/>
          <w:highlight w:val="none"/>
        </w:rPr>
        <w:t>负责设备的运输、保险、安装、调试、培训、保修服务及相应费用等。</w:t>
      </w:r>
    </w:p>
    <w:p>
      <w:pPr>
        <w:pStyle w:val="27"/>
        <w:numPr>
          <w:ilvl w:val="0"/>
          <w:numId w:val="16"/>
        </w:numPr>
        <w:tabs>
          <w:tab w:val="left" w:pos="426"/>
        </w:tabs>
        <w:spacing w:line="360" w:lineRule="auto"/>
        <w:rPr>
          <w:rFonts w:ascii="宋体" w:hAnsi="宋体" w:cs="仿宋"/>
          <w:color w:val="auto"/>
          <w:sz w:val="21"/>
          <w:szCs w:val="21"/>
          <w:highlight w:val="none"/>
        </w:rPr>
      </w:pPr>
      <w:r>
        <w:rPr>
          <w:rFonts w:hint="eastAsia" w:ascii="宋体" w:hAnsi="宋体" w:cs="仿宋"/>
          <w:color w:val="auto"/>
          <w:sz w:val="21"/>
          <w:szCs w:val="21"/>
          <w:highlight w:val="none"/>
        </w:rPr>
        <w:t>选派合格的技术人员负责本项目的安装调试。</w:t>
      </w:r>
    </w:p>
    <w:p>
      <w:pPr>
        <w:pStyle w:val="27"/>
        <w:spacing w:line="360" w:lineRule="auto"/>
        <w:jc w:val="both"/>
        <w:rPr>
          <w:rFonts w:ascii="宋体" w:hAnsi="宋体" w:cs="仿宋"/>
          <w:color w:val="auto"/>
          <w:sz w:val="21"/>
          <w:szCs w:val="21"/>
          <w:highlight w:val="none"/>
        </w:rPr>
      </w:pPr>
      <w:r>
        <w:rPr>
          <w:rFonts w:hint="eastAsia" w:ascii="宋体" w:hAnsi="宋体" w:cs="仿宋"/>
          <w:color w:val="auto"/>
          <w:sz w:val="21"/>
          <w:szCs w:val="21"/>
          <w:highlight w:val="none"/>
        </w:rPr>
        <w:t>五、售后服务</w:t>
      </w:r>
    </w:p>
    <w:p>
      <w:pPr>
        <w:numPr>
          <w:ilvl w:val="0"/>
          <w:numId w:val="17"/>
        </w:numPr>
        <w:spacing w:line="360" w:lineRule="auto"/>
        <w:ind w:left="0" w:firstLine="0"/>
        <w:jc w:val="left"/>
        <w:rPr>
          <w:rFonts w:ascii="宋体" w:hAnsi="宋体" w:cs="仿宋"/>
          <w:color w:val="auto"/>
          <w:szCs w:val="21"/>
          <w:highlight w:val="none"/>
          <w:u w:val="single"/>
        </w:rPr>
      </w:pPr>
      <w:r>
        <w:rPr>
          <w:rFonts w:hint="eastAsia" w:ascii="宋体" w:hAnsi="宋体" w:cs="仿宋"/>
          <w:color w:val="auto"/>
          <w:szCs w:val="21"/>
          <w:highlight w:val="none"/>
        </w:rPr>
        <w:t>乙方保证对所提供的产品实行</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年免费保修（免费上门服务），设备附带的软件</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年内免费升级，维修响应时间为接到 甲方保修电话后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小时到现场解决。乙方在接到甲方通知后，未及时派员维修的，甲方有权自行委托第三方进行维修并从履约保证金中扣除所产生的相关费用。</w:t>
      </w:r>
    </w:p>
    <w:p>
      <w:pPr>
        <w:numPr>
          <w:ilvl w:val="0"/>
          <w:numId w:val="17"/>
        </w:numPr>
        <w:spacing w:line="360" w:lineRule="auto"/>
        <w:ind w:left="0" w:firstLine="0"/>
        <w:rPr>
          <w:rFonts w:ascii="宋体" w:hAnsi="宋体" w:cs="仿宋"/>
          <w:color w:val="auto"/>
          <w:szCs w:val="21"/>
          <w:highlight w:val="none"/>
          <w:u w:val="single"/>
        </w:rPr>
      </w:pPr>
      <w:r>
        <w:rPr>
          <w:rFonts w:hint="eastAsia" w:ascii="宋体" w:hAnsi="宋体" w:cs="仿宋"/>
          <w:color w:val="auto"/>
          <w:szCs w:val="21"/>
          <w:highlight w:val="none"/>
        </w:rPr>
        <w:t>保修期从最终验收合格之日算起，乙方提供的货物在保修期内因货物、软件本身的质量问题发生故障，乙方应负责免费更换。</w:t>
      </w:r>
      <w:r>
        <w:rPr>
          <w:rFonts w:ascii="宋体" w:hAnsi="宋体"/>
          <w:color w:val="auto"/>
          <w:szCs w:val="21"/>
          <w:highlight w:val="none"/>
        </w:rPr>
        <w:t>对达不到技术要求者，</w:t>
      </w:r>
      <w:r>
        <w:rPr>
          <w:rFonts w:hint="eastAsia" w:ascii="宋体" w:hAnsi="宋体" w:cs="仿宋"/>
          <w:color w:val="auto"/>
          <w:szCs w:val="21"/>
          <w:highlight w:val="none"/>
        </w:rPr>
        <w:t>根据实际情况，经双方协商，可按以下办法处理：</w:t>
      </w:r>
    </w:p>
    <w:p>
      <w:pPr>
        <w:spacing w:line="360" w:lineRule="auto"/>
        <w:ind w:firstLine="420" w:firstLineChars="200"/>
        <w:rPr>
          <w:rFonts w:ascii="宋体" w:hAnsi="宋体" w:cs="仿宋"/>
          <w:color w:val="auto"/>
          <w:szCs w:val="21"/>
          <w:highlight w:val="none"/>
          <w:u w:val="single"/>
        </w:rPr>
      </w:pPr>
      <w:r>
        <w:rPr>
          <w:rFonts w:hint="eastAsia" w:ascii="宋体" w:hAnsi="宋体" w:cs="仿宋"/>
          <w:color w:val="auto"/>
          <w:szCs w:val="21"/>
          <w:highlight w:val="none"/>
        </w:rPr>
        <w:t>（1）更换：由乙方承担所发生的全部费用。</w:t>
      </w:r>
    </w:p>
    <w:p>
      <w:pPr>
        <w:spacing w:line="360" w:lineRule="auto"/>
        <w:ind w:firstLine="411" w:firstLineChars="196"/>
        <w:rPr>
          <w:rFonts w:ascii="宋体" w:hAnsi="宋体" w:cs="仿宋"/>
          <w:color w:val="auto"/>
          <w:szCs w:val="21"/>
          <w:highlight w:val="none"/>
        </w:rPr>
      </w:pPr>
      <w:r>
        <w:rPr>
          <w:rFonts w:hint="eastAsia" w:ascii="宋体" w:hAnsi="宋体" w:cs="仿宋"/>
          <w:color w:val="auto"/>
          <w:szCs w:val="21"/>
          <w:highlight w:val="none"/>
        </w:rPr>
        <w:t>（2）贬值处理：由甲乙双方协商定价。</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（3）退货处理：乙方应退还甲方支付的全部合同款并赔偿甲方由此造成的全部损失，同时应承担该货物的直接费用（运输、保险、检验、全部合同款的利息损失及银行手续费等）。</w:t>
      </w:r>
    </w:p>
    <w:p>
      <w:pPr>
        <w:numPr>
          <w:ilvl w:val="0"/>
          <w:numId w:val="17"/>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保修期过后由乙方提供维修服务。双方可另行签订维修服务合同，如招标文件对维修费用有约定，则应当以招标文件约定为准。</w:t>
      </w:r>
    </w:p>
    <w:p>
      <w:pPr>
        <w:numPr>
          <w:ilvl w:val="0"/>
          <w:numId w:val="17"/>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乙方应当承担因设备故障原因造成的甲方财产损失、人员伤亡等赔偿责任。</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六、设备验收及风险转移</w:t>
      </w:r>
    </w:p>
    <w:p>
      <w:pPr>
        <w:numPr>
          <w:ilvl w:val="0"/>
          <w:numId w:val="18"/>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 xml:space="preserve">验收标准：按下列第( )项执行： </w:t>
      </w:r>
      <w:r>
        <w:rPr>
          <w:rFonts w:hint="eastAsia" w:ascii="宋体" w:hAnsi="宋体" w:cs="仿宋"/>
          <w:color w:val="auto"/>
          <w:szCs w:val="21"/>
          <w:highlight w:val="none"/>
        </w:rPr>
        <w:br w:type="textWrapping"/>
      </w:r>
      <w:r>
        <w:rPr>
          <w:rFonts w:hint="eastAsia" w:ascii="宋体" w:hAnsi="宋体" w:cs="仿宋"/>
          <w:color w:val="auto"/>
          <w:szCs w:val="21"/>
          <w:highlight w:val="none"/>
        </w:rPr>
        <w:t xml:space="preserve"> (1) 按照</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 xml:space="preserve">标准执行(须注明按国家标准或部颁或企业具体标准，如标准代号、编号和标准名称等)。 </w:t>
      </w:r>
      <w:r>
        <w:rPr>
          <w:rFonts w:hint="eastAsia" w:ascii="宋体" w:hAnsi="宋体" w:cs="仿宋"/>
          <w:color w:val="auto"/>
          <w:szCs w:val="21"/>
          <w:highlight w:val="none"/>
        </w:rPr>
        <w:br w:type="textWrapping"/>
      </w:r>
      <w:r>
        <w:rPr>
          <w:rFonts w:hint="eastAsia" w:ascii="宋体" w:hAnsi="宋体" w:cs="仿宋"/>
          <w:color w:val="auto"/>
          <w:szCs w:val="21"/>
          <w:highlight w:val="none"/>
        </w:rPr>
        <w:t xml:space="preserve"> (2) 按样本，样本作为合同的附件（应注明样本封存及保管方式）。 </w:t>
      </w:r>
      <w:r>
        <w:rPr>
          <w:rFonts w:hint="eastAsia" w:ascii="宋体" w:hAnsi="宋体" w:cs="仿宋"/>
          <w:color w:val="auto"/>
          <w:szCs w:val="21"/>
          <w:highlight w:val="none"/>
        </w:rPr>
        <w:br w:type="textWrapping"/>
      </w:r>
      <w:r>
        <w:rPr>
          <w:rFonts w:hint="eastAsia" w:ascii="宋体" w:hAnsi="宋体" w:cs="仿宋"/>
          <w:color w:val="auto"/>
          <w:szCs w:val="21"/>
          <w:highlight w:val="none"/>
        </w:rPr>
        <w:t xml:space="preserve"> (3) 按双方商定要求执行，具体为：</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 xml:space="preserve">（应具体约定产品质量要求）。 </w:t>
      </w:r>
    </w:p>
    <w:p>
      <w:pPr>
        <w:numPr>
          <w:ilvl w:val="0"/>
          <w:numId w:val="18"/>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由于设备不符合合同约定的标准或国家标准、行业标准，甲方拒绝受领的，设备的风险仍由乙方承担。</w:t>
      </w:r>
    </w:p>
    <w:p>
      <w:pPr>
        <w:numPr>
          <w:ilvl w:val="0"/>
          <w:numId w:val="18"/>
        </w:numPr>
        <w:tabs>
          <w:tab w:val="left" w:pos="426"/>
        </w:tabs>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开箱验收：由双方共同对设备进行开箱清点，乙方不得事先拆封原厂商包装，否则甲方可拒绝接收设备且可以单方通知乙方解除合同，由此而产生的后果由乙方负责。</w:t>
      </w:r>
    </w:p>
    <w:p>
      <w:pPr>
        <w:numPr>
          <w:ilvl w:val="0"/>
          <w:numId w:val="18"/>
        </w:numPr>
        <w:tabs>
          <w:tab w:val="left" w:pos="426"/>
        </w:tabs>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甲方在验收中如发现货物的品种、型号、规格、花色和质量不合规定或约定，应在妥为保管货物的同时，自收到货物后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日内向乙方提出书面异议。</w:t>
      </w:r>
    </w:p>
    <w:p>
      <w:pPr>
        <w:numPr>
          <w:ilvl w:val="0"/>
          <w:numId w:val="18"/>
        </w:numPr>
        <w:tabs>
          <w:tab w:val="left" w:pos="426"/>
        </w:tabs>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乙方在接到甲方书面异议后，应在</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 xml:space="preserve">日内负责处理并通知甲方处理情况，否则，即视为默认甲方提出的异议和处理意见。 </w:t>
      </w:r>
    </w:p>
    <w:p>
      <w:pPr>
        <w:numPr>
          <w:ilvl w:val="0"/>
          <w:numId w:val="18"/>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风险转移：乙方需对所有设备购买保险，设备在乙方送货前毁损、灭失的风险由乙方承担；在乙方送货后因乙方或乙方设备的自身原因造成的毁损、灭失的风险由乙方承担，因甲方人为破坏造成的毁损、灭失的风险由甲方承担。乙方应当在送货前告知甲方关于设备的存放条件及保管要求，因乙方未告知情况下造成的设备毁损、灭失，该风险也由乙方承担。</w:t>
      </w:r>
    </w:p>
    <w:p>
      <w:pPr>
        <w:spacing w:line="360" w:lineRule="auto"/>
        <w:rPr>
          <w:rFonts w:ascii="宋体" w:hAnsi="宋体" w:cs="仿宋"/>
          <w:bCs/>
          <w:color w:val="auto"/>
          <w:szCs w:val="21"/>
          <w:highlight w:val="none"/>
        </w:rPr>
      </w:pPr>
      <w:r>
        <w:rPr>
          <w:rFonts w:hint="eastAsia" w:ascii="宋体" w:hAnsi="宋体" w:cs="仿宋"/>
          <w:bCs/>
          <w:color w:val="auto"/>
          <w:szCs w:val="21"/>
          <w:highlight w:val="none"/>
        </w:rPr>
        <w:t>七、设备的安装调试</w:t>
      </w:r>
    </w:p>
    <w:p>
      <w:pPr>
        <w:numPr>
          <w:ilvl w:val="0"/>
          <w:numId w:val="19"/>
        </w:numPr>
        <w:spacing w:line="360" w:lineRule="auto"/>
        <w:rPr>
          <w:rFonts w:ascii="宋体" w:hAnsi="宋体" w:cs="仿宋"/>
          <w:color w:val="auto"/>
          <w:szCs w:val="21"/>
          <w:highlight w:val="none"/>
        </w:rPr>
      </w:pPr>
      <w:r>
        <w:rPr>
          <w:rFonts w:hint="eastAsia" w:ascii="宋体" w:hAnsi="宋体" w:cs="仿宋"/>
          <w:color w:val="auto"/>
          <w:szCs w:val="21"/>
          <w:highlight w:val="none"/>
        </w:rPr>
        <w:t>乙方在设备开箱验收合格后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日内完成设备的安装调试。</w:t>
      </w:r>
    </w:p>
    <w:p>
      <w:pPr>
        <w:numPr>
          <w:ilvl w:val="0"/>
          <w:numId w:val="19"/>
        </w:numPr>
        <w:spacing w:line="360" w:lineRule="auto"/>
        <w:rPr>
          <w:rFonts w:ascii="宋体" w:hAnsi="宋体" w:cs="仿宋"/>
          <w:color w:val="auto"/>
          <w:szCs w:val="21"/>
          <w:highlight w:val="none"/>
        </w:rPr>
      </w:pPr>
      <w:r>
        <w:rPr>
          <w:rFonts w:hint="eastAsia" w:ascii="宋体" w:hAnsi="宋体" w:cs="仿宋"/>
          <w:color w:val="auto"/>
          <w:szCs w:val="21"/>
          <w:highlight w:val="none"/>
        </w:rPr>
        <w:t>乙方完成安装调试后，应通知甲方进行安装调试后的验收。</w:t>
      </w:r>
    </w:p>
    <w:p>
      <w:pPr>
        <w:numPr>
          <w:ilvl w:val="0"/>
          <w:numId w:val="19"/>
        </w:numPr>
        <w:spacing w:line="360" w:lineRule="auto"/>
        <w:rPr>
          <w:rFonts w:ascii="宋体" w:hAnsi="宋体" w:cs="仿宋"/>
          <w:color w:val="auto"/>
          <w:szCs w:val="21"/>
          <w:highlight w:val="none"/>
        </w:rPr>
      </w:pPr>
      <w:r>
        <w:rPr>
          <w:rFonts w:hint="eastAsia" w:ascii="宋体" w:hAnsi="宋体" w:cs="仿宋"/>
          <w:color w:val="auto"/>
          <w:szCs w:val="21"/>
          <w:highlight w:val="none"/>
        </w:rPr>
        <w:t>设备功能验收</w:t>
      </w:r>
    </w:p>
    <w:p>
      <w:pPr>
        <w:tabs>
          <w:tab w:val="left" w:pos="426"/>
        </w:tabs>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（1）甲方应在乙方完成安装调试后的进行验收，如验收不合格，乙方须重新进行安装调试，经甲方两次验收仍不合格的，甲方有权单方解除本合同，并按照本合同第八条的约定追究乙方的违约责任。</w:t>
      </w:r>
    </w:p>
    <w:p>
      <w:pPr>
        <w:tabs>
          <w:tab w:val="left" w:pos="426"/>
        </w:tabs>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（2）功能验收合格后，应由甲方在《采购项目验收单》上签字盖章确认。《采购项目验收单》一式贰份，甲乙双方各执壹份，具有同等法律效力。</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八、违约责任</w:t>
      </w:r>
    </w:p>
    <w:p>
      <w:pPr>
        <w:numPr>
          <w:ilvl w:val="0"/>
          <w:numId w:val="20"/>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且可以单方通知乙方解除合同，乙方需自行承担由此而产生的一切后果；延迟付款，甲方应付给乙方每星期按合同总价0.5%的违约金，此项违约金总额不超过全部合同总价的5%。</w:t>
      </w:r>
    </w:p>
    <w:p>
      <w:pPr>
        <w:numPr>
          <w:ilvl w:val="0"/>
          <w:numId w:val="20"/>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违约金应在守约方发出书面违约通知之日起十个工作日内完成支付，因违约方违约行为给守约方造成损失的，违约方还需承担全部赔偿责任，守约方为维护权益，向违约方主张权利的一切费用（包括但不限于律师费、诉讼费、保全费、交通费、差旅费、鉴定费等等）均由违约方承担。</w:t>
      </w:r>
    </w:p>
    <w:p>
      <w:pPr>
        <w:spacing w:line="360" w:lineRule="auto"/>
        <w:rPr>
          <w:rFonts w:ascii="宋体" w:hAnsi="宋体" w:cs="仿宋"/>
          <w:color w:val="auto"/>
          <w:szCs w:val="21"/>
          <w:highlight w:val="none"/>
        </w:rPr>
      </w:pPr>
      <w:r>
        <w:rPr>
          <w:rFonts w:hint="eastAsia" w:ascii="宋体" w:hAnsi="宋体" w:cs="仿宋"/>
          <w:color w:val="auto"/>
          <w:szCs w:val="21"/>
          <w:highlight w:val="none"/>
        </w:rPr>
        <w:t>九、争议的解决</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因执行本合同所发生的或与本合同有关的一切争议，甲乙双方应通过友好协商解决。如经协商仍不能解决争议时，可向甲方所在地人民法院提起诉讼。</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十、通讯地址</w:t>
      </w:r>
    </w:p>
    <w:p>
      <w:pPr>
        <w:numPr>
          <w:ilvl w:val="0"/>
          <w:numId w:val="21"/>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甲方与乙方就合同中涉及各类通知、协议等文件以及就合同发生纠纷时相关文件和法律文书送达时的送达地址及法律后果作如下约定：</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甲方确认其有效的送达地址为：浙江省宁波市梅山保税港区三创基地七号楼</w:t>
      </w:r>
    </w:p>
    <w:p>
      <w:pPr>
        <w:spacing w:line="360" w:lineRule="auto"/>
        <w:ind w:firstLine="420" w:firstLineChars="200"/>
        <w:rPr>
          <w:rFonts w:ascii="宋体" w:hAnsi="宋体" w:cs="仿宋"/>
          <w:color w:val="auto"/>
          <w:szCs w:val="21"/>
          <w:highlight w:val="none"/>
          <w:u w:val="single"/>
        </w:rPr>
      </w:pPr>
      <w:r>
        <w:rPr>
          <w:rFonts w:hint="eastAsia" w:ascii="宋体" w:hAnsi="宋体" w:cs="仿宋"/>
          <w:color w:val="auto"/>
          <w:szCs w:val="21"/>
          <w:highlight w:val="none"/>
        </w:rPr>
        <w:t>乙方确认其有效的送达地址为：</w:t>
      </w:r>
    </w:p>
    <w:p>
      <w:pPr>
        <w:numPr>
          <w:ilvl w:val="0"/>
          <w:numId w:val="21"/>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甲方或乙方未按前述方式履行通知义务，双方所确认的送达地址仍视为有效送达地址，因当事人提供或确认的送达地址不准确、送达地址变更后未及时依程序告知对方和法院、当事人或指定的接收人拒绝签收等原因，导致法律文书未能被当事人实际接收的，邮寄送达，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spacing w:line="360" w:lineRule="auto"/>
        <w:rPr>
          <w:rFonts w:ascii="宋体" w:hAnsi="宋体" w:cs="仿宋"/>
          <w:bCs/>
          <w:color w:val="auto"/>
          <w:szCs w:val="21"/>
          <w:highlight w:val="none"/>
        </w:rPr>
      </w:pPr>
      <w:r>
        <w:rPr>
          <w:rFonts w:hint="eastAsia" w:ascii="宋体" w:hAnsi="宋体" w:cs="仿宋"/>
          <w:bCs/>
          <w:color w:val="auto"/>
          <w:szCs w:val="21"/>
          <w:highlight w:val="none"/>
        </w:rPr>
        <w:t>十一、知识产权</w:t>
      </w:r>
      <w:r>
        <w:rPr>
          <w:rFonts w:hint="eastAsia" w:ascii="宋体" w:hAnsi="宋体" w:cs="仿宋"/>
          <w:color w:val="auto"/>
          <w:szCs w:val="21"/>
          <w:highlight w:val="none"/>
        </w:rPr>
        <w:t>保护</w:t>
      </w:r>
    </w:p>
    <w:p>
      <w:pPr>
        <w:numPr>
          <w:ilvl w:val="0"/>
          <w:numId w:val="22"/>
        </w:numPr>
        <w:spacing w:line="360" w:lineRule="auto"/>
        <w:rPr>
          <w:rFonts w:ascii="宋体" w:hAnsi="宋体" w:cs="仿宋"/>
          <w:color w:val="auto"/>
          <w:szCs w:val="21"/>
          <w:highlight w:val="none"/>
        </w:rPr>
      </w:pPr>
      <w:r>
        <w:rPr>
          <w:rFonts w:hint="eastAsia" w:ascii="宋体" w:hAnsi="宋体" w:cs="仿宋"/>
          <w:color w:val="auto"/>
          <w:szCs w:val="21"/>
          <w:highlight w:val="none"/>
        </w:rPr>
        <w:t>乙方承诺出售给甲方的设备不会侵犯任何第三方的合同知识产权或其他权益。</w:t>
      </w:r>
    </w:p>
    <w:p>
      <w:pPr>
        <w:numPr>
          <w:ilvl w:val="0"/>
          <w:numId w:val="22"/>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本合同履行过程中及设备使用过程中，如发生第三方主张甲方侵权，乙方须负责与第三方交涉，承担全部责任，并赔偿由此给甲方造成的一切损失，应承担的损失包括但不限于：生效判决书、仲裁书、调解书中所确定的赔偿金额、和解协议确定的赔偿金额、诉讼费或仲裁费与诉讼或仲裁相关的费用、律师费、差旅费、公证费。</w:t>
      </w:r>
    </w:p>
    <w:p>
      <w:pPr>
        <w:numPr>
          <w:ilvl w:val="0"/>
          <w:numId w:val="22"/>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十二、附则</w:t>
      </w:r>
    </w:p>
    <w:p>
      <w:pPr>
        <w:numPr>
          <w:ilvl w:val="0"/>
          <w:numId w:val="23"/>
        </w:numPr>
        <w:spacing w:line="360" w:lineRule="auto"/>
        <w:rPr>
          <w:rFonts w:ascii="宋体" w:hAnsi="宋体" w:cs="仿宋"/>
          <w:color w:val="auto"/>
          <w:szCs w:val="21"/>
          <w:highlight w:val="none"/>
        </w:rPr>
      </w:pPr>
      <w:r>
        <w:rPr>
          <w:rFonts w:hint="eastAsia" w:ascii="宋体" w:hAnsi="宋体" w:cs="仿宋"/>
          <w:color w:val="auto"/>
          <w:szCs w:val="21"/>
          <w:highlight w:val="none"/>
        </w:rPr>
        <w:t>本合同一式陆份，甲方叁份，乙方贰份、招标代理机构壹份。</w:t>
      </w:r>
    </w:p>
    <w:p>
      <w:pPr>
        <w:numPr>
          <w:ilvl w:val="0"/>
          <w:numId w:val="23"/>
        </w:numPr>
        <w:spacing w:line="360" w:lineRule="auto"/>
        <w:ind w:left="0" w:firstLine="0"/>
        <w:rPr>
          <w:rFonts w:ascii="宋体" w:hAnsi="宋体" w:cs="仿宋"/>
          <w:color w:val="auto"/>
          <w:szCs w:val="21"/>
          <w:highlight w:val="none"/>
        </w:rPr>
      </w:pPr>
      <w:r>
        <w:rPr>
          <w:rFonts w:hint="eastAsia" w:ascii="宋体" w:hAnsi="宋体" w:cs="仿宋"/>
          <w:color w:val="auto"/>
          <w:szCs w:val="21"/>
          <w:highlight w:val="none"/>
        </w:rPr>
        <w:t>本合同由双方代表签字，加盖双方公章或合同章后生效，投标书及招标现场书面承诺作为合同附件具有同等法律效力。</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十三、其他约定</w:t>
      </w:r>
    </w:p>
    <w:p>
      <w:pPr>
        <w:spacing w:line="360" w:lineRule="auto"/>
        <w:ind w:left="816" w:leftChars="200" w:hanging="396" w:hangingChars="189"/>
        <w:rPr>
          <w:rFonts w:ascii="宋体" w:hAnsi="宋体" w:cs="仿宋"/>
          <w:color w:val="auto"/>
          <w:szCs w:val="21"/>
          <w:highlight w:val="none"/>
        </w:rPr>
      </w:pPr>
      <w:r>
        <w:rPr>
          <w:rFonts w:hint="eastAsia" w:ascii="宋体" w:hAnsi="宋体" w:cs="仿宋"/>
          <w:color w:val="auto"/>
          <w:szCs w:val="21"/>
          <w:highlight w:val="none"/>
        </w:rPr>
        <w:t>其他约定详见附件</w:t>
      </w:r>
      <w:r>
        <w:rPr>
          <w:rFonts w:hint="eastAsia" w:ascii="宋体" w:hAnsi="宋体" w:cs="仿宋"/>
          <w:color w:val="auto"/>
          <w:szCs w:val="21"/>
          <w:highlight w:val="none"/>
          <w:u w:val="single"/>
        </w:rPr>
        <w:t xml:space="preserve">    配置清单     </w:t>
      </w:r>
      <w:r>
        <w:rPr>
          <w:rFonts w:hint="eastAsia" w:ascii="宋体" w:hAnsi="宋体" w:cs="仿宋"/>
          <w:color w:val="auto"/>
          <w:szCs w:val="21"/>
          <w:highlight w:val="none"/>
        </w:rPr>
        <w:t>。</w:t>
      </w:r>
    </w:p>
    <w:p>
      <w:pPr>
        <w:spacing w:line="360" w:lineRule="auto"/>
        <w:rPr>
          <w:rFonts w:ascii="宋体" w:hAnsi="宋体" w:cs="仿宋"/>
          <w:color w:val="auto"/>
          <w:szCs w:val="21"/>
          <w:highlight w:val="none"/>
        </w:rPr>
      </w:pPr>
      <w:r>
        <w:rPr>
          <w:rFonts w:hint="eastAsia" w:ascii="宋体" w:hAnsi="宋体" w:cs="仿宋"/>
          <w:color w:val="auto"/>
          <w:szCs w:val="21"/>
          <w:highlight w:val="none"/>
        </w:rPr>
        <w:t>十四、本合同共有附件</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个，共计</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rPr>
        <w:t>页</w:t>
      </w:r>
    </w:p>
    <w:p>
      <w:pPr>
        <w:spacing w:line="360" w:lineRule="auto"/>
        <w:rPr>
          <w:rFonts w:ascii="宋体" w:hAnsi="宋体" w:cs="仿宋"/>
          <w:color w:val="auto"/>
          <w:szCs w:val="21"/>
          <w:highlight w:val="none"/>
        </w:rPr>
      </w:pPr>
    </w:p>
    <w:p>
      <w:pPr>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甲    方：（盖  章）                            乙    方：（盖  章）           </w:t>
      </w:r>
    </w:p>
    <w:p>
      <w:pPr>
        <w:spacing w:line="360" w:lineRule="auto"/>
        <w:rPr>
          <w:rFonts w:ascii="宋体" w:hAnsi="宋体" w:cs="仿宋"/>
          <w:color w:val="auto"/>
          <w:szCs w:val="21"/>
          <w:highlight w:val="none"/>
        </w:rPr>
      </w:pPr>
    </w:p>
    <w:p>
      <w:pPr>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名称：北京航空航天大学宁波创新研究院           名称：                        </w:t>
      </w:r>
    </w:p>
    <w:p>
      <w:pPr>
        <w:spacing w:line="360" w:lineRule="auto"/>
        <w:rPr>
          <w:rFonts w:ascii="宋体" w:hAnsi="宋体" w:cs="仿宋"/>
          <w:color w:val="auto"/>
          <w:szCs w:val="21"/>
          <w:highlight w:val="none"/>
        </w:rPr>
      </w:pPr>
    </w:p>
    <w:p>
      <w:pPr>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代表签字：                                     代表签字：                    </w:t>
      </w:r>
    </w:p>
    <w:p>
      <w:pPr>
        <w:spacing w:line="360" w:lineRule="auto"/>
        <w:rPr>
          <w:rFonts w:ascii="宋体" w:hAnsi="宋体" w:cs="仿宋"/>
          <w:color w:val="auto"/>
          <w:szCs w:val="21"/>
          <w:highlight w:val="none"/>
        </w:rPr>
      </w:pPr>
    </w:p>
    <w:p>
      <w:pPr>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联系电话：                                     联系电话：                    </w:t>
      </w:r>
    </w:p>
    <w:p>
      <w:pPr>
        <w:spacing w:line="360" w:lineRule="auto"/>
        <w:rPr>
          <w:rFonts w:ascii="宋体" w:hAnsi="宋体" w:cs="仿宋"/>
          <w:color w:val="auto"/>
          <w:szCs w:val="21"/>
          <w:highlight w:val="none"/>
        </w:rPr>
      </w:pPr>
    </w:p>
    <w:p>
      <w:pPr>
        <w:pStyle w:val="18"/>
        <w:widowControl/>
        <w:spacing w:line="360" w:lineRule="auto"/>
        <w:ind w:firstLine="0"/>
        <w:jc w:val="left"/>
        <w:rPr>
          <w:rFonts w:hAnsi="宋体" w:cs="仿宋"/>
          <w:color w:val="auto"/>
          <w:highlight w:val="none"/>
        </w:rPr>
      </w:pPr>
      <w:r>
        <w:rPr>
          <w:rFonts w:hint="eastAsia" w:hAnsi="宋体" w:cs="仿宋"/>
          <w:color w:val="auto"/>
          <w:sz w:val="21"/>
          <w:szCs w:val="21"/>
          <w:highlight w:val="none"/>
        </w:rPr>
        <w:t xml:space="preserve">日    期：    年    月    日                 </w:t>
      </w:r>
      <w:r>
        <w:rPr>
          <w:rFonts w:hAnsi="宋体" w:cs="仿宋"/>
          <w:color w:val="auto"/>
          <w:sz w:val="21"/>
          <w:szCs w:val="21"/>
          <w:highlight w:val="none"/>
        </w:rPr>
        <w:t xml:space="preserve">   </w:t>
      </w:r>
      <w:r>
        <w:rPr>
          <w:rFonts w:hint="eastAsia" w:hAnsi="宋体" w:cs="仿宋"/>
          <w:color w:val="auto"/>
          <w:sz w:val="21"/>
          <w:szCs w:val="21"/>
          <w:highlight w:val="none"/>
        </w:rPr>
        <w:t xml:space="preserve">  日    期：       年    月    日</w:t>
      </w:r>
    </w:p>
    <w:p>
      <w:pPr>
        <w:rPr>
          <w:rFonts w:ascii="宋体" w:hAnsi="宋体"/>
          <w:b/>
          <w:color w:val="auto"/>
          <w:szCs w:val="21"/>
          <w:highlight w:val="none"/>
        </w:rPr>
      </w:pPr>
      <w:r>
        <w:rPr>
          <w:rFonts w:ascii="宋体" w:hAnsi="宋体"/>
          <w:b/>
          <w:color w:val="auto"/>
          <w:szCs w:val="21"/>
          <w:highlight w:val="none"/>
        </w:rPr>
        <w:br w:type="page"/>
      </w:r>
    </w:p>
    <w:p>
      <w:pPr>
        <w:pStyle w:val="2"/>
        <w:rPr>
          <w:color w:val="auto"/>
          <w:highlight w:val="none"/>
        </w:rPr>
      </w:pPr>
    </w:p>
    <w:p>
      <w:pPr>
        <w:pStyle w:val="33"/>
        <w:numPr>
          <w:ilvl w:val="0"/>
          <w:numId w:val="0"/>
        </w:numPr>
        <w:bidi w:val="0"/>
        <w:ind w:left="420" w:lef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Hans"/>
        </w:rPr>
        <w:t>廉洁合作</w:t>
      </w:r>
      <w:r>
        <w:rPr>
          <w:rFonts w:hint="eastAsia" w:ascii="宋体" w:hAnsi="宋体" w:eastAsia="宋体" w:cs="宋体"/>
          <w:b/>
          <w:bCs/>
          <w:color w:val="auto"/>
          <w:highlight w:val="none"/>
        </w:rPr>
        <w:t>协议</w:t>
      </w:r>
    </w:p>
    <w:p>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合同编号：</w:t>
      </w:r>
    </w:p>
    <w:p>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textAlignment w:val="auto"/>
        <w:rPr>
          <w:color w:val="auto"/>
          <w:sz w:val="21"/>
          <w:szCs w:val="21"/>
          <w:highlight w:val="none"/>
        </w:rPr>
      </w:pPr>
      <w:r>
        <w:rPr>
          <w:rStyle w:val="43"/>
          <w:color w:val="auto"/>
          <w:sz w:val="21"/>
          <w:szCs w:val="21"/>
          <w:highlight w:val="none"/>
        </w:rPr>
        <w:t>甲方：</w:t>
      </w:r>
    </w:p>
    <w:p>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0"/>
        <w:textAlignment w:val="auto"/>
        <w:rPr>
          <w:color w:val="auto"/>
          <w:sz w:val="21"/>
          <w:szCs w:val="21"/>
          <w:highlight w:val="none"/>
        </w:rPr>
      </w:pPr>
      <w:r>
        <w:rPr>
          <w:color w:val="auto"/>
          <w:sz w:val="21"/>
          <w:szCs w:val="21"/>
          <w:highlight w:val="none"/>
        </w:rPr>
        <w:t>统一社会信用代码：</w:t>
      </w:r>
    </w:p>
    <w:p>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textAlignment w:val="auto"/>
        <w:rPr>
          <w:color w:val="auto"/>
          <w:sz w:val="21"/>
          <w:szCs w:val="21"/>
          <w:highlight w:val="none"/>
        </w:rPr>
      </w:pPr>
      <w:r>
        <w:rPr>
          <w:rStyle w:val="43"/>
          <w:color w:val="auto"/>
          <w:sz w:val="21"/>
          <w:szCs w:val="21"/>
          <w:highlight w:val="none"/>
        </w:rPr>
        <w:t>乙方：</w:t>
      </w:r>
    </w:p>
    <w:p>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0"/>
        <w:textAlignment w:val="auto"/>
        <w:rPr>
          <w:color w:val="auto"/>
          <w:sz w:val="21"/>
          <w:szCs w:val="21"/>
          <w:highlight w:val="none"/>
        </w:rPr>
      </w:pPr>
      <w:r>
        <w:rPr>
          <w:color w:val="auto"/>
          <w:sz w:val="21"/>
          <w:szCs w:val="21"/>
          <w:highlight w:val="none"/>
        </w:rPr>
        <w:t>统一社会信用代码：</w:t>
      </w:r>
    </w:p>
    <w:p>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0"/>
        <w:textAlignment w:val="auto"/>
        <w:rPr>
          <w:color w:val="auto"/>
          <w:sz w:val="21"/>
          <w:szCs w:val="21"/>
          <w:highlight w:val="none"/>
        </w:rPr>
      </w:pPr>
      <w:r>
        <w:rPr>
          <w:color w:val="auto"/>
          <w:sz w:val="21"/>
          <w:szCs w:val="21"/>
          <w:highlight w:val="none"/>
        </w:rPr>
        <w:t>鉴于甲乙双方有商业合作，乙方为甲方提供服务/货物/工程或有其他经济业务往来，</w:t>
      </w:r>
      <w:r>
        <w:rPr>
          <w:rFonts w:hint="eastAsia"/>
          <w:color w:val="auto"/>
          <w:sz w:val="21"/>
          <w:szCs w:val="21"/>
          <w:highlight w:val="none"/>
          <w:lang w:val="en-US" w:eastAsia="zh-CN"/>
        </w:rPr>
        <w:t>为双方在合作中保持廉洁自律的工作作风，创造公平、共赢的合作氛围，</w:t>
      </w:r>
      <w:r>
        <w:rPr>
          <w:color w:val="auto"/>
          <w:sz w:val="21"/>
          <w:szCs w:val="21"/>
          <w:highlight w:val="none"/>
        </w:rPr>
        <w:t>依据相关法律法规，经甲乙双方友好协商，达成本协议。</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Style w:val="43"/>
          <w:b/>
          <w:bCs/>
          <w:color w:val="auto"/>
          <w:sz w:val="21"/>
          <w:szCs w:val="21"/>
          <w:highlight w:val="none"/>
        </w:rPr>
      </w:pP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color w:val="auto"/>
          <w:sz w:val="21"/>
          <w:szCs w:val="21"/>
          <w:highlight w:val="none"/>
        </w:rPr>
      </w:pPr>
      <w:r>
        <w:rPr>
          <w:rStyle w:val="43"/>
          <w:rFonts w:hint="eastAsia"/>
          <w:b/>
          <w:bCs/>
          <w:color w:val="auto"/>
          <w:sz w:val="21"/>
          <w:szCs w:val="21"/>
          <w:highlight w:val="none"/>
          <w:lang w:val="en-US" w:eastAsia="zh-CN"/>
        </w:rPr>
        <w:t>1.</w:t>
      </w:r>
      <w:r>
        <w:rPr>
          <w:rStyle w:val="43"/>
          <w:b/>
          <w:bCs/>
          <w:color w:val="auto"/>
          <w:sz w:val="21"/>
          <w:szCs w:val="21"/>
          <w:highlight w:val="none"/>
        </w:rPr>
        <w:t>诚信责任</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Fonts w:hint="default"/>
          <w:color w:val="auto"/>
          <w:sz w:val="21"/>
          <w:szCs w:val="21"/>
          <w:highlight w:val="none"/>
          <w:lang w:eastAsia="zh-Hans"/>
        </w:rPr>
        <w:t>1.1</w:t>
      </w:r>
      <w:r>
        <w:rPr>
          <w:rFonts w:hint="eastAsia"/>
          <w:color w:val="auto"/>
          <w:sz w:val="21"/>
          <w:szCs w:val="21"/>
          <w:highlight w:val="none"/>
          <w:lang w:val="en-US" w:eastAsia="zh-Hans"/>
        </w:rPr>
        <w:t>甲方</w:t>
      </w:r>
      <w:r>
        <w:rPr>
          <w:rFonts w:hint="eastAsia"/>
          <w:color w:val="auto"/>
          <w:sz w:val="21"/>
          <w:szCs w:val="21"/>
          <w:highlight w:val="none"/>
          <w:lang w:val="en-US" w:eastAsia="zh-CN"/>
        </w:rPr>
        <w:t>及其工作人员应遵守以下条款</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Hans"/>
        </w:rPr>
        <w:t>1.1.1</w:t>
      </w:r>
      <w:r>
        <w:rPr>
          <w:rStyle w:val="43"/>
          <w:rFonts w:hint="eastAsia" w:ascii="Times New Roman" w:hAnsi="Times New Roman" w:cs="Times New Roman"/>
          <w:b w:val="0"/>
          <w:bCs w:val="0"/>
          <w:color w:val="auto"/>
          <w:sz w:val="21"/>
          <w:szCs w:val="21"/>
          <w:highlight w:val="none"/>
          <w:lang w:val="en-US" w:eastAsia="zh-Hans"/>
        </w:rPr>
        <w:t>甲方及其</w:t>
      </w:r>
      <w:r>
        <w:rPr>
          <w:rStyle w:val="43"/>
          <w:rFonts w:hint="eastAsia" w:ascii="Times New Roman" w:hAnsi="Times New Roman" w:cs="Times New Roman"/>
          <w:b w:val="0"/>
          <w:bCs w:val="0"/>
          <w:color w:val="auto"/>
          <w:sz w:val="21"/>
          <w:szCs w:val="21"/>
          <w:highlight w:val="none"/>
          <w:lang w:val="en-US" w:eastAsia="zh-CN"/>
        </w:rPr>
        <w:t>工作人员</w:t>
      </w:r>
      <w:r>
        <w:rPr>
          <w:rStyle w:val="43"/>
          <w:rFonts w:hint="eastAsia" w:ascii="Times New Roman" w:hAnsi="Times New Roman" w:cs="Times New Roman"/>
          <w:b w:val="0"/>
          <w:bCs w:val="0"/>
          <w:color w:val="auto"/>
          <w:sz w:val="21"/>
          <w:szCs w:val="21"/>
          <w:highlight w:val="none"/>
          <w:lang w:val="en-US" w:eastAsia="zh-Hans"/>
        </w:rPr>
        <w:t>不得以任何形式向乙方及其工作人员索要或收受回扣等好处；</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Hans"/>
        </w:rPr>
        <w:t>1.1.2</w:t>
      </w:r>
      <w:r>
        <w:rPr>
          <w:rStyle w:val="43"/>
          <w:rFonts w:hint="eastAsia" w:ascii="Times New Roman" w:hAnsi="Times New Roman" w:cs="Times New Roman"/>
          <w:b w:val="0"/>
          <w:bCs w:val="0"/>
          <w:color w:val="auto"/>
          <w:sz w:val="21"/>
          <w:szCs w:val="21"/>
          <w:highlight w:val="none"/>
          <w:lang w:val="en-US" w:eastAsia="zh-Hans"/>
        </w:rPr>
        <w:t>甲方工作人员应与乙方工作人员保持正常、合法的业务交往。不得参加可能对公正执行公务有影响的宴请、娱乐活动等；</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Hans"/>
        </w:rPr>
        <w:t>1.1.3</w:t>
      </w:r>
      <w:r>
        <w:rPr>
          <w:rStyle w:val="43"/>
          <w:rFonts w:hint="eastAsia" w:ascii="Times New Roman" w:hAnsi="Times New Roman" w:cs="Times New Roman"/>
          <w:b w:val="0"/>
          <w:bCs w:val="0"/>
          <w:color w:val="auto"/>
          <w:sz w:val="21"/>
          <w:szCs w:val="21"/>
          <w:highlight w:val="none"/>
          <w:lang w:val="en-US" w:eastAsia="zh-Hans"/>
        </w:rPr>
        <w:t>甲方工作人员不得要求或接受乙方及其工作人员提供的住房装修、安排婚丧嫁娶活动，为配偶、子女或其他亲属的工作安排以及出国出境旅游提供便利；</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Hans"/>
        </w:rPr>
        <w:t>1.1.4</w:t>
      </w:r>
      <w:r>
        <w:rPr>
          <w:rStyle w:val="43"/>
          <w:rFonts w:hint="eastAsia" w:ascii="Times New Roman" w:hAnsi="Times New Roman" w:cs="Times New Roman"/>
          <w:b w:val="0"/>
          <w:bCs w:val="0"/>
          <w:color w:val="auto"/>
          <w:sz w:val="21"/>
          <w:szCs w:val="21"/>
          <w:highlight w:val="none"/>
          <w:lang w:val="en-US" w:eastAsia="zh-Hans"/>
        </w:rPr>
        <w:t>甲方工作人员不得将自己的亲友、子女安排至乙方或乙方相关单位工作。</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Hans"/>
        </w:rPr>
        <w:t>1.1.</w:t>
      </w:r>
      <w:r>
        <w:rPr>
          <w:rStyle w:val="43"/>
          <w:rFonts w:hint="eastAsia" w:ascii="Times New Roman" w:hAnsi="Times New Roman" w:cs="Times New Roman"/>
          <w:b w:val="0"/>
          <w:bCs w:val="0"/>
          <w:color w:val="auto"/>
          <w:sz w:val="21"/>
          <w:szCs w:val="21"/>
          <w:highlight w:val="none"/>
          <w:lang w:val="en-US" w:eastAsia="zh-CN"/>
        </w:rPr>
        <w:t>5甲方及其工作人员不得以任何理由向乙方推荐物资供应单位、工程承包或劳务服务等单位，不得要求乙方购买</w:t>
      </w:r>
      <w:r>
        <w:rPr>
          <w:rStyle w:val="43"/>
          <w:rFonts w:hint="eastAsia" w:ascii="Times New Roman" w:hAnsi="Times New Roman" w:cs="Times New Roman"/>
          <w:b w:val="0"/>
          <w:bCs w:val="0"/>
          <w:color w:val="auto"/>
          <w:sz w:val="21"/>
          <w:szCs w:val="21"/>
          <w:highlight w:val="none"/>
          <w:lang w:val="en-US" w:eastAsia="zh-Hans"/>
        </w:rPr>
        <w:t>合同</w:t>
      </w:r>
      <w:r>
        <w:rPr>
          <w:rStyle w:val="43"/>
          <w:rFonts w:hint="eastAsia" w:ascii="Times New Roman" w:hAnsi="Times New Roman" w:cs="Times New Roman"/>
          <w:b w:val="0"/>
          <w:bCs w:val="0"/>
          <w:color w:val="auto"/>
          <w:sz w:val="21"/>
          <w:szCs w:val="21"/>
          <w:highlight w:val="none"/>
          <w:lang w:val="en-US" w:eastAsia="zh-CN"/>
        </w:rPr>
        <w:t>规定外的材料、设备及其他服务。</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Hans"/>
        </w:rPr>
        <w:t>1.2</w:t>
      </w:r>
      <w:r>
        <w:rPr>
          <w:rStyle w:val="43"/>
          <w:rFonts w:hint="eastAsia" w:ascii="Times New Roman" w:hAnsi="Times New Roman" w:cs="Times New Roman"/>
          <w:b w:val="0"/>
          <w:bCs w:val="0"/>
          <w:color w:val="auto"/>
          <w:sz w:val="21"/>
          <w:szCs w:val="21"/>
          <w:highlight w:val="none"/>
          <w:lang w:val="en-US" w:eastAsia="zh-Hans"/>
        </w:rPr>
        <w:t>乙方</w:t>
      </w:r>
      <w:r>
        <w:rPr>
          <w:rStyle w:val="43"/>
          <w:rFonts w:hint="eastAsia" w:ascii="Times New Roman" w:hAnsi="Times New Roman" w:cs="Times New Roman"/>
          <w:b w:val="0"/>
          <w:bCs w:val="0"/>
          <w:color w:val="auto"/>
          <w:sz w:val="21"/>
          <w:szCs w:val="21"/>
          <w:highlight w:val="none"/>
          <w:lang w:val="en-US" w:eastAsia="zh-CN"/>
        </w:rPr>
        <w:t>及其工作人员应遵守以下条款</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Hans"/>
        </w:rPr>
        <w:t>1.2.1</w:t>
      </w:r>
      <w:r>
        <w:rPr>
          <w:rStyle w:val="43"/>
          <w:rFonts w:hint="eastAsia" w:ascii="Times New Roman" w:hAnsi="Times New Roman" w:cs="Times New Roman"/>
          <w:b w:val="0"/>
          <w:bCs w:val="0"/>
          <w:color w:val="auto"/>
          <w:sz w:val="21"/>
          <w:szCs w:val="21"/>
          <w:highlight w:val="none"/>
          <w:lang w:val="en-US" w:eastAsia="zh-CN"/>
        </w:rPr>
        <w:t>乙方工作人员应与甲方工作人员保持正常、合法的业务交往，按照有关法律法规和程序开展业务工作，严格履行双方</w:t>
      </w:r>
      <w:r>
        <w:rPr>
          <w:rStyle w:val="43"/>
          <w:rFonts w:hint="eastAsia" w:ascii="Times New Roman" w:hAnsi="Times New Roman" w:cs="Times New Roman"/>
          <w:b w:val="0"/>
          <w:bCs w:val="0"/>
          <w:color w:val="auto"/>
          <w:sz w:val="21"/>
          <w:szCs w:val="21"/>
          <w:highlight w:val="none"/>
          <w:lang w:val="en-US" w:eastAsia="zh-Hans"/>
        </w:rPr>
        <w:t>协议</w:t>
      </w:r>
      <w:r>
        <w:rPr>
          <w:rStyle w:val="43"/>
          <w:rFonts w:hint="eastAsia" w:ascii="Times New Roman" w:hAnsi="Times New Roman" w:cs="Times New Roman"/>
          <w:b w:val="0"/>
          <w:bCs w:val="0"/>
          <w:color w:val="auto"/>
          <w:sz w:val="21"/>
          <w:szCs w:val="21"/>
          <w:highlight w:val="none"/>
          <w:lang w:val="en-US" w:eastAsia="zh-CN"/>
        </w:rPr>
        <w:t>约定</w:t>
      </w:r>
      <w:r>
        <w:rPr>
          <w:rStyle w:val="43"/>
          <w:rFonts w:hint="eastAsia" w:ascii="Times New Roman" w:hAnsi="Times New Roman" w:cs="Times New Roman"/>
          <w:b w:val="0"/>
          <w:bCs w:val="0"/>
          <w:color w:val="auto"/>
          <w:sz w:val="21"/>
          <w:szCs w:val="21"/>
          <w:highlight w:val="none"/>
          <w:lang w:val="en-US" w:eastAsia="zh-Hans"/>
        </w:rPr>
        <w:t>；</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1.2.2</w:t>
      </w:r>
      <w:r>
        <w:rPr>
          <w:rStyle w:val="43"/>
          <w:rFonts w:hint="eastAsia" w:ascii="Times New Roman" w:hAnsi="Times New Roman" w:cs="Times New Roman"/>
          <w:b w:val="0"/>
          <w:bCs w:val="0"/>
          <w:color w:val="auto"/>
          <w:sz w:val="21"/>
          <w:szCs w:val="21"/>
          <w:highlight w:val="none"/>
          <w:lang w:val="en-US" w:eastAsia="zh-Hans"/>
        </w:rPr>
        <w:t>乙方工作人员</w:t>
      </w:r>
      <w:r>
        <w:rPr>
          <w:rStyle w:val="43"/>
          <w:rFonts w:hint="eastAsia" w:ascii="Times New Roman" w:hAnsi="Times New Roman" w:cs="Times New Roman"/>
          <w:b w:val="0"/>
          <w:bCs w:val="0"/>
          <w:color w:val="auto"/>
          <w:sz w:val="21"/>
          <w:szCs w:val="21"/>
          <w:highlight w:val="none"/>
          <w:lang w:val="en-US" w:eastAsia="zh-CN"/>
        </w:rPr>
        <w:t>不得以任何理由向甲方工作人员赠送现金、礼金、购物卡、有价证券、贵重物品、回扣、好处费、感谢费、干股等；</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1.2.</w:t>
      </w:r>
      <w:r>
        <w:rPr>
          <w:rStyle w:val="43"/>
          <w:rFonts w:hint="eastAsia" w:ascii="Times New Roman" w:hAnsi="Times New Roman" w:cs="Times New Roman"/>
          <w:b w:val="0"/>
          <w:bCs w:val="0"/>
          <w:color w:val="auto"/>
          <w:sz w:val="21"/>
          <w:szCs w:val="21"/>
          <w:highlight w:val="none"/>
          <w:lang w:val="en-US" w:eastAsia="zh-CN"/>
        </w:rPr>
        <w:t>3</w:t>
      </w:r>
      <w:r>
        <w:rPr>
          <w:rStyle w:val="43"/>
          <w:rFonts w:hint="eastAsia" w:ascii="Times New Roman" w:hAnsi="Times New Roman" w:cs="Times New Roman"/>
          <w:b w:val="0"/>
          <w:bCs w:val="0"/>
          <w:color w:val="auto"/>
          <w:sz w:val="21"/>
          <w:szCs w:val="21"/>
          <w:highlight w:val="none"/>
          <w:lang w:val="en-US" w:eastAsia="zh-Hans"/>
        </w:rPr>
        <w:t>乙方工作人员</w:t>
      </w:r>
      <w:r>
        <w:rPr>
          <w:rStyle w:val="43"/>
          <w:rFonts w:hint="eastAsia" w:ascii="Times New Roman" w:hAnsi="Times New Roman" w:cs="Times New Roman"/>
          <w:b w:val="0"/>
          <w:bCs w:val="0"/>
          <w:color w:val="auto"/>
          <w:sz w:val="21"/>
          <w:szCs w:val="21"/>
          <w:highlight w:val="none"/>
          <w:lang w:val="en-US" w:eastAsia="zh-CN"/>
        </w:rPr>
        <w:t>不得以任何理由为甲方工作人员报销应由甲方或个人支付的费用；</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1.2.</w:t>
      </w:r>
      <w:r>
        <w:rPr>
          <w:rStyle w:val="43"/>
          <w:rFonts w:hint="eastAsia" w:ascii="Times New Roman" w:hAnsi="Times New Roman" w:cs="Times New Roman"/>
          <w:b w:val="0"/>
          <w:bCs w:val="0"/>
          <w:color w:val="auto"/>
          <w:sz w:val="21"/>
          <w:szCs w:val="21"/>
          <w:highlight w:val="none"/>
          <w:lang w:val="en-US" w:eastAsia="zh-CN"/>
        </w:rPr>
        <w:t>4</w:t>
      </w:r>
      <w:r>
        <w:rPr>
          <w:rStyle w:val="43"/>
          <w:rFonts w:hint="eastAsia" w:ascii="Times New Roman" w:hAnsi="Times New Roman" w:cs="Times New Roman"/>
          <w:b w:val="0"/>
          <w:bCs w:val="0"/>
          <w:color w:val="auto"/>
          <w:sz w:val="21"/>
          <w:szCs w:val="21"/>
          <w:highlight w:val="none"/>
          <w:lang w:val="en-US" w:eastAsia="zh-Hans"/>
        </w:rPr>
        <w:t>乙方工作人员</w:t>
      </w:r>
      <w:r>
        <w:rPr>
          <w:rStyle w:val="43"/>
          <w:rFonts w:hint="eastAsia" w:ascii="Times New Roman" w:hAnsi="Times New Roman" w:cs="Times New Roman"/>
          <w:b w:val="0"/>
          <w:bCs w:val="0"/>
          <w:color w:val="auto"/>
          <w:sz w:val="21"/>
          <w:szCs w:val="21"/>
          <w:highlight w:val="none"/>
          <w:lang w:val="en-US" w:eastAsia="zh-CN"/>
        </w:rPr>
        <w:t>不得为甲方工作人员合资合伙、借车（临时性除外）、借钱、租赁，为其装修住房、婚丧嫁娶、配偶子女的工作安排以及境内外旅游等支付费用；</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1.2.</w:t>
      </w:r>
      <w:r>
        <w:rPr>
          <w:rStyle w:val="43"/>
          <w:rFonts w:hint="eastAsia" w:ascii="Times New Roman" w:hAnsi="Times New Roman" w:cs="Times New Roman"/>
          <w:b w:val="0"/>
          <w:bCs w:val="0"/>
          <w:color w:val="auto"/>
          <w:sz w:val="21"/>
          <w:szCs w:val="21"/>
          <w:highlight w:val="none"/>
          <w:lang w:val="en-US" w:eastAsia="zh-CN"/>
        </w:rPr>
        <w:t>5不得以任何理由为甲方工作人员提供有可能影响公正执行业务的宴请等娱乐活动；</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default" w:ascii="Times New Roman" w:hAnsi="Times New Roman" w:cs="Times New Roman"/>
          <w:b w:val="0"/>
          <w:bCs w:val="0"/>
          <w:color w:val="auto"/>
          <w:sz w:val="21"/>
          <w:szCs w:val="21"/>
          <w:highlight w:val="none"/>
          <w:lang w:val="en-US" w:eastAsia="zh-CN"/>
        </w:rPr>
        <w:t>1.2.</w:t>
      </w:r>
      <w:r>
        <w:rPr>
          <w:rStyle w:val="43"/>
          <w:rFonts w:hint="eastAsia" w:ascii="Times New Roman" w:hAnsi="Times New Roman" w:cs="Times New Roman"/>
          <w:b w:val="0"/>
          <w:bCs w:val="0"/>
          <w:color w:val="auto"/>
          <w:sz w:val="21"/>
          <w:szCs w:val="21"/>
          <w:highlight w:val="none"/>
          <w:lang w:val="en-US" w:eastAsia="zh-CN"/>
        </w:rPr>
        <w:t>6乙方不得以任何借口和理由给予甲方工作人员任何其他形式的利益或好处</w:t>
      </w:r>
      <w:r>
        <w:rPr>
          <w:rStyle w:val="43"/>
          <w:rFonts w:hint="eastAsia" w:ascii="Times New Roman" w:hAnsi="Times New Roman" w:cs="Times New Roman"/>
          <w:b w:val="0"/>
          <w:bCs w:val="0"/>
          <w:color w:val="auto"/>
          <w:sz w:val="21"/>
          <w:szCs w:val="21"/>
          <w:highlight w:val="none"/>
          <w:lang w:val="en-US" w:eastAsia="zh-Hans"/>
        </w:rPr>
        <w:t>；</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1.2.</w:t>
      </w:r>
      <w:r>
        <w:rPr>
          <w:rStyle w:val="43"/>
          <w:rFonts w:hint="eastAsia" w:ascii="Times New Roman" w:hAnsi="Times New Roman" w:cs="Times New Roman"/>
          <w:b w:val="0"/>
          <w:bCs w:val="0"/>
          <w:color w:val="auto"/>
          <w:sz w:val="21"/>
          <w:szCs w:val="21"/>
          <w:highlight w:val="none"/>
          <w:lang w:val="en-US" w:eastAsia="zh-CN"/>
        </w:rPr>
        <w:t>7</w:t>
      </w:r>
      <w:r>
        <w:rPr>
          <w:rStyle w:val="43"/>
          <w:rFonts w:hint="eastAsia" w:ascii="Times New Roman" w:hAnsi="Times New Roman" w:cs="Times New Roman"/>
          <w:b w:val="0"/>
          <w:bCs w:val="0"/>
          <w:color w:val="auto"/>
          <w:sz w:val="21"/>
          <w:szCs w:val="21"/>
          <w:highlight w:val="none"/>
          <w:lang w:val="en-US" w:eastAsia="zh-Hans"/>
        </w:rPr>
        <w:t>乙方不得安排甲方人员及其亲属在乙方或乙方相关单位工作。</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w:t>
      </w:r>
      <w:r>
        <w:rPr>
          <w:rStyle w:val="43"/>
          <w:rFonts w:hint="eastAsia" w:ascii="Times New Roman" w:hAnsi="Times New Roman" w:cs="Times New Roman"/>
          <w:b w:val="0"/>
          <w:bCs w:val="0"/>
          <w:color w:val="auto"/>
          <w:sz w:val="21"/>
          <w:szCs w:val="21"/>
          <w:highlight w:val="none"/>
          <w:lang w:val="en-US" w:eastAsia="zh-CN"/>
        </w:rPr>
        <w:t>3</w:t>
      </w:r>
      <w:r>
        <w:rPr>
          <w:rStyle w:val="43"/>
          <w:rFonts w:hint="default" w:ascii="Times New Roman" w:hAnsi="Times New Roman" w:cs="Times New Roman"/>
          <w:b w:val="0"/>
          <w:bCs w:val="0"/>
          <w:color w:val="auto"/>
          <w:sz w:val="21"/>
          <w:szCs w:val="21"/>
          <w:highlight w:val="none"/>
          <w:lang w:val="en-US" w:eastAsia="zh-CN"/>
        </w:rPr>
        <w:t>.</w:t>
      </w:r>
      <w:r>
        <w:rPr>
          <w:rStyle w:val="43"/>
          <w:rFonts w:hint="eastAsia" w:ascii="Times New Roman" w:hAnsi="Times New Roman" w:cs="Times New Roman"/>
          <w:b w:val="0"/>
          <w:bCs w:val="0"/>
          <w:color w:val="auto"/>
          <w:sz w:val="21"/>
          <w:szCs w:val="21"/>
          <w:highlight w:val="none"/>
          <w:lang w:val="en-US" w:eastAsia="zh-CN"/>
        </w:rPr>
        <w:t>本协议中的乙方工作人员是指：乙方（包括乙方参股、控股、实际控制或其他关系的关联单位）的员工或受乙方所托为乙方服务的人员。</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1.4.</w:t>
      </w:r>
      <w:r>
        <w:rPr>
          <w:rStyle w:val="43"/>
          <w:rFonts w:hint="eastAsia" w:ascii="Times New Roman" w:hAnsi="Times New Roman" w:cs="Times New Roman"/>
          <w:b w:val="0"/>
          <w:bCs w:val="0"/>
          <w:color w:val="auto"/>
          <w:sz w:val="21"/>
          <w:szCs w:val="21"/>
          <w:highlight w:val="none"/>
          <w:lang w:val="en-US" w:eastAsia="zh-CN"/>
        </w:rPr>
        <w:t>本协议中的甲方工作人员是指：甲方（包括分支机构、子公司等）的高管、员工及其他工作人员，以及这些人员的配偶、子女和亲友。</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Hans"/>
        </w:rPr>
      </w:pPr>
      <w:r>
        <w:rPr>
          <w:rStyle w:val="43"/>
          <w:rFonts w:hint="eastAsia" w:ascii="Times New Roman" w:hAnsi="Times New Roman" w:cs="Times New Roman"/>
          <w:b w:val="0"/>
          <w:bCs w:val="0"/>
          <w:color w:val="auto"/>
          <w:sz w:val="21"/>
          <w:szCs w:val="21"/>
          <w:highlight w:val="none"/>
          <w:lang w:val="en-US" w:eastAsia="zh-CN"/>
        </w:rPr>
        <w:t>1.5</w:t>
      </w:r>
      <w:r>
        <w:rPr>
          <w:rStyle w:val="43"/>
          <w:rFonts w:hint="eastAsia" w:ascii="Times New Roman" w:hAnsi="Times New Roman" w:cs="Times New Roman"/>
          <w:b w:val="0"/>
          <w:bCs w:val="0"/>
          <w:color w:val="auto"/>
          <w:sz w:val="21"/>
          <w:szCs w:val="21"/>
          <w:highlight w:val="none"/>
          <w:lang w:val="en-US" w:eastAsia="zh-Hans"/>
        </w:rPr>
        <w:t>如遇甲方人员索取或要求提供等行为的，乙方应及时向甲方纪检部门举报，乙方不举报而向甲方人员提供的，视为乙方主动提供。</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Hans"/>
        </w:rPr>
        <w:t>1.6</w:t>
      </w:r>
      <w:r>
        <w:rPr>
          <w:rStyle w:val="43"/>
          <w:rFonts w:hint="eastAsia" w:ascii="Times New Roman" w:hAnsi="Times New Roman" w:cs="Times New Roman"/>
          <w:b w:val="0"/>
          <w:bCs w:val="0"/>
          <w:color w:val="auto"/>
          <w:sz w:val="21"/>
          <w:szCs w:val="21"/>
          <w:highlight w:val="none"/>
          <w:lang w:val="en-US" w:eastAsia="zh-Hans"/>
        </w:rPr>
        <w:t>甲方对涉嫌不廉洁的商业行为进行调查时，乙方有配合甲方如实提供证据、作证的义务。</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2.违约责任</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2.1甲方工作人员如有违反本协议的，一经查实，甲方将对责任人给予警告、处分、直至解除劳动</w:t>
      </w:r>
      <w:r>
        <w:rPr>
          <w:rStyle w:val="43"/>
          <w:rFonts w:hint="eastAsia" w:ascii="Times New Roman" w:hAnsi="Times New Roman" w:cs="Times New Roman"/>
          <w:b w:val="0"/>
          <w:bCs w:val="0"/>
          <w:color w:val="auto"/>
          <w:sz w:val="21"/>
          <w:szCs w:val="21"/>
          <w:highlight w:val="none"/>
          <w:lang w:val="en-US" w:eastAsia="zh-Hans"/>
        </w:rPr>
        <w:t>合同</w:t>
      </w:r>
      <w:r>
        <w:rPr>
          <w:rStyle w:val="43"/>
          <w:rFonts w:hint="eastAsia" w:ascii="Times New Roman" w:hAnsi="Times New Roman" w:cs="Times New Roman"/>
          <w:b w:val="0"/>
          <w:bCs w:val="0"/>
          <w:color w:val="auto"/>
          <w:sz w:val="21"/>
          <w:szCs w:val="21"/>
          <w:highlight w:val="none"/>
          <w:lang w:val="en-US" w:eastAsia="zh-CN"/>
        </w:rPr>
        <w:t>。构成犯罪的，则送交司法机关追究其法律责任。</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2.2乙方或乙方工作人员如违反本协议，甲方有权按照本协议约定追究乙方违约责任。构成犯罪的，则送交司法机关追究其法律责任。乙方工作人员违反本协议的，视为乙方行为。</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default"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2.3乙方违反本协议的，</w:t>
      </w:r>
      <w:r>
        <w:rPr>
          <w:rStyle w:val="43"/>
          <w:rFonts w:hint="eastAsia" w:ascii="Times New Roman" w:hAnsi="Times New Roman" w:cs="Times New Roman"/>
          <w:b w:val="0"/>
          <w:bCs w:val="0"/>
          <w:color w:val="auto"/>
          <w:sz w:val="21"/>
          <w:szCs w:val="21"/>
          <w:highlight w:val="none"/>
          <w:lang w:val="en-US" w:eastAsia="zh-Hans"/>
        </w:rPr>
        <w:t>应向甲方退还利用不正当手段获取的利益。同时，</w:t>
      </w:r>
      <w:r>
        <w:rPr>
          <w:rStyle w:val="43"/>
          <w:rFonts w:hint="eastAsia" w:ascii="Times New Roman" w:hAnsi="Times New Roman" w:cs="Times New Roman"/>
          <w:b w:val="0"/>
          <w:bCs w:val="0"/>
          <w:color w:val="auto"/>
          <w:sz w:val="21"/>
          <w:szCs w:val="21"/>
          <w:highlight w:val="none"/>
          <w:lang w:val="en-US" w:eastAsia="zh-CN"/>
        </w:rPr>
        <w:t>甲方有权依据协议金额的30%追究乙方违约责任，协议没有金额的按照最近12个月的全部业务额作为协议金额。</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2.4乙方违反本协议的，甲方有权暂停支付往来款项，2.3</w:t>
      </w:r>
      <w:r>
        <w:rPr>
          <w:rStyle w:val="43"/>
          <w:rFonts w:hint="eastAsia" w:ascii="Times New Roman" w:hAnsi="Times New Roman" w:cs="Times New Roman"/>
          <w:b w:val="0"/>
          <w:bCs w:val="0"/>
          <w:color w:val="auto"/>
          <w:sz w:val="21"/>
          <w:szCs w:val="21"/>
          <w:highlight w:val="none"/>
          <w:lang w:val="en-US" w:eastAsia="zh-Hans"/>
        </w:rPr>
        <w:t>条中乙方应赔偿款项甲方</w:t>
      </w:r>
      <w:r>
        <w:rPr>
          <w:rStyle w:val="43"/>
          <w:rFonts w:hint="eastAsia" w:ascii="Times New Roman" w:hAnsi="Times New Roman" w:cs="Times New Roman"/>
          <w:b w:val="0"/>
          <w:bCs w:val="0"/>
          <w:color w:val="auto"/>
          <w:sz w:val="21"/>
          <w:szCs w:val="21"/>
          <w:highlight w:val="none"/>
          <w:lang w:val="en-US" w:eastAsia="zh-CN"/>
        </w:rPr>
        <w:t>可以直接从货款或各类保证金中扣除，不足以补偿甲方损失的，乙方应予以</w:t>
      </w:r>
      <w:r>
        <w:rPr>
          <w:rStyle w:val="43"/>
          <w:rFonts w:hint="eastAsia" w:ascii="Times New Roman" w:hAnsi="Times New Roman" w:cs="Times New Roman"/>
          <w:b w:val="0"/>
          <w:bCs w:val="0"/>
          <w:color w:val="auto"/>
          <w:sz w:val="21"/>
          <w:szCs w:val="21"/>
          <w:highlight w:val="none"/>
          <w:lang w:val="en-US" w:eastAsia="zh-Hans"/>
        </w:rPr>
        <w:t>继续</w:t>
      </w:r>
      <w:r>
        <w:rPr>
          <w:rStyle w:val="43"/>
          <w:rFonts w:hint="eastAsia" w:ascii="Times New Roman" w:hAnsi="Times New Roman" w:cs="Times New Roman"/>
          <w:b w:val="0"/>
          <w:bCs w:val="0"/>
          <w:color w:val="auto"/>
          <w:sz w:val="21"/>
          <w:szCs w:val="21"/>
          <w:highlight w:val="none"/>
          <w:lang w:val="en-US" w:eastAsia="zh-CN"/>
        </w:rPr>
        <w:t>赔偿。</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2.5乙方违反本协议的，视为违反业务协议，甲方有权视情况采取解除协议等措施。</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2.6甲方有权将乙方及乙方工作人员违反本协议的行为以各种方式进行公告。</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3.举报</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乙方人员可通过以下方式对甲方工作人员违反本协议的行为如实举报或投诉。甲方受理举报、投诉</w:t>
      </w:r>
      <w:r>
        <w:rPr>
          <w:rStyle w:val="43"/>
          <w:rFonts w:hint="eastAsia" w:ascii="Times New Roman" w:hAnsi="Times New Roman" w:cs="Times New Roman"/>
          <w:b w:val="0"/>
          <w:bCs w:val="0"/>
          <w:color w:val="auto"/>
          <w:sz w:val="21"/>
          <w:szCs w:val="21"/>
          <w:highlight w:val="none"/>
          <w:lang w:val="en-US" w:eastAsia="zh-Hans"/>
        </w:rPr>
        <w:t>的</w:t>
      </w:r>
      <w:r>
        <w:rPr>
          <w:rStyle w:val="43"/>
          <w:rFonts w:hint="eastAsia" w:ascii="Times New Roman" w:hAnsi="Times New Roman" w:cs="Times New Roman"/>
          <w:b w:val="0"/>
          <w:bCs w:val="0"/>
          <w:color w:val="auto"/>
          <w:sz w:val="21"/>
          <w:szCs w:val="21"/>
          <w:highlight w:val="none"/>
          <w:lang w:val="en-US" w:eastAsia="zh-CN"/>
        </w:rPr>
        <w:t>渠道为：</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default"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名称：北航宁波创新研究院纪检监察部</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联系人：王怡文</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default"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地址：浙江省宁波市北仑区梅山街道康达路399号</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default"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电话：0574-86001562</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default"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电子邮箱：wangyiwen_nb@buaa.edu.cn</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4.附则</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4.1本协议经双方签字并盖章后生效。</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4.2本协议与业务</w:t>
      </w:r>
      <w:r>
        <w:rPr>
          <w:rStyle w:val="43"/>
          <w:rFonts w:hint="eastAsia" w:ascii="Times New Roman" w:hAnsi="Times New Roman" w:cs="Times New Roman"/>
          <w:b w:val="0"/>
          <w:bCs w:val="0"/>
          <w:color w:val="auto"/>
          <w:sz w:val="21"/>
          <w:szCs w:val="21"/>
          <w:highlight w:val="none"/>
          <w:lang w:val="en-US" w:eastAsia="zh-Hans"/>
        </w:rPr>
        <w:t>合同</w:t>
      </w:r>
      <w:r>
        <w:rPr>
          <w:rStyle w:val="43"/>
          <w:rFonts w:hint="eastAsia" w:ascii="Times New Roman" w:hAnsi="Times New Roman" w:cs="Times New Roman"/>
          <w:b w:val="0"/>
          <w:bCs w:val="0"/>
          <w:color w:val="auto"/>
          <w:sz w:val="21"/>
          <w:szCs w:val="21"/>
          <w:highlight w:val="none"/>
          <w:lang w:val="en-US" w:eastAsia="zh-CN"/>
        </w:rPr>
        <w:t>具有同等法律效力，作为业务</w:t>
      </w:r>
      <w:r>
        <w:rPr>
          <w:rStyle w:val="43"/>
          <w:rFonts w:hint="eastAsia" w:ascii="Times New Roman" w:hAnsi="Times New Roman" w:cs="Times New Roman"/>
          <w:b w:val="0"/>
          <w:bCs w:val="0"/>
          <w:color w:val="auto"/>
          <w:sz w:val="21"/>
          <w:szCs w:val="21"/>
          <w:highlight w:val="none"/>
          <w:lang w:val="en-US" w:eastAsia="zh-Hans"/>
        </w:rPr>
        <w:t>合同</w:t>
      </w:r>
      <w:r>
        <w:rPr>
          <w:rStyle w:val="43"/>
          <w:rFonts w:hint="eastAsia" w:ascii="Times New Roman" w:hAnsi="Times New Roman" w:cs="Times New Roman"/>
          <w:b w:val="0"/>
          <w:bCs w:val="0"/>
          <w:color w:val="auto"/>
          <w:sz w:val="21"/>
          <w:szCs w:val="21"/>
          <w:highlight w:val="none"/>
          <w:lang w:val="en-US" w:eastAsia="zh-CN"/>
        </w:rPr>
        <w:t>的附件，且本协议可独立生效。</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4.3本协议对甲、乙双方持续产生约束力，双方诚信经营自律义务不因业务</w:t>
      </w:r>
      <w:r>
        <w:rPr>
          <w:rStyle w:val="43"/>
          <w:rFonts w:hint="eastAsia" w:ascii="Times New Roman" w:hAnsi="Times New Roman" w:cs="Times New Roman"/>
          <w:b w:val="0"/>
          <w:bCs w:val="0"/>
          <w:color w:val="auto"/>
          <w:sz w:val="21"/>
          <w:szCs w:val="21"/>
          <w:highlight w:val="none"/>
          <w:lang w:val="en-US" w:eastAsia="zh-Hans"/>
        </w:rPr>
        <w:t>合同</w:t>
      </w:r>
      <w:r>
        <w:rPr>
          <w:rStyle w:val="43"/>
          <w:rFonts w:hint="eastAsia" w:ascii="Times New Roman" w:hAnsi="Times New Roman" w:cs="Times New Roman"/>
          <w:b w:val="0"/>
          <w:bCs w:val="0"/>
          <w:color w:val="auto"/>
          <w:sz w:val="21"/>
          <w:szCs w:val="21"/>
          <w:highlight w:val="none"/>
          <w:lang w:val="en-US" w:eastAsia="zh-CN"/>
        </w:rPr>
        <w:t>履行完毕而终止。</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eastAsia" w:ascii="Times New Roman" w:hAnsi="Times New Roman" w:cs="Times New Roman"/>
          <w:b w:val="0"/>
          <w:bCs w:val="0"/>
          <w:color w:val="auto"/>
          <w:sz w:val="21"/>
          <w:szCs w:val="21"/>
          <w:highlight w:val="none"/>
          <w:lang w:val="en-US" w:eastAsia="zh-CN"/>
        </w:rPr>
        <w:t>4.4因履行本</w:t>
      </w:r>
      <w:r>
        <w:rPr>
          <w:rStyle w:val="43"/>
          <w:rFonts w:hint="default" w:ascii="Times New Roman" w:hAnsi="Times New Roman" w:cs="Times New Roman"/>
          <w:b w:val="0"/>
          <w:bCs w:val="0"/>
          <w:color w:val="auto"/>
          <w:sz w:val="21"/>
          <w:szCs w:val="21"/>
          <w:highlight w:val="none"/>
          <w:lang w:val="en-US" w:eastAsia="zh-CN"/>
        </w:rPr>
        <w:t>协议</w:t>
      </w:r>
      <w:r>
        <w:rPr>
          <w:rStyle w:val="43"/>
          <w:rFonts w:hint="eastAsia" w:ascii="Times New Roman" w:hAnsi="Times New Roman" w:cs="Times New Roman"/>
          <w:b w:val="0"/>
          <w:bCs w:val="0"/>
          <w:color w:val="auto"/>
          <w:sz w:val="21"/>
          <w:szCs w:val="21"/>
          <w:highlight w:val="none"/>
          <w:lang w:val="en-US" w:eastAsia="zh-CN"/>
        </w:rPr>
        <w:t>发生纠纷的，由甲、乙双方协商解决；协商不成的，任一方均有权向甲方所在地人民法院提出诉讼。</w:t>
      </w:r>
    </w:p>
    <w:p>
      <w:pPr>
        <w:pStyle w:val="5"/>
        <w:keepNext w:val="0"/>
        <w:keepLines w:val="0"/>
        <w:pageBreakBefore w:val="0"/>
        <w:widowControl/>
        <w:numPr>
          <w:ilvl w:val="2"/>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0"/>
        <w:textAlignment w:val="auto"/>
        <w:rPr>
          <w:rStyle w:val="43"/>
          <w:rFonts w:hint="eastAsia" w:ascii="Times New Roman" w:hAnsi="Times New Roman" w:cs="Times New Roman"/>
          <w:b w:val="0"/>
          <w:bCs w:val="0"/>
          <w:color w:val="auto"/>
          <w:sz w:val="21"/>
          <w:szCs w:val="21"/>
          <w:highlight w:val="none"/>
          <w:lang w:val="en-US" w:eastAsia="zh-CN"/>
        </w:rPr>
      </w:pPr>
      <w:r>
        <w:rPr>
          <w:rStyle w:val="43"/>
          <w:rFonts w:hint="default" w:ascii="Times New Roman" w:hAnsi="Times New Roman" w:cs="Times New Roman"/>
          <w:b w:val="0"/>
          <w:bCs w:val="0"/>
          <w:color w:val="auto"/>
          <w:sz w:val="21"/>
          <w:szCs w:val="21"/>
          <w:highlight w:val="none"/>
          <w:lang w:val="en-US" w:eastAsia="zh-CN"/>
        </w:rPr>
        <w:t>4.5</w:t>
      </w:r>
      <w:r>
        <w:rPr>
          <w:rStyle w:val="43"/>
          <w:rFonts w:hint="eastAsia" w:ascii="Times New Roman" w:hAnsi="Times New Roman" w:cs="Times New Roman"/>
          <w:b w:val="0"/>
          <w:bCs w:val="0"/>
          <w:color w:val="auto"/>
          <w:sz w:val="21"/>
          <w:szCs w:val="21"/>
          <w:highlight w:val="none"/>
          <w:lang w:val="en-US" w:eastAsia="zh-Hans"/>
        </w:rPr>
        <w:t>本合同一式</w:t>
      </w:r>
      <w:r>
        <w:rPr>
          <w:rStyle w:val="43"/>
          <w:rFonts w:hint="default" w:ascii="Times New Roman" w:hAnsi="Times New Roman" w:cs="Times New Roman"/>
          <w:b w:val="0"/>
          <w:bCs w:val="0"/>
          <w:color w:val="auto"/>
          <w:sz w:val="21"/>
          <w:szCs w:val="21"/>
          <w:highlight w:val="none"/>
          <w:lang w:val="en-US" w:eastAsia="zh-Hans"/>
        </w:rPr>
        <w:t>___</w:t>
      </w:r>
      <w:r>
        <w:rPr>
          <w:rStyle w:val="43"/>
          <w:rFonts w:hint="eastAsia" w:ascii="Times New Roman" w:hAnsi="Times New Roman" w:cs="Times New Roman"/>
          <w:b w:val="0"/>
          <w:bCs w:val="0"/>
          <w:color w:val="auto"/>
          <w:sz w:val="21"/>
          <w:szCs w:val="21"/>
          <w:highlight w:val="none"/>
          <w:lang w:val="en-US" w:eastAsia="zh-Hans"/>
        </w:rPr>
        <w:t>份，双方各执</w:t>
      </w:r>
      <w:r>
        <w:rPr>
          <w:rStyle w:val="43"/>
          <w:rFonts w:hint="default" w:ascii="Times New Roman" w:hAnsi="Times New Roman" w:cs="Times New Roman"/>
          <w:b w:val="0"/>
          <w:bCs w:val="0"/>
          <w:color w:val="auto"/>
          <w:sz w:val="21"/>
          <w:szCs w:val="21"/>
          <w:highlight w:val="none"/>
          <w:lang w:val="en-US" w:eastAsia="zh-Hans"/>
        </w:rPr>
        <w:t>___</w:t>
      </w:r>
      <w:r>
        <w:rPr>
          <w:rStyle w:val="43"/>
          <w:rFonts w:hint="eastAsia" w:ascii="Times New Roman" w:hAnsi="Times New Roman" w:cs="Times New Roman"/>
          <w:b w:val="0"/>
          <w:bCs w:val="0"/>
          <w:color w:val="auto"/>
          <w:sz w:val="21"/>
          <w:szCs w:val="21"/>
          <w:highlight w:val="none"/>
          <w:lang w:val="en-US" w:eastAsia="zh-Hans"/>
        </w:rPr>
        <w:t>份，具有相同法律效力。</w:t>
      </w:r>
    </w:p>
    <w:p>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color w:val="auto"/>
          <w:sz w:val="21"/>
          <w:szCs w:val="21"/>
          <w:highlight w:val="none"/>
        </w:rPr>
      </w:pPr>
      <w:r>
        <w:rPr>
          <w:color w:val="auto"/>
          <w:sz w:val="21"/>
          <w:szCs w:val="21"/>
          <w:highlight w:val="none"/>
        </w:rPr>
        <w:t>（以下无协议正文）</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color w:val="auto"/>
          <w:sz w:val="21"/>
          <w:szCs w:val="21"/>
          <w:highlight w:val="none"/>
        </w:rPr>
      </w:pP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color w:val="auto"/>
          <w:sz w:val="21"/>
          <w:szCs w:val="21"/>
          <w:highlight w:val="none"/>
        </w:rPr>
      </w:pPr>
      <w:r>
        <w:rPr>
          <w:color w:val="auto"/>
          <w:sz w:val="21"/>
          <w:szCs w:val="21"/>
          <w:highlight w:val="none"/>
        </w:rPr>
        <w:t>签订时间：    年    月    日</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color w:val="auto"/>
          <w:sz w:val="21"/>
          <w:szCs w:val="21"/>
          <w:highlight w:val="none"/>
        </w:rPr>
      </w:pPr>
      <w:r>
        <w:rPr>
          <w:rStyle w:val="43"/>
          <w:color w:val="auto"/>
          <w:sz w:val="21"/>
          <w:szCs w:val="21"/>
          <w:highlight w:val="none"/>
        </w:rPr>
        <w:t>甲方（盖章）：</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color w:val="auto"/>
          <w:sz w:val="21"/>
          <w:szCs w:val="21"/>
          <w:highlight w:val="none"/>
        </w:rPr>
      </w:pPr>
      <w:r>
        <w:rPr>
          <w:color w:val="auto"/>
          <w:sz w:val="21"/>
          <w:szCs w:val="21"/>
          <w:highlight w:val="none"/>
        </w:rPr>
        <w:t>法定代表人或授权代表：</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color w:val="auto"/>
          <w:sz w:val="21"/>
          <w:szCs w:val="21"/>
          <w:highlight w:val="none"/>
        </w:rPr>
      </w:pPr>
      <w:r>
        <w:rPr>
          <w:rStyle w:val="43"/>
          <w:color w:val="auto"/>
          <w:sz w:val="21"/>
          <w:szCs w:val="21"/>
          <w:highlight w:val="none"/>
        </w:rPr>
        <w:t>乙方（盖章）：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color w:val="auto"/>
          <w:sz w:val="21"/>
          <w:szCs w:val="21"/>
          <w:highlight w:val="none"/>
        </w:rPr>
        <w:sectPr>
          <w:pgSz w:w="11907" w:h="16840"/>
          <w:pgMar w:top="1361" w:right="1474" w:bottom="1242" w:left="1474" w:header="720" w:footer="720" w:gutter="0"/>
          <w:cols w:space="720" w:num="1"/>
          <w:docGrid w:linePitch="285" w:charSpace="0"/>
        </w:sectPr>
      </w:pPr>
      <w:r>
        <w:rPr>
          <w:color w:val="auto"/>
          <w:sz w:val="21"/>
          <w:szCs w:val="21"/>
          <w:highlight w:val="none"/>
        </w:rPr>
        <w:t>法定代表人或授权代表：</w:t>
      </w:r>
    </w:p>
    <w:p>
      <w:pPr>
        <w:bidi w:val="0"/>
        <w:jc w:val="center"/>
        <w:rPr>
          <w:rFonts w:hint="eastAsia"/>
          <w:b/>
          <w:bCs/>
          <w:color w:val="auto"/>
          <w:highlight w:val="none"/>
        </w:rPr>
      </w:pPr>
      <w:r>
        <w:rPr>
          <w:rFonts w:hint="eastAsia"/>
          <w:b/>
          <w:bCs/>
          <w:color w:val="auto"/>
          <w:highlight w:val="none"/>
        </w:rPr>
        <w:t>保密协议</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协议</w:t>
      </w:r>
      <w:r>
        <w:rPr>
          <w:rFonts w:hint="eastAsia" w:ascii="宋体" w:hAnsi="宋体" w:eastAsia="宋体" w:cs="宋体"/>
          <w:color w:val="auto"/>
          <w:sz w:val="24"/>
          <w:szCs w:val="24"/>
          <w:highlight w:val="none"/>
        </w:rPr>
        <w:t>编号：</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宁波市</w:t>
      </w:r>
      <w:r>
        <w:rPr>
          <w:rFonts w:hint="eastAsia" w:ascii="宋体" w:hAnsi="宋体" w:eastAsia="宋体" w:cs="宋体"/>
          <w:color w:val="auto"/>
          <w:sz w:val="24"/>
          <w:szCs w:val="24"/>
          <w:highlight w:val="none"/>
          <w:lang w:val="en-US" w:eastAsia="zh-Hans"/>
        </w:rPr>
        <w:t>北仑</w:t>
      </w:r>
      <w:r>
        <w:rPr>
          <w:rFonts w:hint="eastAsia" w:ascii="宋体" w:hAnsi="宋体" w:eastAsia="宋体" w:cs="宋体"/>
          <w:color w:val="auto"/>
          <w:sz w:val="24"/>
          <w:szCs w:val="24"/>
          <w:highlight w:val="none"/>
        </w:rPr>
        <w:t>区</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rPr>
        <w:t>甲方</w:t>
      </w:r>
      <w:r>
        <w:rPr>
          <w:rFonts w:hint="eastAsia" w:ascii="宋体" w:hAnsi="宋体" w:eastAsia="宋体" w:cs="宋体"/>
          <w:b/>
          <w:color w:val="auto"/>
          <w:sz w:val="21"/>
          <w:szCs w:val="21"/>
          <w:highlight w:val="none"/>
        </w:rPr>
        <w:t>：</w:t>
      </w:r>
    </w:p>
    <w:p>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rPr>
        <w:t>乙方</w:t>
      </w:r>
      <w:r>
        <w:rPr>
          <w:rFonts w:hint="eastAsia" w:ascii="宋体" w:hAnsi="宋体" w:eastAsia="宋体" w:cs="宋体"/>
          <w:b/>
          <w:color w:val="auto"/>
          <w:sz w:val="21"/>
          <w:szCs w:val="21"/>
          <w:highlight w:val="none"/>
        </w:rPr>
        <w:t xml:space="preserve">： </w:t>
      </w:r>
    </w:p>
    <w:p>
      <w:pPr>
        <w:adjustRightInd w:val="0"/>
        <w:snapToGrid w:val="0"/>
        <w:spacing w:line="360" w:lineRule="auto"/>
        <w:ind w:firstLine="420" w:firstLineChars="200"/>
        <w:rPr>
          <w:rFonts w:hint="eastAsia" w:ascii="宋体" w:hAnsi="宋体" w:eastAsia="宋体" w:cs="宋体"/>
          <w:color w:val="auto"/>
          <w:sz w:val="21"/>
          <w:szCs w:val="21"/>
          <w:highlight w:val="none"/>
        </w:rPr>
      </w:pP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lang w:val="en-US"/>
        </w:rPr>
        <w:t>甲、乙</w:t>
      </w:r>
      <w:r>
        <w:rPr>
          <w:rFonts w:hint="eastAsia" w:ascii="宋体" w:hAnsi="宋体" w:eastAsia="宋体" w:cs="宋体"/>
          <w:color w:val="auto"/>
          <w:sz w:val="21"/>
          <w:szCs w:val="21"/>
          <w:highlight w:val="none"/>
        </w:rPr>
        <w:t>双方拟开展合作，在合作洽谈、履行过程中，合作双方可能将其</w:t>
      </w:r>
      <w:r>
        <w:rPr>
          <w:rFonts w:hint="eastAsia" w:ascii="宋体" w:hAnsi="宋体" w:eastAsia="宋体" w:cs="宋体"/>
          <w:color w:val="auto"/>
          <w:sz w:val="21"/>
          <w:szCs w:val="21"/>
          <w:highlight w:val="none"/>
          <w:lang w:val="en-US" w:eastAsia="zh-Hans"/>
        </w:rPr>
        <w:t>保密</w:t>
      </w:r>
      <w:r>
        <w:rPr>
          <w:rFonts w:hint="eastAsia" w:ascii="宋体" w:hAnsi="宋体" w:eastAsia="宋体" w:cs="宋体"/>
          <w:color w:val="auto"/>
          <w:sz w:val="21"/>
          <w:szCs w:val="21"/>
          <w:highlight w:val="none"/>
        </w:rPr>
        <w:t>信息披露或提供给另一方。为保护双方</w:t>
      </w:r>
      <w:r>
        <w:rPr>
          <w:rFonts w:hint="eastAsia" w:ascii="宋体" w:hAnsi="宋体" w:eastAsia="宋体" w:cs="宋体"/>
          <w:color w:val="auto"/>
          <w:sz w:val="21"/>
          <w:szCs w:val="21"/>
          <w:highlight w:val="none"/>
          <w:lang w:val="en-US" w:eastAsia="zh-Hans"/>
        </w:rPr>
        <w:t>保密</w:t>
      </w:r>
      <w:r>
        <w:rPr>
          <w:rFonts w:hint="eastAsia" w:ascii="宋体" w:hAnsi="宋体" w:eastAsia="宋体" w:cs="宋体"/>
          <w:color w:val="auto"/>
          <w:sz w:val="21"/>
          <w:szCs w:val="21"/>
          <w:highlight w:val="none"/>
        </w:rPr>
        <w:t>信息，确保</w:t>
      </w:r>
      <w:r>
        <w:rPr>
          <w:rFonts w:hint="eastAsia" w:ascii="宋体" w:hAnsi="宋体" w:eastAsia="宋体" w:cs="宋体"/>
          <w:color w:val="auto"/>
          <w:sz w:val="21"/>
          <w:szCs w:val="21"/>
          <w:highlight w:val="none"/>
          <w:lang w:val="en-US" w:eastAsia="zh-Hans"/>
        </w:rPr>
        <w:t>保密</w:t>
      </w:r>
      <w:r>
        <w:rPr>
          <w:rFonts w:hint="eastAsia" w:ascii="宋体" w:hAnsi="宋体" w:eastAsia="宋体" w:cs="宋体"/>
          <w:color w:val="auto"/>
          <w:sz w:val="21"/>
          <w:szCs w:val="21"/>
          <w:highlight w:val="none"/>
        </w:rPr>
        <w:t>信息仅供洽谈、履行本项目之使用，双方经充分、友好协商达成如下协议。</w:t>
      </w:r>
    </w:p>
    <w:p>
      <w:pPr>
        <w:adjustRightInd w:val="0"/>
        <w:snapToGrid w:val="0"/>
        <w:spacing w:line="360" w:lineRule="auto"/>
        <w:ind w:firstLine="422" w:firstLineChars="200"/>
        <w:rPr>
          <w:rFonts w:hint="eastAsia" w:ascii="宋体" w:hAnsi="宋体" w:eastAsia="宋体" w:cs="宋体"/>
          <w:b/>
          <w:color w:val="auto"/>
          <w:sz w:val="21"/>
          <w:szCs w:val="21"/>
          <w:highlight w:val="none"/>
          <w:lang w:val="en-US" w:eastAsia="zh-Hans"/>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Hans"/>
        </w:rPr>
        <w:t>定义</w:t>
      </w:r>
    </w:p>
    <w:p>
      <w:pPr>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eastAsia="zh-Hans"/>
        </w:rPr>
        <w:t xml:space="preserve">1.1 </w:t>
      </w:r>
      <w:r>
        <w:rPr>
          <w:rFonts w:hint="eastAsia" w:ascii="宋体" w:hAnsi="宋体" w:eastAsia="宋体" w:cs="宋体"/>
          <w:b w:val="0"/>
          <w:bCs/>
          <w:color w:val="auto"/>
          <w:sz w:val="21"/>
          <w:szCs w:val="21"/>
          <w:highlight w:val="none"/>
          <w:lang w:val="en-US" w:eastAsia="zh-Hans"/>
        </w:rPr>
        <w:t>披露方和接收方</w:t>
      </w:r>
    </w:p>
    <w:p>
      <w:pPr>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Hans"/>
        </w:rPr>
        <w:t>本协议履行过程中将本协议约定保密信息向对方披露的一方为披露方，</w:t>
      </w:r>
      <w:r>
        <w:rPr>
          <w:rFonts w:hint="eastAsia" w:ascii="宋体" w:hAnsi="宋体" w:eastAsia="宋体" w:cs="宋体"/>
          <w:b w:val="0"/>
          <w:bCs/>
          <w:color w:val="auto"/>
          <w:sz w:val="21"/>
          <w:szCs w:val="21"/>
          <w:highlight w:val="none"/>
          <w:lang w:eastAsia="zh-Hans"/>
        </w:rPr>
        <w:t>接收</w:t>
      </w:r>
      <w:r>
        <w:rPr>
          <w:rFonts w:hint="eastAsia" w:ascii="宋体" w:hAnsi="宋体" w:eastAsia="宋体" w:cs="宋体"/>
          <w:b w:val="0"/>
          <w:bCs/>
          <w:color w:val="auto"/>
          <w:sz w:val="21"/>
          <w:szCs w:val="21"/>
          <w:highlight w:val="none"/>
          <w:lang w:val="en-US" w:eastAsia="zh-Hans"/>
        </w:rPr>
        <w:t>一方为接收方。甲方或乙方基于本协议均由可能成为本协议所称的披露方或接收方。</w:t>
      </w:r>
    </w:p>
    <w:p>
      <w:pPr>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eastAsia="zh-Hans"/>
        </w:rPr>
        <w:t xml:space="preserve">1.2 </w:t>
      </w:r>
      <w:r>
        <w:rPr>
          <w:rFonts w:hint="eastAsia" w:ascii="宋体" w:hAnsi="宋体" w:eastAsia="宋体" w:cs="宋体"/>
          <w:b w:val="0"/>
          <w:bCs/>
          <w:color w:val="auto"/>
          <w:sz w:val="21"/>
          <w:szCs w:val="21"/>
          <w:highlight w:val="none"/>
          <w:lang w:val="en-US" w:eastAsia="zh-Hans"/>
        </w:rPr>
        <w:t>保密信息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Hans"/>
        </w:rPr>
        <w:t>协议</w:t>
      </w:r>
      <w:r>
        <w:rPr>
          <w:rFonts w:hint="eastAsia" w:ascii="宋体" w:hAnsi="宋体" w:eastAsia="宋体" w:cs="宋体"/>
          <w:color w:val="auto"/>
          <w:sz w:val="21"/>
          <w:szCs w:val="21"/>
          <w:highlight w:val="none"/>
        </w:rPr>
        <w:t>所称的保密信息，是指不为公众所知悉，具有实用性并且披露方已经采取保密措施予以保护的非专利技术、技术信息和经营信息等机密性信息。具体包括：</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在本协议签订之前、签订过程中以及本协议签订后，接收方从披露方或者披露方合作方（披露方“客户”）处所获悉或获得，或基于与披露方的合作而获悉或获得的各种信息、各种文件、资料。上述信息、文件、资料包括但不限于</w:t>
      </w:r>
      <w:r>
        <w:rPr>
          <w:rFonts w:hint="eastAsia" w:ascii="宋体" w:hAnsi="宋体" w:eastAsia="宋体" w:cs="宋体"/>
          <w:color w:val="auto"/>
          <w:sz w:val="21"/>
          <w:szCs w:val="21"/>
          <w:highlight w:val="none"/>
          <w:lang w:eastAsia="zh-Hans"/>
        </w:rPr>
        <w:t>：</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产品信息、产品配置信息、ID外观图纸、设计图纸；</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技术方案、工程设计、电路设计、制造方法、配方、工艺流程、技术指标、计算机软件、数据库存、研究开发记录、技术文档、技术报告、检测报告、实验数据、试验结果；</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图纸、样品、样机、模型、操作手册、相关的函电；</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人力资源信息、客户名单、营销计划、采购资料、定价政策、成本信息、项目进度信息、财务资料、进货渠道、管理诀窍、买卖意向、招投标中的标底及标书内容等</w:t>
      </w:r>
      <w:r>
        <w:rPr>
          <w:rFonts w:hint="eastAsia" w:ascii="宋体" w:hAnsi="宋体" w:eastAsia="宋体" w:cs="宋体"/>
          <w:color w:val="auto"/>
          <w:sz w:val="21"/>
          <w:szCs w:val="21"/>
          <w:highlight w:val="none"/>
          <w:lang w:eastAsia="zh-Hans"/>
        </w:rPr>
        <w:t>；</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披露方向接收方披露的属于</w:t>
      </w:r>
      <w:r>
        <w:rPr>
          <w:rFonts w:hint="eastAsia" w:ascii="宋体" w:hAnsi="宋体" w:eastAsia="宋体" w:cs="宋体"/>
          <w:color w:val="auto"/>
          <w:sz w:val="21"/>
          <w:szCs w:val="21"/>
          <w:highlight w:val="none"/>
        </w:rPr>
        <w:t>披露方合作方</w:t>
      </w:r>
      <w:r>
        <w:rPr>
          <w:rFonts w:hint="eastAsia" w:ascii="宋体" w:hAnsi="宋体" w:eastAsia="宋体" w:cs="宋体"/>
          <w:color w:val="auto"/>
          <w:sz w:val="21"/>
          <w:szCs w:val="21"/>
          <w:highlight w:val="none"/>
          <w:lang w:val="en-US" w:eastAsia="zh-Hans"/>
        </w:rPr>
        <w:t>的保密信息或披露方应当承担保密义务的相关信息；</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双方基于合作产生的依据法律或合作目的需要被保密的其他信息；</w:t>
      </w:r>
    </w:p>
    <w:p>
      <w:pPr>
        <w:numPr>
          <w:ilvl w:val="0"/>
          <w:numId w:val="24"/>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上述信息无论以何种形式或载于何种载体，无论在披露时是以口头、图像或书面以及其他方式表明，均为披露方的商业秘密。</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1.3本协议所称保密信息，不包括下列信息：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rPr>
        <w:t>接收方能以书面文件或记录证明在双方开始洽谈合作前，该信息已为接收方所知悉或已成为公开信息；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非因接收方之故意、过失泄露而成为大众所周知的信息；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（3）</w:t>
      </w:r>
      <w:r>
        <w:rPr>
          <w:rFonts w:hint="eastAsia" w:ascii="宋体" w:hAnsi="宋体" w:eastAsia="宋体" w:cs="宋体"/>
          <w:color w:val="auto"/>
          <w:sz w:val="21"/>
          <w:szCs w:val="21"/>
          <w:highlight w:val="none"/>
        </w:rPr>
        <w:t>经披露方之书面同意而披露的保密信息；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w:t>
      </w:r>
      <w:r>
        <w:rPr>
          <w:rFonts w:hint="eastAsia" w:ascii="宋体" w:hAnsi="宋体" w:eastAsia="宋体" w:cs="宋体"/>
          <w:color w:val="auto"/>
          <w:sz w:val="21"/>
          <w:szCs w:val="21"/>
          <w:highlight w:val="none"/>
        </w:rPr>
        <w:t>在未违反本协议之情形下，接收方能以书面文件或记录证明未使用披露方之保密信息而独自开发取得的信息；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（5）</w:t>
      </w:r>
      <w:r>
        <w:rPr>
          <w:rFonts w:hint="eastAsia" w:ascii="宋体" w:hAnsi="宋体" w:eastAsia="宋体" w:cs="宋体"/>
          <w:color w:val="auto"/>
          <w:sz w:val="21"/>
          <w:szCs w:val="21"/>
          <w:highlight w:val="none"/>
        </w:rPr>
        <w:t>依法律之规定或法院之命令或要求，接收方需要披露披露方保密信息的。但接收方在接收上述命令或要求之前应在法律、法规许可范围内事先通知披露方，以便披露方采取必要之保护措施。</w:t>
      </w:r>
    </w:p>
    <w:p>
      <w:pPr>
        <w:numPr>
          <w:ilvl w:val="0"/>
          <w:numId w:val="25"/>
        </w:numPr>
        <w:adjustRightInd w:val="0"/>
        <w:snapToGrid w:val="0"/>
        <w:spacing w:line="360" w:lineRule="auto"/>
        <w:ind w:firstLine="422" w:firstLineChars="200"/>
        <w:rPr>
          <w:rFonts w:hint="eastAsia" w:ascii="宋体" w:hAnsi="宋体" w:eastAsia="宋体" w:cs="宋体"/>
          <w:b/>
          <w:color w:val="auto"/>
          <w:sz w:val="21"/>
          <w:szCs w:val="21"/>
          <w:highlight w:val="none"/>
          <w:lang w:val="en-US" w:eastAsia="zh-Hans"/>
        </w:rPr>
      </w:pPr>
      <w:r>
        <w:rPr>
          <w:rFonts w:hint="eastAsia" w:ascii="宋体" w:hAnsi="宋体" w:eastAsia="宋体" w:cs="宋体"/>
          <w:b/>
          <w:color w:val="auto"/>
          <w:sz w:val="21"/>
          <w:szCs w:val="21"/>
          <w:highlight w:val="none"/>
        </w:rPr>
        <w:t>保密</w:t>
      </w:r>
      <w:r>
        <w:rPr>
          <w:rFonts w:hint="eastAsia" w:ascii="宋体" w:hAnsi="宋体" w:eastAsia="宋体" w:cs="宋体"/>
          <w:b/>
          <w:color w:val="auto"/>
          <w:sz w:val="21"/>
          <w:szCs w:val="21"/>
          <w:highlight w:val="none"/>
          <w:lang w:val="en-US" w:eastAsia="zh-Hans"/>
        </w:rPr>
        <w:t>信息管理</w:t>
      </w:r>
    </w:p>
    <w:p>
      <w:pPr>
        <w:adjustRightInd w:val="0"/>
        <w:snapToGrid w:val="0"/>
        <w:spacing w:line="360" w:lineRule="auto"/>
        <w:ind w:firstLine="420" w:firstLineChars="200"/>
        <w:rPr>
          <w:rFonts w:hint="eastAsia" w:ascii="宋体" w:hAnsi="宋体" w:eastAsia="宋体" w:cs="宋体"/>
          <w:b w:val="0"/>
          <w:color w:val="auto"/>
          <w:sz w:val="21"/>
          <w:szCs w:val="21"/>
          <w:highlight w:val="none"/>
          <w:lang w:eastAsia="zh-Hans"/>
        </w:rPr>
      </w:pPr>
      <w:r>
        <w:rPr>
          <w:rFonts w:hint="eastAsia" w:ascii="宋体" w:hAnsi="宋体" w:eastAsia="宋体" w:cs="宋体"/>
          <w:color w:val="auto"/>
          <w:sz w:val="21"/>
          <w:szCs w:val="21"/>
          <w:highlight w:val="none"/>
          <w:lang w:eastAsia="zh-Hans"/>
        </w:rPr>
        <w:t>2.1接收方应当尽可能采取各种有力措施（不应低于接收方为保护其自有机密性信息所采取的措施）以保护本协议涉及的须保密信息。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2.2合作双方同意，一方所披露、或因双方合作而知悉或取得另一方</w:t>
      </w:r>
      <w:r>
        <w:rPr>
          <w:rFonts w:hint="eastAsia" w:ascii="宋体" w:hAnsi="宋体" w:eastAsia="宋体" w:cs="宋体"/>
          <w:color w:val="auto"/>
          <w:sz w:val="21"/>
          <w:szCs w:val="21"/>
          <w:highlight w:val="none"/>
          <w:lang w:val="en-US" w:eastAsia="zh-Hans"/>
        </w:rPr>
        <w:t>保密</w:t>
      </w:r>
      <w:r>
        <w:rPr>
          <w:rFonts w:hint="eastAsia" w:ascii="宋体" w:hAnsi="宋体" w:eastAsia="宋体" w:cs="宋体"/>
          <w:color w:val="auto"/>
          <w:sz w:val="21"/>
          <w:szCs w:val="21"/>
          <w:highlight w:val="none"/>
        </w:rPr>
        <w:t>信息，应仅为执行合作之目的而使用。未经一方书面同意，另一方不得为自己或第三人之利益，作其它目的或用途之使用，亦不得以任何方式披露或提供任何第三人。为执行双方合作，接收方员工需要接触披露方</w:t>
      </w:r>
      <w:r>
        <w:rPr>
          <w:rFonts w:hint="eastAsia" w:ascii="宋体" w:hAnsi="宋体" w:eastAsia="宋体" w:cs="宋体"/>
          <w:color w:val="auto"/>
          <w:sz w:val="21"/>
          <w:szCs w:val="21"/>
          <w:highlight w:val="none"/>
          <w:lang w:val="en-US" w:eastAsia="zh-Hans"/>
        </w:rPr>
        <w:t>保密</w:t>
      </w:r>
      <w:r>
        <w:rPr>
          <w:rFonts w:hint="eastAsia" w:ascii="宋体" w:hAnsi="宋体" w:eastAsia="宋体" w:cs="宋体"/>
          <w:color w:val="auto"/>
          <w:sz w:val="21"/>
          <w:szCs w:val="21"/>
          <w:highlight w:val="none"/>
        </w:rPr>
        <w:t>信息的，接收方应保证其员工承担</w:t>
      </w:r>
      <w:r>
        <w:rPr>
          <w:rFonts w:hint="eastAsia" w:ascii="宋体" w:hAnsi="宋体" w:eastAsia="宋体" w:cs="宋体"/>
          <w:color w:val="auto"/>
          <w:sz w:val="21"/>
          <w:szCs w:val="21"/>
          <w:highlight w:val="none"/>
          <w:lang w:val="en-US" w:eastAsia="zh-Hans"/>
        </w:rPr>
        <w:t>本协议所约定的</w:t>
      </w:r>
      <w:r>
        <w:rPr>
          <w:rFonts w:hint="eastAsia" w:ascii="宋体" w:hAnsi="宋体" w:eastAsia="宋体" w:cs="宋体"/>
          <w:color w:val="auto"/>
          <w:sz w:val="21"/>
          <w:szCs w:val="21"/>
          <w:highlight w:val="none"/>
        </w:rPr>
        <w:t>保密义务。违反本条约定的，披露方有权随时取消、终止或解除披露方与接收方合作关系、订单或契约，无需对接收方负任何赔偿责任。</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Hans"/>
        </w:rPr>
        <w:t>在披露方许可接收方披露给第三方的前提下，</w:t>
      </w:r>
      <w:r>
        <w:rPr>
          <w:rFonts w:hint="eastAsia" w:ascii="宋体" w:hAnsi="宋体" w:eastAsia="宋体" w:cs="宋体"/>
          <w:color w:val="auto"/>
          <w:sz w:val="21"/>
          <w:szCs w:val="21"/>
          <w:highlight w:val="none"/>
        </w:rPr>
        <w:t>因接收方雇员、聘用的律师、会计师、财务顾问及其它具有专门资格或专有知识的咨询公司等原因造成泄露的，视同该方违反了本协议；接收方应当与泄露信息方一同承担连带责任</w:t>
      </w:r>
      <w:r>
        <w:rPr>
          <w:rFonts w:hint="eastAsia" w:ascii="宋体" w:hAnsi="宋体" w:eastAsia="宋体" w:cs="宋体"/>
          <w:color w:val="auto"/>
          <w:sz w:val="21"/>
          <w:szCs w:val="21"/>
          <w:highlight w:val="none"/>
          <w:lang w:eastAsia="zh-Hans"/>
        </w:rPr>
        <w:t>；</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2.4如接收方与泄露信息方（包括但不限于接收方的雇员）之间签订协议的，该协议不能免除接收方按本协议应当履行的保密义务及违约责任；</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2.5双方同意接收方应根据披露方的要求，归还或销毁机密性信息及其全部备份（授权或未授权）和所有含有任何上述信息的文件，包括由接收方或任何其代理人、雇员或代表（包括律师、会计师和财务顾问）准备的，含有或反映机密性信息的所有分析、编撰、报告和文件。接收方不得留存关于机密性信息的任何复印件或副本；</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2.6接收方同意对于其所知晓的、已发生的或者可能发生的对于本协议涉及的机密性信息披露、滥用、盗用或者其他未经披露方授权的发布机密性信息的行为，接收方应及时以书面形式通知披露方，并配合披露方采取必要的措施。</w:t>
      </w:r>
    </w:p>
    <w:p>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三、协议效力、权利归属</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3.1本协议签署后，不论双方是否继续洽谈本项目、事后是否签署正式协议，均不影响本协议之效力，即使双方为合作所签署的协议事后因故终止、解除，亦不影响本协议效力。</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披露方因合作所披露或提供的保密信息所有权、专门技术或知识、营业秘密、商标、专利、以及其它知识财产权等，仍为披露方所有。该保密信息不因披露或提供予接收方、或因本协议之签署而成为接收方所有，接收方不因此而取得保密信息的任何授权。 </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3.3除非征得披露方的同意，接收方不得对披露方发布或交付的机密性信息进行任何修改或改进。接收方在利用或使用该机密性信息的基础上所获得的非专利技术、专利、著作权等知识产权都属披露方所有。</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3.4未经合作一方书面同意，另一方不得复制或影印所披露或提供的保密信息。</w:t>
      </w:r>
    </w:p>
    <w:p>
      <w:pPr>
        <w:numPr>
          <w:ilvl w:val="0"/>
          <w:numId w:val="26"/>
        </w:numPr>
        <w:adjustRightInd w:val="0"/>
        <w:snapToGrid w:val="0"/>
        <w:spacing w:line="360" w:lineRule="auto"/>
        <w:ind w:firstLine="422" w:firstLineChars="200"/>
        <w:rPr>
          <w:rFonts w:hint="eastAsia" w:ascii="宋体" w:hAnsi="宋体" w:eastAsia="宋体" w:cs="宋体"/>
          <w:b/>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保密期限</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b w:val="0"/>
          <w:color w:val="auto"/>
          <w:sz w:val="21"/>
          <w:szCs w:val="21"/>
          <w:highlight w:val="none"/>
          <w:lang w:eastAsia="zh-Hans"/>
        </w:rPr>
        <w:t>4.1</w:t>
      </w:r>
      <w:r>
        <w:rPr>
          <w:rFonts w:hint="eastAsia" w:ascii="宋体" w:hAnsi="宋体" w:eastAsia="宋体" w:cs="宋体"/>
          <w:color w:val="auto"/>
          <w:sz w:val="21"/>
          <w:szCs w:val="21"/>
          <w:highlight w:val="none"/>
          <w:lang w:eastAsia="zh-Hans"/>
        </w:rPr>
        <w:t>除非相关保密信息被公开，接收方对前述保密秘密须承担无限期保密义务</w:t>
      </w:r>
      <w:r>
        <w:rPr>
          <w:rFonts w:hint="eastAsia" w:ascii="宋体" w:hAnsi="宋体" w:eastAsia="宋体" w:cs="宋体"/>
          <w:color w:val="auto"/>
          <w:sz w:val="21"/>
          <w:szCs w:val="21"/>
          <w:highlight w:val="none"/>
          <w:lang w:val="en-US" w:eastAsia="zh-Hans"/>
        </w:rPr>
        <w:t>直至相关保密信息依法进入公众领域</w:t>
      </w:r>
      <w:r>
        <w:rPr>
          <w:rFonts w:hint="eastAsia" w:ascii="宋体" w:hAnsi="宋体" w:eastAsia="宋体" w:cs="宋体"/>
          <w:color w:val="auto"/>
          <w:sz w:val="21"/>
          <w:szCs w:val="21"/>
          <w:highlight w:val="none"/>
          <w:lang w:eastAsia="zh-Hans"/>
        </w:rPr>
        <w:t>。在保密期间，不得将机密性信息透露给任何第三方，并不得将保密信息用于上述合作以外的任何其他目的，并不得自己使用或许可他人使用相关信息。</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4.2本协议一经终止，披露方以媒介或其他任何方式传送给接收方的一切保密信息及接收方所制作的任何复本均应被销毁，或依披露方之书面请求返还给披露方，未经披露方书面许可，接收方不得留存任何机密性信息的原件及复本。接收方的保密义务于本协议终止后仍将存续。</w:t>
      </w:r>
      <w:r>
        <w:rPr>
          <w:rFonts w:hint="eastAsia" w:ascii="宋体" w:hAnsi="宋体" w:eastAsia="宋体" w:cs="宋体"/>
          <w:color w:val="auto"/>
          <w:sz w:val="21"/>
          <w:szCs w:val="21"/>
          <w:highlight w:val="none"/>
        </w:rPr>
        <w:t xml:space="preserve"> </w:t>
      </w:r>
    </w:p>
    <w:p>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Hans"/>
        </w:rPr>
        <w:t>五、</w:t>
      </w:r>
      <w:r>
        <w:rPr>
          <w:rFonts w:hint="eastAsia" w:ascii="宋体" w:hAnsi="宋体" w:eastAsia="宋体" w:cs="宋体"/>
          <w:b/>
          <w:color w:val="auto"/>
          <w:sz w:val="21"/>
          <w:szCs w:val="21"/>
          <w:highlight w:val="none"/>
        </w:rPr>
        <w:t>违约与赔偿</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5.1接收方违反本协议保密义务的，应当向披露方承担相应违约责任，双方应积极协助对方妥善解决有关问题，控制且尽量减少以至消除给披露方造成的影响；接收方违反保密义务的,接收方应向披露方支付违约金</w:t>
      </w:r>
      <w:r>
        <w:rPr>
          <w:rFonts w:hint="eastAsia" w:ascii="宋体" w:hAnsi="宋体" w:eastAsia="宋体" w:cs="宋体"/>
          <w:color w:val="auto"/>
          <w:sz w:val="21"/>
          <w:szCs w:val="21"/>
          <w:highlight w:val="none"/>
          <w:lang w:val="en-US" w:eastAsia="zh-Hans"/>
        </w:rPr>
        <w:t>人民币</w:t>
      </w:r>
      <w:r>
        <w:rPr>
          <w:rFonts w:hint="eastAsia" w:ascii="宋体" w:hAnsi="宋体" w:eastAsia="宋体" w:cs="宋体"/>
          <w:color w:val="auto"/>
          <w:sz w:val="21"/>
          <w:szCs w:val="21"/>
          <w:highlight w:val="none"/>
          <w:u w:val="single"/>
          <w:lang w:eastAsia="zh-Hans"/>
        </w:rPr>
        <w:t xml:space="preserve">      </w:t>
      </w:r>
      <w:r>
        <w:rPr>
          <w:rFonts w:hint="eastAsia" w:ascii="宋体" w:hAnsi="宋体" w:eastAsia="宋体" w:cs="宋体"/>
          <w:color w:val="auto"/>
          <w:sz w:val="21"/>
          <w:szCs w:val="21"/>
          <w:highlight w:val="none"/>
          <w:u w:val="none"/>
          <w:lang w:val="en-US" w:eastAsia="zh-Hans"/>
        </w:rPr>
        <w:t>元</w:t>
      </w:r>
      <w:r>
        <w:rPr>
          <w:rFonts w:hint="eastAsia" w:ascii="宋体" w:hAnsi="宋体" w:eastAsia="宋体" w:cs="宋体"/>
          <w:color w:val="auto"/>
          <w:sz w:val="21"/>
          <w:szCs w:val="21"/>
          <w:highlight w:val="none"/>
        </w:rPr>
        <w:t>，如前述违约金不足以弥补信息披露方损失，则接收方还应继续赔偿披露方因此导致的损失</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披露方为维权支付的案件受理费、保全费、保全担保费、律师费、差旅费、调查费用及其他合理费用均由接收方承担</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5.2双方确认并承认，接收方违反本协议的任何条款都可能造成信息披露方不可弥补的损失，单独的金钱损害赔偿不能提供充分的救济。因此，尽管有前述第</w:t>
      </w:r>
      <w:r>
        <w:rPr>
          <w:rFonts w:hint="eastAsia" w:ascii="宋体" w:hAnsi="宋体" w:eastAsia="宋体" w:cs="宋体"/>
          <w:color w:val="auto"/>
          <w:sz w:val="21"/>
          <w:szCs w:val="21"/>
          <w:highlight w:val="none"/>
          <w:lang w:val="en-US" w:eastAsia="zh-Hans"/>
        </w:rPr>
        <w:t>五</w:t>
      </w:r>
      <w:r>
        <w:rPr>
          <w:rFonts w:hint="eastAsia" w:ascii="宋体" w:hAnsi="宋体" w:eastAsia="宋体" w:cs="宋体"/>
          <w:color w:val="auto"/>
          <w:sz w:val="21"/>
          <w:szCs w:val="21"/>
          <w:highlight w:val="none"/>
        </w:rPr>
        <w:t>条第1款的约定，针对信息接收方的违约或可能发生的违约，披露方除可行使约定权利和救济外，还可向任何具有管辖权的法院申请禁止令或其他类似的法律措施。</w:t>
      </w:r>
    </w:p>
    <w:p>
      <w:pPr>
        <w:adjustRightInd w:val="0"/>
        <w:snapToGrid w:val="0"/>
        <w:spacing w:line="360" w:lineRule="auto"/>
        <w:ind w:firstLine="420" w:firstLineChars="200"/>
        <w:rPr>
          <w:rFonts w:hint="eastAsia" w:ascii="宋体" w:hAnsi="宋体" w:eastAsia="宋体" w:cs="宋体"/>
          <w:b/>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六、</w:t>
      </w:r>
      <w:r>
        <w:rPr>
          <w:rFonts w:hint="eastAsia" w:ascii="宋体" w:hAnsi="宋体" w:eastAsia="宋体" w:cs="宋体"/>
          <w:b/>
          <w:color w:val="auto"/>
          <w:sz w:val="21"/>
          <w:szCs w:val="21"/>
          <w:highlight w:val="none"/>
          <w:lang w:val="en-US" w:eastAsia="zh-Hans"/>
        </w:rPr>
        <w:t>不可抗力</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不可抗力是指双方不能预见、不能避免且不能克服的客观情况。因为遭遇不可抗力而违约的，可适当减、免违约方的违约责任。发生不可抗力事件时，受影响方应及时以书面方式通知另一方有关不可抗力的发生情况和不可抗力</w:t>
      </w:r>
      <w:r>
        <w:rPr>
          <w:rFonts w:hint="eastAsia" w:ascii="宋体" w:hAnsi="宋体" w:eastAsia="宋体" w:cs="宋体"/>
          <w:color w:val="auto"/>
          <w:sz w:val="21"/>
          <w:szCs w:val="21"/>
          <w:highlight w:val="none"/>
          <w:lang w:val="en-US" w:eastAsia="zh-Hans"/>
        </w:rPr>
        <w:t>对</w:t>
      </w:r>
      <w:r>
        <w:rPr>
          <w:rFonts w:hint="eastAsia" w:ascii="宋体" w:hAnsi="宋体" w:eastAsia="宋体" w:cs="宋体"/>
          <w:color w:val="auto"/>
          <w:sz w:val="21"/>
          <w:szCs w:val="21"/>
          <w:highlight w:val="none"/>
          <w:lang w:eastAsia="zh-Hans"/>
        </w:rPr>
        <w:t>其履行本协议的影响，同时应提交不可抗力事件发生地的官方证明。因不可抗力导致本协议需要变更或终止时，应由本协议双方协商一致，以书面方式进行。</w:t>
      </w:r>
    </w:p>
    <w:p>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Hans"/>
        </w:rPr>
        <w:t>七、</w:t>
      </w:r>
      <w:r>
        <w:rPr>
          <w:rFonts w:hint="eastAsia" w:ascii="宋体" w:hAnsi="宋体" w:eastAsia="宋体" w:cs="宋体"/>
          <w:b/>
          <w:color w:val="auto"/>
          <w:sz w:val="21"/>
          <w:szCs w:val="21"/>
          <w:highlight w:val="none"/>
        </w:rPr>
        <w:t>其它约定</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披露方不因本协议之签署，而负有披露或提供任何特定保密信息予接收方之义务，亦不担保其因双方合作所提供或披露之信息之完整性、正确性或合目的性。接收方并明了保密信息必然会含有诸如印刷错误、计算错误、缺漏或其它形式的错误。基于此，接收方如发现上述错误应书面通知披露方，以维持披露方提供信息的正确性。</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7.2双方不因本协议之签署而具有雇佣、相互代理等关系。除双方就合作正式签署合作协议外，双方为洽谈合作进行的讨论及保密信息之披露或提供等，均不得解释为双方已就合作达成合意或承诺。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7.3任何一方在未征得对方书面同意的情况下，不能将本协议中的全部或部分权利、义务转让给协议外的第三人。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7.4本协议履行过程中发生争议的，甲、乙双方应先通过友好协商解决；如协商不成的，由披露方住所地人民法院诉讼管辖。</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7.5本协议经双方签字并盖章后生效。</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7.6本协议书壹式</w:t>
      </w:r>
      <w:r>
        <w:rPr>
          <w:rFonts w:hint="default" w:ascii="宋体" w:hAnsi="宋体" w:eastAsia="宋体" w:cs="宋体"/>
          <w:color w:val="auto"/>
          <w:sz w:val="21"/>
          <w:szCs w:val="21"/>
          <w:highlight w:val="none"/>
        </w:rPr>
        <w:t>___</w:t>
      </w:r>
      <w:r>
        <w:rPr>
          <w:rFonts w:hint="eastAsia" w:ascii="宋体" w:hAnsi="宋体" w:eastAsia="宋体" w:cs="宋体"/>
          <w:color w:val="auto"/>
          <w:sz w:val="21"/>
          <w:szCs w:val="21"/>
          <w:highlight w:val="none"/>
        </w:rPr>
        <w:t>份，双方各执</w:t>
      </w:r>
      <w:r>
        <w:rPr>
          <w:rFonts w:hint="default" w:ascii="宋体" w:hAnsi="宋体" w:eastAsia="宋体" w:cs="宋体"/>
          <w:color w:val="auto"/>
          <w:sz w:val="21"/>
          <w:szCs w:val="21"/>
          <w:highlight w:val="none"/>
        </w:rPr>
        <w:t>____</w:t>
      </w:r>
      <w:r>
        <w:rPr>
          <w:rFonts w:hint="eastAsia" w:ascii="宋体" w:hAnsi="宋体" w:eastAsia="宋体" w:cs="宋体"/>
          <w:color w:val="auto"/>
          <w:sz w:val="21"/>
          <w:szCs w:val="21"/>
          <w:highlight w:val="none"/>
        </w:rPr>
        <w:t>份，具有同等法律效力。</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adjustRightInd w:val="0"/>
        <w:snapToGrid w:val="0"/>
        <w:spacing w:line="360" w:lineRule="auto"/>
        <w:rPr>
          <w:rFonts w:hint="eastAsia" w:ascii="宋体" w:hAnsi="宋体" w:eastAsia="宋体" w:cs="宋体"/>
          <w:b/>
          <w:color w:val="auto"/>
          <w:sz w:val="21"/>
          <w:szCs w:val="21"/>
          <w:highlight w:val="none"/>
        </w:rPr>
      </w:pPr>
    </w:p>
    <w:p>
      <w:pPr>
        <w:spacing w:before="312" w:beforeLines="100" w:after="312" w:afterLines="100" w:line="48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Hans"/>
        </w:rPr>
        <w:t>甲方</w:t>
      </w:r>
      <w:r>
        <w:rPr>
          <w:rFonts w:hint="eastAsia" w:ascii="宋体" w:hAnsi="宋体" w:eastAsia="宋体" w:cs="宋体"/>
          <w:b/>
          <w:color w:val="auto"/>
          <w:sz w:val="21"/>
          <w:szCs w:val="21"/>
          <w:highlight w:val="none"/>
        </w:rPr>
        <w:t xml:space="preserve">（盖章）：                                 </w:t>
      </w:r>
      <w:r>
        <w:rPr>
          <w:rFonts w:hint="eastAsia" w:ascii="宋体" w:hAnsi="宋体" w:eastAsia="宋体" w:cs="宋体"/>
          <w:b/>
          <w:color w:val="auto"/>
          <w:sz w:val="21"/>
          <w:szCs w:val="21"/>
          <w:highlight w:val="none"/>
          <w:lang w:val="en-US" w:eastAsia="zh-Hans"/>
        </w:rPr>
        <w:t>乙方</w:t>
      </w:r>
      <w:r>
        <w:rPr>
          <w:rFonts w:hint="eastAsia" w:ascii="宋体" w:hAnsi="宋体" w:eastAsia="宋体" w:cs="宋体"/>
          <w:b/>
          <w:color w:val="auto"/>
          <w:sz w:val="21"/>
          <w:szCs w:val="21"/>
          <w:highlight w:val="none"/>
        </w:rPr>
        <w:t xml:space="preserve">（盖章）： </w:t>
      </w:r>
    </w:p>
    <w:p>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授权代表（签字）：                             授权代表（签字）：</w:t>
      </w: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地址：</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住所：</w:t>
      </w:r>
    </w:p>
    <w:p>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电话：</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电话：</w:t>
      </w:r>
    </w:p>
    <w:p>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传真：</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传真：</w:t>
      </w:r>
    </w:p>
    <w:p>
      <w:pPr>
        <w:spacing w:line="440" w:lineRule="exact"/>
        <w:rPr>
          <w:rFonts w:ascii="宋体" w:hAnsi="宋体"/>
          <w:b/>
          <w:color w:val="auto"/>
          <w:szCs w:val="21"/>
          <w:highlight w:val="none"/>
        </w:rPr>
      </w:pPr>
    </w:p>
    <w:p>
      <w:pPr>
        <w:spacing w:line="440" w:lineRule="exact"/>
        <w:rPr>
          <w:rFonts w:ascii="宋体" w:hAnsi="宋体"/>
          <w:b/>
          <w:color w:val="auto"/>
          <w:szCs w:val="21"/>
          <w:highlight w:val="none"/>
        </w:rPr>
      </w:pPr>
    </w:p>
    <w:p>
      <w:pPr>
        <w:spacing w:line="440" w:lineRule="exact"/>
        <w:rPr>
          <w:rFonts w:ascii="宋体" w:hAnsi="宋体"/>
          <w:b/>
          <w:color w:val="auto"/>
          <w:szCs w:val="21"/>
          <w:highlight w:val="none"/>
        </w:rPr>
      </w:pPr>
    </w:p>
    <w:p>
      <w:pPr>
        <w:spacing w:line="440" w:lineRule="exact"/>
        <w:rPr>
          <w:rFonts w:ascii="宋体" w:hAnsi="宋体"/>
          <w:b/>
          <w:color w:val="auto"/>
          <w:szCs w:val="21"/>
          <w:highlight w:val="none"/>
        </w:rPr>
      </w:pPr>
    </w:p>
    <w:p>
      <w:pPr>
        <w:pStyle w:val="18"/>
        <w:widowControl/>
        <w:spacing w:line="360" w:lineRule="auto"/>
        <w:ind w:firstLine="0"/>
        <w:jc w:val="left"/>
        <w:rPr>
          <w:color w:val="auto"/>
          <w:highlight w:val="none"/>
        </w:rPr>
      </w:pPr>
    </w:p>
    <w:p>
      <w:pPr>
        <w:spacing w:line="360" w:lineRule="auto"/>
        <w:rPr>
          <w:rFonts w:ascii="宋体" w:hAnsi="宋体"/>
          <w:b/>
          <w:bCs/>
          <w:color w:val="auto"/>
          <w:kern w:val="44"/>
          <w:sz w:val="30"/>
          <w:szCs w:val="44"/>
          <w:highlight w:val="none"/>
        </w:rPr>
      </w:pPr>
      <w:r>
        <w:rPr>
          <w:rFonts w:ascii="宋体" w:hAnsi="宋体"/>
          <w:color w:val="auto"/>
          <w:sz w:val="30"/>
          <w:highlight w:val="none"/>
        </w:rPr>
        <w:br w:type="page"/>
      </w:r>
    </w:p>
    <w:p>
      <w:pPr>
        <w:pStyle w:val="3"/>
        <w:spacing w:before="0" w:after="0" w:line="360" w:lineRule="auto"/>
        <w:jc w:val="center"/>
        <w:rPr>
          <w:color w:val="auto"/>
          <w:highlight w:val="none"/>
        </w:rPr>
      </w:pPr>
      <w:bookmarkStart w:id="212" w:name="_Toc19498"/>
      <w:r>
        <w:rPr>
          <w:rFonts w:hint="eastAsia" w:ascii="宋体" w:hAnsi="宋体"/>
          <w:color w:val="auto"/>
          <w:sz w:val="30"/>
          <w:highlight w:val="none"/>
        </w:rPr>
        <w:t>第六章 投标文件格式</w:t>
      </w:r>
      <w:bookmarkEnd w:id="210"/>
      <w:bookmarkEnd w:id="212"/>
      <w:bookmarkStart w:id="213" w:name="_Toc460857946"/>
    </w:p>
    <w:p>
      <w:pPr>
        <w:rPr>
          <w:rFonts w:ascii="宋体" w:hAnsi="宋体"/>
          <w:b/>
          <w:color w:val="auto"/>
          <w:highlight w:val="none"/>
        </w:rPr>
      </w:pPr>
      <w:r>
        <w:rPr>
          <w:rFonts w:hint="eastAsia" w:ascii="宋体" w:hAnsi="宋体"/>
          <w:b/>
          <w:color w:val="auto"/>
          <w:highlight w:val="none"/>
        </w:rPr>
        <w:t>格式一：</w:t>
      </w:r>
      <w:r>
        <w:rPr>
          <w:rFonts w:hint="eastAsia" w:ascii="宋体" w:hAnsi="宋体"/>
          <w:color w:val="auto"/>
          <w:szCs w:val="21"/>
          <w:highlight w:val="none"/>
        </w:rPr>
        <w:t>投标人资格声明</w:t>
      </w:r>
    </w:p>
    <w:p>
      <w:pPr>
        <w:jc w:val="center"/>
        <w:outlineLvl w:val="2"/>
        <w:rPr>
          <w:rFonts w:ascii="宋体" w:hAnsi="宋体"/>
          <w:b/>
          <w:color w:val="auto"/>
          <w:sz w:val="28"/>
          <w:szCs w:val="28"/>
          <w:highlight w:val="none"/>
        </w:rPr>
      </w:pPr>
      <w:bookmarkStart w:id="214" w:name="_Toc275865606"/>
    </w:p>
    <w:p>
      <w:pPr>
        <w:jc w:val="center"/>
        <w:rPr>
          <w:rFonts w:ascii="宋体" w:hAnsi="宋体"/>
          <w:b/>
          <w:color w:val="auto"/>
          <w:sz w:val="32"/>
          <w:szCs w:val="32"/>
          <w:highlight w:val="none"/>
        </w:rPr>
      </w:pPr>
      <w:r>
        <w:rPr>
          <w:rFonts w:hint="eastAsia" w:ascii="宋体" w:hAnsi="宋体"/>
          <w:b/>
          <w:color w:val="auto"/>
          <w:sz w:val="32"/>
          <w:szCs w:val="32"/>
          <w:highlight w:val="none"/>
        </w:rPr>
        <w:t>投标人资格声明函</w:t>
      </w:r>
      <w:bookmarkEnd w:id="214"/>
    </w:p>
    <w:p>
      <w:pPr>
        <w:rPr>
          <w:rFonts w:ascii="宋体" w:hAnsi="宋体"/>
          <w:b/>
          <w:color w:val="auto"/>
          <w:highlight w:val="none"/>
        </w:rPr>
      </w:pPr>
    </w:p>
    <w:p>
      <w:pPr>
        <w:rPr>
          <w:rFonts w:ascii="宋体" w:hAnsi="宋体"/>
          <w:b/>
          <w:color w:val="auto"/>
          <w:highlight w:val="none"/>
        </w:rPr>
      </w:pPr>
      <w:r>
        <w:rPr>
          <w:rFonts w:hint="eastAsia" w:ascii="宋体" w:hAnsi="宋体"/>
          <w:b/>
          <w:color w:val="auto"/>
          <w:highlight w:val="none"/>
        </w:rPr>
        <w:t>采购人或采购代理机构：</w:t>
      </w:r>
    </w:p>
    <w:p>
      <w:pPr>
        <w:snapToGrid w:val="0"/>
        <w:spacing w:before="120" w:beforeLines="50" w:line="360" w:lineRule="auto"/>
        <w:ind w:firstLine="424" w:firstLineChars="202"/>
        <w:rPr>
          <w:rFonts w:ascii="宋体" w:hAnsi="宋体"/>
          <w:color w:val="auto"/>
          <w:highlight w:val="none"/>
        </w:rPr>
      </w:pPr>
    </w:p>
    <w:p>
      <w:pPr>
        <w:snapToGrid w:val="0"/>
        <w:spacing w:before="120" w:beforeLines="50" w:line="360" w:lineRule="auto"/>
        <w:ind w:firstLine="424" w:firstLineChars="202"/>
        <w:rPr>
          <w:rFonts w:ascii="宋体" w:hAnsi="宋体"/>
          <w:color w:val="auto"/>
          <w:highlight w:val="none"/>
        </w:rPr>
      </w:pPr>
      <w:r>
        <w:rPr>
          <w:rFonts w:hint="eastAsia" w:ascii="宋体" w:hAnsi="宋体"/>
          <w:color w:val="auto"/>
          <w:highlight w:val="none"/>
        </w:rPr>
        <w:t>关于你贵司项目（项目编号：　　　）的采购公告，本公司（企业）愿意参加投标，并声明：</w:t>
      </w:r>
    </w:p>
    <w:p>
      <w:pPr>
        <w:snapToGrid w:val="0"/>
        <w:spacing w:line="360" w:lineRule="auto"/>
        <w:ind w:firstLine="424" w:firstLineChars="202"/>
        <w:rPr>
          <w:rFonts w:ascii="宋体" w:hAnsi="宋体"/>
          <w:bCs/>
          <w:color w:val="auto"/>
          <w:szCs w:val="21"/>
          <w:highlight w:val="none"/>
        </w:rPr>
      </w:pPr>
      <w:r>
        <w:rPr>
          <w:rFonts w:hint="eastAsia" w:ascii="宋体" w:hAnsi="宋体"/>
          <w:color w:val="auto"/>
          <w:highlight w:val="none"/>
        </w:rPr>
        <w:t>本公司（企业）具备</w:t>
      </w:r>
      <w:r>
        <w:rPr>
          <w:rFonts w:hint="eastAsia" w:ascii="宋体" w:hAnsi="宋体"/>
          <w:bCs/>
          <w:color w:val="auto"/>
          <w:szCs w:val="21"/>
          <w:highlight w:val="none"/>
        </w:rPr>
        <w:t>《中华人民共和国政府采购法》第二十二条资格条件，</w:t>
      </w:r>
    </w:p>
    <w:p>
      <w:pPr>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（一）具有独立承担民事责任的能力；</w:t>
      </w:r>
    </w:p>
    <w:p>
      <w:pPr>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（二）具有良好的商业信誉和健全的财务会计制度；</w:t>
      </w:r>
    </w:p>
    <w:p>
      <w:pPr>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（三）具有履行合同所必需的设备和专业技术能力；</w:t>
      </w:r>
    </w:p>
    <w:p>
      <w:pPr>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（四）有依法缴纳税收和社会保障资金的良好记录；</w:t>
      </w:r>
    </w:p>
    <w:p>
      <w:pPr>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（五）参加政府采购活动前三年内，在经营活动中没有重大违法记录；</w:t>
      </w:r>
    </w:p>
    <w:p>
      <w:pPr>
        <w:snapToGrid w:val="0"/>
        <w:spacing w:line="360" w:lineRule="auto"/>
        <w:ind w:firstLine="424" w:firstLineChars="202"/>
        <w:rPr>
          <w:rFonts w:ascii="宋体" w:hAnsi="宋体"/>
          <w:bCs/>
          <w:color w:val="auto"/>
          <w:szCs w:val="21"/>
          <w:highlight w:val="none"/>
        </w:rPr>
      </w:pPr>
      <w:r>
        <w:rPr>
          <w:rFonts w:hint="eastAsia" w:ascii="宋体" w:hAnsi="宋体"/>
          <w:bCs/>
          <w:color w:val="auto"/>
          <w:szCs w:val="21"/>
          <w:highlight w:val="none"/>
        </w:rPr>
        <w:t>（六）法律、行政法规规定的其他条件。</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并已清楚采购文件的要求及有关文件规定。</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hAnsi="宋体"/>
          <w:color w:val="auto"/>
          <w:highlight w:val="none"/>
        </w:rPr>
      </w:pPr>
      <w:r>
        <w:rPr>
          <w:rFonts w:hint="eastAsia" w:ascii="宋体" w:hAnsi="宋体"/>
          <w:b/>
          <w:color w:val="auto"/>
          <w:highlight w:val="none"/>
        </w:rPr>
        <w:t>本公司（企业）</w:t>
      </w:r>
      <w:r>
        <w:rPr>
          <w:rFonts w:ascii="宋体" w:hAnsi="宋体"/>
          <w:b/>
          <w:color w:val="auto"/>
          <w:highlight w:val="none"/>
        </w:rPr>
        <w:t>具有履行合同所必需的设备和专业技术能力</w:t>
      </w:r>
      <w:r>
        <w:rPr>
          <w:rFonts w:hint="eastAsia" w:ascii="宋体" w:hAnsi="宋体"/>
          <w:b/>
          <w:color w:val="auto"/>
          <w:highlight w:val="none"/>
        </w:rPr>
        <w:t>，且本公司（企业）参加政府采购活动前</w:t>
      </w:r>
      <w:r>
        <w:rPr>
          <w:rFonts w:ascii="宋体" w:hAnsi="宋体"/>
          <w:b/>
          <w:color w:val="auto"/>
          <w:highlight w:val="none"/>
        </w:rPr>
        <w:t>3</w:t>
      </w:r>
      <w:r>
        <w:rPr>
          <w:rFonts w:hint="eastAsia" w:ascii="宋体" w:hAnsi="宋体"/>
          <w:b/>
          <w:color w:val="auto"/>
          <w:highlight w:val="none"/>
        </w:rPr>
        <w:t>年内在经营活动中没有重大违法记录。</w:t>
      </w:r>
      <w:r>
        <w:rPr>
          <w:rFonts w:hint="eastAsia" w:ascii="宋体" w:hAnsi="宋体"/>
          <w:color w:val="auto"/>
          <w:highlight w:val="none"/>
        </w:rPr>
        <w:t>否则，由此所造成的损失、不良后果及法律责任，一律由我公司（企业）承担。</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本次招标采购活动中，如有违法、违规、弄虚作假行为，所造成的损失、不良后果及法律责任，一律由我公司（企业）承担。</w:t>
      </w:r>
    </w:p>
    <w:p>
      <w:pPr>
        <w:spacing w:line="360" w:lineRule="auto"/>
        <w:ind w:firstLine="420"/>
        <w:rPr>
          <w:rFonts w:ascii="宋体" w:hAnsi="宋体"/>
          <w:b/>
          <w:color w:val="auto"/>
          <w:highlight w:val="none"/>
        </w:rPr>
      </w:pPr>
    </w:p>
    <w:p>
      <w:pPr>
        <w:spacing w:line="360" w:lineRule="auto"/>
        <w:ind w:firstLine="420"/>
        <w:rPr>
          <w:rFonts w:ascii="宋体" w:hAnsi="宋体"/>
          <w:b/>
          <w:color w:val="auto"/>
          <w:highlight w:val="none"/>
        </w:rPr>
      </w:pPr>
    </w:p>
    <w:p>
      <w:pPr>
        <w:spacing w:line="360" w:lineRule="auto"/>
        <w:ind w:firstLine="420"/>
        <w:rPr>
          <w:rFonts w:ascii="宋体" w:hAnsi="宋体"/>
          <w:b/>
          <w:color w:val="auto"/>
          <w:highlight w:val="none"/>
        </w:rPr>
      </w:pPr>
      <w:r>
        <w:rPr>
          <w:rFonts w:hint="eastAsia" w:ascii="宋体" w:hAnsi="宋体"/>
          <w:b/>
          <w:color w:val="auto"/>
          <w:highlight w:val="none"/>
        </w:rPr>
        <w:t>特此声明！</w:t>
      </w:r>
    </w:p>
    <w:p>
      <w:pPr>
        <w:adjustRightInd w:val="0"/>
        <w:snapToGrid w:val="0"/>
        <w:spacing w:line="360" w:lineRule="auto"/>
        <w:ind w:left="425"/>
        <w:rPr>
          <w:rFonts w:ascii="宋体" w:hAnsi="宋体"/>
          <w:color w:val="auto"/>
          <w:spacing w:val="4"/>
          <w:highlight w:val="none"/>
        </w:rPr>
      </w:pPr>
    </w:p>
    <w:p>
      <w:pPr>
        <w:widowControl/>
        <w:spacing w:line="360" w:lineRule="auto"/>
        <w:jc w:val="left"/>
        <w:rPr>
          <w:rFonts w:ascii="宋体" w:hAnsi="宋体"/>
          <w:color w:val="auto"/>
          <w:sz w:val="24"/>
          <w:highlight w:val="none"/>
        </w:rPr>
      </w:pPr>
      <w:r>
        <w:rPr>
          <w:rFonts w:hint="eastAsia" w:ascii="宋体" w:hAnsi="宋体"/>
          <w:color w:val="auto"/>
          <w:sz w:val="24"/>
          <w:highlight w:val="none"/>
        </w:rPr>
        <w:t>投 标 人（盖章）：</w:t>
      </w:r>
    </w:p>
    <w:p>
      <w:pPr>
        <w:pStyle w:val="18"/>
        <w:snapToGrid w:val="0"/>
        <w:spacing w:line="360" w:lineRule="auto"/>
        <w:ind w:firstLine="0"/>
        <w:rPr>
          <w:rFonts w:hAnsi="宋体"/>
          <w:color w:val="auto"/>
          <w:spacing w:val="0"/>
          <w:sz w:val="24"/>
          <w:szCs w:val="24"/>
          <w:highlight w:val="none"/>
        </w:rPr>
      </w:pPr>
      <w:r>
        <w:rPr>
          <w:rFonts w:hint="eastAsia" w:hAnsi="宋体"/>
          <w:color w:val="auto"/>
          <w:spacing w:val="0"/>
          <w:sz w:val="24"/>
          <w:szCs w:val="24"/>
          <w:highlight w:val="none"/>
        </w:rPr>
        <w:t>法定代表人或其授权代表（签字或盖章）：</w:t>
      </w:r>
    </w:p>
    <w:p>
      <w:pPr>
        <w:pStyle w:val="18"/>
        <w:widowControl/>
        <w:spacing w:line="360" w:lineRule="auto"/>
        <w:ind w:firstLine="0"/>
        <w:jc w:val="left"/>
        <w:rPr>
          <w:rFonts w:hAnsi="宋体"/>
          <w:color w:val="auto"/>
          <w:spacing w:val="0"/>
          <w:sz w:val="24"/>
          <w:szCs w:val="24"/>
          <w:highlight w:val="none"/>
        </w:rPr>
      </w:pPr>
      <w:r>
        <w:rPr>
          <w:rFonts w:hint="eastAsia" w:hAnsi="宋体"/>
          <w:color w:val="auto"/>
          <w:spacing w:val="0"/>
          <w:sz w:val="24"/>
          <w:szCs w:val="24"/>
          <w:highlight w:val="none"/>
        </w:rPr>
        <w:t>日  期：</w:t>
      </w:r>
    </w:p>
    <w:p>
      <w:pPr>
        <w:widowControl/>
        <w:jc w:val="left"/>
        <w:rPr>
          <w:rFonts w:ascii="宋体" w:hAnsi="宋体"/>
          <w:color w:val="auto"/>
          <w:highlight w:val="none"/>
        </w:rPr>
      </w:pPr>
      <w:r>
        <w:rPr>
          <w:rFonts w:ascii="宋体" w:hAnsi="宋体"/>
          <w:color w:val="auto"/>
          <w:highlight w:val="none"/>
        </w:rPr>
        <w:br w:type="page"/>
      </w:r>
    </w:p>
    <w:p>
      <w:pPr>
        <w:rPr>
          <w:rFonts w:ascii="宋体" w:hAnsi="宋体"/>
          <w:color w:val="auto"/>
          <w:sz w:val="24"/>
          <w:highlight w:val="none"/>
        </w:rPr>
      </w:pPr>
      <w:r>
        <w:rPr>
          <w:rFonts w:hint="eastAsia" w:ascii="宋体" w:hAnsi="宋体"/>
          <w:b/>
          <w:color w:val="auto"/>
          <w:highlight w:val="none"/>
        </w:rPr>
        <w:t>格式二：</w:t>
      </w:r>
    </w:p>
    <w:p>
      <w:pPr>
        <w:jc w:val="center"/>
        <w:rPr>
          <w:rFonts w:ascii="宋体" w:hAnsi="宋体"/>
          <w:color w:val="auto"/>
          <w:sz w:val="24"/>
          <w:highlight w:val="none"/>
        </w:rPr>
      </w:pPr>
      <w:r>
        <w:rPr>
          <w:rFonts w:ascii="宋体" w:hAnsi="宋体"/>
          <w:color w:val="auto"/>
          <w:sz w:val="24"/>
          <w:highlight w:val="none"/>
        </w:rPr>
        <w:t>投标承诺书</w:t>
      </w:r>
    </w:p>
    <w:p>
      <w:pPr>
        <w:ind w:firstLine="420"/>
        <w:rPr>
          <w:rFonts w:ascii="宋体" w:hAnsi="宋体"/>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 xml:space="preserve">本投标人遵循公开、公平、公正和诚实信用的原则，参加_____________ 项目投标(响应)，特郑重承诺如下: </w:t>
      </w:r>
    </w:p>
    <w:p>
      <w:pPr>
        <w:spacing w:line="360" w:lineRule="auto"/>
        <w:ind w:firstLine="420" w:firstLineChars="200"/>
        <w:rPr>
          <w:rFonts w:ascii="宋体" w:hAnsi="宋体"/>
          <w:color w:val="auto"/>
          <w:highlight w:val="none"/>
        </w:rPr>
      </w:pPr>
      <w:r>
        <w:rPr>
          <w:rFonts w:ascii="宋体" w:hAnsi="宋体"/>
          <w:color w:val="auto"/>
          <w:highlight w:val="none"/>
        </w:rPr>
        <w:t>一、所提供的一切资料都是真实、有效、合法的</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二、未为本项目提供整体设计、规范编制或者项目管理、监理、检测等服务。</w:t>
      </w:r>
    </w:p>
    <w:p>
      <w:pPr>
        <w:spacing w:line="360" w:lineRule="auto"/>
        <w:ind w:firstLine="420" w:firstLineChars="200"/>
        <w:rPr>
          <w:rFonts w:ascii="宋体" w:hAnsi="宋体"/>
          <w:color w:val="auto"/>
          <w:highlight w:val="none"/>
        </w:rPr>
      </w:pPr>
      <w:r>
        <w:rPr>
          <w:rFonts w:hint="eastAsia" w:ascii="宋体" w:hAnsi="宋体"/>
          <w:color w:val="auto"/>
          <w:highlight w:val="none"/>
        </w:rPr>
        <w:t>三、与采购人不存在以下利害关系（1）北京航空航天大学、北京航空航天大学宁波创新研究院在该投标人中有股份的。（2）项目负责人、项目主要成员及经办人在该投标人中有股份或任职的。</w:t>
      </w:r>
    </w:p>
    <w:p>
      <w:pPr>
        <w:spacing w:line="360" w:lineRule="auto"/>
        <w:ind w:firstLine="420" w:firstLineChars="200"/>
        <w:rPr>
          <w:rFonts w:ascii="宋体" w:hAnsi="宋体"/>
          <w:color w:val="auto"/>
          <w:highlight w:val="none"/>
        </w:rPr>
      </w:pPr>
      <w:r>
        <w:rPr>
          <w:rFonts w:hint="eastAsia" w:ascii="宋体" w:hAnsi="宋体"/>
          <w:color w:val="auto"/>
          <w:highlight w:val="none"/>
        </w:rPr>
        <w:t>四</w:t>
      </w:r>
      <w:r>
        <w:rPr>
          <w:rFonts w:ascii="宋体" w:hAnsi="宋体"/>
          <w:color w:val="auto"/>
          <w:highlight w:val="none"/>
        </w:rPr>
        <w:t>、无资质挂靠或出卖资质让他人挂靠投标(响应)的行为</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五</w:t>
      </w:r>
      <w:r>
        <w:rPr>
          <w:rFonts w:ascii="宋体" w:hAnsi="宋体"/>
          <w:color w:val="auto"/>
          <w:highlight w:val="none"/>
        </w:rPr>
        <w:t>、不以他人名义投标(响应)或者以其他方式弄虚作假，骗取中标(成交)</w:t>
      </w:r>
      <w:r>
        <w:rPr>
          <w:rFonts w:hint="eastAsia"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olor w:val="auto"/>
          <w:highlight w:val="none"/>
        </w:rPr>
        <w:t>六</w:t>
      </w:r>
      <w:r>
        <w:rPr>
          <w:rFonts w:ascii="宋体" w:hAnsi="宋体"/>
          <w:color w:val="auto"/>
          <w:highlight w:val="none"/>
        </w:rPr>
        <w:t>、没有被各级行政主管部门做出停止市场行为的处罚</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七</w:t>
      </w:r>
      <w:r>
        <w:rPr>
          <w:rFonts w:ascii="宋体" w:hAnsi="宋体"/>
          <w:color w:val="auto"/>
          <w:highlight w:val="none"/>
        </w:rPr>
        <w:t>、不参与串标、围标及抬标(响应)情形，不排挤其他投标(响应)人的公平竞争</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八</w:t>
      </w:r>
      <w:r>
        <w:rPr>
          <w:rFonts w:ascii="宋体" w:hAnsi="宋体"/>
          <w:color w:val="auto"/>
          <w:highlight w:val="none"/>
        </w:rPr>
        <w:t>、不与采购人或采购代理机构串通投标(响应)，损害国家利益、社会公共利益或者他人的合法权益</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九</w:t>
      </w:r>
      <w:r>
        <w:rPr>
          <w:rFonts w:ascii="宋体" w:hAnsi="宋体"/>
          <w:color w:val="auto"/>
          <w:highlight w:val="none"/>
        </w:rPr>
        <w:t>、不向采购人或者评审委员会成员行贿以牟取中标(成交)</w:t>
      </w:r>
      <w:r>
        <w:rPr>
          <w:rFonts w:hint="eastAsia"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ascii="宋体" w:hAnsi="宋体"/>
          <w:color w:val="auto"/>
          <w:highlight w:val="none"/>
        </w:rPr>
        <w:t>十</w:t>
      </w:r>
      <w:r>
        <w:rPr>
          <w:rFonts w:ascii="宋体" w:hAnsi="宋体"/>
          <w:color w:val="auto"/>
          <w:highlight w:val="none"/>
        </w:rPr>
        <w:t>、不扰乱采购人招标采购秩序，不在招标采购过程中进行虚假恶意投标(响应)、质疑或投诉</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十一</w:t>
      </w:r>
      <w:r>
        <w:rPr>
          <w:rFonts w:ascii="宋体" w:hAnsi="宋体"/>
          <w:color w:val="auto"/>
          <w:highlight w:val="none"/>
        </w:rPr>
        <w:t>、若我方中标(成交)，将严格按照投标(响应)文件所承诺的报价、质量、</w:t>
      </w:r>
      <w:r>
        <w:rPr>
          <w:rFonts w:hint="eastAsia" w:ascii="宋体" w:hAnsi="宋体"/>
          <w:color w:val="auto"/>
          <w:highlight w:val="none"/>
        </w:rPr>
        <w:t>交货</w:t>
      </w:r>
      <w:r>
        <w:rPr>
          <w:rFonts w:ascii="宋体" w:hAnsi="宋体"/>
          <w:color w:val="auto"/>
          <w:highlight w:val="none"/>
        </w:rPr>
        <w:t xml:space="preserve">期、 投标(响应)方案等内容签署合同并组织实施。 </w:t>
      </w:r>
    </w:p>
    <w:p>
      <w:pPr>
        <w:spacing w:line="360" w:lineRule="auto"/>
        <w:ind w:firstLine="420" w:firstLineChars="200"/>
        <w:rPr>
          <w:rFonts w:ascii="宋体" w:hAnsi="宋体"/>
          <w:color w:val="auto"/>
          <w:highlight w:val="none"/>
        </w:rPr>
      </w:pPr>
      <w:r>
        <w:rPr>
          <w:rFonts w:ascii="宋体" w:hAnsi="宋体"/>
          <w:color w:val="auto"/>
          <w:highlight w:val="none"/>
        </w:rPr>
        <w:t xml:space="preserve">本公司若有违反本承诺内容的行为之一，愿意承担法律责任，接受政府相关行政主管部门、行业组织及学校等依法依规进行的任何处罚。若造成财产损失，承担全部赔偿责任。 </w:t>
      </w:r>
    </w:p>
    <w:p>
      <w:pPr>
        <w:spacing w:line="360" w:lineRule="auto"/>
        <w:rPr>
          <w:rFonts w:ascii="宋体" w:hAnsi="宋体"/>
          <w:color w:val="auto"/>
          <w:highlight w:val="none"/>
        </w:rPr>
      </w:pPr>
    </w:p>
    <w:p>
      <w:pPr>
        <w:widowControl/>
        <w:spacing w:line="360" w:lineRule="auto"/>
        <w:jc w:val="left"/>
        <w:rPr>
          <w:rFonts w:ascii="宋体" w:hAnsi="宋体"/>
          <w:color w:val="auto"/>
          <w:highlight w:val="none"/>
        </w:rPr>
      </w:pPr>
      <w:r>
        <w:rPr>
          <w:rFonts w:hint="eastAsia" w:ascii="宋体" w:hAnsi="宋体"/>
          <w:color w:val="auto"/>
          <w:highlight w:val="none"/>
        </w:rPr>
        <w:t>投 标 人（盖章）：</w:t>
      </w:r>
    </w:p>
    <w:p>
      <w:pPr>
        <w:pStyle w:val="18"/>
        <w:snapToGrid w:val="0"/>
        <w:spacing w:line="360" w:lineRule="auto"/>
        <w:ind w:firstLine="0"/>
        <w:rPr>
          <w:rFonts w:hAnsi="宋体"/>
          <w:color w:val="auto"/>
          <w:spacing w:val="0"/>
          <w:sz w:val="21"/>
          <w:szCs w:val="24"/>
          <w:highlight w:val="none"/>
        </w:rPr>
      </w:pPr>
      <w:r>
        <w:rPr>
          <w:rFonts w:hint="eastAsia" w:hAnsi="宋体"/>
          <w:color w:val="auto"/>
          <w:spacing w:val="0"/>
          <w:sz w:val="21"/>
          <w:szCs w:val="24"/>
          <w:highlight w:val="none"/>
        </w:rPr>
        <w:t>法定代表人或其授权代表（签字或盖章）：</w:t>
      </w:r>
    </w:p>
    <w:p>
      <w:pPr>
        <w:pStyle w:val="18"/>
        <w:widowControl/>
        <w:spacing w:line="360" w:lineRule="auto"/>
        <w:ind w:firstLine="0"/>
        <w:jc w:val="left"/>
        <w:rPr>
          <w:rFonts w:hAnsi="宋体"/>
          <w:color w:val="auto"/>
          <w:spacing w:val="0"/>
          <w:sz w:val="21"/>
          <w:szCs w:val="24"/>
          <w:highlight w:val="none"/>
        </w:rPr>
      </w:pPr>
      <w:r>
        <w:rPr>
          <w:rFonts w:hint="eastAsia" w:hAnsi="宋体"/>
          <w:color w:val="auto"/>
          <w:spacing w:val="0"/>
          <w:sz w:val="21"/>
          <w:szCs w:val="24"/>
          <w:highlight w:val="none"/>
        </w:rPr>
        <w:t>日           期：</w:t>
      </w:r>
    </w:p>
    <w:p>
      <w:pPr>
        <w:rPr>
          <w:rFonts w:ascii="宋体" w:hAnsi="宋体"/>
          <w:color w:val="auto"/>
          <w:highlight w:val="none"/>
        </w:rPr>
      </w:pPr>
    </w:p>
    <w:p>
      <w:pPr>
        <w:rPr>
          <w:rFonts w:ascii="宋体" w:hAnsi="宋体"/>
          <w:color w:val="auto"/>
          <w:highlight w:val="none"/>
        </w:rPr>
      </w:pPr>
    </w:p>
    <w:p>
      <w:pPr>
        <w:spacing w:line="360" w:lineRule="auto"/>
        <w:rPr>
          <w:rFonts w:ascii="宋体" w:hAnsi="宋体"/>
          <w:color w:val="auto"/>
          <w:highlight w:val="none"/>
        </w:rPr>
      </w:pPr>
    </w:p>
    <w:p>
      <w:pPr>
        <w:widowControl/>
        <w:jc w:val="left"/>
        <w:rPr>
          <w:rFonts w:ascii="宋体" w:hAnsi="宋体"/>
          <w:b/>
          <w:color w:val="auto"/>
          <w:highlight w:val="none"/>
        </w:rPr>
      </w:pPr>
      <w:r>
        <w:rPr>
          <w:rFonts w:ascii="宋体" w:hAnsi="宋体"/>
          <w:color w:val="auto"/>
          <w:highlight w:val="none"/>
        </w:rPr>
        <w:br w:type="page"/>
      </w:r>
      <w:bookmarkEnd w:id="211"/>
      <w:bookmarkEnd w:id="213"/>
    </w:p>
    <w:p>
      <w:pPr>
        <w:rPr>
          <w:rFonts w:ascii="宋体" w:hAnsi="宋体"/>
          <w:b/>
          <w:color w:val="auto"/>
          <w:highlight w:val="none"/>
        </w:rPr>
      </w:pPr>
      <w:r>
        <w:rPr>
          <w:rFonts w:hint="eastAsia" w:ascii="宋体" w:hAnsi="宋体"/>
          <w:b/>
          <w:color w:val="auto"/>
          <w:highlight w:val="none"/>
        </w:rPr>
        <w:t>格式三：</w:t>
      </w:r>
      <w:r>
        <w:rPr>
          <w:rFonts w:hint="eastAsia" w:ascii="宋体" w:hAnsi="宋体"/>
          <w:color w:val="auto"/>
          <w:szCs w:val="21"/>
          <w:highlight w:val="none"/>
        </w:rPr>
        <w:t>投标函</w:t>
      </w:r>
    </w:p>
    <w:p>
      <w:pPr>
        <w:widowControl/>
        <w:spacing w:line="400" w:lineRule="exact"/>
        <w:jc w:val="center"/>
        <w:rPr>
          <w:rFonts w:ascii="宋体" w:hAnsi="宋体"/>
          <w:b/>
          <w:color w:val="auto"/>
          <w:sz w:val="24"/>
          <w:szCs w:val="21"/>
          <w:highlight w:val="none"/>
        </w:rPr>
      </w:pPr>
      <w:r>
        <w:rPr>
          <w:rFonts w:hint="eastAsia" w:ascii="宋体" w:hAnsi="宋体"/>
          <w:b/>
          <w:color w:val="auto"/>
          <w:sz w:val="24"/>
          <w:szCs w:val="21"/>
          <w:highlight w:val="none"/>
        </w:rPr>
        <w:t>投标函</w:t>
      </w:r>
    </w:p>
    <w:p>
      <w:pPr>
        <w:widowControl/>
        <w:spacing w:line="400" w:lineRule="exact"/>
        <w:jc w:val="center"/>
        <w:rPr>
          <w:rFonts w:ascii="宋体" w:hAnsi="宋体"/>
          <w:b/>
          <w:color w:val="auto"/>
          <w:sz w:val="24"/>
          <w:highlight w:val="none"/>
        </w:rPr>
      </w:pPr>
    </w:p>
    <w:p>
      <w:pPr>
        <w:pStyle w:val="18"/>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致：招标代理机构</w:t>
      </w:r>
    </w:p>
    <w:p>
      <w:pPr>
        <w:pStyle w:val="18"/>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 xml:space="preserve">   （投标人全称）   </w:t>
      </w:r>
      <w:r>
        <w:rPr>
          <w:rFonts w:hint="eastAsia" w:hAnsi="宋体"/>
          <w:color w:val="auto"/>
          <w:sz w:val="21"/>
          <w:szCs w:val="21"/>
          <w:highlight w:val="none"/>
        </w:rPr>
        <w:t xml:space="preserve"> 授权</w:t>
      </w:r>
      <w:r>
        <w:rPr>
          <w:rFonts w:hint="eastAsia" w:hAnsi="宋体"/>
          <w:color w:val="auto"/>
          <w:sz w:val="21"/>
          <w:szCs w:val="21"/>
          <w:highlight w:val="none"/>
          <w:u w:val="single"/>
        </w:rPr>
        <w:t xml:space="preserve"> （授权代表姓名、职务）   </w:t>
      </w:r>
      <w:r>
        <w:rPr>
          <w:rFonts w:hint="eastAsia" w:hAnsi="宋体"/>
          <w:color w:val="auto"/>
          <w:sz w:val="21"/>
          <w:szCs w:val="21"/>
          <w:highlight w:val="none"/>
        </w:rPr>
        <w:t xml:space="preserve">为本公司合法代理人，参加贵方组织的 </w:t>
      </w:r>
      <w:r>
        <w:rPr>
          <w:rFonts w:hint="eastAsia" w:hAnsi="宋体"/>
          <w:color w:val="auto"/>
          <w:sz w:val="21"/>
          <w:szCs w:val="21"/>
          <w:highlight w:val="none"/>
          <w:u w:val="single"/>
        </w:rPr>
        <w:t xml:space="preserve">   （招标编号、项目名称） </w:t>
      </w:r>
      <w:r>
        <w:rPr>
          <w:rFonts w:hint="eastAsia" w:hAnsi="宋体"/>
          <w:color w:val="auto"/>
          <w:sz w:val="21"/>
          <w:szCs w:val="21"/>
          <w:highlight w:val="none"/>
        </w:rPr>
        <w:t>招投标活动，代表本公司（单位）处理招投标活动中的一切事宜，在此：</w:t>
      </w:r>
    </w:p>
    <w:p>
      <w:pPr>
        <w:pStyle w:val="18"/>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1、据此函，签字代表宣布并承诺如下：</w:t>
      </w:r>
    </w:p>
    <w:p>
      <w:pPr>
        <w:pStyle w:val="18"/>
        <w:widowControl/>
        <w:numPr>
          <w:ilvl w:val="0"/>
          <w:numId w:val="27"/>
        </w:numPr>
        <w:spacing w:line="360" w:lineRule="auto"/>
        <w:jc w:val="left"/>
        <w:rPr>
          <w:rFonts w:hAnsi="宋体"/>
          <w:color w:val="auto"/>
          <w:sz w:val="21"/>
          <w:szCs w:val="21"/>
          <w:highlight w:val="none"/>
          <w:u w:val="single"/>
        </w:rPr>
      </w:pPr>
      <w:r>
        <w:rPr>
          <w:rFonts w:hAnsi="宋体"/>
          <w:color w:val="auto"/>
          <w:sz w:val="21"/>
          <w:szCs w:val="21"/>
          <w:highlight w:val="none"/>
        </w:rPr>
        <w:t>我方对招标项目子包愿以</w:t>
      </w:r>
      <w:r>
        <w:rPr>
          <w:rFonts w:hint="eastAsia" w:hAnsi="宋体"/>
          <w:color w:val="auto"/>
          <w:sz w:val="21"/>
          <w:szCs w:val="21"/>
          <w:highlight w:val="none"/>
        </w:rPr>
        <w:t>投标</w:t>
      </w:r>
      <w:r>
        <w:rPr>
          <w:rFonts w:hAnsi="宋体"/>
          <w:color w:val="auto"/>
          <w:sz w:val="21"/>
          <w:szCs w:val="21"/>
          <w:highlight w:val="none"/>
        </w:rPr>
        <w:t>报价为（大写）：人民币元、（小写）：</w:t>
      </w:r>
    </w:p>
    <w:p>
      <w:pPr>
        <w:pStyle w:val="18"/>
        <w:widowControl/>
        <w:spacing w:line="360" w:lineRule="auto"/>
        <w:ind w:left="210" w:firstLine="0"/>
        <w:jc w:val="left"/>
        <w:rPr>
          <w:rFonts w:hAnsi="宋体"/>
          <w:color w:val="auto"/>
          <w:sz w:val="21"/>
          <w:szCs w:val="21"/>
          <w:highlight w:val="none"/>
        </w:rPr>
      </w:pPr>
      <w:r>
        <w:rPr>
          <w:rFonts w:hAnsi="宋体"/>
          <w:color w:val="auto"/>
          <w:sz w:val="21"/>
          <w:szCs w:val="21"/>
          <w:highlight w:val="none"/>
        </w:rPr>
        <w:t>元人民币，承担采购文件规定内容。（可按子包列明）</w:t>
      </w:r>
    </w:p>
    <w:p>
      <w:pPr>
        <w:pStyle w:val="18"/>
        <w:widowControl/>
        <w:spacing w:line="360" w:lineRule="auto"/>
        <w:ind w:left="715" w:leftChars="100" w:hanging="505" w:hangingChars="250"/>
        <w:jc w:val="left"/>
        <w:rPr>
          <w:rFonts w:hAnsi="宋体"/>
          <w:color w:val="auto"/>
          <w:sz w:val="21"/>
          <w:szCs w:val="21"/>
          <w:highlight w:val="none"/>
        </w:rPr>
      </w:pPr>
      <w:r>
        <w:rPr>
          <w:rFonts w:hint="eastAsia" w:hAnsi="宋体"/>
          <w:color w:val="auto"/>
          <w:sz w:val="21"/>
          <w:szCs w:val="21"/>
          <w:highlight w:val="none"/>
        </w:rPr>
        <w:t>（2）本报价已经包含了所供货物应纳的税金及采购文件规定的报价方式应包含的其它费用。本报价在投标有效期内固定不变，并在合同有效期内不受利率波动的影响。</w:t>
      </w:r>
    </w:p>
    <w:p>
      <w:pPr>
        <w:pStyle w:val="18"/>
        <w:widowControl/>
        <w:spacing w:line="360" w:lineRule="auto"/>
        <w:ind w:firstLine="202" w:firstLineChars="100"/>
        <w:jc w:val="left"/>
        <w:rPr>
          <w:rFonts w:hAnsi="宋体"/>
          <w:color w:val="auto"/>
          <w:sz w:val="21"/>
          <w:szCs w:val="21"/>
          <w:highlight w:val="none"/>
        </w:rPr>
      </w:pPr>
      <w:r>
        <w:rPr>
          <w:rFonts w:hint="eastAsia" w:hAnsi="宋体"/>
          <w:color w:val="auto"/>
          <w:sz w:val="21"/>
          <w:szCs w:val="21"/>
          <w:highlight w:val="none"/>
        </w:rPr>
        <w:t>（3）本投标自开标之日起</w:t>
      </w:r>
      <w:r>
        <w:rPr>
          <w:rFonts w:hint="eastAsia" w:hAnsi="宋体"/>
          <w:color w:val="auto"/>
          <w:sz w:val="21"/>
          <w:szCs w:val="21"/>
          <w:highlight w:val="none"/>
          <w:u w:val="single"/>
        </w:rPr>
        <w:t xml:space="preserve">    90   </w:t>
      </w:r>
      <w:r>
        <w:rPr>
          <w:rFonts w:hint="eastAsia" w:hAnsi="宋体"/>
          <w:color w:val="auto"/>
          <w:sz w:val="21"/>
          <w:szCs w:val="21"/>
          <w:highlight w:val="none"/>
        </w:rPr>
        <w:t>天内有效。</w:t>
      </w:r>
    </w:p>
    <w:p>
      <w:pPr>
        <w:pStyle w:val="18"/>
        <w:widowControl/>
        <w:spacing w:line="360" w:lineRule="auto"/>
        <w:ind w:left="715" w:leftChars="100" w:hanging="505" w:hangingChars="250"/>
        <w:jc w:val="left"/>
        <w:rPr>
          <w:rFonts w:hAnsi="宋体"/>
          <w:color w:val="auto"/>
          <w:sz w:val="21"/>
          <w:szCs w:val="21"/>
          <w:highlight w:val="none"/>
        </w:rPr>
      </w:pPr>
      <w:r>
        <w:rPr>
          <w:rFonts w:hint="eastAsia" w:hAnsi="宋体"/>
          <w:color w:val="auto"/>
          <w:sz w:val="21"/>
          <w:szCs w:val="21"/>
          <w:highlight w:val="none"/>
        </w:rPr>
        <w:t>（4）我们已详细审查全部采购文件及有关的澄清/修改文件(若有的话)，我们完全理解并同意放弃对这方面提出任何异议的权利。保证遵守采购文件有关条款规定。</w:t>
      </w:r>
    </w:p>
    <w:p>
      <w:pPr>
        <w:pStyle w:val="18"/>
        <w:widowControl/>
        <w:spacing w:line="360" w:lineRule="auto"/>
        <w:ind w:left="715" w:leftChars="100" w:hanging="505" w:hangingChars="250"/>
        <w:jc w:val="left"/>
        <w:rPr>
          <w:rFonts w:hAnsi="宋体"/>
          <w:color w:val="auto"/>
          <w:sz w:val="21"/>
          <w:szCs w:val="21"/>
          <w:highlight w:val="none"/>
        </w:rPr>
      </w:pPr>
      <w:r>
        <w:rPr>
          <w:rFonts w:hint="eastAsia" w:hAnsi="宋体"/>
          <w:color w:val="auto"/>
          <w:sz w:val="21"/>
          <w:szCs w:val="21"/>
          <w:highlight w:val="none"/>
        </w:rPr>
        <w:t>（5）保证在中标后忠实地执行与招标人所签署的合同，并承担合同规定的责任义务。</w:t>
      </w:r>
    </w:p>
    <w:p>
      <w:pPr>
        <w:pStyle w:val="18"/>
        <w:widowControl/>
        <w:spacing w:line="360" w:lineRule="auto"/>
        <w:ind w:left="715" w:leftChars="100" w:hanging="505" w:hangingChars="250"/>
        <w:jc w:val="left"/>
        <w:rPr>
          <w:rFonts w:hAnsi="宋体"/>
          <w:color w:val="auto"/>
          <w:sz w:val="21"/>
          <w:szCs w:val="21"/>
          <w:highlight w:val="none"/>
        </w:rPr>
      </w:pPr>
      <w:r>
        <w:rPr>
          <w:rFonts w:hint="eastAsia" w:hAnsi="宋体"/>
          <w:color w:val="auto"/>
          <w:sz w:val="21"/>
          <w:szCs w:val="21"/>
          <w:highlight w:val="none"/>
        </w:rPr>
        <w:t>（6）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18"/>
        <w:widowControl/>
        <w:spacing w:line="360" w:lineRule="auto"/>
        <w:ind w:firstLine="202" w:firstLineChars="10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7</w:t>
      </w:r>
      <w:r>
        <w:rPr>
          <w:rFonts w:hint="eastAsia" w:hAnsi="宋体"/>
          <w:color w:val="auto"/>
          <w:sz w:val="21"/>
          <w:szCs w:val="21"/>
          <w:highlight w:val="none"/>
        </w:rPr>
        <w:t>）承诺应贵方要求提供任何与该项目投标有关的数据、情况和技术资料。</w:t>
      </w:r>
    </w:p>
    <w:p>
      <w:pPr>
        <w:pStyle w:val="18"/>
        <w:widowControl/>
        <w:spacing w:line="360" w:lineRule="auto"/>
        <w:ind w:left="614" w:leftChars="100" w:hanging="404" w:hangingChars="20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8</w:t>
      </w:r>
      <w:r>
        <w:rPr>
          <w:rFonts w:hint="eastAsia" w:hAnsi="宋体"/>
          <w:color w:val="auto"/>
          <w:sz w:val="21"/>
          <w:szCs w:val="21"/>
          <w:highlight w:val="none"/>
        </w:rPr>
        <w:t>）我们承诺，与为招标人采购本次招标的货物进行设计、编制规范和其他文件所委托的咨询公司或其附属机构无任何直接或间接的关联。</w:t>
      </w:r>
    </w:p>
    <w:p>
      <w:pPr>
        <w:pStyle w:val="18"/>
        <w:widowControl/>
        <w:spacing w:line="360" w:lineRule="auto"/>
        <w:ind w:left="303" w:hanging="303" w:hangingChars="150"/>
        <w:jc w:val="left"/>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我们郑重声明：</w:t>
      </w:r>
      <w:r>
        <w:rPr>
          <w:rFonts w:hAnsi="宋体"/>
          <w:color w:val="auto"/>
          <w:sz w:val="21"/>
          <w:szCs w:val="21"/>
          <w:highlight w:val="none"/>
        </w:rPr>
        <w:br w:type="textWrapping"/>
      </w:r>
      <w:r>
        <w:rPr>
          <w:rFonts w:hAnsi="宋体"/>
          <w:color w:val="auto"/>
          <w:sz w:val="21"/>
          <w:szCs w:val="21"/>
          <w:highlight w:val="none"/>
        </w:rPr>
        <w:t>我公司符合有关法律法规规定的参加采购活动应当具备的条件：具有健全的财务会计制度、依法缴纳税收和社会保障资金、参加本次采购活动之前的三年内，在经营活动中无重大违法活动。</w:t>
      </w:r>
    </w:p>
    <w:p>
      <w:pPr>
        <w:pStyle w:val="18"/>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3、与本投标有关的一切往来通讯请寄：</w:t>
      </w:r>
    </w:p>
    <w:p>
      <w:pPr>
        <w:pStyle w:val="18"/>
        <w:widowControl/>
        <w:spacing w:line="360" w:lineRule="auto"/>
        <w:jc w:val="left"/>
        <w:rPr>
          <w:rFonts w:hAnsi="宋体"/>
          <w:color w:val="auto"/>
          <w:sz w:val="21"/>
          <w:szCs w:val="21"/>
          <w:highlight w:val="none"/>
        </w:rPr>
      </w:pPr>
      <w:r>
        <w:rPr>
          <w:rFonts w:hint="eastAsia" w:hAnsi="宋体"/>
          <w:color w:val="auto"/>
          <w:sz w:val="21"/>
          <w:szCs w:val="21"/>
          <w:highlight w:val="none"/>
        </w:rPr>
        <w:t>地址：</w:t>
      </w:r>
    </w:p>
    <w:p>
      <w:pPr>
        <w:pStyle w:val="18"/>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邮编：电话：传真：</w:t>
      </w:r>
    </w:p>
    <w:p>
      <w:pPr>
        <w:pStyle w:val="18"/>
        <w:widowControl/>
        <w:spacing w:line="360" w:lineRule="auto"/>
        <w:ind w:firstLine="0"/>
        <w:jc w:val="left"/>
        <w:rPr>
          <w:rFonts w:hAnsi="宋体"/>
          <w:color w:val="auto"/>
          <w:sz w:val="21"/>
          <w:szCs w:val="21"/>
          <w:highlight w:val="none"/>
        </w:rPr>
      </w:pPr>
    </w:p>
    <w:p>
      <w:pPr>
        <w:pStyle w:val="18"/>
        <w:snapToGrid w:val="0"/>
        <w:spacing w:line="360" w:lineRule="auto"/>
        <w:rPr>
          <w:rFonts w:hAnsi="宋体"/>
          <w:color w:val="auto"/>
          <w:sz w:val="21"/>
          <w:szCs w:val="21"/>
          <w:highlight w:val="none"/>
        </w:rPr>
      </w:pPr>
      <w:r>
        <w:rPr>
          <w:rFonts w:hint="eastAsia" w:hAnsi="宋体"/>
          <w:color w:val="auto"/>
          <w:sz w:val="21"/>
          <w:szCs w:val="21"/>
          <w:highlight w:val="none"/>
        </w:rPr>
        <w:t>投 标 人  （盖章）：</w:t>
      </w:r>
    </w:p>
    <w:p>
      <w:pPr>
        <w:pStyle w:val="18"/>
        <w:snapToGrid w:val="0"/>
        <w:spacing w:line="360" w:lineRule="auto"/>
        <w:rPr>
          <w:rFonts w:hAnsi="宋体"/>
          <w:color w:val="auto"/>
          <w:sz w:val="21"/>
          <w:szCs w:val="21"/>
          <w:highlight w:val="none"/>
        </w:rPr>
      </w:pPr>
      <w:r>
        <w:rPr>
          <w:rFonts w:hint="eastAsia" w:hAnsi="宋体"/>
          <w:color w:val="auto"/>
          <w:sz w:val="21"/>
          <w:szCs w:val="21"/>
          <w:highlight w:val="none"/>
        </w:rPr>
        <w:t>法定代表人或其授权代表（签字或盖章）：</w:t>
      </w:r>
    </w:p>
    <w:p>
      <w:pPr>
        <w:widowControl/>
        <w:jc w:val="left"/>
        <w:rPr>
          <w:rFonts w:ascii="宋体" w:hAnsi="宋体"/>
          <w:b/>
          <w:color w:val="auto"/>
          <w:highlight w:val="none"/>
        </w:rPr>
      </w:pPr>
      <w:r>
        <w:rPr>
          <w:rFonts w:hint="eastAsia" w:hAnsi="宋体"/>
          <w:color w:val="auto"/>
          <w:szCs w:val="21"/>
          <w:highlight w:val="none"/>
        </w:rPr>
        <w:t xml:space="preserve">   日             期：</w:t>
      </w:r>
      <w:r>
        <w:rPr>
          <w:rFonts w:hint="eastAsia" w:hAnsi="宋体"/>
          <w:color w:val="auto"/>
          <w:sz w:val="24"/>
          <w:highlight w:val="none"/>
        </w:rPr>
        <w:br w:type="page"/>
      </w:r>
    </w:p>
    <w:p>
      <w:pPr>
        <w:spacing w:line="360" w:lineRule="auto"/>
        <w:jc w:val="left"/>
        <w:rPr>
          <w:rFonts w:ascii="宋体" w:hAnsi="宋体"/>
          <w:color w:val="auto"/>
          <w:szCs w:val="21"/>
          <w:highlight w:val="none"/>
        </w:rPr>
      </w:pPr>
      <w:r>
        <w:rPr>
          <w:rFonts w:hint="eastAsia" w:ascii="宋体" w:hAnsi="宋体"/>
          <w:b/>
          <w:color w:val="auto"/>
          <w:highlight w:val="none"/>
        </w:rPr>
        <w:t>格式四：</w:t>
      </w:r>
      <w:r>
        <w:rPr>
          <w:rFonts w:hint="eastAsia" w:ascii="宋体" w:hAnsi="宋体"/>
          <w:color w:val="auto"/>
          <w:szCs w:val="21"/>
          <w:highlight w:val="none"/>
        </w:rPr>
        <w:t>法定代表人的身份证明</w:t>
      </w:r>
    </w:p>
    <w:p>
      <w:pPr>
        <w:jc w:val="center"/>
        <w:rPr>
          <w:rFonts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spacing w:line="480" w:lineRule="auto"/>
        <w:jc w:val="center"/>
        <w:rPr>
          <w:rFonts w:ascii="宋体" w:hAnsi="宋体"/>
          <w:bCs/>
          <w:color w:val="auto"/>
          <w:sz w:val="24"/>
          <w:highlight w:val="none"/>
        </w:rPr>
      </w:pPr>
    </w:p>
    <w:p>
      <w:pPr>
        <w:spacing w:line="480" w:lineRule="auto"/>
        <w:jc w:val="center"/>
        <w:rPr>
          <w:rFonts w:ascii="宋体" w:hAnsi="宋体"/>
          <w:b/>
          <w:color w:val="auto"/>
          <w:sz w:val="24"/>
          <w:highlight w:val="none"/>
        </w:rPr>
      </w:pPr>
      <w:r>
        <w:rPr>
          <w:rFonts w:hint="eastAsia" w:ascii="宋体" w:hAnsi="宋体"/>
          <w:bCs/>
          <w:color w:val="auto"/>
          <w:sz w:val="24"/>
          <w:highlight w:val="none"/>
        </w:rPr>
        <w:t>（法定代表人不来投标的，此表不用）</w:t>
      </w:r>
    </w:p>
    <w:p>
      <w:pPr>
        <w:spacing w:line="480" w:lineRule="auto"/>
        <w:ind w:firstLine="420" w:firstLineChars="200"/>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供应商名称：</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地址：</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成立时间：年月＿日</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姓名：性别：年龄：</w:t>
      </w:r>
      <w:r>
        <w:rPr>
          <w:rFonts w:hint="eastAsia" w:ascii="宋体" w:hAnsi="宋体"/>
          <w:color w:val="auto"/>
          <w:szCs w:val="21"/>
          <w:highlight w:val="none"/>
          <w:u w:val="single"/>
        </w:rPr>
        <w:t xml:space="preserve">    周岁  </w:t>
      </w:r>
      <w:r>
        <w:rPr>
          <w:rFonts w:hint="eastAsia" w:ascii="宋体" w:hAnsi="宋体"/>
          <w:color w:val="auto"/>
          <w:szCs w:val="21"/>
          <w:highlight w:val="none"/>
        </w:rPr>
        <w:t>职务：_</w:t>
      </w:r>
    </w:p>
    <w:p>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系（供应商名称）的法定代表人。</w:t>
      </w:r>
    </w:p>
    <w:p>
      <w:pPr>
        <w:spacing w:line="48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wordWrap w:val="0"/>
        <w:spacing w:line="360" w:lineRule="auto"/>
        <w:ind w:right="420" w:firstLine="3045" w:firstLineChars="1450"/>
        <w:rPr>
          <w:rFonts w:ascii="宋体" w:hAnsi="宋体"/>
          <w:color w:val="auto"/>
          <w:szCs w:val="21"/>
          <w:highlight w:val="none"/>
        </w:rPr>
      </w:pPr>
      <w:r>
        <w:rPr>
          <w:rFonts w:hint="eastAsia" w:ascii="宋体" w:hAnsi="宋体"/>
          <w:color w:val="auto"/>
          <w:szCs w:val="21"/>
          <w:highlight w:val="none"/>
        </w:rPr>
        <w:t>供应商：（盖单位公章）</w:t>
      </w:r>
    </w:p>
    <w:p>
      <w:pPr>
        <w:spacing w:line="360" w:lineRule="auto"/>
        <w:ind w:firstLine="4515" w:firstLineChars="2150"/>
        <w:rPr>
          <w:rFonts w:ascii="宋体" w:hAnsi="宋体"/>
          <w:color w:val="auto"/>
          <w:szCs w:val="21"/>
          <w:highlight w:val="none"/>
          <w:u w:val="singl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年月日</w:t>
      </w:r>
    </w:p>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附法定代表人身份证复印件（正反面）：</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175" w:type="dxa"/>
          </w:tcPr>
          <w:p>
            <w:pPr>
              <w:rPr>
                <w:rFonts w:ascii="宋体" w:hAnsi="宋体"/>
                <w:color w:val="auto"/>
                <w:highlight w:val="none"/>
              </w:rPr>
            </w:pPr>
          </w:p>
        </w:tc>
      </w:tr>
    </w:tbl>
    <w:p>
      <w:pPr>
        <w:rPr>
          <w:rFonts w:ascii="宋体" w:hAnsi="宋体"/>
          <w:color w:val="auto"/>
          <w:highlight w:val="none"/>
        </w:rPr>
      </w:pPr>
    </w:p>
    <w:p>
      <w:pPr>
        <w:jc w:val="left"/>
        <w:rPr>
          <w:rFonts w:ascii="宋体" w:hAnsi="宋体"/>
          <w:b/>
          <w:color w:val="auto"/>
          <w:sz w:val="32"/>
          <w:szCs w:val="32"/>
          <w:highlight w:val="none"/>
        </w:rPr>
      </w:pPr>
    </w:p>
    <w:p>
      <w:pPr>
        <w:jc w:val="left"/>
        <w:rPr>
          <w:rFonts w:ascii="宋体" w:hAnsi="宋体"/>
          <w:b/>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法定代表人授权书</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pPr>
        <w:jc w:val="center"/>
        <w:rPr>
          <w:rFonts w:ascii="宋体" w:hAnsi="宋体"/>
          <w:bCs/>
          <w:color w:val="auto"/>
          <w:sz w:val="24"/>
          <w:highlight w:val="none"/>
        </w:rPr>
      </w:pPr>
    </w:p>
    <w:p>
      <w:pPr>
        <w:jc w:val="center"/>
        <w:rPr>
          <w:rFonts w:ascii="宋体" w:hAnsi="宋体"/>
          <w:b/>
          <w:color w:val="auto"/>
          <w:sz w:val="32"/>
          <w:szCs w:val="32"/>
          <w:highlight w:val="none"/>
        </w:rPr>
      </w:pPr>
      <w:r>
        <w:rPr>
          <w:rFonts w:hint="eastAsia" w:ascii="宋体" w:hAnsi="宋体"/>
          <w:bCs/>
          <w:color w:val="auto"/>
          <w:sz w:val="24"/>
          <w:highlight w:val="none"/>
        </w:rPr>
        <w:t>（法定代表人来投标的，此表不用）</w:t>
      </w:r>
    </w:p>
    <w:p>
      <w:pPr>
        <w:snapToGrid w:val="0"/>
        <w:spacing w:line="360" w:lineRule="auto"/>
        <w:rPr>
          <w:rFonts w:ascii="宋体" w:hAnsi="宋体"/>
          <w:bCs/>
          <w:color w:val="auto"/>
          <w:sz w:val="24"/>
          <w:highlight w:val="none"/>
        </w:rPr>
      </w:pPr>
    </w:p>
    <w:p>
      <w:pPr>
        <w:snapToGrid w:val="0"/>
        <w:spacing w:line="360" w:lineRule="auto"/>
        <w:rPr>
          <w:rFonts w:ascii="宋体" w:hAnsi="宋体"/>
          <w:bCs/>
          <w:color w:val="auto"/>
          <w:szCs w:val="21"/>
          <w:highlight w:val="none"/>
        </w:rPr>
      </w:pPr>
    </w:p>
    <w:p>
      <w:pPr>
        <w:snapToGrid w:val="0"/>
        <w:spacing w:line="360" w:lineRule="auto"/>
        <w:rPr>
          <w:rFonts w:ascii="宋体" w:hAnsi="宋体"/>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（采购单位名称）：</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我（姓名）系（供应商名称）的法定代表人，现授权委托本单位在职职工 （姓名）以我方的名义参加</w:t>
      </w:r>
      <w:r>
        <w:rPr>
          <w:rFonts w:hint="eastAsia" w:ascii="宋体" w:hAnsi="宋体"/>
          <w:color w:val="auto"/>
          <w:szCs w:val="21"/>
          <w:highlight w:val="none"/>
          <w:u w:val="single"/>
        </w:rPr>
        <w:t xml:space="preserve">                       政府采购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我方对被授权人的签名事项负全部责任。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                 法定代表人签名：</w:t>
      </w:r>
    </w:p>
    <w:p>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职务：                          职务：</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ind w:firstLine="4830" w:firstLineChars="2300"/>
        <w:rPr>
          <w:rFonts w:ascii="宋体" w:hAnsi="宋体"/>
          <w:color w:val="auto"/>
          <w:szCs w:val="21"/>
          <w:highlight w:val="none"/>
        </w:rPr>
      </w:pPr>
      <w:r>
        <w:rPr>
          <w:rFonts w:hint="eastAsia" w:ascii="宋体" w:hAnsi="宋体"/>
          <w:color w:val="auto"/>
          <w:szCs w:val="21"/>
          <w:highlight w:val="none"/>
        </w:rPr>
        <w:t>供应商公章：</w:t>
      </w:r>
    </w:p>
    <w:p>
      <w:pPr>
        <w:snapToGrid w:val="0"/>
        <w:spacing w:line="360" w:lineRule="auto"/>
        <w:ind w:firstLine="4830" w:firstLineChars="2300"/>
        <w:rPr>
          <w:rFonts w:ascii="宋体" w:hAnsi="宋体"/>
          <w:color w:val="auto"/>
          <w:szCs w:val="21"/>
          <w:highlight w:val="none"/>
        </w:rPr>
      </w:pP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ind w:firstLine="103" w:firstLineChars="49"/>
        <w:rPr>
          <w:rFonts w:ascii="宋体" w:hAnsi="宋体"/>
          <w:b/>
          <w:color w:val="auto"/>
          <w:szCs w:val="21"/>
          <w:highlight w:val="none"/>
        </w:rPr>
      </w:pPr>
      <w:r>
        <w:rPr>
          <w:rFonts w:hint="eastAsia" w:ascii="宋体" w:hAnsi="宋体"/>
          <w:b/>
          <w:color w:val="auto"/>
          <w:szCs w:val="21"/>
          <w:highlight w:val="none"/>
        </w:rPr>
        <w:t>附：</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spacing w:line="360" w:lineRule="auto"/>
              <w:rPr>
                <w:rFonts w:ascii="宋体" w:hAnsi="宋体"/>
                <w:b/>
                <w:color w:val="auto"/>
                <w:szCs w:val="21"/>
                <w:highlight w:val="none"/>
              </w:rPr>
            </w:pPr>
            <w:r>
              <w:rPr>
                <w:rFonts w:hint="eastAsia" w:ascii="宋体" w:hAnsi="宋体"/>
                <w:b/>
                <w:color w:val="auto"/>
                <w:szCs w:val="21"/>
                <w:highlight w:val="none"/>
              </w:rPr>
              <w:t>法定代表人身份证复印件（正反面）</w:t>
            </w:r>
          </w:p>
          <w:p>
            <w:pPr>
              <w:spacing w:line="360" w:lineRule="auto"/>
              <w:rPr>
                <w:rFonts w:ascii="宋体" w:hAnsi="宋体"/>
                <w:b/>
                <w:color w:val="auto"/>
                <w:szCs w:val="21"/>
                <w:highlight w:val="none"/>
              </w:rPr>
            </w:pPr>
          </w:p>
        </w:tc>
        <w:tc>
          <w:tcPr>
            <w:tcW w:w="4588" w:type="dxa"/>
          </w:tcPr>
          <w:p>
            <w:pPr>
              <w:spacing w:line="360" w:lineRule="auto"/>
              <w:rPr>
                <w:rFonts w:ascii="宋体" w:hAnsi="宋体"/>
                <w:b/>
                <w:color w:val="auto"/>
                <w:szCs w:val="21"/>
                <w:highlight w:val="none"/>
              </w:rPr>
            </w:pPr>
            <w:r>
              <w:rPr>
                <w:rFonts w:hint="eastAsia" w:ascii="宋体" w:hAnsi="宋体"/>
                <w:b/>
                <w:color w:val="auto"/>
                <w:szCs w:val="21"/>
                <w:highlight w:val="none"/>
              </w:rPr>
              <w:t>授权代表身份证复印件（正反面）</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tc>
      </w:tr>
    </w:tbl>
    <w:p>
      <w:pPr>
        <w:spacing w:line="360" w:lineRule="auto"/>
        <w:ind w:firstLine="103" w:firstLineChars="49"/>
        <w:rPr>
          <w:rFonts w:ascii="宋体" w:hAnsi="宋体"/>
          <w:b/>
          <w:color w:val="auto"/>
          <w:szCs w:val="21"/>
          <w:highlight w:val="none"/>
        </w:rPr>
      </w:pPr>
    </w:p>
    <w:p>
      <w:pPr>
        <w:spacing w:line="360" w:lineRule="auto"/>
        <w:ind w:firstLine="103" w:firstLineChars="49"/>
        <w:rPr>
          <w:rFonts w:ascii="宋体" w:hAnsi="宋体"/>
          <w:b/>
          <w:color w:val="auto"/>
          <w:szCs w:val="21"/>
          <w:highlight w:val="none"/>
        </w:rPr>
      </w:pPr>
    </w:p>
    <w:p>
      <w:pPr>
        <w:widowControl/>
        <w:jc w:val="left"/>
        <w:rPr>
          <w:rFonts w:ascii="宋体" w:hAnsi="宋体"/>
          <w:b/>
          <w:color w:val="auto"/>
          <w:szCs w:val="21"/>
          <w:highlight w:val="none"/>
        </w:rPr>
      </w:pPr>
      <w:r>
        <w:rPr>
          <w:rFonts w:ascii="宋体" w:hAnsi="宋体"/>
          <w:b/>
          <w:color w:val="auto"/>
          <w:szCs w:val="21"/>
          <w:highlight w:val="none"/>
        </w:rPr>
        <w:br w:type="page"/>
      </w:r>
    </w:p>
    <w:p>
      <w:pPr>
        <w:rPr>
          <w:rFonts w:ascii="宋体" w:hAnsi="宋体"/>
          <w:color w:val="auto"/>
          <w:highlight w:val="none"/>
        </w:rPr>
      </w:pPr>
      <w:r>
        <w:rPr>
          <w:rFonts w:hint="eastAsia" w:ascii="宋体" w:hAnsi="宋体"/>
          <w:b/>
          <w:color w:val="auto"/>
          <w:szCs w:val="21"/>
          <w:highlight w:val="none"/>
        </w:rPr>
        <w:t>格式五：</w:t>
      </w:r>
      <w:r>
        <w:rPr>
          <w:rFonts w:hint="eastAsia" w:ascii="宋体" w:hAnsi="宋体"/>
          <w:color w:val="auto"/>
          <w:szCs w:val="21"/>
          <w:highlight w:val="none"/>
        </w:rPr>
        <w:t>投标人基本情况说明</w:t>
      </w:r>
    </w:p>
    <w:p>
      <w:pPr>
        <w:spacing w:line="360" w:lineRule="auto"/>
        <w:jc w:val="center"/>
        <w:rPr>
          <w:rFonts w:ascii="宋体" w:hAnsi="宋体" w:cs="Arial"/>
          <w:b/>
          <w:color w:val="auto"/>
          <w:szCs w:val="21"/>
          <w:highlight w:val="none"/>
        </w:rPr>
      </w:pPr>
      <w:bookmarkStart w:id="215" w:name="_Toc483379796"/>
      <w:bookmarkStart w:id="216" w:name="_Toc110393361"/>
      <w:bookmarkStart w:id="217" w:name="_Toc479927873"/>
      <w:bookmarkStart w:id="218" w:name="_Toc225223761"/>
      <w:bookmarkStart w:id="219" w:name="_Toc14746861"/>
      <w:bookmarkStart w:id="220" w:name="_Toc488936100"/>
    </w:p>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投标人基本情况说明</w:t>
      </w:r>
      <w:bookmarkEnd w:id="215"/>
      <w:bookmarkEnd w:id="216"/>
      <w:bookmarkEnd w:id="217"/>
      <w:bookmarkEnd w:id="218"/>
      <w:bookmarkEnd w:id="219"/>
      <w:bookmarkEnd w:id="220"/>
    </w:p>
    <w:tbl>
      <w:tblPr>
        <w:tblStyle w:val="40"/>
        <w:tblW w:w="916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3675" w:type="dxa"/>
            <w:gridSpan w:val="3"/>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组织机构代码</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注册地址</w:t>
            </w:r>
          </w:p>
        </w:tc>
        <w:tc>
          <w:tcPr>
            <w:tcW w:w="3675" w:type="dxa"/>
            <w:gridSpan w:val="3"/>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注册登记号</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经营地址</w:t>
            </w:r>
          </w:p>
        </w:tc>
        <w:tc>
          <w:tcPr>
            <w:tcW w:w="3675" w:type="dxa"/>
            <w:gridSpan w:val="3"/>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pacing w:val="30"/>
                <w:szCs w:val="21"/>
                <w:highlight w:val="none"/>
              </w:rPr>
            </w:pPr>
            <w:r>
              <w:rPr>
                <w:rFonts w:hint="eastAsia" w:ascii="宋体" w:hAnsi="宋体"/>
                <w:color w:val="auto"/>
                <w:szCs w:val="21"/>
                <w:highlight w:val="none"/>
              </w:rPr>
              <w:t>税务登记证号</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3675" w:type="dxa"/>
            <w:gridSpan w:val="3"/>
            <w:vAlign w:val="center"/>
          </w:tcPr>
          <w:p>
            <w:pPr>
              <w:pStyle w:val="116"/>
              <w:widowControl w:val="0"/>
              <w:spacing w:before="0" w:beforeAutospacing="0" w:after="0" w:afterAutospacing="0" w:line="360" w:lineRule="auto"/>
              <w:ind w:left="1320" w:hanging="480"/>
              <w:rPr>
                <w:rFonts w:ascii="宋体" w:hAnsi="宋体" w:eastAsia="宋体"/>
                <w:color w:val="auto"/>
                <w:kern w:val="2"/>
                <w:sz w:val="21"/>
                <w:szCs w:val="21"/>
                <w:highlight w:val="none"/>
              </w:rPr>
            </w:pPr>
          </w:p>
        </w:tc>
        <w:tc>
          <w:tcPr>
            <w:tcW w:w="1785" w:type="dxa"/>
            <w:vAlign w:val="center"/>
          </w:tcPr>
          <w:p>
            <w:pPr>
              <w:spacing w:line="360" w:lineRule="auto"/>
              <w:jc w:val="center"/>
              <w:rPr>
                <w:rFonts w:ascii="宋体" w:hAnsi="宋体"/>
                <w:color w:val="auto"/>
                <w:spacing w:val="34"/>
                <w:szCs w:val="21"/>
                <w:highlight w:val="none"/>
              </w:rPr>
            </w:pPr>
            <w:r>
              <w:rPr>
                <w:rFonts w:hint="eastAsia" w:ascii="宋体" w:hAnsi="宋体"/>
                <w:color w:val="auto"/>
                <w:spacing w:val="34"/>
                <w:szCs w:val="21"/>
                <w:highlight w:val="none"/>
              </w:rPr>
              <w:t>注册资本</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w:t>
            </w:r>
          </w:p>
        </w:tc>
        <w:tc>
          <w:tcPr>
            <w:tcW w:w="3675" w:type="dxa"/>
            <w:gridSpan w:val="3"/>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营业期限</w:t>
            </w:r>
          </w:p>
        </w:tc>
        <w:tc>
          <w:tcPr>
            <w:tcW w:w="223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资质情况</w:t>
            </w:r>
          </w:p>
        </w:tc>
        <w:tc>
          <w:tcPr>
            <w:tcW w:w="7694" w:type="dxa"/>
            <w:gridSpan w:val="5"/>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员工数量</w:t>
            </w:r>
          </w:p>
        </w:tc>
        <w:tc>
          <w:tcPr>
            <w:tcW w:w="7694" w:type="dxa"/>
            <w:gridSpan w:val="5"/>
            <w:vAlign w:val="center"/>
          </w:tcPr>
          <w:p>
            <w:pPr>
              <w:spacing w:line="360" w:lineRule="auto"/>
              <w:rPr>
                <w:rFonts w:ascii="宋体" w:hAnsi="宋体"/>
                <w:color w:val="auto"/>
                <w:szCs w:val="21"/>
                <w:highlight w:val="none"/>
              </w:rPr>
            </w:pPr>
            <w:r>
              <w:rPr>
                <w:rFonts w:hint="eastAsia" w:ascii="宋体" w:hAnsi="宋体"/>
                <w:color w:val="auto"/>
                <w:szCs w:val="21"/>
                <w:highlight w:val="none"/>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3675" w:type="dxa"/>
            <w:gridSpan w:val="3"/>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主要业绩</w:t>
            </w:r>
          </w:p>
        </w:tc>
        <w:tc>
          <w:tcPr>
            <w:tcW w:w="7694" w:type="dxa"/>
            <w:gridSpan w:val="5"/>
            <w:vAlign w:val="center"/>
          </w:tcPr>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3675" w:type="dxa"/>
            <w:gridSpan w:val="3"/>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  务</w:t>
            </w:r>
          </w:p>
        </w:tc>
        <w:tc>
          <w:tcPr>
            <w:tcW w:w="1680" w:type="dxa"/>
            <w:vAlign w:val="center"/>
          </w:tcPr>
          <w:p>
            <w:pPr>
              <w:spacing w:line="360" w:lineRule="auto"/>
              <w:jc w:val="center"/>
              <w:rPr>
                <w:rFonts w:ascii="宋体" w:hAnsi="宋体"/>
                <w:color w:val="auto"/>
                <w:szCs w:val="21"/>
                <w:highlight w:val="none"/>
              </w:rPr>
            </w:pPr>
          </w:p>
        </w:tc>
        <w:tc>
          <w:tcPr>
            <w:tcW w:w="105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   称</w:t>
            </w:r>
          </w:p>
        </w:tc>
        <w:tc>
          <w:tcPr>
            <w:tcW w:w="945" w:type="dxa"/>
            <w:vAlign w:val="center"/>
          </w:tcPr>
          <w:p>
            <w:pPr>
              <w:spacing w:line="360" w:lineRule="auto"/>
              <w:jc w:val="center"/>
              <w:rPr>
                <w:rFonts w:ascii="宋体" w:hAnsi="宋体"/>
                <w:color w:val="auto"/>
                <w:szCs w:val="21"/>
                <w:highlight w:val="none"/>
              </w:rPr>
            </w:pPr>
          </w:p>
        </w:tc>
        <w:tc>
          <w:tcPr>
            <w:tcW w:w="17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    历</w:t>
            </w:r>
          </w:p>
        </w:tc>
        <w:tc>
          <w:tcPr>
            <w:tcW w:w="2234"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rFonts w:ascii="宋体" w:hAnsi="宋体"/>
                <w:color w:val="auto"/>
                <w:szCs w:val="21"/>
                <w:highlight w:val="none"/>
              </w:rPr>
            </w:pPr>
            <w:r>
              <w:rPr>
                <w:rFonts w:hint="eastAsia" w:ascii="宋体" w:hAnsi="宋体"/>
                <w:color w:val="auto"/>
                <w:szCs w:val="21"/>
                <w:highlight w:val="none"/>
              </w:rPr>
              <w:t>备注:</w:t>
            </w:r>
          </w:p>
        </w:tc>
      </w:tr>
    </w:tbl>
    <w:p>
      <w:pPr>
        <w:spacing w:line="360" w:lineRule="auto"/>
        <w:rPr>
          <w:rFonts w:ascii="宋体" w:hAnsi="宋体"/>
          <w:b/>
          <w:color w:val="auto"/>
          <w:szCs w:val="21"/>
          <w:highlight w:val="none"/>
        </w:rPr>
      </w:pPr>
      <w:r>
        <w:rPr>
          <w:rFonts w:hint="eastAsia" w:ascii="宋体" w:hAnsi="宋体"/>
          <w:b/>
          <w:color w:val="auto"/>
          <w:szCs w:val="21"/>
          <w:highlight w:val="none"/>
        </w:rPr>
        <w:t>兹证明上述声明是真实、正确的，并提供了全部能提供的资料和数据，我们同意遵照贵方要求出示有关证明文件。</w:t>
      </w:r>
    </w:p>
    <w:p>
      <w:pPr>
        <w:spacing w:line="360" w:lineRule="auto"/>
        <w:rPr>
          <w:rFonts w:ascii="宋体" w:hAnsi="宋体"/>
          <w:b/>
          <w:color w:val="auto"/>
          <w:highlight w:val="none"/>
        </w:rPr>
      </w:pPr>
    </w:p>
    <w:p>
      <w:pPr>
        <w:rPr>
          <w:rFonts w:ascii="宋体" w:hAnsi="宋体"/>
          <w:color w:val="auto"/>
          <w:highlight w:val="none"/>
        </w:rPr>
      </w:pP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投 标 人（盖章）：</w:t>
      </w:r>
    </w:p>
    <w:p>
      <w:pPr>
        <w:pStyle w:val="18"/>
        <w:snapToGrid w:val="0"/>
        <w:spacing w:line="360" w:lineRule="auto"/>
        <w:ind w:firstLine="0"/>
        <w:rPr>
          <w:rFonts w:hAnsi="宋体"/>
          <w:color w:val="auto"/>
          <w:spacing w:val="0"/>
          <w:sz w:val="21"/>
          <w:szCs w:val="21"/>
          <w:highlight w:val="none"/>
        </w:rPr>
      </w:pPr>
      <w:r>
        <w:rPr>
          <w:rFonts w:hint="eastAsia" w:hAnsi="宋体"/>
          <w:color w:val="auto"/>
          <w:spacing w:val="0"/>
          <w:sz w:val="21"/>
          <w:szCs w:val="21"/>
          <w:highlight w:val="none"/>
        </w:rPr>
        <w:t>法定代表人或其授权代表（签字或盖章）：</w:t>
      </w:r>
    </w:p>
    <w:p>
      <w:pPr>
        <w:pStyle w:val="18"/>
        <w:widowControl/>
        <w:spacing w:line="360" w:lineRule="auto"/>
        <w:ind w:firstLine="0"/>
        <w:jc w:val="left"/>
        <w:rPr>
          <w:rFonts w:hAnsi="宋体"/>
          <w:color w:val="auto"/>
          <w:szCs w:val="21"/>
          <w:highlight w:val="none"/>
        </w:rPr>
      </w:pPr>
      <w:r>
        <w:rPr>
          <w:rFonts w:hint="eastAsia" w:hAnsi="宋体"/>
          <w:color w:val="auto"/>
          <w:spacing w:val="0"/>
          <w:sz w:val="21"/>
          <w:szCs w:val="21"/>
          <w:highlight w:val="none"/>
        </w:rPr>
        <w:t>日            期：</w:t>
      </w:r>
    </w:p>
    <w:p>
      <w:pPr>
        <w:spacing w:line="360" w:lineRule="auto"/>
        <w:rPr>
          <w:rFonts w:ascii="宋体" w:hAnsi="宋体"/>
          <w:color w:val="auto"/>
          <w:sz w:val="24"/>
          <w:szCs w:val="21"/>
          <w:highlight w:val="none"/>
        </w:rPr>
        <w:sectPr>
          <w:pgSz w:w="11907" w:h="16840"/>
          <w:pgMar w:top="1361" w:right="1474" w:bottom="1242" w:left="1474" w:header="720" w:footer="720" w:gutter="0"/>
          <w:cols w:space="720" w:num="1"/>
          <w:docGrid w:linePitch="285" w:charSpace="0"/>
        </w:sectPr>
      </w:pPr>
    </w:p>
    <w:p>
      <w:pPr>
        <w:rPr>
          <w:rFonts w:ascii="宋体" w:hAnsi="宋体"/>
          <w:b/>
          <w:color w:val="auto"/>
          <w:highlight w:val="none"/>
        </w:rPr>
      </w:pPr>
      <w:bookmarkStart w:id="221" w:name="_Toc303892571"/>
      <w:bookmarkStart w:id="222" w:name="_Toc97372570"/>
      <w:bookmarkStart w:id="223" w:name="_Toc434566544"/>
      <w:bookmarkStart w:id="224" w:name="_Toc460857951"/>
      <w:r>
        <w:rPr>
          <w:rFonts w:ascii="宋体" w:hAnsi="宋体"/>
          <w:b/>
          <w:color w:val="auto"/>
          <w:highlight w:val="none"/>
        </w:rPr>
        <w:t>格式</w:t>
      </w:r>
      <w:r>
        <w:rPr>
          <w:rFonts w:hint="eastAsia" w:ascii="宋体" w:hAnsi="宋体"/>
          <w:b/>
          <w:color w:val="auto"/>
          <w:highlight w:val="none"/>
        </w:rPr>
        <w:t>六：</w:t>
      </w:r>
      <w:bookmarkEnd w:id="221"/>
      <w:bookmarkEnd w:id="222"/>
      <w:bookmarkEnd w:id="223"/>
      <w:bookmarkEnd w:id="224"/>
      <w:r>
        <w:rPr>
          <w:rFonts w:hint="eastAsia" w:ascii="宋体" w:hAnsi="宋体"/>
          <w:color w:val="auto"/>
          <w:szCs w:val="21"/>
          <w:highlight w:val="none"/>
        </w:rPr>
        <w:t>类似项目业绩表</w:t>
      </w:r>
    </w:p>
    <w:p>
      <w:pPr>
        <w:spacing w:line="360" w:lineRule="auto"/>
        <w:rPr>
          <w:rFonts w:ascii="宋体" w:hAnsi="宋体"/>
          <w:color w:val="auto"/>
          <w:highlight w:val="none"/>
          <w:u w:val="single"/>
        </w:rPr>
      </w:pPr>
    </w:p>
    <w:p>
      <w:pPr>
        <w:spacing w:before="120" w:after="120"/>
        <w:jc w:val="center"/>
        <w:rPr>
          <w:rFonts w:ascii="宋体" w:hAnsi="宋体"/>
          <w:b/>
          <w:bCs/>
          <w:color w:val="auto"/>
          <w:spacing w:val="20"/>
          <w:sz w:val="24"/>
          <w:highlight w:val="none"/>
        </w:rPr>
      </w:pPr>
      <w:r>
        <w:rPr>
          <w:rFonts w:hint="eastAsia" w:ascii="宋体" w:hAnsi="宋体"/>
          <w:b/>
          <w:bCs/>
          <w:color w:val="auto"/>
          <w:spacing w:val="20"/>
          <w:sz w:val="24"/>
          <w:highlight w:val="none"/>
        </w:rPr>
        <w:t>类似项目业绩表（如有）</w:t>
      </w:r>
    </w:p>
    <w:p>
      <w:pPr>
        <w:rPr>
          <w:rFonts w:ascii="宋体" w:hAnsi="宋体"/>
          <w:color w:val="auto"/>
          <w:sz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p>
      <w:pPr>
        <w:spacing w:line="360" w:lineRule="auto"/>
        <w:rPr>
          <w:rFonts w:ascii="宋体" w:hAnsi="宋体"/>
          <w:color w:val="auto"/>
          <w:szCs w:val="21"/>
          <w:highlight w:val="none"/>
        </w:rPr>
      </w:pPr>
      <w:r>
        <w:rPr>
          <w:rFonts w:hint="eastAsia" w:ascii="宋体" w:hAnsi="宋体"/>
          <w:color w:val="auto"/>
          <w:szCs w:val="21"/>
          <w:highlight w:val="none"/>
        </w:rPr>
        <w:t xml:space="preserve">招标编号： </w:t>
      </w:r>
    </w:p>
    <w:p>
      <w:pPr>
        <w:spacing w:line="360" w:lineRule="auto"/>
        <w:rPr>
          <w:rFonts w:ascii="宋体" w:hAnsi="宋体"/>
          <w:color w:val="auto"/>
          <w:szCs w:val="21"/>
          <w:highlight w:val="none"/>
        </w:rPr>
      </w:pPr>
      <w:r>
        <w:rPr>
          <w:rFonts w:hint="eastAsia" w:ascii="宋体" w:hAnsi="宋体"/>
          <w:color w:val="auto"/>
          <w:szCs w:val="21"/>
          <w:highlight w:val="none"/>
        </w:rPr>
        <w:t>子包：</w:t>
      </w:r>
    </w:p>
    <w:tbl>
      <w:tblPr>
        <w:tblStyle w:val="40"/>
        <w:tblW w:w="884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1649"/>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4"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auto"/>
                <w:szCs w:val="21"/>
                <w:highlight w:val="none"/>
              </w:rPr>
            </w:pPr>
            <w:r>
              <w:rPr>
                <w:rFonts w:hint="eastAsia" w:ascii="宋体" w:hAnsi="宋体"/>
                <w:color w:val="auto"/>
                <w:szCs w:val="21"/>
                <w:highlight w:val="none"/>
              </w:rPr>
              <w:t>序号</w:t>
            </w:r>
          </w:p>
        </w:tc>
        <w:tc>
          <w:tcPr>
            <w:tcW w:w="1649"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auto"/>
                <w:szCs w:val="21"/>
                <w:highlight w:val="none"/>
              </w:rPr>
            </w:pPr>
            <w:r>
              <w:rPr>
                <w:rFonts w:hint="eastAsia" w:ascii="宋体" w:hAnsi="宋体"/>
                <w:color w:val="auto"/>
                <w:szCs w:val="21"/>
                <w:highlight w:val="none"/>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auto"/>
                <w:szCs w:val="21"/>
                <w:highlight w:val="none"/>
              </w:rPr>
            </w:pPr>
            <w:r>
              <w:rPr>
                <w:rFonts w:hint="eastAsia" w:ascii="宋体" w:hAnsi="宋体"/>
                <w:color w:val="auto"/>
                <w:szCs w:val="21"/>
                <w:highlight w:val="none"/>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auto"/>
                <w:szCs w:val="21"/>
                <w:highlight w:val="none"/>
              </w:rPr>
            </w:pPr>
            <w:r>
              <w:rPr>
                <w:rFonts w:hint="eastAsia" w:ascii="宋体" w:hAnsi="宋体"/>
                <w:color w:val="auto"/>
                <w:szCs w:val="21"/>
                <w:highlight w:val="none"/>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auto"/>
                <w:szCs w:val="21"/>
                <w:highlight w:val="none"/>
              </w:rPr>
            </w:pPr>
            <w:r>
              <w:rPr>
                <w:rFonts w:hint="eastAsia" w:ascii="宋体" w:hAnsi="宋体"/>
                <w:color w:val="auto"/>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Borders>
              <w:top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p>
        </w:tc>
        <w:tc>
          <w:tcPr>
            <w:tcW w:w="1649" w:type="dxa"/>
            <w:tcBorders>
              <w:top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p>
        </w:tc>
        <w:tc>
          <w:tcPr>
            <w:tcW w:w="2028" w:type="dxa"/>
            <w:tcBorders>
              <w:top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p>
        </w:tc>
        <w:tc>
          <w:tcPr>
            <w:tcW w:w="1143" w:type="dxa"/>
            <w:tcBorders>
              <w:top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p>
        </w:tc>
        <w:tc>
          <w:tcPr>
            <w:tcW w:w="1260" w:type="dxa"/>
            <w:tcBorders>
              <w:top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p>
        </w:tc>
        <w:tc>
          <w:tcPr>
            <w:tcW w:w="2052" w:type="dxa"/>
            <w:tcBorders>
              <w:top w:val="single" w:color="auto" w:sz="4" w:space="0"/>
            </w:tcBorders>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auto"/>
                <w:szCs w:val="21"/>
                <w:highlight w:val="none"/>
              </w:rPr>
            </w:pPr>
          </w:p>
        </w:tc>
        <w:tc>
          <w:tcPr>
            <w:tcW w:w="1649" w:type="dxa"/>
            <w:tcMar>
              <w:left w:w="0" w:type="dxa"/>
              <w:right w:w="0" w:type="dxa"/>
            </w:tcMar>
            <w:vAlign w:val="center"/>
          </w:tcPr>
          <w:p>
            <w:pPr>
              <w:spacing w:line="0" w:lineRule="atLeast"/>
              <w:jc w:val="center"/>
              <w:rPr>
                <w:rFonts w:ascii="宋体" w:hAnsi="宋体"/>
                <w:color w:val="auto"/>
                <w:szCs w:val="21"/>
                <w:highlight w:val="none"/>
              </w:rPr>
            </w:pPr>
          </w:p>
        </w:tc>
        <w:tc>
          <w:tcPr>
            <w:tcW w:w="2028" w:type="dxa"/>
            <w:tcMar>
              <w:left w:w="0" w:type="dxa"/>
              <w:right w:w="0" w:type="dxa"/>
            </w:tcMar>
            <w:vAlign w:val="center"/>
          </w:tcPr>
          <w:p>
            <w:pPr>
              <w:spacing w:line="0" w:lineRule="atLeast"/>
              <w:jc w:val="center"/>
              <w:rPr>
                <w:rFonts w:ascii="宋体" w:hAnsi="宋体"/>
                <w:color w:val="auto"/>
                <w:szCs w:val="21"/>
                <w:highlight w:val="none"/>
              </w:rPr>
            </w:pPr>
          </w:p>
        </w:tc>
        <w:tc>
          <w:tcPr>
            <w:tcW w:w="1143" w:type="dxa"/>
            <w:tcMar>
              <w:left w:w="0" w:type="dxa"/>
              <w:right w:w="0" w:type="dxa"/>
            </w:tcMar>
            <w:vAlign w:val="center"/>
          </w:tcPr>
          <w:p>
            <w:pPr>
              <w:spacing w:line="0" w:lineRule="atLeast"/>
              <w:jc w:val="center"/>
              <w:rPr>
                <w:rFonts w:ascii="宋体" w:hAnsi="宋体"/>
                <w:color w:val="auto"/>
                <w:szCs w:val="21"/>
                <w:highlight w:val="none"/>
              </w:rPr>
            </w:pPr>
          </w:p>
        </w:tc>
        <w:tc>
          <w:tcPr>
            <w:tcW w:w="1260" w:type="dxa"/>
            <w:tcMar>
              <w:left w:w="0" w:type="dxa"/>
              <w:right w:w="0" w:type="dxa"/>
            </w:tcMar>
            <w:vAlign w:val="center"/>
          </w:tcPr>
          <w:p>
            <w:pPr>
              <w:spacing w:line="0" w:lineRule="atLeast"/>
              <w:jc w:val="center"/>
              <w:rPr>
                <w:rFonts w:ascii="宋体" w:hAnsi="宋体"/>
                <w:color w:val="auto"/>
                <w:szCs w:val="21"/>
                <w:highlight w:val="none"/>
              </w:rPr>
            </w:pPr>
          </w:p>
        </w:tc>
        <w:tc>
          <w:tcPr>
            <w:tcW w:w="2052" w:type="dxa"/>
            <w:tcMar>
              <w:left w:w="0" w:type="dxa"/>
              <w:right w:w="0" w:type="dxa"/>
            </w:tcMar>
            <w:vAlign w:val="center"/>
          </w:tcPr>
          <w:p>
            <w:pPr>
              <w:spacing w:line="0" w:lineRule="atLeast"/>
              <w:jc w:val="center"/>
              <w:rPr>
                <w:rFonts w:ascii="宋体" w:hAnsi="宋体"/>
                <w:color w:val="auto"/>
                <w:szCs w:val="21"/>
                <w:highlight w:val="none"/>
              </w:rPr>
            </w:pPr>
          </w:p>
        </w:tc>
      </w:tr>
    </w:tbl>
    <w:p>
      <w:pPr>
        <w:spacing w:line="0" w:lineRule="atLeast"/>
        <w:rPr>
          <w:rFonts w:ascii="宋体" w:hAnsi="宋体"/>
          <w:color w:val="auto"/>
          <w:sz w:val="24"/>
          <w:highlight w:val="none"/>
        </w:rPr>
      </w:pP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投 标 人（盖章）：</w:t>
      </w:r>
    </w:p>
    <w:p>
      <w:pPr>
        <w:pStyle w:val="18"/>
        <w:snapToGrid w:val="0"/>
        <w:spacing w:line="360" w:lineRule="auto"/>
        <w:ind w:firstLine="0"/>
        <w:rPr>
          <w:rFonts w:hAnsi="宋体"/>
          <w:color w:val="auto"/>
          <w:spacing w:val="0"/>
          <w:sz w:val="21"/>
          <w:szCs w:val="21"/>
          <w:highlight w:val="none"/>
        </w:rPr>
      </w:pPr>
      <w:r>
        <w:rPr>
          <w:rFonts w:hint="eastAsia" w:hAnsi="宋体"/>
          <w:color w:val="auto"/>
          <w:spacing w:val="0"/>
          <w:sz w:val="21"/>
          <w:szCs w:val="21"/>
          <w:highlight w:val="none"/>
        </w:rPr>
        <w:t>法定代表人或其授权代表（签字或盖章）：</w:t>
      </w:r>
    </w:p>
    <w:p>
      <w:pPr>
        <w:pStyle w:val="18"/>
        <w:widowControl/>
        <w:spacing w:line="360" w:lineRule="auto"/>
        <w:ind w:firstLine="0"/>
        <w:jc w:val="left"/>
        <w:rPr>
          <w:rFonts w:hAnsi="宋体"/>
          <w:b/>
          <w:color w:val="auto"/>
          <w:sz w:val="21"/>
          <w:szCs w:val="21"/>
          <w:highlight w:val="none"/>
        </w:rPr>
      </w:pPr>
      <w:r>
        <w:rPr>
          <w:rFonts w:hint="eastAsia" w:hAnsi="宋体"/>
          <w:color w:val="auto"/>
          <w:spacing w:val="0"/>
          <w:sz w:val="21"/>
          <w:szCs w:val="21"/>
          <w:highlight w:val="none"/>
        </w:rPr>
        <w:t>日  期：</w:t>
      </w:r>
      <w:r>
        <w:rPr>
          <w:rFonts w:hAnsi="宋体"/>
          <w:b/>
          <w:color w:val="auto"/>
          <w:sz w:val="28"/>
          <w:szCs w:val="28"/>
          <w:highlight w:val="none"/>
        </w:rPr>
        <w:br w:type="page"/>
      </w:r>
      <w:bookmarkStart w:id="225" w:name="_Toc460857952"/>
      <w:r>
        <w:rPr>
          <w:rFonts w:hint="eastAsia" w:hAnsi="宋体"/>
          <w:b/>
          <w:color w:val="auto"/>
          <w:sz w:val="21"/>
          <w:szCs w:val="21"/>
          <w:highlight w:val="none"/>
        </w:rPr>
        <w:t>格式</w:t>
      </w:r>
      <w:bookmarkEnd w:id="225"/>
      <w:r>
        <w:rPr>
          <w:rFonts w:hint="eastAsia" w:hAnsi="宋体"/>
          <w:b/>
          <w:color w:val="auto"/>
          <w:sz w:val="21"/>
          <w:szCs w:val="21"/>
          <w:highlight w:val="none"/>
        </w:rPr>
        <w:t>七：</w:t>
      </w:r>
      <w:r>
        <w:rPr>
          <w:rFonts w:hint="eastAsia" w:hAnsi="宋体"/>
          <w:color w:val="auto"/>
          <w:sz w:val="21"/>
          <w:szCs w:val="21"/>
          <w:highlight w:val="none"/>
        </w:rPr>
        <w:t>商务条款偏离表</w:t>
      </w:r>
    </w:p>
    <w:p>
      <w:pPr>
        <w:pStyle w:val="18"/>
        <w:spacing w:line="400" w:lineRule="exact"/>
        <w:ind w:left="711" w:leftChars="228" w:hanging="232" w:hangingChars="100"/>
        <w:rPr>
          <w:rFonts w:hAnsi="宋体"/>
          <w:color w:val="auto"/>
          <w:sz w:val="24"/>
          <w:szCs w:val="21"/>
          <w:highlight w:val="none"/>
        </w:rPr>
      </w:pPr>
    </w:p>
    <w:p>
      <w:pPr>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商务条款偏离表</w:t>
      </w:r>
    </w:p>
    <w:p>
      <w:pPr>
        <w:spacing w:line="360" w:lineRule="auto"/>
        <w:ind w:firstLine="3089"/>
        <w:rPr>
          <w:rFonts w:ascii="宋体" w:hAnsi="宋体"/>
          <w:b/>
          <w:color w:val="auto"/>
          <w:sz w:val="24"/>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p>
      <w:pPr>
        <w:spacing w:line="360" w:lineRule="auto"/>
        <w:rPr>
          <w:rFonts w:ascii="宋体" w:hAnsi="宋体"/>
          <w:color w:val="auto"/>
          <w:szCs w:val="21"/>
          <w:highlight w:val="none"/>
        </w:rPr>
      </w:pPr>
      <w:r>
        <w:rPr>
          <w:rFonts w:hint="eastAsia" w:ascii="宋体" w:hAnsi="宋体"/>
          <w:color w:val="auto"/>
          <w:szCs w:val="21"/>
          <w:highlight w:val="none"/>
        </w:rPr>
        <w:t xml:space="preserve">招标编号： </w:t>
      </w:r>
    </w:p>
    <w:p>
      <w:pPr>
        <w:spacing w:line="360" w:lineRule="auto"/>
        <w:rPr>
          <w:rFonts w:ascii="宋体" w:hAnsi="宋体"/>
          <w:color w:val="auto"/>
          <w:szCs w:val="21"/>
          <w:highlight w:val="none"/>
        </w:rPr>
      </w:pPr>
      <w:r>
        <w:rPr>
          <w:rFonts w:hint="eastAsia" w:ascii="宋体" w:hAnsi="宋体"/>
          <w:color w:val="auto"/>
          <w:szCs w:val="21"/>
          <w:highlight w:val="none"/>
        </w:rPr>
        <w:t>子包：</w:t>
      </w:r>
    </w:p>
    <w:tbl>
      <w:tblPr>
        <w:tblStyle w:val="40"/>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3062" w:type="dxa"/>
            <w:vAlign w:val="center"/>
          </w:tcPr>
          <w:p>
            <w:pPr>
              <w:jc w:val="center"/>
              <w:rPr>
                <w:rFonts w:ascii="宋体" w:hAnsi="宋体"/>
                <w:b/>
                <w:color w:val="auto"/>
                <w:szCs w:val="21"/>
                <w:highlight w:val="none"/>
              </w:rPr>
            </w:pPr>
            <w:r>
              <w:rPr>
                <w:rFonts w:hint="eastAsia" w:ascii="宋体" w:hAnsi="宋体"/>
                <w:b/>
                <w:color w:val="auto"/>
                <w:szCs w:val="21"/>
                <w:highlight w:val="none"/>
              </w:rPr>
              <w:t>采购文件的商务条款</w:t>
            </w:r>
          </w:p>
        </w:tc>
        <w:tc>
          <w:tcPr>
            <w:tcW w:w="3151"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投标文件的商务条款</w:t>
            </w:r>
          </w:p>
        </w:tc>
        <w:tc>
          <w:tcPr>
            <w:tcW w:w="1243" w:type="dxa"/>
            <w:vAlign w:val="center"/>
          </w:tcPr>
          <w:p>
            <w:pPr>
              <w:jc w:val="center"/>
              <w:rPr>
                <w:rFonts w:ascii="宋体" w:hAnsi="宋体"/>
                <w:b/>
                <w:color w:val="auto"/>
                <w:szCs w:val="21"/>
                <w:highlight w:val="none"/>
              </w:rPr>
            </w:pPr>
            <w:r>
              <w:rPr>
                <w:rFonts w:hint="eastAsia" w:ascii="宋体" w:hAnsi="宋体"/>
                <w:b/>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auto"/>
                <w:sz w:val="24"/>
                <w:highlight w:val="none"/>
              </w:rPr>
            </w:pPr>
          </w:p>
        </w:tc>
        <w:tc>
          <w:tcPr>
            <w:tcW w:w="3062" w:type="dxa"/>
            <w:vAlign w:val="center"/>
          </w:tcPr>
          <w:p>
            <w:pPr>
              <w:jc w:val="center"/>
              <w:rPr>
                <w:rFonts w:ascii="宋体" w:hAnsi="宋体"/>
                <w:color w:val="auto"/>
                <w:sz w:val="24"/>
                <w:highlight w:val="none"/>
              </w:rPr>
            </w:pPr>
          </w:p>
        </w:tc>
        <w:tc>
          <w:tcPr>
            <w:tcW w:w="3151" w:type="dxa"/>
            <w:vAlign w:val="center"/>
          </w:tcPr>
          <w:p>
            <w:pPr>
              <w:jc w:val="center"/>
              <w:rPr>
                <w:rFonts w:ascii="宋体" w:hAnsi="宋体"/>
                <w:color w:val="auto"/>
                <w:sz w:val="24"/>
                <w:highlight w:val="none"/>
              </w:rPr>
            </w:pPr>
          </w:p>
        </w:tc>
        <w:tc>
          <w:tcPr>
            <w:tcW w:w="1243" w:type="dxa"/>
            <w:vAlign w:val="center"/>
          </w:tcPr>
          <w:p>
            <w:pPr>
              <w:jc w:val="center"/>
              <w:rPr>
                <w:rFonts w:ascii="宋体" w:hAnsi="宋体"/>
                <w:color w:val="auto"/>
                <w:sz w:val="24"/>
                <w:highlight w:val="none"/>
              </w:rPr>
            </w:pPr>
          </w:p>
        </w:tc>
      </w:tr>
    </w:tbl>
    <w:p>
      <w:pPr>
        <w:pStyle w:val="18"/>
        <w:spacing w:line="360" w:lineRule="auto"/>
        <w:ind w:left="404" w:hanging="404" w:hangingChars="200"/>
        <w:rPr>
          <w:rFonts w:hAnsi="宋体"/>
          <w:color w:val="auto"/>
          <w:sz w:val="21"/>
          <w:szCs w:val="21"/>
          <w:highlight w:val="none"/>
        </w:rPr>
      </w:pPr>
      <w:r>
        <w:rPr>
          <w:rFonts w:hint="eastAsia" w:hAnsi="宋体"/>
          <w:color w:val="auto"/>
          <w:sz w:val="21"/>
          <w:szCs w:val="21"/>
          <w:highlight w:val="none"/>
        </w:rPr>
        <w:t>注：1、按采购文件第二章中商务要求内容进行填写。若无偏离可在本表空白处醒目地注明“无商务条款偏离”的字样。</w:t>
      </w:r>
    </w:p>
    <w:p>
      <w:pPr>
        <w:widowControl/>
        <w:spacing w:line="360" w:lineRule="auto"/>
        <w:jc w:val="left"/>
        <w:rPr>
          <w:rFonts w:ascii="宋体" w:hAnsi="宋体"/>
          <w:color w:val="auto"/>
          <w:sz w:val="24"/>
          <w:highlight w:val="none"/>
        </w:rPr>
      </w:pPr>
    </w:p>
    <w:p>
      <w:pPr>
        <w:widowControl/>
        <w:spacing w:line="360" w:lineRule="auto"/>
        <w:jc w:val="left"/>
        <w:rPr>
          <w:rFonts w:ascii="宋体" w:hAnsi="宋体"/>
          <w:color w:val="auto"/>
          <w:highlight w:val="none"/>
        </w:rPr>
      </w:pPr>
      <w:r>
        <w:rPr>
          <w:rFonts w:hint="eastAsia" w:ascii="宋体" w:hAnsi="宋体"/>
          <w:color w:val="auto"/>
          <w:highlight w:val="none"/>
        </w:rPr>
        <w:t>投 标 人（盖章）：</w:t>
      </w:r>
    </w:p>
    <w:p>
      <w:pPr>
        <w:pStyle w:val="18"/>
        <w:snapToGrid w:val="0"/>
        <w:spacing w:line="360" w:lineRule="auto"/>
        <w:ind w:firstLine="0"/>
        <w:rPr>
          <w:rFonts w:hAnsi="宋体"/>
          <w:color w:val="auto"/>
          <w:spacing w:val="0"/>
          <w:sz w:val="21"/>
          <w:szCs w:val="24"/>
          <w:highlight w:val="none"/>
        </w:rPr>
      </w:pPr>
      <w:r>
        <w:rPr>
          <w:rFonts w:hint="eastAsia" w:hAnsi="宋体"/>
          <w:color w:val="auto"/>
          <w:spacing w:val="0"/>
          <w:sz w:val="21"/>
          <w:szCs w:val="24"/>
          <w:highlight w:val="none"/>
        </w:rPr>
        <w:t>法定代表人或其授权代表（签字或盖章）：</w:t>
      </w:r>
    </w:p>
    <w:p>
      <w:pPr>
        <w:pStyle w:val="18"/>
        <w:widowControl/>
        <w:spacing w:line="360" w:lineRule="auto"/>
        <w:ind w:firstLine="0"/>
        <w:jc w:val="left"/>
        <w:rPr>
          <w:rFonts w:hAnsi="宋体"/>
          <w:b/>
          <w:color w:val="auto"/>
          <w:highlight w:val="none"/>
        </w:rPr>
      </w:pPr>
      <w:r>
        <w:rPr>
          <w:rFonts w:hint="eastAsia" w:hAnsi="宋体"/>
          <w:color w:val="auto"/>
          <w:spacing w:val="0"/>
          <w:sz w:val="21"/>
          <w:szCs w:val="24"/>
          <w:highlight w:val="none"/>
        </w:rPr>
        <w:t>日  期：</w:t>
      </w:r>
      <w:bookmarkStart w:id="226" w:name="_Toc460857953"/>
      <w:r>
        <w:rPr>
          <w:rFonts w:hAnsi="宋体"/>
          <w:b/>
          <w:color w:val="auto"/>
          <w:highlight w:val="none"/>
        </w:rPr>
        <w:br w:type="page"/>
      </w:r>
    </w:p>
    <w:p>
      <w:pPr>
        <w:rPr>
          <w:rFonts w:ascii="宋体" w:hAnsi="宋体"/>
          <w:b/>
          <w:color w:val="auto"/>
          <w:highlight w:val="none"/>
        </w:rPr>
      </w:pPr>
      <w:r>
        <w:rPr>
          <w:rFonts w:hint="eastAsia" w:ascii="宋体" w:hAnsi="宋体"/>
          <w:b/>
          <w:color w:val="auto"/>
          <w:highlight w:val="none"/>
        </w:rPr>
        <w:t>格式八：</w:t>
      </w:r>
      <w:bookmarkEnd w:id="226"/>
      <w:r>
        <w:rPr>
          <w:rFonts w:hint="eastAsia" w:ascii="宋体" w:hAnsi="宋体"/>
          <w:color w:val="auto"/>
          <w:szCs w:val="21"/>
          <w:highlight w:val="none"/>
        </w:rPr>
        <w:t>投标产品概况</w:t>
      </w:r>
    </w:p>
    <w:p>
      <w:pPr>
        <w:snapToGrid w:val="0"/>
        <w:spacing w:before="120" w:beforeLines="50" w:after="50"/>
        <w:rPr>
          <w:rFonts w:ascii="宋体" w:hAnsi="宋体"/>
          <w:color w:val="auto"/>
          <w:szCs w:val="21"/>
          <w:highlight w:val="none"/>
        </w:rPr>
      </w:pPr>
    </w:p>
    <w:p>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投标产品概况</w:t>
      </w:r>
    </w:p>
    <w:tbl>
      <w:tblPr>
        <w:tblStyle w:val="40"/>
        <w:tblW w:w="81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86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子包</w:t>
            </w:r>
          </w:p>
        </w:tc>
        <w:tc>
          <w:tcPr>
            <w:tcW w:w="1186" w:type="dxa"/>
            <w:vAlign w:val="center"/>
          </w:tcPr>
          <w:p>
            <w:pPr>
              <w:jc w:val="center"/>
              <w:rPr>
                <w:rFonts w:ascii="宋体" w:hAnsi="宋体"/>
                <w:color w:val="auto"/>
                <w:szCs w:val="21"/>
                <w:highlight w:val="none"/>
              </w:rPr>
            </w:pPr>
          </w:p>
        </w:tc>
        <w:tc>
          <w:tcPr>
            <w:tcW w:w="1649" w:type="dxa"/>
            <w:vAlign w:val="center"/>
          </w:tcPr>
          <w:p>
            <w:pPr>
              <w:jc w:val="center"/>
              <w:rPr>
                <w:rFonts w:ascii="宋体" w:hAnsi="宋体"/>
                <w:color w:val="auto"/>
                <w:szCs w:val="21"/>
                <w:highlight w:val="none"/>
              </w:rPr>
            </w:pPr>
            <w:r>
              <w:rPr>
                <w:rFonts w:hint="eastAsia" w:ascii="宋体" w:hAnsi="宋体"/>
                <w:color w:val="auto"/>
                <w:szCs w:val="21"/>
                <w:highlight w:val="none"/>
              </w:rPr>
              <w:t>产品名称</w:t>
            </w:r>
          </w:p>
        </w:tc>
        <w:tc>
          <w:tcPr>
            <w:tcW w:w="2310" w:type="dxa"/>
            <w:gridSpan w:val="3"/>
            <w:vAlign w:val="center"/>
          </w:tcPr>
          <w:p>
            <w:pPr>
              <w:jc w:val="center"/>
              <w:rPr>
                <w:rFonts w:ascii="宋体" w:hAnsi="宋体"/>
                <w:color w:val="auto"/>
                <w:szCs w:val="21"/>
                <w:highlight w:val="none"/>
              </w:rPr>
            </w:pPr>
          </w:p>
        </w:tc>
        <w:tc>
          <w:tcPr>
            <w:tcW w:w="84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版本</w:t>
            </w:r>
          </w:p>
        </w:tc>
        <w:tc>
          <w:tcPr>
            <w:tcW w:w="127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4" w:hRule="exact"/>
          <w:jc w:val="center"/>
        </w:trPr>
        <w:tc>
          <w:tcPr>
            <w:tcW w:w="2054"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货物投放市场年份</w:t>
            </w:r>
          </w:p>
        </w:tc>
        <w:tc>
          <w:tcPr>
            <w:tcW w:w="1649" w:type="dxa"/>
            <w:vAlign w:val="center"/>
          </w:tcPr>
          <w:p>
            <w:pPr>
              <w:jc w:val="center"/>
              <w:rPr>
                <w:rFonts w:ascii="宋体" w:hAnsi="宋体"/>
                <w:color w:val="auto"/>
                <w:szCs w:val="21"/>
                <w:highlight w:val="none"/>
              </w:rPr>
            </w:pPr>
          </w:p>
        </w:tc>
        <w:tc>
          <w:tcPr>
            <w:tcW w:w="136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制造商</w:t>
            </w:r>
          </w:p>
        </w:tc>
        <w:tc>
          <w:tcPr>
            <w:tcW w:w="3060" w:type="dxa"/>
            <w:gridSpan w:val="4"/>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6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近</w:t>
            </w:r>
          </w:p>
          <w:p>
            <w:pPr>
              <w:jc w:val="center"/>
              <w:rPr>
                <w:rFonts w:ascii="宋体" w:hAnsi="宋体"/>
                <w:color w:val="auto"/>
                <w:szCs w:val="21"/>
                <w:highlight w:val="none"/>
              </w:rPr>
            </w:pPr>
            <w:r>
              <w:rPr>
                <w:rFonts w:hint="eastAsia" w:ascii="宋体" w:hAnsi="宋体"/>
                <w:color w:val="auto"/>
                <w:szCs w:val="21"/>
                <w:highlight w:val="none"/>
              </w:rPr>
              <w:t>三</w:t>
            </w:r>
          </w:p>
          <w:p>
            <w:pPr>
              <w:jc w:val="center"/>
              <w:rPr>
                <w:rFonts w:ascii="宋体" w:hAnsi="宋体"/>
                <w:color w:val="auto"/>
                <w:szCs w:val="21"/>
                <w:highlight w:val="none"/>
              </w:rPr>
            </w:pP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rPr>
              <w:t>业</w:t>
            </w:r>
          </w:p>
          <w:p>
            <w:pPr>
              <w:jc w:val="center"/>
              <w:rPr>
                <w:rFonts w:ascii="宋体" w:hAnsi="宋体"/>
                <w:color w:val="auto"/>
                <w:szCs w:val="21"/>
                <w:highlight w:val="none"/>
              </w:rPr>
            </w:pPr>
            <w:r>
              <w:rPr>
                <w:rFonts w:hint="eastAsia" w:ascii="宋体" w:hAnsi="宋体"/>
                <w:color w:val="auto"/>
                <w:szCs w:val="21"/>
                <w:highlight w:val="none"/>
              </w:rPr>
              <w:t>绩</w:t>
            </w:r>
          </w:p>
        </w:tc>
        <w:tc>
          <w:tcPr>
            <w:tcW w:w="284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 户 名</w:t>
            </w:r>
          </w:p>
        </w:tc>
        <w:tc>
          <w:tcPr>
            <w:tcW w:w="1020" w:type="dxa"/>
            <w:vAlign w:val="center"/>
          </w:tcPr>
          <w:p>
            <w:pPr>
              <w:rPr>
                <w:rFonts w:ascii="宋体" w:hAnsi="宋体"/>
                <w:color w:val="auto"/>
                <w:szCs w:val="21"/>
                <w:highlight w:val="none"/>
              </w:rPr>
            </w:pPr>
            <w:r>
              <w:rPr>
                <w:rFonts w:hint="eastAsia" w:ascii="宋体" w:hAnsi="宋体"/>
                <w:color w:val="auto"/>
                <w:szCs w:val="21"/>
                <w:highlight w:val="none"/>
              </w:rPr>
              <w:t xml:space="preserve">  数量</w:t>
            </w:r>
          </w:p>
        </w:tc>
        <w:tc>
          <w:tcPr>
            <w:tcW w:w="1300" w:type="dxa"/>
            <w:gridSpan w:val="3"/>
            <w:vAlign w:val="center"/>
          </w:tcPr>
          <w:p>
            <w:pPr>
              <w:rPr>
                <w:rFonts w:ascii="宋体" w:hAnsi="宋体"/>
                <w:color w:val="auto"/>
                <w:szCs w:val="21"/>
                <w:highlight w:val="none"/>
              </w:rPr>
            </w:pPr>
            <w:r>
              <w:rPr>
                <w:rFonts w:hint="eastAsia" w:ascii="宋体" w:hAnsi="宋体"/>
                <w:color w:val="auto"/>
                <w:szCs w:val="21"/>
                <w:highlight w:val="none"/>
              </w:rPr>
              <w:t xml:space="preserve"> 合同年份</w:t>
            </w:r>
          </w:p>
        </w:tc>
        <w:tc>
          <w:tcPr>
            <w:tcW w:w="210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联 系 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65" w:hRule="atLeast"/>
          <w:jc w:val="center"/>
        </w:trPr>
        <w:tc>
          <w:tcPr>
            <w:tcW w:w="860" w:type="dxa"/>
            <w:vMerge w:val="continue"/>
            <w:tcBorders>
              <w:bottom w:val="single" w:color="auto" w:sz="2" w:space="0"/>
            </w:tcBorders>
            <w:vAlign w:val="center"/>
          </w:tcPr>
          <w:p>
            <w:pPr>
              <w:rPr>
                <w:rFonts w:ascii="宋体" w:hAnsi="宋体"/>
                <w:color w:val="auto"/>
                <w:highlight w:val="none"/>
              </w:rPr>
            </w:pPr>
          </w:p>
        </w:tc>
        <w:tc>
          <w:tcPr>
            <w:tcW w:w="2843" w:type="dxa"/>
            <w:gridSpan w:val="3"/>
            <w:tcBorders>
              <w:bottom w:val="single" w:color="auto" w:sz="2" w:space="0"/>
            </w:tcBorders>
            <w:vAlign w:val="center"/>
          </w:tcPr>
          <w:p>
            <w:pPr>
              <w:jc w:val="center"/>
              <w:rPr>
                <w:rFonts w:ascii="宋体" w:hAnsi="宋体"/>
                <w:color w:val="auto"/>
                <w:szCs w:val="21"/>
                <w:highlight w:val="none"/>
              </w:rPr>
            </w:pPr>
          </w:p>
        </w:tc>
        <w:tc>
          <w:tcPr>
            <w:tcW w:w="1020" w:type="dxa"/>
            <w:tcBorders>
              <w:bottom w:val="single" w:color="auto" w:sz="2" w:space="0"/>
            </w:tcBorders>
            <w:vAlign w:val="center"/>
          </w:tcPr>
          <w:p>
            <w:pPr>
              <w:rPr>
                <w:rFonts w:ascii="宋体" w:hAnsi="宋体"/>
                <w:color w:val="auto"/>
                <w:szCs w:val="21"/>
                <w:highlight w:val="none"/>
              </w:rPr>
            </w:pPr>
          </w:p>
        </w:tc>
        <w:tc>
          <w:tcPr>
            <w:tcW w:w="1300" w:type="dxa"/>
            <w:gridSpan w:val="3"/>
            <w:tcBorders>
              <w:bottom w:val="single" w:color="auto" w:sz="2" w:space="0"/>
            </w:tcBorders>
            <w:vAlign w:val="center"/>
          </w:tcPr>
          <w:p>
            <w:pPr>
              <w:rPr>
                <w:rFonts w:ascii="宋体" w:hAnsi="宋体"/>
                <w:color w:val="auto"/>
                <w:szCs w:val="21"/>
                <w:highlight w:val="none"/>
              </w:rPr>
            </w:pPr>
          </w:p>
        </w:tc>
        <w:tc>
          <w:tcPr>
            <w:tcW w:w="2105" w:type="dxa"/>
            <w:gridSpan w:val="2"/>
            <w:tcBorders>
              <w:bottom w:val="single" w:color="auto" w:sz="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bottom w:val="single" w:color="auto" w:sz="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主要部件名称、</w:t>
            </w:r>
          </w:p>
          <w:p>
            <w:pPr>
              <w:jc w:val="center"/>
              <w:rPr>
                <w:rFonts w:ascii="宋体" w:hAnsi="宋体"/>
                <w:color w:val="auto"/>
                <w:szCs w:val="21"/>
                <w:highlight w:val="none"/>
              </w:rPr>
            </w:pPr>
            <w:r>
              <w:rPr>
                <w:rFonts w:hint="eastAsia" w:ascii="宋体" w:hAnsi="宋体"/>
                <w:color w:val="auto"/>
                <w:szCs w:val="21"/>
                <w:highlight w:val="none"/>
              </w:rPr>
              <w:t>生产国家、厂家和型号规格</w:t>
            </w:r>
          </w:p>
        </w:tc>
        <w:tc>
          <w:tcPr>
            <w:tcW w:w="4425" w:type="dxa"/>
            <w:gridSpan w:val="6"/>
            <w:tcBorders>
              <w:top w:val="single" w:color="auto" w:sz="2" w:space="0"/>
              <w:bottom w:val="single" w:color="auto" w:sz="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tcBorders>
            <w:vAlign w:val="center"/>
          </w:tcPr>
          <w:p>
            <w:pPr>
              <w:jc w:val="center"/>
              <w:rPr>
                <w:rFonts w:ascii="宋体" w:hAnsi="宋体"/>
                <w:color w:val="auto"/>
                <w:szCs w:val="21"/>
                <w:highlight w:val="none"/>
              </w:rPr>
            </w:pPr>
            <w:r>
              <w:rPr>
                <w:rFonts w:hint="eastAsia" w:ascii="宋体" w:hAnsi="宋体"/>
                <w:color w:val="auto"/>
                <w:szCs w:val="21"/>
                <w:highlight w:val="none"/>
              </w:rPr>
              <w:t>货物的主要优点、</w:t>
            </w:r>
          </w:p>
          <w:p>
            <w:pPr>
              <w:jc w:val="center"/>
              <w:rPr>
                <w:rFonts w:ascii="宋体" w:hAnsi="宋体"/>
                <w:color w:val="auto"/>
                <w:szCs w:val="21"/>
                <w:highlight w:val="none"/>
              </w:rPr>
            </w:pPr>
            <w:r>
              <w:rPr>
                <w:rFonts w:hint="eastAsia" w:ascii="宋体" w:hAnsi="宋体"/>
                <w:color w:val="auto"/>
                <w:szCs w:val="21"/>
                <w:highlight w:val="none"/>
              </w:rPr>
              <w:t xml:space="preserve">特性，是否含专利权 </w:t>
            </w:r>
          </w:p>
        </w:tc>
        <w:tc>
          <w:tcPr>
            <w:tcW w:w="4425" w:type="dxa"/>
            <w:gridSpan w:val="6"/>
            <w:tcBorders>
              <w:top w:val="single" w:color="auto" w:sz="2" w:space="0"/>
            </w:tcBorders>
            <w:vAlign w:val="center"/>
          </w:tcPr>
          <w:p>
            <w:pPr>
              <w:rPr>
                <w:rFonts w:ascii="宋体" w:hAnsi="宋体"/>
                <w:color w:val="auto"/>
                <w:szCs w:val="21"/>
                <w:highlight w:val="none"/>
              </w:rPr>
            </w:pPr>
          </w:p>
        </w:tc>
      </w:tr>
    </w:tbl>
    <w:p>
      <w:pPr>
        <w:snapToGrid w:val="0"/>
        <w:rPr>
          <w:rFonts w:ascii="宋体" w:hAnsi="宋体"/>
          <w:b/>
          <w:color w:val="auto"/>
          <w:szCs w:val="21"/>
          <w:highlight w:val="none"/>
        </w:rPr>
      </w:pPr>
    </w:p>
    <w:p>
      <w:pPr>
        <w:rPr>
          <w:rFonts w:ascii="宋体" w:hAnsi="宋体"/>
          <w:b/>
          <w:color w:val="auto"/>
          <w:highlight w:val="none"/>
        </w:rPr>
      </w:pPr>
      <w:r>
        <w:rPr>
          <w:rFonts w:hint="eastAsia" w:ascii="宋体" w:hAnsi="宋体"/>
          <w:color w:val="auto"/>
          <w:highlight w:val="none"/>
        </w:rPr>
        <w:t>注：此表由投标人按报价产品情况如实填写。</w:t>
      </w:r>
      <w:r>
        <w:rPr>
          <w:rFonts w:hint="eastAsia" w:ascii="宋体" w:hAnsi="宋体"/>
          <w:color w:val="auto"/>
          <w:highlight w:val="none"/>
        </w:rPr>
        <w:br w:type="page"/>
      </w:r>
    </w:p>
    <w:p>
      <w:pPr>
        <w:rPr>
          <w:rStyle w:val="51"/>
          <w:rFonts w:ascii="宋体" w:hAnsi="宋体"/>
          <w:color w:val="auto"/>
          <w:sz w:val="21"/>
          <w:szCs w:val="21"/>
          <w:highlight w:val="none"/>
        </w:rPr>
      </w:pPr>
      <w:bookmarkStart w:id="227" w:name="_Toc460857955"/>
      <w:r>
        <w:rPr>
          <w:rFonts w:hint="eastAsia" w:ascii="宋体" w:hAnsi="宋体"/>
          <w:b/>
          <w:color w:val="auto"/>
          <w:highlight w:val="none"/>
        </w:rPr>
        <w:t>格式九：</w:t>
      </w:r>
      <w:r>
        <w:rPr>
          <w:rFonts w:hint="eastAsia" w:ascii="宋体" w:hAnsi="宋体"/>
          <w:color w:val="auto"/>
          <w:szCs w:val="21"/>
          <w:highlight w:val="none"/>
        </w:rPr>
        <w:t>投标产品技术规格响应表</w:t>
      </w:r>
    </w:p>
    <w:p>
      <w:pPr>
        <w:snapToGrid w:val="0"/>
        <w:spacing w:line="360" w:lineRule="auto"/>
        <w:jc w:val="center"/>
        <w:rPr>
          <w:rFonts w:ascii="宋体" w:hAnsi="宋体"/>
          <w:b/>
          <w:color w:val="auto"/>
          <w:sz w:val="24"/>
          <w:szCs w:val="21"/>
          <w:highlight w:val="none"/>
        </w:rPr>
      </w:pPr>
    </w:p>
    <w:p>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投标产品技术规格响应表</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招标编号： </w:t>
      </w:r>
    </w:p>
    <w:p>
      <w:pPr>
        <w:snapToGrid w:val="0"/>
        <w:spacing w:line="360" w:lineRule="auto"/>
        <w:rPr>
          <w:rFonts w:ascii="宋体" w:hAnsi="宋体"/>
          <w:b/>
          <w:bCs/>
          <w:color w:val="auto"/>
          <w:szCs w:val="21"/>
          <w:highlight w:val="none"/>
        </w:rPr>
      </w:pPr>
      <w:r>
        <w:rPr>
          <w:rFonts w:hint="eastAsia" w:ascii="宋体" w:hAnsi="宋体"/>
          <w:color w:val="auto"/>
          <w:szCs w:val="21"/>
          <w:highlight w:val="none"/>
        </w:rPr>
        <w:t>子包：</w:t>
      </w:r>
    </w:p>
    <w:tbl>
      <w:tblPr>
        <w:tblStyle w:val="4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1185" w:type="dxa"/>
            <w:vAlign w:val="center"/>
          </w:tcPr>
          <w:p>
            <w:pPr>
              <w:spacing w:line="400" w:lineRule="exact"/>
              <w:jc w:val="center"/>
              <w:rPr>
                <w:rFonts w:ascii="宋体" w:hAnsi="宋体"/>
                <w:color w:val="auto"/>
                <w:highlight w:val="none"/>
              </w:rPr>
            </w:pPr>
            <w:r>
              <w:rPr>
                <w:rFonts w:hint="eastAsia" w:ascii="宋体" w:hAnsi="宋体"/>
                <w:b/>
                <w:bCs/>
                <w:color w:val="auto"/>
                <w:szCs w:val="21"/>
                <w:highlight w:val="none"/>
              </w:rPr>
              <w:t>序号</w:t>
            </w:r>
          </w:p>
        </w:tc>
        <w:tc>
          <w:tcPr>
            <w:tcW w:w="2892" w:type="dxa"/>
            <w:vAlign w:val="center"/>
          </w:tcPr>
          <w:p>
            <w:pPr>
              <w:spacing w:line="400" w:lineRule="exact"/>
              <w:jc w:val="center"/>
              <w:rPr>
                <w:rFonts w:ascii="宋体" w:hAnsi="宋体"/>
                <w:color w:val="auto"/>
                <w:highlight w:val="none"/>
              </w:rPr>
            </w:pPr>
            <w:r>
              <w:rPr>
                <w:rFonts w:hint="eastAsia" w:ascii="宋体" w:hAnsi="宋体"/>
                <w:b/>
                <w:bCs/>
                <w:color w:val="auto"/>
                <w:szCs w:val="21"/>
                <w:highlight w:val="none"/>
              </w:rPr>
              <w:t>招标要求</w:t>
            </w:r>
          </w:p>
        </w:tc>
        <w:tc>
          <w:tcPr>
            <w:tcW w:w="2410" w:type="dxa"/>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投标响应</w:t>
            </w:r>
          </w:p>
        </w:tc>
        <w:tc>
          <w:tcPr>
            <w:tcW w:w="2410" w:type="dxa"/>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Align w:val="center"/>
          </w:tcPr>
          <w:p>
            <w:pPr>
              <w:widowControl/>
              <w:tabs>
                <w:tab w:val="left" w:pos="180"/>
                <w:tab w:val="left" w:pos="540"/>
              </w:tabs>
              <w:spacing w:line="400" w:lineRule="exact"/>
              <w:jc w:val="center"/>
              <w:rPr>
                <w:rFonts w:ascii="宋体" w:hAnsi="宋体"/>
                <w:color w:val="auto"/>
                <w:highlight w:val="none"/>
              </w:rPr>
            </w:pPr>
          </w:p>
        </w:tc>
        <w:tc>
          <w:tcPr>
            <w:tcW w:w="2892" w:type="dxa"/>
          </w:tcPr>
          <w:p>
            <w:pPr>
              <w:widowControl/>
              <w:tabs>
                <w:tab w:val="left" w:pos="180"/>
                <w:tab w:val="left" w:pos="540"/>
              </w:tabs>
              <w:spacing w:line="400" w:lineRule="exact"/>
              <w:jc w:val="lef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auto"/>
                <w:highlight w:val="none"/>
              </w:rPr>
            </w:pPr>
          </w:p>
        </w:tc>
        <w:tc>
          <w:tcPr>
            <w:tcW w:w="2892" w:type="dxa"/>
            <w:vAlign w:val="center"/>
          </w:tcPr>
          <w:p>
            <w:pPr>
              <w:widowControl/>
              <w:tabs>
                <w:tab w:val="left" w:pos="180"/>
                <w:tab w:val="left" w:pos="540"/>
              </w:tabs>
              <w:spacing w:line="400" w:lineRule="exact"/>
              <w:jc w:val="lef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auto"/>
                <w:highlight w:val="none"/>
              </w:rPr>
            </w:pPr>
          </w:p>
        </w:tc>
        <w:tc>
          <w:tcPr>
            <w:tcW w:w="2892" w:type="dxa"/>
            <w:vAlign w:val="center"/>
          </w:tcPr>
          <w:p>
            <w:pPr>
              <w:widowControl/>
              <w:tabs>
                <w:tab w:val="left" w:pos="180"/>
                <w:tab w:val="left" w:pos="540"/>
              </w:tabs>
              <w:spacing w:line="400" w:lineRule="exact"/>
              <w:jc w:val="lef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auto"/>
                <w:highlight w:val="none"/>
              </w:rPr>
            </w:pPr>
          </w:p>
        </w:tc>
        <w:tc>
          <w:tcPr>
            <w:tcW w:w="2892" w:type="dxa"/>
            <w:vAlign w:val="center"/>
          </w:tcPr>
          <w:p>
            <w:pPr>
              <w:widowControl/>
              <w:tabs>
                <w:tab w:val="left" w:pos="180"/>
                <w:tab w:val="left" w:pos="540"/>
              </w:tabs>
              <w:spacing w:line="400" w:lineRule="exact"/>
              <w:jc w:val="lef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auto"/>
                <w:highlight w:val="none"/>
              </w:rPr>
            </w:pPr>
          </w:p>
        </w:tc>
        <w:tc>
          <w:tcPr>
            <w:tcW w:w="2892" w:type="dxa"/>
            <w:vAlign w:val="center"/>
          </w:tcPr>
          <w:p>
            <w:pPr>
              <w:widowControl/>
              <w:spacing w:line="400" w:lineRule="exact"/>
              <w:rPr>
                <w:rFonts w:ascii="宋体" w:hAnsi="宋体"/>
                <w:color w:val="auto"/>
                <w:highlight w:val="none"/>
              </w:rPr>
            </w:pPr>
          </w:p>
        </w:tc>
        <w:tc>
          <w:tcPr>
            <w:tcW w:w="2410" w:type="dxa"/>
          </w:tcPr>
          <w:p>
            <w:pPr>
              <w:widowControl/>
              <w:spacing w:line="400" w:lineRule="exact"/>
              <w:rPr>
                <w:rFonts w:ascii="宋体" w:hAnsi="宋体"/>
                <w:b/>
                <w:bCs/>
                <w:color w:val="auto"/>
                <w:szCs w:val="21"/>
                <w:highlight w:val="none"/>
              </w:rPr>
            </w:pPr>
          </w:p>
        </w:tc>
        <w:tc>
          <w:tcPr>
            <w:tcW w:w="2410" w:type="dxa"/>
          </w:tcPr>
          <w:p>
            <w:pPr>
              <w:widowControl/>
              <w:spacing w:line="400" w:lineRule="exact"/>
              <w:rPr>
                <w:rFonts w:ascii="宋体" w:hAnsi="宋体"/>
                <w:b/>
                <w:bCs/>
                <w:color w:val="auto"/>
                <w:szCs w:val="21"/>
                <w:highlight w:val="none"/>
              </w:rPr>
            </w:pPr>
          </w:p>
        </w:tc>
      </w:tr>
    </w:tbl>
    <w:p>
      <w:pPr>
        <w:snapToGrid w:val="0"/>
        <w:spacing w:line="360" w:lineRule="auto"/>
        <w:rPr>
          <w:rFonts w:ascii="宋体" w:hAnsi="宋体"/>
          <w:b/>
          <w:color w:val="auto"/>
          <w:szCs w:val="21"/>
          <w:highlight w:val="none"/>
        </w:rPr>
      </w:pPr>
      <w:r>
        <w:rPr>
          <w:rFonts w:hint="eastAsia" w:ascii="宋体" w:hAnsi="宋体"/>
          <w:b/>
          <w:color w:val="auto"/>
          <w:szCs w:val="21"/>
          <w:highlight w:val="none"/>
        </w:rPr>
        <w:t>注：1、投标人应根据投标产品的性能指标、对照采购文件第二章招标需求表B要求逐条填写，并在“偏离情况”栏注明“正偏离”、“负偏离”或“无偏离”。</w:t>
      </w:r>
    </w:p>
    <w:p>
      <w:pPr>
        <w:snapToGrid w:val="0"/>
        <w:spacing w:line="360" w:lineRule="auto"/>
        <w:jc w:val="center"/>
        <w:rPr>
          <w:rFonts w:ascii="宋体" w:hAnsi="宋体"/>
          <w:b/>
          <w:bCs/>
          <w:color w:val="auto"/>
          <w:sz w:val="24"/>
          <w:szCs w:val="21"/>
          <w:highlight w:val="none"/>
        </w:rPr>
      </w:pP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投 标 人（盖章）：</w:t>
      </w:r>
    </w:p>
    <w:p>
      <w:pPr>
        <w:pStyle w:val="18"/>
        <w:snapToGrid w:val="0"/>
        <w:spacing w:line="360" w:lineRule="auto"/>
        <w:ind w:firstLine="0"/>
        <w:rPr>
          <w:rFonts w:hAnsi="宋体"/>
          <w:color w:val="auto"/>
          <w:spacing w:val="0"/>
          <w:sz w:val="21"/>
          <w:szCs w:val="21"/>
          <w:highlight w:val="none"/>
        </w:rPr>
      </w:pPr>
      <w:r>
        <w:rPr>
          <w:rFonts w:hint="eastAsia" w:hAnsi="宋体"/>
          <w:color w:val="auto"/>
          <w:spacing w:val="0"/>
          <w:sz w:val="21"/>
          <w:szCs w:val="21"/>
          <w:highlight w:val="none"/>
        </w:rPr>
        <w:t>法定代表人或其授权代表（签字或盖章）：</w:t>
      </w:r>
    </w:p>
    <w:p>
      <w:pPr>
        <w:pStyle w:val="18"/>
        <w:widowControl/>
        <w:spacing w:line="360" w:lineRule="auto"/>
        <w:ind w:firstLine="0"/>
        <w:jc w:val="left"/>
        <w:rPr>
          <w:rFonts w:hAnsi="宋体"/>
          <w:b/>
          <w:color w:val="auto"/>
          <w:highlight w:val="none"/>
        </w:rPr>
      </w:pPr>
      <w:r>
        <w:rPr>
          <w:rFonts w:hint="eastAsia" w:hAnsi="宋体"/>
          <w:color w:val="auto"/>
          <w:spacing w:val="0"/>
          <w:sz w:val="21"/>
          <w:szCs w:val="21"/>
          <w:highlight w:val="none"/>
        </w:rPr>
        <w:t>日期：</w:t>
      </w:r>
      <w:r>
        <w:rPr>
          <w:rFonts w:hAnsi="宋体"/>
          <w:b/>
          <w:color w:val="auto"/>
          <w:highlight w:val="none"/>
        </w:rPr>
        <w:br w:type="page"/>
      </w:r>
    </w:p>
    <w:p>
      <w:pPr>
        <w:rPr>
          <w:rFonts w:ascii="宋体" w:hAnsi="宋体"/>
          <w:b/>
          <w:color w:val="auto"/>
          <w:highlight w:val="none"/>
        </w:rPr>
      </w:pPr>
      <w:r>
        <w:rPr>
          <w:rFonts w:hint="eastAsia" w:ascii="宋体" w:hAnsi="宋体"/>
          <w:b/>
          <w:color w:val="auto"/>
          <w:highlight w:val="none"/>
        </w:rPr>
        <w:t>格式十：</w:t>
      </w:r>
      <w:bookmarkEnd w:id="227"/>
      <w:r>
        <w:rPr>
          <w:rFonts w:hint="eastAsia" w:ascii="宋体" w:hAnsi="宋体"/>
          <w:color w:val="auto"/>
          <w:szCs w:val="21"/>
          <w:highlight w:val="none"/>
        </w:rPr>
        <w:t>设备附件清单</w:t>
      </w:r>
    </w:p>
    <w:p>
      <w:pPr>
        <w:snapToGrid w:val="0"/>
        <w:spacing w:line="360" w:lineRule="auto"/>
        <w:jc w:val="center"/>
        <w:rPr>
          <w:rFonts w:ascii="宋体" w:hAnsi="宋体"/>
          <w:b/>
          <w:bCs/>
          <w:color w:val="auto"/>
          <w:sz w:val="24"/>
          <w:szCs w:val="21"/>
          <w:highlight w:val="none"/>
        </w:rPr>
      </w:pPr>
      <w:r>
        <w:rPr>
          <w:rFonts w:hint="eastAsia" w:ascii="宋体" w:hAnsi="宋体"/>
          <w:b/>
          <w:bCs/>
          <w:color w:val="auto"/>
          <w:sz w:val="24"/>
          <w:szCs w:val="21"/>
          <w:highlight w:val="none"/>
        </w:rPr>
        <w:t>设备附件清单</w:t>
      </w:r>
    </w:p>
    <w:p>
      <w:pPr>
        <w:spacing w:line="180" w:lineRule="exact"/>
        <w:jc w:val="center"/>
        <w:rPr>
          <w:rFonts w:ascii="宋体" w:hAnsi="宋体"/>
          <w:b/>
          <w:color w:val="auto"/>
          <w:sz w:val="24"/>
          <w:highlight w:val="none"/>
        </w:rPr>
      </w:pPr>
    </w:p>
    <w:p>
      <w:pPr>
        <w:rPr>
          <w:rFonts w:ascii="宋体" w:hAnsi="宋体"/>
          <w:color w:val="auto"/>
          <w:sz w:val="24"/>
          <w:highlight w:val="none"/>
        </w:rPr>
      </w:pPr>
      <w:r>
        <w:rPr>
          <w:rFonts w:hint="eastAsia" w:ascii="宋体" w:hAnsi="宋体"/>
          <w:b/>
          <w:color w:val="auto"/>
          <w:sz w:val="24"/>
          <w:highlight w:val="none"/>
        </w:rPr>
        <w:t>表1  设备</w:t>
      </w:r>
      <w:r>
        <w:rPr>
          <w:rFonts w:hint="eastAsia" w:ascii="宋体" w:hAnsi="宋体"/>
          <w:b/>
          <w:color w:val="auto"/>
          <w:sz w:val="24"/>
          <w:highlight w:val="none"/>
          <w:lang w:val="zh-CN"/>
        </w:rPr>
        <w:t>附件、配件及备品备件表</w:t>
      </w:r>
    </w:p>
    <w:tbl>
      <w:tblPr>
        <w:tblStyle w:val="40"/>
        <w:tblW w:w="86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03"/>
        <w:gridCol w:w="3267"/>
        <w:gridCol w:w="1405"/>
        <w:gridCol w:w="1999"/>
        <w:gridCol w:w="11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3" w:hRule="atLeast"/>
        </w:trPr>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3267" w:type="dxa"/>
            <w:vAlign w:val="center"/>
          </w:tcPr>
          <w:p>
            <w:pPr>
              <w:jc w:val="center"/>
              <w:rPr>
                <w:rFonts w:ascii="宋体" w:hAnsi="宋体"/>
                <w:color w:val="auto"/>
                <w:sz w:val="24"/>
                <w:highlight w:val="none"/>
              </w:rPr>
            </w:pPr>
            <w:r>
              <w:rPr>
                <w:rFonts w:hint="eastAsia" w:ascii="宋体" w:hAnsi="宋体"/>
                <w:color w:val="auto"/>
                <w:sz w:val="24"/>
                <w:highlight w:val="none"/>
              </w:rPr>
              <w:t>名称</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品牌</w:t>
            </w:r>
          </w:p>
        </w:tc>
        <w:tc>
          <w:tcPr>
            <w:tcW w:w="1999" w:type="dxa"/>
            <w:vAlign w:val="center"/>
          </w:tcPr>
          <w:p>
            <w:pPr>
              <w:jc w:val="center"/>
              <w:rPr>
                <w:rFonts w:ascii="宋体" w:hAnsi="宋体"/>
                <w:color w:val="auto"/>
                <w:sz w:val="24"/>
                <w:highlight w:val="none"/>
              </w:rPr>
            </w:pPr>
            <w:r>
              <w:rPr>
                <w:rFonts w:hint="eastAsia" w:ascii="宋体" w:hAnsi="宋体"/>
                <w:color w:val="auto"/>
                <w:sz w:val="24"/>
                <w:highlight w:val="none"/>
              </w:rPr>
              <w:t>型号</w:t>
            </w:r>
          </w:p>
        </w:tc>
        <w:tc>
          <w:tcPr>
            <w:tcW w:w="1108" w:type="dxa"/>
            <w:vAlign w:val="center"/>
          </w:tcPr>
          <w:p>
            <w:pPr>
              <w:jc w:val="center"/>
              <w:rPr>
                <w:rFonts w:ascii="宋体" w:hAnsi="宋体"/>
                <w:color w:val="auto"/>
                <w:sz w:val="24"/>
                <w:highlight w:val="none"/>
              </w:rPr>
            </w:pPr>
            <w:r>
              <w:rPr>
                <w:rFonts w:hint="eastAsia" w:ascii="宋体" w:hAnsi="宋体"/>
                <w:color w:val="auto"/>
                <w:sz w:val="24"/>
                <w:highlight w:val="none"/>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841" w:hRule="atLeast"/>
        </w:trPr>
        <w:tc>
          <w:tcPr>
            <w:tcW w:w="903" w:type="dxa"/>
            <w:vAlign w:val="center"/>
          </w:tcPr>
          <w:p>
            <w:pPr>
              <w:spacing w:before="240"/>
              <w:jc w:val="center"/>
              <w:rPr>
                <w:rFonts w:ascii="宋体" w:hAnsi="宋体"/>
                <w:color w:val="auto"/>
                <w:sz w:val="24"/>
                <w:highlight w:val="none"/>
              </w:rPr>
            </w:pPr>
          </w:p>
        </w:tc>
        <w:tc>
          <w:tcPr>
            <w:tcW w:w="3267" w:type="dxa"/>
            <w:vAlign w:val="center"/>
          </w:tcPr>
          <w:p>
            <w:pPr>
              <w:spacing w:before="240"/>
              <w:jc w:val="center"/>
              <w:rPr>
                <w:rFonts w:ascii="宋体" w:hAnsi="宋体"/>
                <w:color w:val="auto"/>
                <w:sz w:val="24"/>
                <w:highlight w:val="none"/>
              </w:rPr>
            </w:pPr>
          </w:p>
        </w:tc>
        <w:tc>
          <w:tcPr>
            <w:tcW w:w="1405" w:type="dxa"/>
            <w:vAlign w:val="center"/>
          </w:tcPr>
          <w:p>
            <w:pPr>
              <w:spacing w:before="240"/>
              <w:jc w:val="center"/>
              <w:rPr>
                <w:rFonts w:ascii="宋体" w:hAnsi="宋体"/>
                <w:color w:val="auto"/>
                <w:sz w:val="24"/>
                <w:highlight w:val="none"/>
              </w:rPr>
            </w:pPr>
          </w:p>
        </w:tc>
        <w:tc>
          <w:tcPr>
            <w:tcW w:w="1999" w:type="dxa"/>
            <w:vAlign w:val="center"/>
          </w:tcPr>
          <w:p>
            <w:pPr>
              <w:spacing w:before="240"/>
              <w:jc w:val="center"/>
              <w:rPr>
                <w:rFonts w:ascii="宋体" w:hAnsi="宋体"/>
                <w:color w:val="auto"/>
                <w:sz w:val="24"/>
                <w:highlight w:val="none"/>
              </w:rPr>
            </w:pPr>
          </w:p>
        </w:tc>
        <w:tc>
          <w:tcPr>
            <w:tcW w:w="1108" w:type="dxa"/>
            <w:vAlign w:val="center"/>
          </w:tcPr>
          <w:p>
            <w:pPr>
              <w:spacing w:before="240"/>
              <w:jc w:val="center"/>
              <w:rPr>
                <w:rFonts w:ascii="宋体" w:hAnsi="宋体"/>
                <w:color w:val="auto"/>
                <w:sz w:val="24"/>
                <w:highlight w:val="none"/>
              </w:rPr>
            </w:pPr>
          </w:p>
        </w:tc>
      </w:tr>
    </w:tbl>
    <w:p>
      <w:pPr>
        <w:spacing w:line="360" w:lineRule="auto"/>
        <w:rPr>
          <w:rFonts w:ascii="宋体" w:hAnsi="宋体"/>
          <w:b/>
          <w:color w:val="auto"/>
          <w:sz w:val="28"/>
          <w:highlight w:val="none"/>
        </w:rPr>
      </w:pPr>
      <w:r>
        <w:rPr>
          <w:rFonts w:hint="eastAsia" w:ascii="宋体" w:hAnsi="宋体"/>
          <w:iCs/>
          <w:color w:val="auto"/>
          <w:sz w:val="24"/>
          <w:szCs w:val="21"/>
          <w:highlight w:val="none"/>
        </w:rPr>
        <w:t>表1是供设备使用的附件、配件及备品备件表，请投标人列出，该费用计入投标总价。</w:t>
      </w:r>
    </w:p>
    <w:p>
      <w:pPr>
        <w:snapToGrid w:val="0"/>
        <w:spacing w:line="360" w:lineRule="auto"/>
        <w:rPr>
          <w:rFonts w:ascii="宋体" w:hAnsi="宋体"/>
          <w:color w:val="auto"/>
          <w:sz w:val="24"/>
          <w:szCs w:val="21"/>
          <w:highlight w:val="none"/>
          <w:lang w:val="zh-CN"/>
        </w:rPr>
      </w:pPr>
    </w:p>
    <w:p>
      <w:pPr>
        <w:rPr>
          <w:rFonts w:ascii="宋体" w:hAnsi="宋体"/>
          <w:color w:val="auto"/>
          <w:sz w:val="24"/>
          <w:highlight w:val="none"/>
        </w:rPr>
      </w:pPr>
      <w:r>
        <w:rPr>
          <w:rFonts w:hint="eastAsia" w:ascii="宋体" w:hAnsi="宋体"/>
          <w:b/>
          <w:color w:val="auto"/>
          <w:sz w:val="24"/>
          <w:highlight w:val="none"/>
        </w:rPr>
        <w:t xml:space="preserve">表2  </w:t>
      </w:r>
      <w:r>
        <w:rPr>
          <w:rFonts w:hint="eastAsia" w:ascii="宋体" w:hAnsi="宋体"/>
          <w:b/>
          <w:color w:val="auto"/>
          <w:sz w:val="24"/>
          <w:highlight w:val="none"/>
          <w:lang w:val="zh-CN"/>
        </w:rPr>
        <w:t>专用工具</w:t>
      </w:r>
      <w:r>
        <w:rPr>
          <w:rFonts w:hint="eastAsia" w:ascii="宋体" w:hAnsi="宋体"/>
          <w:b/>
          <w:color w:val="auto"/>
          <w:sz w:val="24"/>
          <w:highlight w:val="none"/>
        </w:rPr>
        <w:t>报价表</w:t>
      </w:r>
    </w:p>
    <w:tbl>
      <w:tblPr>
        <w:tblStyle w:val="40"/>
        <w:tblW w:w="8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766"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355"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名称</w:t>
            </w:r>
          </w:p>
        </w:tc>
        <w:tc>
          <w:tcPr>
            <w:tcW w:w="1470"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型号</w:t>
            </w:r>
          </w:p>
        </w:tc>
        <w:tc>
          <w:tcPr>
            <w:tcW w:w="840"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665" w:type="dxa"/>
            <w:vAlign w:val="center"/>
          </w:tcPr>
          <w:p>
            <w:pPr>
              <w:jc w:val="center"/>
              <w:rPr>
                <w:rFonts w:ascii="宋体" w:hAnsi="宋体"/>
                <w:color w:val="auto"/>
                <w:sz w:val="24"/>
                <w:highlight w:val="none"/>
              </w:rPr>
            </w:pPr>
            <w:r>
              <w:rPr>
                <w:rFonts w:hint="eastAsia" w:ascii="宋体" w:hAnsi="宋体"/>
                <w:color w:val="auto"/>
                <w:sz w:val="24"/>
                <w:highlight w:val="none"/>
              </w:rPr>
              <w:t>单   价</w:t>
            </w:r>
          </w:p>
        </w:tc>
        <w:tc>
          <w:tcPr>
            <w:tcW w:w="1542" w:type="dxa"/>
            <w:vAlign w:val="center"/>
          </w:tcPr>
          <w:p>
            <w:pPr>
              <w:jc w:val="center"/>
              <w:rPr>
                <w:rFonts w:ascii="宋体" w:hAnsi="宋体"/>
                <w:color w:val="auto"/>
                <w:sz w:val="24"/>
                <w:highlight w:val="none"/>
              </w:rPr>
            </w:pPr>
            <w:r>
              <w:rPr>
                <w:rFonts w:hint="eastAsia" w:ascii="宋体" w:hAnsi="宋体"/>
                <w:color w:val="auto"/>
                <w:sz w:val="24"/>
                <w:highlight w:val="none"/>
              </w:rPr>
              <w:t>总   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trPr>
        <w:tc>
          <w:tcPr>
            <w:tcW w:w="766" w:type="dxa"/>
            <w:vMerge w:val="continue"/>
            <w:vAlign w:val="center"/>
          </w:tcPr>
          <w:p>
            <w:pPr>
              <w:rPr>
                <w:rFonts w:ascii="宋体" w:hAnsi="宋体"/>
                <w:color w:val="auto"/>
                <w:highlight w:val="none"/>
              </w:rPr>
            </w:pPr>
          </w:p>
        </w:tc>
        <w:tc>
          <w:tcPr>
            <w:tcW w:w="2355" w:type="dxa"/>
            <w:vMerge w:val="continue"/>
            <w:vAlign w:val="center"/>
          </w:tcPr>
          <w:p>
            <w:pPr>
              <w:rPr>
                <w:rFonts w:ascii="宋体" w:hAnsi="宋体"/>
                <w:color w:val="auto"/>
                <w:highlight w:val="none"/>
              </w:rPr>
            </w:pPr>
          </w:p>
        </w:tc>
        <w:tc>
          <w:tcPr>
            <w:tcW w:w="1470" w:type="dxa"/>
            <w:vMerge w:val="continue"/>
            <w:vAlign w:val="center"/>
          </w:tcPr>
          <w:p>
            <w:pPr>
              <w:rPr>
                <w:rFonts w:ascii="宋体" w:hAnsi="宋体"/>
                <w:color w:val="auto"/>
                <w:highlight w:val="none"/>
              </w:rPr>
            </w:pPr>
          </w:p>
        </w:tc>
        <w:tc>
          <w:tcPr>
            <w:tcW w:w="840" w:type="dxa"/>
            <w:vMerge w:val="continue"/>
            <w:vAlign w:val="center"/>
          </w:tcPr>
          <w:p>
            <w:pPr>
              <w:rPr>
                <w:rFonts w:ascii="宋体" w:hAnsi="宋体"/>
                <w:color w:val="auto"/>
                <w:highlight w:val="none"/>
              </w:rPr>
            </w:pPr>
          </w:p>
        </w:tc>
        <w:tc>
          <w:tcPr>
            <w:tcW w:w="1665" w:type="dxa"/>
            <w:vAlign w:val="center"/>
          </w:tcPr>
          <w:p>
            <w:pPr>
              <w:jc w:val="center"/>
              <w:rPr>
                <w:rFonts w:ascii="宋体" w:hAnsi="宋体"/>
                <w:color w:val="auto"/>
                <w:sz w:val="24"/>
                <w:highlight w:val="none"/>
              </w:rPr>
            </w:pPr>
            <w:r>
              <w:rPr>
                <w:rFonts w:hint="eastAsia" w:ascii="宋体" w:hAnsi="宋体"/>
                <w:color w:val="auto"/>
                <w:sz w:val="24"/>
                <w:highlight w:val="none"/>
              </w:rPr>
              <w:t>到工地价</w:t>
            </w:r>
          </w:p>
        </w:tc>
        <w:tc>
          <w:tcPr>
            <w:tcW w:w="1542" w:type="dxa"/>
            <w:vAlign w:val="center"/>
          </w:tcPr>
          <w:p>
            <w:pPr>
              <w:jc w:val="center"/>
              <w:rPr>
                <w:rFonts w:ascii="宋体" w:hAnsi="宋体"/>
                <w:color w:val="auto"/>
                <w:sz w:val="24"/>
                <w:highlight w:val="none"/>
              </w:rPr>
            </w:pPr>
            <w:r>
              <w:rPr>
                <w:rFonts w:hint="eastAsia" w:ascii="宋体" w:hAnsi="宋体"/>
                <w:color w:val="auto"/>
                <w:sz w:val="24"/>
                <w:highlight w:val="none"/>
              </w:rPr>
              <w:t>到工地价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trPr>
        <w:tc>
          <w:tcPr>
            <w:tcW w:w="766" w:type="dxa"/>
            <w:vAlign w:val="center"/>
          </w:tcPr>
          <w:p>
            <w:pPr>
              <w:spacing w:before="240"/>
              <w:jc w:val="center"/>
              <w:rPr>
                <w:rFonts w:ascii="宋体" w:hAnsi="宋体"/>
                <w:color w:val="auto"/>
                <w:sz w:val="24"/>
                <w:highlight w:val="none"/>
              </w:rPr>
            </w:pPr>
          </w:p>
        </w:tc>
        <w:tc>
          <w:tcPr>
            <w:tcW w:w="2355" w:type="dxa"/>
            <w:vAlign w:val="center"/>
          </w:tcPr>
          <w:p>
            <w:pPr>
              <w:spacing w:before="240"/>
              <w:jc w:val="center"/>
              <w:rPr>
                <w:rFonts w:ascii="宋体" w:hAnsi="宋体"/>
                <w:color w:val="auto"/>
                <w:sz w:val="24"/>
                <w:highlight w:val="none"/>
              </w:rPr>
            </w:pPr>
          </w:p>
        </w:tc>
        <w:tc>
          <w:tcPr>
            <w:tcW w:w="1470" w:type="dxa"/>
            <w:vAlign w:val="center"/>
          </w:tcPr>
          <w:p>
            <w:pPr>
              <w:spacing w:before="240"/>
              <w:jc w:val="center"/>
              <w:rPr>
                <w:rFonts w:ascii="宋体" w:hAnsi="宋体"/>
                <w:color w:val="auto"/>
                <w:sz w:val="24"/>
                <w:highlight w:val="none"/>
              </w:rPr>
            </w:pPr>
          </w:p>
        </w:tc>
        <w:tc>
          <w:tcPr>
            <w:tcW w:w="840" w:type="dxa"/>
            <w:vAlign w:val="center"/>
          </w:tcPr>
          <w:p>
            <w:pPr>
              <w:spacing w:before="240"/>
              <w:jc w:val="center"/>
              <w:rPr>
                <w:rFonts w:ascii="宋体" w:hAnsi="宋体"/>
                <w:color w:val="auto"/>
                <w:sz w:val="24"/>
                <w:highlight w:val="none"/>
              </w:rPr>
            </w:pPr>
          </w:p>
        </w:tc>
        <w:tc>
          <w:tcPr>
            <w:tcW w:w="1665" w:type="dxa"/>
            <w:vAlign w:val="center"/>
          </w:tcPr>
          <w:p>
            <w:pPr>
              <w:spacing w:before="240"/>
              <w:jc w:val="center"/>
              <w:rPr>
                <w:rFonts w:ascii="宋体" w:hAnsi="宋体"/>
                <w:color w:val="auto"/>
                <w:sz w:val="24"/>
                <w:highlight w:val="none"/>
              </w:rPr>
            </w:pPr>
          </w:p>
        </w:tc>
        <w:tc>
          <w:tcPr>
            <w:tcW w:w="1542" w:type="dxa"/>
            <w:vAlign w:val="center"/>
          </w:tcPr>
          <w:p>
            <w:pPr>
              <w:spacing w:before="240"/>
              <w:jc w:val="center"/>
              <w:rPr>
                <w:rFonts w:ascii="宋体" w:hAnsi="宋体"/>
                <w:color w:val="auto"/>
                <w:sz w:val="24"/>
                <w:highlight w:val="none"/>
              </w:rPr>
            </w:pPr>
          </w:p>
        </w:tc>
      </w:tr>
    </w:tbl>
    <w:p>
      <w:pPr>
        <w:snapToGrid w:val="0"/>
        <w:spacing w:before="120" w:beforeLines="50" w:after="120" w:afterLines="50" w:line="360" w:lineRule="auto"/>
        <w:jc w:val="left"/>
        <w:rPr>
          <w:rFonts w:ascii="宋体" w:hAnsi="宋体"/>
          <w:b/>
          <w:bCs/>
          <w:color w:val="auto"/>
          <w:sz w:val="28"/>
          <w:highlight w:val="none"/>
        </w:rPr>
      </w:pPr>
      <w:r>
        <w:rPr>
          <w:rFonts w:hint="eastAsia" w:ascii="宋体" w:hAnsi="宋体"/>
          <w:iCs/>
          <w:color w:val="auto"/>
          <w:sz w:val="24"/>
          <w:szCs w:val="21"/>
          <w:highlight w:val="none"/>
        </w:rPr>
        <w:t>表</w:t>
      </w:r>
      <w:r>
        <w:rPr>
          <w:rFonts w:ascii="宋体" w:hAnsi="宋体"/>
          <w:iCs/>
          <w:color w:val="auto"/>
          <w:sz w:val="24"/>
          <w:szCs w:val="21"/>
          <w:highlight w:val="none"/>
        </w:rPr>
        <w:t>2</w:t>
      </w:r>
      <w:r>
        <w:rPr>
          <w:rFonts w:hint="eastAsia" w:ascii="宋体" w:hAnsi="宋体"/>
          <w:iCs/>
          <w:color w:val="auto"/>
          <w:sz w:val="24"/>
          <w:szCs w:val="21"/>
          <w:highlight w:val="none"/>
        </w:rPr>
        <w:t>是供</w:t>
      </w:r>
      <w:r>
        <w:rPr>
          <w:rFonts w:hint="eastAsia" w:ascii="宋体" w:hAnsi="宋体"/>
          <w:iCs/>
          <w:color w:val="auto"/>
          <w:sz w:val="24"/>
          <w:szCs w:val="21"/>
          <w:highlight w:val="none"/>
          <w:lang w:val="zh-CN"/>
        </w:rPr>
        <w:t>设备安装、调试、维修、常规保养所需专用工具</w:t>
      </w:r>
      <w:r>
        <w:rPr>
          <w:rFonts w:hint="eastAsia" w:ascii="宋体" w:hAnsi="宋体"/>
          <w:iCs/>
          <w:color w:val="auto"/>
          <w:sz w:val="24"/>
          <w:szCs w:val="21"/>
          <w:highlight w:val="none"/>
        </w:rPr>
        <w:t>报价表，请投标人列出，该费用计入投标总价。</w:t>
      </w:r>
    </w:p>
    <w:p>
      <w:pPr>
        <w:snapToGrid w:val="0"/>
        <w:spacing w:before="50" w:after="120" w:afterLines="50"/>
        <w:jc w:val="left"/>
        <w:rPr>
          <w:rFonts w:ascii="宋体" w:hAnsi="宋体"/>
          <w:color w:val="auto"/>
          <w:szCs w:val="21"/>
          <w:highlight w:val="none"/>
        </w:rPr>
        <w:sectPr>
          <w:pgSz w:w="11906" w:h="16838"/>
          <w:pgMar w:top="1247" w:right="1797" w:bottom="221" w:left="1797" w:header="851" w:footer="851" w:gutter="0"/>
          <w:cols w:space="720" w:num="1"/>
          <w:docGrid w:linePitch="312" w:charSpace="0"/>
        </w:sectPr>
      </w:pPr>
    </w:p>
    <w:p>
      <w:pPr>
        <w:rPr>
          <w:rFonts w:ascii="宋体" w:hAnsi="宋体"/>
          <w:b/>
          <w:color w:val="auto"/>
          <w:highlight w:val="none"/>
        </w:rPr>
      </w:pPr>
      <w:bookmarkStart w:id="228" w:name="_Toc460857956"/>
      <w:r>
        <w:rPr>
          <w:rFonts w:hint="eastAsia" w:ascii="宋体" w:hAnsi="宋体"/>
          <w:b/>
          <w:color w:val="auto"/>
          <w:highlight w:val="none"/>
        </w:rPr>
        <w:t>格式十一：</w:t>
      </w:r>
      <w:bookmarkEnd w:id="228"/>
      <w:r>
        <w:rPr>
          <w:rFonts w:hint="eastAsia" w:ascii="宋体" w:hAnsi="宋体"/>
          <w:color w:val="auto"/>
          <w:szCs w:val="21"/>
          <w:highlight w:val="none"/>
        </w:rPr>
        <w:t>距采购单位最近或者能为本项目提供最优服务的网点情况表</w:t>
      </w:r>
    </w:p>
    <w:p>
      <w:pPr>
        <w:widowControl/>
        <w:snapToGrid w:val="0"/>
        <w:spacing w:line="360" w:lineRule="auto"/>
        <w:jc w:val="center"/>
        <w:rPr>
          <w:rFonts w:ascii="宋体" w:hAnsi="宋体"/>
          <w:b/>
          <w:color w:val="auto"/>
          <w:sz w:val="24"/>
          <w:szCs w:val="21"/>
          <w:highlight w:val="none"/>
        </w:rPr>
      </w:pPr>
    </w:p>
    <w:p>
      <w:pPr>
        <w:widowControl/>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距采购单位最近或者能为本项目提供最优服务的网点情况表</w:t>
      </w:r>
    </w:p>
    <w:p>
      <w:pPr>
        <w:pStyle w:val="31"/>
        <w:widowControl/>
        <w:snapToGrid w:val="0"/>
        <w:spacing w:line="360" w:lineRule="auto"/>
        <w:ind w:left="420" w:hanging="420"/>
        <w:rPr>
          <w:rFonts w:ascii="宋体" w:hAnsi="宋体"/>
          <w:color w:val="auto"/>
          <w:sz w:val="21"/>
          <w:szCs w:val="21"/>
          <w:highlight w:val="none"/>
        </w:rPr>
      </w:pPr>
      <w:r>
        <w:rPr>
          <w:rFonts w:hint="eastAsia" w:ascii="宋体" w:hAnsi="宋体"/>
          <w:color w:val="auto"/>
          <w:sz w:val="21"/>
          <w:szCs w:val="21"/>
          <w:highlight w:val="none"/>
        </w:rPr>
        <w:t xml:space="preserve">项目名称： </w:t>
      </w:r>
    </w:p>
    <w:p>
      <w:pPr>
        <w:pStyle w:val="31"/>
        <w:widowControl/>
        <w:snapToGrid w:val="0"/>
        <w:spacing w:line="360" w:lineRule="auto"/>
        <w:ind w:left="420" w:hanging="420"/>
        <w:rPr>
          <w:rFonts w:ascii="宋体" w:hAnsi="宋体"/>
          <w:color w:val="auto"/>
          <w:sz w:val="21"/>
          <w:szCs w:val="21"/>
          <w:highlight w:val="none"/>
        </w:rPr>
      </w:pPr>
      <w:r>
        <w:rPr>
          <w:rFonts w:hint="eastAsia" w:ascii="宋体" w:hAnsi="宋体"/>
          <w:color w:val="auto"/>
          <w:sz w:val="21"/>
          <w:szCs w:val="21"/>
          <w:highlight w:val="none"/>
        </w:rPr>
        <w:t xml:space="preserve">招标编号： </w:t>
      </w:r>
    </w:p>
    <w:p>
      <w:pPr>
        <w:pStyle w:val="31"/>
        <w:widowControl/>
        <w:snapToGrid w:val="0"/>
        <w:spacing w:line="360" w:lineRule="auto"/>
        <w:ind w:left="420" w:hanging="420"/>
        <w:rPr>
          <w:rFonts w:ascii="宋体" w:hAnsi="宋体"/>
          <w:color w:val="auto"/>
          <w:sz w:val="21"/>
          <w:szCs w:val="21"/>
          <w:highlight w:val="none"/>
        </w:rPr>
      </w:pPr>
      <w:r>
        <w:rPr>
          <w:rFonts w:hint="eastAsia" w:ascii="宋体" w:hAnsi="宋体"/>
          <w:color w:val="auto"/>
          <w:sz w:val="21"/>
          <w:szCs w:val="21"/>
          <w:highlight w:val="none"/>
        </w:rPr>
        <w:t>子包：</w:t>
      </w:r>
    </w:p>
    <w:tbl>
      <w:tblPr>
        <w:tblStyle w:val="40"/>
        <w:tblW w:w="87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服务网点名称</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vMerge w:val="restart"/>
            <w:vAlign w:val="center"/>
          </w:tcPr>
          <w:p>
            <w:pPr>
              <w:snapToGrid w:val="0"/>
              <w:spacing w:before="50" w:after="120" w:afterLines="50" w:line="400" w:lineRule="exact"/>
              <w:jc w:val="center"/>
              <w:rPr>
                <w:rFonts w:ascii="宋体" w:hAnsi="宋体"/>
                <w:color w:val="auto"/>
                <w:sz w:val="24"/>
                <w:szCs w:val="21"/>
                <w:highlight w:val="none"/>
              </w:rPr>
            </w:pPr>
            <w:r>
              <w:rPr>
                <w:rFonts w:hint="eastAsia" w:ascii="宋体" w:hAnsi="宋体"/>
                <w:color w:val="auto"/>
                <w:sz w:val="24"/>
                <w:szCs w:val="21"/>
                <w:highlight w:val="none"/>
              </w:rPr>
              <w:t>投标文件</w:t>
            </w:r>
          </w:p>
          <w:p>
            <w:pPr>
              <w:snapToGrid w:val="0"/>
              <w:spacing w:before="50" w:after="120" w:afterLines="50" w:line="400" w:lineRule="exact"/>
              <w:jc w:val="center"/>
              <w:rPr>
                <w:rFonts w:ascii="宋体" w:hAnsi="宋体"/>
                <w:color w:val="auto"/>
                <w:sz w:val="24"/>
                <w:szCs w:val="21"/>
                <w:highlight w:val="none"/>
              </w:rPr>
            </w:pPr>
            <w:r>
              <w:rPr>
                <w:rFonts w:hint="eastAsia" w:ascii="宋体" w:hAnsi="宋体"/>
                <w:color w:val="auto"/>
                <w:sz w:val="24"/>
                <w:szCs w:val="21"/>
                <w:highlight w:val="none"/>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地址</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vMerge w:val="continue"/>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注册资本金</w:t>
            </w:r>
          </w:p>
        </w:tc>
        <w:tc>
          <w:tcPr>
            <w:tcW w:w="1622" w:type="dxa"/>
          </w:tcPr>
          <w:p>
            <w:pPr>
              <w:snapToGrid w:val="0"/>
              <w:spacing w:before="50" w:after="120" w:afterLines="50" w:line="400" w:lineRule="exact"/>
              <w:jc w:val="left"/>
              <w:rPr>
                <w:rFonts w:ascii="宋体" w:hAnsi="宋体"/>
                <w:color w:val="auto"/>
                <w:sz w:val="24"/>
                <w:szCs w:val="21"/>
                <w:highlight w:val="none"/>
              </w:rPr>
            </w:pPr>
          </w:p>
        </w:tc>
        <w:tc>
          <w:tcPr>
            <w:tcW w:w="2518" w:type="dxa"/>
            <w:gridSpan w:val="3"/>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其中：投标人出资比例</w:t>
            </w:r>
          </w:p>
        </w:tc>
        <w:tc>
          <w:tcPr>
            <w:tcW w:w="1435" w:type="dxa"/>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员工总人数</w:t>
            </w:r>
          </w:p>
        </w:tc>
        <w:tc>
          <w:tcPr>
            <w:tcW w:w="1622" w:type="dxa"/>
          </w:tcPr>
          <w:p>
            <w:pPr>
              <w:snapToGrid w:val="0"/>
              <w:spacing w:before="50" w:after="120" w:afterLines="50" w:line="400" w:lineRule="exact"/>
              <w:jc w:val="left"/>
              <w:rPr>
                <w:rFonts w:ascii="宋体" w:hAnsi="宋体"/>
                <w:color w:val="auto"/>
                <w:sz w:val="24"/>
                <w:szCs w:val="21"/>
                <w:highlight w:val="none"/>
              </w:rPr>
            </w:pPr>
          </w:p>
        </w:tc>
        <w:tc>
          <w:tcPr>
            <w:tcW w:w="2518" w:type="dxa"/>
            <w:gridSpan w:val="3"/>
          </w:tcPr>
          <w:p>
            <w:pPr>
              <w:snapToGrid w:val="0"/>
              <w:spacing w:before="50" w:after="120" w:afterLines="50" w:line="400" w:lineRule="exact"/>
              <w:ind w:left="60"/>
              <w:jc w:val="left"/>
              <w:rPr>
                <w:rFonts w:ascii="宋体" w:hAnsi="宋体"/>
                <w:color w:val="auto"/>
                <w:sz w:val="24"/>
                <w:szCs w:val="21"/>
                <w:highlight w:val="none"/>
              </w:rPr>
            </w:pPr>
            <w:r>
              <w:rPr>
                <w:rFonts w:hint="eastAsia" w:ascii="宋体" w:hAnsi="宋体"/>
                <w:color w:val="auto"/>
                <w:sz w:val="24"/>
                <w:szCs w:val="21"/>
                <w:highlight w:val="none"/>
              </w:rPr>
              <w:t>其中：技术人员数</w:t>
            </w:r>
          </w:p>
        </w:tc>
        <w:tc>
          <w:tcPr>
            <w:tcW w:w="1435" w:type="dxa"/>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经营期限</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售后服务协议</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售后服务内容</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工作业绩</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服务承诺</w:t>
            </w:r>
          </w:p>
        </w:tc>
        <w:tc>
          <w:tcPr>
            <w:tcW w:w="5575" w:type="dxa"/>
            <w:gridSpan w:val="5"/>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业务咨询电话</w:t>
            </w:r>
          </w:p>
        </w:tc>
        <w:tc>
          <w:tcPr>
            <w:tcW w:w="1813" w:type="dxa"/>
            <w:gridSpan w:val="2"/>
          </w:tcPr>
          <w:p>
            <w:pPr>
              <w:snapToGrid w:val="0"/>
              <w:spacing w:before="50" w:after="120" w:afterLines="50" w:line="400" w:lineRule="exact"/>
              <w:jc w:val="left"/>
              <w:rPr>
                <w:rFonts w:ascii="宋体" w:hAnsi="宋体"/>
                <w:color w:val="auto"/>
                <w:sz w:val="24"/>
                <w:szCs w:val="21"/>
                <w:highlight w:val="none"/>
              </w:rPr>
            </w:pPr>
          </w:p>
        </w:tc>
        <w:tc>
          <w:tcPr>
            <w:tcW w:w="1439" w:type="dxa"/>
          </w:tcPr>
          <w:p>
            <w:pPr>
              <w:snapToGrid w:val="0"/>
              <w:spacing w:before="50" w:after="120" w:afterLines="50" w:line="400" w:lineRule="exact"/>
              <w:ind w:firstLine="240" w:firstLineChars="100"/>
              <w:jc w:val="left"/>
              <w:rPr>
                <w:rFonts w:ascii="宋体" w:hAnsi="宋体"/>
                <w:color w:val="auto"/>
                <w:sz w:val="24"/>
                <w:szCs w:val="21"/>
                <w:highlight w:val="none"/>
              </w:rPr>
            </w:pPr>
            <w:r>
              <w:rPr>
                <w:rFonts w:hint="eastAsia" w:ascii="宋体" w:hAnsi="宋体"/>
                <w:color w:val="auto"/>
                <w:sz w:val="24"/>
                <w:szCs w:val="21"/>
                <w:highlight w:val="none"/>
              </w:rPr>
              <w:t>传 真</w:t>
            </w:r>
          </w:p>
        </w:tc>
        <w:tc>
          <w:tcPr>
            <w:tcW w:w="2323" w:type="dxa"/>
            <w:gridSpan w:val="2"/>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负责人</w:t>
            </w:r>
          </w:p>
        </w:tc>
        <w:tc>
          <w:tcPr>
            <w:tcW w:w="1813" w:type="dxa"/>
            <w:gridSpan w:val="2"/>
          </w:tcPr>
          <w:p>
            <w:pPr>
              <w:snapToGrid w:val="0"/>
              <w:spacing w:before="50" w:after="120" w:afterLines="50" w:line="400" w:lineRule="exact"/>
              <w:jc w:val="left"/>
              <w:rPr>
                <w:rFonts w:ascii="宋体" w:hAnsi="宋体"/>
                <w:color w:val="auto"/>
                <w:sz w:val="24"/>
                <w:szCs w:val="21"/>
                <w:highlight w:val="none"/>
              </w:rPr>
            </w:pPr>
          </w:p>
        </w:tc>
        <w:tc>
          <w:tcPr>
            <w:tcW w:w="1439" w:type="dxa"/>
          </w:tcPr>
          <w:p>
            <w:pPr>
              <w:snapToGrid w:val="0"/>
              <w:spacing w:before="50" w:after="120" w:afterLines="50" w:line="400" w:lineRule="exact"/>
              <w:jc w:val="left"/>
              <w:rPr>
                <w:rFonts w:ascii="宋体" w:hAnsi="宋体"/>
                <w:color w:val="auto"/>
                <w:sz w:val="24"/>
                <w:szCs w:val="21"/>
                <w:highlight w:val="none"/>
              </w:rPr>
            </w:pPr>
            <w:r>
              <w:rPr>
                <w:rFonts w:hint="eastAsia" w:ascii="宋体" w:hAnsi="宋体"/>
                <w:color w:val="auto"/>
                <w:sz w:val="24"/>
                <w:szCs w:val="21"/>
                <w:highlight w:val="none"/>
              </w:rPr>
              <w:t>联系电话</w:t>
            </w:r>
          </w:p>
        </w:tc>
        <w:tc>
          <w:tcPr>
            <w:tcW w:w="2323" w:type="dxa"/>
            <w:gridSpan w:val="2"/>
          </w:tcPr>
          <w:p>
            <w:pPr>
              <w:snapToGrid w:val="0"/>
              <w:spacing w:before="50" w:after="120" w:afterLines="50" w:line="400" w:lineRule="exact"/>
              <w:jc w:val="left"/>
              <w:rPr>
                <w:rFonts w:ascii="宋体" w:hAnsi="宋体"/>
                <w:color w:val="auto"/>
                <w:sz w:val="24"/>
                <w:szCs w:val="21"/>
                <w:highlight w:val="none"/>
              </w:rPr>
            </w:pPr>
          </w:p>
        </w:tc>
        <w:tc>
          <w:tcPr>
            <w:tcW w:w="1450" w:type="dxa"/>
          </w:tcPr>
          <w:p>
            <w:pPr>
              <w:snapToGrid w:val="0"/>
              <w:spacing w:before="50" w:after="120" w:afterLines="50" w:line="400" w:lineRule="exact"/>
              <w:jc w:val="left"/>
              <w:rPr>
                <w:rFonts w:ascii="宋体" w:hAnsi="宋体"/>
                <w:color w:val="auto"/>
                <w:sz w:val="24"/>
                <w:szCs w:val="21"/>
                <w:highlight w:val="none"/>
              </w:rPr>
            </w:pPr>
          </w:p>
        </w:tc>
      </w:tr>
    </w:tbl>
    <w:p>
      <w:pPr>
        <w:pStyle w:val="14"/>
        <w:numPr>
          <w:ilvl w:val="0"/>
          <w:numId w:val="0"/>
        </w:numPr>
        <w:snapToGrid w:val="0"/>
        <w:rPr>
          <w:rFonts w:ascii="宋体" w:hAnsi="宋体" w:eastAsia="宋体" w:cs="Times New Roman"/>
          <w:color w:val="auto"/>
          <w:sz w:val="24"/>
          <w:szCs w:val="21"/>
          <w:highlight w:val="none"/>
        </w:rPr>
      </w:pP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投 标 人（盖章）：</w:t>
      </w:r>
    </w:p>
    <w:p>
      <w:pPr>
        <w:pStyle w:val="18"/>
        <w:snapToGrid w:val="0"/>
        <w:spacing w:line="360" w:lineRule="auto"/>
        <w:ind w:firstLine="0"/>
        <w:rPr>
          <w:rFonts w:hAnsi="宋体"/>
          <w:color w:val="auto"/>
          <w:spacing w:val="0"/>
          <w:sz w:val="21"/>
          <w:szCs w:val="21"/>
          <w:highlight w:val="none"/>
        </w:rPr>
      </w:pPr>
      <w:r>
        <w:rPr>
          <w:rFonts w:hint="eastAsia" w:hAnsi="宋体"/>
          <w:color w:val="auto"/>
          <w:spacing w:val="0"/>
          <w:sz w:val="21"/>
          <w:szCs w:val="21"/>
          <w:highlight w:val="none"/>
        </w:rPr>
        <w:t>法定代表人或其授权代表（签字或盖章）：</w:t>
      </w:r>
    </w:p>
    <w:p>
      <w:pPr>
        <w:pStyle w:val="18"/>
        <w:widowControl/>
        <w:spacing w:line="360" w:lineRule="auto"/>
        <w:ind w:firstLine="0"/>
        <w:jc w:val="left"/>
        <w:rPr>
          <w:rFonts w:hAnsi="宋体"/>
          <w:color w:val="auto"/>
          <w:sz w:val="21"/>
          <w:szCs w:val="21"/>
          <w:highlight w:val="none"/>
        </w:rPr>
      </w:pPr>
      <w:r>
        <w:rPr>
          <w:rFonts w:hint="eastAsia" w:hAnsi="宋体"/>
          <w:color w:val="auto"/>
          <w:spacing w:val="0"/>
          <w:sz w:val="21"/>
          <w:szCs w:val="21"/>
          <w:highlight w:val="none"/>
        </w:rPr>
        <w:t>日  期：</w:t>
      </w:r>
      <w:r>
        <w:rPr>
          <w:rFonts w:hAnsi="宋体"/>
          <w:color w:val="auto"/>
          <w:sz w:val="21"/>
          <w:szCs w:val="21"/>
          <w:highlight w:val="none"/>
        </w:rPr>
        <w:br w:type="page"/>
      </w:r>
    </w:p>
    <w:p>
      <w:pPr>
        <w:pStyle w:val="18"/>
        <w:widowControl/>
        <w:spacing w:line="360" w:lineRule="auto"/>
        <w:ind w:firstLine="304" w:firstLineChars="150"/>
        <w:jc w:val="left"/>
        <w:rPr>
          <w:rFonts w:hAnsi="宋体"/>
          <w:b/>
          <w:color w:val="auto"/>
          <w:sz w:val="21"/>
          <w:szCs w:val="21"/>
          <w:highlight w:val="none"/>
        </w:rPr>
      </w:pPr>
      <w:r>
        <w:rPr>
          <w:rFonts w:hint="eastAsia" w:hAnsi="宋体"/>
          <w:b/>
          <w:color w:val="auto"/>
          <w:sz w:val="21"/>
          <w:szCs w:val="21"/>
          <w:highlight w:val="none"/>
        </w:rPr>
        <w:t>格式十二：</w:t>
      </w:r>
      <w:r>
        <w:rPr>
          <w:rFonts w:hint="eastAsia" w:hAnsi="宋体"/>
          <w:color w:val="auto"/>
          <w:sz w:val="21"/>
          <w:szCs w:val="21"/>
          <w:highlight w:val="none"/>
        </w:rPr>
        <w:t>开标一览表</w:t>
      </w:r>
    </w:p>
    <w:p>
      <w:pPr>
        <w:spacing w:line="360" w:lineRule="auto"/>
        <w:rPr>
          <w:rFonts w:ascii="宋体" w:hAnsi="宋体"/>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开标一览表</w:t>
      </w:r>
    </w:p>
    <w:p>
      <w:pPr>
        <w:spacing w:line="360" w:lineRule="auto"/>
        <w:jc w:val="center"/>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p>
      <w:pPr>
        <w:spacing w:line="360" w:lineRule="auto"/>
        <w:rPr>
          <w:rFonts w:ascii="宋体" w:hAnsi="宋体"/>
          <w:color w:val="auto"/>
          <w:szCs w:val="21"/>
          <w:highlight w:val="none"/>
        </w:rPr>
      </w:pPr>
      <w:r>
        <w:rPr>
          <w:rFonts w:hint="eastAsia" w:ascii="宋体" w:hAnsi="宋体"/>
          <w:color w:val="auto"/>
          <w:szCs w:val="21"/>
          <w:highlight w:val="none"/>
        </w:rPr>
        <w:t xml:space="preserve">招标编号：  </w:t>
      </w:r>
    </w:p>
    <w:p>
      <w:pPr>
        <w:spacing w:line="360" w:lineRule="auto"/>
        <w:rPr>
          <w:rFonts w:ascii="宋体" w:hAnsi="宋体"/>
          <w:color w:val="auto"/>
          <w:szCs w:val="21"/>
          <w:highlight w:val="none"/>
        </w:rPr>
      </w:pPr>
      <w:r>
        <w:rPr>
          <w:rFonts w:hint="eastAsia" w:ascii="宋体" w:hAnsi="宋体"/>
          <w:color w:val="auto"/>
          <w:szCs w:val="21"/>
          <w:highlight w:val="none"/>
        </w:rPr>
        <w:t>子包号：</w:t>
      </w:r>
    </w:p>
    <w:tbl>
      <w:tblPr>
        <w:tblStyle w:val="40"/>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00"/>
        <w:gridCol w:w="1194"/>
        <w:gridCol w:w="734"/>
        <w:gridCol w:w="3260"/>
        <w:gridCol w:w="1276"/>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1"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150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货物名称</w:t>
            </w:r>
          </w:p>
        </w:tc>
        <w:tc>
          <w:tcPr>
            <w:tcW w:w="1194"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规格、型号</w:t>
            </w:r>
          </w:p>
        </w:tc>
        <w:tc>
          <w:tcPr>
            <w:tcW w:w="734"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数量</w:t>
            </w:r>
          </w:p>
        </w:tc>
        <w:tc>
          <w:tcPr>
            <w:tcW w:w="3260"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投标价</w:t>
            </w:r>
          </w:p>
          <w:p>
            <w:pPr>
              <w:snapToGrid w:val="0"/>
              <w:jc w:val="center"/>
              <w:rPr>
                <w:rFonts w:ascii="宋体" w:hAnsi="宋体"/>
                <w:color w:val="auto"/>
                <w:szCs w:val="21"/>
                <w:highlight w:val="none"/>
              </w:rPr>
            </w:pPr>
            <w:r>
              <w:rPr>
                <w:rFonts w:hint="eastAsia" w:ascii="宋体" w:hAnsi="宋体"/>
                <w:color w:val="auto"/>
                <w:szCs w:val="21"/>
                <w:highlight w:val="none"/>
              </w:rPr>
              <w:t>（人民币/万元）</w:t>
            </w:r>
          </w:p>
        </w:tc>
        <w:tc>
          <w:tcPr>
            <w:tcW w:w="1276"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交货时间、地点</w:t>
            </w:r>
          </w:p>
        </w:tc>
        <w:tc>
          <w:tcPr>
            <w:tcW w:w="70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产地</w:t>
            </w:r>
          </w:p>
          <w:p>
            <w:pPr>
              <w:snapToGrid w:val="0"/>
              <w:jc w:val="center"/>
              <w:rPr>
                <w:rFonts w:ascii="宋体" w:hAnsi="宋体"/>
                <w:color w:val="auto"/>
                <w:szCs w:val="21"/>
                <w:highlight w:val="none"/>
              </w:rPr>
            </w:pPr>
            <w:r>
              <w:rPr>
                <w:rFonts w:hint="eastAsia" w:ascii="宋体" w:hAnsi="宋体"/>
                <w:color w:val="auto"/>
                <w:szCs w:val="21"/>
                <w:highlight w:val="none"/>
              </w:rPr>
              <w:t>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auto"/>
                <w:szCs w:val="21"/>
                <w:highlight w:val="none"/>
              </w:rPr>
            </w:pPr>
          </w:p>
        </w:tc>
        <w:tc>
          <w:tcPr>
            <w:tcW w:w="1500" w:type="dxa"/>
            <w:vAlign w:val="center"/>
          </w:tcPr>
          <w:p>
            <w:pPr>
              <w:spacing w:line="360" w:lineRule="auto"/>
              <w:jc w:val="center"/>
              <w:rPr>
                <w:rFonts w:ascii="宋体" w:hAnsi="宋体"/>
                <w:color w:val="auto"/>
                <w:szCs w:val="21"/>
                <w:highlight w:val="none"/>
              </w:rPr>
            </w:pPr>
          </w:p>
        </w:tc>
        <w:tc>
          <w:tcPr>
            <w:tcW w:w="1194" w:type="dxa"/>
            <w:vAlign w:val="center"/>
          </w:tcPr>
          <w:p>
            <w:pPr>
              <w:spacing w:line="360" w:lineRule="auto"/>
              <w:rPr>
                <w:rFonts w:ascii="宋体" w:hAnsi="宋体"/>
                <w:color w:val="auto"/>
                <w:szCs w:val="21"/>
                <w:highlight w:val="none"/>
              </w:rPr>
            </w:pPr>
          </w:p>
        </w:tc>
        <w:tc>
          <w:tcPr>
            <w:tcW w:w="734" w:type="dxa"/>
            <w:vAlign w:val="center"/>
          </w:tcPr>
          <w:p>
            <w:pPr>
              <w:spacing w:line="360" w:lineRule="auto"/>
              <w:rPr>
                <w:rFonts w:ascii="宋体" w:hAnsi="宋体"/>
                <w:color w:val="auto"/>
                <w:szCs w:val="21"/>
                <w:highlight w:val="none"/>
              </w:rPr>
            </w:pPr>
          </w:p>
        </w:tc>
        <w:tc>
          <w:tcPr>
            <w:tcW w:w="3260" w:type="dxa"/>
            <w:vAlign w:val="center"/>
          </w:tcPr>
          <w:p>
            <w:pPr>
              <w:spacing w:line="360" w:lineRule="auto"/>
              <w:rPr>
                <w:rFonts w:ascii="宋体" w:hAnsi="宋体"/>
                <w:color w:val="auto"/>
                <w:szCs w:val="21"/>
                <w:highlight w:val="none"/>
              </w:rPr>
            </w:pPr>
          </w:p>
        </w:tc>
        <w:tc>
          <w:tcPr>
            <w:tcW w:w="1276" w:type="dxa"/>
            <w:vAlign w:val="center"/>
          </w:tcPr>
          <w:p>
            <w:pPr>
              <w:spacing w:line="360" w:lineRule="auto"/>
              <w:rPr>
                <w:rFonts w:ascii="宋体" w:hAnsi="宋体"/>
                <w:color w:val="auto"/>
                <w:szCs w:val="21"/>
                <w:highlight w:val="none"/>
              </w:rPr>
            </w:pPr>
          </w:p>
        </w:tc>
        <w:tc>
          <w:tcPr>
            <w:tcW w:w="709" w:type="dxa"/>
            <w:vAlign w:val="center"/>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auto"/>
                <w:szCs w:val="21"/>
                <w:highlight w:val="none"/>
              </w:rPr>
            </w:pPr>
          </w:p>
        </w:tc>
        <w:tc>
          <w:tcPr>
            <w:tcW w:w="1500" w:type="dxa"/>
            <w:vAlign w:val="center"/>
          </w:tcPr>
          <w:p>
            <w:pPr>
              <w:spacing w:line="360" w:lineRule="auto"/>
              <w:jc w:val="center"/>
              <w:rPr>
                <w:rFonts w:ascii="宋体" w:hAnsi="宋体"/>
                <w:color w:val="auto"/>
                <w:szCs w:val="21"/>
                <w:highlight w:val="none"/>
              </w:rPr>
            </w:pPr>
          </w:p>
        </w:tc>
        <w:tc>
          <w:tcPr>
            <w:tcW w:w="1194" w:type="dxa"/>
            <w:vAlign w:val="center"/>
          </w:tcPr>
          <w:p>
            <w:pPr>
              <w:spacing w:line="360" w:lineRule="auto"/>
              <w:rPr>
                <w:rFonts w:ascii="宋体" w:hAnsi="宋体"/>
                <w:color w:val="auto"/>
                <w:szCs w:val="21"/>
                <w:highlight w:val="none"/>
              </w:rPr>
            </w:pPr>
          </w:p>
        </w:tc>
        <w:tc>
          <w:tcPr>
            <w:tcW w:w="734" w:type="dxa"/>
            <w:vAlign w:val="center"/>
          </w:tcPr>
          <w:p>
            <w:pPr>
              <w:spacing w:line="360" w:lineRule="auto"/>
              <w:rPr>
                <w:rFonts w:ascii="宋体" w:hAnsi="宋体"/>
                <w:color w:val="auto"/>
                <w:szCs w:val="21"/>
                <w:highlight w:val="none"/>
              </w:rPr>
            </w:pPr>
          </w:p>
        </w:tc>
        <w:tc>
          <w:tcPr>
            <w:tcW w:w="3260" w:type="dxa"/>
            <w:vAlign w:val="center"/>
          </w:tcPr>
          <w:p>
            <w:pPr>
              <w:spacing w:line="360" w:lineRule="auto"/>
              <w:rPr>
                <w:rFonts w:ascii="宋体" w:hAnsi="宋体"/>
                <w:color w:val="auto"/>
                <w:szCs w:val="21"/>
                <w:highlight w:val="none"/>
              </w:rPr>
            </w:pPr>
          </w:p>
        </w:tc>
        <w:tc>
          <w:tcPr>
            <w:tcW w:w="1276" w:type="dxa"/>
            <w:vAlign w:val="center"/>
          </w:tcPr>
          <w:p>
            <w:pPr>
              <w:spacing w:line="360" w:lineRule="auto"/>
              <w:rPr>
                <w:rFonts w:ascii="宋体" w:hAnsi="宋体"/>
                <w:color w:val="auto"/>
                <w:szCs w:val="21"/>
                <w:highlight w:val="none"/>
              </w:rPr>
            </w:pPr>
          </w:p>
        </w:tc>
        <w:tc>
          <w:tcPr>
            <w:tcW w:w="709" w:type="dxa"/>
            <w:vAlign w:val="center"/>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auto"/>
                <w:szCs w:val="21"/>
                <w:highlight w:val="none"/>
              </w:rPr>
            </w:pPr>
          </w:p>
        </w:tc>
        <w:tc>
          <w:tcPr>
            <w:tcW w:w="1500" w:type="dxa"/>
            <w:vAlign w:val="center"/>
          </w:tcPr>
          <w:p>
            <w:pPr>
              <w:spacing w:line="360" w:lineRule="auto"/>
              <w:jc w:val="center"/>
              <w:rPr>
                <w:rFonts w:ascii="宋体" w:hAnsi="宋体"/>
                <w:color w:val="auto"/>
                <w:szCs w:val="21"/>
                <w:highlight w:val="none"/>
              </w:rPr>
            </w:pPr>
          </w:p>
        </w:tc>
        <w:tc>
          <w:tcPr>
            <w:tcW w:w="1194" w:type="dxa"/>
            <w:vAlign w:val="center"/>
          </w:tcPr>
          <w:p>
            <w:pPr>
              <w:spacing w:line="360" w:lineRule="auto"/>
              <w:rPr>
                <w:rFonts w:ascii="宋体" w:hAnsi="宋体"/>
                <w:color w:val="auto"/>
                <w:szCs w:val="21"/>
                <w:highlight w:val="none"/>
              </w:rPr>
            </w:pPr>
          </w:p>
        </w:tc>
        <w:tc>
          <w:tcPr>
            <w:tcW w:w="734" w:type="dxa"/>
            <w:vAlign w:val="center"/>
          </w:tcPr>
          <w:p>
            <w:pPr>
              <w:spacing w:line="360" w:lineRule="auto"/>
              <w:rPr>
                <w:rFonts w:ascii="宋体" w:hAnsi="宋体"/>
                <w:color w:val="auto"/>
                <w:szCs w:val="21"/>
                <w:highlight w:val="none"/>
              </w:rPr>
            </w:pPr>
          </w:p>
        </w:tc>
        <w:tc>
          <w:tcPr>
            <w:tcW w:w="3260" w:type="dxa"/>
            <w:vAlign w:val="center"/>
          </w:tcPr>
          <w:p>
            <w:pPr>
              <w:spacing w:line="360" w:lineRule="auto"/>
              <w:rPr>
                <w:rFonts w:ascii="宋体" w:hAnsi="宋体"/>
                <w:color w:val="auto"/>
                <w:szCs w:val="21"/>
                <w:highlight w:val="none"/>
              </w:rPr>
            </w:pPr>
          </w:p>
        </w:tc>
        <w:tc>
          <w:tcPr>
            <w:tcW w:w="1276" w:type="dxa"/>
            <w:vAlign w:val="center"/>
          </w:tcPr>
          <w:p>
            <w:pPr>
              <w:spacing w:line="360" w:lineRule="auto"/>
              <w:rPr>
                <w:rFonts w:ascii="宋体" w:hAnsi="宋体"/>
                <w:color w:val="auto"/>
                <w:szCs w:val="21"/>
                <w:highlight w:val="none"/>
              </w:rPr>
            </w:pPr>
          </w:p>
        </w:tc>
        <w:tc>
          <w:tcPr>
            <w:tcW w:w="709" w:type="dxa"/>
            <w:vAlign w:val="center"/>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auto"/>
                <w:szCs w:val="21"/>
                <w:highlight w:val="none"/>
              </w:rPr>
            </w:pPr>
          </w:p>
        </w:tc>
        <w:tc>
          <w:tcPr>
            <w:tcW w:w="1500" w:type="dxa"/>
            <w:vAlign w:val="center"/>
          </w:tcPr>
          <w:p>
            <w:pPr>
              <w:spacing w:line="360" w:lineRule="auto"/>
              <w:jc w:val="center"/>
              <w:rPr>
                <w:rFonts w:ascii="宋体" w:hAnsi="宋体"/>
                <w:color w:val="auto"/>
                <w:szCs w:val="21"/>
                <w:highlight w:val="none"/>
              </w:rPr>
            </w:pPr>
          </w:p>
        </w:tc>
        <w:tc>
          <w:tcPr>
            <w:tcW w:w="1194" w:type="dxa"/>
            <w:vAlign w:val="center"/>
          </w:tcPr>
          <w:p>
            <w:pPr>
              <w:spacing w:line="360" w:lineRule="auto"/>
              <w:rPr>
                <w:rFonts w:ascii="宋体" w:hAnsi="宋体"/>
                <w:color w:val="auto"/>
                <w:szCs w:val="21"/>
                <w:highlight w:val="none"/>
              </w:rPr>
            </w:pPr>
          </w:p>
        </w:tc>
        <w:tc>
          <w:tcPr>
            <w:tcW w:w="734" w:type="dxa"/>
            <w:vAlign w:val="center"/>
          </w:tcPr>
          <w:p>
            <w:pPr>
              <w:spacing w:line="360" w:lineRule="auto"/>
              <w:rPr>
                <w:rFonts w:ascii="宋体" w:hAnsi="宋体"/>
                <w:color w:val="auto"/>
                <w:szCs w:val="21"/>
                <w:highlight w:val="none"/>
              </w:rPr>
            </w:pPr>
          </w:p>
        </w:tc>
        <w:tc>
          <w:tcPr>
            <w:tcW w:w="3260" w:type="dxa"/>
            <w:vAlign w:val="center"/>
          </w:tcPr>
          <w:p>
            <w:pPr>
              <w:spacing w:line="360" w:lineRule="auto"/>
              <w:rPr>
                <w:rFonts w:ascii="宋体" w:hAnsi="宋体"/>
                <w:color w:val="auto"/>
                <w:szCs w:val="21"/>
                <w:highlight w:val="none"/>
              </w:rPr>
            </w:pPr>
          </w:p>
        </w:tc>
        <w:tc>
          <w:tcPr>
            <w:tcW w:w="1276" w:type="dxa"/>
            <w:vAlign w:val="center"/>
          </w:tcPr>
          <w:p>
            <w:pPr>
              <w:spacing w:line="360" w:lineRule="auto"/>
              <w:rPr>
                <w:rFonts w:ascii="宋体" w:hAnsi="宋体"/>
                <w:color w:val="auto"/>
                <w:szCs w:val="21"/>
                <w:highlight w:val="none"/>
              </w:rPr>
            </w:pPr>
          </w:p>
        </w:tc>
        <w:tc>
          <w:tcPr>
            <w:tcW w:w="709" w:type="dxa"/>
            <w:vAlign w:val="center"/>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auto"/>
                <w:szCs w:val="21"/>
                <w:highlight w:val="none"/>
              </w:rPr>
            </w:pPr>
          </w:p>
        </w:tc>
        <w:tc>
          <w:tcPr>
            <w:tcW w:w="1500" w:type="dxa"/>
            <w:vAlign w:val="center"/>
          </w:tcPr>
          <w:p>
            <w:pPr>
              <w:spacing w:line="360" w:lineRule="auto"/>
              <w:jc w:val="center"/>
              <w:rPr>
                <w:rFonts w:ascii="宋体" w:hAnsi="宋体"/>
                <w:color w:val="auto"/>
                <w:szCs w:val="21"/>
                <w:highlight w:val="none"/>
              </w:rPr>
            </w:pPr>
          </w:p>
        </w:tc>
        <w:tc>
          <w:tcPr>
            <w:tcW w:w="1194" w:type="dxa"/>
            <w:vAlign w:val="center"/>
          </w:tcPr>
          <w:p>
            <w:pPr>
              <w:spacing w:line="360" w:lineRule="auto"/>
              <w:rPr>
                <w:rFonts w:ascii="宋体" w:hAnsi="宋体"/>
                <w:color w:val="auto"/>
                <w:szCs w:val="21"/>
                <w:highlight w:val="none"/>
              </w:rPr>
            </w:pPr>
          </w:p>
        </w:tc>
        <w:tc>
          <w:tcPr>
            <w:tcW w:w="734" w:type="dxa"/>
            <w:vAlign w:val="center"/>
          </w:tcPr>
          <w:p>
            <w:pPr>
              <w:spacing w:line="360" w:lineRule="auto"/>
              <w:rPr>
                <w:rFonts w:ascii="宋体" w:hAnsi="宋体"/>
                <w:color w:val="auto"/>
                <w:szCs w:val="21"/>
                <w:highlight w:val="none"/>
              </w:rPr>
            </w:pPr>
          </w:p>
        </w:tc>
        <w:tc>
          <w:tcPr>
            <w:tcW w:w="3260" w:type="dxa"/>
            <w:vAlign w:val="center"/>
          </w:tcPr>
          <w:p>
            <w:pPr>
              <w:spacing w:line="360" w:lineRule="auto"/>
              <w:rPr>
                <w:rFonts w:ascii="宋体" w:hAnsi="宋体"/>
                <w:color w:val="auto"/>
                <w:szCs w:val="21"/>
                <w:highlight w:val="none"/>
              </w:rPr>
            </w:pPr>
          </w:p>
        </w:tc>
        <w:tc>
          <w:tcPr>
            <w:tcW w:w="1276" w:type="dxa"/>
            <w:vAlign w:val="center"/>
          </w:tcPr>
          <w:p>
            <w:pPr>
              <w:spacing w:line="360" w:lineRule="auto"/>
              <w:rPr>
                <w:rFonts w:ascii="宋体" w:hAnsi="宋体"/>
                <w:color w:val="auto"/>
                <w:szCs w:val="21"/>
                <w:highlight w:val="none"/>
              </w:rPr>
            </w:pPr>
          </w:p>
        </w:tc>
        <w:tc>
          <w:tcPr>
            <w:tcW w:w="709" w:type="dxa"/>
            <w:vAlign w:val="center"/>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1" w:type="dxa"/>
            <w:vAlign w:val="center"/>
          </w:tcPr>
          <w:p>
            <w:pPr>
              <w:spacing w:line="360" w:lineRule="auto"/>
              <w:jc w:val="center"/>
              <w:rPr>
                <w:rFonts w:ascii="宋体" w:hAnsi="宋体"/>
                <w:color w:val="auto"/>
                <w:szCs w:val="21"/>
                <w:highlight w:val="none"/>
              </w:rPr>
            </w:pPr>
          </w:p>
        </w:tc>
        <w:tc>
          <w:tcPr>
            <w:tcW w:w="150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94" w:type="dxa"/>
            <w:vAlign w:val="center"/>
          </w:tcPr>
          <w:p>
            <w:pPr>
              <w:spacing w:line="360" w:lineRule="auto"/>
              <w:rPr>
                <w:rFonts w:ascii="宋体" w:hAnsi="宋体"/>
                <w:color w:val="auto"/>
                <w:szCs w:val="21"/>
                <w:highlight w:val="none"/>
              </w:rPr>
            </w:pPr>
          </w:p>
        </w:tc>
        <w:tc>
          <w:tcPr>
            <w:tcW w:w="734" w:type="dxa"/>
            <w:vAlign w:val="center"/>
          </w:tcPr>
          <w:p>
            <w:pPr>
              <w:spacing w:line="360" w:lineRule="auto"/>
              <w:rPr>
                <w:rFonts w:ascii="宋体" w:hAnsi="宋体"/>
                <w:color w:val="auto"/>
                <w:szCs w:val="21"/>
                <w:highlight w:val="none"/>
              </w:rPr>
            </w:pPr>
          </w:p>
        </w:tc>
        <w:tc>
          <w:tcPr>
            <w:tcW w:w="3260" w:type="dxa"/>
            <w:vAlign w:val="center"/>
          </w:tcPr>
          <w:p>
            <w:pPr>
              <w:spacing w:line="360" w:lineRule="auto"/>
              <w:rPr>
                <w:rFonts w:ascii="宋体" w:hAnsi="宋体"/>
                <w:color w:val="auto"/>
                <w:szCs w:val="21"/>
                <w:highlight w:val="none"/>
              </w:rPr>
            </w:pPr>
          </w:p>
        </w:tc>
        <w:tc>
          <w:tcPr>
            <w:tcW w:w="1276" w:type="dxa"/>
            <w:vAlign w:val="center"/>
          </w:tcPr>
          <w:p>
            <w:pPr>
              <w:spacing w:line="360" w:lineRule="auto"/>
              <w:rPr>
                <w:rFonts w:ascii="宋体" w:hAnsi="宋体"/>
                <w:color w:val="auto"/>
                <w:szCs w:val="21"/>
                <w:highlight w:val="none"/>
              </w:rPr>
            </w:pPr>
          </w:p>
        </w:tc>
        <w:tc>
          <w:tcPr>
            <w:tcW w:w="709" w:type="dxa"/>
            <w:vAlign w:val="center"/>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79" w:type="dxa"/>
            <w:gridSpan w:val="4"/>
            <w:vAlign w:val="center"/>
          </w:tcPr>
          <w:p>
            <w:pPr>
              <w:spacing w:line="360" w:lineRule="auto"/>
              <w:rPr>
                <w:rFonts w:ascii="宋体" w:hAnsi="宋体"/>
                <w:color w:val="auto"/>
                <w:szCs w:val="21"/>
                <w:highlight w:val="none"/>
              </w:rPr>
            </w:pPr>
            <w:r>
              <w:rPr>
                <w:rFonts w:hint="eastAsia" w:ascii="宋体" w:hAnsi="宋体"/>
                <w:color w:val="auto"/>
                <w:szCs w:val="21"/>
                <w:highlight w:val="none"/>
              </w:rPr>
              <w:t>投标报价（大写）（人民币）</w:t>
            </w:r>
          </w:p>
        </w:tc>
        <w:tc>
          <w:tcPr>
            <w:tcW w:w="5245" w:type="dxa"/>
            <w:gridSpan w:val="3"/>
          </w:tcPr>
          <w:p>
            <w:pPr>
              <w:spacing w:line="360" w:lineRule="auto"/>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w:t>
      </w:r>
    </w:p>
    <w:p>
      <w:pPr>
        <w:pStyle w:val="18"/>
        <w:spacing w:line="360" w:lineRule="auto"/>
        <w:ind w:left="-178" w:leftChars="-85" w:firstLine="505" w:firstLineChars="25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、若投标人尚有其它内容需明列的，请按此表格式扩展。</w:t>
      </w:r>
    </w:p>
    <w:p>
      <w:pPr>
        <w:pStyle w:val="18"/>
        <w:spacing w:line="360" w:lineRule="auto"/>
        <w:ind w:left="-178" w:leftChars="-85" w:firstLine="505" w:firstLineChars="250"/>
        <w:rPr>
          <w:rFonts w:hAnsi="宋体"/>
          <w:color w:val="auto"/>
          <w:sz w:val="21"/>
          <w:szCs w:val="21"/>
          <w:highlight w:val="none"/>
        </w:rPr>
      </w:pPr>
      <w:r>
        <w:rPr>
          <w:rFonts w:hint="eastAsia" w:hAnsi="宋体"/>
          <w:color w:val="auto"/>
          <w:sz w:val="21"/>
          <w:szCs w:val="21"/>
          <w:highlight w:val="none"/>
        </w:rPr>
        <w:t>2、“投标报价”应与格式一“投标函”中“投标报价”一致。</w:t>
      </w:r>
    </w:p>
    <w:p>
      <w:pPr>
        <w:pStyle w:val="18"/>
        <w:spacing w:line="360" w:lineRule="auto"/>
        <w:ind w:left="-178" w:leftChars="-85" w:firstLine="505" w:firstLineChars="250"/>
        <w:rPr>
          <w:rFonts w:hAnsi="宋体"/>
          <w:color w:val="auto"/>
          <w:sz w:val="21"/>
          <w:szCs w:val="21"/>
          <w:highlight w:val="none"/>
        </w:rPr>
      </w:pPr>
    </w:p>
    <w:p>
      <w:pPr>
        <w:pStyle w:val="18"/>
        <w:snapToGrid w:val="0"/>
        <w:spacing w:line="360" w:lineRule="auto"/>
        <w:rPr>
          <w:rFonts w:hAnsi="宋体"/>
          <w:color w:val="auto"/>
          <w:sz w:val="21"/>
          <w:szCs w:val="21"/>
          <w:highlight w:val="none"/>
        </w:rPr>
      </w:pPr>
      <w:r>
        <w:rPr>
          <w:rFonts w:hint="eastAsia" w:hAnsi="宋体"/>
          <w:color w:val="auto"/>
          <w:sz w:val="21"/>
          <w:szCs w:val="21"/>
          <w:highlight w:val="none"/>
        </w:rPr>
        <w:t xml:space="preserve">投 标 人  （盖章）：                   </w:t>
      </w:r>
    </w:p>
    <w:p>
      <w:pPr>
        <w:pStyle w:val="18"/>
        <w:snapToGrid w:val="0"/>
        <w:spacing w:line="360" w:lineRule="auto"/>
        <w:rPr>
          <w:rFonts w:hAnsi="宋体"/>
          <w:color w:val="auto"/>
          <w:sz w:val="21"/>
          <w:szCs w:val="21"/>
          <w:highlight w:val="none"/>
        </w:rPr>
      </w:pPr>
      <w:r>
        <w:rPr>
          <w:rFonts w:hint="eastAsia" w:hAnsi="宋体"/>
          <w:color w:val="auto"/>
          <w:sz w:val="21"/>
          <w:szCs w:val="21"/>
          <w:highlight w:val="none"/>
        </w:rPr>
        <w:t>法定代表人或其授权代表（签字或盖章）：</w:t>
      </w:r>
    </w:p>
    <w:p>
      <w:pPr>
        <w:pStyle w:val="18"/>
        <w:widowControl/>
        <w:spacing w:line="360" w:lineRule="auto"/>
        <w:ind w:firstLine="303" w:firstLineChars="150"/>
        <w:jc w:val="left"/>
        <w:rPr>
          <w:rFonts w:hAnsi="宋体"/>
          <w:color w:val="auto"/>
          <w:sz w:val="21"/>
          <w:szCs w:val="21"/>
          <w:highlight w:val="none"/>
        </w:rPr>
      </w:pPr>
      <w:r>
        <w:rPr>
          <w:rFonts w:hint="eastAsia" w:hAnsi="宋体"/>
          <w:color w:val="auto"/>
          <w:sz w:val="21"/>
          <w:szCs w:val="21"/>
          <w:highlight w:val="none"/>
        </w:rPr>
        <w:t>日             期：</w:t>
      </w:r>
    </w:p>
    <w:p>
      <w:pPr>
        <w:pStyle w:val="18"/>
        <w:widowControl/>
        <w:spacing w:line="360" w:lineRule="auto"/>
        <w:ind w:firstLine="0"/>
        <w:jc w:val="left"/>
        <w:rPr>
          <w:rFonts w:hAnsi="宋体"/>
          <w:b/>
          <w:color w:val="auto"/>
          <w:sz w:val="28"/>
          <w:highlight w:val="none"/>
        </w:rPr>
        <w:sectPr>
          <w:headerReference r:id="rId7" w:type="default"/>
          <w:footerReference r:id="rId8" w:type="default"/>
          <w:pgSz w:w="11906" w:h="16838"/>
          <w:pgMar w:top="1474" w:right="1531" w:bottom="1247" w:left="1531" w:header="851" w:footer="851" w:gutter="0"/>
          <w:cols w:space="720" w:num="1"/>
          <w:titlePg/>
          <w:docGrid w:linePitch="312" w:charSpace="0"/>
        </w:sectPr>
      </w:pPr>
    </w:p>
    <w:p>
      <w:pPr>
        <w:rPr>
          <w:rFonts w:ascii="宋体" w:hAnsi="宋体"/>
          <w:color w:val="auto"/>
          <w:sz w:val="24"/>
          <w:szCs w:val="21"/>
          <w:highlight w:val="none"/>
        </w:rPr>
      </w:pPr>
      <w:bookmarkStart w:id="229" w:name="_Toc460857948"/>
      <w:r>
        <w:rPr>
          <w:rFonts w:hint="eastAsia" w:ascii="宋体" w:hAnsi="宋体"/>
          <w:b/>
          <w:color w:val="auto"/>
          <w:highlight w:val="none"/>
        </w:rPr>
        <w:t>格式十三：</w:t>
      </w:r>
      <w:bookmarkEnd w:id="229"/>
      <w:r>
        <w:rPr>
          <w:rFonts w:hint="eastAsia" w:ascii="宋体" w:hAnsi="宋体"/>
          <w:color w:val="auto"/>
          <w:szCs w:val="21"/>
          <w:highlight w:val="none"/>
        </w:rPr>
        <w:t>投标分项报价表</w:t>
      </w:r>
    </w:p>
    <w:p>
      <w:pPr>
        <w:jc w:val="center"/>
        <w:rPr>
          <w:rFonts w:ascii="宋体" w:hAnsi="宋体"/>
          <w:b/>
          <w:color w:val="auto"/>
          <w:sz w:val="24"/>
          <w:szCs w:val="21"/>
          <w:highlight w:val="none"/>
        </w:rPr>
      </w:pPr>
      <w:r>
        <w:rPr>
          <w:rFonts w:hint="eastAsia" w:ascii="宋体" w:hAnsi="宋体"/>
          <w:b/>
          <w:color w:val="auto"/>
          <w:sz w:val="24"/>
          <w:szCs w:val="21"/>
          <w:highlight w:val="none"/>
        </w:rPr>
        <w:t>投标分项报价表</w:t>
      </w:r>
    </w:p>
    <w:p>
      <w:pPr>
        <w:jc w:val="center"/>
        <w:rPr>
          <w:rFonts w:ascii="宋体" w:hAnsi="宋体"/>
          <w:b/>
          <w:color w:val="auto"/>
          <w:sz w:val="24"/>
          <w:szCs w:val="21"/>
          <w:highlight w:val="none"/>
        </w:rPr>
      </w:pPr>
    </w:p>
    <w:p>
      <w:pPr>
        <w:spacing w:line="360" w:lineRule="auto"/>
        <w:rPr>
          <w:rFonts w:ascii="宋体" w:hAnsi="宋体"/>
          <w:color w:val="auto"/>
          <w:szCs w:val="21"/>
          <w:highlight w:val="none"/>
        </w:rPr>
      </w:pPr>
      <w:r>
        <w:rPr>
          <w:rFonts w:hint="eastAsia" w:ascii="宋体" w:hAnsi="宋体"/>
          <w:color w:val="auto"/>
          <w:sz w:val="24"/>
          <w:highlight w:val="none"/>
        </w:rPr>
        <w:t>项目名称： 招标编号：</w:t>
      </w:r>
    </w:p>
    <w:tbl>
      <w:tblPr>
        <w:tblStyle w:val="40"/>
        <w:tblW w:w="131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27"/>
        <w:gridCol w:w="917"/>
        <w:gridCol w:w="685"/>
        <w:gridCol w:w="502"/>
        <w:gridCol w:w="880"/>
        <w:gridCol w:w="639"/>
        <w:gridCol w:w="771"/>
        <w:gridCol w:w="768"/>
        <w:gridCol w:w="771"/>
        <w:gridCol w:w="897"/>
        <w:gridCol w:w="897"/>
        <w:gridCol w:w="771"/>
        <w:gridCol w:w="1026"/>
        <w:gridCol w:w="897"/>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8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子包号</w:t>
            </w:r>
          </w:p>
        </w:tc>
        <w:tc>
          <w:tcPr>
            <w:tcW w:w="112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货物名称</w:t>
            </w:r>
          </w:p>
        </w:tc>
        <w:tc>
          <w:tcPr>
            <w:tcW w:w="91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主要规格</w:t>
            </w:r>
          </w:p>
        </w:tc>
        <w:tc>
          <w:tcPr>
            <w:tcW w:w="685"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数量单位</w:t>
            </w:r>
          </w:p>
        </w:tc>
        <w:tc>
          <w:tcPr>
            <w:tcW w:w="502"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88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制造商</w:t>
            </w:r>
          </w:p>
          <w:p>
            <w:pPr>
              <w:jc w:val="center"/>
              <w:rPr>
                <w:rFonts w:ascii="宋体" w:hAnsi="宋体"/>
                <w:color w:val="auto"/>
                <w:szCs w:val="21"/>
                <w:highlight w:val="none"/>
              </w:rPr>
            </w:pPr>
            <w:r>
              <w:rPr>
                <w:rFonts w:hint="eastAsia" w:ascii="宋体" w:hAnsi="宋体"/>
                <w:color w:val="auto"/>
                <w:szCs w:val="21"/>
                <w:highlight w:val="none"/>
              </w:rPr>
              <w:t>名称</w:t>
            </w:r>
          </w:p>
        </w:tc>
        <w:tc>
          <w:tcPr>
            <w:tcW w:w="63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投标价</w:t>
            </w:r>
          </w:p>
          <w:p>
            <w:pPr>
              <w:jc w:val="center"/>
              <w:rPr>
                <w:rFonts w:ascii="宋体" w:hAnsi="宋体"/>
                <w:color w:val="auto"/>
                <w:szCs w:val="21"/>
                <w:highlight w:val="none"/>
              </w:rPr>
            </w:pPr>
          </w:p>
        </w:tc>
        <w:tc>
          <w:tcPr>
            <w:tcW w:w="5901" w:type="dxa"/>
            <w:gridSpan w:val="7"/>
            <w:vAlign w:val="center"/>
          </w:tcPr>
          <w:p>
            <w:pPr>
              <w:jc w:val="center"/>
              <w:rPr>
                <w:rFonts w:ascii="宋体" w:hAnsi="宋体"/>
                <w:color w:val="auto"/>
                <w:szCs w:val="21"/>
                <w:highlight w:val="none"/>
              </w:rPr>
            </w:pPr>
            <w:r>
              <w:rPr>
                <w:rFonts w:hint="eastAsia" w:ascii="宋体" w:hAnsi="宋体"/>
                <w:color w:val="auto"/>
                <w:szCs w:val="21"/>
                <w:highlight w:val="none"/>
              </w:rPr>
              <w:t>投标价组成（价格单位：人民币元）</w:t>
            </w:r>
          </w:p>
        </w:tc>
        <w:tc>
          <w:tcPr>
            <w:tcW w:w="8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交货日期</w:t>
            </w:r>
          </w:p>
        </w:tc>
        <w:tc>
          <w:tcPr>
            <w:tcW w:w="1155" w:type="dxa"/>
            <w:vMerge w:val="restart"/>
            <w:vAlign w:val="center"/>
          </w:tcPr>
          <w:p>
            <w:pPr>
              <w:widowControl/>
              <w:jc w:val="left"/>
              <w:rPr>
                <w:rFonts w:ascii="宋体" w:hAnsi="宋体"/>
                <w:color w:val="auto"/>
                <w:szCs w:val="21"/>
                <w:highlight w:val="none"/>
              </w:rPr>
            </w:pPr>
            <w:r>
              <w:rPr>
                <w:rFonts w:hint="eastAsia" w:ascii="宋体" w:hAnsi="宋体"/>
                <w:color w:val="auto"/>
                <w:szCs w:val="21"/>
                <w:highlight w:val="none"/>
              </w:rPr>
              <w:t>交货地点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480" w:type="dxa"/>
            <w:vMerge w:val="continue"/>
            <w:vAlign w:val="center"/>
          </w:tcPr>
          <w:p>
            <w:pPr>
              <w:rPr>
                <w:rFonts w:ascii="宋体" w:hAnsi="宋体"/>
                <w:color w:val="auto"/>
                <w:highlight w:val="none"/>
              </w:rPr>
            </w:pPr>
          </w:p>
        </w:tc>
        <w:tc>
          <w:tcPr>
            <w:tcW w:w="1127" w:type="dxa"/>
            <w:vMerge w:val="continue"/>
            <w:vAlign w:val="center"/>
          </w:tcPr>
          <w:p>
            <w:pPr>
              <w:rPr>
                <w:rFonts w:ascii="宋体" w:hAnsi="宋体"/>
                <w:color w:val="auto"/>
                <w:highlight w:val="none"/>
              </w:rPr>
            </w:pPr>
          </w:p>
        </w:tc>
        <w:tc>
          <w:tcPr>
            <w:tcW w:w="917" w:type="dxa"/>
            <w:vMerge w:val="continue"/>
            <w:vAlign w:val="center"/>
          </w:tcPr>
          <w:p>
            <w:pPr>
              <w:rPr>
                <w:rFonts w:ascii="宋体" w:hAnsi="宋体"/>
                <w:color w:val="auto"/>
                <w:highlight w:val="none"/>
              </w:rPr>
            </w:pPr>
          </w:p>
        </w:tc>
        <w:tc>
          <w:tcPr>
            <w:tcW w:w="685" w:type="dxa"/>
            <w:vMerge w:val="continue"/>
            <w:vAlign w:val="center"/>
          </w:tcPr>
          <w:p>
            <w:pPr>
              <w:rPr>
                <w:rFonts w:ascii="宋体" w:hAnsi="宋体"/>
                <w:color w:val="auto"/>
                <w:highlight w:val="none"/>
              </w:rPr>
            </w:pPr>
          </w:p>
        </w:tc>
        <w:tc>
          <w:tcPr>
            <w:tcW w:w="502" w:type="dxa"/>
            <w:vMerge w:val="continue"/>
            <w:vAlign w:val="center"/>
          </w:tcPr>
          <w:p>
            <w:pPr>
              <w:rPr>
                <w:rFonts w:ascii="宋体" w:hAnsi="宋体"/>
                <w:color w:val="auto"/>
                <w:highlight w:val="none"/>
              </w:rPr>
            </w:pPr>
          </w:p>
        </w:tc>
        <w:tc>
          <w:tcPr>
            <w:tcW w:w="880" w:type="dxa"/>
            <w:vMerge w:val="continue"/>
            <w:vAlign w:val="center"/>
          </w:tcPr>
          <w:p>
            <w:pPr>
              <w:rPr>
                <w:rFonts w:ascii="宋体" w:hAnsi="宋体"/>
                <w:color w:val="auto"/>
                <w:highlight w:val="none"/>
              </w:rPr>
            </w:pPr>
          </w:p>
        </w:tc>
        <w:tc>
          <w:tcPr>
            <w:tcW w:w="639" w:type="dxa"/>
            <w:vMerge w:val="continue"/>
            <w:vAlign w:val="center"/>
          </w:tcPr>
          <w:p>
            <w:pPr>
              <w:rPr>
                <w:rFonts w:ascii="宋体" w:hAnsi="宋体"/>
                <w:color w:val="auto"/>
                <w:highlight w:val="none"/>
              </w:rPr>
            </w:pP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货物总价</w:t>
            </w:r>
          </w:p>
        </w:tc>
        <w:tc>
          <w:tcPr>
            <w:tcW w:w="768" w:type="dxa"/>
            <w:vAlign w:val="center"/>
          </w:tcPr>
          <w:p>
            <w:pPr>
              <w:jc w:val="center"/>
              <w:rPr>
                <w:rFonts w:ascii="宋体" w:hAnsi="宋体"/>
                <w:color w:val="auto"/>
                <w:szCs w:val="21"/>
                <w:highlight w:val="none"/>
              </w:rPr>
            </w:pPr>
            <w:r>
              <w:rPr>
                <w:rFonts w:hint="eastAsia" w:ascii="宋体" w:hAnsi="宋体"/>
                <w:color w:val="auto"/>
                <w:szCs w:val="21"/>
                <w:highlight w:val="none"/>
              </w:rPr>
              <w:t>货物单价</w:t>
            </w: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特殊工具费</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备品备件费</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安装调试费</w:t>
            </w: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技术服务及培训费</w:t>
            </w:r>
          </w:p>
        </w:tc>
        <w:tc>
          <w:tcPr>
            <w:tcW w:w="1026" w:type="dxa"/>
            <w:vAlign w:val="center"/>
          </w:tcPr>
          <w:p>
            <w:pPr>
              <w:jc w:val="center"/>
              <w:rPr>
                <w:rFonts w:ascii="宋体" w:hAnsi="宋体"/>
                <w:color w:val="auto"/>
                <w:szCs w:val="21"/>
                <w:highlight w:val="none"/>
              </w:rPr>
            </w:pPr>
            <w:r>
              <w:rPr>
                <w:rFonts w:hint="eastAsia" w:ascii="宋体" w:hAnsi="宋体"/>
                <w:color w:val="auto"/>
                <w:szCs w:val="21"/>
                <w:highlight w:val="none"/>
              </w:rPr>
              <w:t>运输保险费</w:t>
            </w:r>
          </w:p>
        </w:tc>
        <w:tc>
          <w:tcPr>
            <w:tcW w:w="897" w:type="dxa"/>
            <w:vMerge w:val="continue"/>
            <w:vAlign w:val="center"/>
          </w:tcPr>
          <w:p>
            <w:pPr>
              <w:rPr>
                <w:rFonts w:ascii="宋体" w:hAnsi="宋体"/>
                <w:color w:val="auto"/>
                <w:highlight w:val="none"/>
              </w:rPr>
            </w:pPr>
          </w:p>
        </w:tc>
        <w:tc>
          <w:tcPr>
            <w:tcW w:w="1155" w:type="dxa"/>
            <w:vMerge w:val="continue"/>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jc w:val="center"/>
              <w:rPr>
                <w:rFonts w:ascii="宋体" w:hAnsi="宋体"/>
                <w:color w:val="auto"/>
                <w:szCs w:val="21"/>
                <w:highlight w:val="none"/>
              </w:rPr>
            </w:pPr>
          </w:p>
        </w:tc>
        <w:tc>
          <w:tcPr>
            <w:tcW w:w="112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91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685"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02"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88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63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026"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155"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rPr>
                <w:rFonts w:ascii="宋体" w:hAnsi="宋体"/>
                <w:color w:val="auto"/>
                <w:szCs w:val="21"/>
                <w:highlight w:val="none"/>
              </w:rPr>
            </w:pPr>
          </w:p>
        </w:tc>
        <w:tc>
          <w:tcPr>
            <w:tcW w:w="1127" w:type="dxa"/>
            <w:vAlign w:val="center"/>
          </w:tcPr>
          <w:p>
            <w:pPr>
              <w:rPr>
                <w:rFonts w:ascii="宋体" w:hAnsi="宋体"/>
                <w:color w:val="auto"/>
                <w:szCs w:val="21"/>
                <w:highlight w:val="none"/>
              </w:rPr>
            </w:pPr>
          </w:p>
        </w:tc>
        <w:tc>
          <w:tcPr>
            <w:tcW w:w="917" w:type="dxa"/>
            <w:vAlign w:val="center"/>
          </w:tcPr>
          <w:p>
            <w:pPr>
              <w:rPr>
                <w:rFonts w:ascii="宋体" w:hAnsi="宋体"/>
                <w:color w:val="auto"/>
                <w:szCs w:val="21"/>
                <w:highlight w:val="none"/>
              </w:rPr>
            </w:pPr>
          </w:p>
        </w:tc>
        <w:tc>
          <w:tcPr>
            <w:tcW w:w="685" w:type="dxa"/>
            <w:vAlign w:val="center"/>
          </w:tcPr>
          <w:p>
            <w:pPr>
              <w:rPr>
                <w:rFonts w:ascii="宋体" w:hAnsi="宋体"/>
                <w:color w:val="auto"/>
                <w:szCs w:val="21"/>
                <w:highlight w:val="none"/>
              </w:rPr>
            </w:pPr>
          </w:p>
        </w:tc>
        <w:tc>
          <w:tcPr>
            <w:tcW w:w="502" w:type="dxa"/>
            <w:vAlign w:val="center"/>
          </w:tcPr>
          <w:p>
            <w:pPr>
              <w:rPr>
                <w:rFonts w:ascii="宋体" w:hAnsi="宋体"/>
                <w:color w:val="auto"/>
                <w:szCs w:val="21"/>
                <w:highlight w:val="none"/>
              </w:rPr>
            </w:pPr>
          </w:p>
        </w:tc>
        <w:tc>
          <w:tcPr>
            <w:tcW w:w="880" w:type="dxa"/>
            <w:vAlign w:val="center"/>
          </w:tcPr>
          <w:p>
            <w:pPr>
              <w:rPr>
                <w:rFonts w:ascii="宋体" w:hAnsi="宋体"/>
                <w:color w:val="auto"/>
                <w:szCs w:val="21"/>
                <w:highlight w:val="none"/>
              </w:rPr>
            </w:pPr>
          </w:p>
        </w:tc>
        <w:tc>
          <w:tcPr>
            <w:tcW w:w="639"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768"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1026"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1155" w:type="dxa"/>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rPr>
                <w:rFonts w:ascii="宋体" w:hAnsi="宋体"/>
                <w:color w:val="auto"/>
                <w:szCs w:val="21"/>
                <w:highlight w:val="none"/>
              </w:rPr>
            </w:pPr>
          </w:p>
        </w:tc>
        <w:tc>
          <w:tcPr>
            <w:tcW w:w="1127" w:type="dxa"/>
            <w:vAlign w:val="center"/>
          </w:tcPr>
          <w:p>
            <w:pPr>
              <w:rPr>
                <w:rFonts w:ascii="宋体" w:hAnsi="宋体"/>
                <w:color w:val="auto"/>
                <w:szCs w:val="21"/>
                <w:highlight w:val="none"/>
              </w:rPr>
            </w:pPr>
          </w:p>
        </w:tc>
        <w:tc>
          <w:tcPr>
            <w:tcW w:w="917" w:type="dxa"/>
            <w:vAlign w:val="center"/>
          </w:tcPr>
          <w:p>
            <w:pPr>
              <w:rPr>
                <w:rFonts w:ascii="宋体" w:hAnsi="宋体"/>
                <w:color w:val="auto"/>
                <w:szCs w:val="21"/>
                <w:highlight w:val="none"/>
              </w:rPr>
            </w:pPr>
          </w:p>
        </w:tc>
        <w:tc>
          <w:tcPr>
            <w:tcW w:w="685" w:type="dxa"/>
            <w:vAlign w:val="center"/>
          </w:tcPr>
          <w:p>
            <w:pPr>
              <w:rPr>
                <w:rFonts w:ascii="宋体" w:hAnsi="宋体"/>
                <w:color w:val="auto"/>
                <w:szCs w:val="21"/>
                <w:highlight w:val="none"/>
              </w:rPr>
            </w:pPr>
          </w:p>
        </w:tc>
        <w:tc>
          <w:tcPr>
            <w:tcW w:w="502" w:type="dxa"/>
            <w:vAlign w:val="center"/>
          </w:tcPr>
          <w:p>
            <w:pPr>
              <w:rPr>
                <w:rFonts w:ascii="宋体" w:hAnsi="宋体"/>
                <w:color w:val="auto"/>
                <w:szCs w:val="21"/>
                <w:highlight w:val="none"/>
              </w:rPr>
            </w:pPr>
          </w:p>
        </w:tc>
        <w:tc>
          <w:tcPr>
            <w:tcW w:w="880" w:type="dxa"/>
            <w:vAlign w:val="center"/>
          </w:tcPr>
          <w:p>
            <w:pPr>
              <w:rPr>
                <w:rFonts w:ascii="宋体" w:hAnsi="宋体"/>
                <w:color w:val="auto"/>
                <w:szCs w:val="21"/>
                <w:highlight w:val="none"/>
              </w:rPr>
            </w:pPr>
          </w:p>
        </w:tc>
        <w:tc>
          <w:tcPr>
            <w:tcW w:w="639"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768"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1026"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1155" w:type="dxa"/>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rPr>
                <w:rFonts w:ascii="宋体" w:hAnsi="宋体"/>
                <w:color w:val="auto"/>
                <w:szCs w:val="21"/>
                <w:highlight w:val="none"/>
              </w:rPr>
            </w:pPr>
          </w:p>
        </w:tc>
        <w:tc>
          <w:tcPr>
            <w:tcW w:w="1127" w:type="dxa"/>
            <w:vAlign w:val="center"/>
          </w:tcPr>
          <w:p>
            <w:pPr>
              <w:rPr>
                <w:rFonts w:ascii="宋体" w:hAnsi="宋体"/>
                <w:color w:val="auto"/>
                <w:szCs w:val="21"/>
                <w:highlight w:val="none"/>
              </w:rPr>
            </w:pPr>
          </w:p>
        </w:tc>
        <w:tc>
          <w:tcPr>
            <w:tcW w:w="917" w:type="dxa"/>
            <w:vAlign w:val="center"/>
          </w:tcPr>
          <w:p>
            <w:pPr>
              <w:rPr>
                <w:rFonts w:ascii="宋体" w:hAnsi="宋体"/>
                <w:color w:val="auto"/>
                <w:szCs w:val="21"/>
                <w:highlight w:val="none"/>
              </w:rPr>
            </w:pPr>
          </w:p>
        </w:tc>
        <w:tc>
          <w:tcPr>
            <w:tcW w:w="685" w:type="dxa"/>
            <w:vAlign w:val="center"/>
          </w:tcPr>
          <w:p>
            <w:pPr>
              <w:rPr>
                <w:rFonts w:ascii="宋体" w:hAnsi="宋体"/>
                <w:color w:val="auto"/>
                <w:szCs w:val="21"/>
                <w:highlight w:val="none"/>
              </w:rPr>
            </w:pPr>
          </w:p>
        </w:tc>
        <w:tc>
          <w:tcPr>
            <w:tcW w:w="502" w:type="dxa"/>
            <w:vAlign w:val="center"/>
          </w:tcPr>
          <w:p>
            <w:pPr>
              <w:rPr>
                <w:rFonts w:ascii="宋体" w:hAnsi="宋体"/>
                <w:color w:val="auto"/>
                <w:szCs w:val="21"/>
                <w:highlight w:val="none"/>
              </w:rPr>
            </w:pPr>
          </w:p>
        </w:tc>
        <w:tc>
          <w:tcPr>
            <w:tcW w:w="880" w:type="dxa"/>
            <w:vAlign w:val="center"/>
          </w:tcPr>
          <w:p>
            <w:pPr>
              <w:rPr>
                <w:rFonts w:ascii="宋体" w:hAnsi="宋体"/>
                <w:color w:val="auto"/>
                <w:szCs w:val="21"/>
                <w:highlight w:val="none"/>
              </w:rPr>
            </w:pPr>
          </w:p>
        </w:tc>
        <w:tc>
          <w:tcPr>
            <w:tcW w:w="639"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768"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771" w:type="dxa"/>
            <w:vAlign w:val="center"/>
          </w:tcPr>
          <w:p>
            <w:pPr>
              <w:rPr>
                <w:rFonts w:ascii="宋体" w:hAnsi="宋体"/>
                <w:color w:val="auto"/>
                <w:szCs w:val="21"/>
                <w:highlight w:val="none"/>
              </w:rPr>
            </w:pPr>
          </w:p>
        </w:tc>
        <w:tc>
          <w:tcPr>
            <w:tcW w:w="1026" w:type="dxa"/>
            <w:vAlign w:val="center"/>
          </w:tcPr>
          <w:p>
            <w:pPr>
              <w:rPr>
                <w:rFonts w:ascii="宋体" w:hAnsi="宋体"/>
                <w:color w:val="auto"/>
                <w:szCs w:val="21"/>
                <w:highlight w:val="none"/>
              </w:rPr>
            </w:pPr>
          </w:p>
        </w:tc>
        <w:tc>
          <w:tcPr>
            <w:tcW w:w="897" w:type="dxa"/>
            <w:vAlign w:val="center"/>
          </w:tcPr>
          <w:p>
            <w:pPr>
              <w:rPr>
                <w:rFonts w:ascii="宋体" w:hAnsi="宋体"/>
                <w:color w:val="auto"/>
                <w:szCs w:val="21"/>
                <w:highlight w:val="none"/>
              </w:rPr>
            </w:pPr>
          </w:p>
        </w:tc>
        <w:tc>
          <w:tcPr>
            <w:tcW w:w="1155" w:type="dxa"/>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183" w:type="dxa"/>
            <w:gridSpan w:val="16"/>
            <w:vAlign w:val="center"/>
          </w:tcPr>
          <w:p>
            <w:pPr>
              <w:rPr>
                <w:rFonts w:ascii="宋体" w:hAnsi="宋体"/>
                <w:color w:val="auto"/>
                <w:szCs w:val="21"/>
                <w:highlight w:val="none"/>
              </w:rPr>
            </w:pPr>
            <w:r>
              <w:rPr>
                <w:rFonts w:hint="eastAsia" w:ascii="宋体" w:hAnsi="宋体"/>
                <w:color w:val="auto"/>
                <w:szCs w:val="21"/>
                <w:highlight w:val="none"/>
              </w:rPr>
              <w:t>全部投标货物总金额（人民币）：</w:t>
            </w:r>
          </w:p>
        </w:tc>
      </w:tr>
    </w:tbl>
    <w:p>
      <w:pPr>
        <w:rPr>
          <w:rFonts w:ascii="宋体" w:hAnsi="宋体"/>
          <w:color w:val="auto"/>
          <w:szCs w:val="21"/>
          <w:highlight w:val="none"/>
        </w:rPr>
      </w:pPr>
      <w:r>
        <w:rPr>
          <w:rFonts w:hint="eastAsia" w:ascii="宋体" w:hAnsi="宋体"/>
          <w:color w:val="auto"/>
          <w:szCs w:val="21"/>
          <w:highlight w:val="none"/>
        </w:rPr>
        <w:t>说明：1、项7＝项8×项4</w:t>
      </w:r>
    </w:p>
    <w:p>
      <w:pPr>
        <w:rPr>
          <w:rFonts w:ascii="宋体" w:hAnsi="宋体"/>
          <w:color w:val="auto"/>
          <w:szCs w:val="21"/>
          <w:highlight w:val="none"/>
        </w:rPr>
      </w:pPr>
      <w:r>
        <w:rPr>
          <w:rFonts w:hint="eastAsia" w:ascii="宋体" w:hAnsi="宋体"/>
          <w:color w:val="auto"/>
          <w:szCs w:val="21"/>
          <w:highlight w:val="none"/>
        </w:rPr>
        <w:t xml:space="preserve">      2、项6＝项7+项9+项10+项11+项12+项13                                         投标人单位（盖章）：</w:t>
      </w:r>
    </w:p>
    <w:p>
      <w:pPr>
        <w:rPr>
          <w:rFonts w:ascii="宋体" w:hAnsi="宋体"/>
          <w:color w:val="auto"/>
          <w:szCs w:val="21"/>
          <w:highlight w:val="none"/>
        </w:rPr>
      </w:pPr>
      <w:r>
        <w:rPr>
          <w:rFonts w:hint="eastAsia" w:ascii="宋体" w:hAnsi="宋体"/>
          <w:color w:val="auto"/>
          <w:szCs w:val="21"/>
          <w:highlight w:val="none"/>
        </w:rPr>
        <w:t xml:space="preserve">      3、除填写本表外，投标方还应提供以下附件：</w:t>
      </w:r>
    </w:p>
    <w:p>
      <w:pPr>
        <w:ind w:firstLine="945" w:firstLineChars="450"/>
        <w:rPr>
          <w:rFonts w:ascii="宋体" w:hAnsi="宋体"/>
          <w:color w:val="auto"/>
          <w:szCs w:val="21"/>
          <w:highlight w:val="none"/>
        </w:rPr>
      </w:pPr>
      <w:r>
        <w:rPr>
          <w:rFonts w:hint="eastAsia" w:ascii="宋体" w:hAnsi="宋体"/>
          <w:color w:val="auto"/>
          <w:szCs w:val="21"/>
          <w:highlight w:val="none"/>
        </w:rPr>
        <w:t>①货物主要部件（包括附件）分项价目表</w:t>
      </w:r>
    </w:p>
    <w:p>
      <w:pPr>
        <w:ind w:firstLine="945" w:firstLineChars="450"/>
        <w:rPr>
          <w:rFonts w:ascii="宋体" w:hAnsi="宋体"/>
          <w:color w:val="auto"/>
          <w:szCs w:val="21"/>
          <w:highlight w:val="none"/>
        </w:rPr>
      </w:pPr>
      <w:r>
        <w:rPr>
          <w:rFonts w:hint="eastAsia" w:ascii="宋体" w:hAnsi="宋体"/>
          <w:color w:val="auto"/>
          <w:szCs w:val="21"/>
          <w:highlight w:val="none"/>
        </w:rPr>
        <w:t>②特殊工具清单及价目表                                                     法定代表人或其授权代表（签字或盖章）：</w:t>
      </w:r>
    </w:p>
    <w:p>
      <w:pPr>
        <w:ind w:firstLine="945" w:firstLineChars="450"/>
        <w:rPr>
          <w:rFonts w:ascii="宋体" w:hAnsi="宋体"/>
          <w:color w:val="auto"/>
          <w:szCs w:val="21"/>
          <w:highlight w:val="none"/>
        </w:rPr>
      </w:pPr>
      <w:r>
        <w:rPr>
          <w:rFonts w:hint="eastAsia" w:ascii="宋体" w:hAnsi="宋体"/>
          <w:color w:val="auto"/>
          <w:szCs w:val="21"/>
          <w:highlight w:val="none"/>
        </w:rPr>
        <w:t>③备品、备件清单及价目表</w:t>
      </w:r>
    </w:p>
    <w:p>
      <w:pPr>
        <w:ind w:firstLine="945" w:firstLineChars="450"/>
        <w:rPr>
          <w:rFonts w:ascii="宋体" w:hAnsi="宋体"/>
          <w:color w:val="auto"/>
          <w:szCs w:val="21"/>
          <w:highlight w:val="none"/>
        </w:rPr>
      </w:pPr>
      <w:r>
        <w:rPr>
          <w:rFonts w:hint="eastAsia" w:ascii="宋体" w:hAnsi="宋体"/>
          <w:color w:val="auto"/>
          <w:szCs w:val="21"/>
          <w:highlight w:val="none"/>
        </w:rPr>
        <w:t>④所需进口关键元器件、原材料清单及价目表                                   日             期：</w:t>
      </w:r>
    </w:p>
    <w:p>
      <w:pPr>
        <w:snapToGrid w:val="0"/>
        <w:spacing w:before="120" w:beforeLines="50" w:after="50"/>
        <w:ind w:firstLine="4800" w:firstLineChars="2000"/>
        <w:rPr>
          <w:rFonts w:ascii="宋体" w:hAnsi="宋体"/>
          <w:color w:val="auto"/>
          <w:sz w:val="24"/>
          <w:szCs w:val="21"/>
          <w:highlight w:val="none"/>
        </w:rPr>
        <w:sectPr>
          <w:pgSz w:w="16838" w:h="11906" w:orient="landscape"/>
          <w:pgMar w:top="1797" w:right="1247" w:bottom="1797" w:left="1474" w:header="851" w:footer="851" w:gutter="0"/>
          <w:cols w:space="720" w:num="1"/>
          <w:titlePg/>
          <w:docGrid w:linePitch="312" w:charSpace="0"/>
        </w:sectPr>
      </w:pPr>
    </w:p>
    <w:p>
      <w:pPr>
        <w:rPr>
          <w:rFonts w:ascii="宋体" w:hAnsi="宋体"/>
          <w:b/>
          <w:color w:val="auto"/>
          <w:highlight w:val="none"/>
        </w:rPr>
      </w:pPr>
      <w:bookmarkStart w:id="230" w:name="_Toc460857950"/>
      <w:r>
        <w:rPr>
          <w:rFonts w:hint="eastAsia" w:ascii="宋体" w:hAnsi="宋体"/>
          <w:b/>
          <w:color w:val="auto"/>
          <w:highlight w:val="none"/>
        </w:rPr>
        <w:t>格式十四：</w:t>
      </w:r>
      <w:r>
        <w:rPr>
          <w:rFonts w:hint="eastAsia" w:ascii="宋体" w:hAnsi="宋体"/>
          <w:color w:val="auto"/>
          <w:szCs w:val="21"/>
          <w:highlight w:val="none"/>
        </w:rPr>
        <w:t>中小企业声明函</w:t>
      </w:r>
      <w:bookmarkEnd w:id="230"/>
    </w:p>
    <w:p>
      <w:pPr>
        <w:spacing w:line="360" w:lineRule="auto"/>
        <w:jc w:val="center"/>
        <w:rPr>
          <w:rFonts w:ascii="宋体" w:hAnsi="宋体"/>
          <w:b/>
          <w:color w:val="auto"/>
          <w:spacing w:val="-4"/>
          <w:szCs w:val="21"/>
          <w:highlight w:val="none"/>
        </w:rPr>
      </w:pPr>
    </w:p>
    <w:p>
      <w:pPr>
        <w:pStyle w:val="18"/>
        <w:spacing w:line="360" w:lineRule="auto"/>
        <w:jc w:val="center"/>
        <w:rPr>
          <w:rFonts w:ascii="Arial" w:hAnsi="Arial"/>
          <w:b/>
          <w:color w:val="auto"/>
          <w:sz w:val="28"/>
          <w:szCs w:val="28"/>
          <w:highlight w:val="none"/>
        </w:rPr>
      </w:pPr>
      <w:r>
        <w:rPr>
          <w:rFonts w:hint="eastAsia" w:ascii="Arial" w:hAnsi="Arial"/>
          <w:b/>
          <w:color w:val="auto"/>
          <w:sz w:val="28"/>
          <w:szCs w:val="28"/>
          <w:highlight w:val="none"/>
        </w:rPr>
        <w:t>中小企业声明函（货物）</w:t>
      </w:r>
    </w:p>
    <w:p>
      <w:pPr>
        <w:rPr>
          <w:b/>
          <w:bCs/>
          <w:color w:val="auto"/>
          <w:highlight w:val="none"/>
        </w:rPr>
      </w:pPr>
      <w:r>
        <w:rPr>
          <w:rFonts w:hint="eastAsia"/>
          <w:b/>
          <w:bCs/>
          <w:color w:val="auto"/>
          <w:highlight w:val="none"/>
        </w:rPr>
        <w:t>注：提供本项目货物的所有制造均需提供中小企业声明函</w:t>
      </w:r>
    </w:p>
    <w:p>
      <w:pPr>
        <w:spacing w:line="360" w:lineRule="auto"/>
        <w:ind w:firstLine="420" w:firstLineChars="200"/>
        <w:rPr>
          <w:rFonts w:asciiTheme="minorEastAsia" w:hAnsiTheme="minorEastAsia" w:eastAsiaTheme="minorEastAsia" w:cstheme="minorEastAsia"/>
          <w:color w:val="auto"/>
          <w:szCs w:val="21"/>
          <w:highlight w:val="none"/>
        </w:rPr>
      </w:pP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 xml:space="preserve"> （标的名称） </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rPr>
        <w:t>工业行业</w:t>
      </w:r>
      <w:r>
        <w:rPr>
          <w:rFonts w:hint="eastAsia" w:asciiTheme="minorEastAsia" w:hAnsiTheme="minorEastAsia" w:eastAsiaTheme="minorEastAsia" w:cstheme="minorEastAsia"/>
          <w:color w:val="auto"/>
          <w:szCs w:val="21"/>
          <w:highlight w:val="none"/>
        </w:rPr>
        <w:t>；制造商为</w:t>
      </w:r>
      <w:r>
        <w:rPr>
          <w:rFonts w:hint="eastAsia" w:asciiTheme="minorEastAsia" w:hAnsiTheme="minorEastAsia" w:eastAsiaTheme="minorEastAsia" w:cstheme="minorEastAsia"/>
          <w:color w:val="auto"/>
          <w:szCs w:val="21"/>
          <w:highlight w:val="none"/>
          <w:u w:val="single"/>
        </w:rPr>
        <w:t>（企业名称）</w:t>
      </w:r>
      <w:r>
        <w:rPr>
          <w:rFonts w:hint="eastAsia" w:asciiTheme="minorEastAsia" w:hAnsiTheme="minorEastAsia" w:eastAsiaTheme="minorEastAsia" w:cstheme="minorEastAsia"/>
          <w:color w:val="auto"/>
          <w:szCs w:val="21"/>
          <w:highlight w:val="none"/>
        </w:rPr>
        <w:t>，从业人员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人，营业收入为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万元，资产总额为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w:t>
      </w:r>
      <w:r>
        <w:rPr>
          <w:rFonts w:hint="eastAsia" w:asciiTheme="minorEastAsia" w:hAnsiTheme="minorEastAsia" w:eastAsiaTheme="minorEastAsia" w:cstheme="minorEastAsia"/>
          <w:color w:val="auto"/>
          <w:szCs w:val="21"/>
          <w:highlight w:val="none"/>
          <w:vertAlign w:val="superscript"/>
        </w:rPr>
        <w:t>1</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rPr>
        <w:t>（中型企业、小型企业、微型企业）</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本企业对上述声明内容的真实性负责。如有虚假，将依法承担相应责任。</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企业名称（盖章）：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spacing w:line="360" w:lineRule="auto"/>
        <w:rPr>
          <w:rFonts w:asciiTheme="minorEastAsia" w:hAnsiTheme="minorEastAsia" w:eastAsiaTheme="minorEastAsia" w:cstheme="minorEastAsia"/>
          <w:color w:val="auto"/>
          <w:kern w:val="0"/>
          <w:szCs w:val="21"/>
          <w:highlight w:val="none"/>
          <w:vertAlign w:val="superscript"/>
        </w:rPr>
      </w:pPr>
    </w:p>
    <w:p>
      <w:pPr>
        <w:spacing w:line="360" w:lineRule="auto"/>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vertAlign w:val="superscript"/>
        </w:rPr>
        <w:t>1</w:t>
      </w:r>
      <w:r>
        <w:rPr>
          <w:rFonts w:hint="eastAsia" w:asciiTheme="minorEastAsia" w:hAnsiTheme="minorEastAsia" w:eastAsiaTheme="minorEastAsia" w:cstheme="minorEastAsia"/>
          <w:color w:val="auto"/>
          <w:kern w:val="0"/>
          <w:sz w:val="18"/>
          <w:szCs w:val="18"/>
          <w:highlight w:val="none"/>
        </w:rPr>
        <w:t>从业人员、营业收入、资产总额填报上一年度数据，无上一年度数据的新成立企业可不填报。</w:t>
      </w:r>
    </w:p>
    <w:p>
      <w:pPr>
        <w:pStyle w:val="36"/>
        <w:spacing w:before="0" w:beforeAutospacing="0" w:after="0" w:afterAutospacing="0" w:line="360" w:lineRule="auto"/>
        <w:rPr>
          <w:rFonts w:ascii="Arial" w:hAnsi="Arial"/>
          <w:color w:val="auto"/>
          <w:sz w:val="21"/>
          <w:szCs w:val="21"/>
          <w:highlight w:val="none"/>
        </w:rPr>
      </w:pPr>
    </w:p>
    <w:p>
      <w:pPr>
        <w:pStyle w:val="36"/>
        <w:spacing w:before="0" w:beforeAutospacing="0" w:after="0" w:afterAutospacing="0" w:line="360" w:lineRule="auto"/>
        <w:rPr>
          <w:rFonts w:ascii="Arial" w:hAnsi="Arial"/>
          <w:color w:val="auto"/>
          <w:sz w:val="21"/>
          <w:szCs w:val="21"/>
          <w:highlight w:val="none"/>
        </w:rPr>
      </w:pPr>
    </w:p>
    <w:p>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注：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2、本项目对应的中小企业划分标准所属行业：</w:t>
      </w:r>
      <w:r>
        <w:rPr>
          <w:rFonts w:hint="eastAsia" w:asciiTheme="minorEastAsia" w:hAnsiTheme="minorEastAsia" w:eastAsiaTheme="minorEastAsia" w:cstheme="minorEastAsia"/>
          <w:color w:val="auto"/>
          <w:szCs w:val="21"/>
          <w:highlight w:val="none"/>
          <w:u w:val="single"/>
        </w:rPr>
        <w:t>工业</w:t>
      </w:r>
      <w:r>
        <w:rPr>
          <w:rFonts w:hint="eastAsia" w:ascii="宋体" w:hAnsi="宋体" w:cs="宋体"/>
          <w:color w:val="auto"/>
          <w:kern w:val="0"/>
          <w:szCs w:val="21"/>
          <w:highlight w:val="none"/>
        </w:rPr>
        <w:t>。</w:t>
      </w:r>
    </w:p>
    <w:p>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3、行业及规模：工业 。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4、从业人员、营业收入、资产总额填报上一年度数据，无上一年度数据的新成立企业可不填报。</w:t>
      </w:r>
    </w:p>
    <w:p>
      <w:pPr>
        <w:pStyle w:val="36"/>
        <w:spacing w:before="0" w:beforeAutospacing="0" w:after="0" w:afterAutospacing="0" w:line="360" w:lineRule="auto"/>
        <w:rPr>
          <w:rFonts w:ascii="Arial" w:hAnsi="Arial"/>
          <w:color w:val="auto"/>
          <w:sz w:val="21"/>
          <w:szCs w:val="21"/>
          <w:highlight w:val="none"/>
        </w:rPr>
      </w:pPr>
      <w:r>
        <w:rPr>
          <w:rFonts w:hint="eastAsia" w:ascii="宋体" w:hAnsi="宋体" w:cs="宋体"/>
          <w:color w:val="auto"/>
          <w:sz w:val="21"/>
          <w:szCs w:val="21"/>
          <w:highlight w:val="none"/>
        </w:rPr>
        <w:t>5、如接受联合体投标的项目，所有联合体参与方均需提供本表。</w:t>
      </w:r>
    </w:p>
    <w:p>
      <w:pPr>
        <w:spacing w:line="360" w:lineRule="auto"/>
        <w:rPr>
          <w:rFonts w:ascii="宋体" w:hAnsi="宋体"/>
          <w:color w:val="auto"/>
          <w:szCs w:val="21"/>
          <w:highlight w:val="none"/>
        </w:rPr>
      </w:pPr>
      <w:r>
        <w:rPr>
          <w:rFonts w:hint="eastAsia" w:ascii="宋体" w:hAnsi="宋体"/>
          <w:b/>
          <w:bCs/>
          <w:color w:val="auto"/>
          <w:szCs w:val="21"/>
          <w:highlight w:val="none"/>
        </w:rPr>
        <w:t>风险提示：</w:t>
      </w:r>
    </w:p>
    <w:p>
      <w:pPr>
        <w:spacing w:line="360" w:lineRule="auto"/>
        <w:rPr>
          <w:rFonts w:ascii="宋体" w:hAnsi="宋体"/>
          <w:color w:val="auto"/>
          <w:szCs w:val="21"/>
          <w:highlight w:val="none"/>
        </w:rPr>
      </w:pPr>
      <w:r>
        <w:rPr>
          <w:rFonts w:hint="eastAsia" w:ascii="宋体" w:hAnsi="宋体"/>
          <w:color w:val="auto"/>
          <w:szCs w:val="21"/>
          <w:highlight w:val="none"/>
        </w:rPr>
        <w:t>1、对于非面向中小型企业的项目，在货物采购项目中，供应商提供的货物既有大型或中型企业制造，也有小微企业制造的，不享受办法规定的小微企业扶持政策。</w:t>
      </w:r>
    </w:p>
    <w:p>
      <w:pPr>
        <w:spacing w:line="360" w:lineRule="auto"/>
        <w:rPr>
          <w:rFonts w:ascii="宋体" w:hAnsi="宋体"/>
          <w:b/>
          <w:color w:val="auto"/>
          <w:highlight w:val="none"/>
        </w:rPr>
      </w:pPr>
      <w:r>
        <w:rPr>
          <w:rFonts w:hint="eastAsia" w:ascii="宋体" w:hAnsi="宋体"/>
          <w:color w:val="auto"/>
          <w:szCs w:val="21"/>
          <w:highlight w:val="none"/>
        </w:rPr>
        <w:t>2、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r>
        <w:rPr>
          <w:rFonts w:ascii="宋体" w:hAnsi="宋体"/>
          <w:color w:val="auto"/>
          <w:szCs w:val="21"/>
          <w:highlight w:val="none"/>
        </w:rPr>
        <w:br w:type="page"/>
      </w:r>
      <w:bookmarkStart w:id="231" w:name="OLE_LINK14"/>
      <w:bookmarkStart w:id="232" w:name="OLE_LINK13"/>
      <w:r>
        <w:rPr>
          <w:rFonts w:hint="eastAsia" w:ascii="宋体" w:hAnsi="宋体"/>
          <w:b/>
          <w:color w:val="auto"/>
          <w:highlight w:val="none"/>
        </w:rPr>
        <w:t>格式十五：</w:t>
      </w:r>
      <w:r>
        <w:rPr>
          <w:rFonts w:hint="eastAsia" w:ascii="宋体" w:hAnsi="宋体"/>
          <w:color w:val="auto"/>
          <w:szCs w:val="21"/>
          <w:highlight w:val="none"/>
        </w:rPr>
        <w:t>残疾人福利性单位声明函</w:t>
      </w:r>
    </w:p>
    <w:p>
      <w:pPr>
        <w:pStyle w:val="18"/>
        <w:spacing w:line="520" w:lineRule="exact"/>
        <w:jc w:val="center"/>
        <w:rPr>
          <w:rFonts w:hAnsi="宋体"/>
          <w:b/>
          <w:color w:val="auto"/>
          <w:sz w:val="21"/>
          <w:szCs w:val="21"/>
          <w:highlight w:val="none"/>
        </w:rPr>
      </w:pPr>
    </w:p>
    <w:bookmarkEnd w:id="231"/>
    <w:bookmarkEnd w:id="232"/>
    <w:p>
      <w:pPr>
        <w:pStyle w:val="18"/>
        <w:spacing w:line="360" w:lineRule="auto"/>
        <w:jc w:val="center"/>
        <w:rPr>
          <w:rFonts w:ascii="Arial" w:hAnsi="Arial"/>
          <w:b/>
          <w:color w:val="auto"/>
          <w:sz w:val="28"/>
          <w:szCs w:val="28"/>
          <w:highlight w:val="none"/>
        </w:rPr>
      </w:pPr>
      <w:r>
        <w:rPr>
          <w:rFonts w:hint="eastAsia" w:ascii="Arial" w:hAnsi="Arial"/>
          <w:b/>
          <w:color w:val="auto"/>
          <w:sz w:val="28"/>
          <w:szCs w:val="28"/>
          <w:highlight w:val="none"/>
        </w:rPr>
        <w:t>残疾人福利性单位声明函</w:t>
      </w:r>
    </w:p>
    <w:p>
      <w:pPr>
        <w:spacing w:line="360" w:lineRule="auto"/>
        <w:ind w:firstLine="420" w:firstLineChars="200"/>
        <w:rPr>
          <w:rFonts w:ascii="Arial" w:hAnsi="Arial"/>
          <w:color w:val="auto"/>
          <w:szCs w:val="21"/>
          <w:highlight w:val="none"/>
        </w:rPr>
      </w:pPr>
      <w:r>
        <w:rPr>
          <w:rFonts w:hint="eastAsia" w:ascii="Arial" w:hAnsi="Arial"/>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Arial" w:hAnsi="Arial"/>
          <w:color w:val="auto"/>
          <w:highlight w:val="none"/>
        </w:rPr>
      </w:pPr>
      <w:r>
        <w:rPr>
          <w:rFonts w:hint="eastAsia" w:ascii="Arial" w:hAnsi="Arial"/>
          <w:color w:val="auto"/>
          <w:szCs w:val="21"/>
          <w:highlight w:val="none"/>
        </w:rPr>
        <w:t>本单位对上述声明的真实性负责。如有虚假，将依法承担相应责任。</w:t>
      </w:r>
    </w:p>
    <w:p>
      <w:pPr>
        <w:spacing w:line="360" w:lineRule="auto"/>
        <w:rPr>
          <w:rFonts w:ascii="Arial" w:hAnsi="Arial"/>
          <w:color w:val="auto"/>
          <w:spacing w:val="6"/>
          <w:szCs w:val="21"/>
          <w:highlight w:val="none"/>
        </w:rPr>
      </w:pPr>
    </w:p>
    <w:p>
      <w:pPr>
        <w:tabs>
          <w:tab w:val="left" w:pos="4860"/>
        </w:tabs>
        <w:spacing w:line="360" w:lineRule="auto"/>
        <w:ind w:right="1560" w:firstLine="444" w:firstLineChars="200"/>
        <w:jc w:val="center"/>
        <w:rPr>
          <w:rFonts w:ascii="Arial" w:hAnsi="Arial"/>
          <w:color w:val="auto"/>
          <w:spacing w:val="6"/>
          <w:szCs w:val="21"/>
          <w:highlight w:val="none"/>
        </w:rPr>
      </w:pPr>
      <w:r>
        <w:rPr>
          <w:rFonts w:hint="eastAsia" w:ascii="Arial" w:hAnsi="Arial"/>
          <w:color w:val="auto"/>
          <w:spacing w:val="6"/>
          <w:szCs w:val="21"/>
          <w:highlight w:val="none"/>
        </w:rPr>
        <w:t>企业名称（盖章）：</w:t>
      </w:r>
    </w:p>
    <w:p>
      <w:pPr>
        <w:pStyle w:val="36"/>
        <w:spacing w:before="0" w:beforeAutospacing="0" w:after="0" w:afterAutospacing="0" w:line="360" w:lineRule="auto"/>
        <w:ind w:firstLine="420"/>
        <w:rPr>
          <w:rFonts w:ascii="Arial" w:hAnsi="Arial"/>
          <w:color w:val="auto"/>
          <w:sz w:val="21"/>
          <w:szCs w:val="21"/>
          <w:highlight w:val="none"/>
        </w:rPr>
      </w:pPr>
      <w:r>
        <w:rPr>
          <w:rFonts w:hint="eastAsia" w:ascii="Arial" w:hAnsi="Arial"/>
          <w:color w:val="auto"/>
          <w:spacing w:val="6"/>
          <w:szCs w:val="21"/>
          <w:highlight w:val="none"/>
        </w:rPr>
        <w:t>日期：</w:t>
      </w:r>
    </w:p>
    <w:p>
      <w:pPr>
        <w:rPr>
          <w:rFonts w:ascii="Arial" w:hAnsi="Arial"/>
          <w:color w:val="auto"/>
          <w:highlight w:val="none"/>
        </w:rPr>
      </w:pPr>
    </w:p>
    <w:p>
      <w:pPr>
        <w:spacing w:line="360" w:lineRule="auto"/>
        <w:rPr>
          <w:rFonts w:ascii="Arial" w:hAnsi="Arial"/>
          <w:color w:val="auto"/>
          <w:highlight w:val="none"/>
        </w:rPr>
      </w:pPr>
      <w:r>
        <w:rPr>
          <w:rFonts w:hint="eastAsia" w:ascii="Arial" w:hAnsi="Arial"/>
          <w:color w:val="auto"/>
          <w:highlight w:val="none"/>
        </w:rPr>
        <w:t>注：</w:t>
      </w:r>
    </w:p>
    <w:p>
      <w:pPr>
        <w:spacing w:line="360" w:lineRule="auto"/>
        <w:rPr>
          <w:rFonts w:ascii="Arial" w:hAnsi="Arial"/>
          <w:color w:val="auto"/>
          <w:highlight w:val="none"/>
        </w:rPr>
      </w:pPr>
      <w:r>
        <w:rPr>
          <w:rFonts w:ascii="Arial" w:hAnsi="Arial"/>
          <w:color w:val="auto"/>
          <w:highlight w:val="none"/>
        </w:rPr>
        <w:t>1</w:t>
      </w:r>
      <w:r>
        <w:rPr>
          <w:rFonts w:hint="eastAsia" w:ascii="Arial" w:hAnsi="Arial"/>
          <w:color w:val="auto"/>
          <w:highlight w:val="none"/>
        </w:rPr>
        <w:t>、如投标人为非残疾人福利性单位的可不提供本声明函。</w:t>
      </w:r>
    </w:p>
    <w:p>
      <w:pPr>
        <w:spacing w:line="360" w:lineRule="auto"/>
        <w:rPr>
          <w:rFonts w:ascii="Arial" w:hAnsi="Arial"/>
          <w:color w:val="auto"/>
          <w:highlight w:val="none"/>
        </w:rPr>
      </w:pPr>
      <w:r>
        <w:rPr>
          <w:rFonts w:ascii="Arial" w:hAnsi="Arial"/>
          <w:color w:val="auto"/>
          <w:highlight w:val="none"/>
        </w:rPr>
        <w:t>2</w:t>
      </w:r>
      <w:r>
        <w:rPr>
          <w:rFonts w:hint="eastAsia" w:ascii="Arial" w:hAnsi="Arial"/>
          <w:color w:val="auto"/>
          <w:highlight w:val="none"/>
        </w:rPr>
        <w:t>、享受政府采购支持政策的残疾人福利性单位应当同时满足以下条件：</w:t>
      </w:r>
    </w:p>
    <w:p>
      <w:pPr>
        <w:spacing w:line="360" w:lineRule="auto"/>
        <w:rPr>
          <w:rFonts w:ascii="Arial" w:hAnsi="Arial"/>
          <w:color w:val="auto"/>
          <w:highlight w:val="none"/>
        </w:rPr>
      </w:pPr>
      <w:r>
        <w:rPr>
          <w:rFonts w:hint="eastAsia" w:ascii="Arial" w:hAnsi="Arial"/>
          <w:color w:val="auto"/>
          <w:highlight w:val="none"/>
        </w:rPr>
        <w:t>（一）安置的残疾人占本单位在职职工人数的比例不低于</w:t>
      </w:r>
      <w:r>
        <w:rPr>
          <w:rFonts w:ascii="Arial" w:hAnsi="Arial"/>
          <w:color w:val="auto"/>
          <w:highlight w:val="none"/>
        </w:rPr>
        <w:t>25%</w:t>
      </w:r>
      <w:r>
        <w:rPr>
          <w:rFonts w:hint="eastAsia" w:ascii="Arial" w:hAnsi="Arial"/>
          <w:color w:val="auto"/>
          <w:highlight w:val="none"/>
        </w:rPr>
        <w:t>（含</w:t>
      </w:r>
      <w:r>
        <w:rPr>
          <w:rFonts w:ascii="Arial" w:hAnsi="Arial"/>
          <w:color w:val="auto"/>
          <w:highlight w:val="none"/>
        </w:rPr>
        <w:t>25%</w:t>
      </w:r>
      <w:r>
        <w:rPr>
          <w:rFonts w:hint="eastAsia" w:ascii="Arial" w:hAnsi="Arial"/>
          <w:color w:val="auto"/>
          <w:highlight w:val="none"/>
        </w:rPr>
        <w:t>），并且安置的残疾人人数不少于</w:t>
      </w:r>
      <w:r>
        <w:rPr>
          <w:rFonts w:ascii="Arial" w:hAnsi="Arial"/>
          <w:color w:val="auto"/>
          <w:highlight w:val="none"/>
        </w:rPr>
        <w:t>10</w:t>
      </w:r>
      <w:r>
        <w:rPr>
          <w:rFonts w:hint="eastAsia" w:ascii="Arial" w:hAnsi="Arial"/>
          <w:color w:val="auto"/>
          <w:highlight w:val="none"/>
        </w:rPr>
        <w:t>人（含</w:t>
      </w:r>
      <w:r>
        <w:rPr>
          <w:rFonts w:ascii="Arial" w:hAnsi="Arial"/>
          <w:color w:val="auto"/>
          <w:highlight w:val="none"/>
        </w:rPr>
        <w:t>10</w:t>
      </w:r>
      <w:r>
        <w:rPr>
          <w:rFonts w:hint="eastAsia" w:ascii="Arial" w:hAnsi="Arial"/>
          <w:color w:val="auto"/>
          <w:highlight w:val="none"/>
        </w:rPr>
        <w:t>人）；</w:t>
      </w:r>
    </w:p>
    <w:p>
      <w:pPr>
        <w:spacing w:line="360" w:lineRule="auto"/>
        <w:rPr>
          <w:rFonts w:ascii="Arial" w:hAnsi="Arial"/>
          <w:color w:val="auto"/>
          <w:highlight w:val="none"/>
        </w:rPr>
      </w:pPr>
      <w:r>
        <w:rPr>
          <w:rFonts w:hint="eastAsia" w:ascii="Arial" w:hAnsi="Arial"/>
          <w:color w:val="auto"/>
          <w:highlight w:val="none"/>
        </w:rPr>
        <w:t>（二）依法与安置的每位残疾人签订了一年以上（含一年）的劳动合同或服务协议；</w:t>
      </w:r>
    </w:p>
    <w:p>
      <w:pPr>
        <w:spacing w:line="360" w:lineRule="auto"/>
        <w:rPr>
          <w:rFonts w:ascii="Arial" w:hAnsi="Arial"/>
          <w:color w:val="auto"/>
          <w:highlight w:val="none"/>
        </w:rPr>
      </w:pPr>
      <w:r>
        <w:rPr>
          <w:rFonts w:hint="eastAsia" w:ascii="Arial" w:hAnsi="Arial"/>
          <w:color w:val="auto"/>
          <w:highlight w:val="none"/>
        </w:rPr>
        <w:t>（三）为安置的每位残疾人按月足额缴纳了基本养老保险、基本医疗保险、失业保险、工伤保险和生育保险等社会保险费；</w:t>
      </w:r>
    </w:p>
    <w:p>
      <w:pPr>
        <w:spacing w:line="360" w:lineRule="auto"/>
        <w:rPr>
          <w:rFonts w:ascii="Arial" w:hAnsi="Arial"/>
          <w:color w:val="auto"/>
          <w:highlight w:val="none"/>
        </w:rPr>
      </w:pPr>
      <w:r>
        <w:rPr>
          <w:rFonts w:hint="eastAsia" w:ascii="Arial" w:hAnsi="Arial"/>
          <w:color w:val="auto"/>
          <w:highlight w:val="none"/>
        </w:rPr>
        <w:t>（四）通过银行等金融机构向安置的每位残疾人，按月支付了不低于单位所在区县适用的经省级人民政府批准的月最低工资标准的工资；</w:t>
      </w:r>
    </w:p>
    <w:p>
      <w:pPr>
        <w:spacing w:line="360" w:lineRule="auto"/>
        <w:rPr>
          <w:rFonts w:ascii="Arial" w:hAnsi="Arial"/>
          <w:color w:val="auto"/>
          <w:highlight w:val="none"/>
        </w:rPr>
      </w:pPr>
      <w:r>
        <w:rPr>
          <w:rFonts w:hint="eastAsia" w:ascii="Arial" w:hAnsi="Arial"/>
          <w:color w:val="auto"/>
          <w:highlight w:val="none"/>
        </w:rPr>
        <w:t>（五）提供本单位制造的货物、承担的工程或者服务（以下简称产品），或者提供其他残疾人福利性单位制造的货物（不包括使用非残疾人福利性单位注册商标的货物）。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color w:val="auto"/>
          <w:spacing w:val="6"/>
          <w:szCs w:val="21"/>
          <w:highlight w:val="none"/>
        </w:rPr>
      </w:pPr>
      <w:r>
        <w:rPr>
          <w:rFonts w:hint="eastAsia" w:ascii="Arial" w:hAnsi="Arial"/>
          <w:color w:val="auto"/>
          <w:highlight w:val="none"/>
        </w:rPr>
        <w:t>前款所称残疾人是指法定劳动年龄内，持有《中华人民共和国残疾人证》或者《中华人民共和国残疾军人证（</w:t>
      </w:r>
      <w:r>
        <w:rPr>
          <w:rFonts w:ascii="Arial" w:hAnsi="Arial"/>
          <w:color w:val="auto"/>
          <w:highlight w:val="none"/>
        </w:rPr>
        <w:t>1</w:t>
      </w:r>
      <w:r>
        <w:rPr>
          <w:rFonts w:hint="eastAsia" w:ascii="Arial" w:hAnsi="Arial"/>
          <w:color w:val="auto"/>
          <w:highlight w:val="none"/>
        </w:rPr>
        <w:t>至</w:t>
      </w:r>
      <w:r>
        <w:rPr>
          <w:rFonts w:ascii="Arial" w:hAnsi="Arial"/>
          <w:color w:val="auto"/>
          <w:highlight w:val="none"/>
        </w:rPr>
        <w:t>8</w:t>
      </w:r>
      <w:r>
        <w:rPr>
          <w:rFonts w:hint="eastAsia" w:ascii="Arial" w:hAnsi="Arial"/>
          <w:color w:val="auto"/>
          <w:highlight w:val="none"/>
        </w:rPr>
        <w:t>级）》的自然人，包括具有劳动条件和劳动意愿的精神残疾人。在职职工人数是指与残疾人福利性单位建立劳动关系并依法签订劳动合同或者服务协议的雇员人数。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ヒラギノ角ゴ Pro W3">
    <w:altName w:val="Yu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layui-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921401"/>
    </w:sdtPr>
    <w:sdtContent>
      <w:p>
        <w:pPr>
          <w:pStyle w:val="27"/>
          <w:jc w:val="center"/>
        </w:pPr>
        <w:r>
          <w:fldChar w:fldCharType="begin"/>
        </w:r>
        <w:r>
          <w:instrText xml:space="preserve">PAGE   \* MERGEFORMAT</w:instrText>
        </w:r>
        <w:r>
          <w:fldChar w:fldCharType="separate"/>
        </w:r>
        <w:r>
          <w:rPr>
            <w:lang w:val="zh-CN"/>
          </w:rPr>
          <w:t>49</w:t>
        </w:r>
        <w:r>
          <w:rPr>
            <w:lang w:val="zh-CN"/>
          </w:rPr>
          <w:fldChar w:fldCharType="end"/>
        </w:r>
      </w:p>
    </w:sdtContent>
  </w:sdt>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904443"/>
    </w:sdtPr>
    <w:sdtContent>
      <w:p>
        <w:pPr>
          <w:pStyle w:val="27"/>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52</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EE973"/>
    <w:multiLevelType w:val="singleLevel"/>
    <w:tmpl w:val="8F0EE973"/>
    <w:lvl w:ilvl="0" w:tentative="0">
      <w:start w:val="1"/>
      <w:numFmt w:val="decimal"/>
      <w:lvlText w:val="%1."/>
      <w:lvlJc w:val="left"/>
      <w:pPr>
        <w:ind w:left="425" w:hanging="425"/>
      </w:pPr>
      <w:rPr>
        <w:rFonts w:hint="default"/>
      </w:rPr>
    </w:lvl>
  </w:abstractNum>
  <w:abstractNum w:abstractNumId="1">
    <w:nsid w:val="C1E84864"/>
    <w:multiLevelType w:val="singleLevel"/>
    <w:tmpl w:val="C1E84864"/>
    <w:lvl w:ilvl="0" w:tentative="0">
      <w:start w:val="1"/>
      <w:numFmt w:val="decimal"/>
      <w:lvlText w:val="%1."/>
      <w:lvlJc w:val="left"/>
      <w:pPr>
        <w:ind w:left="425" w:hanging="425"/>
      </w:pPr>
      <w:rPr>
        <w:rFonts w:hint="default"/>
      </w:rPr>
    </w:lvl>
  </w:abstractNum>
  <w:abstractNum w:abstractNumId="2">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
    <w:nsid w:val="E25FC674"/>
    <w:multiLevelType w:val="singleLevel"/>
    <w:tmpl w:val="E25FC674"/>
    <w:lvl w:ilvl="0" w:tentative="0">
      <w:start w:val="1"/>
      <w:numFmt w:val="decimal"/>
      <w:lvlText w:val="%1."/>
      <w:lvlJc w:val="left"/>
      <w:pPr>
        <w:ind w:left="425" w:hanging="425"/>
      </w:pPr>
      <w:rPr>
        <w:rFonts w:hint="default"/>
      </w:rPr>
    </w:lvl>
  </w:abstractNum>
  <w:abstractNum w:abstractNumId="4">
    <w:nsid w:val="EB5AB477"/>
    <w:multiLevelType w:val="singleLevel"/>
    <w:tmpl w:val="EB5AB477"/>
    <w:lvl w:ilvl="0" w:tentative="0">
      <w:start w:val="3"/>
      <w:numFmt w:val="chineseCounting"/>
      <w:suff w:val="nothing"/>
      <w:lvlText w:val="%1、"/>
      <w:lvlJc w:val="left"/>
      <w:rPr>
        <w:rFonts w:hint="eastAsia"/>
      </w:rPr>
    </w:lvl>
  </w:abstractNum>
  <w:abstractNum w:abstractNumId="5">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6">
    <w:nsid w:val="05DA7C55"/>
    <w:multiLevelType w:val="singleLevel"/>
    <w:tmpl w:val="05DA7C55"/>
    <w:lvl w:ilvl="0" w:tentative="0">
      <w:start w:val="1"/>
      <w:numFmt w:val="decimal"/>
      <w:lvlText w:val="%1."/>
      <w:lvlJc w:val="left"/>
      <w:pPr>
        <w:ind w:left="425" w:hanging="425"/>
      </w:pPr>
      <w:rPr>
        <w:rFonts w:hint="default"/>
      </w:rPr>
    </w:lvl>
  </w:abstractNum>
  <w:abstractNum w:abstractNumId="7">
    <w:nsid w:val="0A240389"/>
    <w:multiLevelType w:val="singleLevel"/>
    <w:tmpl w:val="0A240389"/>
    <w:lvl w:ilvl="0" w:tentative="0">
      <w:start w:val="2"/>
      <w:numFmt w:val="chineseCounting"/>
      <w:suff w:val="nothing"/>
      <w:lvlText w:val="（%1）"/>
      <w:lvlJc w:val="left"/>
      <w:rPr>
        <w:rFonts w:hint="eastAsia"/>
      </w:rPr>
    </w:lvl>
  </w:abstractNum>
  <w:abstractNum w:abstractNumId="8">
    <w:nsid w:val="0FFFFF7C"/>
    <w:multiLevelType w:val="singleLevel"/>
    <w:tmpl w:val="0FFFFF7C"/>
    <w:lvl w:ilvl="0" w:tentative="0">
      <w:start w:val="1"/>
      <w:numFmt w:val="decimal"/>
      <w:pStyle w:val="13"/>
      <w:lvlText w:val="%1."/>
      <w:lvlJc w:val="left"/>
      <w:pPr>
        <w:tabs>
          <w:tab w:val="left" w:pos="2040"/>
        </w:tabs>
        <w:ind w:left="2040" w:hanging="360"/>
      </w:pPr>
    </w:lvl>
  </w:abstractNum>
  <w:abstractNum w:abstractNumId="9">
    <w:nsid w:val="0FFFFF7D"/>
    <w:multiLevelType w:val="singleLevel"/>
    <w:tmpl w:val="0FFFFF7D"/>
    <w:lvl w:ilvl="0" w:tentative="0">
      <w:start w:val="1"/>
      <w:numFmt w:val="decimal"/>
      <w:pStyle w:val="17"/>
      <w:lvlText w:val="%1."/>
      <w:lvlJc w:val="left"/>
      <w:pPr>
        <w:tabs>
          <w:tab w:val="left" w:pos="1620"/>
        </w:tabs>
        <w:ind w:left="1620" w:hanging="360"/>
      </w:pPr>
    </w:lvl>
  </w:abstractNum>
  <w:abstractNum w:abstractNumId="10">
    <w:nsid w:val="0FFFFF7F"/>
    <w:multiLevelType w:val="singleLevel"/>
    <w:tmpl w:val="0FFFFF7F"/>
    <w:lvl w:ilvl="0" w:tentative="0">
      <w:start w:val="1"/>
      <w:numFmt w:val="decimal"/>
      <w:pStyle w:val="14"/>
      <w:lvlText w:val="%1."/>
      <w:lvlJc w:val="left"/>
      <w:pPr>
        <w:tabs>
          <w:tab w:val="left" w:pos="780"/>
        </w:tabs>
        <w:ind w:left="780" w:hanging="360"/>
      </w:pPr>
    </w:lvl>
  </w:abstractNum>
  <w:abstractNum w:abstractNumId="11">
    <w:nsid w:val="0FFFFF80"/>
    <w:multiLevelType w:val="singleLevel"/>
    <w:tmpl w:val="0FFFFF80"/>
    <w:lvl w:ilvl="0" w:tentative="0">
      <w:start w:val="1"/>
      <w:numFmt w:val="bullet"/>
      <w:pStyle w:val="24"/>
      <w:lvlText w:val=""/>
      <w:lvlJc w:val="left"/>
      <w:pPr>
        <w:tabs>
          <w:tab w:val="left" w:pos="2040"/>
        </w:tabs>
        <w:ind w:left="2040" w:hanging="360"/>
      </w:pPr>
      <w:rPr>
        <w:rFonts w:hint="default" w:ascii="Wingdings" w:hAnsi="Wingdings"/>
      </w:rPr>
    </w:lvl>
  </w:abstractNum>
  <w:abstractNum w:abstractNumId="12">
    <w:nsid w:val="0FFFFF81"/>
    <w:multiLevelType w:val="singleLevel"/>
    <w:tmpl w:val="0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13">
    <w:nsid w:val="0FFFFF83"/>
    <w:multiLevelType w:val="singleLevel"/>
    <w:tmpl w:val="0FFFFF83"/>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14">
    <w:nsid w:val="0FFFFF89"/>
    <w:multiLevelType w:val="singleLevel"/>
    <w:tmpl w:val="0FFFFF89"/>
    <w:lvl w:ilvl="0" w:tentative="0">
      <w:start w:val="1"/>
      <w:numFmt w:val="bullet"/>
      <w:pStyle w:val="86"/>
      <w:lvlText w:val=""/>
      <w:lvlJc w:val="left"/>
      <w:pPr>
        <w:tabs>
          <w:tab w:val="left" w:pos="360"/>
        </w:tabs>
        <w:ind w:left="360" w:hanging="360"/>
      </w:pPr>
      <w:rPr>
        <w:rFonts w:hint="default" w:ascii="Wingdings" w:hAnsi="Wingdings"/>
      </w:rPr>
    </w:lvl>
  </w:abstractNum>
  <w:abstractNum w:abstractNumId="15">
    <w:nsid w:val="155240BF"/>
    <w:multiLevelType w:val="singleLevel"/>
    <w:tmpl w:val="155240BF"/>
    <w:lvl w:ilvl="0" w:tentative="0">
      <w:start w:val="1"/>
      <w:numFmt w:val="decimal"/>
      <w:lvlText w:val="%1."/>
      <w:lvlJc w:val="left"/>
      <w:pPr>
        <w:ind w:left="425" w:hanging="425"/>
      </w:pPr>
      <w:rPr>
        <w:rFonts w:hint="default"/>
      </w:rPr>
    </w:lvl>
  </w:abstractNum>
  <w:abstractNum w:abstractNumId="16">
    <w:nsid w:val="16A72738"/>
    <w:multiLevelType w:val="singleLevel"/>
    <w:tmpl w:val="16A72738"/>
    <w:lvl w:ilvl="0" w:tentative="0">
      <w:start w:val="1"/>
      <w:numFmt w:val="decimal"/>
      <w:lvlText w:val="%1."/>
      <w:lvlJc w:val="left"/>
      <w:pPr>
        <w:ind w:left="425" w:hanging="425"/>
      </w:pPr>
      <w:rPr>
        <w:rFonts w:hint="default"/>
      </w:rPr>
    </w:lvl>
  </w:abstractNum>
  <w:abstractNum w:abstractNumId="17">
    <w:nsid w:val="2458DEA9"/>
    <w:multiLevelType w:val="singleLevel"/>
    <w:tmpl w:val="2458DEA9"/>
    <w:lvl w:ilvl="0" w:tentative="0">
      <w:start w:val="1"/>
      <w:numFmt w:val="decimal"/>
      <w:lvlText w:val="%1."/>
      <w:lvlJc w:val="left"/>
      <w:pPr>
        <w:ind w:left="425" w:hanging="425"/>
      </w:pPr>
      <w:rPr>
        <w:rFonts w:hint="default"/>
      </w:rPr>
    </w:lvl>
  </w:abstractNum>
  <w:abstractNum w:abstractNumId="18">
    <w:nsid w:val="25B54A36"/>
    <w:multiLevelType w:val="multilevel"/>
    <w:tmpl w:val="25B54A36"/>
    <w:lvl w:ilvl="0" w:tentative="0">
      <w:start w:val="1"/>
      <w:numFmt w:val="bullet"/>
      <w:pStyle w:val="11"/>
      <w:lvlText w:val="ı"/>
      <w:lvlJc w:val="left"/>
      <w:pPr>
        <w:tabs>
          <w:tab w:val="left" w:pos="425"/>
        </w:tabs>
        <w:ind w:left="425" w:hanging="425"/>
      </w:pPr>
      <w:rPr>
        <w:rFonts w:ascii="Arial Black" w:hAnsi="Arial Black" w:cs="Arial Black"/>
        <w:sz w:val="18"/>
        <w:szCs w:val="18"/>
      </w:rPr>
    </w:lvl>
    <w:lvl w:ilvl="1" w:tentative="0">
      <w:start w:val="1"/>
      <w:numFmt w:val="bullet"/>
      <w:pStyle w:val="10"/>
      <w:lvlText w:val="▪"/>
      <w:lvlJc w:val="left"/>
      <w:pPr>
        <w:tabs>
          <w:tab w:val="left" w:pos="851"/>
        </w:tabs>
        <w:ind w:left="850" w:hanging="425"/>
      </w:pPr>
      <w:rPr>
        <w:rFonts w:hint="default" w:ascii="Arial" w:hAnsi="Arial" w:cs="Arial"/>
        <w:sz w:val="18"/>
        <w:szCs w:val="18"/>
      </w:rPr>
    </w:lvl>
    <w:lvl w:ilvl="2" w:tentative="0">
      <w:start w:val="1"/>
      <w:numFmt w:val="bullet"/>
      <w:pStyle w:val="9"/>
      <w:lvlText w:val="▪"/>
      <w:lvlJc w:val="left"/>
      <w:pPr>
        <w:tabs>
          <w:tab w:val="left" w:pos="1276"/>
        </w:tabs>
        <w:ind w:left="1275" w:hanging="425"/>
      </w:pPr>
      <w:rPr>
        <w:rFonts w:hint="default" w:ascii="Arial" w:hAnsi="Arial" w:cs="Arial"/>
        <w:sz w:val="18"/>
        <w:szCs w:val="18"/>
      </w:rPr>
    </w:lvl>
    <w:lvl w:ilvl="3" w:tentative="0">
      <w:start w:val="1"/>
      <w:numFmt w:val="bullet"/>
      <w:pStyle w:val="8"/>
      <w:lvlText w:val="▪"/>
      <w:lvlJc w:val="left"/>
      <w:pPr>
        <w:tabs>
          <w:tab w:val="left" w:pos="1701"/>
        </w:tabs>
        <w:ind w:left="1700" w:hanging="425"/>
      </w:pPr>
      <w:rPr>
        <w:rFonts w:hint="default" w:ascii="Arial" w:hAnsi="Arial" w:cs="Arial"/>
        <w:sz w:val="18"/>
        <w:szCs w:val="18"/>
      </w:rPr>
    </w:lvl>
    <w:lvl w:ilvl="4" w:tentative="0">
      <w:start w:val="1"/>
      <w:numFmt w:val="bullet"/>
      <w:pStyle w:val="23"/>
      <w:lvlText w:val="▪"/>
      <w:lvlJc w:val="left"/>
      <w:pPr>
        <w:tabs>
          <w:tab w:val="left" w:pos="2126"/>
        </w:tabs>
        <w:ind w:left="2125" w:hanging="425"/>
      </w:pPr>
      <w:rPr>
        <w:rFonts w:hint="default" w:ascii="Arial" w:hAnsi="Arial" w:cs="Arial"/>
        <w:sz w:val="18"/>
      </w:rPr>
    </w:lvl>
    <w:lvl w:ilvl="5" w:tentative="0">
      <w:start w:val="1"/>
      <w:numFmt w:val="bullet"/>
      <w:lvlText w:val="▪"/>
      <w:lvlJc w:val="left"/>
      <w:pPr>
        <w:tabs>
          <w:tab w:val="left" w:pos="2552"/>
        </w:tabs>
        <w:ind w:left="2550" w:hanging="425"/>
      </w:pPr>
      <w:rPr>
        <w:rFonts w:hint="default" w:ascii="Arial" w:hAnsi="Arial" w:cs="Arial"/>
        <w:sz w:val="18"/>
        <w:szCs w:val="18"/>
      </w:rPr>
    </w:lvl>
    <w:lvl w:ilvl="6" w:tentative="0">
      <w:start w:val="1"/>
      <w:numFmt w:val="bullet"/>
      <w:lvlText w:val="▪"/>
      <w:lvlJc w:val="left"/>
      <w:pPr>
        <w:tabs>
          <w:tab w:val="left" w:pos="2977"/>
        </w:tabs>
        <w:ind w:left="2975" w:hanging="425"/>
      </w:pPr>
      <w:rPr>
        <w:rFonts w:hint="default" w:ascii="Arial" w:hAnsi="Arial" w:cs="Arial"/>
        <w:sz w:val="18"/>
      </w:rPr>
    </w:lvl>
    <w:lvl w:ilvl="7" w:tentative="0">
      <w:start w:val="1"/>
      <w:numFmt w:val="bullet"/>
      <w:lvlText w:val="▪"/>
      <w:lvlJc w:val="left"/>
      <w:pPr>
        <w:tabs>
          <w:tab w:val="left" w:pos="3402"/>
        </w:tabs>
        <w:ind w:left="3400" w:hanging="425"/>
      </w:pPr>
      <w:rPr>
        <w:rFonts w:hint="default" w:ascii="Arial" w:hAnsi="Arial" w:cs="Arial"/>
        <w:sz w:val="18"/>
        <w:szCs w:val="18"/>
      </w:rPr>
    </w:lvl>
    <w:lvl w:ilvl="8" w:tentative="0">
      <w:start w:val="1"/>
      <w:numFmt w:val="bullet"/>
      <w:lvlText w:val="▪"/>
      <w:lvlJc w:val="left"/>
      <w:pPr>
        <w:tabs>
          <w:tab w:val="left" w:pos="3827"/>
        </w:tabs>
        <w:ind w:left="3825" w:hanging="425"/>
      </w:pPr>
      <w:rPr>
        <w:rFonts w:ascii="Arial" w:hAnsi="Arial" w:cs="Arial"/>
        <w:sz w:val="18"/>
        <w:szCs w:val="18"/>
      </w:rPr>
    </w:lvl>
  </w:abstractNum>
  <w:abstractNum w:abstractNumId="19">
    <w:nsid w:val="29436CFD"/>
    <w:multiLevelType w:val="singleLevel"/>
    <w:tmpl w:val="29436CFD"/>
    <w:lvl w:ilvl="0" w:tentative="0">
      <w:start w:val="1"/>
      <w:numFmt w:val="decimal"/>
      <w:lvlText w:val="%1."/>
      <w:lvlJc w:val="left"/>
      <w:pPr>
        <w:ind w:left="425" w:hanging="425"/>
      </w:pPr>
      <w:rPr>
        <w:rFonts w:hint="default"/>
      </w:rPr>
    </w:lvl>
  </w:abstractNum>
  <w:abstractNum w:abstractNumId="20">
    <w:nsid w:val="29D120CC"/>
    <w:multiLevelType w:val="singleLevel"/>
    <w:tmpl w:val="29D120CC"/>
    <w:lvl w:ilvl="0" w:tentative="0">
      <w:start w:val="1"/>
      <w:numFmt w:val="decimal"/>
      <w:suff w:val="nothing"/>
      <w:lvlText w:val="（%1）"/>
      <w:lvlJc w:val="left"/>
    </w:lvl>
  </w:abstractNum>
  <w:abstractNum w:abstractNumId="21">
    <w:nsid w:val="45EEDFE0"/>
    <w:multiLevelType w:val="singleLevel"/>
    <w:tmpl w:val="45EEDFE0"/>
    <w:lvl w:ilvl="0" w:tentative="0">
      <w:start w:val="1"/>
      <w:numFmt w:val="decimal"/>
      <w:lvlText w:val="%1."/>
      <w:lvlJc w:val="left"/>
      <w:pPr>
        <w:ind w:left="425" w:hanging="425"/>
      </w:pPr>
      <w:rPr>
        <w:rFonts w:hint="default"/>
      </w:rPr>
    </w:lvl>
  </w:abstractNum>
  <w:abstractNum w:abstractNumId="22">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3">
    <w:nsid w:val="62D05F0C"/>
    <w:multiLevelType w:val="singleLevel"/>
    <w:tmpl w:val="62D05F0C"/>
    <w:lvl w:ilvl="0" w:tentative="0">
      <w:start w:val="4"/>
      <w:numFmt w:val="chineseCounting"/>
      <w:suff w:val="nothing"/>
      <w:lvlText w:val="%1、"/>
      <w:lvlJc w:val="left"/>
    </w:lvl>
  </w:abstractNum>
  <w:abstractNum w:abstractNumId="24">
    <w:nsid w:val="62D05FBF"/>
    <w:multiLevelType w:val="singleLevel"/>
    <w:tmpl w:val="62D05FBF"/>
    <w:lvl w:ilvl="0" w:tentative="0">
      <w:start w:val="2"/>
      <w:numFmt w:val="chineseCounting"/>
      <w:suff w:val="nothing"/>
      <w:lvlText w:val="%1、"/>
      <w:lvlJc w:val="left"/>
    </w:lvl>
  </w:abstractNum>
  <w:abstractNum w:abstractNumId="25">
    <w:nsid w:val="6DF928A3"/>
    <w:multiLevelType w:val="singleLevel"/>
    <w:tmpl w:val="6DF928A3"/>
    <w:lvl w:ilvl="0" w:tentative="0">
      <w:start w:val="1"/>
      <w:numFmt w:val="decimal"/>
      <w:suff w:val="nothing"/>
      <w:lvlText w:val="%1）"/>
      <w:lvlJc w:val="left"/>
    </w:lvl>
  </w:abstractNum>
  <w:abstractNum w:abstractNumId="26">
    <w:nsid w:val="7827C3BE"/>
    <w:multiLevelType w:val="singleLevel"/>
    <w:tmpl w:val="7827C3BE"/>
    <w:lvl w:ilvl="0" w:tentative="0">
      <w:start w:val="1"/>
      <w:numFmt w:val="decimal"/>
      <w:lvlText w:val="%1."/>
      <w:lvlJc w:val="left"/>
      <w:pPr>
        <w:ind w:left="425" w:hanging="425"/>
      </w:pPr>
      <w:rPr>
        <w:rFonts w:hint="default"/>
      </w:rPr>
    </w:lvl>
  </w:abstractNum>
  <w:num w:numId="1">
    <w:abstractNumId w:val="22"/>
  </w:num>
  <w:num w:numId="2">
    <w:abstractNumId w:val="18"/>
  </w:num>
  <w:num w:numId="3">
    <w:abstractNumId w:val="8"/>
  </w:num>
  <w:num w:numId="4">
    <w:abstractNumId w:val="10"/>
  </w:num>
  <w:num w:numId="5">
    <w:abstractNumId w:val="9"/>
  </w:num>
  <w:num w:numId="6">
    <w:abstractNumId w:val="12"/>
  </w:num>
  <w:num w:numId="7">
    <w:abstractNumId w:val="11"/>
  </w:num>
  <w:num w:numId="8">
    <w:abstractNumId w:val="13"/>
  </w:num>
  <w:num w:numId="9">
    <w:abstractNumId w:val="14"/>
  </w:num>
  <w:num w:numId="10">
    <w:abstractNumId w:val="7"/>
  </w:num>
  <w:num w:numId="11">
    <w:abstractNumId w:val="4"/>
  </w:num>
  <w:num w:numId="12">
    <w:abstractNumId w:val="5"/>
  </w:num>
  <w:num w:numId="13">
    <w:abstractNumId w:val="20"/>
  </w:num>
  <w:num w:numId="14">
    <w:abstractNumId w:val="21"/>
  </w:num>
  <w:num w:numId="15">
    <w:abstractNumId w:val="16"/>
  </w:num>
  <w:num w:numId="16">
    <w:abstractNumId w:val="0"/>
  </w:num>
  <w:num w:numId="17">
    <w:abstractNumId w:val="17"/>
  </w:num>
  <w:num w:numId="18">
    <w:abstractNumId w:val="3"/>
  </w:num>
  <w:num w:numId="19">
    <w:abstractNumId w:val="26"/>
  </w:num>
  <w:num w:numId="20">
    <w:abstractNumId w:val="1"/>
  </w:num>
  <w:num w:numId="21">
    <w:abstractNumId w:val="15"/>
  </w:num>
  <w:num w:numId="22">
    <w:abstractNumId w:val="19"/>
  </w:num>
  <w:num w:numId="23">
    <w:abstractNumId w:val="6"/>
  </w:num>
  <w:num w:numId="24">
    <w:abstractNumId w:val="25"/>
  </w:num>
  <w:num w:numId="25">
    <w:abstractNumId w:val="24"/>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NmJiNDRjYTQzMzI5NTUzYmZmN2NiMjA4NDZmNGEifQ=="/>
  </w:docVars>
  <w:rsids>
    <w:rsidRoot w:val="001439E3"/>
    <w:rsid w:val="0000194C"/>
    <w:rsid w:val="000024E5"/>
    <w:rsid w:val="00002AE0"/>
    <w:rsid w:val="00002C60"/>
    <w:rsid w:val="00005B29"/>
    <w:rsid w:val="00017D65"/>
    <w:rsid w:val="00023846"/>
    <w:rsid w:val="00025A7A"/>
    <w:rsid w:val="00026A58"/>
    <w:rsid w:val="00030469"/>
    <w:rsid w:val="000329A1"/>
    <w:rsid w:val="00041888"/>
    <w:rsid w:val="00042DCB"/>
    <w:rsid w:val="0004419A"/>
    <w:rsid w:val="000448DC"/>
    <w:rsid w:val="00045DB1"/>
    <w:rsid w:val="00052D9E"/>
    <w:rsid w:val="00052F05"/>
    <w:rsid w:val="000553FE"/>
    <w:rsid w:val="000608A7"/>
    <w:rsid w:val="000613B9"/>
    <w:rsid w:val="00061828"/>
    <w:rsid w:val="0006262E"/>
    <w:rsid w:val="0006612F"/>
    <w:rsid w:val="000670D6"/>
    <w:rsid w:val="000709B9"/>
    <w:rsid w:val="00076D9F"/>
    <w:rsid w:val="00080298"/>
    <w:rsid w:val="00080570"/>
    <w:rsid w:val="00080962"/>
    <w:rsid w:val="00082043"/>
    <w:rsid w:val="0008210E"/>
    <w:rsid w:val="0008354E"/>
    <w:rsid w:val="00084731"/>
    <w:rsid w:val="00086970"/>
    <w:rsid w:val="0009098B"/>
    <w:rsid w:val="0009420F"/>
    <w:rsid w:val="000950FD"/>
    <w:rsid w:val="00097A3A"/>
    <w:rsid w:val="000A4A71"/>
    <w:rsid w:val="000A5E8B"/>
    <w:rsid w:val="000A6ECA"/>
    <w:rsid w:val="000B1386"/>
    <w:rsid w:val="000B4C0D"/>
    <w:rsid w:val="000B75EC"/>
    <w:rsid w:val="000B794A"/>
    <w:rsid w:val="000B7CE5"/>
    <w:rsid w:val="000C202B"/>
    <w:rsid w:val="000C47C9"/>
    <w:rsid w:val="000D0B96"/>
    <w:rsid w:val="000D151E"/>
    <w:rsid w:val="000D3700"/>
    <w:rsid w:val="000D5487"/>
    <w:rsid w:val="000D7D2B"/>
    <w:rsid w:val="000E0B50"/>
    <w:rsid w:val="000E1A9E"/>
    <w:rsid w:val="000E1FB8"/>
    <w:rsid w:val="000E25F6"/>
    <w:rsid w:val="000E3864"/>
    <w:rsid w:val="000E497A"/>
    <w:rsid w:val="000E635A"/>
    <w:rsid w:val="000E6ABF"/>
    <w:rsid w:val="000E77F4"/>
    <w:rsid w:val="000F7075"/>
    <w:rsid w:val="000F75C8"/>
    <w:rsid w:val="00100C0D"/>
    <w:rsid w:val="00101536"/>
    <w:rsid w:val="00102322"/>
    <w:rsid w:val="00102BFD"/>
    <w:rsid w:val="0010706C"/>
    <w:rsid w:val="001140A4"/>
    <w:rsid w:val="00114347"/>
    <w:rsid w:val="00115147"/>
    <w:rsid w:val="0012060F"/>
    <w:rsid w:val="00123804"/>
    <w:rsid w:val="001250D7"/>
    <w:rsid w:val="00126018"/>
    <w:rsid w:val="00132308"/>
    <w:rsid w:val="00132EF1"/>
    <w:rsid w:val="0013327D"/>
    <w:rsid w:val="00137501"/>
    <w:rsid w:val="0014178F"/>
    <w:rsid w:val="0014202A"/>
    <w:rsid w:val="00143024"/>
    <w:rsid w:val="001439E3"/>
    <w:rsid w:val="00144707"/>
    <w:rsid w:val="00147DA8"/>
    <w:rsid w:val="001502FD"/>
    <w:rsid w:val="00151800"/>
    <w:rsid w:val="00152E03"/>
    <w:rsid w:val="001569F3"/>
    <w:rsid w:val="00157E25"/>
    <w:rsid w:val="0016018E"/>
    <w:rsid w:val="00161474"/>
    <w:rsid w:val="0016315B"/>
    <w:rsid w:val="00164C79"/>
    <w:rsid w:val="00165F28"/>
    <w:rsid w:val="00166E00"/>
    <w:rsid w:val="0017292A"/>
    <w:rsid w:val="00174731"/>
    <w:rsid w:val="00174FBD"/>
    <w:rsid w:val="001854B6"/>
    <w:rsid w:val="00185945"/>
    <w:rsid w:val="00185CA9"/>
    <w:rsid w:val="00190D30"/>
    <w:rsid w:val="001930EF"/>
    <w:rsid w:val="0019371D"/>
    <w:rsid w:val="00196A1E"/>
    <w:rsid w:val="001A1D25"/>
    <w:rsid w:val="001A40DB"/>
    <w:rsid w:val="001B21C8"/>
    <w:rsid w:val="001B25B1"/>
    <w:rsid w:val="001B2FD8"/>
    <w:rsid w:val="001B4E96"/>
    <w:rsid w:val="001C00F3"/>
    <w:rsid w:val="001C15CD"/>
    <w:rsid w:val="001C18B9"/>
    <w:rsid w:val="001D43F1"/>
    <w:rsid w:val="001D51DD"/>
    <w:rsid w:val="001D5E8B"/>
    <w:rsid w:val="001D7BEE"/>
    <w:rsid w:val="001E2F6C"/>
    <w:rsid w:val="001F2405"/>
    <w:rsid w:val="001F4AE9"/>
    <w:rsid w:val="001F4F06"/>
    <w:rsid w:val="001F52F6"/>
    <w:rsid w:val="001F60B3"/>
    <w:rsid w:val="001F679D"/>
    <w:rsid w:val="001F7E9A"/>
    <w:rsid w:val="002024F9"/>
    <w:rsid w:val="00202E91"/>
    <w:rsid w:val="00205181"/>
    <w:rsid w:val="00207021"/>
    <w:rsid w:val="00207182"/>
    <w:rsid w:val="00211129"/>
    <w:rsid w:val="00212620"/>
    <w:rsid w:val="00212724"/>
    <w:rsid w:val="002128F6"/>
    <w:rsid w:val="002150E7"/>
    <w:rsid w:val="0021704B"/>
    <w:rsid w:val="0021738D"/>
    <w:rsid w:val="00220215"/>
    <w:rsid w:val="0022190F"/>
    <w:rsid w:val="0023112B"/>
    <w:rsid w:val="00233DE0"/>
    <w:rsid w:val="00235C1A"/>
    <w:rsid w:val="00244360"/>
    <w:rsid w:val="00255FBE"/>
    <w:rsid w:val="002604B4"/>
    <w:rsid w:val="0026103B"/>
    <w:rsid w:val="00263045"/>
    <w:rsid w:val="00266DAB"/>
    <w:rsid w:val="00270932"/>
    <w:rsid w:val="00275E89"/>
    <w:rsid w:val="0027676A"/>
    <w:rsid w:val="002824D2"/>
    <w:rsid w:val="00285C02"/>
    <w:rsid w:val="00285CC6"/>
    <w:rsid w:val="002874BA"/>
    <w:rsid w:val="00291202"/>
    <w:rsid w:val="00292B5E"/>
    <w:rsid w:val="00292E04"/>
    <w:rsid w:val="00293834"/>
    <w:rsid w:val="00296B6C"/>
    <w:rsid w:val="00297C96"/>
    <w:rsid w:val="002A2DA4"/>
    <w:rsid w:val="002A4886"/>
    <w:rsid w:val="002A4CAB"/>
    <w:rsid w:val="002B3D12"/>
    <w:rsid w:val="002B40A8"/>
    <w:rsid w:val="002B585F"/>
    <w:rsid w:val="002B7D1F"/>
    <w:rsid w:val="002C0C8D"/>
    <w:rsid w:val="002C1AB4"/>
    <w:rsid w:val="002C2BE1"/>
    <w:rsid w:val="002C2C85"/>
    <w:rsid w:val="002C52B8"/>
    <w:rsid w:val="002C7BF0"/>
    <w:rsid w:val="002C7EE0"/>
    <w:rsid w:val="002D1244"/>
    <w:rsid w:val="002D1B48"/>
    <w:rsid w:val="002D5AF5"/>
    <w:rsid w:val="002D764B"/>
    <w:rsid w:val="002E0F33"/>
    <w:rsid w:val="002E4B06"/>
    <w:rsid w:val="002E4EEF"/>
    <w:rsid w:val="002E7B5E"/>
    <w:rsid w:val="002F0240"/>
    <w:rsid w:val="002F6DC2"/>
    <w:rsid w:val="002F76F8"/>
    <w:rsid w:val="00301C73"/>
    <w:rsid w:val="003039A1"/>
    <w:rsid w:val="003073AB"/>
    <w:rsid w:val="00315268"/>
    <w:rsid w:val="003166CF"/>
    <w:rsid w:val="0032319A"/>
    <w:rsid w:val="003247E1"/>
    <w:rsid w:val="00330601"/>
    <w:rsid w:val="003349F5"/>
    <w:rsid w:val="00336F55"/>
    <w:rsid w:val="003370F9"/>
    <w:rsid w:val="00340BBA"/>
    <w:rsid w:val="00342906"/>
    <w:rsid w:val="00342C38"/>
    <w:rsid w:val="00342EC0"/>
    <w:rsid w:val="00355821"/>
    <w:rsid w:val="00356B79"/>
    <w:rsid w:val="0035787B"/>
    <w:rsid w:val="00364CDD"/>
    <w:rsid w:val="00366D72"/>
    <w:rsid w:val="00373526"/>
    <w:rsid w:val="0037369B"/>
    <w:rsid w:val="0037441B"/>
    <w:rsid w:val="00382F83"/>
    <w:rsid w:val="0038498D"/>
    <w:rsid w:val="00386C7C"/>
    <w:rsid w:val="00395739"/>
    <w:rsid w:val="00395754"/>
    <w:rsid w:val="003A18A3"/>
    <w:rsid w:val="003A2F5C"/>
    <w:rsid w:val="003A36F5"/>
    <w:rsid w:val="003A4396"/>
    <w:rsid w:val="003A5795"/>
    <w:rsid w:val="003B07AE"/>
    <w:rsid w:val="003B146C"/>
    <w:rsid w:val="003B3994"/>
    <w:rsid w:val="003B3D2B"/>
    <w:rsid w:val="003C0911"/>
    <w:rsid w:val="003C151F"/>
    <w:rsid w:val="003C181E"/>
    <w:rsid w:val="003C1828"/>
    <w:rsid w:val="003C24DA"/>
    <w:rsid w:val="003C58DA"/>
    <w:rsid w:val="003D0DB2"/>
    <w:rsid w:val="003D12DE"/>
    <w:rsid w:val="003D5A14"/>
    <w:rsid w:val="003D6517"/>
    <w:rsid w:val="003D6614"/>
    <w:rsid w:val="003D7F91"/>
    <w:rsid w:val="003E249E"/>
    <w:rsid w:val="003E4851"/>
    <w:rsid w:val="003E4EBA"/>
    <w:rsid w:val="003F2A8B"/>
    <w:rsid w:val="003F4884"/>
    <w:rsid w:val="003F6B27"/>
    <w:rsid w:val="003F7A49"/>
    <w:rsid w:val="00400BE4"/>
    <w:rsid w:val="004012C0"/>
    <w:rsid w:val="0040362A"/>
    <w:rsid w:val="00407750"/>
    <w:rsid w:val="00411F44"/>
    <w:rsid w:val="0041563A"/>
    <w:rsid w:val="00417452"/>
    <w:rsid w:val="004177AB"/>
    <w:rsid w:val="00420705"/>
    <w:rsid w:val="00422447"/>
    <w:rsid w:val="00422A50"/>
    <w:rsid w:val="004247BA"/>
    <w:rsid w:val="004248F7"/>
    <w:rsid w:val="0042581D"/>
    <w:rsid w:val="00432AF4"/>
    <w:rsid w:val="004364DD"/>
    <w:rsid w:val="00437271"/>
    <w:rsid w:val="0044321B"/>
    <w:rsid w:val="00443476"/>
    <w:rsid w:val="00443AB2"/>
    <w:rsid w:val="00450C98"/>
    <w:rsid w:val="00453C5F"/>
    <w:rsid w:val="0045417B"/>
    <w:rsid w:val="00454C91"/>
    <w:rsid w:val="0045608C"/>
    <w:rsid w:val="004626DD"/>
    <w:rsid w:val="004648BD"/>
    <w:rsid w:val="00464CB2"/>
    <w:rsid w:val="00467461"/>
    <w:rsid w:val="00471CB2"/>
    <w:rsid w:val="00476928"/>
    <w:rsid w:val="004808DF"/>
    <w:rsid w:val="00483875"/>
    <w:rsid w:val="00485977"/>
    <w:rsid w:val="0048667E"/>
    <w:rsid w:val="00487407"/>
    <w:rsid w:val="00490739"/>
    <w:rsid w:val="004961F4"/>
    <w:rsid w:val="0049795E"/>
    <w:rsid w:val="004A03C8"/>
    <w:rsid w:val="004A1334"/>
    <w:rsid w:val="004A2C74"/>
    <w:rsid w:val="004A315A"/>
    <w:rsid w:val="004A3467"/>
    <w:rsid w:val="004A3527"/>
    <w:rsid w:val="004B0635"/>
    <w:rsid w:val="004B0E49"/>
    <w:rsid w:val="004B1419"/>
    <w:rsid w:val="004B6AAE"/>
    <w:rsid w:val="004C32E9"/>
    <w:rsid w:val="004C3BD0"/>
    <w:rsid w:val="004C63BC"/>
    <w:rsid w:val="004C6BA6"/>
    <w:rsid w:val="004D3977"/>
    <w:rsid w:val="004D43C4"/>
    <w:rsid w:val="004E2519"/>
    <w:rsid w:val="004E34C1"/>
    <w:rsid w:val="004E5B18"/>
    <w:rsid w:val="004F26E9"/>
    <w:rsid w:val="004F3B1E"/>
    <w:rsid w:val="004F6293"/>
    <w:rsid w:val="00500758"/>
    <w:rsid w:val="00501454"/>
    <w:rsid w:val="005022CD"/>
    <w:rsid w:val="00502EB7"/>
    <w:rsid w:val="005037F3"/>
    <w:rsid w:val="00505CD9"/>
    <w:rsid w:val="00507D53"/>
    <w:rsid w:val="00512C1B"/>
    <w:rsid w:val="00513532"/>
    <w:rsid w:val="005145A7"/>
    <w:rsid w:val="00514D56"/>
    <w:rsid w:val="005169C9"/>
    <w:rsid w:val="005205E6"/>
    <w:rsid w:val="00525A8A"/>
    <w:rsid w:val="00527F62"/>
    <w:rsid w:val="005316C9"/>
    <w:rsid w:val="00531A3C"/>
    <w:rsid w:val="00536191"/>
    <w:rsid w:val="00536CC9"/>
    <w:rsid w:val="005375D8"/>
    <w:rsid w:val="00540490"/>
    <w:rsid w:val="00541334"/>
    <w:rsid w:val="00541CF7"/>
    <w:rsid w:val="00542A6A"/>
    <w:rsid w:val="005439BA"/>
    <w:rsid w:val="0054446A"/>
    <w:rsid w:val="0055282F"/>
    <w:rsid w:val="00555C6B"/>
    <w:rsid w:val="00560B29"/>
    <w:rsid w:val="00560C29"/>
    <w:rsid w:val="00563C07"/>
    <w:rsid w:val="0056695E"/>
    <w:rsid w:val="00567B73"/>
    <w:rsid w:val="00571F63"/>
    <w:rsid w:val="005740D3"/>
    <w:rsid w:val="0057674D"/>
    <w:rsid w:val="005817DE"/>
    <w:rsid w:val="00581CA3"/>
    <w:rsid w:val="00582F97"/>
    <w:rsid w:val="00583BF4"/>
    <w:rsid w:val="0058490E"/>
    <w:rsid w:val="005869C4"/>
    <w:rsid w:val="00586E7F"/>
    <w:rsid w:val="00587225"/>
    <w:rsid w:val="00591281"/>
    <w:rsid w:val="00592657"/>
    <w:rsid w:val="00593B69"/>
    <w:rsid w:val="005942BD"/>
    <w:rsid w:val="00596D3A"/>
    <w:rsid w:val="00597202"/>
    <w:rsid w:val="005A0748"/>
    <w:rsid w:val="005A0813"/>
    <w:rsid w:val="005B4A04"/>
    <w:rsid w:val="005B586F"/>
    <w:rsid w:val="005B68F0"/>
    <w:rsid w:val="005D08F2"/>
    <w:rsid w:val="005D0ECC"/>
    <w:rsid w:val="005D0FA0"/>
    <w:rsid w:val="005D0FD0"/>
    <w:rsid w:val="005D106C"/>
    <w:rsid w:val="005D1750"/>
    <w:rsid w:val="005D2704"/>
    <w:rsid w:val="005D381B"/>
    <w:rsid w:val="005D6896"/>
    <w:rsid w:val="005D714E"/>
    <w:rsid w:val="005D7760"/>
    <w:rsid w:val="005D7788"/>
    <w:rsid w:val="005E210D"/>
    <w:rsid w:val="005E4949"/>
    <w:rsid w:val="005F277A"/>
    <w:rsid w:val="005F2BAF"/>
    <w:rsid w:val="005F4639"/>
    <w:rsid w:val="005F541C"/>
    <w:rsid w:val="005F5ABC"/>
    <w:rsid w:val="005F5D61"/>
    <w:rsid w:val="00605AB7"/>
    <w:rsid w:val="00607C0E"/>
    <w:rsid w:val="006102FD"/>
    <w:rsid w:val="0061082B"/>
    <w:rsid w:val="00616E6F"/>
    <w:rsid w:val="006238F3"/>
    <w:rsid w:val="00626914"/>
    <w:rsid w:val="00627D28"/>
    <w:rsid w:val="006301A5"/>
    <w:rsid w:val="00630D7E"/>
    <w:rsid w:val="006310C4"/>
    <w:rsid w:val="00631D44"/>
    <w:rsid w:val="0063372F"/>
    <w:rsid w:val="00634918"/>
    <w:rsid w:val="0063496B"/>
    <w:rsid w:val="006372ED"/>
    <w:rsid w:val="00637421"/>
    <w:rsid w:val="006409A1"/>
    <w:rsid w:val="006415E4"/>
    <w:rsid w:val="006421C8"/>
    <w:rsid w:val="00643146"/>
    <w:rsid w:val="00646D5E"/>
    <w:rsid w:val="00652E70"/>
    <w:rsid w:val="006543AD"/>
    <w:rsid w:val="0065546D"/>
    <w:rsid w:val="006613CE"/>
    <w:rsid w:val="0066180F"/>
    <w:rsid w:val="00661B52"/>
    <w:rsid w:val="0066331C"/>
    <w:rsid w:val="006705A7"/>
    <w:rsid w:val="00671159"/>
    <w:rsid w:val="00673B4B"/>
    <w:rsid w:val="00673EFF"/>
    <w:rsid w:val="0067541F"/>
    <w:rsid w:val="00675782"/>
    <w:rsid w:val="00675CCC"/>
    <w:rsid w:val="006766B2"/>
    <w:rsid w:val="00682BC0"/>
    <w:rsid w:val="00684EF9"/>
    <w:rsid w:val="00685799"/>
    <w:rsid w:val="006857DA"/>
    <w:rsid w:val="00686A13"/>
    <w:rsid w:val="006939DD"/>
    <w:rsid w:val="00693D6A"/>
    <w:rsid w:val="00694270"/>
    <w:rsid w:val="00695860"/>
    <w:rsid w:val="006A1CA4"/>
    <w:rsid w:val="006A2277"/>
    <w:rsid w:val="006A5813"/>
    <w:rsid w:val="006A73ED"/>
    <w:rsid w:val="006B33EC"/>
    <w:rsid w:val="006B5E16"/>
    <w:rsid w:val="006B63E3"/>
    <w:rsid w:val="006C0582"/>
    <w:rsid w:val="006C3EE2"/>
    <w:rsid w:val="006D04CB"/>
    <w:rsid w:val="006D11FD"/>
    <w:rsid w:val="006D2119"/>
    <w:rsid w:val="006D5220"/>
    <w:rsid w:val="006D5A73"/>
    <w:rsid w:val="006D7A6E"/>
    <w:rsid w:val="006E21CF"/>
    <w:rsid w:val="006E2E2D"/>
    <w:rsid w:val="006E41C7"/>
    <w:rsid w:val="006E7896"/>
    <w:rsid w:val="006F01D3"/>
    <w:rsid w:val="006F1DA3"/>
    <w:rsid w:val="006F1F56"/>
    <w:rsid w:val="006F362E"/>
    <w:rsid w:val="006F44F1"/>
    <w:rsid w:val="006F48A2"/>
    <w:rsid w:val="006F5459"/>
    <w:rsid w:val="006F74B7"/>
    <w:rsid w:val="006F769A"/>
    <w:rsid w:val="007004A4"/>
    <w:rsid w:val="007056E8"/>
    <w:rsid w:val="007063FF"/>
    <w:rsid w:val="00706F70"/>
    <w:rsid w:val="0071318C"/>
    <w:rsid w:val="00721CE0"/>
    <w:rsid w:val="00725CFD"/>
    <w:rsid w:val="00727D6C"/>
    <w:rsid w:val="00730C00"/>
    <w:rsid w:val="00733DB2"/>
    <w:rsid w:val="00741F3E"/>
    <w:rsid w:val="00751FB3"/>
    <w:rsid w:val="007538E8"/>
    <w:rsid w:val="00763835"/>
    <w:rsid w:val="007644B7"/>
    <w:rsid w:val="00764555"/>
    <w:rsid w:val="00767991"/>
    <w:rsid w:val="00770F35"/>
    <w:rsid w:val="00775E47"/>
    <w:rsid w:val="00781042"/>
    <w:rsid w:val="007814F1"/>
    <w:rsid w:val="00782A5E"/>
    <w:rsid w:val="0078588E"/>
    <w:rsid w:val="0079300B"/>
    <w:rsid w:val="00793D7D"/>
    <w:rsid w:val="007947D2"/>
    <w:rsid w:val="00796CDA"/>
    <w:rsid w:val="007A4FC4"/>
    <w:rsid w:val="007B1287"/>
    <w:rsid w:val="007B4914"/>
    <w:rsid w:val="007B711A"/>
    <w:rsid w:val="007B7D52"/>
    <w:rsid w:val="007C2E04"/>
    <w:rsid w:val="007C526E"/>
    <w:rsid w:val="007C767A"/>
    <w:rsid w:val="007D08EE"/>
    <w:rsid w:val="007D4A26"/>
    <w:rsid w:val="007D64DB"/>
    <w:rsid w:val="007E0F6E"/>
    <w:rsid w:val="007E7C85"/>
    <w:rsid w:val="007F0BFA"/>
    <w:rsid w:val="007F460E"/>
    <w:rsid w:val="007F4FAB"/>
    <w:rsid w:val="00801045"/>
    <w:rsid w:val="0080413E"/>
    <w:rsid w:val="008044BF"/>
    <w:rsid w:val="00804626"/>
    <w:rsid w:val="008048EE"/>
    <w:rsid w:val="00805193"/>
    <w:rsid w:val="00806EDF"/>
    <w:rsid w:val="00807CBC"/>
    <w:rsid w:val="00810E4A"/>
    <w:rsid w:val="0081379D"/>
    <w:rsid w:val="00813A09"/>
    <w:rsid w:val="00817A69"/>
    <w:rsid w:val="00820E9C"/>
    <w:rsid w:val="00821B4F"/>
    <w:rsid w:val="00826125"/>
    <w:rsid w:val="00826C42"/>
    <w:rsid w:val="0082762B"/>
    <w:rsid w:val="00827D47"/>
    <w:rsid w:val="00830879"/>
    <w:rsid w:val="00831DC2"/>
    <w:rsid w:val="00836292"/>
    <w:rsid w:val="0084135C"/>
    <w:rsid w:val="008416AE"/>
    <w:rsid w:val="00841DEF"/>
    <w:rsid w:val="00843890"/>
    <w:rsid w:val="008440C1"/>
    <w:rsid w:val="008460CF"/>
    <w:rsid w:val="00847DA7"/>
    <w:rsid w:val="00850FF0"/>
    <w:rsid w:val="00855E97"/>
    <w:rsid w:val="00856173"/>
    <w:rsid w:val="00860427"/>
    <w:rsid w:val="00861F6B"/>
    <w:rsid w:val="008701E5"/>
    <w:rsid w:val="008707DB"/>
    <w:rsid w:val="0087098A"/>
    <w:rsid w:val="00870F64"/>
    <w:rsid w:val="00873524"/>
    <w:rsid w:val="00873D23"/>
    <w:rsid w:val="00874C81"/>
    <w:rsid w:val="0087589B"/>
    <w:rsid w:val="0088090B"/>
    <w:rsid w:val="0088166B"/>
    <w:rsid w:val="00884D40"/>
    <w:rsid w:val="0088520C"/>
    <w:rsid w:val="008854B9"/>
    <w:rsid w:val="0088741C"/>
    <w:rsid w:val="00890EA9"/>
    <w:rsid w:val="008937C8"/>
    <w:rsid w:val="00896115"/>
    <w:rsid w:val="00897875"/>
    <w:rsid w:val="00897DF9"/>
    <w:rsid w:val="008A163E"/>
    <w:rsid w:val="008A353D"/>
    <w:rsid w:val="008A7849"/>
    <w:rsid w:val="008B0672"/>
    <w:rsid w:val="008B6353"/>
    <w:rsid w:val="008B67DF"/>
    <w:rsid w:val="008B6E97"/>
    <w:rsid w:val="008B743F"/>
    <w:rsid w:val="008C0509"/>
    <w:rsid w:val="008C0EEB"/>
    <w:rsid w:val="008C1743"/>
    <w:rsid w:val="008C1E7D"/>
    <w:rsid w:val="008C2B3C"/>
    <w:rsid w:val="008C3113"/>
    <w:rsid w:val="008D0972"/>
    <w:rsid w:val="008D0E2C"/>
    <w:rsid w:val="008D3BB4"/>
    <w:rsid w:val="008D3CB1"/>
    <w:rsid w:val="008E0394"/>
    <w:rsid w:val="008E0484"/>
    <w:rsid w:val="008E08D9"/>
    <w:rsid w:val="008E1151"/>
    <w:rsid w:val="008E252A"/>
    <w:rsid w:val="008E3D94"/>
    <w:rsid w:val="008E5486"/>
    <w:rsid w:val="008E5A3B"/>
    <w:rsid w:val="008E6CEB"/>
    <w:rsid w:val="008F1A49"/>
    <w:rsid w:val="008F1C8E"/>
    <w:rsid w:val="008F207C"/>
    <w:rsid w:val="008F248A"/>
    <w:rsid w:val="008F504B"/>
    <w:rsid w:val="008F5CD8"/>
    <w:rsid w:val="00907C5C"/>
    <w:rsid w:val="00913174"/>
    <w:rsid w:val="009233CB"/>
    <w:rsid w:val="009233FC"/>
    <w:rsid w:val="00925953"/>
    <w:rsid w:val="00926EE3"/>
    <w:rsid w:val="00927862"/>
    <w:rsid w:val="009364AD"/>
    <w:rsid w:val="009366BD"/>
    <w:rsid w:val="00937E19"/>
    <w:rsid w:val="009562E4"/>
    <w:rsid w:val="00957C04"/>
    <w:rsid w:val="009608EB"/>
    <w:rsid w:val="00961578"/>
    <w:rsid w:val="00961BDE"/>
    <w:rsid w:val="009634FF"/>
    <w:rsid w:val="00964AD1"/>
    <w:rsid w:val="00973418"/>
    <w:rsid w:val="00976FB6"/>
    <w:rsid w:val="0098002A"/>
    <w:rsid w:val="00980533"/>
    <w:rsid w:val="009823B5"/>
    <w:rsid w:val="009906A3"/>
    <w:rsid w:val="0099102C"/>
    <w:rsid w:val="00992F32"/>
    <w:rsid w:val="009935B2"/>
    <w:rsid w:val="00994CDF"/>
    <w:rsid w:val="00995192"/>
    <w:rsid w:val="00997C05"/>
    <w:rsid w:val="009B35BF"/>
    <w:rsid w:val="009B5E29"/>
    <w:rsid w:val="009C39D0"/>
    <w:rsid w:val="009C3D2C"/>
    <w:rsid w:val="009C5738"/>
    <w:rsid w:val="009C5773"/>
    <w:rsid w:val="009C5C6D"/>
    <w:rsid w:val="009C693B"/>
    <w:rsid w:val="009D2662"/>
    <w:rsid w:val="009D6F67"/>
    <w:rsid w:val="009E2F92"/>
    <w:rsid w:val="009E32A1"/>
    <w:rsid w:val="009E353D"/>
    <w:rsid w:val="009E5847"/>
    <w:rsid w:val="009F4B13"/>
    <w:rsid w:val="009F50EA"/>
    <w:rsid w:val="009F6DA3"/>
    <w:rsid w:val="00A0119D"/>
    <w:rsid w:val="00A01C90"/>
    <w:rsid w:val="00A0204C"/>
    <w:rsid w:val="00A02221"/>
    <w:rsid w:val="00A0258C"/>
    <w:rsid w:val="00A02A91"/>
    <w:rsid w:val="00A03006"/>
    <w:rsid w:val="00A03675"/>
    <w:rsid w:val="00A051DB"/>
    <w:rsid w:val="00A06737"/>
    <w:rsid w:val="00A072CE"/>
    <w:rsid w:val="00A1035B"/>
    <w:rsid w:val="00A10715"/>
    <w:rsid w:val="00A11EDB"/>
    <w:rsid w:val="00A12880"/>
    <w:rsid w:val="00A15292"/>
    <w:rsid w:val="00A159A1"/>
    <w:rsid w:val="00A169A2"/>
    <w:rsid w:val="00A20ECE"/>
    <w:rsid w:val="00A22CCE"/>
    <w:rsid w:val="00A24B05"/>
    <w:rsid w:val="00A25D1A"/>
    <w:rsid w:val="00A27C4A"/>
    <w:rsid w:val="00A30F77"/>
    <w:rsid w:val="00A31388"/>
    <w:rsid w:val="00A31AD4"/>
    <w:rsid w:val="00A32542"/>
    <w:rsid w:val="00A3286A"/>
    <w:rsid w:val="00A3508F"/>
    <w:rsid w:val="00A36439"/>
    <w:rsid w:val="00A37989"/>
    <w:rsid w:val="00A4095A"/>
    <w:rsid w:val="00A43F4D"/>
    <w:rsid w:val="00A5111E"/>
    <w:rsid w:val="00A53621"/>
    <w:rsid w:val="00A5624A"/>
    <w:rsid w:val="00A56C82"/>
    <w:rsid w:val="00A57199"/>
    <w:rsid w:val="00A63F1B"/>
    <w:rsid w:val="00A65826"/>
    <w:rsid w:val="00A717CE"/>
    <w:rsid w:val="00A72072"/>
    <w:rsid w:val="00A76605"/>
    <w:rsid w:val="00A82507"/>
    <w:rsid w:val="00A83815"/>
    <w:rsid w:val="00A845C2"/>
    <w:rsid w:val="00A860E4"/>
    <w:rsid w:val="00A8796F"/>
    <w:rsid w:val="00A87A04"/>
    <w:rsid w:val="00A90E84"/>
    <w:rsid w:val="00A9142E"/>
    <w:rsid w:val="00A94B8F"/>
    <w:rsid w:val="00A95128"/>
    <w:rsid w:val="00A961E4"/>
    <w:rsid w:val="00A97008"/>
    <w:rsid w:val="00AA0834"/>
    <w:rsid w:val="00AA0EFE"/>
    <w:rsid w:val="00AB02CE"/>
    <w:rsid w:val="00AB7006"/>
    <w:rsid w:val="00AB7528"/>
    <w:rsid w:val="00AC0CE1"/>
    <w:rsid w:val="00AC30A3"/>
    <w:rsid w:val="00AC72CD"/>
    <w:rsid w:val="00AC7968"/>
    <w:rsid w:val="00AD1191"/>
    <w:rsid w:val="00AD253C"/>
    <w:rsid w:val="00AD3B4B"/>
    <w:rsid w:val="00AD473D"/>
    <w:rsid w:val="00AD6EAA"/>
    <w:rsid w:val="00AE0D6A"/>
    <w:rsid w:val="00AE1F4F"/>
    <w:rsid w:val="00AE2702"/>
    <w:rsid w:val="00AE2D73"/>
    <w:rsid w:val="00AE35C0"/>
    <w:rsid w:val="00AE3F6F"/>
    <w:rsid w:val="00AE5A88"/>
    <w:rsid w:val="00AF5EB4"/>
    <w:rsid w:val="00B01902"/>
    <w:rsid w:val="00B04400"/>
    <w:rsid w:val="00B07A8F"/>
    <w:rsid w:val="00B07F71"/>
    <w:rsid w:val="00B10898"/>
    <w:rsid w:val="00B11112"/>
    <w:rsid w:val="00B11800"/>
    <w:rsid w:val="00B1379C"/>
    <w:rsid w:val="00B1518F"/>
    <w:rsid w:val="00B227D2"/>
    <w:rsid w:val="00B24765"/>
    <w:rsid w:val="00B25D87"/>
    <w:rsid w:val="00B2693D"/>
    <w:rsid w:val="00B27413"/>
    <w:rsid w:val="00B32E2B"/>
    <w:rsid w:val="00B35467"/>
    <w:rsid w:val="00B4554C"/>
    <w:rsid w:val="00B46B7E"/>
    <w:rsid w:val="00B507A1"/>
    <w:rsid w:val="00B5431F"/>
    <w:rsid w:val="00B579B0"/>
    <w:rsid w:val="00B62B90"/>
    <w:rsid w:val="00B65484"/>
    <w:rsid w:val="00B65B8C"/>
    <w:rsid w:val="00B73975"/>
    <w:rsid w:val="00B81817"/>
    <w:rsid w:val="00B833DD"/>
    <w:rsid w:val="00B8508E"/>
    <w:rsid w:val="00B85429"/>
    <w:rsid w:val="00B87879"/>
    <w:rsid w:val="00B901B8"/>
    <w:rsid w:val="00B94FB1"/>
    <w:rsid w:val="00B9587E"/>
    <w:rsid w:val="00B96808"/>
    <w:rsid w:val="00B96B20"/>
    <w:rsid w:val="00BA305D"/>
    <w:rsid w:val="00BA3E63"/>
    <w:rsid w:val="00BA43FD"/>
    <w:rsid w:val="00BB00A1"/>
    <w:rsid w:val="00BB144E"/>
    <w:rsid w:val="00BB1DCA"/>
    <w:rsid w:val="00BB2EB7"/>
    <w:rsid w:val="00BB4AF9"/>
    <w:rsid w:val="00BB5533"/>
    <w:rsid w:val="00BB6ECA"/>
    <w:rsid w:val="00BB6F85"/>
    <w:rsid w:val="00BC07AD"/>
    <w:rsid w:val="00BC2AB5"/>
    <w:rsid w:val="00BC3446"/>
    <w:rsid w:val="00BC44F4"/>
    <w:rsid w:val="00BC572C"/>
    <w:rsid w:val="00BD00A5"/>
    <w:rsid w:val="00BD37AD"/>
    <w:rsid w:val="00BD3DDC"/>
    <w:rsid w:val="00BD6D2A"/>
    <w:rsid w:val="00BD6E49"/>
    <w:rsid w:val="00BE091F"/>
    <w:rsid w:val="00BE0A25"/>
    <w:rsid w:val="00BE47FA"/>
    <w:rsid w:val="00BF12A6"/>
    <w:rsid w:val="00BF1755"/>
    <w:rsid w:val="00BF2D0A"/>
    <w:rsid w:val="00BF45AB"/>
    <w:rsid w:val="00BF479B"/>
    <w:rsid w:val="00BF4ED8"/>
    <w:rsid w:val="00C0002A"/>
    <w:rsid w:val="00C004DB"/>
    <w:rsid w:val="00C01595"/>
    <w:rsid w:val="00C03947"/>
    <w:rsid w:val="00C041BB"/>
    <w:rsid w:val="00C05DC8"/>
    <w:rsid w:val="00C10D2F"/>
    <w:rsid w:val="00C11063"/>
    <w:rsid w:val="00C113FA"/>
    <w:rsid w:val="00C155D5"/>
    <w:rsid w:val="00C20E9B"/>
    <w:rsid w:val="00C242E2"/>
    <w:rsid w:val="00C24BD4"/>
    <w:rsid w:val="00C30AC9"/>
    <w:rsid w:val="00C3355C"/>
    <w:rsid w:val="00C3426C"/>
    <w:rsid w:val="00C370EE"/>
    <w:rsid w:val="00C37A1F"/>
    <w:rsid w:val="00C40874"/>
    <w:rsid w:val="00C45C0E"/>
    <w:rsid w:val="00C57971"/>
    <w:rsid w:val="00C6237A"/>
    <w:rsid w:val="00C651E8"/>
    <w:rsid w:val="00C704B4"/>
    <w:rsid w:val="00C71117"/>
    <w:rsid w:val="00C75335"/>
    <w:rsid w:val="00C80014"/>
    <w:rsid w:val="00C811DF"/>
    <w:rsid w:val="00C82009"/>
    <w:rsid w:val="00C83B36"/>
    <w:rsid w:val="00C8405C"/>
    <w:rsid w:val="00C85DB6"/>
    <w:rsid w:val="00C90506"/>
    <w:rsid w:val="00C907B7"/>
    <w:rsid w:val="00C94FDF"/>
    <w:rsid w:val="00CA1515"/>
    <w:rsid w:val="00CA2D46"/>
    <w:rsid w:val="00CA4270"/>
    <w:rsid w:val="00CA54D0"/>
    <w:rsid w:val="00CB201E"/>
    <w:rsid w:val="00CB2269"/>
    <w:rsid w:val="00CB328B"/>
    <w:rsid w:val="00CB7BCF"/>
    <w:rsid w:val="00CC06B4"/>
    <w:rsid w:val="00CC0D68"/>
    <w:rsid w:val="00CC15D2"/>
    <w:rsid w:val="00CC7843"/>
    <w:rsid w:val="00CD0B9B"/>
    <w:rsid w:val="00CD2DB1"/>
    <w:rsid w:val="00CD4644"/>
    <w:rsid w:val="00CE14BE"/>
    <w:rsid w:val="00CE1A34"/>
    <w:rsid w:val="00CE6F66"/>
    <w:rsid w:val="00CF2C99"/>
    <w:rsid w:val="00CF4160"/>
    <w:rsid w:val="00CF7D29"/>
    <w:rsid w:val="00D049C8"/>
    <w:rsid w:val="00D104CE"/>
    <w:rsid w:val="00D1054D"/>
    <w:rsid w:val="00D12E43"/>
    <w:rsid w:val="00D14ADC"/>
    <w:rsid w:val="00D15880"/>
    <w:rsid w:val="00D17957"/>
    <w:rsid w:val="00D269DE"/>
    <w:rsid w:val="00D31031"/>
    <w:rsid w:val="00D32502"/>
    <w:rsid w:val="00D32EDE"/>
    <w:rsid w:val="00D33A16"/>
    <w:rsid w:val="00D36007"/>
    <w:rsid w:val="00D42EF9"/>
    <w:rsid w:val="00D439F7"/>
    <w:rsid w:val="00D5044D"/>
    <w:rsid w:val="00D53452"/>
    <w:rsid w:val="00D549A7"/>
    <w:rsid w:val="00D61541"/>
    <w:rsid w:val="00D64761"/>
    <w:rsid w:val="00D64BF0"/>
    <w:rsid w:val="00D74208"/>
    <w:rsid w:val="00D74672"/>
    <w:rsid w:val="00D76667"/>
    <w:rsid w:val="00D80CB5"/>
    <w:rsid w:val="00D8170E"/>
    <w:rsid w:val="00D8369B"/>
    <w:rsid w:val="00D85AB1"/>
    <w:rsid w:val="00D85C0F"/>
    <w:rsid w:val="00D86A71"/>
    <w:rsid w:val="00D86B72"/>
    <w:rsid w:val="00D86BE4"/>
    <w:rsid w:val="00D870C1"/>
    <w:rsid w:val="00D90E74"/>
    <w:rsid w:val="00D92BE2"/>
    <w:rsid w:val="00DA065D"/>
    <w:rsid w:val="00DA432F"/>
    <w:rsid w:val="00DA68CD"/>
    <w:rsid w:val="00DB1573"/>
    <w:rsid w:val="00DB1860"/>
    <w:rsid w:val="00DB194D"/>
    <w:rsid w:val="00DB1E19"/>
    <w:rsid w:val="00DB404D"/>
    <w:rsid w:val="00DB52B1"/>
    <w:rsid w:val="00DC120B"/>
    <w:rsid w:val="00DC4088"/>
    <w:rsid w:val="00DC61AF"/>
    <w:rsid w:val="00DC7C7A"/>
    <w:rsid w:val="00DD4175"/>
    <w:rsid w:val="00DD4815"/>
    <w:rsid w:val="00DD5308"/>
    <w:rsid w:val="00DD544C"/>
    <w:rsid w:val="00DD5B3E"/>
    <w:rsid w:val="00DD693A"/>
    <w:rsid w:val="00DE06D7"/>
    <w:rsid w:val="00DE420D"/>
    <w:rsid w:val="00DE4BA1"/>
    <w:rsid w:val="00DE4C34"/>
    <w:rsid w:val="00DF0B06"/>
    <w:rsid w:val="00DF63DA"/>
    <w:rsid w:val="00DF6F3F"/>
    <w:rsid w:val="00E0025A"/>
    <w:rsid w:val="00E01167"/>
    <w:rsid w:val="00E0127A"/>
    <w:rsid w:val="00E02CAB"/>
    <w:rsid w:val="00E05CEE"/>
    <w:rsid w:val="00E16CFA"/>
    <w:rsid w:val="00E1728C"/>
    <w:rsid w:val="00E2352C"/>
    <w:rsid w:val="00E27385"/>
    <w:rsid w:val="00E3031D"/>
    <w:rsid w:val="00E3200A"/>
    <w:rsid w:val="00E33946"/>
    <w:rsid w:val="00E35233"/>
    <w:rsid w:val="00E36288"/>
    <w:rsid w:val="00E37ED1"/>
    <w:rsid w:val="00E4171F"/>
    <w:rsid w:val="00E43D91"/>
    <w:rsid w:val="00E46FC7"/>
    <w:rsid w:val="00E4706C"/>
    <w:rsid w:val="00E50C96"/>
    <w:rsid w:val="00E5101E"/>
    <w:rsid w:val="00E53796"/>
    <w:rsid w:val="00E5480B"/>
    <w:rsid w:val="00E56EB7"/>
    <w:rsid w:val="00E60F6C"/>
    <w:rsid w:val="00E6277E"/>
    <w:rsid w:val="00E67A43"/>
    <w:rsid w:val="00E763F5"/>
    <w:rsid w:val="00E76B79"/>
    <w:rsid w:val="00E76D14"/>
    <w:rsid w:val="00E77676"/>
    <w:rsid w:val="00E823F8"/>
    <w:rsid w:val="00E82EE0"/>
    <w:rsid w:val="00E83D71"/>
    <w:rsid w:val="00E852E1"/>
    <w:rsid w:val="00E902D5"/>
    <w:rsid w:val="00E978AF"/>
    <w:rsid w:val="00EA0A73"/>
    <w:rsid w:val="00EA0A78"/>
    <w:rsid w:val="00EA2706"/>
    <w:rsid w:val="00EA2D50"/>
    <w:rsid w:val="00EA3E71"/>
    <w:rsid w:val="00EB0147"/>
    <w:rsid w:val="00EB0388"/>
    <w:rsid w:val="00EB0427"/>
    <w:rsid w:val="00EB1949"/>
    <w:rsid w:val="00EB2910"/>
    <w:rsid w:val="00EB475D"/>
    <w:rsid w:val="00EB61A1"/>
    <w:rsid w:val="00EC0B55"/>
    <w:rsid w:val="00EC177C"/>
    <w:rsid w:val="00EC1B7C"/>
    <w:rsid w:val="00EC3B19"/>
    <w:rsid w:val="00EC5E79"/>
    <w:rsid w:val="00EC7248"/>
    <w:rsid w:val="00ED0CE5"/>
    <w:rsid w:val="00ED15F9"/>
    <w:rsid w:val="00ED179D"/>
    <w:rsid w:val="00ED2E86"/>
    <w:rsid w:val="00ED4F6F"/>
    <w:rsid w:val="00ED7525"/>
    <w:rsid w:val="00ED7E01"/>
    <w:rsid w:val="00EE0BA0"/>
    <w:rsid w:val="00EE0D38"/>
    <w:rsid w:val="00EE30CB"/>
    <w:rsid w:val="00EE3739"/>
    <w:rsid w:val="00EE4D75"/>
    <w:rsid w:val="00EE57E2"/>
    <w:rsid w:val="00EF2542"/>
    <w:rsid w:val="00EF2712"/>
    <w:rsid w:val="00EF2829"/>
    <w:rsid w:val="00EF7FDC"/>
    <w:rsid w:val="00F040E8"/>
    <w:rsid w:val="00F0505E"/>
    <w:rsid w:val="00F06689"/>
    <w:rsid w:val="00F10163"/>
    <w:rsid w:val="00F12589"/>
    <w:rsid w:val="00F15754"/>
    <w:rsid w:val="00F15E9E"/>
    <w:rsid w:val="00F22345"/>
    <w:rsid w:val="00F23540"/>
    <w:rsid w:val="00F23BA5"/>
    <w:rsid w:val="00F250CA"/>
    <w:rsid w:val="00F25D61"/>
    <w:rsid w:val="00F31E9D"/>
    <w:rsid w:val="00F32BBA"/>
    <w:rsid w:val="00F3356B"/>
    <w:rsid w:val="00F34AD3"/>
    <w:rsid w:val="00F35512"/>
    <w:rsid w:val="00F42587"/>
    <w:rsid w:val="00F42E54"/>
    <w:rsid w:val="00F42F61"/>
    <w:rsid w:val="00F43669"/>
    <w:rsid w:val="00F44F71"/>
    <w:rsid w:val="00F45688"/>
    <w:rsid w:val="00F5142E"/>
    <w:rsid w:val="00F520E1"/>
    <w:rsid w:val="00F55F62"/>
    <w:rsid w:val="00F648AD"/>
    <w:rsid w:val="00F64A48"/>
    <w:rsid w:val="00F64B4F"/>
    <w:rsid w:val="00F64F03"/>
    <w:rsid w:val="00F7083F"/>
    <w:rsid w:val="00F718AC"/>
    <w:rsid w:val="00F75DDF"/>
    <w:rsid w:val="00F8165B"/>
    <w:rsid w:val="00F82AFA"/>
    <w:rsid w:val="00F860C4"/>
    <w:rsid w:val="00F90E13"/>
    <w:rsid w:val="00F92728"/>
    <w:rsid w:val="00F92769"/>
    <w:rsid w:val="00F9281D"/>
    <w:rsid w:val="00F93439"/>
    <w:rsid w:val="00F93937"/>
    <w:rsid w:val="00F96497"/>
    <w:rsid w:val="00FA2E7C"/>
    <w:rsid w:val="00FA6141"/>
    <w:rsid w:val="00FA6FD4"/>
    <w:rsid w:val="00FA71CD"/>
    <w:rsid w:val="00FA7C33"/>
    <w:rsid w:val="00FB1567"/>
    <w:rsid w:val="00FB3827"/>
    <w:rsid w:val="00FB3E4C"/>
    <w:rsid w:val="00FB556A"/>
    <w:rsid w:val="00FC062C"/>
    <w:rsid w:val="00FD2B55"/>
    <w:rsid w:val="00FE152C"/>
    <w:rsid w:val="00FE3B6B"/>
    <w:rsid w:val="00FE528A"/>
    <w:rsid w:val="00FE6555"/>
    <w:rsid w:val="00FF0736"/>
    <w:rsid w:val="00FF2148"/>
    <w:rsid w:val="00FF2612"/>
    <w:rsid w:val="00FF2983"/>
    <w:rsid w:val="01861AA4"/>
    <w:rsid w:val="026A57C8"/>
    <w:rsid w:val="06084D4E"/>
    <w:rsid w:val="06107BD8"/>
    <w:rsid w:val="063B3638"/>
    <w:rsid w:val="063D51B2"/>
    <w:rsid w:val="07702A17"/>
    <w:rsid w:val="08443AE4"/>
    <w:rsid w:val="0846428F"/>
    <w:rsid w:val="0C581252"/>
    <w:rsid w:val="0C8977FD"/>
    <w:rsid w:val="0D852DB0"/>
    <w:rsid w:val="0EF436A3"/>
    <w:rsid w:val="10F70F0C"/>
    <w:rsid w:val="112A40D0"/>
    <w:rsid w:val="12F97F98"/>
    <w:rsid w:val="15E0029D"/>
    <w:rsid w:val="15E239F5"/>
    <w:rsid w:val="173E6874"/>
    <w:rsid w:val="17B2238D"/>
    <w:rsid w:val="17B95278"/>
    <w:rsid w:val="17E10ECA"/>
    <w:rsid w:val="19C77E03"/>
    <w:rsid w:val="1A22470D"/>
    <w:rsid w:val="1C7E5889"/>
    <w:rsid w:val="1CB26096"/>
    <w:rsid w:val="1DC75035"/>
    <w:rsid w:val="1E325F02"/>
    <w:rsid w:val="1E7673CF"/>
    <w:rsid w:val="1EE30402"/>
    <w:rsid w:val="1F275B11"/>
    <w:rsid w:val="21971083"/>
    <w:rsid w:val="22730190"/>
    <w:rsid w:val="22D05ED6"/>
    <w:rsid w:val="22ED584F"/>
    <w:rsid w:val="233C2A83"/>
    <w:rsid w:val="23BC689E"/>
    <w:rsid w:val="262F163E"/>
    <w:rsid w:val="26E63433"/>
    <w:rsid w:val="271E6E82"/>
    <w:rsid w:val="27954959"/>
    <w:rsid w:val="27F20672"/>
    <w:rsid w:val="287C3936"/>
    <w:rsid w:val="2B88586B"/>
    <w:rsid w:val="31373FB2"/>
    <w:rsid w:val="321E3A9A"/>
    <w:rsid w:val="33E83753"/>
    <w:rsid w:val="349B6488"/>
    <w:rsid w:val="34DF7D6C"/>
    <w:rsid w:val="35440B7D"/>
    <w:rsid w:val="38FA5253"/>
    <w:rsid w:val="3A423F65"/>
    <w:rsid w:val="3B037579"/>
    <w:rsid w:val="3B457B92"/>
    <w:rsid w:val="3C0316BC"/>
    <w:rsid w:val="3C11677B"/>
    <w:rsid w:val="3CCE2867"/>
    <w:rsid w:val="3CDC6BD0"/>
    <w:rsid w:val="3D3953ED"/>
    <w:rsid w:val="3D992740"/>
    <w:rsid w:val="3DF478CC"/>
    <w:rsid w:val="3F082925"/>
    <w:rsid w:val="3F48065A"/>
    <w:rsid w:val="41000D32"/>
    <w:rsid w:val="4133674E"/>
    <w:rsid w:val="43047528"/>
    <w:rsid w:val="44BB5805"/>
    <w:rsid w:val="45775242"/>
    <w:rsid w:val="479E48B1"/>
    <w:rsid w:val="48306904"/>
    <w:rsid w:val="4A826994"/>
    <w:rsid w:val="4D426F74"/>
    <w:rsid w:val="4D6E4D16"/>
    <w:rsid w:val="4E976109"/>
    <w:rsid w:val="4F6255FF"/>
    <w:rsid w:val="4FFB4F72"/>
    <w:rsid w:val="52536524"/>
    <w:rsid w:val="52880C6C"/>
    <w:rsid w:val="53A5521A"/>
    <w:rsid w:val="544C0EDB"/>
    <w:rsid w:val="555E4FD0"/>
    <w:rsid w:val="56BD49D1"/>
    <w:rsid w:val="5B06764B"/>
    <w:rsid w:val="5B123195"/>
    <w:rsid w:val="5BBF3CFF"/>
    <w:rsid w:val="5C894B1F"/>
    <w:rsid w:val="5E897019"/>
    <w:rsid w:val="60370407"/>
    <w:rsid w:val="61892407"/>
    <w:rsid w:val="61C44E31"/>
    <w:rsid w:val="62573D2D"/>
    <w:rsid w:val="625B0207"/>
    <w:rsid w:val="64501CB3"/>
    <w:rsid w:val="64D60E5C"/>
    <w:rsid w:val="664B2C0B"/>
    <w:rsid w:val="68732A47"/>
    <w:rsid w:val="69176228"/>
    <w:rsid w:val="69614279"/>
    <w:rsid w:val="69D1486B"/>
    <w:rsid w:val="6B362365"/>
    <w:rsid w:val="6C7A5752"/>
    <w:rsid w:val="6D024373"/>
    <w:rsid w:val="6E6A709B"/>
    <w:rsid w:val="7009176B"/>
    <w:rsid w:val="72914E8F"/>
    <w:rsid w:val="76352F8D"/>
    <w:rsid w:val="76944F4E"/>
    <w:rsid w:val="774379AD"/>
    <w:rsid w:val="77481475"/>
    <w:rsid w:val="78AB14B3"/>
    <w:rsid w:val="7A2D5B49"/>
    <w:rsid w:val="7B941190"/>
    <w:rsid w:val="7BBE290B"/>
    <w:rsid w:val="7C331222"/>
    <w:rsid w:val="7C5A4544"/>
    <w:rsid w:val="7CBD3DE7"/>
    <w:rsid w:val="7CC8230D"/>
    <w:rsid w:val="7CEF412F"/>
    <w:rsid w:val="7F161821"/>
    <w:rsid w:val="7FAD1017"/>
    <w:rsid w:val="7FEB3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78"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78" w:semiHidden="0" w:name="List Bullet 2"/>
    <w:lsdException w:qFormat="1" w:uiPriority="78" w:name="List Bullet 3"/>
    <w:lsdException w:qFormat="1" w:uiPriority="78" w:name="List Bullet 4"/>
    <w:lsdException w:qFormat="1" w:uiPriority="78"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4"/>
    <w:qFormat/>
    <w:uiPriority w:val="9"/>
    <w:pPr>
      <w:keepNext/>
      <w:keepLines/>
      <w:numPr>
        <w:ilvl w:val="1"/>
        <w:numId w:val="1"/>
      </w:numPr>
      <w:tabs>
        <w:tab w:val="clear" w:pos="576"/>
      </w:tabs>
      <w:spacing w:before="260" w:after="260" w:line="412" w:lineRule="auto"/>
      <w:ind w:left="0" w:firstLine="0"/>
      <w:outlineLvl w:val="1"/>
    </w:pPr>
    <w:rPr>
      <w:rFonts w:ascii="Arial" w:hAnsi="Arial" w:eastAsia="黑体"/>
      <w:b/>
      <w:bCs/>
      <w:sz w:val="32"/>
      <w:szCs w:val="32"/>
    </w:rPr>
  </w:style>
  <w:style w:type="paragraph" w:styleId="5">
    <w:name w:val="heading 3"/>
    <w:basedOn w:val="1"/>
    <w:next w:val="1"/>
    <w:link w:val="55"/>
    <w:qFormat/>
    <w:uiPriority w:val="0"/>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6">
    <w:name w:val="heading 4"/>
    <w:basedOn w:val="1"/>
    <w:next w:val="1"/>
    <w:link w:val="56"/>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spacing w:before="280" w:after="290" w:line="372" w:lineRule="auto"/>
      <w:outlineLvl w:val="4"/>
    </w:pPr>
    <w:rPr>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5"/>
    <w:qFormat/>
    <w:uiPriority w:val="0"/>
    <w:pPr>
      <w:spacing w:after="120"/>
    </w:pPr>
    <w:rPr>
      <w:sz w:val="28"/>
    </w:rPr>
  </w:style>
  <w:style w:type="paragraph" w:styleId="8">
    <w:name w:val="List Bullet 4"/>
    <w:basedOn w:val="9"/>
    <w:semiHidden/>
    <w:unhideWhenUsed/>
    <w:qFormat/>
    <w:uiPriority w:val="78"/>
    <w:pPr>
      <w:numPr>
        <w:ilvl w:val="3"/>
      </w:numPr>
      <w:tabs>
        <w:tab w:val="left" w:pos="425"/>
      </w:tabs>
    </w:pPr>
  </w:style>
  <w:style w:type="paragraph" w:styleId="9">
    <w:name w:val="List Bullet 3"/>
    <w:basedOn w:val="10"/>
    <w:semiHidden/>
    <w:unhideWhenUsed/>
    <w:qFormat/>
    <w:uiPriority w:val="78"/>
    <w:pPr>
      <w:numPr>
        <w:ilvl w:val="2"/>
      </w:numPr>
      <w:tabs>
        <w:tab w:val="left" w:pos="425"/>
      </w:tabs>
    </w:pPr>
  </w:style>
  <w:style w:type="paragraph" w:styleId="10">
    <w:name w:val="List Bullet 2"/>
    <w:basedOn w:val="11"/>
    <w:qFormat/>
    <w:uiPriority w:val="78"/>
    <w:pPr>
      <w:numPr>
        <w:ilvl w:val="1"/>
      </w:numPr>
      <w:tabs>
        <w:tab w:val="left" w:pos="425"/>
      </w:tabs>
    </w:pPr>
  </w:style>
  <w:style w:type="paragraph" w:styleId="11">
    <w:name w:val="List Bullet"/>
    <w:basedOn w:val="1"/>
    <w:qFormat/>
    <w:uiPriority w:val="78"/>
    <w:pPr>
      <w:widowControl/>
      <w:numPr>
        <w:ilvl w:val="0"/>
        <w:numId w:val="2"/>
      </w:numPr>
      <w:spacing w:after="120" w:line="271" w:lineRule="auto"/>
      <w:jc w:val="left"/>
    </w:pPr>
    <w:rPr>
      <w:rFonts w:asciiTheme="minorHAnsi" w:hAnsiTheme="minorHAnsi" w:eastAsiaTheme="minorEastAsia" w:cstheme="minorBidi"/>
      <w:kern w:val="0"/>
      <w:sz w:val="20"/>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qFormat/>
    <w:uiPriority w:val="0"/>
    <w:pPr>
      <w:numPr>
        <w:ilvl w:val="0"/>
        <w:numId w:val="3"/>
      </w:numPr>
      <w:tabs>
        <w:tab w:val="clear" w:pos="2040"/>
      </w:tabs>
      <w:ind w:left="0" w:firstLine="420"/>
    </w:pPr>
    <w:rPr>
      <w:szCs w:val="20"/>
    </w:rPr>
  </w:style>
  <w:style w:type="paragraph" w:styleId="14">
    <w:name w:val="caption"/>
    <w:basedOn w:val="1"/>
    <w:next w:val="1"/>
    <w:qFormat/>
    <w:uiPriority w:val="0"/>
    <w:pPr>
      <w:numPr>
        <w:ilvl w:val="0"/>
        <w:numId w:val="4"/>
      </w:numPr>
      <w:tabs>
        <w:tab w:val="clear" w:pos="780"/>
      </w:tabs>
      <w:spacing w:before="152" w:after="160"/>
      <w:ind w:left="0" w:firstLine="0"/>
    </w:pPr>
    <w:rPr>
      <w:rFonts w:ascii="Arial" w:hAnsi="Arial" w:eastAsia="黑体" w:cs="Arial"/>
      <w:sz w:val="20"/>
      <w:szCs w:val="20"/>
    </w:rPr>
  </w:style>
  <w:style w:type="paragraph" w:styleId="15">
    <w:name w:val="Document Map"/>
    <w:basedOn w:val="1"/>
    <w:link w:val="85"/>
    <w:qFormat/>
    <w:uiPriority w:val="0"/>
    <w:pPr>
      <w:shd w:val="clear" w:color="auto" w:fill="000080"/>
    </w:pPr>
  </w:style>
  <w:style w:type="paragraph" w:styleId="16">
    <w:name w:val="annotation text"/>
    <w:basedOn w:val="1"/>
    <w:link w:val="99"/>
    <w:qFormat/>
    <w:uiPriority w:val="99"/>
    <w:pPr>
      <w:jc w:val="left"/>
    </w:pPr>
    <w:rPr>
      <w:szCs w:val="20"/>
    </w:rPr>
  </w:style>
  <w:style w:type="paragraph" w:styleId="17">
    <w:name w:val="Body Text 3"/>
    <w:basedOn w:val="1"/>
    <w:link w:val="94"/>
    <w:qFormat/>
    <w:uiPriority w:val="0"/>
    <w:pPr>
      <w:numPr>
        <w:ilvl w:val="0"/>
        <w:numId w:val="5"/>
      </w:numPr>
      <w:tabs>
        <w:tab w:val="clear" w:pos="1620"/>
      </w:tabs>
      <w:snapToGrid w:val="0"/>
      <w:spacing w:before="50" w:after="50"/>
      <w:ind w:left="0" w:firstLine="0"/>
    </w:pPr>
    <w:rPr>
      <w:rFonts w:eastAsia="仿宋_GB2312"/>
      <w:b/>
      <w:bCs/>
      <w:sz w:val="24"/>
      <w:szCs w:val="20"/>
    </w:rPr>
  </w:style>
  <w:style w:type="paragraph" w:styleId="18">
    <w:name w:val="Body Text Indent"/>
    <w:basedOn w:val="1"/>
    <w:next w:val="1"/>
    <w:link w:val="90"/>
    <w:qFormat/>
    <w:uiPriority w:val="0"/>
    <w:pPr>
      <w:spacing w:line="200" w:lineRule="exact"/>
      <w:ind w:firstLine="301"/>
    </w:pPr>
    <w:rPr>
      <w:rFonts w:ascii="宋体"/>
      <w:spacing w:val="-4"/>
      <w:sz w:val="18"/>
      <w:szCs w:val="20"/>
    </w:rPr>
  </w:style>
  <w:style w:type="paragraph" w:styleId="19">
    <w:name w:val="List Number 3"/>
    <w:basedOn w:val="1"/>
    <w:qFormat/>
    <w:uiPriority w:val="0"/>
    <w:pPr>
      <w:tabs>
        <w:tab w:val="left" w:pos="1200"/>
      </w:tabs>
      <w:ind w:left="1200" w:hanging="360"/>
    </w:pPr>
  </w:style>
  <w:style w:type="paragraph" w:styleId="20">
    <w:name w:val="List 2"/>
    <w:basedOn w:val="1"/>
    <w:qFormat/>
    <w:uiPriority w:val="0"/>
    <w:pPr>
      <w:numPr>
        <w:ilvl w:val="0"/>
        <w:numId w:val="6"/>
      </w:numPr>
      <w:tabs>
        <w:tab w:val="clear" w:pos="1620"/>
      </w:tabs>
      <w:ind w:left="400" w:leftChars="200" w:hanging="200" w:hangingChars="200"/>
    </w:pPr>
    <w:rPr>
      <w:sz w:val="28"/>
    </w:rPr>
  </w:style>
  <w:style w:type="paragraph" w:styleId="21">
    <w:name w:val="toc 3"/>
    <w:basedOn w:val="1"/>
    <w:next w:val="1"/>
    <w:qFormat/>
    <w:uiPriority w:val="0"/>
    <w:pPr>
      <w:ind w:left="400" w:leftChars="400"/>
    </w:pPr>
  </w:style>
  <w:style w:type="paragraph" w:styleId="22">
    <w:name w:val="Plain Text"/>
    <w:basedOn w:val="1"/>
    <w:link w:val="96"/>
    <w:qFormat/>
    <w:uiPriority w:val="0"/>
    <w:pPr>
      <w:spacing w:beforeLines="50" w:afterLines="50" w:line="400" w:lineRule="exact"/>
    </w:pPr>
    <w:rPr>
      <w:rFonts w:ascii="宋体"/>
      <w:sz w:val="24"/>
    </w:rPr>
  </w:style>
  <w:style w:type="paragraph" w:styleId="23">
    <w:name w:val="List Bullet 5"/>
    <w:basedOn w:val="8"/>
    <w:semiHidden/>
    <w:unhideWhenUsed/>
    <w:qFormat/>
    <w:uiPriority w:val="78"/>
    <w:pPr>
      <w:numPr>
        <w:ilvl w:val="4"/>
      </w:numPr>
    </w:pPr>
  </w:style>
  <w:style w:type="paragraph" w:styleId="24">
    <w:name w:val="Date"/>
    <w:basedOn w:val="1"/>
    <w:next w:val="1"/>
    <w:link w:val="92"/>
    <w:qFormat/>
    <w:uiPriority w:val="0"/>
    <w:pPr>
      <w:numPr>
        <w:ilvl w:val="0"/>
        <w:numId w:val="7"/>
      </w:numPr>
      <w:tabs>
        <w:tab w:val="clear" w:pos="2040"/>
      </w:tabs>
      <w:ind w:left="2500" w:leftChars="2500" w:firstLine="0"/>
    </w:pPr>
    <w:rPr>
      <w:rFonts w:eastAsia="楷体_GB2312"/>
      <w:sz w:val="32"/>
      <w:szCs w:val="20"/>
    </w:rPr>
  </w:style>
  <w:style w:type="paragraph" w:styleId="25">
    <w:name w:val="Body Text Indent 2"/>
    <w:basedOn w:val="1"/>
    <w:link w:val="98"/>
    <w:qFormat/>
    <w:uiPriority w:val="0"/>
    <w:pPr>
      <w:snapToGrid w:val="0"/>
      <w:ind w:firstLine="225" w:firstLineChars="225"/>
    </w:pPr>
    <w:rPr>
      <w:rFonts w:ascii="仿宋_GB2312" w:hAnsi="仿宋_GB2312"/>
      <w:b/>
      <w:bCs/>
      <w:color w:val="000000"/>
      <w:sz w:val="24"/>
    </w:rPr>
  </w:style>
  <w:style w:type="paragraph" w:styleId="26">
    <w:name w:val="Balloon Text"/>
    <w:basedOn w:val="1"/>
    <w:link w:val="93"/>
    <w:qFormat/>
    <w:uiPriority w:val="0"/>
    <w:rPr>
      <w:sz w:val="18"/>
      <w:szCs w:val="18"/>
    </w:rPr>
  </w:style>
  <w:style w:type="paragraph" w:styleId="27">
    <w:name w:val="footer"/>
    <w:basedOn w:val="1"/>
    <w:link w:val="53"/>
    <w:unhideWhenUsed/>
    <w:qFormat/>
    <w:uiPriority w:val="99"/>
    <w:pPr>
      <w:tabs>
        <w:tab w:val="center" w:pos="4153"/>
        <w:tab w:val="right" w:pos="8306"/>
      </w:tabs>
      <w:snapToGrid w:val="0"/>
      <w:jc w:val="left"/>
    </w:pPr>
    <w:rPr>
      <w:sz w:val="18"/>
      <w:szCs w:val="18"/>
    </w:rPr>
  </w:style>
  <w:style w:type="paragraph" w:styleId="28">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113"/>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1">
    <w:name w:val="List"/>
    <w:basedOn w:val="1"/>
    <w:qFormat/>
    <w:uiPriority w:val="0"/>
    <w:pPr>
      <w:ind w:left="200" w:hanging="200" w:hangingChars="200"/>
    </w:pPr>
    <w:rPr>
      <w:sz w:val="28"/>
    </w:rPr>
  </w:style>
  <w:style w:type="paragraph" w:styleId="32">
    <w:name w:val="toc 6"/>
    <w:basedOn w:val="1"/>
    <w:next w:val="1"/>
    <w:qFormat/>
    <w:uiPriority w:val="0"/>
    <w:pPr>
      <w:ind w:left="1200"/>
      <w:jc w:val="left"/>
    </w:pPr>
    <w:rPr>
      <w:rFonts w:ascii="Calibri"/>
      <w:sz w:val="18"/>
      <w:szCs w:val="18"/>
    </w:rPr>
  </w:style>
  <w:style w:type="paragraph" w:styleId="33">
    <w:name w:val="Body Text Indent 3"/>
    <w:basedOn w:val="1"/>
    <w:link w:val="91"/>
    <w:qFormat/>
    <w:uiPriority w:val="0"/>
    <w:pPr>
      <w:numPr>
        <w:ilvl w:val="0"/>
        <w:numId w:val="8"/>
      </w:numPr>
      <w:snapToGrid w:val="0"/>
      <w:jc w:val="left"/>
    </w:pPr>
    <w:rPr>
      <w:rFonts w:ascii="仿宋_GB2312" w:eastAsia="仿宋_GB2312"/>
      <w:color w:val="000000"/>
      <w:sz w:val="24"/>
    </w:rPr>
  </w:style>
  <w:style w:type="paragraph" w:styleId="34">
    <w:name w:val="toc 2"/>
    <w:basedOn w:val="1"/>
    <w:next w:val="1"/>
    <w:qFormat/>
    <w:uiPriority w:val="39"/>
    <w:pPr>
      <w:ind w:left="200" w:leftChars="200"/>
    </w:pPr>
  </w:style>
  <w:style w:type="paragraph" w:styleId="35">
    <w:name w:val="Body Text 2"/>
    <w:basedOn w:val="1"/>
    <w:link w:val="97"/>
    <w:qFormat/>
    <w:uiPriority w:val="0"/>
    <w:pPr>
      <w:widowControl/>
      <w:snapToGrid w:val="0"/>
      <w:spacing w:before="50" w:afterLines="50" w:line="400" w:lineRule="exact"/>
      <w:jc w:val="left"/>
    </w:pPr>
    <w:rPr>
      <w:rFonts w:ascii="宋体"/>
      <w:color w:val="000000"/>
      <w:sz w:val="24"/>
    </w:rPr>
  </w:style>
  <w:style w:type="paragraph" w:styleId="36">
    <w:name w:val="Normal (Web)"/>
    <w:basedOn w:val="1"/>
    <w:qFormat/>
    <w:uiPriority w:val="0"/>
    <w:pPr>
      <w:widowControl/>
      <w:spacing w:before="100" w:beforeAutospacing="1" w:after="100" w:afterAutospacing="1"/>
      <w:jc w:val="left"/>
    </w:pPr>
    <w:rPr>
      <w:kern w:val="0"/>
      <w:sz w:val="24"/>
    </w:rPr>
  </w:style>
  <w:style w:type="paragraph" w:styleId="37">
    <w:name w:val="annotation subject"/>
    <w:basedOn w:val="16"/>
    <w:next w:val="16"/>
    <w:link w:val="100"/>
    <w:qFormat/>
    <w:uiPriority w:val="0"/>
  </w:style>
  <w:style w:type="paragraph" w:styleId="38">
    <w:name w:val="Body Text First Indent"/>
    <w:basedOn w:val="2"/>
    <w:next w:val="32"/>
    <w:qFormat/>
    <w:uiPriority w:val="0"/>
    <w:pPr>
      <w:ind w:firstLine="420" w:firstLineChars="100"/>
    </w:pPr>
  </w:style>
  <w:style w:type="paragraph" w:styleId="39">
    <w:name w:val="Body Text First Indent 2"/>
    <w:basedOn w:val="18"/>
    <w:next w:val="1"/>
    <w:unhideWhenUsed/>
    <w:qFormat/>
    <w:uiPriority w:val="99"/>
    <w:pPr>
      <w:ind w:firstLine="42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0"/>
    <w:rPr>
      <w:color w:val="CC0000"/>
    </w:rPr>
  </w:style>
  <w:style w:type="character" w:styleId="47">
    <w:name w:val="HTML Acronym"/>
    <w:qFormat/>
    <w:uiPriority w:val="0"/>
  </w:style>
  <w:style w:type="character" w:styleId="48">
    <w:name w:val="Hyperlink"/>
    <w:qFormat/>
    <w:uiPriority w:val="99"/>
    <w:rPr>
      <w:color w:val="0000FF"/>
      <w:u w:val="single"/>
    </w:rPr>
  </w:style>
  <w:style w:type="character" w:styleId="49">
    <w:name w:val="annotation reference"/>
    <w:basedOn w:val="42"/>
    <w:qFormat/>
    <w:uiPriority w:val="99"/>
    <w:rPr>
      <w:sz w:val="21"/>
      <w:szCs w:val="21"/>
    </w:rPr>
  </w:style>
  <w:style w:type="paragraph" w:customStyle="1" w:styleId="50">
    <w:name w:val="样式3"/>
    <w:basedOn w:val="22"/>
    <w:next w:val="1"/>
    <w:qFormat/>
    <w:uiPriority w:val="99"/>
    <w:pPr>
      <w:spacing w:line="0" w:lineRule="atLeast"/>
      <w:outlineLvl w:val="0"/>
    </w:pPr>
    <w:rPr>
      <w:sz w:val="28"/>
    </w:rPr>
  </w:style>
  <w:style w:type="character" w:customStyle="1" w:styleId="51">
    <w:name w:val="标题 1 字符"/>
    <w:basedOn w:val="42"/>
    <w:link w:val="3"/>
    <w:qFormat/>
    <w:uiPriority w:val="0"/>
    <w:rPr>
      <w:rFonts w:ascii="Times New Roman" w:hAnsi="Times New Roman" w:eastAsia="宋体" w:cs="Times New Roman"/>
      <w:b/>
      <w:bCs/>
      <w:kern w:val="44"/>
      <w:sz w:val="44"/>
      <w:szCs w:val="44"/>
    </w:rPr>
  </w:style>
  <w:style w:type="character" w:customStyle="1" w:styleId="52">
    <w:name w:val="页眉 字符"/>
    <w:basedOn w:val="42"/>
    <w:link w:val="28"/>
    <w:qFormat/>
    <w:uiPriority w:val="0"/>
    <w:rPr>
      <w:sz w:val="18"/>
      <w:szCs w:val="18"/>
    </w:rPr>
  </w:style>
  <w:style w:type="character" w:customStyle="1" w:styleId="53">
    <w:name w:val="页脚 字符"/>
    <w:basedOn w:val="42"/>
    <w:link w:val="27"/>
    <w:qFormat/>
    <w:uiPriority w:val="99"/>
    <w:rPr>
      <w:sz w:val="18"/>
      <w:szCs w:val="18"/>
    </w:rPr>
  </w:style>
  <w:style w:type="character" w:customStyle="1" w:styleId="54">
    <w:name w:val="标题 2 字符"/>
    <w:basedOn w:val="42"/>
    <w:link w:val="4"/>
    <w:qFormat/>
    <w:uiPriority w:val="9"/>
    <w:rPr>
      <w:rFonts w:ascii="Arial" w:hAnsi="Arial" w:eastAsia="黑体" w:cs="Times New Roman"/>
      <w:b/>
      <w:bCs/>
      <w:sz w:val="32"/>
      <w:szCs w:val="32"/>
    </w:rPr>
  </w:style>
  <w:style w:type="character" w:customStyle="1" w:styleId="55">
    <w:name w:val="标题 3 字符"/>
    <w:basedOn w:val="42"/>
    <w:link w:val="5"/>
    <w:qFormat/>
    <w:uiPriority w:val="0"/>
    <w:rPr>
      <w:rFonts w:ascii="Times New Roman" w:hAnsi="Times New Roman" w:eastAsia="宋体" w:cs="Times New Roman"/>
      <w:b/>
      <w:bCs/>
      <w:sz w:val="32"/>
      <w:szCs w:val="32"/>
    </w:rPr>
  </w:style>
  <w:style w:type="character" w:customStyle="1" w:styleId="56">
    <w:name w:val="标题 4 字符"/>
    <w:basedOn w:val="42"/>
    <w:link w:val="6"/>
    <w:qFormat/>
    <w:uiPriority w:val="0"/>
    <w:rPr>
      <w:rFonts w:ascii="Arial" w:hAnsi="Arial" w:eastAsia="黑体" w:cs="Times New Roman"/>
      <w:b/>
      <w:bCs/>
      <w:sz w:val="28"/>
      <w:szCs w:val="28"/>
    </w:rPr>
  </w:style>
  <w:style w:type="character" w:customStyle="1" w:styleId="57">
    <w:name w:val="标题 5 字符"/>
    <w:basedOn w:val="42"/>
    <w:link w:val="7"/>
    <w:qFormat/>
    <w:uiPriority w:val="0"/>
    <w:rPr>
      <w:rFonts w:ascii="Times New Roman" w:hAnsi="Times New Roman" w:eastAsia="宋体" w:cs="Times New Roman"/>
      <w:b/>
      <w:bCs/>
      <w:sz w:val="28"/>
      <w:szCs w:val="28"/>
    </w:rPr>
  </w:style>
  <w:style w:type="character" w:customStyle="1" w:styleId="58">
    <w:name w:val="ca-32"/>
    <w:qFormat/>
    <w:uiPriority w:val="0"/>
  </w:style>
  <w:style w:type="character" w:customStyle="1" w:styleId="59">
    <w:name w:val="apple-style-span"/>
    <w:basedOn w:val="42"/>
    <w:qFormat/>
    <w:uiPriority w:val="0"/>
  </w:style>
  <w:style w:type="character" w:customStyle="1" w:styleId="60">
    <w:name w:val="unnamed1"/>
    <w:basedOn w:val="42"/>
    <w:qFormat/>
    <w:uiPriority w:val="0"/>
  </w:style>
  <w:style w:type="character" w:customStyle="1" w:styleId="61">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62">
    <w:name w:val="c_title1"/>
    <w:qFormat/>
    <w:uiPriority w:val="0"/>
    <w:rPr>
      <w:rFonts w:ascii="黑体" w:eastAsia="黑体"/>
      <w:color w:val="03005C"/>
      <w:sz w:val="30"/>
      <w:szCs w:val="30"/>
      <w:u w:val="none"/>
    </w:rPr>
  </w:style>
  <w:style w:type="character" w:customStyle="1" w:styleId="63">
    <w:name w:val="style7"/>
    <w:basedOn w:val="42"/>
    <w:qFormat/>
    <w:uiPriority w:val="0"/>
  </w:style>
  <w:style w:type="paragraph" w:customStyle="1" w:styleId="64">
    <w:name w:val="Char"/>
    <w:basedOn w:val="1"/>
    <w:qFormat/>
    <w:uiPriority w:val="0"/>
    <w:pPr>
      <w:ind w:firstLine="200" w:firstLineChars="200"/>
    </w:pPr>
    <w:rPr>
      <w:rFonts w:ascii="幼圆" w:eastAsia="幼圆" w:cs="幼圆"/>
      <w:sz w:val="24"/>
      <w:szCs w:val="20"/>
    </w:rPr>
  </w:style>
  <w:style w:type="paragraph" w:customStyle="1" w:styleId="6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66">
    <w:name w:val="自由格式 A"/>
    <w:qFormat/>
    <w:uiPriority w:val="0"/>
    <w:rPr>
      <w:rFonts w:ascii="Helvetica" w:hAnsi="Helvetica" w:eastAsia="ヒラギノ角ゴ Pro W3" w:cs="Times New Roman"/>
      <w:color w:val="000000"/>
      <w:sz w:val="24"/>
      <w:lang w:val="en-US" w:eastAsia="zh-CN" w:bidi="ar-SA"/>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样式1"/>
    <w:basedOn w:val="6"/>
    <w:qFormat/>
    <w:uiPriority w:val="0"/>
  </w:style>
  <w:style w:type="paragraph" w:customStyle="1" w:styleId="69">
    <w:name w:val="p0"/>
    <w:basedOn w:val="1"/>
    <w:qFormat/>
    <w:uiPriority w:val="0"/>
    <w:pPr>
      <w:widowControl/>
    </w:pPr>
    <w:rPr>
      <w:kern w:val="0"/>
      <w:szCs w:val="21"/>
    </w:rPr>
  </w:style>
  <w:style w:type="paragraph" w:customStyle="1" w:styleId="70">
    <w:name w:val="Char1"/>
    <w:basedOn w:val="1"/>
    <w:qFormat/>
    <w:uiPriority w:val="0"/>
    <w:rPr>
      <w:rFonts w:ascii="Tahoma" w:hAnsi="Tahoma"/>
      <w:sz w:val="24"/>
      <w:szCs w:val="20"/>
    </w:rPr>
  </w:style>
  <w:style w:type="paragraph" w:customStyle="1" w:styleId="71">
    <w:name w:val="默认段落字体 Para Char Char Char Char Char Char Char Char Char1 Char Char Char Char"/>
    <w:basedOn w:val="1"/>
    <w:qFormat/>
    <w:uiPriority w:val="0"/>
    <w:rPr>
      <w:rFonts w:ascii="Tahoma" w:hAnsi="Tahoma"/>
      <w:sz w:val="24"/>
      <w:szCs w:val="20"/>
    </w:rPr>
  </w:style>
  <w:style w:type="paragraph" w:customStyle="1" w:styleId="7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3">
    <w:name w:val="列出段落1"/>
    <w:basedOn w:val="1"/>
    <w:qFormat/>
    <w:uiPriority w:val="0"/>
    <w:pPr>
      <w:ind w:firstLine="200" w:firstLineChars="200"/>
    </w:pPr>
    <w:rPr>
      <w:rFonts w:ascii="Calibri" w:hAnsi="Calibri"/>
      <w:szCs w:val="22"/>
    </w:rPr>
  </w:style>
  <w:style w:type="paragraph" w:customStyle="1" w:styleId="74">
    <w:name w:val="Char2"/>
    <w:basedOn w:val="1"/>
    <w:qFormat/>
    <w:uiPriority w:val="0"/>
    <w:rPr>
      <w:rFonts w:ascii="仿宋_GB2312" w:eastAsia="仿宋_GB2312"/>
      <w:b/>
      <w:sz w:val="32"/>
      <w:szCs w:val="32"/>
    </w:rPr>
  </w:style>
  <w:style w:type="paragraph" w:customStyle="1" w:styleId="75">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76">
    <w:name w:val="tgt2"/>
    <w:basedOn w:val="1"/>
    <w:qFormat/>
    <w:uiPriority w:val="0"/>
    <w:pPr>
      <w:widowControl/>
      <w:spacing w:after="150" w:line="360" w:lineRule="auto"/>
      <w:jc w:val="left"/>
    </w:pPr>
    <w:rPr>
      <w:rFonts w:ascii="宋体" w:cs="宋体"/>
      <w:b/>
      <w:bCs/>
      <w:kern w:val="0"/>
      <w:sz w:val="36"/>
      <w:szCs w:val="36"/>
    </w:rPr>
  </w:style>
  <w:style w:type="paragraph" w:customStyle="1" w:styleId="77">
    <w:name w:val="p15"/>
    <w:basedOn w:val="1"/>
    <w:qFormat/>
    <w:uiPriority w:val="0"/>
    <w:pPr>
      <w:widowControl/>
    </w:pPr>
    <w:rPr>
      <w:kern w:val="0"/>
      <w:szCs w:val="21"/>
    </w:rPr>
  </w:style>
  <w:style w:type="paragraph" w:customStyle="1" w:styleId="78">
    <w:name w:val="Char Char Char Char Char Char"/>
    <w:basedOn w:val="1"/>
    <w:qFormat/>
    <w:uiPriority w:val="0"/>
    <w:pPr>
      <w:ind w:firstLine="200" w:firstLineChars="200"/>
    </w:pPr>
    <w:rPr>
      <w:rFonts w:ascii="Tahoma" w:hAnsi="Tahoma"/>
      <w:sz w:val="24"/>
      <w:szCs w:val="20"/>
    </w:rPr>
  </w:style>
  <w:style w:type="paragraph" w:customStyle="1" w:styleId="7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Char1 Char Char Char"/>
    <w:basedOn w:val="1"/>
    <w:qFormat/>
    <w:uiPriority w:val="0"/>
    <w:pPr>
      <w:tabs>
        <w:tab w:val="left" w:pos="840"/>
      </w:tabs>
      <w:ind w:left="840" w:hanging="420"/>
    </w:pPr>
    <w:rPr>
      <w:sz w:val="24"/>
    </w:rPr>
  </w:style>
  <w:style w:type="paragraph" w:customStyle="1" w:styleId="82">
    <w:name w:val="table_lines"/>
    <w:basedOn w:val="1"/>
    <w:qFormat/>
    <w:uiPriority w:val="0"/>
    <w:rPr>
      <w:szCs w:val="20"/>
    </w:rPr>
  </w:style>
  <w:style w:type="paragraph" w:customStyle="1" w:styleId="83">
    <w:name w:val="Char11"/>
    <w:basedOn w:val="1"/>
    <w:qFormat/>
    <w:uiPriority w:val="0"/>
  </w:style>
  <w:style w:type="paragraph" w:customStyle="1" w:styleId="84">
    <w:name w:val="Char Char Char Char Char Char Char Char Char Char Char Char1 Char"/>
    <w:basedOn w:val="15"/>
    <w:qFormat/>
    <w:uiPriority w:val="0"/>
    <w:rPr>
      <w:rFonts w:ascii="Tahoma" w:hAnsi="Tahoma"/>
      <w:sz w:val="24"/>
    </w:rPr>
  </w:style>
  <w:style w:type="character" w:customStyle="1" w:styleId="85">
    <w:name w:val="文档结构图 字符"/>
    <w:basedOn w:val="42"/>
    <w:link w:val="15"/>
    <w:qFormat/>
    <w:uiPriority w:val="0"/>
    <w:rPr>
      <w:rFonts w:ascii="Times New Roman" w:hAnsi="Times New Roman" w:eastAsia="宋体" w:cs="Times New Roman"/>
      <w:szCs w:val="24"/>
      <w:shd w:val="clear" w:color="auto" w:fill="000080"/>
    </w:rPr>
  </w:style>
  <w:style w:type="paragraph" w:styleId="86">
    <w:name w:val="List Paragraph"/>
    <w:basedOn w:val="1"/>
    <w:link w:val="117"/>
    <w:qFormat/>
    <w:uiPriority w:val="34"/>
    <w:pPr>
      <w:numPr>
        <w:ilvl w:val="0"/>
        <w:numId w:val="9"/>
      </w:numPr>
      <w:tabs>
        <w:tab w:val="clear" w:pos="360"/>
      </w:tabs>
      <w:ind w:left="0" w:firstLine="200" w:firstLineChars="200"/>
    </w:pPr>
    <w:rPr>
      <w:rFonts w:ascii="Calibri" w:hAnsi="Calibri"/>
      <w:szCs w:val="22"/>
    </w:rPr>
  </w:style>
  <w:style w:type="paragraph" w:customStyle="1" w:styleId="87">
    <w:name w:val="table_1stline"/>
    <w:basedOn w:val="1"/>
    <w:qFormat/>
    <w:uiPriority w:val="0"/>
    <w:pPr>
      <w:spacing w:before="120"/>
    </w:pPr>
    <w:rPr>
      <w:bCs/>
      <w:szCs w:val="20"/>
    </w:rPr>
  </w:style>
  <w:style w:type="paragraph" w:customStyle="1" w:styleId="88">
    <w:name w:val="Char Char Char Char"/>
    <w:basedOn w:val="1"/>
    <w:qFormat/>
    <w:uiPriority w:val="0"/>
    <w:pPr>
      <w:widowControl/>
      <w:spacing w:after="160" w:line="240" w:lineRule="exact"/>
      <w:jc w:val="left"/>
    </w:pPr>
    <w:rPr>
      <w:szCs w:val="20"/>
    </w:rPr>
  </w:style>
  <w:style w:type="paragraph" w:customStyle="1" w:styleId="89">
    <w:name w:val="pa-1"/>
    <w:basedOn w:val="1"/>
    <w:qFormat/>
    <w:uiPriority w:val="0"/>
    <w:pPr>
      <w:widowControl/>
      <w:spacing w:before="100" w:beforeAutospacing="1" w:after="100" w:afterAutospacing="1"/>
      <w:jc w:val="left"/>
    </w:pPr>
    <w:rPr>
      <w:rFonts w:ascii="宋体" w:cs="宋体"/>
      <w:kern w:val="0"/>
      <w:sz w:val="24"/>
    </w:rPr>
  </w:style>
  <w:style w:type="character" w:customStyle="1" w:styleId="90">
    <w:name w:val="正文文本缩进 字符"/>
    <w:basedOn w:val="42"/>
    <w:link w:val="18"/>
    <w:qFormat/>
    <w:uiPriority w:val="0"/>
    <w:rPr>
      <w:rFonts w:ascii="宋体" w:hAnsi="Times New Roman" w:eastAsia="宋体" w:cs="Times New Roman"/>
      <w:spacing w:val="-4"/>
      <w:sz w:val="18"/>
      <w:szCs w:val="20"/>
    </w:rPr>
  </w:style>
  <w:style w:type="character" w:customStyle="1" w:styleId="91">
    <w:name w:val="正文文本缩进 3 字符"/>
    <w:basedOn w:val="42"/>
    <w:link w:val="33"/>
    <w:qFormat/>
    <w:uiPriority w:val="0"/>
    <w:rPr>
      <w:rFonts w:ascii="仿宋_GB2312" w:eastAsia="仿宋_GB2312"/>
      <w:color w:val="000000"/>
      <w:kern w:val="2"/>
      <w:sz w:val="24"/>
      <w:szCs w:val="24"/>
    </w:rPr>
  </w:style>
  <w:style w:type="character" w:customStyle="1" w:styleId="92">
    <w:name w:val="日期 字符"/>
    <w:basedOn w:val="42"/>
    <w:link w:val="24"/>
    <w:qFormat/>
    <w:uiPriority w:val="0"/>
    <w:rPr>
      <w:rFonts w:ascii="Times New Roman" w:hAnsi="Times New Roman" w:eastAsia="楷体_GB2312" w:cs="Times New Roman"/>
      <w:sz w:val="32"/>
      <w:szCs w:val="20"/>
    </w:rPr>
  </w:style>
  <w:style w:type="character" w:customStyle="1" w:styleId="93">
    <w:name w:val="批注框文本 字符"/>
    <w:basedOn w:val="42"/>
    <w:link w:val="26"/>
    <w:qFormat/>
    <w:uiPriority w:val="0"/>
    <w:rPr>
      <w:rFonts w:ascii="Times New Roman" w:hAnsi="Times New Roman" w:eastAsia="宋体" w:cs="Times New Roman"/>
      <w:sz w:val="18"/>
      <w:szCs w:val="18"/>
    </w:rPr>
  </w:style>
  <w:style w:type="character" w:customStyle="1" w:styleId="94">
    <w:name w:val="正文文本 3 字符"/>
    <w:basedOn w:val="42"/>
    <w:link w:val="17"/>
    <w:qFormat/>
    <w:uiPriority w:val="0"/>
    <w:rPr>
      <w:rFonts w:ascii="Times New Roman" w:hAnsi="Times New Roman" w:eastAsia="仿宋_GB2312" w:cs="Times New Roman"/>
      <w:b/>
      <w:bCs/>
      <w:sz w:val="24"/>
      <w:szCs w:val="20"/>
    </w:rPr>
  </w:style>
  <w:style w:type="character" w:customStyle="1" w:styleId="95">
    <w:name w:val="正文文本 字符"/>
    <w:basedOn w:val="42"/>
    <w:link w:val="2"/>
    <w:qFormat/>
    <w:uiPriority w:val="0"/>
    <w:rPr>
      <w:rFonts w:ascii="Times New Roman" w:hAnsi="Times New Roman" w:eastAsia="宋体" w:cs="Times New Roman"/>
      <w:sz w:val="28"/>
      <w:szCs w:val="24"/>
    </w:rPr>
  </w:style>
  <w:style w:type="character" w:customStyle="1" w:styleId="96">
    <w:name w:val="纯文本 字符"/>
    <w:basedOn w:val="42"/>
    <w:link w:val="22"/>
    <w:qFormat/>
    <w:uiPriority w:val="0"/>
    <w:rPr>
      <w:rFonts w:ascii="宋体" w:hAnsi="Times New Roman" w:eastAsia="宋体" w:cs="Times New Roman"/>
      <w:sz w:val="24"/>
      <w:szCs w:val="24"/>
    </w:rPr>
  </w:style>
  <w:style w:type="character" w:customStyle="1" w:styleId="97">
    <w:name w:val="正文文本 2 字符"/>
    <w:basedOn w:val="42"/>
    <w:link w:val="35"/>
    <w:qFormat/>
    <w:uiPriority w:val="0"/>
    <w:rPr>
      <w:rFonts w:ascii="宋体" w:hAnsi="Times New Roman" w:eastAsia="宋体" w:cs="Times New Roman"/>
      <w:color w:val="000000"/>
      <w:sz w:val="24"/>
      <w:szCs w:val="24"/>
    </w:rPr>
  </w:style>
  <w:style w:type="character" w:customStyle="1" w:styleId="98">
    <w:name w:val="正文文本缩进 2 字符"/>
    <w:basedOn w:val="42"/>
    <w:link w:val="25"/>
    <w:qFormat/>
    <w:uiPriority w:val="0"/>
    <w:rPr>
      <w:rFonts w:ascii="仿宋_GB2312" w:hAnsi="仿宋_GB2312" w:eastAsia="宋体" w:cs="Times New Roman"/>
      <w:b/>
      <w:bCs/>
      <w:color w:val="000000"/>
      <w:sz w:val="24"/>
      <w:szCs w:val="24"/>
    </w:rPr>
  </w:style>
  <w:style w:type="character" w:customStyle="1" w:styleId="99">
    <w:name w:val="批注文字 字符"/>
    <w:basedOn w:val="42"/>
    <w:link w:val="16"/>
    <w:qFormat/>
    <w:uiPriority w:val="99"/>
    <w:rPr>
      <w:rFonts w:ascii="Times New Roman" w:hAnsi="Times New Roman" w:eastAsia="宋体" w:cs="Times New Roman"/>
      <w:szCs w:val="20"/>
    </w:rPr>
  </w:style>
  <w:style w:type="character" w:customStyle="1" w:styleId="100">
    <w:name w:val="批注主题 字符"/>
    <w:basedOn w:val="99"/>
    <w:link w:val="37"/>
    <w:qFormat/>
    <w:uiPriority w:val="0"/>
    <w:rPr>
      <w:rFonts w:ascii="Times New Roman" w:hAnsi="Times New Roman" w:eastAsia="宋体" w:cs="Times New Roman"/>
      <w:szCs w:val="20"/>
    </w:rPr>
  </w:style>
  <w:style w:type="paragraph" w:customStyle="1" w:styleId="101">
    <w:name w:val="op_mapdots_left"/>
    <w:basedOn w:val="1"/>
    <w:qFormat/>
    <w:uiPriority w:val="0"/>
    <w:pPr>
      <w:widowControl/>
      <w:jc w:val="left"/>
    </w:pPr>
    <w:rPr>
      <w:rFonts w:ascii="宋体" w:cs="宋体"/>
      <w:kern w:val="0"/>
      <w:sz w:val="24"/>
    </w:rPr>
  </w:style>
  <w:style w:type="paragraph" w:customStyle="1" w:styleId="102">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0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4">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05">
    <w:name w:val="Char3"/>
    <w:basedOn w:val="1"/>
    <w:qFormat/>
    <w:uiPriority w:val="0"/>
    <w:pPr>
      <w:ind w:firstLine="200" w:firstLineChars="200"/>
      <w:jc w:val="left"/>
    </w:pPr>
    <w:rPr>
      <w:rFonts w:ascii="幼圆" w:hAnsi="宋体" w:eastAsia="幼圆" w:cs="幼圆"/>
      <w:sz w:val="24"/>
      <w:szCs w:val="21"/>
    </w:rPr>
  </w:style>
  <w:style w:type="paragraph" w:customStyle="1" w:styleId="106">
    <w:name w:val="列出段落11"/>
    <w:basedOn w:val="1"/>
    <w:qFormat/>
    <w:uiPriority w:val="0"/>
    <w:pPr>
      <w:ind w:firstLine="200" w:firstLineChars="200"/>
      <w:jc w:val="left"/>
    </w:pPr>
    <w:rPr>
      <w:rFonts w:ascii="Calibri" w:hAnsi="Calibri" w:cs="Arial"/>
      <w:szCs w:val="22"/>
    </w:rPr>
  </w:style>
  <w:style w:type="paragraph" w:customStyle="1" w:styleId="107">
    <w:name w:val="Char21"/>
    <w:basedOn w:val="1"/>
    <w:qFormat/>
    <w:uiPriority w:val="0"/>
    <w:pPr>
      <w:jc w:val="left"/>
    </w:pPr>
    <w:rPr>
      <w:rFonts w:ascii="仿宋_GB2312" w:hAnsi="宋体" w:eastAsia="仿宋_GB2312" w:cs="Arial"/>
      <w:b/>
      <w:sz w:val="32"/>
      <w:szCs w:val="32"/>
    </w:rPr>
  </w:style>
  <w:style w:type="paragraph" w:customStyle="1" w:styleId="108">
    <w:name w:val="Char Char Char Char Char Char1"/>
    <w:basedOn w:val="1"/>
    <w:qFormat/>
    <w:uiPriority w:val="0"/>
    <w:pPr>
      <w:ind w:firstLine="200" w:firstLineChars="200"/>
      <w:jc w:val="left"/>
    </w:pPr>
    <w:rPr>
      <w:rFonts w:ascii="Tahoma" w:hAnsi="Tahoma" w:cs="Arial"/>
      <w:sz w:val="24"/>
      <w:szCs w:val="21"/>
    </w:rPr>
  </w:style>
  <w:style w:type="paragraph" w:customStyle="1" w:styleId="109">
    <w:name w:val="Char1 Char Char Char1"/>
    <w:basedOn w:val="1"/>
    <w:qFormat/>
    <w:uiPriority w:val="0"/>
    <w:pPr>
      <w:tabs>
        <w:tab w:val="left" w:pos="840"/>
      </w:tabs>
      <w:ind w:left="840" w:hanging="420"/>
      <w:jc w:val="left"/>
    </w:pPr>
    <w:rPr>
      <w:rFonts w:ascii="宋体" w:hAnsi="宋体" w:cs="Arial"/>
      <w:sz w:val="24"/>
    </w:rPr>
  </w:style>
  <w:style w:type="paragraph" w:customStyle="1" w:styleId="110">
    <w:name w:val="Char Char Char Char Char Char Char Char Char Char Char Char1 Char1"/>
    <w:basedOn w:val="15"/>
    <w:qFormat/>
    <w:uiPriority w:val="0"/>
    <w:pPr>
      <w:jc w:val="left"/>
    </w:pPr>
    <w:rPr>
      <w:rFonts w:ascii="Tahoma" w:hAnsi="Tahoma" w:cs="Arial"/>
      <w:sz w:val="24"/>
    </w:rPr>
  </w:style>
  <w:style w:type="paragraph" w:customStyle="1" w:styleId="111">
    <w:name w:val="Char Char Char Char1"/>
    <w:basedOn w:val="1"/>
    <w:qFormat/>
    <w:uiPriority w:val="0"/>
    <w:pPr>
      <w:widowControl/>
      <w:spacing w:after="160" w:line="240" w:lineRule="exact"/>
      <w:jc w:val="left"/>
    </w:pPr>
    <w:rPr>
      <w:rFonts w:ascii="宋体" w:hAnsi="宋体" w:cs="Arial"/>
      <w:szCs w:val="21"/>
    </w:rPr>
  </w:style>
  <w:style w:type="paragraph" w:customStyle="1" w:styleId="112">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3">
    <w:name w:val="副标题 字符"/>
    <w:link w:val="30"/>
    <w:qFormat/>
    <w:uiPriority w:val="11"/>
    <w:rPr>
      <w:rFonts w:ascii="Cambria" w:hAnsi="Cambria"/>
      <w:b/>
      <w:bCs/>
      <w:kern w:val="28"/>
      <w:sz w:val="32"/>
      <w:szCs w:val="32"/>
    </w:rPr>
  </w:style>
  <w:style w:type="character" w:customStyle="1" w:styleId="114">
    <w:name w:val="副标题 Char1"/>
    <w:basedOn w:val="42"/>
    <w:qFormat/>
    <w:uiPriority w:val="11"/>
    <w:rPr>
      <w:rFonts w:eastAsia="宋体" w:asciiTheme="majorHAnsi" w:hAnsiTheme="majorHAnsi" w:cstheme="majorBidi"/>
      <w:b/>
      <w:bCs/>
      <w:kern w:val="28"/>
      <w:sz w:val="32"/>
      <w:szCs w:val="32"/>
    </w:rPr>
  </w:style>
  <w:style w:type="paragraph" w:customStyle="1" w:styleId="11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17">
    <w:name w:val="列出段落 字符"/>
    <w:link w:val="86"/>
    <w:qFormat/>
    <w:locked/>
    <w:uiPriority w:val="34"/>
    <w:rPr>
      <w:rFonts w:ascii="Calibri" w:hAnsi="Calibri" w:eastAsia="宋体" w:cs="Times New Roman"/>
    </w:rPr>
  </w:style>
  <w:style w:type="paragraph" w:customStyle="1" w:styleId="118">
    <w:name w:val="333"/>
    <w:basedOn w:val="1"/>
    <w:qFormat/>
    <w:uiPriority w:val="0"/>
    <w:pPr>
      <w:adjustRightInd w:val="0"/>
      <w:spacing w:line="312" w:lineRule="atLeast"/>
      <w:textAlignment w:val="baseline"/>
    </w:pPr>
    <w:rPr>
      <w:kern w:val="0"/>
      <w:szCs w:val="20"/>
    </w:rPr>
  </w:style>
  <w:style w:type="paragraph" w:customStyle="1" w:styleId="119">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_Style 2"/>
    <w:basedOn w:val="1"/>
    <w:qFormat/>
    <w:uiPriority w:val="34"/>
    <w:pPr>
      <w:adjustRightInd w:val="0"/>
      <w:spacing w:line="312" w:lineRule="atLeast"/>
      <w:ind w:firstLine="420" w:firstLineChars="200"/>
      <w:textAlignment w:val="baseline"/>
    </w:pPr>
    <w:rPr>
      <w:kern w:val="0"/>
    </w:rPr>
  </w:style>
  <w:style w:type="character" w:customStyle="1" w:styleId="121">
    <w:name w:val="批注文字 字符1"/>
    <w:qFormat/>
    <w:uiPriority w:val="99"/>
    <w:rPr>
      <w:kern w:val="2"/>
      <w:sz w:val="21"/>
    </w:rPr>
  </w:style>
  <w:style w:type="character" w:customStyle="1" w:styleId="122">
    <w:name w:val="纯文本 字符1"/>
    <w:qFormat/>
    <w:uiPriority w:val="0"/>
    <w:rPr>
      <w:rFonts w:ascii="宋体" w:hAnsi="Courier New"/>
      <w:kern w:val="2"/>
      <w:sz w:val="24"/>
      <w:szCs w:val="24"/>
    </w:rPr>
  </w:style>
  <w:style w:type="paragraph" w:customStyle="1" w:styleId="123">
    <w:name w:val="纯文本1"/>
    <w:basedOn w:val="1"/>
    <w:qFormat/>
    <w:uiPriority w:val="0"/>
    <w:pPr>
      <w:spacing w:beforeLines="50" w:afterLines="50" w:line="400" w:lineRule="exact"/>
    </w:pPr>
    <w:rPr>
      <w:rFonts w:ascii="宋体" w:hAnsi="Courier New"/>
      <w:sz w:val="24"/>
    </w:rPr>
  </w:style>
  <w:style w:type="character" w:customStyle="1" w:styleId="124">
    <w:name w:val="style361"/>
    <w:qFormat/>
    <w:uiPriority w:val="0"/>
    <w:rPr>
      <w:b/>
      <w:bCs/>
      <w:sz w:val="21"/>
      <w:szCs w:val="21"/>
    </w:rPr>
  </w:style>
  <w:style w:type="paragraph" w:customStyle="1" w:styleId="125">
    <w:name w:val="style31"/>
    <w:basedOn w:val="1"/>
    <w:qFormat/>
    <w:uiPriority w:val="0"/>
    <w:pPr>
      <w:widowControl/>
      <w:spacing w:before="100" w:beforeAutospacing="1" w:after="100" w:afterAutospacing="1"/>
      <w:jc w:val="left"/>
    </w:pPr>
    <w:rPr>
      <w:rFonts w:ascii="Arial" w:hAnsi="Arial" w:cs="Arial"/>
      <w:kern w:val="0"/>
      <w:szCs w:val="21"/>
    </w:rPr>
  </w:style>
  <w:style w:type="paragraph" w:customStyle="1" w:styleId="126">
    <w:name w:val="彩色列表 - 着色 11"/>
    <w:basedOn w:val="1"/>
    <w:qFormat/>
    <w:uiPriority w:val="34"/>
    <w:pPr>
      <w:adjustRightInd w:val="0"/>
      <w:spacing w:line="312" w:lineRule="atLeast"/>
      <w:ind w:firstLine="420" w:firstLineChars="200"/>
      <w:textAlignment w:val="baseline"/>
    </w:pPr>
    <w:rPr>
      <w:rFonts w:ascii="Calibri" w:hAnsi="Calibri"/>
      <w:kern w:val="0"/>
      <w:szCs w:val="22"/>
    </w:rPr>
  </w:style>
  <w:style w:type="paragraph" w:customStyle="1" w:styleId="12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28">
    <w:name w:val="font61"/>
    <w:basedOn w:val="42"/>
    <w:qFormat/>
    <w:uiPriority w:val="0"/>
    <w:rPr>
      <w:rFonts w:hint="eastAsia" w:ascii="宋体" w:hAnsi="宋体" w:eastAsia="宋体" w:cs="宋体"/>
      <w:color w:val="000000"/>
      <w:sz w:val="22"/>
      <w:szCs w:val="22"/>
      <w:u w:val="none"/>
    </w:rPr>
  </w:style>
  <w:style w:type="character" w:customStyle="1" w:styleId="129">
    <w:name w:val="font31"/>
    <w:basedOn w:val="42"/>
    <w:qFormat/>
    <w:uiPriority w:val="0"/>
    <w:rPr>
      <w:rFonts w:ascii="Calibri" w:hAnsi="Calibri" w:cs="Calibri"/>
      <w:color w:val="000000"/>
      <w:sz w:val="22"/>
      <w:szCs w:val="22"/>
      <w:u w:val="none"/>
    </w:rPr>
  </w:style>
  <w:style w:type="character" w:customStyle="1" w:styleId="130">
    <w:name w:val="font71"/>
    <w:basedOn w:val="42"/>
    <w:qFormat/>
    <w:uiPriority w:val="0"/>
    <w:rPr>
      <w:rFonts w:hint="eastAsia" w:ascii="宋体" w:hAnsi="宋体" w:eastAsia="宋体" w:cs="宋体"/>
      <w:color w:val="000000"/>
      <w:sz w:val="22"/>
      <w:szCs w:val="22"/>
      <w:u w:val="none"/>
    </w:rPr>
  </w:style>
  <w:style w:type="character" w:customStyle="1" w:styleId="131">
    <w:name w:val="font112"/>
    <w:basedOn w:val="42"/>
    <w:qFormat/>
    <w:uiPriority w:val="0"/>
    <w:rPr>
      <w:rFonts w:hint="default" w:ascii="Calibri" w:hAnsi="Calibri" w:cs="Calibri"/>
      <w:color w:val="000000"/>
      <w:sz w:val="22"/>
      <w:szCs w:val="22"/>
      <w:u w:val="none"/>
    </w:rPr>
  </w:style>
  <w:style w:type="character" w:customStyle="1" w:styleId="132">
    <w:name w:val="font21"/>
    <w:basedOn w:val="42"/>
    <w:qFormat/>
    <w:uiPriority w:val="0"/>
    <w:rPr>
      <w:rFonts w:hint="eastAsia" w:ascii="宋体" w:hAnsi="宋体" w:eastAsia="宋体" w:cs="宋体"/>
      <w:color w:val="000000"/>
      <w:sz w:val="22"/>
      <w:szCs w:val="22"/>
      <w:u w:val="none"/>
    </w:rPr>
  </w:style>
  <w:style w:type="character" w:customStyle="1" w:styleId="133">
    <w:name w:val="font101"/>
    <w:basedOn w:val="42"/>
    <w:qFormat/>
    <w:uiPriority w:val="0"/>
    <w:rPr>
      <w:rFonts w:hint="eastAsia" w:ascii="宋体" w:hAnsi="宋体" w:eastAsia="宋体" w:cs="宋体"/>
      <w:color w:val="000000"/>
      <w:sz w:val="24"/>
      <w:szCs w:val="24"/>
      <w:u w:val="none"/>
    </w:rPr>
  </w:style>
  <w:style w:type="character" w:customStyle="1" w:styleId="134">
    <w:name w:val="font81"/>
    <w:basedOn w:val="42"/>
    <w:qFormat/>
    <w:uiPriority w:val="0"/>
    <w:rPr>
      <w:rFonts w:hint="eastAsia" w:ascii="宋体" w:hAnsi="宋体" w:eastAsia="宋体" w:cs="宋体"/>
      <w:b/>
      <w:bCs/>
      <w:color w:val="FF0000"/>
      <w:sz w:val="22"/>
      <w:szCs w:val="22"/>
      <w:u w:val="none"/>
    </w:rPr>
  </w:style>
  <w:style w:type="character" w:customStyle="1" w:styleId="135">
    <w:name w:val="layui-laypage-curr"/>
    <w:basedOn w:val="42"/>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8FBD-1A1B-4DC2-BADE-6E6C0F7A72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34206</Words>
  <Characters>35224</Characters>
  <Lines>239</Lines>
  <Paragraphs>67</Paragraphs>
  <TotalTime>171</TotalTime>
  <ScaleCrop>false</ScaleCrop>
  <LinksUpToDate>false</LinksUpToDate>
  <CharactersWithSpaces>36619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2022-09-26T07:15:00Z</dcterms:created>
  <dc:creator>章海波</dc:creator>
  <cp:lastModifiedBy>Eva高</cp:lastModifiedBy>
  <cp:lastPrinted>2018-03-26T04:46:00Z</cp:lastPrinted>
  <dcterms:modified xsi:type="dcterms:W3CDTF">2023-02-13T06:58:21Z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7B2E770B46B64DDDA55B5AB7CA9055E6</vt:lpwstr>
  </property>
</Properties>
</file>