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rPr>
          <w:rFonts w:ascii="宋体" w:hAnsi="宋体"/>
          <w:b/>
          <w:color w:val="000000" w:themeColor="text1"/>
          <w:sz w:val="52"/>
          <w:szCs w:val="52"/>
          <w14:textFill>
            <w14:solidFill>
              <w14:schemeClr w14:val="tx1"/>
            </w14:solidFill>
          </w14:textFill>
        </w:rPr>
      </w:pPr>
    </w:p>
    <w:p>
      <w:pPr>
        <w:spacing w:after="120"/>
        <w:jc w:val="center"/>
        <w:rPr>
          <w:rFonts w:ascii="宋体" w:hAnsi="宋体" w:cs="宋体"/>
          <w:b/>
          <w:color w:val="000000" w:themeColor="text1"/>
          <w:sz w:val="72"/>
          <w14:textFill>
            <w14:solidFill>
              <w14:schemeClr w14:val="tx1"/>
            </w14:solidFill>
          </w14:textFill>
        </w:rPr>
      </w:pPr>
      <w:r>
        <w:rPr>
          <w:rFonts w:hint="eastAsia" w:ascii="宋体" w:hAnsi="宋体" w:cs="宋体"/>
          <w:b/>
          <w:color w:val="000000" w:themeColor="text1"/>
          <w:sz w:val="72"/>
          <w14:textFill>
            <w14:solidFill>
              <w14:schemeClr w14:val="tx1"/>
            </w14:solidFill>
          </w14:textFill>
        </w:rPr>
        <w:t>政府</w:t>
      </w:r>
      <w:r>
        <w:rPr>
          <w:rFonts w:ascii="宋体" w:hAnsi="宋体" w:cs="宋体"/>
          <w:b/>
          <w:color w:val="000000" w:themeColor="text1"/>
          <w:sz w:val="72"/>
          <w14:textFill>
            <w14:solidFill>
              <w14:schemeClr w14:val="tx1"/>
            </w14:solidFill>
          </w14:textFill>
        </w:rPr>
        <w:t>采购</w:t>
      </w:r>
    </w:p>
    <w:p>
      <w:pPr>
        <w:spacing w:after="120"/>
        <w:jc w:val="center"/>
        <w:rPr>
          <w:rFonts w:ascii="宋体" w:hAnsi="宋体" w:cs="宋体"/>
          <w:b/>
          <w:color w:val="000000" w:themeColor="text1"/>
          <w:sz w:val="72"/>
          <w14:textFill>
            <w14:solidFill>
              <w14:schemeClr w14:val="tx1"/>
            </w14:solidFill>
          </w14:textFill>
        </w:rPr>
      </w:pPr>
      <w:r>
        <w:rPr>
          <w:rFonts w:hint="eastAsia" w:ascii="宋体" w:hAnsi="宋体" w:cs="宋体"/>
          <w:b/>
          <w:color w:val="000000" w:themeColor="text1"/>
          <w:sz w:val="72"/>
          <w14:textFill>
            <w14:solidFill>
              <w14:schemeClr w14:val="tx1"/>
            </w14:solidFill>
          </w14:textFill>
        </w:rPr>
        <w:t>国内公开采购文件</w:t>
      </w:r>
    </w:p>
    <w:p>
      <w:pPr>
        <w:snapToGrid w:val="0"/>
        <w:spacing w:before="120" w:beforeLines="50" w:line="360" w:lineRule="auto"/>
        <w:rPr>
          <w:rFonts w:ascii="宋体" w:hAnsi="宋体"/>
          <w:color w:val="000000" w:themeColor="text1"/>
          <w:sz w:val="30"/>
          <w:szCs w:val="72"/>
          <w14:textFill>
            <w14:solidFill>
              <w14:schemeClr w14:val="tx1"/>
            </w14:solidFill>
          </w14:textFill>
        </w:rPr>
      </w:pPr>
    </w:p>
    <w:p>
      <w:pPr>
        <w:snapToGrid w:val="0"/>
        <w:spacing w:before="120" w:beforeLines="50" w:line="360" w:lineRule="auto"/>
        <w:rPr>
          <w:rFonts w:ascii="宋体" w:hAnsi="宋体"/>
          <w:color w:val="000000" w:themeColor="text1"/>
          <w:sz w:val="30"/>
          <w:szCs w:val="72"/>
          <w14:textFill>
            <w14:solidFill>
              <w14:schemeClr w14:val="tx1"/>
            </w14:solidFill>
          </w14:textFill>
        </w:rPr>
      </w:pPr>
    </w:p>
    <w:p>
      <w:pPr>
        <w:snapToGrid w:val="0"/>
        <w:spacing w:before="120" w:beforeLines="50" w:line="360" w:lineRule="auto"/>
        <w:rPr>
          <w:rFonts w:ascii="宋体" w:hAnsi="宋体"/>
          <w:color w:val="000000" w:themeColor="text1"/>
          <w:sz w:val="30"/>
          <w:szCs w:val="72"/>
          <w14:textFill>
            <w14:solidFill>
              <w14:schemeClr w14:val="tx1"/>
            </w14:solidFill>
          </w14:textFill>
        </w:rPr>
      </w:pPr>
    </w:p>
    <w:tbl>
      <w:tblPr>
        <w:tblStyle w:val="40"/>
        <w:tblW w:w="0" w:type="auto"/>
        <w:tblInd w:w="0" w:type="dxa"/>
        <w:tblLayout w:type="fixed"/>
        <w:tblCellMar>
          <w:top w:w="0" w:type="dxa"/>
          <w:left w:w="108" w:type="dxa"/>
          <w:bottom w:w="0" w:type="dxa"/>
          <w:right w:w="108" w:type="dxa"/>
        </w:tblCellMar>
      </w:tblPr>
      <w:tblGrid>
        <w:gridCol w:w="2093"/>
        <w:gridCol w:w="6836"/>
      </w:tblGrid>
      <w:tr>
        <w:tblPrEx>
          <w:tblCellMar>
            <w:top w:w="0" w:type="dxa"/>
            <w:left w:w="108" w:type="dxa"/>
            <w:bottom w:w="0" w:type="dxa"/>
            <w:right w:w="108" w:type="dxa"/>
          </w:tblCellMar>
        </w:tblPrEx>
        <w:trPr>
          <w:trHeight w:val="726" w:hRule="atLeast"/>
        </w:trPr>
        <w:tc>
          <w:tcPr>
            <w:tcW w:w="2093" w:type="dxa"/>
            <w:tcBorders>
              <w:top w:val="nil"/>
              <w:left w:val="nil"/>
              <w:bottom w:val="nil"/>
              <w:right w:val="nil"/>
            </w:tcBorders>
            <w:vAlign w:val="center"/>
          </w:tcPr>
          <w:p>
            <w:pPr>
              <w:snapToGrid w:val="0"/>
              <w:jc w:val="right"/>
              <w:rPr>
                <w:rFonts w:ascii="宋体" w:hAnsi="宋体"/>
                <w:b/>
                <w:color w:val="000000" w:themeColor="text1"/>
                <w:sz w:val="34"/>
                <w:szCs w:val="32"/>
                <w14:textFill>
                  <w14:solidFill>
                    <w14:schemeClr w14:val="tx1"/>
                  </w14:solidFill>
                </w14:textFill>
              </w:rPr>
            </w:pPr>
            <w:r>
              <w:rPr>
                <w:rFonts w:hint="eastAsia" w:ascii="宋体" w:hAnsi="宋体"/>
                <w:b/>
                <w:color w:val="000000" w:themeColor="text1"/>
                <w:sz w:val="34"/>
                <w:szCs w:val="32"/>
                <w14:textFill>
                  <w14:solidFill>
                    <w14:schemeClr w14:val="tx1"/>
                  </w14:solidFill>
                </w14:textFill>
              </w:rPr>
              <w:t>项目编号：</w:t>
            </w:r>
          </w:p>
        </w:tc>
        <w:tc>
          <w:tcPr>
            <w:tcW w:w="6836" w:type="dxa"/>
            <w:tcBorders>
              <w:top w:val="nil"/>
              <w:left w:val="nil"/>
              <w:bottom w:val="nil"/>
              <w:right w:val="nil"/>
            </w:tcBorders>
            <w:vAlign w:val="center"/>
          </w:tcPr>
          <w:p>
            <w:pPr>
              <w:pStyle w:val="22"/>
              <w:snapToGrid w:val="0"/>
              <w:spacing w:beforeLines="0" w:afterLines="0" w:line="240" w:lineRule="auto"/>
              <w:rPr>
                <w:rFonts w:hint="eastAsia" w:hAnsi="宋体" w:eastAsia="宋体"/>
                <w:b/>
                <w:color w:val="000000" w:themeColor="text1"/>
                <w:sz w:val="34"/>
                <w:szCs w:val="32"/>
                <w:u w:val="single"/>
                <w:lang w:eastAsia="zh-CN"/>
                <w14:textFill>
                  <w14:solidFill>
                    <w14:schemeClr w14:val="tx1"/>
                  </w14:solidFill>
                </w14:textFill>
              </w:rPr>
            </w:pPr>
            <w:r>
              <w:rPr>
                <w:rFonts w:hint="eastAsia" w:hAnsi="宋体"/>
                <w:b/>
                <w:color w:val="000000" w:themeColor="text1"/>
                <w:sz w:val="34"/>
                <w:szCs w:val="32"/>
                <w:u w:val="single"/>
                <w:lang w:eastAsia="zh-CN"/>
                <w14:textFill>
                  <w14:solidFill>
                    <w14:schemeClr w14:val="tx1"/>
                  </w14:solidFill>
                </w14:textFill>
              </w:rPr>
              <w:t>CBNB-20223335G</w:t>
            </w:r>
          </w:p>
        </w:tc>
      </w:tr>
      <w:tr>
        <w:tblPrEx>
          <w:tblCellMar>
            <w:top w:w="0" w:type="dxa"/>
            <w:left w:w="108" w:type="dxa"/>
            <w:bottom w:w="0" w:type="dxa"/>
            <w:right w:w="108" w:type="dxa"/>
          </w:tblCellMar>
        </w:tblPrEx>
        <w:trPr>
          <w:trHeight w:val="1170" w:hRule="atLeast"/>
        </w:trPr>
        <w:tc>
          <w:tcPr>
            <w:tcW w:w="2093" w:type="dxa"/>
            <w:tcBorders>
              <w:top w:val="nil"/>
              <w:left w:val="nil"/>
              <w:bottom w:val="nil"/>
              <w:right w:val="nil"/>
            </w:tcBorders>
            <w:vAlign w:val="center"/>
          </w:tcPr>
          <w:p>
            <w:pPr>
              <w:snapToGrid w:val="0"/>
              <w:jc w:val="right"/>
              <w:rPr>
                <w:rFonts w:ascii="宋体" w:hAnsi="宋体"/>
                <w:b/>
                <w:color w:val="000000" w:themeColor="text1"/>
                <w:sz w:val="34"/>
                <w:szCs w:val="32"/>
                <w14:textFill>
                  <w14:solidFill>
                    <w14:schemeClr w14:val="tx1"/>
                  </w14:solidFill>
                </w14:textFill>
              </w:rPr>
            </w:pPr>
            <w:r>
              <w:rPr>
                <w:rFonts w:hint="eastAsia" w:ascii="宋体" w:hAnsi="宋体"/>
                <w:b/>
                <w:color w:val="000000" w:themeColor="text1"/>
                <w:sz w:val="34"/>
                <w:szCs w:val="32"/>
                <w14:textFill>
                  <w14:solidFill>
                    <w14:schemeClr w14:val="tx1"/>
                  </w14:solidFill>
                </w14:textFill>
              </w:rPr>
              <w:t>项目名称：</w:t>
            </w:r>
          </w:p>
        </w:tc>
        <w:tc>
          <w:tcPr>
            <w:tcW w:w="6836" w:type="dxa"/>
            <w:tcBorders>
              <w:top w:val="nil"/>
              <w:left w:val="nil"/>
              <w:bottom w:val="nil"/>
              <w:right w:val="nil"/>
            </w:tcBorders>
            <w:vAlign w:val="center"/>
          </w:tcPr>
          <w:p>
            <w:pPr>
              <w:pStyle w:val="22"/>
              <w:snapToGrid w:val="0"/>
              <w:spacing w:beforeLines="0" w:afterLines="0" w:line="300" w:lineRule="auto"/>
              <w:rPr>
                <w:rFonts w:hint="eastAsia" w:hAnsi="宋体" w:eastAsia="宋体"/>
                <w:b/>
                <w:color w:val="000000" w:themeColor="text1"/>
                <w:sz w:val="34"/>
                <w:szCs w:val="32"/>
                <w:u w:val="single"/>
                <w:lang w:eastAsia="zh-CN"/>
                <w14:textFill>
                  <w14:solidFill>
                    <w14:schemeClr w14:val="tx1"/>
                  </w14:solidFill>
                </w14:textFill>
              </w:rPr>
            </w:pPr>
            <w:r>
              <w:rPr>
                <w:rFonts w:hint="eastAsia" w:hAnsi="宋体"/>
                <w:b/>
                <w:color w:val="000000" w:themeColor="text1"/>
                <w:sz w:val="34"/>
                <w:szCs w:val="32"/>
                <w:u w:val="single"/>
                <w:lang w:eastAsia="zh-CN"/>
                <w14:textFill>
                  <w14:solidFill>
                    <w14:schemeClr w14:val="tx1"/>
                  </w14:solidFill>
                </w14:textFill>
              </w:rPr>
              <w:t>北京航空航天大学宁波创新研究院飞机刹车惯性台采购项目</w:t>
            </w:r>
          </w:p>
        </w:tc>
      </w:tr>
    </w:tbl>
    <w:p>
      <w:pPr>
        <w:snapToGrid w:val="0"/>
        <w:spacing w:before="120" w:beforeLines="50" w:line="360" w:lineRule="auto"/>
        <w:rPr>
          <w:rFonts w:ascii="宋体" w:hAnsi="宋体"/>
          <w:color w:val="000000" w:themeColor="text1"/>
          <w:sz w:val="30"/>
          <w:szCs w:val="72"/>
          <w14:textFill>
            <w14:solidFill>
              <w14:schemeClr w14:val="tx1"/>
            </w14:solidFill>
          </w14:textFill>
        </w:rPr>
      </w:pPr>
    </w:p>
    <w:p>
      <w:pPr>
        <w:snapToGrid w:val="0"/>
        <w:spacing w:before="120" w:beforeLines="50" w:line="360" w:lineRule="auto"/>
        <w:rPr>
          <w:rFonts w:ascii="宋体" w:hAnsi="宋体"/>
          <w:color w:val="000000" w:themeColor="text1"/>
          <w:sz w:val="30"/>
          <w:szCs w:val="72"/>
          <w14:textFill>
            <w14:solidFill>
              <w14:schemeClr w14:val="tx1"/>
            </w14:solidFill>
          </w14:textFill>
        </w:rPr>
      </w:pPr>
    </w:p>
    <w:p>
      <w:pPr>
        <w:snapToGrid w:val="0"/>
        <w:spacing w:before="120" w:beforeLines="50" w:line="360" w:lineRule="auto"/>
        <w:rPr>
          <w:rFonts w:ascii="宋体" w:hAnsi="宋体"/>
          <w:color w:val="000000" w:themeColor="text1"/>
          <w:sz w:val="30"/>
          <w:szCs w:val="72"/>
          <w14:textFill>
            <w14:solidFill>
              <w14:schemeClr w14:val="tx1"/>
            </w14:solidFill>
          </w14:textFill>
        </w:rPr>
      </w:pPr>
    </w:p>
    <w:p>
      <w:pPr>
        <w:snapToGrid w:val="0"/>
        <w:spacing w:before="120" w:beforeLines="50" w:line="360" w:lineRule="auto"/>
        <w:rPr>
          <w:rFonts w:ascii="宋体" w:hAnsi="宋体"/>
          <w:color w:val="000000" w:themeColor="text1"/>
          <w:sz w:val="30"/>
          <w:szCs w:val="72"/>
          <w14:textFill>
            <w14:solidFill>
              <w14:schemeClr w14:val="tx1"/>
            </w14:solidFill>
          </w14:textFill>
        </w:rPr>
      </w:pPr>
    </w:p>
    <w:p>
      <w:pPr>
        <w:snapToGrid w:val="0"/>
        <w:spacing w:before="120" w:beforeLines="50" w:line="360" w:lineRule="auto"/>
        <w:rPr>
          <w:rFonts w:ascii="宋体" w:hAnsi="宋体"/>
          <w:color w:val="000000" w:themeColor="text1"/>
          <w:sz w:val="30"/>
          <w:szCs w:val="72"/>
          <w14:textFill>
            <w14:solidFill>
              <w14:schemeClr w14:val="tx1"/>
            </w14:solidFill>
          </w14:textFill>
        </w:rPr>
      </w:pPr>
    </w:p>
    <w:p>
      <w:pPr>
        <w:pStyle w:val="22"/>
        <w:snapToGrid w:val="0"/>
        <w:spacing w:beforeLines="0" w:afterLines="0" w:line="600" w:lineRule="auto"/>
        <w:rPr>
          <w:rFonts w:hAnsi="宋体"/>
          <w:b/>
          <w:bCs/>
          <w:color w:val="000000" w:themeColor="text1"/>
          <w:sz w:val="30"/>
          <w:szCs w:val="30"/>
          <w14:textFill>
            <w14:solidFill>
              <w14:schemeClr w14:val="tx1"/>
            </w14:solidFill>
          </w14:textFill>
        </w:rPr>
      </w:pPr>
      <w:r>
        <w:rPr>
          <w:rFonts w:hint="eastAsia" w:hAnsi="宋体"/>
          <w:b/>
          <w:color w:val="000000" w:themeColor="text1"/>
          <w:sz w:val="30"/>
          <w:szCs w:val="72"/>
          <w14:textFill>
            <w14:solidFill>
              <w14:schemeClr w14:val="tx1"/>
            </w14:solidFill>
          </w14:textFill>
        </w:rPr>
        <w:t>采购人：</w:t>
      </w:r>
      <w:r>
        <w:rPr>
          <w:rFonts w:hint="eastAsia" w:hAnsi="宋体"/>
          <w:b/>
          <w:color w:val="000000" w:themeColor="text1"/>
          <w:sz w:val="30"/>
          <w:szCs w:val="72"/>
          <w:u w:val="single"/>
          <w14:textFill>
            <w14:solidFill>
              <w14:schemeClr w14:val="tx1"/>
            </w14:solidFill>
          </w14:textFill>
        </w:rPr>
        <w:t>北京航空航天大学宁波创新研究院</w:t>
      </w:r>
    </w:p>
    <w:p>
      <w:pPr>
        <w:pStyle w:val="22"/>
        <w:snapToGrid w:val="0"/>
        <w:spacing w:beforeLines="0" w:afterLines="0" w:line="600" w:lineRule="auto"/>
        <w:rPr>
          <w:rFonts w:hAnsi="宋体"/>
          <w:b/>
          <w:color w:val="000000" w:themeColor="text1"/>
          <w:sz w:val="30"/>
          <w:szCs w:val="72"/>
          <w14:textFill>
            <w14:solidFill>
              <w14:schemeClr w14:val="tx1"/>
            </w14:solidFill>
          </w14:textFill>
        </w:rPr>
      </w:pPr>
      <w:r>
        <w:rPr>
          <w:rFonts w:hint="eastAsia" w:hAnsi="宋体"/>
          <w:b/>
          <w:color w:val="000000" w:themeColor="text1"/>
          <w:sz w:val="30"/>
          <w:szCs w:val="72"/>
          <w14:textFill>
            <w14:solidFill>
              <w14:schemeClr w14:val="tx1"/>
            </w14:solidFill>
          </w14:textFill>
        </w:rPr>
        <w:t>招标代理机构：</w:t>
      </w:r>
      <w:r>
        <w:rPr>
          <w:rFonts w:hint="eastAsia" w:hAnsi="宋体"/>
          <w:b/>
          <w:color w:val="000000" w:themeColor="text1"/>
          <w:sz w:val="30"/>
          <w:szCs w:val="72"/>
          <w:u w:val="single"/>
          <w14:textFill>
            <w14:solidFill>
              <w14:schemeClr w14:val="tx1"/>
            </w14:solidFill>
          </w14:textFill>
        </w:rPr>
        <w:t>宁波中基国际招标有限公司</w:t>
      </w:r>
    </w:p>
    <w:p>
      <w:pPr>
        <w:spacing w:line="600" w:lineRule="exact"/>
        <w:rPr>
          <w:rFonts w:ascii="宋体" w:hAnsi="宋体"/>
          <w:color w:val="000000" w:themeColor="text1"/>
          <w14:textFill>
            <w14:solidFill>
              <w14:schemeClr w14:val="tx1"/>
            </w14:solidFill>
          </w14:textFill>
        </w:rPr>
      </w:pPr>
      <w:r>
        <w:rPr>
          <w:rFonts w:hint="eastAsia" w:ascii="宋体" w:hAnsi="宋体"/>
          <w:b/>
          <w:color w:val="000000" w:themeColor="text1"/>
          <w:sz w:val="30"/>
          <w:szCs w:val="72"/>
          <w14:textFill>
            <w14:solidFill>
              <w14:schemeClr w14:val="tx1"/>
            </w14:solidFill>
          </w14:textFill>
        </w:rPr>
        <w:t>编制日期：二〇二二年</w:t>
      </w:r>
      <w:r>
        <w:rPr>
          <w:rFonts w:hint="eastAsia" w:ascii="宋体" w:hAnsi="宋体"/>
          <w:b/>
          <w:color w:val="000000" w:themeColor="text1"/>
          <w:sz w:val="30"/>
          <w:szCs w:val="72"/>
          <w:lang w:val="en-US" w:eastAsia="zh-CN"/>
          <w14:textFill>
            <w14:solidFill>
              <w14:schemeClr w14:val="tx1"/>
            </w14:solidFill>
          </w14:textFill>
        </w:rPr>
        <w:t>十二</w:t>
      </w:r>
      <w:r>
        <w:rPr>
          <w:rFonts w:hint="eastAsia" w:ascii="宋体" w:hAnsi="宋体"/>
          <w:b/>
          <w:color w:val="000000" w:themeColor="text1"/>
          <w:sz w:val="30"/>
          <w:szCs w:val="72"/>
          <w14:textFill>
            <w14:solidFill>
              <w14:schemeClr w14:val="tx1"/>
            </w14:solidFill>
          </w14:textFill>
        </w:rPr>
        <w:t>月</w:t>
      </w:r>
      <w:r>
        <w:rPr>
          <w:rFonts w:hint="eastAsia" w:ascii="宋体" w:hAnsi="宋体"/>
          <w:color w:val="000000" w:themeColor="text1"/>
          <w14:textFill>
            <w14:solidFill>
              <w14:schemeClr w14:val="tx1"/>
            </w14:solidFill>
          </w14:textFill>
        </w:rPr>
        <w:br w:type="page"/>
      </w:r>
    </w:p>
    <w:p>
      <w:pPr>
        <w:wordWrap w:val="0"/>
        <w:spacing w:line="1200" w:lineRule="exact"/>
        <w:jc w:val="center"/>
        <w:rPr>
          <w:rFonts w:ascii="宋体" w:hAnsi="宋体"/>
          <w:b/>
          <w:color w:val="000000" w:themeColor="text1"/>
          <w:sz w:val="72"/>
          <w:szCs w:val="72"/>
          <w14:textFill>
            <w14:solidFill>
              <w14:schemeClr w14:val="tx1"/>
            </w14:solidFill>
          </w14:textFill>
        </w:rPr>
      </w:pPr>
      <w:r>
        <w:rPr>
          <w:rFonts w:hint="eastAsia" w:ascii="宋体" w:hAnsi="宋体"/>
          <w:b/>
          <w:color w:val="000000" w:themeColor="text1"/>
          <w:sz w:val="72"/>
          <w:szCs w:val="72"/>
          <w14:textFill>
            <w14:solidFill>
              <w14:schemeClr w14:val="tx1"/>
            </w14:solidFill>
          </w14:textFill>
        </w:rPr>
        <w:t>温馨提醒</w:t>
      </w:r>
    </w:p>
    <w:p>
      <w:pPr>
        <w:wordWrap w:val="0"/>
        <w:spacing w:line="1200" w:lineRule="exact"/>
        <w:jc w:val="center"/>
        <w:rPr>
          <w:rFonts w:ascii="宋体" w:hAnsi="宋体"/>
          <w:b/>
          <w:color w:val="000000" w:themeColor="text1"/>
          <w:sz w:val="52"/>
          <w:szCs w:val="52"/>
          <w14:textFill>
            <w14:solidFill>
              <w14:schemeClr w14:val="tx1"/>
            </w14:solidFill>
          </w14:textFill>
        </w:rPr>
      </w:pPr>
    </w:p>
    <w:p>
      <w:pPr>
        <w:wordWrap w:val="0"/>
        <w:spacing w:line="1000" w:lineRule="exact"/>
        <w:jc w:val="left"/>
        <w:rPr>
          <w:rFonts w:ascii="宋体" w:hAnsi="宋体"/>
          <w:b/>
          <w:color w:val="000000" w:themeColor="text1"/>
          <w:sz w:val="30"/>
          <w:szCs w:val="30"/>
          <w14:textFill>
            <w14:solidFill>
              <w14:schemeClr w14:val="tx1"/>
            </w14:solidFill>
          </w14:textFill>
        </w:rPr>
      </w:pPr>
      <w:r>
        <w:rPr>
          <w:rFonts w:ascii="宋体" w:hAnsi="宋体"/>
          <w:b/>
          <w:color w:val="000000" w:themeColor="text1"/>
          <w:sz w:val="30"/>
          <w:szCs w:val="30"/>
          <w14:textFill>
            <w14:solidFill>
              <w14:schemeClr w14:val="tx1"/>
            </w14:solidFill>
          </w14:textFill>
        </w:rPr>
        <w:t>1</w:t>
      </w:r>
      <w:r>
        <w:rPr>
          <w:rFonts w:hint="eastAsia" w:ascii="宋体" w:hAnsi="宋体"/>
          <w:b/>
          <w:color w:val="000000" w:themeColor="text1"/>
          <w:sz w:val="30"/>
          <w:szCs w:val="30"/>
          <w14:textFill>
            <w14:solidFill>
              <w14:schemeClr w14:val="tx1"/>
            </w14:solidFill>
          </w14:textFill>
        </w:rPr>
        <w:t>、投标文件应按采购文件要求将“资格文件”、“商务和技术文件”、“报价文件”分别编制。</w:t>
      </w:r>
    </w:p>
    <w:p>
      <w:pPr>
        <w:wordWrap w:val="0"/>
        <w:spacing w:line="1000" w:lineRule="exact"/>
        <w:jc w:val="left"/>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2、采购人可以对已发出的采购文件进行必要的澄清或者修改，将以“更正公告”的形式发布在政采云平台，供应商应及时登录政采云平台，进行浏览并下载，未及时浏览下载的责任自负。</w:t>
      </w:r>
    </w:p>
    <w:p>
      <w:pPr>
        <w:widowControl/>
        <w:jc w:val="left"/>
        <w:rPr>
          <w:rFonts w:ascii="宋体" w:hAnsi="宋体"/>
          <w:b/>
          <w:color w:val="000000" w:themeColor="text1"/>
          <w:sz w:val="52"/>
          <w:szCs w:val="52"/>
          <w14:textFill>
            <w14:solidFill>
              <w14:schemeClr w14:val="tx1"/>
            </w14:solidFill>
          </w14:textFill>
        </w:rPr>
      </w:pPr>
      <w:r>
        <w:rPr>
          <w:rFonts w:ascii="宋体" w:hAnsi="宋体"/>
          <w:b/>
          <w:color w:val="000000" w:themeColor="text1"/>
          <w:sz w:val="52"/>
          <w:szCs w:val="52"/>
          <w14:textFill>
            <w14:solidFill>
              <w14:schemeClr w14:val="tx1"/>
            </w14:solidFill>
          </w14:textFill>
        </w:rPr>
        <w:br w:type="page"/>
      </w:r>
    </w:p>
    <w:p>
      <w:pPr>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目  录</w:t>
      </w:r>
    </w:p>
    <w:p>
      <w:pPr>
        <w:pStyle w:val="29"/>
        <w:tabs>
          <w:tab w:val="right" w:leader="dot" w:pos="8949"/>
        </w:tabs>
        <w:spacing w:line="360" w:lineRule="auto"/>
        <w:rPr>
          <w:rFonts w:ascii="宋体" w:hAnsi="宋体"/>
          <w:color w:val="000000" w:themeColor="text1"/>
          <w:sz w:val="24"/>
          <w14:textFill>
            <w14:solidFill>
              <w14:schemeClr w14:val="tx1"/>
            </w14:solidFill>
          </w14:textFill>
        </w:rPr>
      </w:pPr>
    </w:p>
    <w:p>
      <w:pPr>
        <w:pStyle w:val="29"/>
        <w:tabs>
          <w:tab w:val="right" w:leader="dot" w:pos="8959"/>
        </w:tabs>
        <w:spacing w:line="60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TOC \o "1-3" \h \z \u </w:instrText>
      </w:r>
      <w:r>
        <w:rPr>
          <w:rFonts w:hint="eastAsia" w:ascii="宋体" w:hAnsi="宋体" w:cs="宋体"/>
          <w:b/>
          <w:bCs/>
          <w:color w:val="000000" w:themeColor="text1"/>
          <w:sz w:val="24"/>
          <w14:textFill>
            <w14:solidFill>
              <w14:schemeClr w14:val="tx1"/>
            </w14:solidFill>
          </w14:textFill>
        </w:rPr>
        <w:fldChar w:fldCharType="separate"/>
      </w:r>
      <w:r>
        <w:fldChar w:fldCharType="begin"/>
      </w:r>
      <w:r>
        <w:instrText xml:space="preserve"> HYPERLINK \l "_Toc21020" </w:instrText>
      </w:r>
      <w:r>
        <w:fldChar w:fldCharType="separate"/>
      </w:r>
      <w:r>
        <w:rPr>
          <w:rFonts w:hint="eastAsia" w:ascii="宋体" w:hAnsi="宋体" w:cs="宋体"/>
          <w:b/>
          <w:bCs/>
          <w:color w:val="000000" w:themeColor="text1"/>
          <w:sz w:val="24"/>
          <w14:textFill>
            <w14:solidFill>
              <w14:schemeClr w14:val="tx1"/>
            </w14:solidFill>
          </w14:textFill>
        </w:rPr>
        <w:t>第一章  采购公告</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_Toc21020 \h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4</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29"/>
        <w:tabs>
          <w:tab w:val="right" w:leader="dot" w:pos="8959"/>
        </w:tabs>
        <w:spacing w:line="600" w:lineRule="auto"/>
        <w:rPr>
          <w:rFonts w:ascii="宋体" w:hAnsi="宋体" w:cs="宋体"/>
          <w:b/>
          <w:bCs/>
          <w:color w:val="000000" w:themeColor="text1"/>
          <w:sz w:val="24"/>
          <w14:textFill>
            <w14:solidFill>
              <w14:schemeClr w14:val="tx1"/>
            </w14:solidFill>
          </w14:textFill>
        </w:rPr>
      </w:pPr>
      <w:r>
        <w:fldChar w:fldCharType="begin"/>
      </w:r>
      <w:r>
        <w:instrText xml:space="preserve"> HYPERLINK \l "_Toc24032" </w:instrText>
      </w:r>
      <w:r>
        <w:fldChar w:fldCharType="separate"/>
      </w:r>
      <w:r>
        <w:rPr>
          <w:rFonts w:hint="eastAsia" w:ascii="宋体" w:hAnsi="宋体" w:cs="宋体"/>
          <w:b/>
          <w:bCs/>
          <w:color w:val="000000" w:themeColor="text1"/>
          <w:sz w:val="24"/>
          <w14:textFill>
            <w14:solidFill>
              <w14:schemeClr w14:val="tx1"/>
            </w14:solidFill>
          </w14:textFill>
        </w:rPr>
        <w:t>第二章  招标需求</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_Toc24032 \h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8</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29"/>
        <w:tabs>
          <w:tab w:val="right" w:leader="dot" w:pos="8959"/>
        </w:tabs>
        <w:spacing w:line="600" w:lineRule="auto"/>
        <w:rPr>
          <w:rFonts w:ascii="宋体" w:hAnsi="宋体" w:cs="宋体"/>
          <w:b/>
          <w:bCs/>
          <w:color w:val="000000" w:themeColor="text1"/>
          <w:sz w:val="24"/>
          <w14:textFill>
            <w14:solidFill>
              <w14:schemeClr w14:val="tx1"/>
            </w14:solidFill>
          </w14:textFill>
        </w:rPr>
      </w:pPr>
      <w:r>
        <w:fldChar w:fldCharType="begin"/>
      </w:r>
      <w:r>
        <w:instrText xml:space="preserve"> HYPERLINK \l "_Toc8602" </w:instrText>
      </w:r>
      <w:r>
        <w:fldChar w:fldCharType="separate"/>
      </w:r>
      <w:r>
        <w:rPr>
          <w:rFonts w:hint="eastAsia" w:ascii="宋体" w:hAnsi="宋体" w:cs="宋体"/>
          <w:b/>
          <w:bCs/>
          <w:color w:val="000000" w:themeColor="text1"/>
          <w:sz w:val="24"/>
          <w14:textFill>
            <w14:solidFill>
              <w14:schemeClr w14:val="tx1"/>
            </w14:solidFill>
          </w14:textFill>
        </w:rPr>
        <w:t>第三章  投标人须知</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_Toc8602 \h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16</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29"/>
        <w:tabs>
          <w:tab w:val="right" w:leader="dot" w:pos="8959"/>
        </w:tabs>
        <w:spacing w:line="600" w:lineRule="auto"/>
        <w:rPr>
          <w:rFonts w:ascii="宋体" w:hAnsi="宋体" w:cs="宋体"/>
          <w:b/>
          <w:bCs/>
          <w:color w:val="000000" w:themeColor="text1"/>
          <w:sz w:val="24"/>
          <w14:textFill>
            <w14:solidFill>
              <w14:schemeClr w14:val="tx1"/>
            </w14:solidFill>
          </w14:textFill>
        </w:rPr>
      </w:pPr>
      <w:r>
        <w:fldChar w:fldCharType="begin"/>
      </w:r>
      <w:r>
        <w:instrText xml:space="preserve"> HYPERLINK \l "_Toc26701" </w:instrText>
      </w:r>
      <w:r>
        <w:fldChar w:fldCharType="separate"/>
      </w:r>
      <w:r>
        <w:rPr>
          <w:rFonts w:hint="eastAsia" w:ascii="宋体" w:hAnsi="宋体" w:cs="宋体"/>
          <w:b/>
          <w:bCs/>
          <w:color w:val="000000" w:themeColor="text1"/>
          <w:sz w:val="24"/>
          <w14:textFill>
            <w14:solidFill>
              <w14:schemeClr w14:val="tx1"/>
            </w14:solidFill>
          </w14:textFill>
        </w:rPr>
        <w:t>前附表</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_Toc26701 \h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16</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29"/>
        <w:tabs>
          <w:tab w:val="right" w:leader="dot" w:pos="8959"/>
        </w:tabs>
        <w:spacing w:line="600" w:lineRule="auto"/>
        <w:rPr>
          <w:rFonts w:ascii="宋体" w:hAnsi="宋体" w:cs="宋体"/>
          <w:b/>
          <w:bCs/>
          <w:color w:val="000000" w:themeColor="text1"/>
          <w:sz w:val="24"/>
          <w14:textFill>
            <w14:solidFill>
              <w14:schemeClr w14:val="tx1"/>
            </w14:solidFill>
          </w14:textFill>
        </w:rPr>
      </w:pPr>
      <w:r>
        <w:fldChar w:fldCharType="begin"/>
      </w:r>
      <w:r>
        <w:instrText xml:space="preserve"> HYPERLINK \l "_Toc29961" </w:instrText>
      </w:r>
      <w:r>
        <w:fldChar w:fldCharType="separate"/>
      </w:r>
      <w:r>
        <w:rPr>
          <w:rFonts w:hint="eastAsia" w:ascii="宋体" w:hAnsi="宋体" w:cs="宋体"/>
          <w:b/>
          <w:bCs/>
          <w:color w:val="000000" w:themeColor="text1"/>
          <w:sz w:val="24"/>
          <w14:textFill>
            <w14:solidFill>
              <w14:schemeClr w14:val="tx1"/>
            </w14:solidFill>
          </w14:textFill>
        </w:rPr>
        <w:t>第四章  评标办法及评分标准</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_Toc29961 \h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27</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29"/>
        <w:tabs>
          <w:tab w:val="right" w:leader="dot" w:pos="8959"/>
        </w:tabs>
        <w:spacing w:line="600" w:lineRule="auto"/>
        <w:rPr>
          <w:rFonts w:ascii="宋体" w:hAnsi="宋体" w:cs="宋体"/>
          <w:b/>
          <w:bCs/>
          <w:color w:val="000000" w:themeColor="text1"/>
          <w:sz w:val="24"/>
          <w14:textFill>
            <w14:solidFill>
              <w14:schemeClr w14:val="tx1"/>
            </w14:solidFill>
          </w14:textFill>
        </w:rPr>
      </w:pPr>
      <w:r>
        <w:fldChar w:fldCharType="begin"/>
      </w:r>
      <w:r>
        <w:instrText xml:space="preserve"> HYPERLINK \l "_Toc19473" </w:instrText>
      </w:r>
      <w:r>
        <w:fldChar w:fldCharType="separate"/>
      </w:r>
      <w:r>
        <w:rPr>
          <w:rFonts w:hint="eastAsia" w:ascii="宋体" w:hAnsi="宋体" w:cs="宋体"/>
          <w:b/>
          <w:bCs/>
          <w:color w:val="000000" w:themeColor="text1"/>
          <w:sz w:val="24"/>
          <w14:textFill>
            <w14:solidFill>
              <w14:schemeClr w14:val="tx1"/>
            </w14:solidFill>
          </w14:textFill>
        </w:rPr>
        <w:t>第五章  政府采购合同主要条款</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_Toc19473 \h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33</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29"/>
        <w:tabs>
          <w:tab w:val="right" w:leader="dot" w:pos="8959"/>
        </w:tabs>
        <w:spacing w:line="600" w:lineRule="auto"/>
        <w:rPr>
          <w:rFonts w:ascii="宋体" w:hAnsi="宋体" w:cs="宋体"/>
          <w:b/>
          <w:bCs/>
          <w:color w:val="000000" w:themeColor="text1"/>
          <w:sz w:val="24"/>
          <w14:textFill>
            <w14:solidFill>
              <w14:schemeClr w14:val="tx1"/>
            </w14:solidFill>
          </w14:textFill>
        </w:rPr>
      </w:pPr>
      <w:r>
        <w:fldChar w:fldCharType="begin"/>
      </w:r>
      <w:r>
        <w:instrText xml:space="preserve"> HYPERLINK \l "_Toc19498" </w:instrText>
      </w:r>
      <w:r>
        <w:fldChar w:fldCharType="separate"/>
      </w:r>
      <w:r>
        <w:rPr>
          <w:rFonts w:hint="eastAsia" w:ascii="宋体" w:hAnsi="宋体" w:cs="宋体"/>
          <w:b/>
          <w:bCs/>
          <w:color w:val="000000" w:themeColor="text1"/>
          <w:sz w:val="24"/>
          <w14:textFill>
            <w14:solidFill>
              <w14:schemeClr w14:val="tx1"/>
            </w14:solidFill>
          </w14:textFill>
        </w:rPr>
        <w:t>第六章 投标文件格式</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_Toc19498 \h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38</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29"/>
        <w:tabs>
          <w:tab w:val="right" w:leader="dot" w:pos="8311"/>
        </w:tabs>
        <w:spacing w:line="600" w:lineRule="auto"/>
        <w:rPr>
          <w:rFonts w:ascii="宋体" w:hAnsi="宋体"/>
          <w:color w:val="000000" w:themeColor="text1"/>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fldChar w:fldCharType="end"/>
      </w:r>
    </w:p>
    <w:p>
      <w:pPr>
        <w:spacing w:line="360" w:lineRule="exact"/>
        <w:rPr>
          <w:rFonts w:ascii="宋体" w:hAnsi="宋体"/>
          <w:b/>
          <w:color w:val="000000" w:themeColor="text1"/>
          <w:szCs w:val="21"/>
          <w14:textFill>
            <w14:solidFill>
              <w14:schemeClr w14:val="tx1"/>
            </w14:solidFill>
          </w14:textFill>
        </w:rPr>
      </w:pPr>
    </w:p>
    <w:p>
      <w:pPr>
        <w:pStyle w:val="3"/>
        <w:spacing w:before="0" w:after="0" w:line="360" w:lineRule="auto"/>
        <w:jc w:val="center"/>
        <w:rPr>
          <w:rFonts w:ascii="宋体" w:hAnsi="宋体"/>
          <w:color w:val="000000" w:themeColor="text1"/>
          <w:sz w:val="30"/>
          <w14:textFill>
            <w14:solidFill>
              <w14:schemeClr w14:val="tx1"/>
            </w14:solidFill>
          </w14:textFill>
        </w:rPr>
        <w:sectPr>
          <w:footerReference r:id="rId5" w:type="first"/>
          <w:headerReference r:id="rId3" w:type="default"/>
          <w:footerReference r:id="rId4" w:type="default"/>
          <w:pgSz w:w="11907" w:h="16840"/>
          <w:pgMar w:top="1361" w:right="1474" w:bottom="1242" w:left="1474" w:header="720" w:footer="720" w:gutter="0"/>
          <w:cols w:space="720" w:num="1"/>
          <w:docGrid w:linePitch="285" w:charSpace="0"/>
        </w:sectPr>
      </w:pPr>
      <w:bookmarkStart w:id="0" w:name="_Toc460857890"/>
    </w:p>
    <w:p>
      <w:pPr>
        <w:pStyle w:val="3"/>
        <w:spacing w:before="0" w:after="0" w:line="360" w:lineRule="auto"/>
        <w:jc w:val="center"/>
        <w:rPr>
          <w:rFonts w:ascii="宋体" w:hAnsi="宋体"/>
          <w:color w:val="000000" w:themeColor="text1"/>
          <w:sz w:val="30"/>
          <w14:textFill>
            <w14:solidFill>
              <w14:schemeClr w14:val="tx1"/>
            </w14:solidFill>
          </w14:textFill>
        </w:rPr>
      </w:pPr>
      <w:bookmarkStart w:id="1" w:name="_Toc21020"/>
      <w:r>
        <w:rPr>
          <w:rFonts w:hint="eastAsia" w:ascii="宋体" w:hAnsi="宋体"/>
          <w:color w:val="000000" w:themeColor="text1"/>
          <w:sz w:val="30"/>
          <w14:textFill>
            <w14:solidFill>
              <w14:schemeClr w14:val="tx1"/>
            </w14:solidFill>
          </w14:textFill>
        </w:rPr>
        <w:t>第一章  采购公告</w:t>
      </w:r>
      <w:bookmarkEnd w:id="0"/>
      <w:bookmarkEnd w:id="1"/>
    </w:p>
    <w:p>
      <w:pPr>
        <w:rPr>
          <w:rFonts w:ascii="宋体" w:hAnsi="宋体"/>
          <w:color w:val="000000" w:themeColor="text1"/>
          <w14:textFill>
            <w14:solidFill>
              <w14:schemeClr w14:val="tx1"/>
            </w14:solidFill>
          </w14:textFill>
        </w:rPr>
      </w:pPr>
    </w:p>
    <w:p>
      <w:pPr>
        <w:rPr>
          <w:color w:val="000000" w:themeColor="text1"/>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项目概况：</w:t>
      </w:r>
      <w:r>
        <w:rPr>
          <w:rFonts w:hint="eastAsia" w:asciiTheme="minorEastAsia" w:hAnsiTheme="minorEastAsia" w:eastAsiaTheme="minorEastAsia" w:cstheme="minorEastAsia"/>
          <w:snapToGrid w:val="0"/>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Cs w:val="21"/>
          <w:u w:val="single"/>
          <w:lang w:eastAsia="zh-CN"/>
          <w14:textFill>
            <w14:solidFill>
              <w14:schemeClr w14:val="tx1"/>
            </w14:solidFill>
          </w14:textFill>
        </w:rPr>
        <w:t>北京航空航天大学宁波创新研究院飞机刹车惯性台采购项目</w:t>
      </w:r>
      <w:r>
        <w:rPr>
          <w:rFonts w:hint="eastAsia" w:asciiTheme="minorEastAsia" w:hAnsiTheme="minorEastAsia" w:eastAsiaTheme="minorEastAsia" w:cstheme="minorEastAsia"/>
          <w:snapToGrid w:val="0"/>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招标项目的潜在投标人应在</w:t>
      </w:r>
      <w:r>
        <w:rPr>
          <w:rFonts w:hint="eastAsia" w:asciiTheme="minorEastAsia" w:hAnsiTheme="minorEastAsia" w:eastAsiaTheme="minorEastAsia" w:cstheme="minorEastAsia"/>
          <w:snapToGrid w:val="0"/>
          <w:color w:val="000000" w:themeColor="text1"/>
          <w:kern w:val="0"/>
          <w:szCs w:val="21"/>
          <w:u w:val="single"/>
          <w14:textFill>
            <w14:solidFill>
              <w14:schemeClr w14:val="tx1"/>
            </w14:solidFill>
          </w14:textFill>
        </w:rPr>
        <w:t>政采云平台</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获取招标文件，并于</w:t>
      </w:r>
      <w:r>
        <w:rPr>
          <w:rFonts w:hint="eastAsia" w:asciiTheme="minorEastAsia" w:hAnsiTheme="minorEastAsia" w:eastAsiaTheme="minorEastAsia" w:cstheme="minorEastAsia"/>
          <w:snapToGrid w:val="0"/>
          <w:color w:val="000000" w:themeColor="text1"/>
          <w:kern w:val="0"/>
          <w:szCs w:val="21"/>
          <w:u w:val="single"/>
          <w14:textFill>
            <w14:solidFill>
              <w14:schemeClr w14:val="tx1"/>
            </w14:solidFill>
          </w14:textFill>
        </w:rPr>
        <w:t xml:space="preserve"> 2022 </w:t>
      </w:r>
      <w:r>
        <w:rPr>
          <w:rFonts w:hint="eastAsia" w:asciiTheme="minorEastAsia" w:hAnsiTheme="minorEastAsia" w:eastAsiaTheme="minorEastAsia" w:cstheme="minorEastAsia"/>
          <w:bCs/>
          <w:snapToGrid w:val="0"/>
          <w:color w:val="000000" w:themeColor="text1"/>
          <w:kern w:val="0"/>
          <w:szCs w:val="21"/>
          <w:u w:val="single"/>
          <w14:textFill>
            <w14:solidFill>
              <w14:schemeClr w14:val="tx1"/>
            </w14:solidFill>
          </w14:textFill>
        </w:rPr>
        <w:t>年</w:t>
      </w:r>
      <w:r>
        <w:rPr>
          <w:rFonts w:hint="eastAsia" w:asciiTheme="minorEastAsia" w:hAnsiTheme="minorEastAsia" w:eastAsiaTheme="minorEastAsia" w:cstheme="minorEastAsia"/>
          <w:bCs/>
          <w:snapToGrid w:val="0"/>
          <w:color w:val="000000" w:themeColor="text1"/>
          <w:kern w:val="0"/>
          <w:szCs w:val="21"/>
          <w:u w:val="single"/>
          <w:lang w:val="en-US" w:eastAsia="zh-CN"/>
          <w14:textFill>
            <w14:solidFill>
              <w14:schemeClr w14:val="tx1"/>
            </w14:solidFill>
          </w14:textFill>
        </w:rPr>
        <w:t>12</w:t>
      </w:r>
      <w:r>
        <w:rPr>
          <w:rFonts w:hint="eastAsia" w:asciiTheme="minorEastAsia" w:hAnsiTheme="minorEastAsia" w:eastAsiaTheme="minorEastAsia" w:cstheme="minorEastAsia"/>
          <w:bCs/>
          <w:snapToGrid w:val="0"/>
          <w:color w:val="000000" w:themeColor="text1"/>
          <w:kern w:val="0"/>
          <w:szCs w:val="21"/>
          <w:u w:val="single"/>
          <w14:textFill>
            <w14:solidFill>
              <w14:schemeClr w14:val="tx1"/>
            </w14:solidFill>
          </w14:textFill>
        </w:rPr>
        <w:t>月</w:t>
      </w:r>
      <w:r>
        <w:rPr>
          <w:rFonts w:hint="eastAsia" w:asciiTheme="minorEastAsia" w:hAnsiTheme="minorEastAsia" w:eastAsiaTheme="minorEastAsia" w:cstheme="minorEastAsia"/>
          <w:bCs/>
          <w:snapToGrid w:val="0"/>
          <w:color w:val="000000" w:themeColor="text1"/>
          <w:kern w:val="0"/>
          <w:szCs w:val="21"/>
          <w:u w:val="single"/>
          <w:lang w:val="en-US" w:eastAsia="zh-CN"/>
          <w14:textFill>
            <w14:solidFill>
              <w14:schemeClr w14:val="tx1"/>
            </w14:solidFill>
          </w14:textFill>
        </w:rPr>
        <w:t>29</w:t>
      </w:r>
      <w:r>
        <w:rPr>
          <w:rFonts w:hint="eastAsia" w:asciiTheme="minorEastAsia" w:hAnsiTheme="minorEastAsia" w:eastAsiaTheme="minorEastAsia" w:cstheme="minorEastAsia"/>
          <w:bCs/>
          <w:snapToGrid w:val="0"/>
          <w:color w:val="000000" w:themeColor="text1"/>
          <w:kern w:val="0"/>
          <w:szCs w:val="21"/>
          <w:u w:val="single"/>
          <w14:textFill>
            <w14:solidFill>
              <w14:schemeClr w14:val="tx1"/>
            </w14:solidFill>
          </w14:textFill>
        </w:rPr>
        <w:t>日</w:t>
      </w:r>
      <w:r>
        <w:rPr>
          <w:rFonts w:hint="eastAsia" w:asciiTheme="minorEastAsia" w:hAnsiTheme="minorEastAsia" w:eastAsiaTheme="minorEastAsia" w:cstheme="minorEastAsia"/>
          <w:bCs/>
          <w:snapToGrid w:val="0"/>
          <w:color w:val="000000" w:themeColor="text1"/>
          <w:kern w:val="0"/>
          <w:szCs w:val="21"/>
          <w:u w:val="single"/>
          <w:lang w:val="en-US" w:eastAsia="zh-CN"/>
          <w14:textFill>
            <w14:solidFill>
              <w14:schemeClr w14:val="tx1"/>
            </w14:solidFill>
          </w14:textFill>
        </w:rPr>
        <w:t>14</w:t>
      </w:r>
      <w:r>
        <w:rPr>
          <w:rFonts w:hint="eastAsia" w:asciiTheme="minorEastAsia" w:hAnsiTheme="minorEastAsia" w:eastAsiaTheme="minorEastAsia" w:cstheme="minorEastAsia"/>
          <w:bCs/>
          <w:snapToGrid w:val="0"/>
          <w:color w:val="000000" w:themeColor="text1"/>
          <w:kern w:val="0"/>
          <w:szCs w:val="21"/>
          <w:u w:val="single"/>
          <w14:textFill>
            <w14:solidFill>
              <w14:schemeClr w14:val="tx1"/>
            </w14:solidFill>
          </w14:textFill>
        </w:rPr>
        <w:t xml:space="preserve">点00分 </w:t>
      </w:r>
      <w:r>
        <w:rPr>
          <w:rFonts w:hint="eastAsia" w:asciiTheme="minorEastAsia" w:hAnsiTheme="minorEastAsia" w:eastAsiaTheme="minorEastAsia" w:cstheme="minorEastAsia"/>
          <w:bCs/>
          <w:snapToGrid w:val="0"/>
          <w:color w:val="000000" w:themeColor="text1"/>
          <w:kern w:val="0"/>
          <w:szCs w:val="21"/>
          <w14:textFill>
            <w14:solidFill>
              <w14:schemeClr w14:val="tx1"/>
            </w14:solidFill>
          </w14:textFill>
        </w:rPr>
        <w:t>（北京时间）前递交投标文件</w:t>
      </w: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w:t>
      </w:r>
    </w:p>
    <w:p>
      <w:pPr>
        <w:wordWrap w:val="0"/>
        <w:spacing w:line="360" w:lineRule="auto"/>
        <w:rPr>
          <w:rFonts w:ascii="宋体" w:hAnsi="宋体"/>
          <w:b/>
          <w:color w:val="000000" w:themeColor="text1"/>
          <w:szCs w:val="21"/>
          <w14:textFill>
            <w14:solidFill>
              <w14:schemeClr w14:val="tx1"/>
            </w14:solidFill>
          </w14:textFill>
        </w:rPr>
      </w:pPr>
      <w:bookmarkStart w:id="2" w:name="_Toc28359079"/>
      <w:bookmarkStart w:id="3" w:name="_Toc28359002"/>
      <w:bookmarkStart w:id="4" w:name="_Toc35393790"/>
      <w:bookmarkStart w:id="5" w:name="_Hlk24379207"/>
      <w:bookmarkStart w:id="6" w:name="_Toc35393621"/>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rFonts w:hint="eastAsia" w:ascii="宋体" w:hAnsi="宋体"/>
          <w:b/>
          <w:color w:val="000000" w:themeColor="text1"/>
          <w:szCs w:val="21"/>
          <w14:textFill>
            <w14:solidFill>
              <w14:schemeClr w14:val="tx1"/>
            </w14:solidFill>
          </w14:textFill>
        </w:rPr>
        <w:t>一、项目基本情况</w:t>
      </w:r>
    </w:p>
    <w:p>
      <w:pPr>
        <w:wordWrap w:val="0"/>
        <w:spacing w:line="360" w:lineRule="auto"/>
        <w:ind w:firstLine="420"/>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项目编号：</w:t>
      </w:r>
      <w:r>
        <w:rPr>
          <w:rFonts w:hint="eastAsia" w:ascii="宋体" w:hAnsi="宋体"/>
          <w:color w:val="000000" w:themeColor="text1"/>
          <w:szCs w:val="21"/>
          <w:lang w:eastAsia="zh-CN"/>
          <w14:textFill>
            <w14:solidFill>
              <w14:schemeClr w14:val="tx1"/>
            </w14:solidFill>
          </w14:textFill>
        </w:rPr>
        <w:t>CBNB-20223335G</w:t>
      </w:r>
    </w:p>
    <w:p>
      <w:pPr>
        <w:wordWrap w:val="0"/>
        <w:spacing w:line="360" w:lineRule="auto"/>
        <w:ind w:firstLine="420"/>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项目名称：</w:t>
      </w:r>
      <w:r>
        <w:rPr>
          <w:rFonts w:hint="eastAsia" w:ascii="宋体" w:hAnsi="宋体"/>
          <w:color w:val="000000" w:themeColor="text1"/>
          <w:szCs w:val="21"/>
          <w:lang w:eastAsia="zh-CN"/>
          <w14:textFill>
            <w14:solidFill>
              <w14:schemeClr w14:val="tx1"/>
            </w14:solidFill>
          </w14:textFill>
        </w:rPr>
        <w:t>北京航空航天大学宁波创新研究院飞机刹车惯性台采购项目</w:t>
      </w:r>
    </w:p>
    <w:p>
      <w:pPr>
        <w:wordWrap w:val="0"/>
        <w:spacing w:line="360" w:lineRule="auto"/>
        <w:ind w:firstLine="420"/>
        <w:rPr>
          <w:rFonts w:hint="default"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预算金额（元）：</w:t>
      </w:r>
      <w:r>
        <w:rPr>
          <w:rFonts w:hint="eastAsia" w:ascii="宋体" w:hAnsi="宋体"/>
          <w:color w:val="000000" w:themeColor="text1"/>
          <w:szCs w:val="21"/>
          <w:lang w:val="en-US" w:eastAsia="zh-CN"/>
          <w14:textFill>
            <w14:solidFill>
              <w14:schemeClr w14:val="tx1"/>
            </w14:solidFill>
          </w14:textFill>
        </w:rPr>
        <w:t>4100000</w:t>
      </w:r>
    </w:p>
    <w:p>
      <w:pPr>
        <w:wordWrap w:val="0"/>
        <w:spacing w:line="360" w:lineRule="auto"/>
        <w:ind w:firstLine="420"/>
        <w:rPr>
          <w:rFonts w:hint="default"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最高限价（元）：</w:t>
      </w:r>
      <w:r>
        <w:rPr>
          <w:rFonts w:hint="eastAsia" w:ascii="宋体" w:hAnsi="宋体"/>
          <w:color w:val="000000" w:themeColor="text1"/>
          <w:szCs w:val="21"/>
          <w:lang w:val="en-US" w:eastAsia="zh-CN"/>
          <w14:textFill>
            <w14:solidFill>
              <w14:schemeClr w14:val="tx1"/>
            </w14:solidFill>
          </w14:textFill>
        </w:rPr>
        <w:t>3895000</w:t>
      </w:r>
    </w:p>
    <w:p>
      <w:pPr>
        <w:wordWrap w:val="0"/>
        <w:spacing w:line="360" w:lineRule="auto"/>
        <w:ind w:firstLine="42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采购需求：</w:t>
      </w:r>
    </w:p>
    <w:p>
      <w:pPr>
        <w:wordWrap w:val="0"/>
        <w:spacing w:line="360" w:lineRule="auto"/>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标项：</w:t>
      </w:r>
      <w:r>
        <w:rPr>
          <w:rFonts w:ascii="宋体" w:hAnsi="宋体"/>
          <w:color w:val="000000" w:themeColor="text1"/>
          <w:szCs w:val="21"/>
          <w14:textFill>
            <w14:solidFill>
              <w14:schemeClr w14:val="tx1"/>
            </w14:solidFill>
          </w14:textFill>
        </w:rPr>
        <w:t>一</w:t>
      </w:r>
    </w:p>
    <w:p>
      <w:pPr>
        <w:wordWrap w:val="0"/>
        <w:spacing w:line="360" w:lineRule="auto"/>
        <w:ind w:firstLine="420"/>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标项名称：</w:t>
      </w:r>
      <w:r>
        <w:rPr>
          <w:rFonts w:hint="eastAsia" w:ascii="宋体" w:hAnsi="宋体"/>
          <w:color w:val="000000" w:themeColor="text1"/>
          <w:szCs w:val="21"/>
          <w:lang w:eastAsia="zh-CN"/>
          <w14:textFill>
            <w14:solidFill>
              <w14:schemeClr w14:val="tx1"/>
            </w14:solidFill>
          </w14:textFill>
        </w:rPr>
        <w:t>飞机刹车惯性台</w:t>
      </w:r>
    </w:p>
    <w:p>
      <w:pPr>
        <w:wordWrap w:val="0"/>
        <w:spacing w:line="360" w:lineRule="auto"/>
        <w:ind w:firstLine="42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数量：</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p>
      <w:pPr>
        <w:wordWrap w:val="0"/>
        <w:spacing w:line="360" w:lineRule="auto"/>
        <w:ind w:firstLine="42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预算金额（元）：</w:t>
      </w:r>
      <w:r>
        <w:rPr>
          <w:rFonts w:hint="eastAsia" w:ascii="宋体" w:hAnsi="宋体"/>
          <w:color w:val="000000" w:themeColor="text1"/>
          <w:szCs w:val="21"/>
          <w:lang w:val="en-US" w:eastAsia="zh-CN"/>
          <w14:textFill>
            <w14:solidFill>
              <w14:schemeClr w14:val="tx1"/>
            </w14:solidFill>
          </w14:textFill>
        </w:rPr>
        <w:t>4100000</w:t>
      </w:r>
    </w:p>
    <w:p>
      <w:pPr>
        <w:wordWrap w:val="0"/>
        <w:spacing w:line="360" w:lineRule="auto"/>
        <w:ind w:firstLine="42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简要规格描述或项目基本概况介绍、用途：</w:t>
      </w:r>
      <w:r>
        <w:rPr>
          <w:rFonts w:hint="eastAsia" w:ascii="宋体" w:hAnsi="宋体"/>
          <w:color w:val="000000" w:themeColor="text1"/>
          <w:szCs w:val="21"/>
          <w14:textFill>
            <w14:solidFill>
              <w14:schemeClr w14:val="tx1"/>
            </w14:solidFill>
          </w14:textFill>
        </w:rPr>
        <w:t>功率：飞机刹车惯性台是进行飞机刹车系统研究的核心支撑设备，由惯量模拟系统、惯量驱动系统、载荷压下系统、综合测控系统、机械台架等组成；具体详见第二章采购需求。本项目不允许采购进口设备。</w:t>
      </w:r>
    </w:p>
    <w:p>
      <w:pPr>
        <w:wordWrap w:val="0"/>
        <w:spacing w:line="360" w:lineRule="auto"/>
        <w:ind w:firstLine="42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备注：详细采购需求见本公告附件</w:t>
      </w:r>
      <w:r>
        <w:rPr>
          <w:rFonts w:hint="eastAsia" w:ascii="宋体" w:hAnsi="宋体"/>
          <w:color w:val="000000" w:themeColor="text1"/>
          <w:szCs w:val="21"/>
          <w14:textFill>
            <w14:solidFill>
              <w14:schemeClr w14:val="tx1"/>
            </w14:solidFill>
          </w14:textFill>
        </w:rPr>
        <w:t>。</w:t>
      </w:r>
    </w:p>
    <w:p>
      <w:pPr>
        <w:wordWrap w:val="0"/>
        <w:spacing w:line="360" w:lineRule="auto"/>
        <w:ind w:firstLine="42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合同履约期限：</w:t>
      </w:r>
      <w:r>
        <w:rPr>
          <w:rFonts w:hint="eastAsia" w:ascii="宋体" w:hAnsi="宋体"/>
          <w:color w:val="000000" w:themeColor="text1"/>
          <w:szCs w:val="21"/>
          <w14:textFill>
            <w14:solidFill>
              <w14:schemeClr w14:val="tx1"/>
            </w14:solidFill>
          </w14:textFill>
        </w:rPr>
        <w:t>合同签订后</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12</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个月内（含国定节假日）完成安装调试并</w:t>
      </w:r>
      <w:r>
        <w:rPr>
          <w:rFonts w:ascii="宋体" w:hAnsi="宋体"/>
          <w:color w:val="000000" w:themeColor="text1"/>
          <w:szCs w:val="21"/>
          <w14:textFill>
            <w14:solidFill>
              <w14:schemeClr w14:val="tx1"/>
            </w14:solidFill>
          </w14:textFill>
        </w:rPr>
        <w:t>验收合格</w:t>
      </w:r>
      <w:r>
        <w:rPr>
          <w:rFonts w:hint="eastAsia" w:ascii="宋体" w:hAnsi="宋体"/>
          <w:color w:val="000000" w:themeColor="text1"/>
          <w:szCs w:val="21"/>
          <w14:textFill>
            <w14:solidFill>
              <w14:schemeClr w14:val="tx1"/>
            </w14:solidFill>
          </w14:textFill>
        </w:rPr>
        <w:t>。</w:t>
      </w:r>
    </w:p>
    <w:p>
      <w:pPr>
        <w:wordWrap w:val="0"/>
        <w:spacing w:line="360" w:lineRule="auto"/>
        <w:ind w:firstLine="42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本项目（否）接受联合体投标。</w:t>
      </w:r>
    </w:p>
    <w:bookmarkEnd w:id="2"/>
    <w:bookmarkEnd w:id="3"/>
    <w:bookmarkEnd w:id="4"/>
    <w:bookmarkEnd w:id="5"/>
    <w:bookmarkEnd w:id="6"/>
    <w:p>
      <w:pPr>
        <w:pStyle w:val="4"/>
        <w:numPr>
          <w:ilvl w:val="1"/>
          <w:numId w:val="0"/>
        </w:numPr>
        <w:spacing w:before="0" w:after="0" w:line="360" w:lineRule="auto"/>
        <w:ind w:left="420" w:leftChars="200"/>
        <w:rPr>
          <w:rFonts w:asciiTheme="minorEastAsia" w:hAnsiTheme="minorEastAsia" w:eastAsiaTheme="minorEastAsia" w:cstheme="minorEastAsia"/>
          <w:b w:val="0"/>
          <w:snapToGrid w:val="0"/>
          <w:color w:val="000000" w:themeColor="text1"/>
          <w:kern w:val="0"/>
          <w:sz w:val="21"/>
          <w:szCs w:val="21"/>
          <w14:textFill>
            <w14:solidFill>
              <w14:schemeClr w14:val="tx1"/>
            </w14:solidFill>
          </w14:textFill>
        </w:rPr>
      </w:pPr>
      <w:bookmarkStart w:id="7" w:name="_Toc9821"/>
      <w:bookmarkStart w:id="8" w:name="_Toc21439"/>
      <w:r>
        <w:rPr>
          <w:rFonts w:hint="eastAsia" w:asciiTheme="minorEastAsia" w:hAnsiTheme="minorEastAsia" w:eastAsiaTheme="minorEastAsia" w:cstheme="minorEastAsia"/>
          <w:bCs w:val="0"/>
          <w:snapToGrid w:val="0"/>
          <w:color w:val="000000" w:themeColor="text1"/>
          <w:kern w:val="0"/>
          <w:sz w:val="21"/>
          <w:szCs w:val="21"/>
          <w14:textFill>
            <w14:solidFill>
              <w14:schemeClr w14:val="tx1"/>
            </w14:solidFill>
          </w14:textFill>
        </w:rPr>
        <w:t>二、申请人的资格要求</w:t>
      </w:r>
      <w:bookmarkEnd w:id="7"/>
      <w:bookmarkEnd w:id="8"/>
    </w:p>
    <w:p>
      <w:pPr>
        <w:pStyle w:val="36"/>
        <w:snapToGrid w:val="0"/>
        <w:spacing w:before="0" w:beforeAutospacing="0" w:after="0" w:afterAutospacing="0" w:line="360" w:lineRule="auto"/>
        <w:ind w:firstLine="420"/>
        <w:rPr>
          <w:rFonts w:ascii="Arial" w:hAnsi="Arial" w:cs="Arial" w:eastAsiaTheme="minorEastAsia"/>
          <w:color w:val="000000" w:themeColor="text1"/>
          <w:sz w:val="21"/>
          <w14:textFill>
            <w14:solidFill>
              <w14:schemeClr w14:val="tx1"/>
            </w14:solidFill>
          </w14:textFill>
        </w:rPr>
      </w:pPr>
      <w:bookmarkStart w:id="9" w:name="_Toc35393792"/>
      <w:bookmarkStart w:id="10" w:name="_Toc35393623"/>
      <w:bookmarkStart w:id="11" w:name="_Toc28359081"/>
      <w:bookmarkStart w:id="12" w:name="_Toc28359004"/>
      <w:r>
        <w:rPr>
          <w:rFonts w:ascii="Arial" w:hAnsi="Arial" w:cs="Arial" w:eastAsiaTheme="minorEastAsia"/>
          <w:color w:val="000000" w:themeColor="text1"/>
          <w:sz w:val="21"/>
          <w:szCs w:val="27"/>
          <w14:textFill>
            <w14:solidFill>
              <w14:schemeClr w14:val="tx1"/>
            </w14:solidFill>
          </w14:textFill>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36"/>
        <w:snapToGrid w:val="0"/>
        <w:spacing w:before="0" w:beforeAutospacing="0" w:after="0" w:afterAutospacing="0" w:line="360" w:lineRule="auto"/>
        <w:ind w:firstLine="420"/>
        <w:rPr>
          <w:rFonts w:ascii="Arial" w:hAnsi="Arial" w:cs="Arial" w:eastAsiaTheme="minorEastAsia"/>
          <w:color w:val="000000" w:themeColor="text1"/>
          <w:sz w:val="21"/>
          <w14:textFill>
            <w14:solidFill>
              <w14:schemeClr w14:val="tx1"/>
            </w14:solidFill>
          </w14:textFill>
        </w:rPr>
      </w:pPr>
      <w:r>
        <w:rPr>
          <w:rFonts w:ascii="Arial" w:hAnsi="Arial" w:cs="Arial" w:eastAsiaTheme="minorEastAsia"/>
          <w:color w:val="000000" w:themeColor="text1"/>
          <w:sz w:val="21"/>
          <w:szCs w:val="27"/>
          <w14:textFill>
            <w14:solidFill>
              <w14:schemeClr w14:val="tx1"/>
            </w14:solidFill>
          </w14:textFill>
        </w:rPr>
        <w:t>2.落实政府采购政策需满足的资格要求：无</w:t>
      </w:r>
    </w:p>
    <w:p>
      <w:pPr>
        <w:spacing w:line="360" w:lineRule="auto"/>
        <w:ind w:firstLine="420" w:firstLineChars="200"/>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ascii="Arial" w:hAnsi="Arial" w:cs="Arial" w:eastAsiaTheme="minorEastAsia"/>
          <w:color w:val="000000" w:themeColor="text1"/>
          <w:szCs w:val="27"/>
          <w14:textFill>
            <w14:solidFill>
              <w14:schemeClr w14:val="tx1"/>
            </w14:solidFill>
          </w14:textFill>
        </w:rPr>
        <w:t>3.本项目的特定资格要求：</w:t>
      </w:r>
      <w:r>
        <w:rPr>
          <w:rFonts w:hint="eastAsia" w:ascii="Arial" w:hAnsi="Arial" w:cs="Arial" w:eastAsiaTheme="minorEastAsia"/>
          <w:color w:val="000000" w:themeColor="text1"/>
          <w:szCs w:val="27"/>
          <w14:textFill>
            <w14:solidFill>
              <w14:schemeClr w14:val="tx1"/>
            </w14:solidFill>
          </w14:textFill>
        </w:rPr>
        <w:t>无</w:t>
      </w:r>
    </w:p>
    <w:p>
      <w:pPr>
        <w:pStyle w:val="4"/>
        <w:numPr>
          <w:ilvl w:val="1"/>
          <w:numId w:val="0"/>
        </w:numPr>
        <w:spacing w:before="0" w:after="0" w:line="360" w:lineRule="auto"/>
        <w:ind w:left="420" w:leftChars="200"/>
        <w:rPr>
          <w:rFonts w:asciiTheme="minorEastAsia" w:hAnsiTheme="minorEastAsia" w:eastAsiaTheme="minorEastAsia" w:cstheme="minorEastAsia"/>
          <w:bCs w:val="0"/>
          <w:snapToGrid w:val="0"/>
          <w:color w:val="000000" w:themeColor="text1"/>
          <w:kern w:val="0"/>
          <w:sz w:val="21"/>
          <w:szCs w:val="21"/>
          <w14:textFill>
            <w14:solidFill>
              <w14:schemeClr w14:val="tx1"/>
            </w14:solidFill>
          </w14:textFill>
        </w:rPr>
      </w:pPr>
      <w:bookmarkStart w:id="13" w:name="_Toc21581"/>
      <w:bookmarkStart w:id="14" w:name="_Toc6581"/>
      <w:r>
        <w:rPr>
          <w:rFonts w:hint="eastAsia" w:asciiTheme="minorEastAsia" w:hAnsiTheme="minorEastAsia" w:eastAsiaTheme="minorEastAsia" w:cstheme="minorEastAsia"/>
          <w:bCs w:val="0"/>
          <w:snapToGrid w:val="0"/>
          <w:color w:val="000000" w:themeColor="text1"/>
          <w:kern w:val="0"/>
          <w:sz w:val="21"/>
          <w:szCs w:val="21"/>
          <w14:textFill>
            <w14:solidFill>
              <w14:schemeClr w14:val="tx1"/>
            </w14:solidFill>
          </w14:textFill>
        </w:rPr>
        <w:t>三、获取招标文件</w:t>
      </w:r>
      <w:bookmarkEnd w:id="9"/>
      <w:bookmarkEnd w:id="10"/>
      <w:bookmarkEnd w:id="11"/>
      <w:bookmarkEnd w:id="12"/>
      <w:bookmarkEnd w:id="13"/>
      <w:bookmarkEnd w:id="14"/>
    </w:p>
    <w:p>
      <w:pPr>
        <w:pStyle w:val="36"/>
        <w:snapToGrid w:val="0"/>
        <w:spacing w:before="0" w:beforeAutospacing="0" w:after="0" w:afterAutospacing="0" w:line="360" w:lineRule="auto"/>
        <w:ind w:firstLine="420"/>
        <w:rPr>
          <w:rFonts w:ascii="Arial" w:hAnsi="Arial" w:cs="Arial" w:eastAsiaTheme="minorEastAsia"/>
          <w:color w:val="000000" w:themeColor="text1"/>
          <w:sz w:val="21"/>
          <w:szCs w:val="21"/>
          <w14:textFill>
            <w14:solidFill>
              <w14:schemeClr w14:val="tx1"/>
            </w14:solidFill>
          </w14:textFill>
        </w:rPr>
      </w:pPr>
      <w:bookmarkStart w:id="15" w:name="_Toc28359082"/>
      <w:bookmarkStart w:id="16" w:name="_Toc28359005"/>
      <w:bookmarkStart w:id="17" w:name="_Toc35393624"/>
      <w:bookmarkStart w:id="18" w:name="_Toc35393793"/>
      <w:r>
        <w:rPr>
          <w:rFonts w:hint="eastAsia" w:ascii="Arial" w:hAnsi="Arial" w:cs="Arial" w:eastAsiaTheme="minorEastAsia"/>
          <w:color w:val="000000" w:themeColor="text1"/>
          <w:sz w:val="21"/>
          <w:szCs w:val="21"/>
          <w14:textFill>
            <w14:solidFill>
              <w14:schemeClr w14:val="tx1"/>
            </w14:solidFill>
          </w14:textFill>
        </w:rPr>
        <w:t>时间：/至投标截止时间前，每天上午00:00至12:00，下午12:00至23:59（北京时间，线上获取法定节假日均可，线下获取文件法定节假日除外）</w:t>
      </w:r>
    </w:p>
    <w:p>
      <w:pPr>
        <w:pStyle w:val="36"/>
        <w:snapToGrid w:val="0"/>
        <w:spacing w:before="0" w:beforeAutospacing="0" w:after="0" w:afterAutospacing="0" w:line="360" w:lineRule="auto"/>
        <w:ind w:firstLine="420"/>
        <w:rPr>
          <w:rFonts w:ascii="Arial" w:hAnsi="Arial" w:cs="Arial" w:eastAsiaTheme="minorEastAsia"/>
          <w:color w:val="000000" w:themeColor="text1"/>
          <w:sz w:val="21"/>
          <w:szCs w:val="21"/>
          <w:u w:val="single"/>
          <w14:textFill>
            <w14:solidFill>
              <w14:schemeClr w14:val="tx1"/>
            </w14:solidFill>
          </w14:textFill>
        </w:rPr>
      </w:pPr>
      <w:r>
        <w:rPr>
          <w:rFonts w:hint="eastAsia" w:ascii="Arial" w:hAnsi="Arial" w:cs="Arial" w:eastAsiaTheme="minorEastAsia"/>
          <w:color w:val="000000" w:themeColor="text1"/>
          <w:sz w:val="21"/>
          <w:szCs w:val="21"/>
          <w14:textFill>
            <w14:solidFill>
              <w14:schemeClr w14:val="tx1"/>
            </w14:solidFill>
          </w14:textFill>
        </w:rPr>
        <w:t>地点：政采云平台。</w:t>
      </w:r>
    </w:p>
    <w:p>
      <w:pPr>
        <w:pStyle w:val="36"/>
        <w:snapToGrid w:val="0"/>
        <w:spacing w:before="0" w:beforeAutospacing="0" w:after="0" w:afterAutospacing="0" w:line="360" w:lineRule="auto"/>
        <w:ind w:firstLine="420"/>
        <w:jc w:val="both"/>
        <w:rPr>
          <w:rFonts w:ascii="Arial" w:hAnsi="Arial" w:cs="Arial" w:eastAsiaTheme="minorEastAsia"/>
          <w:color w:val="000000" w:themeColor="text1"/>
          <w:sz w:val="21"/>
          <w:szCs w:val="21"/>
          <w14:textFill>
            <w14:solidFill>
              <w14:schemeClr w14:val="tx1"/>
            </w14:solidFill>
          </w14:textFill>
        </w:rPr>
      </w:pPr>
      <w:r>
        <w:rPr>
          <w:rFonts w:hint="eastAsia" w:ascii="Arial" w:hAnsi="Arial" w:cs="Arial" w:eastAsiaTheme="minorEastAsia"/>
          <w:color w:val="000000" w:themeColor="text1"/>
          <w:sz w:val="21"/>
          <w:szCs w:val="21"/>
          <w14:textFill>
            <w14:solidFill>
              <w14:schemeClr w14:val="tx1"/>
            </w14:solidFill>
          </w14:textFill>
        </w:rPr>
        <w:t xml:space="preserve">方式：（1）本项目不提供纸制版招标文件，供应商可通过“浙江政府采购网”在线获取（采购公告下方选取“潜在供应商”处“获取招标文件”）；供应商只有在“浙江政府采购网”完成获取招标文件申请并下载了招标文件后才视作依法获取招标文件（法律法规所指的供应商获取招标文件时间以供应商完成获取招标文件申请后下载招标文件的时间为准）；供应商网上报名操作指南： http://zfcg.czt.zj.gov.cn/bs_other/2018-03-30/12002.html?_=2018-03-30 11:40:47。 </w:t>
      </w:r>
    </w:p>
    <w:p>
      <w:pPr>
        <w:pStyle w:val="36"/>
        <w:snapToGrid w:val="0"/>
        <w:spacing w:before="0" w:beforeAutospacing="0" w:after="0" w:afterAutospacing="0" w:line="360" w:lineRule="auto"/>
        <w:ind w:firstLine="420"/>
        <w:jc w:val="both"/>
        <w:rPr>
          <w:rFonts w:ascii="Arial" w:hAnsi="Arial" w:cs="Arial" w:eastAsiaTheme="minorEastAsia"/>
          <w:color w:val="000000" w:themeColor="text1"/>
          <w:sz w:val="21"/>
          <w:szCs w:val="21"/>
          <w14:textFill>
            <w14:solidFill>
              <w14:schemeClr w14:val="tx1"/>
            </w14:solidFill>
          </w14:textFill>
        </w:rPr>
      </w:pPr>
      <w:r>
        <w:rPr>
          <w:rFonts w:hint="eastAsia" w:ascii="Arial" w:hAnsi="Arial" w:cs="Arial" w:eastAsiaTheme="minorEastAsia"/>
          <w:color w:val="000000" w:themeColor="text1"/>
          <w:sz w:val="21"/>
          <w:szCs w:val="21"/>
          <w14:textFill>
            <w14:solidFill>
              <w14:schemeClr w14:val="tx1"/>
            </w14:solidFill>
          </w14:textFill>
        </w:rPr>
        <w:t>（2）通过本公告下方“游客，浏览招标文件”下载的招标文件仅供浏览，不视作依法获取招标文件，不得就招标文件提出质疑投诉，未按规定获取招标文件者的投标将被拒绝。</w:t>
      </w:r>
    </w:p>
    <w:p>
      <w:pPr>
        <w:pStyle w:val="36"/>
        <w:snapToGrid w:val="0"/>
        <w:spacing w:before="0" w:beforeAutospacing="0" w:after="0" w:afterAutospacing="0" w:line="360" w:lineRule="auto"/>
        <w:ind w:firstLine="420"/>
        <w:jc w:val="both"/>
        <w:rPr>
          <w:rFonts w:ascii="Arial" w:hAnsi="Arial" w:cs="Arial" w:eastAsiaTheme="minorEastAsia"/>
          <w:color w:val="000000" w:themeColor="text1"/>
          <w:sz w:val="21"/>
          <w:szCs w:val="21"/>
          <w14:textFill>
            <w14:solidFill>
              <w14:schemeClr w14:val="tx1"/>
            </w14:solidFill>
          </w14:textFill>
        </w:rPr>
      </w:pPr>
      <w:r>
        <w:rPr>
          <w:rFonts w:hint="eastAsia" w:ascii="Arial" w:hAnsi="Arial" w:cs="Arial" w:eastAsiaTheme="minorEastAsia"/>
          <w:color w:val="000000" w:themeColor="text1"/>
          <w:sz w:val="21"/>
          <w:szCs w:val="21"/>
          <w14:textFill>
            <w14:solidFill>
              <w14:schemeClr w14:val="tx1"/>
            </w14:solidFill>
          </w14:textFill>
        </w:rPr>
        <w:t xml:space="preserve">（3）招标文件及更正补充公告请自行登录浙江政府采购网，在招标公告及更正公告页面中下载。 </w:t>
      </w:r>
    </w:p>
    <w:p>
      <w:pPr>
        <w:pStyle w:val="36"/>
        <w:snapToGrid w:val="0"/>
        <w:spacing w:before="0" w:beforeAutospacing="0" w:after="0" w:afterAutospacing="0" w:line="360" w:lineRule="auto"/>
        <w:ind w:firstLine="420"/>
        <w:jc w:val="both"/>
        <w:rPr>
          <w:rFonts w:ascii="Arial" w:hAnsi="Arial" w:cs="Arial" w:eastAsiaTheme="minorEastAsia"/>
          <w:color w:val="000000" w:themeColor="text1"/>
          <w:sz w:val="21"/>
          <w:szCs w:val="21"/>
          <w:u w:val="single"/>
          <w14:textFill>
            <w14:solidFill>
              <w14:schemeClr w14:val="tx1"/>
            </w14:solidFill>
          </w14:textFill>
        </w:rPr>
      </w:pPr>
      <w:r>
        <w:rPr>
          <w:rFonts w:hint="eastAsia" w:ascii="Arial" w:hAnsi="Arial" w:cs="Arial" w:eastAsiaTheme="minorEastAsia"/>
          <w:b/>
          <w:color w:val="000000" w:themeColor="text1"/>
          <w:sz w:val="21"/>
          <w:szCs w:val="21"/>
          <w14:textFill>
            <w14:solidFill>
              <w14:schemeClr w14:val="tx1"/>
            </w14:solidFill>
          </w14:textFill>
        </w:rPr>
        <w:t>特别提醒：供应商在系统中如果没经过如上流程获取采购文件，而是直接从公告上下载采购文件或操作不规范，使得不能参与后续的项目投标等流程的，由此引起的后果由投标人自负。</w:t>
      </w:r>
    </w:p>
    <w:p>
      <w:pPr>
        <w:spacing w:line="360" w:lineRule="auto"/>
        <w:ind w:firstLine="420" w:firstLineChars="200"/>
        <w:rPr>
          <w:rFonts w:asciiTheme="minorEastAsia" w:hAnsiTheme="minorEastAsia" w:eastAsiaTheme="minorEastAsia" w:cstheme="minorEastAsia"/>
          <w:b/>
          <w:snapToGrid w:val="0"/>
          <w:color w:val="000000" w:themeColor="text1"/>
          <w:kern w:val="0"/>
          <w:szCs w:val="21"/>
          <w14:textFill>
            <w14:solidFill>
              <w14:schemeClr w14:val="tx1"/>
            </w14:solidFill>
          </w14:textFill>
        </w:rPr>
      </w:pPr>
      <w:r>
        <w:rPr>
          <w:rFonts w:hint="eastAsia" w:ascii="Arial" w:hAnsi="Arial" w:cs="Arial" w:eastAsiaTheme="minorEastAsia"/>
          <w:color w:val="000000" w:themeColor="text1"/>
          <w:szCs w:val="21"/>
          <w14:textFill>
            <w14:solidFill>
              <w14:schemeClr w14:val="tx1"/>
            </w14:solidFill>
          </w14:textFill>
        </w:rPr>
        <w:t>售价：0元。</w:t>
      </w:r>
    </w:p>
    <w:p>
      <w:pPr>
        <w:pStyle w:val="4"/>
        <w:numPr>
          <w:ilvl w:val="1"/>
          <w:numId w:val="0"/>
        </w:numPr>
        <w:spacing w:before="0" w:after="0" w:line="360" w:lineRule="auto"/>
        <w:ind w:left="420" w:leftChars="200"/>
        <w:rPr>
          <w:rFonts w:asciiTheme="minorEastAsia" w:hAnsiTheme="minorEastAsia" w:eastAsiaTheme="minorEastAsia" w:cstheme="minorEastAsia"/>
          <w:bCs w:val="0"/>
          <w:snapToGrid w:val="0"/>
          <w:color w:val="000000" w:themeColor="text1"/>
          <w:kern w:val="0"/>
          <w:sz w:val="21"/>
          <w:szCs w:val="21"/>
          <w14:textFill>
            <w14:solidFill>
              <w14:schemeClr w14:val="tx1"/>
            </w14:solidFill>
          </w14:textFill>
        </w:rPr>
      </w:pPr>
      <w:bookmarkStart w:id="19" w:name="_Toc720"/>
      <w:bookmarkStart w:id="20" w:name="_Toc26588"/>
      <w:r>
        <w:rPr>
          <w:rFonts w:hint="eastAsia" w:asciiTheme="minorEastAsia" w:hAnsiTheme="minorEastAsia" w:eastAsiaTheme="minorEastAsia" w:cstheme="minorEastAsia"/>
          <w:bCs w:val="0"/>
          <w:snapToGrid w:val="0"/>
          <w:color w:val="000000" w:themeColor="text1"/>
          <w:kern w:val="0"/>
          <w:sz w:val="21"/>
          <w:szCs w:val="21"/>
          <w14:textFill>
            <w14:solidFill>
              <w14:schemeClr w14:val="tx1"/>
            </w14:solidFill>
          </w14:textFill>
        </w:rPr>
        <w:t>四、提交投标文件</w:t>
      </w:r>
      <w:bookmarkEnd w:id="15"/>
      <w:bookmarkEnd w:id="16"/>
      <w:r>
        <w:rPr>
          <w:rFonts w:hint="eastAsia" w:asciiTheme="minorEastAsia" w:hAnsiTheme="minorEastAsia" w:eastAsiaTheme="minorEastAsia" w:cstheme="minorEastAsia"/>
          <w:bCs w:val="0"/>
          <w:snapToGrid w:val="0"/>
          <w:color w:val="000000" w:themeColor="text1"/>
          <w:kern w:val="0"/>
          <w:sz w:val="21"/>
          <w:szCs w:val="21"/>
          <w14:textFill>
            <w14:solidFill>
              <w14:schemeClr w14:val="tx1"/>
            </w14:solidFill>
          </w14:textFill>
        </w:rPr>
        <w:t>截止时间、开标时间和地点</w:t>
      </w:r>
      <w:bookmarkEnd w:id="17"/>
      <w:bookmarkEnd w:id="18"/>
      <w:bookmarkEnd w:id="19"/>
      <w:bookmarkEnd w:id="20"/>
    </w:p>
    <w:p>
      <w:pPr>
        <w:wordWrap w:val="0"/>
        <w:spacing w:line="360" w:lineRule="auto"/>
        <w:ind w:firstLine="420"/>
        <w:rPr>
          <w:rFonts w:ascii="宋体" w:hAnsi="宋体"/>
          <w:color w:val="000000" w:themeColor="text1"/>
          <w:szCs w:val="21"/>
          <w14:textFill>
            <w14:solidFill>
              <w14:schemeClr w14:val="tx1"/>
            </w14:solidFill>
          </w14:textFill>
        </w:rPr>
      </w:pPr>
      <w:bookmarkStart w:id="21" w:name="_Toc28359007"/>
      <w:bookmarkStart w:id="22" w:name="_Toc35393794"/>
      <w:bookmarkStart w:id="23" w:name="_Toc28359084"/>
      <w:bookmarkStart w:id="24" w:name="_Toc35393625"/>
      <w:r>
        <w:rPr>
          <w:rFonts w:ascii="宋体" w:hAnsi="宋体"/>
          <w:color w:val="000000" w:themeColor="text1"/>
          <w:szCs w:val="21"/>
          <w14:textFill>
            <w14:solidFill>
              <w14:schemeClr w14:val="tx1"/>
            </w14:solidFill>
          </w14:textFill>
        </w:rPr>
        <w:t>提交投标文件截止时间：</w:t>
      </w:r>
      <w:r>
        <w:rPr>
          <w:rFonts w:hint="eastAsia" w:ascii="宋体" w:hAnsi="宋体"/>
          <w:color w:val="000000" w:themeColor="text1"/>
          <w:szCs w:val="21"/>
          <w14:textFill>
            <w14:solidFill>
              <w14:schemeClr w14:val="tx1"/>
            </w14:solidFill>
          </w14:textFill>
        </w:rPr>
        <w:t>2022年</w:t>
      </w:r>
      <w:r>
        <w:rPr>
          <w:rFonts w:hint="eastAsia" w:ascii="宋体" w:hAnsi="宋体"/>
          <w:color w:val="000000" w:themeColor="text1"/>
          <w:szCs w:val="21"/>
          <w:lang w:val="en-US" w:eastAsia="zh-CN"/>
          <w14:textFill>
            <w14:solidFill>
              <w14:schemeClr w14:val="tx1"/>
            </w14:solidFill>
          </w14:textFill>
        </w:rPr>
        <w:t>12</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29</w:t>
      </w:r>
      <w:r>
        <w:rPr>
          <w:rFonts w:hint="eastAsia" w:ascii="宋体" w:hAnsi="宋体"/>
          <w:color w:val="000000" w:themeColor="text1"/>
          <w:szCs w:val="21"/>
          <w14:textFill>
            <w14:solidFill>
              <w14:schemeClr w14:val="tx1"/>
            </w14:solidFill>
          </w14:textFill>
        </w:rPr>
        <w:t>日</w:t>
      </w:r>
      <w:r>
        <w:rPr>
          <w:rFonts w:hint="eastAsia" w:ascii="宋体" w:hAnsi="宋体"/>
          <w:color w:val="000000" w:themeColor="text1"/>
          <w:szCs w:val="21"/>
          <w:lang w:val="en-US" w:eastAsia="zh-CN"/>
          <w14:textFill>
            <w14:solidFill>
              <w14:schemeClr w14:val="tx1"/>
            </w14:solidFill>
          </w14:textFill>
        </w:rPr>
        <w:t>14</w:t>
      </w:r>
      <w:r>
        <w:rPr>
          <w:rFonts w:hint="eastAsia" w:ascii="宋体" w:hAns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（北京时间）</w:t>
      </w:r>
    </w:p>
    <w:p>
      <w:pPr>
        <w:wordWrap w:val="0"/>
        <w:spacing w:line="360" w:lineRule="auto"/>
        <w:ind w:firstLine="420"/>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投标地点（网址）：</w:t>
      </w:r>
      <w:r>
        <w:rPr>
          <w:rFonts w:hint="eastAsia" w:ascii="宋体" w:hAnsi="宋体"/>
          <w:bCs/>
          <w:iCs/>
          <w:color w:val="000000" w:themeColor="text1"/>
          <w14:textFill>
            <w14:solidFill>
              <w14:schemeClr w14:val="tx1"/>
            </w14:solidFill>
          </w14:textFill>
        </w:rPr>
        <w:t>宁波市</w:t>
      </w:r>
      <w:r>
        <w:rPr>
          <w:rFonts w:hint="eastAsia" w:ascii="宋体" w:hAnsi="宋体"/>
          <w:color w:val="000000" w:themeColor="text1"/>
          <w:szCs w:val="21"/>
          <w14:textFill>
            <w14:solidFill>
              <w14:schemeClr w14:val="tx1"/>
            </w14:solidFill>
          </w14:textFill>
        </w:rPr>
        <w:t>北仑区招投标中心开标室（北仑区长江路1166号行政服务中心B座三楼）,本项目通过“政府采购云平台（www.zcygov.cn）”实行在线制作并提交投标文件（电子投标）。</w:t>
      </w:r>
      <w:bookmarkStart w:id="231" w:name="_GoBack"/>
      <w:bookmarkEnd w:id="231"/>
    </w:p>
    <w:p>
      <w:pPr>
        <w:wordWrap w:val="0"/>
        <w:spacing w:line="360" w:lineRule="auto"/>
        <w:ind w:firstLine="42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开标时间：</w:t>
      </w:r>
      <w:r>
        <w:rPr>
          <w:rFonts w:hint="eastAsia" w:ascii="宋体" w:hAnsi="宋体"/>
          <w:color w:val="000000" w:themeColor="text1"/>
          <w:szCs w:val="21"/>
          <w14:textFill>
            <w14:solidFill>
              <w14:schemeClr w14:val="tx1"/>
            </w14:solidFill>
          </w14:textFill>
        </w:rPr>
        <w:t>2022年</w:t>
      </w:r>
      <w:r>
        <w:rPr>
          <w:rFonts w:hint="eastAsia" w:ascii="宋体" w:hAnsi="宋体"/>
          <w:color w:val="000000" w:themeColor="text1"/>
          <w:szCs w:val="21"/>
          <w:lang w:val="en-US" w:eastAsia="zh-CN"/>
          <w14:textFill>
            <w14:solidFill>
              <w14:schemeClr w14:val="tx1"/>
            </w14:solidFill>
          </w14:textFill>
        </w:rPr>
        <w:t>12</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29</w:t>
      </w:r>
      <w:r>
        <w:rPr>
          <w:rFonts w:hint="eastAsia" w:ascii="宋体" w:hAnsi="宋体"/>
          <w:color w:val="000000" w:themeColor="text1"/>
          <w:szCs w:val="21"/>
          <w14:textFill>
            <w14:solidFill>
              <w14:schemeClr w14:val="tx1"/>
            </w14:solidFill>
          </w14:textFill>
        </w:rPr>
        <w:t>日</w:t>
      </w:r>
      <w:r>
        <w:rPr>
          <w:rFonts w:hint="eastAsia" w:ascii="宋体" w:hAnsi="宋体"/>
          <w:color w:val="000000" w:themeColor="text1"/>
          <w:szCs w:val="21"/>
          <w:lang w:val="en-US" w:eastAsia="zh-CN"/>
          <w14:textFill>
            <w14:solidFill>
              <w14:schemeClr w14:val="tx1"/>
            </w14:solidFill>
          </w14:textFill>
        </w:rPr>
        <w:t>14</w:t>
      </w:r>
      <w:r>
        <w:rPr>
          <w:rFonts w:hint="eastAsia" w:ascii="宋体" w:hAnsi="宋体"/>
          <w:color w:val="000000" w:themeColor="text1"/>
          <w:szCs w:val="21"/>
          <w14:textFill>
            <w14:solidFill>
              <w14:schemeClr w14:val="tx1"/>
            </w14:solidFill>
          </w14:textFill>
        </w:rPr>
        <w:t>:00</w:t>
      </w:r>
    </w:p>
    <w:p>
      <w:pPr>
        <w:wordWrap w:val="0"/>
        <w:spacing w:line="360" w:lineRule="auto"/>
        <w:ind w:firstLine="420"/>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开标地点（网址）：</w:t>
      </w:r>
      <w:r>
        <w:rPr>
          <w:rFonts w:hint="eastAsia" w:ascii="宋体" w:hAnsi="宋体"/>
          <w:bCs/>
          <w:iCs/>
          <w:color w:val="000000" w:themeColor="text1"/>
          <w14:textFill>
            <w14:solidFill>
              <w14:schemeClr w14:val="tx1"/>
            </w14:solidFill>
          </w14:textFill>
        </w:rPr>
        <w:t>宁波市</w:t>
      </w:r>
      <w:r>
        <w:rPr>
          <w:rFonts w:hint="eastAsia" w:ascii="宋体" w:hAnsi="宋体"/>
          <w:color w:val="000000" w:themeColor="text1"/>
          <w:szCs w:val="21"/>
          <w14:textFill>
            <w14:solidFill>
              <w14:schemeClr w14:val="tx1"/>
            </w14:solidFill>
          </w14:textFill>
        </w:rPr>
        <w:t>北仑区招投标中心开标室（北仑区长江路1166号行政服务中心B座三楼）,本项目通过“政府采购云平台（www.zcygov.cn）”实行在线开标。</w:t>
      </w:r>
    </w:p>
    <w:p>
      <w:pPr>
        <w:pStyle w:val="4"/>
        <w:numPr>
          <w:ilvl w:val="1"/>
          <w:numId w:val="0"/>
        </w:numPr>
        <w:spacing w:before="0" w:after="0" w:line="360" w:lineRule="auto"/>
        <w:ind w:left="420" w:leftChars="200"/>
        <w:rPr>
          <w:rFonts w:asciiTheme="minorEastAsia" w:hAnsiTheme="minorEastAsia" w:eastAsiaTheme="minorEastAsia" w:cstheme="minorEastAsia"/>
          <w:bCs w:val="0"/>
          <w:snapToGrid w:val="0"/>
          <w:color w:val="000000" w:themeColor="text1"/>
          <w:kern w:val="0"/>
          <w:sz w:val="21"/>
          <w:szCs w:val="21"/>
          <w14:textFill>
            <w14:solidFill>
              <w14:schemeClr w14:val="tx1"/>
            </w14:solidFill>
          </w14:textFill>
        </w:rPr>
      </w:pPr>
      <w:bookmarkStart w:id="25" w:name="_Toc23804"/>
      <w:bookmarkStart w:id="26" w:name="_Toc29757"/>
      <w:r>
        <w:rPr>
          <w:rFonts w:hint="eastAsia" w:asciiTheme="minorEastAsia" w:hAnsiTheme="minorEastAsia" w:eastAsiaTheme="minorEastAsia" w:cstheme="minorEastAsia"/>
          <w:bCs w:val="0"/>
          <w:snapToGrid w:val="0"/>
          <w:color w:val="000000" w:themeColor="text1"/>
          <w:kern w:val="0"/>
          <w:sz w:val="21"/>
          <w:szCs w:val="21"/>
          <w14:textFill>
            <w14:solidFill>
              <w14:schemeClr w14:val="tx1"/>
            </w14:solidFill>
          </w14:textFill>
        </w:rPr>
        <w:t>五、公告期限</w:t>
      </w:r>
      <w:bookmarkEnd w:id="21"/>
      <w:bookmarkEnd w:id="22"/>
      <w:bookmarkEnd w:id="23"/>
      <w:bookmarkEnd w:id="24"/>
      <w:bookmarkEnd w:id="25"/>
      <w:bookmarkEnd w:id="26"/>
    </w:p>
    <w:p>
      <w:pPr>
        <w:spacing w:line="360" w:lineRule="auto"/>
        <w:ind w:firstLine="420" w:firstLineChars="200"/>
        <w:rPr>
          <w:rFonts w:asciiTheme="minorEastAsia" w:hAnsiTheme="minorEastAsia" w:eastAsiaTheme="minorEastAsia" w:cstheme="minorEastAsia"/>
          <w:b/>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自本公告发布之日起5个工作日。</w:t>
      </w:r>
      <w:bookmarkStart w:id="27" w:name="_Toc35393626"/>
      <w:bookmarkStart w:id="28" w:name="_Toc35393795"/>
    </w:p>
    <w:p>
      <w:pPr>
        <w:pStyle w:val="4"/>
        <w:numPr>
          <w:ilvl w:val="1"/>
          <w:numId w:val="0"/>
        </w:numPr>
        <w:spacing w:before="0" w:after="0" w:line="360" w:lineRule="auto"/>
        <w:ind w:left="420" w:leftChars="200"/>
        <w:rPr>
          <w:rFonts w:asciiTheme="minorEastAsia" w:hAnsiTheme="minorEastAsia" w:eastAsiaTheme="minorEastAsia" w:cstheme="minorEastAsia"/>
          <w:bCs w:val="0"/>
          <w:snapToGrid w:val="0"/>
          <w:color w:val="000000" w:themeColor="text1"/>
          <w:kern w:val="0"/>
          <w:sz w:val="21"/>
          <w:szCs w:val="21"/>
          <w14:textFill>
            <w14:solidFill>
              <w14:schemeClr w14:val="tx1"/>
            </w14:solidFill>
          </w14:textFill>
        </w:rPr>
      </w:pPr>
      <w:bookmarkStart w:id="29" w:name="_Toc12621"/>
      <w:bookmarkStart w:id="30" w:name="_Toc9675"/>
      <w:r>
        <w:rPr>
          <w:rFonts w:hint="eastAsia" w:asciiTheme="minorEastAsia" w:hAnsiTheme="minorEastAsia" w:eastAsiaTheme="minorEastAsia" w:cstheme="minorEastAsia"/>
          <w:bCs w:val="0"/>
          <w:snapToGrid w:val="0"/>
          <w:color w:val="000000" w:themeColor="text1"/>
          <w:kern w:val="0"/>
          <w:sz w:val="21"/>
          <w:szCs w:val="21"/>
          <w14:textFill>
            <w14:solidFill>
              <w14:schemeClr w14:val="tx1"/>
            </w14:solidFill>
          </w14:textFill>
        </w:rPr>
        <w:t>六、其他补充事宜</w:t>
      </w:r>
      <w:bookmarkEnd w:id="27"/>
      <w:bookmarkEnd w:id="28"/>
      <w:bookmarkEnd w:id="29"/>
      <w:bookmarkEnd w:id="30"/>
    </w:p>
    <w:p>
      <w:pPr>
        <w:spacing w:line="360" w:lineRule="auto"/>
        <w:ind w:firstLine="420"/>
        <w:contextualSpacing/>
        <w:jc w:val="left"/>
        <w:rPr>
          <w:rFonts w:ascii="Arial" w:hAnsi="Arial" w:cs="Arial" w:eastAsiaTheme="minorEastAsia"/>
          <w:color w:val="000000" w:themeColor="text1"/>
          <w:szCs w:val="27"/>
          <w14:textFill>
            <w14:solidFill>
              <w14:schemeClr w14:val="tx1"/>
            </w14:solidFill>
          </w14:textFill>
        </w:rPr>
      </w:pPr>
      <w:bookmarkStart w:id="31" w:name="_Toc28359085"/>
      <w:bookmarkStart w:id="32" w:name="_Toc28359008"/>
      <w:bookmarkStart w:id="33" w:name="_Toc35393796"/>
      <w:bookmarkStart w:id="34" w:name="_Toc35393627"/>
      <w:r>
        <w:rPr>
          <w:rFonts w:ascii="Arial" w:hAnsi="Arial" w:cs="Arial" w:eastAsiaTheme="minorEastAsia"/>
          <w:color w:val="000000" w:themeColor="text1"/>
          <w:szCs w:val="27"/>
          <w14:textFill>
            <w14:solidFill>
              <w14:schemeClr w14:val="tx1"/>
            </w14:solidFill>
          </w14:textFill>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contextualSpacing/>
        <w:jc w:val="left"/>
        <w:rPr>
          <w:rFonts w:ascii="Arial" w:hAnsi="Arial" w:cs="Arial" w:eastAsiaTheme="minorEastAsia"/>
          <w:color w:val="000000" w:themeColor="text1"/>
          <w:szCs w:val="27"/>
          <w14:textFill>
            <w14:solidFill>
              <w14:schemeClr w14:val="tx1"/>
            </w14:solidFill>
          </w14:textFill>
        </w:rPr>
      </w:pPr>
      <w:r>
        <w:rPr>
          <w:rFonts w:ascii="Arial" w:hAnsi="Arial" w:cs="Arial" w:eastAsiaTheme="minorEastAsia"/>
          <w:color w:val="000000" w:themeColor="text1"/>
          <w:szCs w:val="27"/>
          <w14:textFill>
            <w14:solidFill>
              <w14:schemeClr w14:val="tx1"/>
            </w14:solidFill>
          </w14:textFill>
        </w:rPr>
        <w:t>2.其他事项：</w:t>
      </w:r>
    </w:p>
    <w:p>
      <w:pPr>
        <w:wordWrap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单位负责人为同一人或者存在直接控股、管理关系的不同供应商，不得参加同一标项号的投标。</w:t>
      </w:r>
    </w:p>
    <w:p>
      <w:pPr>
        <w:wordWrap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为本项目提供整体设计、规范编制或者项目管理、监理、检测等服务的供应商，不得再参加本项目的投标。</w:t>
      </w:r>
    </w:p>
    <w:p>
      <w:pPr>
        <w:wordWrap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（3）与采购人存在利害关系可能影响招标公正性的法人或其他组织不得参加投标。存在利害关系的投标人包括但不限于：</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 1 \* GB3</w:instrText>
      </w:r>
      <w:r>
        <w:rPr>
          <w:rFonts w:ascii="宋体" w:hAnsi="宋体"/>
          <w:color w:val="000000" w:themeColor="text1"/>
          <w:szCs w:val="21"/>
          <w14:textFill>
            <w14:solidFill>
              <w14:schemeClr w14:val="tx1"/>
            </w14:solidFill>
          </w14:textFill>
        </w:rPr>
        <w:instrText xml:space="preserve"> </w:instrText>
      </w:r>
      <w:r>
        <w:rPr>
          <w:rFonts w:ascii="宋体" w:hAnsi="宋体"/>
          <w:color w:val="000000" w:themeColor="text1"/>
          <w:szCs w:val="21"/>
          <w14:textFill>
            <w14:solidFill>
              <w14:schemeClr w14:val="tx1"/>
            </w14:solidFill>
          </w14:textFill>
        </w:rPr>
        <w:fldChar w:fldCharType="separate"/>
      </w:r>
      <w:r>
        <w:rPr>
          <w:rFonts w:hint="eastAsia" w:ascii="宋体" w:hAnsi="宋体"/>
          <w:color w:val="000000" w:themeColor="text1"/>
          <w:szCs w:val="21"/>
          <w14:textFill>
            <w14:solidFill>
              <w14:schemeClr w14:val="tx1"/>
            </w14:solidFill>
          </w14:textFill>
        </w:rPr>
        <w:t>①</w: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北京航空航天大学、北京航空航天大学宁波创新研究院在该投标人中有股份的。</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 2 \* GB3</w:instrText>
      </w:r>
      <w:r>
        <w:rPr>
          <w:rFonts w:ascii="宋体" w:hAnsi="宋体"/>
          <w:color w:val="000000" w:themeColor="text1"/>
          <w:szCs w:val="21"/>
          <w14:textFill>
            <w14:solidFill>
              <w14:schemeClr w14:val="tx1"/>
            </w14:solidFill>
          </w14:textFill>
        </w:rPr>
        <w:instrText xml:space="preserve"> </w:instrText>
      </w:r>
      <w:r>
        <w:rPr>
          <w:rFonts w:ascii="宋体" w:hAnsi="宋体"/>
          <w:color w:val="000000" w:themeColor="text1"/>
          <w:szCs w:val="21"/>
          <w14:textFill>
            <w14:solidFill>
              <w14:schemeClr w14:val="tx1"/>
            </w14:solidFill>
          </w14:textFill>
        </w:rPr>
        <w:fldChar w:fldCharType="separate"/>
      </w:r>
      <w:r>
        <w:rPr>
          <w:rFonts w:hint="eastAsia" w:ascii="宋体" w:hAnsi="宋体"/>
          <w:color w:val="000000" w:themeColor="text1"/>
          <w:szCs w:val="21"/>
          <w14:textFill>
            <w14:solidFill>
              <w14:schemeClr w14:val="tx1"/>
            </w14:solidFill>
          </w14:textFill>
        </w:rPr>
        <w:t>②</w: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项目负责人、项目主要成员或经办人在该投标人中有股份或任职的。</w:t>
      </w:r>
    </w:p>
    <w:p>
      <w:pPr>
        <w:spacing w:line="360" w:lineRule="auto"/>
        <w:ind w:firstLine="420"/>
        <w:contextualSpacing/>
        <w:jc w:val="left"/>
        <w:rPr>
          <w:rFonts w:cs="Arial" w:asciiTheme="minorEastAsia" w:hAnsiTheme="minorEastAsia"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7"/>
          <w14:textFill>
            <w14:solidFill>
              <w14:schemeClr w14:val="tx1"/>
            </w14:solidFill>
          </w14:textFill>
        </w:rPr>
        <w:t>（</w:t>
      </w:r>
      <w:r>
        <w:rPr>
          <w:rFonts w:hint="eastAsia" w:ascii="Arial" w:hAnsi="Arial" w:cs="Arial" w:eastAsiaTheme="minorEastAsia"/>
          <w:color w:val="000000" w:themeColor="text1"/>
          <w:szCs w:val="27"/>
          <w14:textFill>
            <w14:solidFill>
              <w14:schemeClr w14:val="tx1"/>
            </w14:solidFill>
          </w14:textFill>
        </w:rPr>
        <w:t>4</w:t>
      </w:r>
      <w:r>
        <w:rPr>
          <w:rFonts w:ascii="Arial" w:hAnsi="Arial" w:cs="Arial" w:eastAsiaTheme="minorEastAsia"/>
          <w:color w:val="000000" w:themeColor="text1"/>
          <w:szCs w:val="27"/>
          <w14:textFill>
            <w14:solidFill>
              <w14:schemeClr w14:val="tx1"/>
            </w14:solidFill>
          </w14:textFill>
        </w:rPr>
        <w:t>）落实的政策：</w:t>
      </w:r>
      <w:r>
        <w:rPr>
          <w:rFonts w:hint="eastAsia" w:ascii="Arial" w:hAnsi="Arial" w:cs="Arial" w:eastAsiaTheme="minorEastAsia"/>
          <w:color w:val="000000" w:themeColor="text1"/>
          <w:szCs w:val="27"/>
          <w14:textFill>
            <w14:solidFill>
              <w14:schemeClr w14:val="tx1"/>
            </w14:solidFill>
          </w14:textFill>
        </w:rPr>
        <w:t>1）对小微企业的产品给予价格优惠（监狱企业、残疾人福利性单位视同小微企业；残疾人福利性单位属于小型、微型企业的，不重复享受政策）。2）优先采购节能环保产品（注：所采购的货物在政府采购节能产品、环境标志产品实施品目清单范围内，且具有国家确定的认证机构出具的、处于有效期之内的节能产品、环境标志产品认证证书）。</w:t>
      </w:r>
    </w:p>
    <w:p>
      <w:pPr>
        <w:spacing w:line="360" w:lineRule="auto"/>
        <w:ind w:firstLine="42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5</w:t>
      </w:r>
      <w:r>
        <w:rPr>
          <w:rFonts w:asciiTheme="minorEastAsia" w:hAnsiTheme="minorEastAsia" w:eastAsiaTheme="minorEastAsia"/>
          <w:szCs w:val="21"/>
        </w:rPr>
        <w:t>）本公告发布网站：浙江省政府采购网、宁波市政府采购网、宁波公共资源交易网北仑区分网、北京航空航天大学宁波创新研究院网站、宁波中基国际招标有限公司网站</w:t>
      </w:r>
      <w:r>
        <w:rPr>
          <w:rFonts w:hint="eastAsia" w:asciiTheme="minorEastAsia" w:hAnsiTheme="minorEastAsia" w:eastAsiaTheme="minorEastAsia"/>
          <w:szCs w:val="21"/>
        </w:rPr>
        <w:t>。</w:t>
      </w:r>
    </w:p>
    <w:p>
      <w:pPr>
        <w:spacing w:line="360" w:lineRule="auto"/>
        <w:ind w:firstLine="420"/>
        <w:rPr>
          <w:rFonts w:asciiTheme="minorEastAsia" w:hAnsiTheme="minorEastAsia" w:eastAsiaTheme="minorEastAsia"/>
          <w:bCs/>
          <w:szCs w:val="21"/>
        </w:rPr>
      </w:pPr>
      <w:bookmarkStart w:id="35" w:name="_Toc26467"/>
      <w:bookmarkStart w:id="36" w:name="_Toc4110"/>
      <w:bookmarkStart w:id="37" w:name="_Toc7038"/>
      <w:r>
        <w:rPr>
          <w:rFonts w:hint="eastAsia" w:asciiTheme="minorEastAsia" w:hAnsiTheme="minorEastAsia" w:eastAsiaTheme="minorEastAsia"/>
          <w:bCs/>
          <w:szCs w:val="21"/>
        </w:rPr>
        <w:t>（6）投标人应于</w:t>
      </w:r>
      <w:r>
        <w:rPr>
          <w:rFonts w:hint="eastAsia" w:asciiTheme="minorEastAsia" w:hAnsiTheme="minorEastAsia" w:eastAsiaTheme="minorEastAsia"/>
          <w:bCs/>
          <w:szCs w:val="21"/>
          <w:lang w:val="en-US" w:eastAsia="zh-CN"/>
        </w:rPr>
        <w:t>投标截止时间</w:t>
      </w:r>
      <w:r>
        <w:rPr>
          <w:rFonts w:hint="eastAsia" w:asciiTheme="minorEastAsia" w:hAnsiTheme="minorEastAsia" w:eastAsiaTheme="minorEastAsia"/>
          <w:bCs/>
          <w:szCs w:val="21"/>
        </w:rPr>
        <w:t>前将电子加密投标文件上传到政府采购云平台（www.zcygov.cn），未上传电子加密投标文件，视为投标人放弃投标。</w:t>
      </w:r>
    </w:p>
    <w:p>
      <w:pPr>
        <w:spacing w:line="360" w:lineRule="auto"/>
        <w:ind w:firstLine="420"/>
        <w:rPr>
          <w:rFonts w:asciiTheme="minorEastAsia" w:hAnsiTheme="minorEastAsia" w:eastAsiaTheme="minorEastAsia"/>
          <w:bCs/>
          <w:szCs w:val="21"/>
        </w:rPr>
      </w:pPr>
      <w:r>
        <w:rPr>
          <w:rFonts w:hint="eastAsia" w:asciiTheme="minorEastAsia" w:hAnsiTheme="minorEastAsia" w:eastAsiaTheme="minorEastAsia"/>
          <w:bCs/>
          <w:szCs w:val="21"/>
        </w:rPr>
        <w:t>（7）代理机构将在招标文件规定的时间通过政府采购云平台组织开标、开启投标文件，所有投标人均应准时在线参加。开标时间后</w:t>
      </w:r>
      <w:r>
        <w:rPr>
          <w:rFonts w:asciiTheme="minorEastAsia" w:hAnsiTheme="minorEastAsia" w:eastAsiaTheme="minorEastAsia"/>
          <w:bCs/>
          <w:szCs w:val="21"/>
        </w:rPr>
        <w:t>30</w:t>
      </w:r>
      <w:r>
        <w:rPr>
          <w:rFonts w:hint="eastAsia" w:asciiTheme="minorEastAsia" w:hAnsiTheme="minorEastAsia" w:eastAsiaTheme="minorEastAsia"/>
          <w:bCs/>
          <w:szCs w:val="21"/>
        </w:rPr>
        <w:t>分钟内（</w:t>
      </w:r>
      <w:r>
        <w:rPr>
          <w:rFonts w:hint="eastAsia" w:asciiTheme="minorEastAsia" w:hAnsiTheme="minorEastAsia" w:eastAsiaTheme="minorEastAsia"/>
          <w:bCs/>
          <w:szCs w:val="21"/>
          <w:lang w:val="en-US" w:eastAsia="zh-CN"/>
        </w:rPr>
        <w:t>投标截止时间</w:t>
      </w:r>
      <w:r>
        <w:rPr>
          <w:rFonts w:hint="eastAsia" w:asciiTheme="minorEastAsia" w:hAnsiTheme="minorEastAsia" w:eastAsiaTheme="minorEastAsia"/>
          <w:bCs/>
          <w:szCs w:val="21"/>
        </w:rPr>
        <w:t>前）投标人可以登录政府采购云平台（www.zcygov.cn），用“项目采购-开标评标”功能进行解密投标文件。</w:t>
      </w:r>
    </w:p>
    <w:p>
      <w:pPr>
        <w:spacing w:line="360" w:lineRule="auto"/>
        <w:ind w:firstLine="420"/>
        <w:rPr>
          <w:rFonts w:asciiTheme="minorEastAsia" w:hAnsiTheme="minorEastAsia" w:eastAsiaTheme="minorEastAsia"/>
          <w:bCs/>
          <w:szCs w:val="21"/>
        </w:rPr>
      </w:pPr>
      <w:r>
        <w:rPr>
          <w:rFonts w:hint="eastAsia" w:asciiTheme="minorEastAsia" w:hAnsiTheme="minorEastAsia" w:eastAsiaTheme="minorEastAsia"/>
          <w:bCs/>
          <w:szCs w:val="21"/>
        </w:rPr>
        <w:t>（8）投标与开标注意事项：</w:t>
      </w:r>
    </w:p>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1）本项目实行网上投标，采用电子加密投标文件。若投标人参与投标，自行承担投标一切费用。</w:t>
      </w:r>
    </w:p>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2）标前准备：各投标人应在开标前确保成为浙江政府采购网正式注册入库投标人，并完成CA数字证书办理。因未注册入库、未办理CA数字证书等原因造成无法投标或投标失败等后果由投标人自行承担。</w:t>
      </w:r>
    </w:p>
    <w:p>
      <w:pPr>
        <w:spacing w:line="360" w:lineRule="auto"/>
        <w:ind w:firstLine="420"/>
        <w:rPr>
          <w:rFonts w:asciiTheme="minorEastAsia" w:hAnsiTheme="minorEastAsia" w:eastAsiaTheme="minorEastAsia"/>
          <w:bCs/>
          <w:szCs w:val="21"/>
        </w:rPr>
      </w:pPr>
      <w:r>
        <w:rPr>
          <w:rFonts w:hint="eastAsia" w:asciiTheme="minorEastAsia" w:hAnsiTheme="minorEastAsia" w:eastAsiaTheme="minorEastAsia"/>
          <w:bCs/>
          <w:szCs w:val="21"/>
        </w:rPr>
        <w:t>（9）投标文件制作：</w:t>
      </w:r>
    </w:p>
    <w:p>
      <w:pPr>
        <w:spacing w:line="360" w:lineRule="auto"/>
        <w:ind w:firstLine="420"/>
        <w:rPr>
          <w:rFonts w:asciiTheme="minorEastAsia" w:hAnsiTheme="minorEastAsia" w:eastAsiaTheme="minorEastAsia"/>
          <w:bCs/>
          <w:szCs w:val="21"/>
        </w:rPr>
      </w:pPr>
      <w:r>
        <w:rPr>
          <w:rFonts w:asciiTheme="minorEastAsia" w:hAnsiTheme="minorEastAsia" w:eastAsiaTheme="minorEastAsia"/>
          <w:bCs/>
          <w:szCs w:val="21"/>
        </w:rPr>
        <w:t>9</w:t>
      </w:r>
      <w:r>
        <w:rPr>
          <w:rFonts w:hint="eastAsia" w:asciiTheme="minorEastAsia" w:hAnsiTheme="minorEastAsia" w:eastAsiaTheme="minorEastAsia"/>
          <w:bCs/>
          <w:szCs w:val="21"/>
        </w:rPr>
        <w:t>.1应按照本项目招标文件和政府采购云平台的要求编制、加密并递交投标文件。投标人在使用系统进行投标的过程中遇到涉及平台使用的任何问题，可致电政府采购云平台技术支持热线咨询，联系方式：4008817190。</w:t>
      </w:r>
    </w:p>
    <w:p>
      <w:pPr>
        <w:spacing w:line="360" w:lineRule="auto"/>
        <w:ind w:firstLine="420"/>
        <w:rPr>
          <w:rFonts w:asciiTheme="minorEastAsia" w:hAnsiTheme="minorEastAsia" w:eastAsiaTheme="minorEastAsia"/>
          <w:bCs/>
          <w:szCs w:val="21"/>
        </w:rPr>
      </w:pPr>
      <w:r>
        <w:rPr>
          <w:rFonts w:hint="eastAsia" w:asciiTheme="minorEastAsia" w:hAnsiTheme="minorEastAsia" w:eastAsiaTheme="minorEastAsia"/>
          <w:bCs/>
          <w:szCs w:val="21"/>
        </w:rPr>
        <w:t>9.2投标人通过政府采购云平台电子投标工具制作投标文件，电子投标工具请投标人自行前往浙江政府采购网下载并安装，投标文件制作具体流程详见政府采购云平台。</w:t>
      </w:r>
    </w:p>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（10）疫情期间特别提醒事项：</w:t>
      </w:r>
    </w:p>
    <w:p>
      <w:pPr>
        <w:spacing w:line="360" w:lineRule="auto"/>
        <w:rPr>
          <w:rFonts w:asciiTheme="minorEastAsia" w:hAnsiTheme="minorEastAsia" w:eastAsiaTheme="minorEastAsia"/>
          <w:bCs/>
          <w:szCs w:val="21"/>
        </w:rPr>
      </w:pPr>
      <w:r>
        <w:rPr>
          <w:rFonts w:asciiTheme="minorEastAsia" w:hAnsiTheme="minorEastAsia" w:eastAsiaTheme="minorEastAsia"/>
          <w:bCs/>
          <w:szCs w:val="21"/>
        </w:rPr>
        <w:t>1</w:t>
      </w:r>
      <w:r>
        <w:rPr>
          <w:rFonts w:hint="eastAsia" w:asciiTheme="minorEastAsia" w:hAnsiTheme="minorEastAsia" w:eastAsiaTheme="minorEastAsia"/>
          <w:bCs/>
          <w:szCs w:val="21"/>
        </w:rPr>
        <w:t>0</w:t>
      </w:r>
      <w:r>
        <w:rPr>
          <w:rFonts w:asciiTheme="minorEastAsia" w:hAnsiTheme="minorEastAsia" w:eastAsiaTheme="minorEastAsia"/>
          <w:bCs/>
          <w:szCs w:val="21"/>
        </w:rPr>
        <w:t>.1</w:t>
      </w:r>
      <w:r>
        <w:rPr>
          <w:rFonts w:hint="eastAsia" w:asciiTheme="minorEastAsia" w:hAnsiTheme="minorEastAsia" w:eastAsiaTheme="minorEastAsia"/>
          <w:bCs/>
          <w:szCs w:val="21"/>
        </w:rPr>
        <w:t>投标人员须做好佩戴口罩等防护措施，自觉接受体温检测、接受防疫询问，并如实告知相关情况。</w:t>
      </w:r>
    </w:p>
    <w:p>
      <w:pPr>
        <w:spacing w:line="360" w:lineRule="auto"/>
        <w:rPr>
          <w:rFonts w:asciiTheme="minorEastAsia" w:hAnsiTheme="minorEastAsia" w:eastAsiaTheme="minorEastAsia"/>
          <w:bCs/>
          <w:szCs w:val="21"/>
        </w:rPr>
      </w:pPr>
      <w:r>
        <w:rPr>
          <w:rFonts w:asciiTheme="minorEastAsia" w:hAnsiTheme="minorEastAsia" w:eastAsiaTheme="minorEastAsia"/>
          <w:bCs/>
          <w:szCs w:val="21"/>
        </w:rPr>
        <w:t>1</w:t>
      </w:r>
      <w:r>
        <w:rPr>
          <w:rFonts w:hint="eastAsia" w:asciiTheme="minorEastAsia" w:hAnsiTheme="minorEastAsia" w:eastAsiaTheme="minorEastAsia"/>
          <w:bCs/>
          <w:szCs w:val="21"/>
        </w:rPr>
        <w:t>0</w:t>
      </w:r>
      <w:r>
        <w:rPr>
          <w:rFonts w:asciiTheme="minorEastAsia" w:hAnsiTheme="minorEastAsia" w:eastAsiaTheme="minorEastAsia"/>
          <w:bCs/>
          <w:szCs w:val="21"/>
        </w:rPr>
        <w:t>.2</w:t>
      </w:r>
      <w:r>
        <w:rPr>
          <w:rFonts w:hint="eastAsia" w:asciiTheme="minorEastAsia" w:hAnsiTheme="minorEastAsia" w:eastAsiaTheme="minorEastAsia"/>
          <w:bCs/>
          <w:szCs w:val="21"/>
        </w:rPr>
        <w:t>投标人员还需配合做好疫情防控“五个一律”：一律全面消毒、一律体温检测、一律承诺登记、一律按序办事、一律服从管理。</w:t>
      </w:r>
    </w:p>
    <w:p>
      <w:pPr>
        <w:rPr>
          <w:bCs/>
        </w:rPr>
      </w:pPr>
      <w:r>
        <w:t>1</w:t>
      </w:r>
      <w:r>
        <w:rPr>
          <w:rFonts w:hint="eastAsia"/>
        </w:rPr>
        <w:t>0</w:t>
      </w:r>
      <w:r>
        <w:t>.3</w:t>
      </w:r>
      <w:r>
        <w:rPr>
          <w:rFonts w:hint="eastAsia"/>
        </w:rPr>
        <w:t>疫情防控期间，请投标人遵守公共资源交易中心各项防疫措施规定。</w:t>
      </w:r>
    </w:p>
    <w:p>
      <w:pPr>
        <w:rPr>
          <w:rFonts w:cstheme="minorEastAsia"/>
          <w:snapToGrid w:val="0"/>
          <w:kern w:val="0"/>
        </w:rPr>
      </w:pPr>
    </w:p>
    <w:p>
      <w:pPr>
        <w:spacing w:line="360" w:lineRule="auto"/>
        <w:rPr>
          <w:rFonts w:cstheme="minorEastAsia"/>
          <w:b/>
          <w:bCs/>
          <w:snapToGrid w:val="0"/>
          <w:kern w:val="0"/>
        </w:rPr>
      </w:pPr>
      <w:r>
        <w:rPr>
          <w:rFonts w:hint="eastAsia" w:cstheme="minorEastAsia"/>
          <w:b/>
          <w:snapToGrid w:val="0"/>
          <w:kern w:val="0"/>
        </w:rPr>
        <w:t>七、对本次招标提出询问，请按以下方式联系</w:t>
      </w:r>
      <w:bookmarkEnd w:id="31"/>
      <w:bookmarkEnd w:id="32"/>
      <w:bookmarkEnd w:id="33"/>
      <w:bookmarkEnd w:id="34"/>
      <w:bookmarkEnd w:id="35"/>
      <w:bookmarkEnd w:id="36"/>
      <w:bookmarkEnd w:id="37"/>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1.采购人信息</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名    称：北京航空航天大学宁波创新研究院</w:t>
      </w:r>
    </w:p>
    <w:p>
      <w:pPr>
        <w:spacing w:line="360" w:lineRule="auto"/>
        <w:ind w:firstLine="420" w:firstLineChars="200"/>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使用中心：</w:t>
      </w:r>
      <w:r>
        <w:rPr>
          <w:rFonts w:hint="eastAsia" w:asciiTheme="minorEastAsia" w:hAnsiTheme="minorEastAsia" w:eastAsiaTheme="minorEastAsia"/>
          <w:szCs w:val="21"/>
          <w:lang w:eastAsia="zh-CN"/>
        </w:rPr>
        <w:t>先进机载机电与飞控系统创新研究中心</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技术部分联系</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w:t>
      </w:r>
      <w:r>
        <w:rPr>
          <w:rFonts w:hint="eastAsia" w:asciiTheme="minorEastAsia" w:hAnsiTheme="minorEastAsia" w:eastAsiaTheme="minorEastAsia"/>
          <w:szCs w:val="21"/>
        </w:rPr>
        <w:t>张老师   电  话： 0574-86001571</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商务部分联系</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联系人：张老师   电  话：0574-86001572</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项目联系人（询问）：张老师</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项目联系方式（询问）：0574-86001572</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质疑联系人：汪耀如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质疑联系方式：0574-86001551</w:t>
      </w:r>
    </w:p>
    <w:p>
      <w:pPr>
        <w:spacing w:line="360" w:lineRule="auto"/>
        <w:ind w:firstLine="420" w:firstLineChars="200"/>
        <w:rPr>
          <w:rFonts w:ascii="宋体" w:hAnsi="宋体"/>
          <w:color w:val="000000" w:themeColor="text1"/>
          <w:szCs w:val="21"/>
          <w14:textFill>
            <w14:solidFill>
              <w14:schemeClr w14:val="tx1"/>
            </w14:solidFill>
          </w14:textFill>
        </w:rPr>
      </w:pP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2.采购代理机构信息</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名    称：宁波中基国际招标有限公司</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    址：宁波市天童南路666号中基大厦19楼</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    真：0574- 87425386</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项目联系人（询问）：高书焓、徐军、林申杰、张龙锋、陈露</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项目联系方式（询问）：0574-88090039，88090336</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质疑联系人：夏巍</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质疑联系方式：0574-87425385 </w:t>
      </w:r>
    </w:p>
    <w:p>
      <w:pPr>
        <w:spacing w:line="360" w:lineRule="auto"/>
        <w:ind w:firstLine="420" w:firstLineChars="200"/>
        <w:rPr>
          <w:rFonts w:ascii="宋体" w:hAnsi="宋体"/>
          <w:color w:val="000000" w:themeColor="text1"/>
          <w:szCs w:val="21"/>
          <w14:textFill>
            <w14:solidFill>
              <w14:schemeClr w14:val="tx1"/>
            </w14:solidFill>
          </w14:textFill>
        </w:rPr>
      </w:pP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3.政府采购监督管理部门及投诉受理部门</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名    称：宁波经济技术开发区梅山综合管理服务中心</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    址：宁波梅山保税港区管委会15楼</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    真：/</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 ：</w:t>
      </w:r>
      <w:r>
        <w:rPr>
          <w:rFonts w:hint="eastAsia" w:ascii="宋体" w:hAnsi="宋体"/>
          <w:color w:val="000000" w:themeColor="text1"/>
          <w:szCs w:val="21"/>
          <w:lang w:val="en-US" w:eastAsia="zh-CN"/>
          <w14:textFill>
            <w14:solidFill>
              <w14:schemeClr w14:val="tx1"/>
            </w14:solidFill>
          </w14:textFill>
        </w:rPr>
        <w:t>马</w:t>
      </w:r>
      <w:r>
        <w:rPr>
          <w:rFonts w:hint="eastAsia" w:ascii="宋体" w:hAnsi="宋体"/>
          <w:color w:val="000000" w:themeColor="text1"/>
          <w:szCs w:val="21"/>
          <w14:textFill>
            <w14:solidFill>
              <w14:schemeClr w14:val="tx1"/>
            </w14:solidFill>
          </w14:textFill>
        </w:rPr>
        <w:t>老师</w:t>
      </w:r>
    </w:p>
    <w:p>
      <w:pPr>
        <w:spacing w:line="360" w:lineRule="auto"/>
        <w:ind w:firstLine="420" w:firstLineChars="200"/>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监督投诉电话：0574-8928442</w:t>
      </w:r>
      <w:r>
        <w:rPr>
          <w:rFonts w:hint="eastAsia" w:ascii="宋体" w:hAnsi="宋体"/>
          <w:color w:val="000000" w:themeColor="text1"/>
          <w:szCs w:val="21"/>
          <w:lang w:val="en-US" w:eastAsia="zh-CN"/>
          <w14:textFill>
            <w14:solidFill>
              <w14:schemeClr w14:val="tx1"/>
            </w14:solidFill>
          </w14:textFill>
        </w:rPr>
        <w:t>6</w:t>
      </w:r>
    </w:p>
    <w:p>
      <w:pPr>
        <w:rPr>
          <w:rFonts w:ascii="宋体" w:hAnsi="宋体"/>
          <w:color w:val="000000" w:themeColor="text1"/>
          <w14:textFill>
            <w14:solidFill>
              <w14:schemeClr w14:val="tx1"/>
            </w14:solidFill>
          </w14:textFill>
        </w:rPr>
      </w:pPr>
    </w:p>
    <w:p>
      <w:pPr>
        <w:wordWrap w:val="0"/>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若对项目采购电子交易系统操作有疑问，可登录政采云（</w:t>
      </w:r>
      <w:r>
        <w:rPr>
          <w:rFonts w:ascii="宋体" w:hAnsi="宋体" w:cs="宋体"/>
          <w:color w:val="000000" w:themeColor="text1"/>
          <w:kern w:val="0"/>
          <w:szCs w:val="21"/>
          <w14:textFill>
            <w14:solidFill>
              <w14:schemeClr w14:val="tx1"/>
            </w14:solidFill>
          </w14:textFill>
        </w:rPr>
        <w:t>https://www.zcygov.cn/</w:t>
      </w:r>
      <w:r>
        <w:rPr>
          <w:rFonts w:hint="eastAsia" w:ascii="宋体" w:hAnsi="宋体" w:cs="宋体"/>
          <w:color w:val="000000" w:themeColor="text1"/>
          <w:kern w:val="0"/>
          <w:szCs w:val="21"/>
          <w14:textFill>
            <w14:solidFill>
              <w14:schemeClr w14:val="tx1"/>
            </w14:solidFill>
          </w14:textFill>
        </w:rPr>
        <w:t>），点击右侧咨询小采，获取采小蜜智能服务管家帮助，或拨打政采云服务热线</w:t>
      </w:r>
      <w:r>
        <w:rPr>
          <w:rFonts w:ascii="宋体" w:hAnsi="宋体" w:cs="宋体"/>
          <w:color w:val="000000" w:themeColor="text1"/>
          <w:kern w:val="0"/>
          <w:szCs w:val="21"/>
          <w14:textFill>
            <w14:solidFill>
              <w14:schemeClr w14:val="tx1"/>
            </w14:solidFill>
          </w14:textFill>
        </w:rPr>
        <w:t>400-881-7190</w:t>
      </w:r>
      <w:r>
        <w:rPr>
          <w:rFonts w:hint="eastAsia" w:ascii="宋体" w:hAnsi="宋体" w:cs="宋体"/>
          <w:color w:val="000000" w:themeColor="text1"/>
          <w:kern w:val="0"/>
          <w:szCs w:val="21"/>
          <w14:textFill>
            <w14:solidFill>
              <w14:schemeClr w14:val="tx1"/>
            </w14:solidFill>
          </w14:textFill>
        </w:rPr>
        <w:t>获取热线服务帮助。</w:t>
      </w:r>
    </w:p>
    <w:p>
      <w:pPr>
        <w:rPr>
          <w:rFonts w:ascii="宋体" w:hAnsi="宋体"/>
          <w:color w:val="000000" w:themeColor="text1"/>
          <w14:textFill>
            <w14:solidFill>
              <w14:schemeClr w14:val="tx1"/>
            </w14:solidFill>
          </w14:textFill>
        </w:rPr>
      </w:pPr>
      <w:r>
        <w:rPr>
          <w:rFonts w:ascii="宋体" w:hAnsi="宋体" w:cs="宋体"/>
          <w:color w:val="000000" w:themeColor="text1"/>
          <w:kern w:val="0"/>
          <w:szCs w:val="21"/>
          <w14:textFill>
            <w14:solidFill>
              <w14:schemeClr w14:val="tx1"/>
            </w14:solidFill>
          </w14:textFill>
        </w:rPr>
        <w:t>CA</w:t>
      </w:r>
      <w:r>
        <w:rPr>
          <w:rFonts w:hint="eastAsia" w:ascii="宋体" w:hAnsi="宋体" w:cs="宋体"/>
          <w:color w:val="000000" w:themeColor="text1"/>
          <w:kern w:val="0"/>
          <w:szCs w:val="21"/>
          <w14:textFill>
            <w14:solidFill>
              <w14:schemeClr w14:val="tx1"/>
            </w14:solidFill>
          </w14:textFill>
        </w:rPr>
        <w:t>问题联系电话（人工）：汇信</w:t>
      </w:r>
      <w:r>
        <w:rPr>
          <w:rFonts w:ascii="宋体" w:hAnsi="宋体" w:cs="宋体"/>
          <w:color w:val="000000" w:themeColor="text1"/>
          <w:kern w:val="0"/>
          <w:szCs w:val="21"/>
          <w14:textFill>
            <w14:solidFill>
              <w14:schemeClr w14:val="tx1"/>
            </w14:solidFill>
          </w14:textFill>
        </w:rPr>
        <w:t>CA 400-888-4636</w:t>
      </w:r>
      <w:r>
        <w:rPr>
          <w:rFonts w:hint="eastAsia" w:ascii="宋体" w:hAnsi="宋体" w:cs="宋体"/>
          <w:color w:val="000000" w:themeColor="text1"/>
          <w:kern w:val="0"/>
          <w:szCs w:val="21"/>
          <w14:textFill>
            <w14:solidFill>
              <w14:schemeClr w14:val="tx1"/>
            </w14:solidFill>
          </w14:textFill>
        </w:rPr>
        <w:t>；天谷</w:t>
      </w:r>
      <w:r>
        <w:rPr>
          <w:rFonts w:ascii="宋体" w:hAnsi="宋体" w:cs="宋体"/>
          <w:color w:val="000000" w:themeColor="text1"/>
          <w:kern w:val="0"/>
          <w:szCs w:val="21"/>
          <w14:textFill>
            <w14:solidFill>
              <w14:schemeClr w14:val="tx1"/>
            </w14:solidFill>
          </w14:textFill>
        </w:rPr>
        <w:t>CA 400-087-8198</w:t>
      </w:r>
      <w:r>
        <w:rPr>
          <w:rFonts w:hint="eastAsia" w:ascii="宋体" w:hAnsi="宋体" w:cs="宋体"/>
          <w:color w:val="000000" w:themeColor="text1"/>
          <w:kern w:val="0"/>
          <w:szCs w:val="21"/>
          <w14:textFill>
            <w14:solidFill>
              <w14:schemeClr w14:val="tx1"/>
            </w14:solidFill>
          </w14:textFill>
        </w:rPr>
        <w:t>。</w:t>
      </w:r>
    </w:p>
    <w:p>
      <w:pPr>
        <w:widowControl/>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p>
      <w:pPr>
        <w:rPr>
          <w:rFonts w:ascii="宋体" w:hAnsi="宋体"/>
          <w:color w:val="000000" w:themeColor="text1"/>
          <w14:textFill>
            <w14:solidFill>
              <w14:schemeClr w14:val="tx1"/>
            </w14:solidFill>
          </w14:textFill>
        </w:rPr>
      </w:pPr>
    </w:p>
    <w:p>
      <w:pPr>
        <w:pStyle w:val="3"/>
        <w:spacing w:before="0" w:after="0" w:line="360" w:lineRule="auto"/>
        <w:jc w:val="center"/>
        <w:rPr>
          <w:rFonts w:ascii="宋体" w:hAnsi="宋体"/>
          <w:color w:val="000000" w:themeColor="text1"/>
          <w:sz w:val="30"/>
          <w14:textFill>
            <w14:solidFill>
              <w14:schemeClr w14:val="tx1"/>
            </w14:solidFill>
          </w14:textFill>
        </w:rPr>
      </w:pPr>
      <w:bookmarkStart w:id="38" w:name="_Toc24032"/>
      <w:bookmarkStart w:id="39" w:name="_Toc460857891"/>
      <w:bookmarkStart w:id="40" w:name="_Toc460416585"/>
      <w:r>
        <w:rPr>
          <w:rFonts w:hint="eastAsia" w:ascii="宋体" w:hAnsi="宋体"/>
          <w:color w:val="000000" w:themeColor="text1"/>
          <w:sz w:val="30"/>
          <w14:textFill>
            <w14:solidFill>
              <w14:schemeClr w14:val="tx1"/>
            </w14:solidFill>
          </w14:textFill>
        </w:rPr>
        <w:t>第二章  招标需求</w:t>
      </w:r>
      <w:bookmarkEnd w:id="38"/>
      <w:bookmarkEnd w:id="39"/>
      <w:bookmarkEnd w:id="40"/>
      <w:bookmarkStart w:id="41" w:name="_Toc460857894"/>
    </w:p>
    <w:p>
      <w:pPr>
        <w:spacing w:before="120" w:beforeLines="50" w:line="360" w:lineRule="auto"/>
        <w:jc w:val="center"/>
        <w:rPr>
          <w:rFonts w:ascii="宋体" w:hAnsi="宋体"/>
          <w:color w:val="000000" w:themeColor="text1"/>
          <w14:textFill>
            <w14:solidFill>
              <w14:schemeClr w14:val="tx1"/>
            </w14:solidFill>
          </w14:textFill>
        </w:rPr>
      </w:pPr>
      <w:r>
        <w:rPr>
          <w:rFonts w:hint="eastAsia" w:ascii="宋体" w:hAnsi="宋体"/>
          <w:b/>
          <w:bCs/>
          <w:color w:val="000000" w:themeColor="text1"/>
          <w:sz w:val="24"/>
          <w14:textFill>
            <w14:solidFill>
              <w14:schemeClr w14:val="tx1"/>
            </w14:solidFill>
          </w14:textFill>
        </w:rPr>
        <w:t>前附表</w:t>
      </w:r>
    </w:p>
    <w:tbl>
      <w:tblPr>
        <w:tblStyle w:val="4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840"/>
        <w:gridCol w:w="44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序号</w:t>
            </w:r>
          </w:p>
        </w:tc>
        <w:tc>
          <w:tcPr>
            <w:tcW w:w="3840"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子项</w:t>
            </w:r>
          </w:p>
        </w:tc>
        <w:tc>
          <w:tcPr>
            <w:tcW w:w="4425"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restart"/>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w:t>
            </w:r>
          </w:p>
        </w:tc>
        <w:tc>
          <w:tcPr>
            <w:tcW w:w="3840" w:type="dxa"/>
            <w:vAlign w:val="center"/>
          </w:tcPr>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采购标的需实现的功能或者目标</w:t>
            </w:r>
          </w:p>
        </w:tc>
        <w:tc>
          <w:tcPr>
            <w:tcW w:w="4425" w:type="dxa"/>
            <w:vAlign w:val="center"/>
          </w:tcPr>
          <w:p>
            <w:pPr>
              <w:rPr>
                <w:rFonts w:ascii="宋体" w:hAnsi="宋体"/>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详见第二章 招标需求第一条。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vAlign w:val="center"/>
          </w:tcPr>
          <w:p>
            <w:pPr>
              <w:spacing w:line="400" w:lineRule="exact"/>
              <w:jc w:val="center"/>
              <w:rPr>
                <w:rFonts w:ascii="宋体" w:hAnsi="宋体"/>
                <w:color w:val="000000" w:themeColor="text1"/>
                <w14:textFill>
                  <w14:solidFill>
                    <w14:schemeClr w14:val="tx1"/>
                  </w14:solidFill>
                </w14:textFill>
              </w:rPr>
            </w:pPr>
          </w:p>
        </w:tc>
        <w:tc>
          <w:tcPr>
            <w:tcW w:w="3840" w:type="dxa"/>
            <w:vAlign w:val="center"/>
          </w:tcPr>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为落实政府采购需满足的要求</w:t>
            </w:r>
          </w:p>
        </w:tc>
        <w:tc>
          <w:tcPr>
            <w:tcW w:w="4425" w:type="dxa"/>
            <w:vAlign w:val="center"/>
          </w:tcPr>
          <w:p>
            <w:pPr>
              <w:rPr>
                <w:rFonts w:ascii="宋体" w:hAnsi="宋体"/>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详见第二章 招标需求第一条。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20" w:type="dxa"/>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w:t>
            </w:r>
          </w:p>
        </w:tc>
        <w:tc>
          <w:tcPr>
            <w:tcW w:w="3840" w:type="dxa"/>
            <w:vAlign w:val="center"/>
          </w:tcPr>
          <w:p>
            <w:pPr>
              <w:spacing w:line="400" w:lineRule="exac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采购标的需执行的国家相关标准、行业标准、地方标准或者其他标准规范</w:t>
            </w:r>
          </w:p>
        </w:tc>
        <w:tc>
          <w:tcPr>
            <w:tcW w:w="4425" w:type="dxa"/>
            <w:vAlign w:val="center"/>
          </w:tcPr>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由采购人认可的有关国家标准、行业标准、地方标准或者其他标准规范。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20" w:type="dxa"/>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w:t>
            </w:r>
          </w:p>
        </w:tc>
        <w:tc>
          <w:tcPr>
            <w:tcW w:w="3840" w:type="dxa"/>
            <w:vAlign w:val="center"/>
          </w:tcPr>
          <w:p>
            <w:pPr>
              <w:spacing w:line="400" w:lineRule="exac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采购标的需满足的质量、安全、技术规格、物理特性等要求</w:t>
            </w:r>
          </w:p>
        </w:tc>
        <w:tc>
          <w:tcPr>
            <w:tcW w:w="4425" w:type="dxa"/>
            <w:vAlign w:val="center"/>
          </w:tcPr>
          <w:p>
            <w:pPr>
              <w:spacing w:line="400" w:lineRule="exact"/>
              <w:rPr>
                <w:rFonts w:ascii="宋体" w:hAnsi="宋体"/>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详见第二章 招标需求第二条。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20" w:type="dxa"/>
            <w:vAlign w:val="center"/>
          </w:tcPr>
          <w:p>
            <w:pPr>
              <w:spacing w:line="400" w:lineRule="exact"/>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四</w:t>
            </w:r>
          </w:p>
        </w:tc>
        <w:tc>
          <w:tcPr>
            <w:tcW w:w="3840" w:type="dxa"/>
            <w:vAlign w:val="center"/>
          </w:tcPr>
          <w:p>
            <w:pPr>
              <w:spacing w:line="400" w:lineRule="exac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采购标的的数量、采购项目交付或者实施的时间和地点</w:t>
            </w:r>
          </w:p>
        </w:tc>
        <w:tc>
          <w:tcPr>
            <w:tcW w:w="4425" w:type="dxa"/>
            <w:vAlign w:val="center"/>
          </w:tcPr>
          <w:p>
            <w:pPr>
              <w:spacing w:line="400" w:lineRule="exact"/>
              <w:rPr>
                <w:rFonts w:ascii="宋体" w:hAnsi="宋体"/>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详见第二章 招标需求第三条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0" w:type="dxa"/>
            <w:vAlign w:val="center"/>
          </w:tcPr>
          <w:p>
            <w:pPr>
              <w:spacing w:line="400" w:lineRule="exact"/>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五</w:t>
            </w:r>
          </w:p>
        </w:tc>
        <w:tc>
          <w:tcPr>
            <w:tcW w:w="3840" w:type="dxa"/>
            <w:vAlign w:val="center"/>
          </w:tcPr>
          <w:p>
            <w:pPr>
              <w:spacing w:line="400" w:lineRule="exac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采购标的需满足的服务标准、期限、效率等要求</w:t>
            </w:r>
          </w:p>
        </w:tc>
        <w:tc>
          <w:tcPr>
            <w:tcW w:w="4425" w:type="dxa"/>
            <w:vAlign w:val="center"/>
          </w:tcPr>
          <w:p>
            <w:pPr>
              <w:spacing w:line="400" w:lineRule="exact"/>
              <w:rPr>
                <w:rFonts w:ascii="宋体" w:hAnsi="宋体"/>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详见第二章 招标需求第三条。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0" w:type="dxa"/>
            <w:vAlign w:val="center"/>
          </w:tcPr>
          <w:p>
            <w:pPr>
              <w:spacing w:line="400" w:lineRule="exact"/>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六</w:t>
            </w:r>
          </w:p>
        </w:tc>
        <w:tc>
          <w:tcPr>
            <w:tcW w:w="3840" w:type="dxa"/>
            <w:vAlign w:val="center"/>
          </w:tcPr>
          <w:p>
            <w:pPr>
              <w:spacing w:line="400" w:lineRule="exac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采购标的的验收标准</w:t>
            </w:r>
          </w:p>
        </w:tc>
        <w:tc>
          <w:tcPr>
            <w:tcW w:w="4425" w:type="dxa"/>
            <w:vAlign w:val="center"/>
          </w:tcPr>
          <w:p>
            <w:pPr>
              <w:spacing w:line="4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1）采购人根据采购文件和</w:t>
            </w:r>
            <w:r>
              <w:rPr>
                <w:rFonts w:ascii="宋体" w:hAnsi="宋体"/>
                <w:bCs/>
                <w:color w:val="000000" w:themeColor="text1"/>
                <w:szCs w:val="21"/>
                <w14:textFill>
                  <w14:solidFill>
                    <w14:schemeClr w14:val="tx1"/>
                  </w14:solidFill>
                </w14:textFill>
              </w:rPr>
              <w:t>投标人</w:t>
            </w:r>
            <w:r>
              <w:rPr>
                <w:rFonts w:hint="eastAsia" w:ascii="宋体" w:hAnsi="宋体"/>
                <w:bCs/>
                <w:color w:val="000000" w:themeColor="text1"/>
                <w:szCs w:val="21"/>
                <w14:textFill>
                  <w14:solidFill>
                    <w14:schemeClr w14:val="tx1"/>
                  </w14:solidFill>
                </w14:textFill>
              </w:rPr>
              <w:t>提供的投标文件及</w:t>
            </w:r>
            <w:r>
              <w:rPr>
                <w:rFonts w:ascii="宋体" w:hAnsi="宋体"/>
                <w:bCs/>
                <w:color w:val="000000" w:themeColor="text1"/>
                <w:szCs w:val="21"/>
                <w14:textFill>
                  <w14:solidFill>
                    <w14:schemeClr w14:val="tx1"/>
                  </w14:solidFill>
                </w14:textFill>
              </w:rPr>
              <w:t>投标人</w:t>
            </w:r>
            <w:r>
              <w:rPr>
                <w:rFonts w:hint="eastAsia" w:ascii="宋体" w:hAnsi="宋体"/>
                <w:bCs/>
                <w:color w:val="000000" w:themeColor="text1"/>
                <w:szCs w:val="21"/>
                <w14:textFill>
                  <w14:solidFill>
                    <w14:schemeClr w14:val="tx1"/>
                  </w14:solidFill>
                </w14:textFill>
              </w:rPr>
              <w:t>和采购人签订的政府采购合同为标准进行验收。</w:t>
            </w:r>
          </w:p>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项目安装、调试并完成初步验收后，应经过六个月的试运行，试运行后，由采购人进行最终验收。系统验收合格的条件必须至少满足以下要求：已提供了合同要求的全部设备和资料；性能测试和试运行验收时出现的问题已被解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Align w:val="center"/>
          </w:tcPr>
          <w:p>
            <w:pPr>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七</w:t>
            </w:r>
          </w:p>
        </w:tc>
        <w:tc>
          <w:tcPr>
            <w:tcW w:w="3840" w:type="dxa"/>
            <w:vAlign w:val="center"/>
          </w:tcPr>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采购标的的其他技术、服务等要求</w:t>
            </w:r>
          </w:p>
        </w:tc>
        <w:tc>
          <w:tcPr>
            <w:tcW w:w="4425" w:type="dxa"/>
            <w:vAlign w:val="center"/>
          </w:tcPr>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详见第二章 招标需求第三条。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Align w:val="center"/>
          </w:tcPr>
          <w:p>
            <w:pPr>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八</w:t>
            </w:r>
          </w:p>
        </w:tc>
        <w:tc>
          <w:tcPr>
            <w:tcW w:w="3840" w:type="dxa"/>
            <w:vAlign w:val="center"/>
          </w:tcPr>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核心产品</w:t>
            </w:r>
          </w:p>
        </w:tc>
        <w:tc>
          <w:tcPr>
            <w:tcW w:w="4425" w:type="dxa"/>
            <w:vAlign w:val="center"/>
          </w:tcPr>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20" w:type="dxa"/>
            <w:vAlign w:val="center"/>
          </w:tcPr>
          <w:p>
            <w:pPr>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九</w:t>
            </w:r>
          </w:p>
        </w:tc>
        <w:tc>
          <w:tcPr>
            <w:tcW w:w="3840" w:type="dxa"/>
            <w:vAlign w:val="center"/>
          </w:tcPr>
          <w:p>
            <w:pPr>
              <w:rPr>
                <w:rFonts w:ascii="宋体" w:hAnsi="宋体"/>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现场踏勘</w:t>
            </w:r>
          </w:p>
        </w:tc>
        <w:tc>
          <w:tcPr>
            <w:tcW w:w="4425" w:type="dxa"/>
            <w:vAlign w:val="center"/>
          </w:tcPr>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由</w:t>
            </w:r>
            <w:r>
              <w:rPr>
                <w:rFonts w:ascii="宋体" w:hAnsi="宋体"/>
                <w:bCs/>
                <w:color w:val="000000" w:themeColor="text1"/>
                <w14:textFill>
                  <w14:solidFill>
                    <w14:schemeClr w14:val="tx1"/>
                  </w14:solidFill>
                </w14:textFill>
              </w:rPr>
              <w:t>投标人</w:t>
            </w:r>
            <w:r>
              <w:rPr>
                <w:rFonts w:hint="eastAsia" w:ascii="宋体" w:hAnsi="宋体"/>
                <w:bCs/>
                <w:color w:val="000000" w:themeColor="text1"/>
                <w14:textFill>
                  <w14:solidFill>
                    <w14:schemeClr w14:val="tx1"/>
                  </w14:solidFill>
                </w14:textFill>
              </w:rPr>
              <w:t>自行前往现场进行踏勘</w:t>
            </w:r>
            <w:r>
              <w:rPr>
                <w:rFonts w:hint="eastAsia" w:ascii="宋体" w:hAnsi="宋体"/>
                <w:color w:val="000000" w:themeColor="text1"/>
                <w:szCs w:val="21"/>
                <w14:textFill>
                  <w14:solidFill>
                    <w14:schemeClr w14:val="tx1"/>
                  </w14:solidFill>
                </w14:textFill>
              </w:rPr>
              <w:t>，遵守现场安全和防疫管理要求。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Align w:val="center"/>
          </w:tcPr>
          <w:p>
            <w:pPr>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十</w:t>
            </w:r>
          </w:p>
        </w:tc>
        <w:tc>
          <w:tcPr>
            <w:tcW w:w="3840"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样品要求</w:t>
            </w:r>
          </w:p>
        </w:tc>
        <w:tc>
          <w:tcPr>
            <w:tcW w:w="4425" w:type="dxa"/>
            <w:vAlign w:val="center"/>
          </w:tcPr>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无要求。</w:t>
            </w:r>
          </w:p>
        </w:tc>
      </w:tr>
    </w:tbl>
    <w:p>
      <w:pPr>
        <w:spacing w:before="120" w:beforeLines="50" w:line="360" w:lineRule="auto"/>
        <w:rPr>
          <w:rFonts w:ascii="宋体" w:hAnsi="宋体"/>
          <w:b/>
          <w:color w:val="000000" w:themeColor="text1"/>
          <w14:textFill>
            <w14:solidFill>
              <w14:schemeClr w14:val="tx1"/>
            </w14:solidFill>
          </w14:textFill>
        </w:rPr>
      </w:pPr>
    </w:p>
    <w:p>
      <w:pPr>
        <w:spacing w:before="120" w:beforeLines="50" w:line="360" w:lineRule="auto"/>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br w:type="page"/>
      </w:r>
      <w:r>
        <w:rPr>
          <w:rFonts w:hint="eastAsia" w:ascii="宋体" w:hAnsi="宋体"/>
          <w:b/>
          <w:color w:val="000000" w:themeColor="text1"/>
          <w14:textFill>
            <w14:solidFill>
              <w14:schemeClr w14:val="tx1"/>
            </w14:solidFill>
          </w14:textFill>
        </w:rPr>
        <w:t>一、采购标的需实现的功能或者目标、以及为落实政府采购需满足的要求</w:t>
      </w:r>
    </w:p>
    <w:p>
      <w:pPr>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本次采购为</w:t>
      </w:r>
      <w:r>
        <w:rPr>
          <w:rFonts w:hint="eastAsia" w:ascii="宋体" w:hAnsi="宋体"/>
          <w:color w:val="000000" w:themeColor="text1"/>
          <w:lang w:eastAsia="zh-CN"/>
          <w14:textFill>
            <w14:solidFill>
              <w14:schemeClr w14:val="tx1"/>
            </w14:solidFill>
          </w14:textFill>
        </w:rPr>
        <w:t>北京航空航天大学宁波创新研究院飞机刹车惯性台采购项目</w:t>
      </w:r>
      <w:r>
        <w:rPr>
          <w:rFonts w:hint="eastAsia" w:ascii="宋体" w:hAnsi="宋体"/>
          <w:color w:val="000000" w:themeColor="text1"/>
          <w14:textFill>
            <w14:solidFill>
              <w14:schemeClr w14:val="tx1"/>
            </w14:solidFill>
          </w14:textFill>
        </w:rPr>
        <w:t>，完成后可满足</w:t>
      </w:r>
      <w:r>
        <w:rPr>
          <w:rFonts w:ascii="宋体" w:hAnsi="宋体"/>
          <w:color w:val="000000" w:themeColor="text1"/>
          <w:szCs w:val="21"/>
          <w14:textFill>
            <w14:solidFill>
              <w14:schemeClr w14:val="tx1"/>
            </w14:solidFill>
          </w14:textFill>
        </w:rPr>
        <w:t>宁波创新研究院</w:t>
      </w:r>
      <w:r>
        <w:rPr>
          <w:rFonts w:hint="eastAsia" w:ascii="宋体" w:hAnsi="宋体"/>
          <w:color w:val="000000" w:themeColor="text1"/>
          <w:szCs w:val="21"/>
          <w14:textFill>
            <w14:solidFill>
              <w14:schemeClr w14:val="tx1"/>
            </w14:solidFill>
          </w14:textFill>
        </w:rPr>
        <w:t>教学和科研的</w:t>
      </w:r>
      <w:r>
        <w:rPr>
          <w:rFonts w:hint="eastAsia" w:ascii="宋体" w:hAnsi="宋体"/>
          <w:color w:val="000000" w:themeColor="text1"/>
          <w14:textFill>
            <w14:solidFill>
              <w14:schemeClr w14:val="tx1"/>
            </w14:solidFill>
          </w14:textFill>
        </w:rPr>
        <w:t>使用要求。</w:t>
      </w:r>
    </w:p>
    <w:p>
      <w:pPr>
        <w:spacing w:line="360" w:lineRule="auto"/>
        <w:ind w:firstLine="420"/>
        <w:rPr>
          <w:rFonts w:ascii="宋体" w:hAnsi="宋体"/>
          <w:b/>
          <w:color w:val="000000" w:themeColor="text1"/>
          <w:szCs w:val="28"/>
          <w14:textFill>
            <w14:solidFill>
              <w14:schemeClr w14:val="tx1"/>
            </w14:solidFill>
          </w14:textFill>
        </w:rPr>
      </w:pPr>
      <w:r>
        <w:rPr>
          <w:rFonts w:hint="eastAsia" w:ascii="宋体" w:hAnsi="宋体"/>
          <w:color w:val="000000" w:themeColor="text1"/>
          <w14:textFill>
            <w14:solidFill>
              <w14:schemeClr w14:val="tx1"/>
            </w14:solidFill>
          </w14:textFill>
        </w:rPr>
        <w:t>落实政府采购需满足的要求详见第一章采购公告。13806664510</w:t>
      </w:r>
    </w:p>
    <w:p>
      <w:pPr>
        <w:spacing w:before="120" w:beforeLines="50" w:line="360" w:lineRule="auto"/>
        <w:rPr>
          <w:rFonts w:ascii="宋体" w:hAnsi="宋体"/>
          <w:b/>
          <w:color w:val="000000" w:themeColor="text1"/>
          <w:szCs w:val="28"/>
          <w14:textFill>
            <w14:solidFill>
              <w14:schemeClr w14:val="tx1"/>
            </w14:solidFill>
          </w14:textFill>
        </w:rPr>
      </w:pPr>
      <w:r>
        <w:rPr>
          <w:rFonts w:hint="eastAsia" w:ascii="宋体" w:hAnsi="宋体"/>
          <w:b/>
          <w:color w:val="000000" w:themeColor="text1"/>
          <w:szCs w:val="28"/>
          <w14:textFill>
            <w14:solidFill>
              <w14:schemeClr w14:val="tx1"/>
            </w14:solidFill>
          </w14:textFill>
        </w:rPr>
        <w:t>二、采购标的需满足的质量、安全、技术规格、物理特性等要求</w:t>
      </w:r>
    </w:p>
    <w:bookmarkEnd w:id="41"/>
    <w:p>
      <w:pPr>
        <w:snapToGrid w:val="0"/>
        <w:spacing w:line="360"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（一）招标产品清单</w:t>
      </w:r>
    </w:p>
    <w:tbl>
      <w:tblPr>
        <w:tblStyle w:val="40"/>
        <w:tblW w:w="92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7"/>
        <w:gridCol w:w="2562"/>
        <w:gridCol w:w="1595"/>
        <w:gridCol w:w="39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57" w:type="dxa"/>
            <w:vAlign w:val="center"/>
          </w:tcPr>
          <w:p>
            <w:pPr>
              <w:snapToGrid w:val="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2562" w:type="dxa"/>
            <w:vAlign w:val="center"/>
          </w:tcPr>
          <w:p>
            <w:pPr>
              <w:snapToGrid w:val="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货物名称</w:t>
            </w:r>
          </w:p>
        </w:tc>
        <w:tc>
          <w:tcPr>
            <w:tcW w:w="1595" w:type="dxa"/>
            <w:vAlign w:val="center"/>
          </w:tcPr>
          <w:p>
            <w:pPr>
              <w:snapToGrid w:val="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数量</w:t>
            </w:r>
          </w:p>
        </w:tc>
        <w:tc>
          <w:tcPr>
            <w:tcW w:w="3989" w:type="dxa"/>
            <w:vAlign w:val="center"/>
          </w:tcPr>
          <w:p>
            <w:pPr>
              <w:snapToGrid w:val="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1057"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2562" w:type="dxa"/>
            <w:vAlign w:val="center"/>
          </w:tcPr>
          <w:p>
            <w:pPr>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飞机刹车惯性台</w:t>
            </w:r>
          </w:p>
        </w:tc>
        <w:tc>
          <w:tcPr>
            <w:tcW w:w="159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3989"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*本项目产品不</w:t>
            </w:r>
            <w:r>
              <w:rPr>
                <w:rFonts w:ascii="宋体" w:hAnsi="宋体"/>
                <w:color w:val="000000" w:themeColor="text1"/>
                <w:szCs w:val="21"/>
                <w14:textFill>
                  <w14:solidFill>
                    <w14:schemeClr w14:val="tx1"/>
                  </w14:solidFill>
                </w14:textFill>
              </w:rPr>
              <w:t>允许采购</w:t>
            </w:r>
            <w:r>
              <w:rPr>
                <w:rFonts w:hint="eastAsia" w:ascii="宋体" w:hAnsi="宋体"/>
                <w:color w:val="000000" w:themeColor="text1"/>
                <w:szCs w:val="21"/>
                <w14:textFill>
                  <w14:solidFill>
                    <w14:schemeClr w14:val="tx1"/>
                  </w14:solidFill>
                </w14:textFill>
              </w:rPr>
              <w:t>进口产品</w:t>
            </w:r>
          </w:p>
        </w:tc>
      </w:tr>
    </w:tbl>
    <w:p>
      <w:pPr>
        <w:jc w:val="center"/>
        <w:rPr>
          <w:rFonts w:ascii="宋体" w:hAnsi="宋体"/>
          <w:b/>
          <w:bCs/>
          <w:color w:val="000000" w:themeColor="text1"/>
          <w:sz w:val="24"/>
          <w:szCs w:val="21"/>
          <w14:textFill>
            <w14:solidFill>
              <w14:schemeClr w14:val="tx1"/>
            </w14:solidFill>
          </w14:textFill>
        </w:rPr>
      </w:pPr>
      <w:bookmarkStart w:id="42" w:name="_Toc146809079"/>
      <w:bookmarkStart w:id="43" w:name="_Toc434566530"/>
      <w:bookmarkStart w:id="44" w:name="_Toc325971125"/>
      <w:bookmarkStart w:id="45" w:name="_Toc151648181"/>
      <w:bookmarkStart w:id="46" w:name="_Toc326255597"/>
    </w:p>
    <w:bookmarkEnd w:id="42"/>
    <w:bookmarkEnd w:id="43"/>
    <w:bookmarkEnd w:id="44"/>
    <w:bookmarkEnd w:id="45"/>
    <w:bookmarkEnd w:id="46"/>
    <w:p>
      <w:pPr>
        <w:numPr>
          <w:ilvl w:val="0"/>
          <w:numId w:val="10"/>
        </w:numPr>
        <w:snapToGrid w:val="0"/>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表B货物的技术规格要求</w:t>
      </w:r>
    </w:p>
    <w:tbl>
      <w:tblPr>
        <w:tblStyle w:val="40"/>
        <w:tblW w:w="949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7149"/>
        <w:gridCol w:w="12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blHeader/>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contextualSpacing/>
              <w:jc w:val="center"/>
              <w:textAlignment w:val="auto"/>
              <w:rPr>
                <w:rFonts w:hint="eastAsia" w:asciiTheme="minorEastAsia" w:hAnsiTheme="minorEastAsia" w:eastAsiaTheme="minorEastAsia" w:cstheme="minorEastAsia"/>
                <w:b/>
                <w:bCs/>
                <w:sz w:val="21"/>
                <w:szCs w:val="21"/>
              </w:rPr>
            </w:pPr>
            <w:bookmarkStart w:id="47" w:name="_Toc460416594"/>
            <w:bookmarkStart w:id="48" w:name="_Toc460857895"/>
            <w:r>
              <w:rPr>
                <w:rFonts w:hint="eastAsia" w:asciiTheme="minorEastAsia" w:hAnsiTheme="minorEastAsia" w:eastAsiaTheme="minorEastAsia" w:cstheme="minorEastAsia"/>
                <w:b/>
                <w:kern w:val="1"/>
                <w:sz w:val="21"/>
                <w:szCs w:val="21"/>
              </w:rPr>
              <w:t>序号</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contextualSpacing/>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kern w:val="1"/>
                <w:sz w:val="21"/>
                <w:szCs w:val="21"/>
              </w:rPr>
              <w:t>招标技术要求</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contextualSpacing/>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kern w:val="1"/>
                <w:sz w:val="21"/>
                <w:szCs w:val="21"/>
              </w:rPr>
              <w:t>投标人响应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1</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设备名称：飞机刹车惯性台</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数量：1套</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设备用途及基本要求</w:t>
            </w:r>
            <w:r>
              <w:rPr>
                <w:rFonts w:hint="eastAsia" w:asciiTheme="minorEastAsia" w:hAnsiTheme="minorEastAsia" w:eastAsiaTheme="minorEastAsia" w:cstheme="minorEastAsia"/>
                <w:sz w:val="21"/>
                <w:szCs w:val="21"/>
                <w:lang w:eastAsia="zh-CN"/>
              </w:rPr>
              <w:t>：飞机刹车惯性台是进行飞机刹车系统研究的核心支撑设备，由惯量模拟系统、惯量驱动系统、载荷压下系统、综合测控系统、机械台架等组成。</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通过电机带动惯量轮转动，并且实时施加扭矩实现惯量的变化模拟，通过载荷控制系统压下起落架、机轮，实现刹车过程的模拟，同时采集刹车压力、刹车力矩、刹车温度、刹车振动、机轮速度、飞机速度等信号。用来验证刹车控制律、刹车控制器、数字刹车阀的工作性能，用来支撑装机产品的研制。</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主要规格参数要求</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4.1</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能够模拟单轮2吨飞机着陆能量，速度不小于250km/h，模拟能量不小于4.8MJ。具有双侧起落架刹车功能。</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4.2</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驱动系统功率不小于150kW。</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4.3</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能够通过驱动系统实现变惯量模拟，变惯量范围不小于±10%。</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4.4</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轮速驱动系统控制精度、载荷压下系统载荷控制精度不大于±5%。</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4.5</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具有刹车压力、刹车力矩、刹车温度、刹车振动、机轮速度、飞机速度等信号采集功能，传感器精度不大于±0.5%。</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4.6</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综合测控系统采用NI PXI系统架构，采集系统采样率≮1K，采集精度不低于1%，采集周期≦5ms。</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4.7</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提供地面液压油源，压力0-21MPa可调，流量40L/min，要求油源静音、具有远程控制功能。</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4.8</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提供航空液压油源，压力0-21MPa可调，流量20L/min，要求油源静音、具有远程控制功能。</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4.9</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驱动电机、加载伺服阀、加载液压缸、传感器、油源电机、油源液压泵等主要元件要采用力士乐、穆格、ABB、西门子等知名品牌。</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4.10</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提供真实飞机刹车组件，主要包括航空机轮、轮胎、刹车轮毂、刹车壳体、刹车盘、刹车伺服阀、刹车作动器、压力传感器等。</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lang w:val="en-US" w:eastAsia="zh-CN"/>
              </w:rPr>
            </w:pPr>
            <w:bookmarkStart w:id="49" w:name="_Hlk113973313"/>
            <w:r>
              <w:rPr>
                <w:rFonts w:hint="eastAsia" w:asciiTheme="minorEastAsia" w:hAnsiTheme="minorEastAsia" w:eastAsiaTheme="minorEastAsia" w:cstheme="minorEastAsia"/>
                <w:sz w:val="21"/>
                <w:szCs w:val="21"/>
                <w:lang w:val="en-US" w:eastAsia="zh-CN"/>
              </w:rPr>
              <w:t>5</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设备结构及要求</w:t>
            </w:r>
            <w:r>
              <w:rPr>
                <w:rFonts w:hint="eastAsia" w:asciiTheme="minorEastAsia" w:hAnsiTheme="minorEastAsia" w:eastAsiaTheme="minorEastAsia" w:cstheme="minorEastAsia"/>
                <w:sz w:val="21"/>
                <w:szCs w:val="21"/>
                <w:lang w:eastAsia="zh-CN"/>
              </w:rPr>
              <w:t>：该设备主要包括：惯量模拟系统、惯量驱动系统、载荷压下系统、综合测控系统、机械台架等。</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5.1</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惯量模拟系统</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5.1.1</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能够模拟2吨飞机着陆能量，速度不小于250km/h，模拟能量不小于4.8MJ。具有双侧起落架刹车功能。</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5.1.2</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惯量模拟应可以通过主惯量盘以及电惯量组合实现。</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5.1.3</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主惯量盘采用一体化锻压制造，保证强度满足要求。</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5.1.4</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应交付一套惯量模拟系统，包括主惯量盘、台架、连接轴、扭矩传感器等。</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5.1.5</w:t>
            </w:r>
          </w:p>
        </w:tc>
        <w:tc>
          <w:tcPr>
            <w:tcW w:w="7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主惯量盘为电机驱动控制系统驱动的质量盘，通过增减电惯量的方式模拟不同飞机着陆能量。</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bookmarkEnd w:id="49"/>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5.1.6</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台架用于安装惯量盘，在转动时应稳定可靠。</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5.1.7</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连接轴用于连接电机与惯量盘，可通过离合装置或电机转矩跟随实现惯量模拟。</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5.2</w:t>
            </w:r>
          </w:p>
        </w:tc>
        <w:tc>
          <w:tcPr>
            <w:tcW w:w="0" w:type="auto"/>
            <w:vAlign w:val="center"/>
          </w:tcPr>
          <w:p>
            <w:pPr>
              <w:pStyle w:val="86"/>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400" w:lineRule="exact"/>
              <w:ind w:leftChars="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惯量驱动系统</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kern w:val="2"/>
                <w:sz w:val="21"/>
                <w:szCs w:val="21"/>
                <w:lang w:val="en-US" w:eastAsia="zh-CN" w:bidi="ar-SA"/>
              </w:rPr>
              <w:t>5.2.1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驱动功率不小于150kW，实现惯量盘的转速控制、扭矩控制。</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5.2.2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同时实现变惯量模拟，变惯量范围不小于±10%。</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5.2.3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应交付一套电机驱动控制系统，包括电机、变频器、配电柜、转速传感器及转速控制硬件。电机驱动控制精度不大于±5%。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5.2.4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将综合测控系统给定的飞机重量、着陆速度等输入条件转化为电机驱动控制指令，驱动主惯量盘按照设定能量转动。</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载荷压下系统</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kern w:val="2"/>
                <w:sz w:val="21"/>
                <w:szCs w:val="21"/>
                <w:lang w:val="en-US" w:eastAsia="zh-CN" w:bidi="ar-SA"/>
              </w:rPr>
              <w:t>5.3.1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应交付一套双通道载荷控制系统，包括加载系统、台架、机轮安装组件等。具备双侧起落架刹车功能。</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5.3.2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加载系统含伺服油缸、力传感器、位移传感器、伺服阀以及控制系统含工控机等硬件。</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5.3.3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加载台架包含油缸安装支座、导轨和机轮支撑，台架应能承受机轮最大设计载荷，刚度、强度满足试验要求。在模拟刹车过程中不应发生弯扭、抖动等情况。</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5.3.4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机轮安装组件用于飞机机轮和刹车装置的安装，机轮转轴方便更换，以适应多型号刹车机轮的试验。</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kern w:val="2"/>
                <w:sz w:val="21"/>
                <w:szCs w:val="21"/>
                <w:lang w:val="en-US" w:eastAsia="zh-CN" w:bidi="ar-SA"/>
              </w:rPr>
              <w:t>5.3.5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单次试验中可设置定载荷，也可设置变载荷。变载荷可为通用曲线，也可与鼓轮速度关联，也可读取预定载荷谱。</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kern w:val="2"/>
                <w:sz w:val="21"/>
                <w:szCs w:val="21"/>
                <w:lang w:val="en-US" w:eastAsia="zh-CN" w:bidi="ar-SA"/>
              </w:rPr>
              <w:t>5.3.6</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载荷压下可采用力控制模式，也可使用位置（机轮压缩量）控制模式。载荷压下系统载荷控制精度不大于±5%。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综合测控系统</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kern w:val="2"/>
                <w:sz w:val="21"/>
                <w:szCs w:val="21"/>
                <w:lang w:val="en-US" w:eastAsia="zh-CN" w:bidi="ar-SA"/>
              </w:rPr>
              <w:t>5.4.1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具有刹车压力、刹车力矩、刹车温度、刹车振动、机轮速度、飞机速度等信号采集功能，传感器精度不大于±0.5%。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kern w:val="2"/>
                <w:sz w:val="21"/>
                <w:szCs w:val="21"/>
                <w:lang w:val="en-US" w:eastAsia="zh-CN" w:bidi="ar-SA"/>
              </w:rPr>
              <w:t>5.4.2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实现对惯性台的信号采集、储存和控制，采用NI PXI系统架构，采集精度不低于1%，采集周期≦5ms。</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5.4.3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工业控制计算机运行控制软件，实现界面的友好交互。</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5.4.4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外围调理电路包括油源控制器和加载控制器，油源控制器主要完成油源的远程控制与监测。加载控制器主要调理传感器、电液伺服阀与工控机之间的信号调理。</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5.4.5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具有高性能测控板卡，完成高分辨率的数据采集及高精度的数模转换。</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机械台架</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5.5.1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用于安装惯量模拟系统、惯量驱动系统、载荷压下系统，需要巨大的铸造机械台架。</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5.5.2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机械台架包括：电机支撑台体、惯量盘支撑台体。</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5.5.3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机械台架均采用灰口铸铁铸造，抗压能力强，吸振效果好。</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kern w:val="2"/>
                <w:sz w:val="21"/>
                <w:szCs w:val="21"/>
                <w:lang w:val="en-US" w:eastAsia="zh-CN" w:bidi="ar-SA"/>
              </w:rPr>
              <w:t>5.5.4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负责完成与该设备安装相关的基建、房屋装修等工作。</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6</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设备工作环境</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环境温度：0℃～40℃</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相对湿度：&lt;80%</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7</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随机交付物</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7.1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飞机刹车惯性台一套，详细清单如下：</w:t>
            </w:r>
          </w:p>
          <w:p>
            <w:pPr>
              <w:pStyle w:val="86"/>
              <w:keepNext w:val="0"/>
              <w:keepLines w:val="0"/>
              <w:pageBreakBefore w:val="0"/>
              <w:widowControl w:val="0"/>
              <w:numPr>
                <w:ilvl w:val="0"/>
                <w:numId w:val="11"/>
              </w:numPr>
              <w:tabs>
                <w:tab w:val="left" w:pos="360"/>
              </w:tabs>
              <w:kinsoku/>
              <w:wordWrap/>
              <w:overflowPunct/>
              <w:topLinePunct w:val="0"/>
              <w:autoSpaceDE/>
              <w:autoSpaceDN/>
              <w:bidi w:val="0"/>
              <w:adjustRightInd/>
              <w:snapToGrid/>
              <w:spacing w:line="400" w:lineRule="exact"/>
              <w:ind w:left="0"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惯量模拟系统1套</w:t>
            </w:r>
          </w:p>
          <w:p>
            <w:pPr>
              <w:pStyle w:val="86"/>
              <w:keepNext w:val="0"/>
              <w:keepLines w:val="0"/>
              <w:pageBreakBefore w:val="0"/>
              <w:widowControl w:val="0"/>
              <w:numPr>
                <w:ilvl w:val="0"/>
                <w:numId w:val="11"/>
              </w:numPr>
              <w:tabs>
                <w:tab w:val="left" w:pos="360"/>
              </w:tabs>
              <w:kinsoku/>
              <w:wordWrap/>
              <w:overflowPunct/>
              <w:topLinePunct w:val="0"/>
              <w:autoSpaceDE/>
              <w:autoSpaceDN/>
              <w:bidi w:val="0"/>
              <w:adjustRightInd/>
              <w:snapToGrid/>
              <w:spacing w:line="400" w:lineRule="exact"/>
              <w:ind w:left="0"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惯量驱动系统1套</w:t>
            </w:r>
          </w:p>
          <w:p>
            <w:pPr>
              <w:pStyle w:val="86"/>
              <w:keepNext w:val="0"/>
              <w:keepLines w:val="0"/>
              <w:pageBreakBefore w:val="0"/>
              <w:widowControl w:val="0"/>
              <w:numPr>
                <w:ilvl w:val="0"/>
                <w:numId w:val="11"/>
              </w:numPr>
              <w:tabs>
                <w:tab w:val="left" w:pos="360"/>
              </w:tabs>
              <w:kinsoku/>
              <w:wordWrap/>
              <w:overflowPunct/>
              <w:topLinePunct w:val="0"/>
              <w:autoSpaceDE/>
              <w:autoSpaceDN/>
              <w:bidi w:val="0"/>
              <w:adjustRightInd/>
              <w:snapToGrid/>
              <w:spacing w:line="400" w:lineRule="exact"/>
              <w:ind w:left="0"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载荷压下系统1套</w:t>
            </w:r>
          </w:p>
          <w:p>
            <w:pPr>
              <w:pStyle w:val="86"/>
              <w:keepNext w:val="0"/>
              <w:keepLines w:val="0"/>
              <w:pageBreakBefore w:val="0"/>
              <w:widowControl w:val="0"/>
              <w:numPr>
                <w:ilvl w:val="0"/>
                <w:numId w:val="11"/>
              </w:numPr>
              <w:tabs>
                <w:tab w:val="left" w:pos="360"/>
              </w:tabs>
              <w:kinsoku/>
              <w:wordWrap/>
              <w:overflowPunct/>
              <w:topLinePunct w:val="0"/>
              <w:autoSpaceDE/>
              <w:autoSpaceDN/>
              <w:bidi w:val="0"/>
              <w:adjustRightInd/>
              <w:snapToGrid/>
              <w:spacing w:line="400" w:lineRule="exact"/>
              <w:ind w:left="0"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综合测控系统1套</w:t>
            </w:r>
          </w:p>
          <w:p>
            <w:pPr>
              <w:pStyle w:val="86"/>
              <w:keepNext w:val="0"/>
              <w:keepLines w:val="0"/>
              <w:pageBreakBefore w:val="0"/>
              <w:widowControl w:val="0"/>
              <w:numPr>
                <w:ilvl w:val="0"/>
                <w:numId w:val="11"/>
              </w:numPr>
              <w:tabs>
                <w:tab w:val="left" w:pos="360"/>
              </w:tabs>
              <w:kinsoku/>
              <w:wordWrap/>
              <w:overflowPunct/>
              <w:topLinePunct w:val="0"/>
              <w:autoSpaceDE/>
              <w:autoSpaceDN/>
              <w:bidi w:val="0"/>
              <w:adjustRightInd/>
              <w:snapToGrid/>
              <w:spacing w:line="400" w:lineRule="exact"/>
              <w:ind w:left="0"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机轮刹车系统1套</w:t>
            </w:r>
          </w:p>
          <w:p>
            <w:pPr>
              <w:pStyle w:val="86"/>
              <w:keepNext w:val="0"/>
              <w:keepLines w:val="0"/>
              <w:pageBreakBefore w:val="0"/>
              <w:widowControl w:val="0"/>
              <w:numPr>
                <w:ilvl w:val="0"/>
                <w:numId w:val="11"/>
              </w:numPr>
              <w:tabs>
                <w:tab w:val="left" w:pos="360"/>
              </w:tabs>
              <w:kinsoku/>
              <w:wordWrap/>
              <w:overflowPunct/>
              <w:topLinePunct w:val="0"/>
              <w:autoSpaceDE/>
              <w:autoSpaceDN/>
              <w:bidi w:val="0"/>
              <w:adjustRightInd/>
              <w:snapToGrid/>
              <w:spacing w:line="400" w:lineRule="exact"/>
              <w:ind w:left="0"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机械台架1套</w:t>
            </w:r>
          </w:p>
          <w:p>
            <w:pPr>
              <w:pStyle w:val="86"/>
              <w:keepNext w:val="0"/>
              <w:keepLines w:val="0"/>
              <w:pageBreakBefore w:val="0"/>
              <w:widowControl w:val="0"/>
              <w:numPr>
                <w:ilvl w:val="0"/>
                <w:numId w:val="11"/>
              </w:numPr>
              <w:tabs>
                <w:tab w:val="left" w:pos="360"/>
              </w:tabs>
              <w:kinsoku/>
              <w:wordWrap/>
              <w:overflowPunct/>
              <w:topLinePunct w:val="0"/>
              <w:autoSpaceDE/>
              <w:autoSpaceDN/>
              <w:bidi w:val="0"/>
              <w:adjustRightInd/>
              <w:snapToGrid/>
              <w:spacing w:line="400" w:lineRule="exact"/>
              <w:ind w:left="0"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地轨、安全围栏等辅助设施。</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上述组成部分总体构成一台设备。</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7.2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飞机刹车惯性台交付前测试验收报告。</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7.3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设备的操作使用说明书、维护手册、三维图、二维图、电气原理图等。</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7.4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第三方外购件的合格证、检测报告、使用说明书、光盘资料等。</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8</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技术服务</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8.1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投标人在交付前须对飞机刹车系统地面综合半实物平台进行充分测试，保证平台的安全性和指标性能。</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8.2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投标人应负责飞机刹车系统地面综合半实物平台的安装及调试工作。</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8.3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投标人在平台交付后应提供相关培训与售后服务。</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r>
    </w:tbl>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备注：</w:t>
      </w:r>
    </w:p>
    <w:p>
      <w:pPr>
        <w:spacing w:line="40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1</w:t>
      </w:r>
      <w:r>
        <w:rPr>
          <w:rFonts w:hint="eastAsia" w:ascii="宋体" w:hAnsi="宋体"/>
          <w:b/>
          <w:color w:val="000000" w:themeColor="text1"/>
          <w:szCs w:val="21"/>
          <w14:textFill>
            <w14:solidFill>
              <w14:schemeClr w14:val="tx1"/>
            </w14:solidFill>
          </w14:textFill>
        </w:rPr>
        <w:t>、投标人需对以上技术参数做出逐条具体应答，并填写偏离情况，</w:t>
      </w:r>
      <w:r>
        <w:rPr>
          <w:rFonts w:ascii="宋体" w:hAnsi="宋体"/>
          <w:b/>
          <w:color w:val="000000" w:themeColor="text1"/>
          <w:szCs w:val="21"/>
          <w14:textFill>
            <w14:solidFill>
              <w14:schemeClr w14:val="tx1"/>
            </w14:solidFill>
          </w14:textFill>
        </w:rPr>
        <w:t>否则作</w:t>
      </w:r>
      <w:r>
        <w:rPr>
          <w:rFonts w:hint="eastAsia" w:ascii="宋体" w:hAnsi="宋体"/>
          <w:b/>
          <w:color w:val="000000" w:themeColor="text1"/>
          <w:szCs w:val="21"/>
          <w14:textFill>
            <w14:solidFill>
              <w14:schemeClr w14:val="tx1"/>
            </w14:solidFill>
          </w14:textFill>
        </w:rPr>
        <w:t>技术</w:t>
      </w:r>
      <w:r>
        <w:rPr>
          <w:rFonts w:ascii="宋体" w:hAnsi="宋体"/>
          <w:b/>
          <w:color w:val="000000" w:themeColor="text1"/>
          <w:szCs w:val="21"/>
          <w14:textFill>
            <w14:solidFill>
              <w14:schemeClr w14:val="tx1"/>
            </w14:solidFill>
          </w14:textFill>
        </w:rPr>
        <w:t>参数</w:t>
      </w:r>
      <w:r>
        <w:rPr>
          <w:rFonts w:hint="eastAsia" w:ascii="宋体" w:hAnsi="宋体"/>
          <w:b/>
          <w:color w:val="000000" w:themeColor="text1"/>
          <w:szCs w:val="21"/>
          <w14:textFill>
            <w14:solidFill>
              <w14:schemeClr w14:val="tx1"/>
            </w14:solidFill>
          </w14:textFill>
        </w:rPr>
        <w:t>负偏离</w:t>
      </w:r>
      <w:r>
        <w:rPr>
          <w:rFonts w:ascii="宋体" w:hAnsi="宋体"/>
          <w:b/>
          <w:color w:val="000000" w:themeColor="text1"/>
          <w:szCs w:val="21"/>
          <w14:textFill>
            <w14:solidFill>
              <w14:schemeClr w14:val="tx1"/>
            </w14:solidFill>
          </w14:textFill>
        </w:rPr>
        <w:t>处理</w:t>
      </w:r>
      <w:r>
        <w:rPr>
          <w:rFonts w:hint="eastAsia" w:ascii="宋体" w:hAnsi="宋体"/>
          <w:b/>
          <w:color w:val="000000" w:themeColor="text1"/>
          <w:szCs w:val="21"/>
          <w14:textFill>
            <w14:solidFill>
              <w14:schemeClr w14:val="tx1"/>
            </w14:solidFill>
          </w14:textFill>
        </w:rPr>
        <w:t>。</w:t>
      </w:r>
    </w:p>
    <w:p>
      <w:pPr>
        <w:spacing w:line="4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投标人应认真阅读标书，理解标书的全部内容。严禁以虚假的技术参数和描述来应标，一经查实，将直接导致无效标处理。任何对投标供货范围不完整的、有遗漏的投标，如果评委会认为该不完整、有遗漏的投标将对整体设备的使用和性能产生较大影响，经评委会评议，将可能直接导致无效标处理。</w:t>
      </w:r>
    </w:p>
    <w:p>
      <w:pPr>
        <w:spacing w:line="40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3</w:t>
      </w:r>
      <w:r>
        <w:rPr>
          <w:rFonts w:hint="eastAsia" w:ascii="宋体" w:hAnsi="宋体"/>
          <w:b/>
          <w:color w:val="000000" w:themeColor="text1"/>
          <w:szCs w:val="21"/>
          <w14:textFill>
            <w14:solidFill>
              <w14:schemeClr w14:val="tx1"/>
            </w14:solidFill>
          </w14:textFill>
        </w:rPr>
        <w:t>、投标文件中任何内容使用中文以外的其他语言，须提供中文译本，否则将导致投标被否决。中文译本与原文如有冲突，以中文译本为准。</w:t>
      </w:r>
    </w:p>
    <w:p>
      <w:pPr>
        <w:widowControl/>
        <w:jc w:val="left"/>
        <w:rPr>
          <w:rFonts w:ascii="宋体" w:hAnsi="宋体"/>
          <w:b/>
          <w:color w:val="000000" w:themeColor="text1"/>
          <w:szCs w:val="21"/>
          <w14:textFill>
            <w14:solidFill>
              <w14:schemeClr w14:val="tx1"/>
            </w14:solidFill>
          </w14:textFill>
        </w:rPr>
      </w:pPr>
    </w:p>
    <w:p>
      <w:pPr>
        <w:numPr>
          <w:ilvl w:val="0"/>
          <w:numId w:val="12"/>
        </w:numPr>
        <w:spacing w:line="360" w:lineRule="auto"/>
        <w:rPr>
          <w:rFonts w:ascii="宋体" w:hAnsi="宋体"/>
          <w:b/>
          <w:color w:val="000000" w:themeColor="text1"/>
          <w:szCs w:val="28"/>
          <w14:textFill>
            <w14:solidFill>
              <w14:schemeClr w14:val="tx1"/>
            </w14:solidFill>
          </w14:textFill>
        </w:rPr>
      </w:pPr>
      <w:bookmarkStart w:id="50" w:name="_Toc460416338"/>
      <w:bookmarkStart w:id="51" w:name="_Toc460416642"/>
      <w:bookmarkStart w:id="52" w:name="_Toc460857893"/>
      <w:bookmarkStart w:id="53" w:name="_Toc460416593"/>
      <w:r>
        <w:rPr>
          <w:rFonts w:hint="eastAsia" w:ascii="宋体" w:hAnsi="宋体"/>
          <w:b/>
          <w:color w:val="000000" w:themeColor="text1"/>
          <w:szCs w:val="28"/>
          <w14:textFill>
            <w14:solidFill>
              <w14:schemeClr w14:val="tx1"/>
            </w14:solidFill>
          </w14:textFill>
        </w:rPr>
        <w:t>商务要求</w:t>
      </w:r>
      <w:bookmarkEnd w:id="50"/>
      <w:bookmarkEnd w:id="51"/>
      <w:bookmarkEnd w:id="52"/>
      <w:bookmarkEnd w:id="53"/>
    </w:p>
    <w:tbl>
      <w:tblPr>
        <w:tblStyle w:val="40"/>
        <w:tblW w:w="95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313"/>
        <w:gridCol w:w="7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atLeast"/>
          <w:tblHeader/>
          <w:jc w:val="center"/>
        </w:trPr>
        <w:tc>
          <w:tcPr>
            <w:tcW w:w="871" w:type="dxa"/>
            <w:tcBorders>
              <w:tl2br w:val="nil"/>
              <w:tr2bl w:val="nil"/>
            </w:tcBorders>
            <w:vAlign w:val="center"/>
          </w:tcPr>
          <w:p>
            <w:pPr>
              <w:spacing w:line="400" w:lineRule="exact"/>
              <w:contextualSpacing/>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序号</w:t>
            </w:r>
          </w:p>
        </w:tc>
        <w:tc>
          <w:tcPr>
            <w:tcW w:w="8678" w:type="dxa"/>
            <w:gridSpan w:val="2"/>
            <w:tcBorders>
              <w:tl2br w:val="nil"/>
              <w:tr2bl w:val="nil"/>
            </w:tcBorders>
            <w:vAlign w:val="center"/>
          </w:tcPr>
          <w:p>
            <w:pPr>
              <w:spacing w:line="400" w:lineRule="exact"/>
              <w:contextualSpacing/>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商务要求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w:t>
            </w:r>
          </w:p>
        </w:tc>
        <w:tc>
          <w:tcPr>
            <w:tcW w:w="7365" w:type="dxa"/>
            <w:tcBorders>
              <w:tl2br w:val="nil"/>
              <w:tr2bl w:val="nil"/>
            </w:tcBorders>
            <w:vAlign w:val="center"/>
          </w:tcPr>
          <w:p>
            <w:pPr>
              <w:spacing w:line="400" w:lineRule="exact"/>
              <w:contextualSpacing/>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（1）履约保证金金额：合同总价的1%</w:t>
            </w:r>
          </w:p>
          <w:p>
            <w:pPr>
              <w:spacing w:line="400" w:lineRule="exact"/>
              <w:contextualSpacing/>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（2）履约保证金形式：转账或银行、保险公司出具的保函形式。</w:t>
            </w:r>
          </w:p>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（3）履约保证金递交时间：中标通知书发出后30天内缴纳履约保证金退还时间：最终验收后，无息返还履约保证金。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付款方式</w:t>
            </w:r>
          </w:p>
        </w:tc>
        <w:tc>
          <w:tcPr>
            <w:tcW w:w="7365" w:type="dxa"/>
            <w:tcBorders>
              <w:tl2br w:val="nil"/>
              <w:tr2bl w:val="nil"/>
            </w:tcBorders>
            <w:vAlign w:val="center"/>
          </w:tcPr>
          <w:p>
            <w:pPr>
              <w:adjustRightInd w:val="0"/>
              <w:snapToGrid w:val="0"/>
              <w:spacing w:line="400" w:lineRule="exact"/>
              <w:contextualSpacing/>
              <w:jc w:val="left"/>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（1）采购人在收到中标人提供的预付款保函后7个工作日内支付中标人合同总价的40%作为预付款；</w:t>
            </w:r>
          </w:p>
          <w:p>
            <w:pPr>
              <w:adjustRightInd w:val="0"/>
              <w:snapToGrid w:val="0"/>
              <w:spacing w:line="400" w:lineRule="exact"/>
              <w:contextualSpacing/>
              <w:jc w:val="left"/>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（2）中标人提供详细完整的设备方案后，由采购人组织进行方案评审，方案评审通过后，采购人支付中标人合同总价的20%；</w:t>
            </w:r>
          </w:p>
          <w:p>
            <w:pPr>
              <w:adjustRightInd w:val="0"/>
              <w:snapToGrid w:val="0"/>
              <w:spacing w:line="400" w:lineRule="exact"/>
              <w:contextualSpacing/>
              <w:jc w:val="left"/>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（3）设备调试安装完毕经采购人初步验收合格正常启动运行后，采购人支付中标人合同总价的30%； </w:t>
            </w:r>
          </w:p>
          <w:p>
            <w:pPr>
              <w:adjustRightInd w:val="0"/>
              <w:snapToGrid w:val="0"/>
              <w:spacing w:line="400" w:lineRule="exact"/>
              <w:contextualSpacing/>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（4）设备试运行满6个月并经采购人最终验收后，采购人收到中标人提供的全额增值税专用发票及抵扣联后7个工作日内支付中标人剩余合同总价的10%，同时无息返还履约保证金。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交货时间及地点</w:t>
            </w:r>
          </w:p>
        </w:tc>
        <w:tc>
          <w:tcPr>
            <w:tcW w:w="7365" w:type="dxa"/>
            <w:tcBorders>
              <w:tl2br w:val="nil"/>
              <w:tr2bl w:val="nil"/>
            </w:tcBorders>
            <w:vAlign w:val="center"/>
          </w:tcPr>
          <w:p>
            <w:pPr>
              <w:spacing w:line="400" w:lineRule="exact"/>
              <w:contextualSpacing/>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（1）交货地点：浙江省宁波市招标人指定地点。</w:t>
            </w:r>
          </w:p>
          <w:p>
            <w:pPr>
              <w:spacing w:line="400" w:lineRule="exact"/>
              <w:contextualSpacing/>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（2）交货期：合同签订后</w:t>
            </w:r>
            <w:r>
              <w:rPr>
                <w:rFonts w:hint="eastAsia" w:ascii="宋体" w:hAnsi="宋体" w:cs="宋体"/>
                <w:color w:val="000000" w:themeColor="text1"/>
                <w:szCs w:val="21"/>
                <w:u w:val="single"/>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个月内（含国定节假日）完成安装调试并验收合格。</w:t>
            </w:r>
          </w:p>
          <w:p>
            <w:pPr>
              <w:spacing w:line="400" w:lineRule="exact"/>
              <w:contextualSpacing/>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（3）运输：中标人负责安排合同货物的运输，运输费用由中标人负责。</w:t>
            </w:r>
          </w:p>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（4）包装和装运：中标人应对货物进行适当包装并采取防潮、防雨、防锈、防腐蚀、防震动及防止其它损坏的必要措施。中标人应对不充分或不适当包装造成的货物损坏承担责任。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ascii="Arial" w:hAnsi="Arial" w:cs="Arial"/>
                <w:szCs w:val="21"/>
              </w:rPr>
              <w:t>安装调试</w:t>
            </w:r>
          </w:p>
        </w:tc>
        <w:tc>
          <w:tcPr>
            <w:tcW w:w="7365" w:type="dxa"/>
            <w:tcBorders>
              <w:tl2br w:val="nil"/>
              <w:tr2bl w:val="nil"/>
            </w:tcBorders>
            <w:vAlign w:val="center"/>
          </w:tcPr>
          <w:p>
            <w:pPr>
              <w:spacing w:line="400" w:lineRule="exact"/>
              <w:contextualSpacing/>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安装调试阶段，投标人需根据采购人的要求安排工程师现场指导安装调试，并提供相关技术培训确保采购人能够熟练使用设备。安装调试与培训费用由投标人承担。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验收</w:t>
            </w:r>
          </w:p>
        </w:tc>
        <w:tc>
          <w:tcPr>
            <w:tcW w:w="7365" w:type="dxa"/>
            <w:tcBorders>
              <w:tl2br w:val="nil"/>
              <w:tr2bl w:val="nil"/>
            </w:tcBorders>
            <w:vAlign w:val="center"/>
          </w:tcPr>
          <w:p>
            <w:pPr>
              <w:spacing w:line="40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验收在采购人指定地点进行。</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采购人根据采购文件和投标人提供的投标文件、中标人和采购人签订的合同要求，对设备技术性能指标进行验收。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ascii="Arial" w:hAnsi="Arial" w:cs="Arial"/>
                <w:szCs w:val="21"/>
              </w:rPr>
              <w:t>培训要求</w:t>
            </w:r>
          </w:p>
        </w:tc>
        <w:tc>
          <w:tcPr>
            <w:tcW w:w="7365" w:type="dxa"/>
            <w:tcBorders>
              <w:tl2br w:val="nil"/>
              <w:tr2bl w:val="nil"/>
            </w:tcBorders>
            <w:vAlign w:val="center"/>
          </w:tcPr>
          <w:p>
            <w:pPr>
              <w:spacing w:line="400" w:lineRule="exact"/>
              <w:contextualSpacing/>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投标人需提供不少于3个工作日的系统培训，并确保采购人能够熟练使用设备，培训地点为北京航空航天大学宁波创新研究院（具体由采购人指定）。</w:t>
            </w:r>
          </w:p>
          <w:p>
            <w:pPr>
              <w:spacing w:line="400" w:lineRule="exact"/>
              <w:contextualSpacing/>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技术培训的内容包括设备的工作原理、使用、日常维护、保养等。</w:t>
            </w:r>
          </w:p>
          <w:p>
            <w:pPr>
              <w:spacing w:line="400" w:lineRule="exact"/>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参加培训人数不限。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ascii="Arial" w:hAnsi="Arial" w:cs="Arial"/>
                <w:szCs w:val="21"/>
              </w:rPr>
              <w:t>质保期</w:t>
            </w:r>
          </w:p>
        </w:tc>
        <w:tc>
          <w:tcPr>
            <w:tcW w:w="7365" w:type="dxa"/>
            <w:tcBorders>
              <w:tl2br w:val="nil"/>
              <w:tr2bl w:val="nil"/>
            </w:tcBorders>
            <w:vAlign w:val="center"/>
          </w:tcPr>
          <w:p>
            <w:pPr>
              <w:spacing w:line="400" w:lineRule="exact"/>
              <w:contextualSpacing/>
              <w:rPr>
                <w:rFonts w:ascii="宋体" w:hAnsi="宋体" w:cs="宋体"/>
                <w:color w:val="000000" w:themeColor="text1"/>
                <w:szCs w:val="21"/>
                <w14:textFill>
                  <w14:solidFill>
                    <w14:schemeClr w14:val="tx1"/>
                  </w14:solidFill>
                </w14:textFill>
              </w:rPr>
            </w:pPr>
            <w:r>
              <w:rPr>
                <w:rFonts w:ascii="Arial" w:hAnsi="Arial" w:cs="Arial"/>
                <w:szCs w:val="21"/>
              </w:rPr>
              <w:t>本项目安装调试并验收合格之日起</w:t>
            </w:r>
            <w:r>
              <w:rPr>
                <w:rFonts w:hint="eastAsia" w:ascii="Arial" w:hAnsi="Arial" w:cs="Arial"/>
                <w:szCs w:val="21"/>
              </w:rPr>
              <w:t>1年（质保期从最终验收通过之日算起）</w:t>
            </w:r>
            <w:r>
              <w:rPr>
                <w:rFonts w:ascii="Arial" w:hAnsi="Arial" w:cs="Arial"/>
                <w:szCs w:val="21"/>
              </w:rPr>
              <w:t>。</w:t>
            </w:r>
            <w:r>
              <w:rPr>
                <w:rFonts w:hint="eastAsia" w:ascii="Arial" w:hAnsi="Arial" w:cs="Arial"/>
                <w:szCs w:val="21"/>
              </w:rPr>
              <w:t>质保期内免费提供设备试验过程中的技术支持与损伤修复。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产品及服务质量保证</w:t>
            </w:r>
          </w:p>
        </w:tc>
        <w:tc>
          <w:tcPr>
            <w:tcW w:w="7365" w:type="dxa"/>
            <w:tcBorders>
              <w:tl2br w:val="nil"/>
              <w:tr2bl w:val="nil"/>
            </w:tcBorders>
            <w:vAlign w:val="center"/>
          </w:tcPr>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1）中标人应按采购文件规定的货物性能、技术要求、质量标准向招标人提供未经使用的全新产品。</w:t>
            </w:r>
          </w:p>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2）在保证期内因货物本身的质量问题发生故障，中标人应负责免费修理和更换零部件。对达不到技术要求者，根据实际情况，经双方协商，可按以下办法处理：</w:t>
            </w:r>
          </w:p>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（a）更换：由中标人承担所发生的全部费用；</w:t>
            </w:r>
          </w:p>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（b）贬值处理：由双方合议定价；</w:t>
            </w:r>
          </w:p>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（c）退货处理：中标人应退还采购人支付的货物款，同时应承担该货物的直接费用（运输、保险、检验、货款利息及银行手续费等）。</w:t>
            </w:r>
          </w:p>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3）如质保期外的使用过程中发生质量问题，中标在接到采购人通知后48小时内派相关技术人员到达招标人设备现场。</w:t>
            </w:r>
          </w:p>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4）在免费质保期内，中标人应对货物出现的质量及安全问题负责处理解决。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1" w:type="dxa"/>
            <w:tcBorders>
              <w:tl2br w:val="nil"/>
              <w:tr2bl w:val="nil"/>
            </w:tcBorders>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1313" w:type="dxa"/>
            <w:tcBorders>
              <w:tl2br w:val="nil"/>
              <w:tr2bl w:val="nil"/>
            </w:tcBorders>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备品备件要求</w:t>
            </w:r>
          </w:p>
        </w:tc>
        <w:tc>
          <w:tcPr>
            <w:tcW w:w="7365" w:type="dxa"/>
            <w:tcBorders>
              <w:tl2br w:val="nil"/>
              <w:tr2bl w:val="nil"/>
            </w:tcBorders>
            <w:vAlign w:val="center"/>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质保期满后主要零配件报价单、质保期满后维护费、软件升级及其相关服务内容，并列出清单及价格，不计入投标总价。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0</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ascii="Arial" w:hAnsi="Arial" w:cs="Arial"/>
                <w:szCs w:val="21"/>
              </w:rPr>
              <w:t>售后服务要求</w:t>
            </w:r>
          </w:p>
        </w:tc>
        <w:tc>
          <w:tcPr>
            <w:tcW w:w="7365" w:type="dxa"/>
            <w:tcBorders>
              <w:tl2br w:val="nil"/>
              <w:tr2bl w:val="nil"/>
            </w:tcBorders>
            <w:vAlign w:val="center"/>
          </w:tcPr>
          <w:p>
            <w:pPr>
              <w:autoSpaceDE w:val="0"/>
              <w:autoSpaceDN w:val="0"/>
              <w:snapToGrid w:val="0"/>
              <w:spacing w:line="400" w:lineRule="exact"/>
              <w:textAlignment w:val="bottom"/>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1、质保期内，承诺提供免备件费、免人工费、免服务费等服务，并采取一切措施保证科研正常进行。</w:t>
            </w:r>
          </w:p>
          <w:p>
            <w:pPr>
              <w:autoSpaceDE w:val="0"/>
              <w:autoSpaceDN w:val="0"/>
              <w:snapToGrid w:val="0"/>
              <w:spacing w:line="400" w:lineRule="exact"/>
              <w:textAlignment w:val="bottom"/>
              <w:rPr>
                <w:color w:val="000000" w:themeColor="text1"/>
                <w14:textFill>
                  <w14:solidFill>
                    <w14:schemeClr w14:val="tx1"/>
                  </w14:solidFill>
                </w14:textFill>
              </w:rPr>
            </w:pPr>
            <w:r>
              <w:rPr>
                <w:rFonts w:hint="eastAsia"/>
                <w:color w:val="000000" w:themeColor="text1"/>
                <w14:textFill>
                  <w14:solidFill>
                    <w14:schemeClr w14:val="tx1"/>
                  </w14:solidFill>
                </w14:textFill>
              </w:rPr>
              <w:t>2、现场服务响应时间：技术支持响应时间在24小时以内，现场维护响应时间在48小时以内，5个工作日内排除故障。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w:t>
            </w:r>
          </w:p>
        </w:tc>
        <w:tc>
          <w:tcPr>
            <w:tcW w:w="7365" w:type="dxa"/>
            <w:tcBorders>
              <w:tl2br w:val="nil"/>
              <w:tr2bl w:val="nil"/>
            </w:tcBorders>
            <w:vAlign w:val="center"/>
          </w:tcPr>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1）本项目投标报价应包括但不仅限于：所有货物费、运输及装卸、安装调试、验收等，质保期内的售后服务、利润、税金、技术培训，及政策性文件规定的各项应有的所有费用。</w:t>
            </w:r>
          </w:p>
          <w:p>
            <w:pPr>
              <w:tabs>
                <w:tab w:val="left" w:pos="647"/>
              </w:tabs>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2）本次招标采购预算和最高限价详见第一章 采购公告；投标报价（人民币报价）超过本次招标最高限价的作无效标处理。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技术服务</w:t>
            </w:r>
          </w:p>
        </w:tc>
        <w:tc>
          <w:tcPr>
            <w:tcW w:w="7365" w:type="dxa"/>
            <w:tcBorders>
              <w:tl2br w:val="nil"/>
              <w:tr2bl w:val="nil"/>
            </w:tcBorders>
            <w:vAlign w:val="center"/>
          </w:tcPr>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1）设备的运输、卸货、安装、调试工作由中标人负责，整个过程涉及到的叉车、吊车等装卸设备由中标方负责。</w:t>
            </w:r>
          </w:p>
          <w:p>
            <w:pPr>
              <w:spacing w:line="400" w:lineRule="exact"/>
              <w:contextualSpacing/>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）中标人</w:t>
            </w:r>
            <w:r>
              <w:rPr>
                <w:rFonts w:ascii="宋体" w:hAnsi="宋体" w:cs="宋体"/>
                <w:color w:val="000000" w:themeColor="text1"/>
                <w14:textFill>
                  <w14:solidFill>
                    <w14:schemeClr w14:val="tx1"/>
                  </w14:solidFill>
                </w14:textFill>
              </w:rPr>
              <w:t>应确保设备运行可靠、维护方便</w:t>
            </w:r>
            <w:r>
              <w:rPr>
                <w:rFonts w:hint="eastAsia" w:ascii="宋体" w:hAnsi="宋体" w:cs="宋体"/>
                <w:color w:val="000000" w:themeColor="text1"/>
                <w14:textFill>
                  <w14:solidFill>
                    <w14:schemeClr w14:val="tx1"/>
                  </w14:solidFill>
                </w14:textFill>
              </w:rPr>
              <w:t>。</w:t>
            </w:r>
          </w:p>
          <w:p>
            <w:pPr>
              <w:spacing w:line="400" w:lineRule="exact"/>
              <w:contextualSpacing/>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）中标人</w:t>
            </w:r>
            <w:r>
              <w:rPr>
                <w:rFonts w:ascii="宋体" w:hAnsi="宋体" w:cs="宋体"/>
                <w:color w:val="000000" w:themeColor="text1"/>
                <w14:textFill>
                  <w14:solidFill>
                    <w14:schemeClr w14:val="tx1"/>
                  </w14:solidFill>
                </w14:textFill>
              </w:rPr>
              <w:t>负责组织专业技术人员进行设备安装调试</w:t>
            </w:r>
            <w:r>
              <w:rPr>
                <w:rFonts w:hint="eastAsia" w:ascii="宋体" w:hAnsi="宋体" w:cs="宋体"/>
                <w:color w:val="000000" w:themeColor="text1"/>
                <w14:textFill>
                  <w14:solidFill>
                    <w14:schemeClr w14:val="tx1"/>
                  </w14:solidFill>
                </w14:textFill>
              </w:rPr>
              <w:t>。</w:t>
            </w:r>
          </w:p>
          <w:p>
            <w:pPr>
              <w:spacing w:line="400" w:lineRule="exact"/>
              <w:contextualSpacing/>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安装调试到位后的设备由</w:t>
            </w:r>
            <w:r>
              <w:rPr>
                <w:rFonts w:hint="eastAsia" w:ascii="宋体" w:hAnsi="宋体" w:cs="宋体"/>
                <w:color w:val="000000" w:themeColor="text1"/>
                <w14:textFill>
                  <w14:solidFill>
                    <w14:schemeClr w14:val="tx1"/>
                  </w14:solidFill>
                </w14:textFill>
              </w:rPr>
              <w:t>中标人</w:t>
            </w:r>
            <w:r>
              <w:rPr>
                <w:rFonts w:ascii="宋体" w:hAnsi="宋体" w:cs="宋体"/>
                <w:color w:val="000000" w:themeColor="text1"/>
                <w14:textFill>
                  <w14:solidFill>
                    <w14:schemeClr w14:val="tx1"/>
                  </w14:solidFill>
                </w14:textFill>
              </w:rPr>
              <w:t>与设备使用单位组织的验收小组共同进行质量验收签字。（验收标准：各类设备的数量、技术质量性能</w:t>
            </w:r>
            <w:r>
              <w:rPr>
                <w:rFonts w:hint="eastAsia" w:ascii="宋体" w:hAnsi="宋体" w:cs="宋体"/>
                <w:color w:val="000000" w:themeColor="text1"/>
                <w14:textFill>
                  <w14:solidFill>
                    <w14:schemeClr w14:val="tx1"/>
                  </w14:solidFill>
                </w14:textFill>
              </w:rPr>
              <w:t>指标</w:t>
            </w:r>
            <w:r>
              <w:rPr>
                <w:rFonts w:ascii="宋体" w:hAnsi="宋体" w:cs="宋体"/>
                <w:color w:val="000000" w:themeColor="text1"/>
                <w14:textFill>
                  <w14:solidFill>
                    <w14:schemeClr w14:val="tx1"/>
                  </w14:solidFill>
                </w14:textFill>
              </w:rPr>
              <w:t>和规格型号、外观等应符合采购文件要求及合同中的相关条款，同时应符合产品制造商和国家相关标准</w:t>
            </w:r>
            <w:r>
              <w:rPr>
                <w:rFonts w:hint="eastAsia" w:ascii="宋体" w:hAnsi="宋体" w:cs="宋体"/>
                <w:color w:val="000000" w:themeColor="text1"/>
                <w14:textFill>
                  <w14:solidFill>
                    <w14:schemeClr w14:val="tx1"/>
                  </w14:solidFill>
                </w14:textFill>
              </w:rPr>
              <w:t>，明确安装调试、保修服务、配件提供、培训与技术升级等事宜</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w:t>
            </w:r>
          </w:p>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r>
              <w:rPr>
                <w:rFonts w:ascii="宋体" w:hAnsi="宋体" w:cs="宋体"/>
                <w:color w:val="000000" w:themeColor="text1"/>
                <w14:textFill>
                  <w14:solidFill>
                    <w14:schemeClr w14:val="tx1"/>
                  </w14:solidFill>
                </w14:textFill>
              </w:rPr>
              <w:t>设备交货的同时，</w:t>
            </w:r>
            <w:r>
              <w:rPr>
                <w:rFonts w:hint="eastAsia" w:ascii="宋体" w:hAnsi="宋体" w:cs="宋体"/>
                <w:color w:val="000000" w:themeColor="text1"/>
                <w14:textFill>
                  <w14:solidFill>
                    <w14:schemeClr w14:val="tx1"/>
                  </w14:solidFill>
                </w14:textFill>
              </w:rPr>
              <w:t>中标人</w:t>
            </w:r>
            <w:r>
              <w:rPr>
                <w:rFonts w:ascii="宋体" w:hAnsi="宋体" w:cs="宋体"/>
                <w:color w:val="000000" w:themeColor="text1"/>
                <w14:textFill>
                  <w14:solidFill>
                    <w14:schemeClr w14:val="tx1"/>
                  </w14:solidFill>
                </w14:textFill>
              </w:rPr>
              <w:t>应向</w:t>
            </w:r>
            <w:r>
              <w:rPr>
                <w:rFonts w:hint="eastAsia" w:ascii="宋体" w:hAnsi="宋体" w:cs="宋体"/>
                <w:color w:val="000000" w:themeColor="text1"/>
                <w14:textFill>
                  <w14:solidFill>
                    <w14:schemeClr w14:val="tx1"/>
                  </w14:solidFill>
                </w14:textFill>
              </w:rPr>
              <w:t>中标人</w:t>
            </w:r>
            <w:r>
              <w:rPr>
                <w:rFonts w:ascii="宋体" w:hAnsi="宋体" w:cs="宋体"/>
                <w:color w:val="000000" w:themeColor="text1"/>
                <w14:textFill>
                  <w14:solidFill>
                    <w14:schemeClr w14:val="tx1"/>
                  </w14:solidFill>
                </w14:textFill>
              </w:rPr>
              <w:t>提供不少于</w:t>
            </w:r>
            <w:r>
              <w:rPr>
                <w:rFonts w:hint="eastAsia" w:ascii="宋体" w:hAnsi="宋体" w:cs="宋体"/>
                <w:color w:val="000000" w:themeColor="text1"/>
                <w14:textFill>
                  <w14:solidFill>
                    <w14:schemeClr w14:val="tx1"/>
                  </w14:solidFill>
                </w14:textFill>
              </w:rPr>
              <w:t>两套</w:t>
            </w:r>
            <w:r>
              <w:rPr>
                <w:rFonts w:ascii="宋体" w:hAnsi="宋体" w:cs="宋体"/>
                <w:color w:val="000000" w:themeColor="text1"/>
                <w14:textFill>
                  <w14:solidFill>
                    <w14:schemeClr w14:val="tx1"/>
                  </w14:solidFill>
                </w14:textFill>
              </w:rPr>
              <w:t>以下列明的中文技术资料，其费用应包括在</w:t>
            </w:r>
            <w:r>
              <w:rPr>
                <w:rFonts w:hint="eastAsia" w:ascii="宋体" w:hAnsi="宋体" w:cs="宋体"/>
                <w:color w:val="000000" w:themeColor="text1"/>
                <w14:textFill>
                  <w14:solidFill>
                    <w14:schemeClr w14:val="tx1"/>
                  </w14:solidFill>
                </w14:textFill>
              </w:rPr>
              <w:t>投标总价内。</w:t>
            </w:r>
          </w:p>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（a）</w:t>
            </w:r>
            <w:r>
              <w:rPr>
                <w:rFonts w:ascii="宋体" w:hAnsi="宋体" w:cs="宋体"/>
                <w:color w:val="000000" w:themeColor="text1"/>
                <w14:textFill>
                  <w14:solidFill>
                    <w14:schemeClr w14:val="tx1"/>
                  </w14:solidFill>
                </w14:textFill>
              </w:rPr>
              <w:t>产品技术说明书</w:t>
            </w:r>
            <w:r>
              <w:rPr>
                <w:rFonts w:hint="eastAsia" w:ascii="宋体" w:hAnsi="宋体" w:cs="宋体"/>
                <w:color w:val="000000" w:themeColor="text1"/>
                <w14:textFill>
                  <w14:solidFill>
                    <w14:schemeClr w14:val="tx1"/>
                  </w14:solidFill>
                </w14:textFill>
              </w:rPr>
              <w:t>；</w:t>
            </w:r>
          </w:p>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（b）用</w:t>
            </w:r>
            <w:r>
              <w:rPr>
                <w:rFonts w:ascii="宋体" w:hAnsi="宋体" w:cs="宋体"/>
                <w:color w:val="000000" w:themeColor="text1"/>
                <w14:textFill>
                  <w14:solidFill>
                    <w14:schemeClr w14:val="tx1"/>
                  </w14:solidFill>
                </w14:textFill>
              </w:rPr>
              <w:t>户手册</w:t>
            </w:r>
            <w:r>
              <w:rPr>
                <w:rFonts w:hint="eastAsia" w:ascii="宋体" w:hAnsi="宋体" w:cs="宋体"/>
                <w:color w:val="000000" w:themeColor="text1"/>
                <w14:textFill>
                  <w14:solidFill>
                    <w14:schemeClr w14:val="tx1"/>
                  </w14:solidFill>
                </w14:textFill>
              </w:rPr>
              <w:t>；</w:t>
            </w:r>
          </w:p>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（c）</w:t>
            </w:r>
            <w:r>
              <w:rPr>
                <w:rFonts w:ascii="宋体" w:hAnsi="宋体" w:cs="宋体"/>
                <w:color w:val="000000" w:themeColor="text1"/>
                <w14:textFill>
                  <w14:solidFill>
                    <w14:schemeClr w14:val="tx1"/>
                  </w14:solidFill>
                </w14:textFill>
              </w:rPr>
              <w:t>出厂明细表（装箱单）</w:t>
            </w:r>
            <w:r>
              <w:rPr>
                <w:rFonts w:hint="eastAsia" w:ascii="宋体" w:hAnsi="宋体" w:cs="宋体"/>
                <w:color w:val="000000" w:themeColor="text1"/>
                <w14:textFill>
                  <w14:solidFill>
                    <w14:schemeClr w14:val="tx1"/>
                  </w14:solidFill>
                </w14:textFill>
              </w:rPr>
              <w:t>；</w:t>
            </w:r>
          </w:p>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（d）</w:t>
            </w:r>
            <w:r>
              <w:rPr>
                <w:rFonts w:ascii="宋体" w:hAnsi="宋体" w:cs="宋体"/>
                <w:color w:val="000000" w:themeColor="text1"/>
                <w14:textFill>
                  <w14:solidFill>
                    <w14:schemeClr w14:val="tx1"/>
                  </w14:solidFill>
                </w14:textFill>
              </w:rPr>
              <w:t>出厂检验报告和合格书</w:t>
            </w:r>
            <w:r>
              <w:rPr>
                <w:rFonts w:hint="eastAsia" w:ascii="宋体" w:hAnsi="宋体" w:cs="宋体"/>
                <w:color w:val="000000" w:themeColor="text1"/>
                <w14:textFill>
                  <w14:solidFill>
                    <w14:schemeClr w14:val="tx1"/>
                  </w14:solidFill>
                </w14:textFill>
              </w:rPr>
              <w:t>；</w:t>
            </w:r>
          </w:p>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（e）</w:t>
            </w:r>
            <w:r>
              <w:rPr>
                <w:rFonts w:ascii="宋体" w:hAnsi="宋体" w:cs="宋体"/>
                <w:color w:val="000000" w:themeColor="text1"/>
                <w14:textFill>
                  <w14:solidFill>
                    <w14:schemeClr w14:val="tx1"/>
                  </w14:solidFill>
                </w14:textFill>
              </w:rPr>
              <w:t>其他相关技术资料。</w:t>
            </w:r>
          </w:p>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6）中标人应</w:t>
            </w:r>
            <w:r>
              <w:rPr>
                <w:rFonts w:ascii="宋体" w:hAnsi="宋体" w:cs="宋体"/>
                <w:color w:val="000000" w:themeColor="text1"/>
                <w14:textFill>
                  <w14:solidFill>
                    <w14:schemeClr w14:val="tx1"/>
                  </w14:solidFill>
                </w14:textFill>
              </w:rPr>
              <w:t>向用户提供安装和维修所需特殊专用的工具</w:t>
            </w:r>
            <w:r>
              <w:rPr>
                <w:rFonts w:hint="eastAsia" w:ascii="宋体" w:hAnsi="宋体" w:cs="宋体"/>
                <w:color w:val="000000" w:themeColor="text1"/>
                <w14:textFill>
                  <w14:solidFill>
                    <w14:schemeClr w14:val="tx1"/>
                  </w14:solidFill>
                </w14:textFill>
              </w:rPr>
              <w:t>至少一套</w:t>
            </w:r>
            <w:r>
              <w:rPr>
                <w:rFonts w:ascii="宋体" w:hAnsi="宋体" w:cs="宋体"/>
                <w:color w:val="000000" w:themeColor="text1"/>
                <w14:textFill>
                  <w14:solidFill>
                    <w14:schemeClr w14:val="tx1"/>
                  </w14:solidFill>
                </w14:textFill>
              </w:rPr>
              <w:t>、随机备件及清单和中文说明书，其费用包括在</w:t>
            </w:r>
            <w:r>
              <w:rPr>
                <w:rFonts w:hint="eastAsia" w:ascii="宋体" w:hAnsi="宋体" w:cs="宋体"/>
                <w:color w:val="000000" w:themeColor="text1"/>
                <w14:textFill>
                  <w14:solidFill>
                    <w14:schemeClr w14:val="tx1"/>
                  </w14:solidFill>
                </w14:textFill>
              </w:rPr>
              <w:t>投标价格</w:t>
            </w:r>
            <w:r>
              <w:rPr>
                <w:rFonts w:ascii="宋体" w:hAnsi="宋体" w:cs="宋体"/>
                <w:color w:val="000000" w:themeColor="text1"/>
                <w14:textFill>
                  <w14:solidFill>
                    <w14:schemeClr w14:val="tx1"/>
                  </w14:solidFill>
                </w14:textFill>
              </w:rPr>
              <w:t>内</w:t>
            </w:r>
            <w:r>
              <w:rPr>
                <w:rFonts w:hint="eastAsia" w:ascii="宋体" w:hAnsi="宋体" w:cs="宋体"/>
                <w:color w:val="000000" w:themeColor="text1"/>
                <w14:textFill>
                  <w14:solidFill>
                    <w14:schemeClr w14:val="tx1"/>
                  </w14:solidFill>
                </w14:textFill>
              </w:rPr>
              <w:t>。</w:t>
            </w:r>
          </w:p>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7）如因供应商责任而造成的安装延期，产生的费用由中标方负担。</w:t>
            </w:r>
          </w:p>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w:t>
            </w:r>
            <w:r>
              <w:rPr>
                <w:rFonts w:ascii="宋体" w:hAnsi="宋体" w:cs="宋体"/>
                <w:color w:val="000000" w:themeColor="text1"/>
                <w14:textFill>
                  <w14:solidFill>
                    <w14:schemeClr w14:val="tx1"/>
                  </w14:solidFill>
                </w14:textFill>
              </w:rPr>
              <w:t>验收不合格的货物，</w:t>
            </w:r>
            <w:r>
              <w:rPr>
                <w:rFonts w:hint="eastAsia" w:ascii="宋体" w:hAnsi="宋体" w:cs="宋体"/>
                <w:color w:val="000000" w:themeColor="text1"/>
                <w14:textFill>
                  <w14:solidFill>
                    <w14:schemeClr w14:val="tx1"/>
                  </w14:solidFill>
                </w14:textFill>
              </w:rPr>
              <w:t>招标人</w:t>
            </w:r>
            <w:r>
              <w:rPr>
                <w:rFonts w:ascii="宋体" w:hAnsi="宋体" w:cs="宋体"/>
                <w:color w:val="000000" w:themeColor="text1"/>
                <w14:textFill>
                  <w14:solidFill>
                    <w14:schemeClr w14:val="tx1"/>
                  </w14:solidFill>
                </w14:textFill>
              </w:rPr>
              <w:t>可以要求中标</w:t>
            </w:r>
            <w:r>
              <w:rPr>
                <w:rFonts w:hint="eastAsia" w:ascii="宋体" w:hAnsi="宋体" w:cs="宋体"/>
                <w:color w:val="000000" w:themeColor="text1"/>
                <w14:textFill>
                  <w14:solidFill>
                    <w14:schemeClr w14:val="tx1"/>
                  </w14:solidFill>
                </w14:textFill>
              </w:rPr>
              <w:t>人</w:t>
            </w:r>
            <w:r>
              <w:rPr>
                <w:rFonts w:ascii="宋体" w:hAnsi="宋体" w:cs="宋体"/>
                <w:color w:val="000000" w:themeColor="text1"/>
                <w14:textFill>
                  <w14:solidFill>
                    <w14:schemeClr w14:val="tx1"/>
                  </w14:solidFill>
                </w14:textFill>
              </w:rPr>
              <w:t>无条件免费更换或退货，并赔偿由此造成的</w:t>
            </w:r>
            <w:r>
              <w:rPr>
                <w:rFonts w:hint="eastAsia" w:ascii="宋体" w:hAnsi="宋体" w:cs="宋体"/>
                <w:color w:val="000000" w:themeColor="text1"/>
                <w14:textFill>
                  <w14:solidFill>
                    <w14:schemeClr w14:val="tx1"/>
                  </w14:solidFill>
                </w14:textFill>
              </w:rPr>
              <w:t>招标</w:t>
            </w:r>
            <w:r>
              <w:rPr>
                <w:rFonts w:ascii="宋体" w:hAnsi="宋体" w:cs="宋体"/>
                <w:color w:val="000000" w:themeColor="text1"/>
                <w14:textFill>
                  <w14:solidFill>
                    <w14:schemeClr w14:val="tx1"/>
                  </w14:solidFill>
                </w14:textFill>
              </w:rPr>
              <w:t>人的损失</w:t>
            </w:r>
            <w:r>
              <w:rPr>
                <w:rFonts w:hint="eastAsia" w:ascii="宋体" w:hAnsi="宋体" w:cs="宋体"/>
                <w:color w:val="000000" w:themeColor="text1"/>
                <w14:textFill>
                  <w14:solidFill>
                    <w14:schemeClr w14:val="tx1"/>
                  </w14:solidFill>
                </w14:textFill>
              </w:rPr>
              <w:t>。</w:t>
            </w:r>
          </w:p>
        </w:tc>
      </w:tr>
    </w:tbl>
    <w:p>
      <w:pPr>
        <w:pStyle w:val="38"/>
        <w:ind w:firstLine="0" w:firstLineChars="0"/>
        <w:rPr>
          <w:color w:val="000000" w:themeColor="text1"/>
          <w14:textFill>
            <w14:solidFill>
              <w14:schemeClr w14:val="tx1"/>
            </w14:solidFill>
          </w14:textFill>
        </w:rPr>
      </w:pPr>
    </w:p>
    <w:p>
      <w:pPr>
        <w:pStyle w:val="32"/>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widowControl/>
        <w:jc w:val="left"/>
        <w:rPr>
          <w:rFonts w:ascii="宋体" w:hAnsi="宋体"/>
          <w:color w:val="000000" w:themeColor="text1"/>
          <w14:textFill>
            <w14:solidFill>
              <w14:schemeClr w14:val="tx1"/>
            </w14:solidFill>
          </w14:textFill>
        </w:rPr>
        <w:sectPr>
          <w:footerReference r:id="rId6" w:type="default"/>
          <w:pgSz w:w="11907" w:h="16840"/>
          <w:pgMar w:top="1361" w:right="1474" w:bottom="1242" w:left="1474" w:header="720" w:footer="720" w:gutter="0"/>
          <w:cols w:space="720" w:num="1"/>
          <w:docGrid w:linePitch="285" w:charSpace="0"/>
        </w:sectPr>
      </w:pPr>
    </w:p>
    <w:p>
      <w:pPr>
        <w:pStyle w:val="3"/>
        <w:spacing w:after="0" w:line="360" w:lineRule="auto"/>
        <w:jc w:val="center"/>
        <w:rPr>
          <w:rFonts w:ascii="宋体" w:hAnsi="宋体"/>
          <w:color w:val="000000" w:themeColor="text1"/>
          <w:sz w:val="30"/>
          <w:szCs w:val="30"/>
          <w14:textFill>
            <w14:solidFill>
              <w14:schemeClr w14:val="tx1"/>
            </w14:solidFill>
          </w14:textFill>
        </w:rPr>
      </w:pPr>
      <w:bookmarkStart w:id="54" w:name="_Toc8602"/>
      <w:r>
        <w:rPr>
          <w:rFonts w:hint="eastAsia" w:ascii="宋体" w:hAnsi="宋体"/>
          <w:color w:val="000000" w:themeColor="text1"/>
          <w:sz w:val="30"/>
          <w:szCs w:val="30"/>
          <w14:textFill>
            <w14:solidFill>
              <w14:schemeClr w14:val="tx1"/>
            </w14:solidFill>
          </w14:textFill>
        </w:rPr>
        <w:t>第三章  投标人须知</w:t>
      </w:r>
      <w:bookmarkEnd w:id="47"/>
      <w:bookmarkEnd w:id="48"/>
      <w:bookmarkEnd w:id="54"/>
    </w:p>
    <w:p>
      <w:pPr>
        <w:pStyle w:val="3"/>
        <w:spacing w:before="0" w:after="0" w:line="360" w:lineRule="auto"/>
        <w:jc w:val="center"/>
        <w:rPr>
          <w:rFonts w:ascii="宋体" w:hAnsi="宋体"/>
          <w:color w:val="000000" w:themeColor="text1"/>
          <w:sz w:val="24"/>
          <w:szCs w:val="24"/>
          <w14:textFill>
            <w14:solidFill>
              <w14:schemeClr w14:val="tx1"/>
            </w14:solidFill>
          </w14:textFill>
        </w:rPr>
      </w:pPr>
      <w:bookmarkStart w:id="55" w:name="_Toc460416339"/>
      <w:bookmarkStart w:id="56" w:name="_Toc460416644"/>
      <w:bookmarkStart w:id="57" w:name="_Toc26701"/>
      <w:bookmarkStart w:id="58" w:name="_Toc460857896"/>
      <w:bookmarkStart w:id="59" w:name="_Toc460416595"/>
      <w:r>
        <w:rPr>
          <w:rFonts w:hint="eastAsia" w:ascii="宋体" w:hAnsi="宋体"/>
          <w:color w:val="000000" w:themeColor="text1"/>
          <w:sz w:val="24"/>
          <w:szCs w:val="24"/>
          <w14:textFill>
            <w14:solidFill>
              <w14:schemeClr w14:val="tx1"/>
            </w14:solidFill>
          </w14:textFill>
        </w:rPr>
        <w:t>前附表</w:t>
      </w:r>
      <w:bookmarkEnd w:id="55"/>
      <w:bookmarkEnd w:id="56"/>
      <w:bookmarkEnd w:id="57"/>
      <w:bookmarkEnd w:id="58"/>
      <w:bookmarkEnd w:id="59"/>
    </w:p>
    <w:tbl>
      <w:tblPr>
        <w:tblStyle w:val="40"/>
        <w:tblW w:w="89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2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709" w:type="dxa"/>
            <w:vAlign w:val="center"/>
          </w:tcPr>
          <w:p>
            <w:pPr>
              <w:snapToGrid w:val="0"/>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8222" w:type="dxa"/>
            <w:vAlign w:val="center"/>
          </w:tcPr>
          <w:p>
            <w:pPr>
              <w:snapToGrid w:val="0"/>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内容、要求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09" w:type="dxa"/>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8222" w:type="dxa"/>
            <w:vAlign w:val="center"/>
          </w:tcPr>
          <w:p>
            <w:pP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r>
              <w:rPr>
                <w:rFonts w:hint="eastAsia" w:ascii="宋体" w:hAnsi="宋体"/>
                <w:color w:val="000000" w:themeColor="text1"/>
                <w:szCs w:val="21"/>
                <w:lang w:eastAsia="zh-CN"/>
                <w14:textFill>
                  <w14:solidFill>
                    <w14:schemeClr w14:val="tx1"/>
                  </w14:solidFill>
                </w14:textFill>
              </w:rPr>
              <w:t>北京航空航天大学宁波创新研究院飞机刹车惯性台采购项目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709" w:type="dxa"/>
            <w:vAlign w:val="center"/>
          </w:tcPr>
          <w:p>
            <w:pPr>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8222" w:type="dxa"/>
            <w:vAlign w:val="center"/>
          </w:tcPr>
          <w:p>
            <w:pPr>
              <w:spacing w:line="400" w:lineRule="exact"/>
              <w:rPr>
                <w:rFonts w:hint="eastAsia" w:eastAsia="宋体"/>
                <w:szCs w:val="21"/>
                <w:lang w:eastAsia="zh-CN"/>
              </w:rPr>
            </w:pPr>
            <w:r>
              <w:rPr>
                <w:rFonts w:hint="eastAsia"/>
                <w:szCs w:val="21"/>
              </w:rPr>
              <w:t>使用中心：</w:t>
            </w:r>
            <w:r>
              <w:rPr>
                <w:rStyle w:val="49"/>
                <w:rFonts w:hint="eastAsia"/>
                <w:lang w:eastAsia="zh-CN"/>
              </w:rPr>
              <w:t>先进机载机电与飞控系统创新研究中心</w:t>
            </w:r>
          </w:p>
          <w:p>
            <w:pPr>
              <w:spacing w:line="400" w:lineRule="exact"/>
              <w:rPr>
                <w:rFonts w:hint="eastAsia" w:ascii="Arial" w:hAnsi="Arial" w:cs="Arial" w:eastAsiaTheme="minorEastAsia"/>
                <w:szCs w:val="21"/>
                <w:lang w:eastAsia="zh-CN"/>
              </w:rPr>
            </w:pPr>
            <w:r>
              <w:rPr>
                <w:rFonts w:ascii="Arial" w:hAnsi="Arial" w:cs="Arial" w:eastAsiaTheme="minorEastAsia"/>
                <w:szCs w:val="21"/>
              </w:rPr>
              <w:t>子包</w:t>
            </w:r>
            <w:r>
              <w:rPr>
                <w:rFonts w:hint="eastAsia" w:ascii="Arial" w:hAnsi="Arial" w:cs="Arial" w:eastAsiaTheme="minorEastAsia"/>
                <w:szCs w:val="21"/>
              </w:rPr>
              <w:t>一</w:t>
            </w:r>
            <w:r>
              <w:rPr>
                <w:rFonts w:ascii="Arial" w:hAnsi="Arial" w:cs="Arial" w:eastAsiaTheme="minorEastAsia"/>
                <w:szCs w:val="21"/>
              </w:rPr>
              <w:t>：</w:t>
            </w:r>
            <w:r>
              <w:rPr>
                <w:rFonts w:hint="eastAsia" w:ascii="宋体" w:hAnsi="宋体" w:eastAsiaTheme="minorEastAsia"/>
                <w:color w:val="000000" w:themeColor="text1"/>
                <w:szCs w:val="21"/>
                <w:lang w:eastAsia="zh-CN"/>
                <w14:textFill>
                  <w14:solidFill>
                    <w14:schemeClr w14:val="tx1"/>
                  </w14:solidFill>
                </w14:textFill>
              </w:rPr>
              <w:t>飞机刹车惯性台</w:t>
            </w:r>
          </w:p>
          <w:p>
            <w:pPr>
              <w:spacing w:line="400" w:lineRule="exact"/>
              <w:rPr>
                <w:rFonts w:ascii="Arial" w:hAnsi="Arial" w:cs="Arial" w:eastAsiaTheme="minorEastAsia"/>
                <w:szCs w:val="21"/>
              </w:rPr>
            </w:pPr>
            <w:r>
              <w:rPr>
                <w:rFonts w:ascii="Arial" w:hAnsi="Arial" w:cs="Arial" w:eastAsiaTheme="minorEastAsia"/>
                <w:szCs w:val="21"/>
              </w:rPr>
              <w:t>项目负责人：</w:t>
            </w:r>
            <w:r>
              <w:rPr>
                <w:rFonts w:hint="eastAsia" w:ascii="Arial" w:hAnsi="Arial" w:cs="Arial" w:eastAsiaTheme="minorEastAsia"/>
                <w:szCs w:val="21"/>
              </w:rPr>
              <w:t>刘晓超</w:t>
            </w:r>
          </w:p>
          <w:p>
            <w:pPr>
              <w:spacing w:line="400" w:lineRule="exact"/>
              <w:rPr>
                <w:rFonts w:ascii="Arial" w:hAnsi="Arial" w:cs="Arial" w:eastAsiaTheme="minorEastAsia"/>
                <w:szCs w:val="21"/>
              </w:rPr>
            </w:pPr>
            <w:r>
              <w:rPr>
                <w:rFonts w:hint="eastAsia" w:ascii="Arial" w:hAnsi="Arial" w:cs="Arial" w:eastAsiaTheme="minorEastAsia"/>
                <w:szCs w:val="21"/>
              </w:rPr>
              <w:t>项目主要成员：谯维智、高翔</w:t>
            </w:r>
          </w:p>
          <w:p>
            <w:pPr>
              <w:spacing w:line="400" w:lineRule="exact"/>
              <w:rPr>
                <w:rFonts w:ascii="宋体" w:hAnsi="宋体"/>
                <w:color w:val="000000" w:themeColor="text1"/>
                <w:szCs w:val="21"/>
                <w14:textFill>
                  <w14:solidFill>
                    <w14:schemeClr w14:val="tx1"/>
                  </w14:solidFill>
                </w14:textFill>
              </w:rPr>
            </w:pPr>
            <w:r>
              <w:rPr>
                <w:rFonts w:ascii="Arial" w:hAnsi="Arial" w:cs="Arial" w:eastAsiaTheme="minorEastAsia"/>
                <w:szCs w:val="21"/>
              </w:rPr>
              <w:t>经办人：</w:t>
            </w:r>
            <w:r>
              <w:rPr>
                <w:rFonts w:hint="eastAsia" w:ascii="Arial" w:hAnsi="Arial" w:cs="Arial" w:eastAsiaTheme="minorEastAsia"/>
                <w:szCs w:val="21"/>
              </w:rPr>
              <w:t>刘晓超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09" w:type="dxa"/>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8222" w:type="dxa"/>
            <w:vAlign w:val="center"/>
          </w:tcPr>
          <w:p>
            <w:pPr>
              <w:rPr>
                <w:rFonts w:ascii="宋体" w:hAnsi="宋体"/>
                <w:color w:val="000000" w:themeColor="text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子包号：一  设备名称</w:t>
            </w: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飞机刹车惯性台</w:t>
            </w:r>
            <w:r>
              <w:rPr>
                <w:rFonts w:hint="eastAsia" w:ascii="宋体" w:hAnsi="宋体"/>
                <w:color w:val="000000" w:themeColor="text1"/>
                <w14:textFill>
                  <w14:solidFill>
                    <w14:schemeClr w14:val="tx1"/>
                  </w14:solidFill>
                </w14:textFill>
              </w:rPr>
              <w:t xml:space="preserve">   数量</w:t>
            </w:r>
            <w:r>
              <w:rPr>
                <w:rFonts w:ascii="宋体" w:hAnsi="宋体"/>
                <w:color w:val="000000" w:themeColor="text1"/>
                <w14:textFill>
                  <w14:solidFill>
                    <w14:schemeClr w14:val="tx1"/>
                  </w14:solidFill>
                </w14:textFill>
              </w:rPr>
              <w:t>：</w:t>
            </w:r>
            <w:r>
              <w:rPr>
                <w:rFonts w:hint="eastAsia" w:ascii="宋体" w:hAnsi="宋体"/>
                <w:color w:val="000000" w:themeColor="text1"/>
                <w:u w:val="single"/>
                <w:lang w:val="en-US" w:eastAsia="zh-CN"/>
                <w14:textFill>
                  <w14:solidFill>
                    <w14:schemeClr w14:val="tx1"/>
                  </w14:solidFill>
                </w14:textFill>
              </w:rPr>
              <w:t>1</w:t>
            </w:r>
            <w:r>
              <w:rPr>
                <w:rFonts w:hint="eastAsia" w:ascii="宋体" w:hAnsi="宋体"/>
                <w:color w:val="000000" w:themeColor="text1"/>
                <w:u w:val="single"/>
                <w14:textFill>
                  <w14:solidFill>
                    <w14:schemeClr w14:val="tx1"/>
                  </w14:solidFill>
                </w14:textFill>
              </w:rPr>
              <w:t>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8222" w:type="dxa"/>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投标报价及费用：</w:t>
            </w: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1、投标报价：详见第二章招标需求中商务要求条款。</w:t>
            </w: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2、不论投标结果如何，投标人均应自行承担所有与投标有关的全部费用。</w:t>
            </w:r>
          </w:p>
          <w:p>
            <w:pPr>
              <w:spacing w:line="4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、招标代理服务费的收取标准：</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（1）本招标公司参照国家发改委发改办价格[2003]857号通知和国家计委计价格[2002]1980号文件的规定的货物招标费率标准，按照中标通知书确定的中标总金额向中标人收取招标服务费，</w:t>
            </w:r>
            <w:r>
              <w:rPr>
                <w:rFonts w:hint="eastAsia" w:ascii="宋体" w:hAnsi="宋体" w:cs="宋体"/>
                <w:color w:val="000000" w:themeColor="text1"/>
                <w14:textFill>
                  <w14:solidFill>
                    <w14:schemeClr w14:val="tx1"/>
                  </w14:solidFill>
                </w14:textFill>
              </w:rPr>
              <w:t>（按下浮</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0%收取，</w:t>
            </w:r>
            <w:r>
              <w:rPr>
                <w:rFonts w:hint="eastAsia" w:ascii="宋体" w:hAnsi="宋体"/>
                <w:color w:val="000000" w:themeColor="text1"/>
                <w:szCs w:val="21"/>
                <w14:textFill>
                  <w14:solidFill>
                    <w14:schemeClr w14:val="tx1"/>
                  </w14:solidFill>
                </w14:textFill>
              </w:rPr>
              <w:t>最低收费</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000元/子包</w:t>
            </w:r>
            <w:r>
              <w:rPr>
                <w:rFonts w:hint="eastAsia" w:ascii="宋体" w:hAnsi="宋体" w:cs="宋体"/>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（2）中标人在领取中标通知书时即向本招标代理机构电汇方式支付服务费。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8222" w:type="dxa"/>
            <w:vAlign w:val="center"/>
          </w:tcPr>
          <w:p>
            <w:pPr>
              <w:jc w:val="left"/>
              <w:rPr>
                <w:rFonts w:ascii="宋体" w:hAnsi="宋体" w:cs="Arial"/>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投标保证金：本项目</w:t>
            </w:r>
            <w:r>
              <w:rPr>
                <w:rFonts w:ascii="宋体" w:hAnsi="宋体"/>
                <w:color w:val="000000" w:themeColor="text1"/>
                <w:szCs w:val="21"/>
                <w14:textFill>
                  <w14:solidFill>
                    <w14:schemeClr w14:val="tx1"/>
                  </w14:solidFill>
                </w14:textFill>
              </w:rPr>
              <w:t>无须缴纳投标保证金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8222" w:type="dxa"/>
            <w:vAlign w:val="center"/>
          </w:tcPr>
          <w:p>
            <w:pPr>
              <w:contextualSpacing/>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现场踏勘：</w:t>
            </w:r>
            <w:r>
              <w:rPr>
                <w:rFonts w:hint="eastAsia" w:ascii="宋体" w:hAnsi="宋体"/>
                <w:color w:val="000000" w:themeColor="text1"/>
                <w:szCs w:val="21"/>
                <w14:textFill>
                  <w14:solidFill>
                    <w14:schemeClr w14:val="tx1"/>
                  </w14:solidFill>
                </w14:textFill>
              </w:rPr>
              <w:t>请</w:t>
            </w:r>
            <w:r>
              <w:rPr>
                <w:rFonts w:ascii="宋体" w:hAnsi="宋体"/>
                <w:color w:val="000000" w:themeColor="text1"/>
                <w:szCs w:val="21"/>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自行</w:t>
            </w:r>
            <w:r>
              <w:rPr>
                <w:rFonts w:hint="eastAsia" w:ascii="宋体" w:hAnsi="宋体"/>
                <w:color w:val="000000" w:themeColor="text1"/>
                <w14:textFill>
                  <w14:solidFill>
                    <w14:schemeClr w14:val="tx1"/>
                  </w14:solidFill>
                </w14:textFill>
              </w:rPr>
              <w:t>踏勘现场</w:t>
            </w:r>
            <w:r>
              <w:rPr>
                <w:rFonts w:hint="eastAsia" w:ascii="宋体" w:hAnsi="宋体"/>
                <w:color w:val="000000" w:themeColor="text1"/>
                <w:szCs w:val="21"/>
                <w14:textFill>
                  <w14:solidFill>
                    <w14:schemeClr w14:val="tx1"/>
                  </w14:solidFill>
                </w14:textFill>
              </w:rPr>
              <w:t>，遵守现场安全和防疫管理要求。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9" w:type="dxa"/>
            <w:vAlign w:val="center"/>
          </w:tcPr>
          <w:p>
            <w:pPr>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c>
          <w:tcPr>
            <w:tcW w:w="8222" w:type="dxa"/>
            <w:vAlign w:val="center"/>
          </w:tcPr>
          <w:p>
            <w:pPr>
              <w:snapToGrid w:val="0"/>
              <w:spacing w:line="400" w:lineRule="exact"/>
              <w:contextualSpacing/>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投标文件组成与份数：上传到政府采购云平台的电子加密投标文件（“</w:t>
            </w:r>
            <w:r>
              <w:rPr>
                <w:rFonts w:ascii="宋体" w:hAnsi="宋体"/>
                <w:color w:val="000000" w:themeColor="text1"/>
                <w:szCs w:val="21"/>
                <w14:textFill>
                  <w14:solidFill>
                    <w14:schemeClr w14:val="tx1"/>
                  </w14:solidFill>
                </w14:textFill>
              </w:rPr>
              <w:t>资格文件”、“商务和技术文件</w:t>
            </w:r>
            <w:r>
              <w:rPr>
                <w:rFonts w:hint="eastAsia" w:ascii="宋体" w:hAnsi="宋体"/>
                <w:color w:val="000000" w:themeColor="text1"/>
                <w:szCs w:val="21"/>
                <w14:textFill>
                  <w14:solidFill>
                    <w14:schemeClr w14:val="tx1"/>
                  </w14:solidFill>
                </w14:textFill>
              </w:rPr>
              <w:t>”、“报价文件”）1份；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09" w:type="dxa"/>
            <w:vAlign w:val="center"/>
          </w:tcPr>
          <w:p>
            <w:pPr>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8222" w:type="dxa"/>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w:t>
            </w:r>
            <w:r>
              <w:rPr>
                <w:rFonts w:ascii="宋体" w:hAnsi="宋体"/>
                <w:color w:val="000000" w:themeColor="text1"/>
                <w:szCs w:val="21"/>
                <w14:textFill>
                  <w14:solidFill>
                    <w14:schemeClr w14:val="tx1"/>
                  </w14:solidFill>
                </w14:textFill>
              </w:rPr>
              <w:t>文件递交时间：</w:t>
            </w:r>
            <w:r>
              <w:rPr>
                <w:rFonts w:hint="eastAsia" w:ascii="宋体" w:hAnsi="宋体"/>
                <w:color w:val="000000" w:themeColor="text1"/>
                <w:szCs w:val="21"/>
                <w14:textFill>
                  <w14:solidFill>
                    <w14:schemeClr w14:val="tx1"/>
                  </w14:solidFill>
                </w14:textFill>
              </w:rPr>
              <w:t>详见第一章 采购公告。</w:t>
            </w: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投标截止时间及地点：详见第一章 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p>
        </w:tc>
        <w:tc>
          <w:tcPr>
            <w:tcW w:w="8222" w:type="dxa"/>
            <w:vAlign w:val="center"/>
          </w:tcPr>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开标时间及地点：详见第一章 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w:t>
            </w:r>
          </w:p>
        </w:tc>
        <w:tc>
          <w:tcPr>
            <w:tcW w:w="8222" w:type="dxa"/>
            <w:vAlign w:val="center"/>
          </w:tcPr>
          <w:p>
            <w:pPr>
              <w:autoSpaceDE w:val="0"/>
              <w:autoSpaceDN w:val="0"/>
              <w:spacing w:line="400" w:lineRule="exact"/>
              <w:jc w:val="left"/>
              <w:textAlignment w:val="bottom"/>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评标办法及评分标准：详见第四章  评标办法及评分标准。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09" w:type="dxa"/>
            <w:vAlign w:val="center"/>
          </w:tcPr>
          <w:p>
            <w:pPr>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w:t>
            </w:r>
          </w:p>
        </w:tc>
        <w:tc>
          <w:tcPr>
            <w:tcW w:w="8222" w:type="dxa"/>
            <w:vAlign w:val="center"/>
          </w:tcPr>
          <w:p>
            <w:pPr>
              <w:spacing w:line="400" w:lineRule="exact"/>
              <w:contextualSpacing/>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中标结果公示：评标结束后，经采购人确认后，中标结果公示于</w:t>
            </w:r>
            <w:r>
              <w:rPr>
                <w:rFonts w:hint="eastAsia" w:ascii="宋体" w:hAnsi="宋体" w:cs="Arial"/>
                <w:color w:val="000000" w:themeColor="text1"/>
                <w:szCs w:val="21"/>
                <w14:textFill>
                  <w14:solidFill>
                    <w14:schemeClr w14:val="tx1"/>
                  </w14:solidFill>
                </w14:textFill>
              </w:rPr>
              <w:t>浙江省政府采购网、宁波市政府采购网、宁波公共资源交易网北仑区分网、</w:t>
            </w:r>
            <w:r>
              <w:rPr>
                <w:rFonts w:hint="eastAsia" w:ascii="宋体" w:hAnsi="宋体"/>
                <w:color w:val="000000" w:themeColor="text1"/>
                <w14:textFill>
                  <w14:solidFill>
                    <w14:schemeClr w14:val="tx1"/>
                  </w14:solidFill>
                </w14:textFill>
              </w:rPr>
              <w:t>宁波中基国际招标有限公司网站。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09" w:type="dxa"/>
            <w:vAlign w:val="center"/>
          </w:tcPr>
          <w:p>
            <w:pPr>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c>
          <w:tcPr>
            <w:tcW w:w="8222" w:type="dxa"/>
            <w:vAlign w:val="center"/>
          </w:tcPr>
          <w:p>
            <w:pPr>
              <w:autoSpaceDE w:val="0"/>
              <w:autoSpaceDN w:val="0"/>
              <w:spacing w:line="400" w:lineRule="exact"/>
              <w:textAlignment w:val="bottom"/>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签订合同时间：中标通知书发出后30日内。</w:t>
            </w:r>
          </w:p>
          <w:p>
            <w:pPr>
              <w:autoSpaceDE w:val="0"/>
              <w:autoSpaceDN w:val="0"/>
              <w:spacing w:line="400" w:lineRule="exact"/>
              <w:textAlignment w:val="bottom"/>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标人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w:t>
            </w:r>
          </w:p>
        </w:tc>
        <w:tc>
          <w:tcPr>
            <w:tcW w:w="8222" w:type="dxa"/>
            <w:vAlign w:val="center"/>
          </w:tcPr>
          <w:p>
            <w:pPr>
              <w:autoSpaceDE w:val="0"/>
              <w:autoSpaceDN w:val="0"/>
              <w:spacing w:line="400" w:lineRule="exact"/>
              <w:textAlignment w:val="bottom"/>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采购资金来源：预算资金。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w:t>
            </w:r>
          </w:p>
        </w:tc>
        <w:tc>
          <w:tcPr>
            <w:tcW w:w="8222" w:type="dxa"/>
            <w:vAlign w:val="center"/>
          </w:tcPr>
          <w:p>
            <w:pPr>
              <w:autoSpaceDE w:val="0"/>
              <w:autoSpaceDN w:val="0"/>
              <w:spacing w:line="400" w:lineRule="exact"/>
              <w:textAlignment w:val="bottom"/>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投标文件有效期：90天。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p>
        </w:tc>
        <w:tc>
          <w:tcPr>
            <w:tcW w:w="8222" w:type="dxa"/>
            <w:vAlign w:val="center"/>
          </w:tcPr>
          <w:p>
            <w:pPr>
              <w:autoSpaceDE w:val="0"/>
              <w:autoSpaceDN w:val="0"/>
              <w:spacing w:line="400" w:lineRule="exact"/>
              <w:textAlignment w:val="bottom"/>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解释：本采购文件的解释权属于招标采购人。</w:t>
            </w:r>
          </w:p>
        </w:tc>
      </w:tr>
    </w:tbl>
    <w:p>
      <w:pPr>
        <w:pStyle w:val="3"/>
        <w:spacing w:before="0" w:after="0" w:line="360" w:lineRule="auto"/>
        <w:rPr>
          <w:rFonts w:ascii="宋体" w:hAnsi="宋体"/>
          <w:color w:val="000000" w:themeColor="text1"/>
          <w:sz w:val="21"/>
          <w:szCs w:val="21"/>
          <w14:textFill>
            <w14:solidFill>
              <w14:schemeClr w14:val="tx1"/>
            </w14:solidFill>
          </w14:textFill>
        </w:rPr>
        <w:sectPr>
          <w:pgSz w:w="11907" w:h="16840"/>
          <w:pgMar w:top="1361" w:right="1474" w:bottom="1242" w:left="1474" w:header="720" w:footer="720" w:gutter="0"/>
          <w:cols w:space="720" w:num="1"/>
          <w:docGrid w:linePitch="285" w:charSpace="0"/>
        </w:sectPr>
      </w:pPr>
      <w:bookmarkStart w:id="60" w:name="_Toc460857897"/>
    </w:p>
    <w:p>
      <w:pPr>
        <w:spacing w:line="360" w:lineRule="auto"/>
        <w:rPr>
          <w:rFonts w:ascii="宋体" w:hAnsi="宋体"/>
          <w:b/>
          <w:color w:val="000000" w:themeColor="text1"/>
          <w14:textFill>
            <w14:solidFill>
              <w14:schemeClr w14:val="tx1"/>
            </w14:solidFill>
          </w14:textFill>
        </w:rPr>
      </w:pPr>
      <w:bookmarkStart w:id="61" w:name="_Toc17884814"/>
      <w:r>
        <w:rPr>
          <w:rFonts w:hint="eastAsia" w:ascii="宋体" w:hAnsi="宋体"/>
          <w:b/>
          <w:color w:val="000000" w:themeColor="text1"/>
          <w14:textFill>
            <w14:solidFill>
              <w14:schemeClr w14:val="tx1"/>
            </w14:solidFill>
          </w14:textFill>
        </w:rPr>
        <w:t>一、总则</w:t>
      </w:r>
      <w:bookmarkEnd w:id="60"/>
      <w:bookmarkEnd w:id="61"/>
    </w:p>
    <w:p>
      <w:pPr>
        <w:spacing w:line="360" w:lineRule="auto"/>
        <w:rPr>
          <w:rFonts w:ascii="宋体" w:hAnsi="宋体"/>
          <w:b/>
          <w:color w:val="000000" w:themeColor="text1"/>
          <w14:textFill>
            <w14:solidFill>
              <w14:schemeClr w14:val="tx1"/>
            </w14:solidFill>
          </w14:textFill>
        </w:rPr>
      </w:pPr>
      <w:bookmarkStart w:id="62" w:name="_Toc460416596"/>
      <w:bookmarkStart w:id="63" w:name="_Toc460416645"/>
      <w:bookmarkStart w:id="64" w:name="_Toc17884815"/>
      <w:bookmarkStart w:id="65" w:name="_Toc460857898"/>
      <w:bookmarkStart w:id="66" w:name="_Toc460416340"/>
      <w:r>
        <w:rPr>
          <w:rFonts w:hint="eastAsia" w:ascii="宋体" w:hAnsi="宋体"/>
          <w:b/>
          <w:color w:val="000000" w:themeColor="text1"/>
          <w14:textFill>
            <w14:solidFill>
              <w14:schemeClr w14:val="tx1"/>
            </w14:solidFill>
          </w14:textFill>
        </w:rPr>
        <w:t>（一）适用范围</w:t>
      </w:r>
      <w:bookmarkEnd w:id="62"/>
      <w:bookmarkEnd w:id="63"/>
      <w:bookmarkEnd w:id="64"/>
      <w:bookmarkEnd w:id="65"/>
      <w:bookmarkEnd w:id="66"/>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本采购文件适用于本采购项目的招标、投标、评标、定标、验收、合同履约、付款等行为（法律、法规另有规定的，从其规定）。</w:t>
      </w:r>
    </w:p>
    <w:p>
      <w:pPr>
        <w:spacing w:line="360" w:lineRule="auto"/>
        <w:rPr>
          <w:rFonts w:ascii="宋体" w:hAnsi="宋体"/>
          <w:b/>
          <w:color w:val="000000" w:themeColor="text1"/>
          <w14:textFill>
            <w14:solidFill>
              <w14:schemeClr w14:val="tx1"/>
            </w14:solidFill>
          </w14:textFill>
        </w:rPr>
      </w:pPr>
      <w:bookmarkStart w:id="67" w:name="_Toc460857899"/>
      <w:bookmarkStart w:id="68" w:name="_Toc460416646"/>
      <w:bookmarkStart w:id="69" w:name="_Toc460416341"/>
      <w:bookmarkStart w:id="70" w:name="_Toc460416597"/>
      <w:bookmarkStart w:id="71" w:name="_Toc17884816"/>
      <w:r>
        <w:rPr>
          <w:rFonts w:hint="eastAsia" w:ascii="宋体" w:hAnsi="宋体"/>
          <w:b/>
          <w:color w:val="000000" w:themeColor="text1"/>
          <w14:textFill>
            <w14:solidFill>
              <w14:schemeClr w14:val="tx1"/>
            </w14:solidFill>
          </w14:textFill>
        </w:rPr>
        <w:t>（二）定义</w:t>
      </w:r>
      <w:bookmarkEnd w:id="67"/>
      <w:bookmarkEnd w:id="68"/>
      <w:bookmarkEnd w:id="69"/>
      <w:bookmarkEnd w:id="70"/>
      <w:bookmarkEnd w:id="71"/>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1、“采购人”系指</w:t>
      </w:r>
      <w:r>
        <w:rPr>
          <w:rFonts w:hint="eastAsia" w:ascii="宋体" w:hAnsi="宋体"/>
          <w:color w:val="000000" w:themeColor="text1"/>
          <w14:textFill>
            <w14:solidFill>
              <w14:schemeClr w14:val="tx1"/>
            </w14:solidFill>
          </w14:textFill>
        </w:rPr>
        <w:t>北京航空航天大学宁波创新研究院</w:t>
      </w:r>
      <w:r>
        <w:rPr>
          <w:rFonts w:hint="eastAsia" w:ascii="宋体" w:hAnsi="宋体"/>
          <w:color w:val="000000" w:themeColor="text1"/>
          <w:szCs w:val="21"/>
          <w14:textFill>
            <w14:solidFill>
              <w14:schemeClr w14:val="tx1"/>
            </w14:solidFill>
          </w14:textFill>
        </w:rPr>
        <w:t>（“招标人”）。</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2、“投标人”系指向采购人提交投标文件的单位或个人（“供应商”）。</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3、“产品”系指供投标人按采购文件规定，须向采购人提供的一切设备、保险、税金、备品备件、工具、手册及其它有关技术资料和材料。</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4、“服务”系指采购文件规定投标人须承担的安装、调试、技术协助、校准、培训、技术指导以及其他类似的义务。</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5、“项目”系指投标人按采购文件规定向采购人提供的产品和服务。</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6、“书面形式”包括信函、传真、电报等。</w:t>
      </w:r>
    </w:p>
    <w:p>
      <w:pPr>
        <w:snapToGrid w:val="0"/>
        <w:spacing w:line="360" w:lineRule="auto"/>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7、“*”系指实质性要求条款。</w:t>
      </w:r>
    </w:p>
    <w:p>
      <w:pPr>
        <w:spacing w:line="360" w:lineRule="auto"/>
        <w:rPr>
          <w:rFonts w:ascii="宋体" w:hAnsi="宋体"/>
          <w:b/>
          <w:color w:val="000000" w:themeColor="text1"/>
          <w14:textFill>
            <w14:solidFill>
              <w14:schemeClr w14:val="tx1"/>
            </w14:solidFill>
          </w14:textFill>
        </w:rPr>
      </w:pPr>
      <w:bookmarkStart w:id="72" w:name="_Toc460416647"/>
      <w:bookmarkStart w:id="73" w:name="_Toc17884817"/>
      <w:bookmarkStart w:id="74" w:name="_Toc460416598"/>
      <w:bookmarkStart w:id="75" w:name="_Toc460857900"/>
      <w:bookmarkStart w:id="76" w:name="_Toc460416342"/>
      <w:r>
        <w:rPr>
          <w:rFonts w:hint="eastAsia" w:ascii="宋体" w:hAnsi="宋体"/>
          <w:b/>
          <w:color w:val="000000" w:themeColor="text1"/>
          <w14:textFill>
            <w14:solidFill>
              <w14:schemeClr w14:val="tx1"/>
            </w14:solidFill>
          </w14:textFill>
        </w:rPr>
        <w:t>（三）招标方式</w:t>
      </w:r>
      <w:bookmarkEnd w:id="72"/>
      <w:bookmarkEnd w:id="73"/>
      <w:bookmarkEnd w:id="74"/>
      <w:bookmarkEnd w:id="75"/>
      <w:bookmarkEnd w:id="76"/>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本次招标采用公开招标方式进行。</w:t>
      </w:r>
    </w:p>
    <w:p>
      <w:pPr>
        <w:spacing w:line="360" w:lineRule="auto"/>
        <w:rPr>
          <w:rFonts w:ascii="宋体" w:hAnsi="宋体"/>
          <w:b/>
          <w:color w:val="000000" w:themeColor="text1"/>
          <w14:textFill>
            <w14:solidFill>
              <w14:schemeClr w14:val="tx1"/>
            </w14:solidFill>
          </w14:textFill>
        </w:rPr>
      </w:pPr>
      <w:bookmarkStart w:id="77" w:name="_Toc460416648"/>
      <w:bookmarkStart w:id="78" w:name="_Toc17884818"/>
      <w:bookmarkStart w:id="79" w:name="_Toc460857901"/>
      <w:bookmarkStart w:id="80" w:name="_Toc460416599"/>
      <w:bookmarkStart w:id="81" w:name="_Toc460416343"/>
      <w:r>
        <w:rPr>
          <w:rFonts w:hint="eastAsia" w:ascii="宋体" w:hAnsi="宋体"/>
          <w:b/>
          <w:color w:val="000000" w:themeColor="text1"/>
          <w14:textFill>
            <w14:solidFill>
              <w14:schemeClr w14:val="tx1"/>
            </w14:solidFill>
          </w14:textFill>
        </w:rPr>
        <w:t>（四）投标委托</w:t>
      </w:r>
      <w:bookmarkEnd w:id="77"/>
      <w:bookmarkEnd w:id="78"/>
      <w:bookmarkEnd w:id="79"/>
      <w:bookmarkEnd w:id="80"/>
      <w:bookmarkEnd w:id="81"/>
    </w:p>
    <w:p>
      <w:pPr>
        <w:snapToGrid w:val="0"/>
        <w:spacing w:line="360" w:lineRule="auto"/>
        <w:ind w:firstLine="420" w:firstLineChars="200"/>
        <w:jc w:val="lef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如投标人代表不是法定代表人，须有法定代表人出具的授权委托书（正本用原件，副本可用复印件，格式见第六章）。</w:t>
      </w:r>
    </w:p>
    <w:p>
      <w:pPr>
        <w:spacing w:line="360" w:lineRule="auto"/>
        <w:rPr>
          <w:rFonts w:ascii="宋体" w:hAnsi="宋体"/>
          <w:b/>
          <w:color w:val="000000" w:themeColor="text1"/>
          <w14:textFill>
            <w14:solidFill>
              <w14:schemeClr w14:val="tx1"/>
            </w14:solidFill>
          </w14:textFill>
        </w:rPr>
      </w:pPr>
      <w:bookmarkStart w:id="82" w:name="_Toc460416649"/>
      <w:bookmarkStart w:id="83" w:name="_Toc460416600"/>
      <w:bookmarkStart w:id="84" w:name="_Toc17884819"/>
      <w:bookmarkStart w:id="85" w:name="_Toc460857902"/>
      <w:bookmarkStart w:id="86" w:name="_Toc460416344"/>
      <w:r>
        <w:rPr>
          <w:rFonts w:hint="eastAsia" w:ascii="宋体" w:hAnsi="宋体"/>
          <w:b/>
          <w:color w:val="000000" w:themeColor="text1"/>
          <w14:textFill>
            <w14:solidFill>
              <w14:schemeClr w14:val="tx1"/>
            </w14:solidFill>
          </w14:textFill>
        </w:rPr>
        <w:t>（五）投标费用</w:t>
      </w:r>
      <w:bookmarkEnd w:id="82"/>
      <w:bookmarkEnd w:id="83"/>
      <w:bookmarkEnd w:id="84"/>
      <w:bookmarkEnd w:id="85"/>
      <w:bookmarkEnd w:id="86"/>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不论投标结果如何，投标人均应自行承担所有与投标有关的全部费用（采购文件有相反规定除外）。</w:t>
      </w:r>
    </w:p>
    <w:p>
      <w:pPr>
        <w:spacing w:line="360" w:lineRule="auto"/>
        <w:rPr>
          <w:rFonts w:ascii="宋体" w:hAnsi="宋体"/>
          <w:b/>
          <w:color w:val="000000" w:themeColor="text1"/>
          <w14:textFill>
            <w14:solidFill>
              <w14:schemeClr w14:val="tx1"/>
            </w14:solidFill>
          </w14:textFill>
        </w:rPr>
      </w:pPr>
      <w:bookmarkStart w:id="87" w:name="_Toc17884820"/>
      <w:bookmarkStart w:id="88" w:name="_Toc460857903"/>
      <w:r>
        <w:rPr>
          <w:rFonts w:hint="eastAsia" w:ascii="宋体" w:hAnsi="宋体"/>
          <w:b/>
          <w:color w:val="000000" w:themeColor="text1"/>
          <w14:textFill>
            <w14:solidFill>
              <w14:schemeClr w14:val="tx1"/>
            </w14:solidFill>
          </w14:textFill>
        </w:rPr>
        <w:t>（六）联合体投标</w:t>
      </w:r>
      <w:bookmarkEnd w:id="87"/>
      <w:bookmarkEnd w:id="88"/>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本项目不接受联合体投标。</w:t>
      </w:r>
    </w:p>
    <w:p>
      <w:pPr>
        <w:spacing w:line="360" w:lineRule="auto"/>
        <w:rPr>
          <w:rFonts w:ascii="宋体" w:hAnsi="宋体"/>
          <w:b/>
          <w:color w:val="000000" w:themeColor="text1"/>
          <w14:textFill>
            <w14:solidFill>
              <w14:schemeClr w14:val="tx1"/>
            </w14:solidFill>
          </w14:textFill>
        </w:rPr>
      </w:pPr>
      <w:bookmarkStart w:id="89" w:name="_Toc460857904"/>
      <w:bookmarkStart w:id="90" w:name="_Toc17884821"/>
      <w:r>
        <w:rPr>
          <w:rFonts w:hint="eastAsia" w:ascii="宋体" w:hAnsi="宋体"/>
          <w:b/>
          <w:color w:val="000000" w:themeColor="text1"/>
          <w14:textFill>
            <w14:solidFill>
              <w14:schemeClr w14:val="tx1"/>
            </w14:solidFill>
          </w14:textFill>
        </w:rPr>
        <w:t>（七）转包与分包</w:t>
      </w:r>
      <w:bookmarkEnd w:id="89"/>
      <w:bookmarkEnd w:id="90"/>
    </w:p>
    <w:p>
      <w:pPr>
        <w:snapToGrid w:val="0"/>
        <w:spacing w:line="360" w:lineRule="auto"/>
        <w:ind w:firstLine="420" w:firstLineChars="20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本</w:t>
      </w:r>
      <w:r>
        <w:rPr>
          <w:rFonts w:hint="eastAsia" w:ascii="宋体" w:hAnsi="宋体"/>
          <w:color w:val="000000" w:themeColor="text1"/>
          <w:szCs w:val="21"/>
          <w14:textFill>
            <w14:solidFill>
              <w14:schemeClr w14:val="tx1"/>
            </w14:solidFill>
          </w14:textFill>
        </w:rPr>
        <w:t>项目</w:t>
      </w:r>
      <w:r>
        <w:rPr>
          <w:rFonts w:hint="eastAsia" w:ascii="宋体" w:hAnsi="宋体"/>
          <w:color w:val="000000" w:themeColor="text1"/>
          <w:kern w:val="0"/>
          <w:szCs w:val="21"/>
          <w14:textFill>
            <w14:solidFill>
              <w14:schemeClr w14:val="tx1"/>
            </w14:solidFill>
          </w14:textFill>
        </w:rPr>
        <w:t>不允许转包。</w:t>
      </w:r>
    </w:p>
    <w:p>
      <w:pPr>
        <w:spacing w:line="360" w:lineRule="auto"/>
        <w:rPr>
          <w:rFonts w:ascii="宋体" w:hAnsi="宋体"/>
          <w:b/>
          <w:color w:val="000000" w:themeColor="text1"/>
          <w14:textFill>
            <w14:solidFill>
              <w14:schemeClr w14:val="tx1"/>
            </w14:solidFill>
          </w14:textFill>
        </w:rPr>
      </w:pPr>
      <w:bookmarkStart w:id="91" w:name="_Toc460416345"/>
      <w:bookmarkStart w:id="92" w:name="_Toc17884822"/>
      <w:bookmarkStart w:id="93" w:name="_Toc460416601"/>
      <w:bookmarkStart w:id="94" w:name="_Toc460416650"/>
      <w:bookmarkStart w:id="95" w:name="_Toc460857905"/>
      <w:r>
        <w:rPr>
          <w:rFonts w:hint="eastAsia" w:ascii="宋体" w:hAnsi="宋体"/>
          <w:b/>
          <w:color w:val="000000" w:themeColor="text1"/>
          <w14:textFill>
            <w14:solidFill>
              <w14:schemeClr w14:val="tx1"/>
            </w14:solidFill>
          </w14:textFill>
        </w:rPr>
        <w:t>（八）特别说明</w:t>
      </w:r>
      <w:bookmarkEnd w:id="91"/>
      <w:bookmarkEnd w:id="92"/>
      <w:bookmarkEnd w:id="93"/>
      <w:bookmarkEnd w:id="94"/>
      <w:bookmarkEnd w:id="95"/>
    </w:p>
    <w:p>
      <w:pPr>
        <w:snapToGrid w:val="0"/>
        <w:spacing w:line="360" w:lineRule="auto"/>
        <w:ind w:firstLine="420" w:firstLineChars="200"/>
        <w:jc w:val="left"/>
        <w:rPr>
          <w:rFonts w:ascii="宋体" w:hAnsi="宋体"/>
          <w:bCs/>
          <w:color w:val="000000" w:themeColor="text1"/>
          <w:szCs w:val="21"/>
          <w14:textFill>
            <w14:solidFill>
              <w14:schemeClr w14:val="tx1"/>
            </w14:solidFill>
          </w14:textFill>
        </w:rPr>
      </w:pPr>
      <w:bookmarkStart w:id="96" w:name="_Toc304292183"/>
      <w:bookmarkStart w:id="97" w:name="_Toc317685566"/>
      <w:bookmarkStart w:id="98" w:name="_Toc436330203"/>
      <w:bookmarkStart w:id="99" w:name="_Toc460416651"/>
      <w:bookmarkStart w:id="100" w:name="_Toc460857906"/>
      <w:bookmarkStart w:id="101" w:name="_Toc460416602"/>
      <w:bookmarkStart w:id="102" w:name="_Toc460416346"/>
      <w:bookmarkStart w:id="103" w:name="_Toc17884823"/>
      <w:r>
        <w:rPr>
          <w:rFonts w:hint="eastAsia" w:ascii="宋体" w:hAnsi="宋体"/>
          <w:bCs/>
          <w:color w:val="000000" w:themeColor="text1"/>
          <w:szCs w:val="21"/>
          <w14:textFill>
            <w14:solidFill>
              <w14:schemeClr w14:val="tx1"/>
            </w14:solidFill>
          </w14:textFill>
        </w:rPr>
        <w:t>1、采用最低评标价法的采购项目，提供相同品牌产品的不同</w:t>
      </w:r>
      <w:r>
        <w:rPr>
          <w:rFonts w:ascii="宋体" w:hAnsi="宋体"/>
          <w:bCs/>
          <w:color w:val="000000" w:themeColor="text1"/>
          <w:szCs w:val="21"/>
          <w14:textFill>
            <w14:solidFill>
              <w14:schemeClr w14:val="tx1"/>
            </w14:solidFill>
          </w14:textFill>
        </w:rPr>
        <w:t>投标人</w:t>
      </w:r>
      <w:r>
        <w:rPr>
          <w:rFonts w:hint="eastAsia" w:ascii="宋体" w:hAnsi="宋体"/>
          <w:bCs/>
          <w:color w:val="000000" w:themeColor="text1"/>
          <w:szCs w:val="21"/>
          <w14:textFill>
            <w14:solidFill>
              <w14:schemeClr w14:val="tx1"/>
            </w14:solidFill>
          </w14:textFill>
        </w:rPr>
        <w:t>参加同一合同项下投标的，以其中</w:t>
      </w:r>
      <w:r>
        <w:rPr>
          <w:rFonts w:hint="eastAsia" w:ascii="宋体" w:hAnsi="宋体"/>
          <w:color w:val="000000" w:themeColor="text1"/>
          <w:szCs w:val="21"/>
          <w14:textFill>
            <w14:solidFill>
              <w14:schemeClr w14:val="tx1"/>
            </w14:solidFill>
          </w14:textFill>
        </w:rPr>
        <w:t>通过</w:t>
      </w:r>
      <w:r>
        <w:rPr>
          <w:rFonts w:hint="eastAsia" w:ascii="宋体" w:hAnsi="宋体"/>
          <w:bCs/>
          <w:color w:val="000000" w:themeColor="text1"/>
          <w:szCs w:val="21"/>
          <w14:textFill>
            <w14:solidFill>
              <w14:schemeClr w14:val="tx1"/>
            </w14:solidFill>
          </w14:textFill>
        </w:rPr>
        <w:t>资格审查、符合性审查且报价最低的参加评标；报价相同的，由采购人或者采购人委托评标委员会按照采购文件规定的方式确定一个参加评标的</w:t>
      </w:r>
      <w:r>
        <w:rPr>
          <w:rFonts w:ascii="宋体" w:hAnsi="宋体"/>
          <w:bCs/>
          <w:color w:val="000000" w:themeColor="text1"/>
          <w:szCs w:val="21"/>
          <w14:textFill>
            <w14:solidFill>
              <w14:schemeClr w14:val="tx1"/>
            </w14:solidFill>
          </w14:textFill>
        </w:rPr>
        <w:t>投标人</w:t>
      </w:r>
      <w:r>
        <w:rPr>
          <w:rFonts w:hint="eastAsia" w:ascii="宋体" w:hAnsi="宋体"/>
          <w:bCs/>
          <w:color w:val="000000" w:themeColor="text1"/>
          <w:szCs w:val="21"/>
          <w14:textFill>
            <w14:solidFill>
              <w14:schemeClr w14:val="tx1"/>
            </w14:solidFill>
          </w14:textFill>
        </w:rPr>
        <w:t>，采购文件未规定的采取随机抽取方式确定，其他投标无效。</w:t>
      </w:r>
    </w:p>
    <w:p>
      <w:pPr>
        <w:widowControl/>
        <w:spacing w:line="360" w:lineRule="auto"/>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使用综合评分法的采购项目，提供相同品牌产品且通过资格审查、符合性审查的不同</w:t>
      </w:r>
      <w:r>
        <w:rPr>
          <w:rFonts w:ascii="宋体" w:hAnsi="宋体"/>
          <w:bCs/>
          <w:color w:val="000000" w:themeColor="text1"/>
          <w:szCs w:val="21"/>
          <w14:textFill>
            <w14:solidFill>
              <w14:schemeClr w14:val="tx1"/>
            </w14:solidFill>
          </w14:textFill>
        </w:rPr>
        <w:t>投标人</w:t>
      </w:r>
      <w:r>
        <w:rPr>
          <w:rFonts w:hint="eastAsia" w:ascii="宋体" w:hAnsi="宋体"/>
          <w:bCs/>
          <w:color w:val="000000" w:themeColor="text1"/>
          <w:szCs w:val="21"/>
          <w14:textFill>
            <w14:solidFill>
              <w14:schemeClr w14:val="tx1"/>
            </w14:solidFill>
          </w14:textFill>
        </w:rPr>
        <w:t>参加同一合同项下投标的，按一家</w:t>
      </w:r>
      <w:r>
        <w:rPr>
          <w:rFonts w:ascii="宋体" w:hAnsi="宋体"/>
          <w:bCs/>
          <w:color w:val="000000" w:themeColor="text1"/>
          <w:szCs w:val="21"/>
          <w14:textFill>
            <w14:solidFill>
              <w14:schemeClr w14:val="tx1"/>
            </w14:solidFill>
          </w14:textFill>
        </w:rPr>
        <w:t>投标人</w:t>
      </w:r>
      <w:r>
        <w:rPr>
          <w:rFonts w:hint="eastAsia" w:ascii="宋体" w:hAnsi="宋体"/>
          <w:bCs/>
          <w:color w:val="000000" w:themeColor="text1"/>
          <w:szCs w:val="21"/>
          <w14:textFill>
            <w14:solidFill>
              <w14:schemeClr w14:val="tx1"/>
            </w14:solidFill>
          </w14:textFill>
        </w:rPr>
        <w:t>计算，评审后得分最高的同品牌</w:t>
      </w:r>
      <w:r>
        <w:rPr>
          <w:rFonts w:ascii="宋体" w:hAnsi="宋体"/>
          <w:bCs/>
          <w:color w:val="000000" w:themeColor="text1"/>
          <w:szCs w:val="21"/>
          <w14:textFill>
            <w14:solidFill>
              <w14:schemeClr w14:val="tx1"/>
            </w14:solidFill>
          </w14:textFill>
        </w:rPr>
        <w:t>投标人</w:t>
      </w:r>
      <w:r>
        <w:rPr>
          <w:rFonts w:hint="eastAsia" w:ascii="宋体" w:hAnsi="宋体"/>
          <w:bCs/>
          <w:color w:val="000000" w:themeColor="text1"/>
          <w:szCs w:val="21"/>
          <w14:textFill>
            <w14:solidFill>
              <w14:schemeClr w14:val="tx1"/>
            </w14:solidFill>
          </w14:textFill>
        </w:rPr>
        <w:t>获得中标人推荐资格；评审得分相同的，由采购人或者采购人委托评标委员会按照采购文件规定的方式确定一个</w:t>
      </w:r>
      <w:r>
        <w:rPr>
          <w:rFonts w:ascii="宋体" w:hAnsi="宋体"/>
          <w:bCs/>
          <w:color w:val="000000" w:themeColor="text1"/>
          <w:szCs w:val="21"/>
          <w14:textFill>
            <w14:solidFill>
              <w14:schemeClr w14:val="tx1"/>
            </w14:solidFill>
          </w14:textFill>
        </w:rPr>
        <w:t>投标人</w:t>
      </w:r>
      <w:r>
        <w:rPr>
          <w:rFonts w:hint="eastAsia" w:ascii="宋体" w:hAnsi="宋体"/>
          <w:bCs/>
          <w:color w:val="000000" w:themeColor="text1"/>
          <w:szCs w:val="21"/>
          <w14:textFill>
            <w14:solidFill>
              <w14:schemeClr w14:val="tx1"/>
            </w14:solidFill>
          </w14:textFill>
        </w:rPr>
        <w:t>获得中标人推荐资格，采购文件未规定的采取随机抽取方式确定，其他同品牌</w:t>
      </w:r>
      <w:r>
        <w:rPr>
          <w:rFonts w:ascii="宋体" w:hAnsi="宋体"/>
          <w:bCs/>
          <w:color w:val="000000" w:themeColor="text1"/>
          <w:szCs w:val="21"/>
          <w14:textFill>
            <w14:solidFill>
              <w14:schemeClr w14:val="tx1"/>
            </w14:solidFill>
          </w14:textFill>
        </w:rPr>
        <w:t>投标人</w:t>
      </w:r>
      <w:r>
        <w:rPr>
          <w:rFonts w:hint="eastAsia" w:ascii="宋体" w:hAnsi="宋体"/>
          <w:bCs/>
          <w:color w:val="000000" w:themeColor="text1"/>
          <w:szCs w:val="21"/>
          <w14:textFill>
            <w14:solidFill>
              <w14:schemeClr w14:val="tx1"/>
            </w14:solidFill>
          </w14:textFill>
        </w:rPr>
        <w:t>不作为中标候选人。</w:t>
      </w:r>
    </w:p>
    <w:p>
      <w:pPr>
        <w:widowControl/>
        <w:spacing w:line="360" w:lineRule="auto"/>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非单一产品采购项目，多家</w:t>
      </w:r>
      <w:r>
        <w:rPr>
          <w:rFonts w:ascii="宋体" w:hAnsi="宋体" w:cs="宋体"/>
          <w:color w:val="000000" w:themeColor="text1"/>
          <w:kern w:val="0"/>
          <w:szCs w:val="21"/>
          <w14:textFill>
            <w14:solidFill>
              <w14:schemeClr w14:val="tx1"/>
            </w14:solidFill>
          </w14:textFill>
        </w:rPr>
        <w:t>投标人</w:t>
      </w:r>
      <w:r>
        <w:rPr>
          <w:rFonts w:hint="eastAsia" w:ascii="宋体" w:hAnsi="宋体" w:cs="宋体"/>
          <w:color w:val="000000" w:themeColor="text1"/>
          <w:kern w:val="0"/>
          <w:szCs w:val="21"/>
          <w14:textFill>
            <w14:solidFill>
              <w14:schemeClr w14:val="tx1"/>
            </w14:solidFill>
          </w14:textFill>
        </w:rPr>
        <w:t>提供的核心产品品牌相同的，按前款处理。</w:t>
      </w:r>
    </w:p>
    <w:p>
      <w:pPr>
        <w:widowControl/>
        <w:spacing w:line="360" w:lineRule="auto"/>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w:t>
      </w:r>
      <w:r>
        <w:rPr>
          <w:rFonts w:ascii="宋体" w:hAnsi="宋体"/>
          <w:bCs/>
          <w:color w:val="000000" w:themeColor="text1"/>
          <w:szCs w:val="21"/>
          <w14:textFill>
            <w14:solidFill>
              <w14:schemeClr w14:val="tx1"/>
            </w14:solidFill>
          </w14:textFill>
        </w:rPr>
        <w:t>投标人</w:t>
      </w:r>
      <w:r>
        <w:rPr>
          <w:rFonts w:hint="eastAsia" w:ascii="宋体" w:hAnsi="宋体"/>
          <w:bCs/>
          <w:color w:val="000000" w:themeColor="text1"/>
          <w:szCs w:val="21"/>
          <w14:textFill>
            <w14:solidFill>
              <w14:schemeClr w14:val="tx1"/>
            </w14:solidFill>
          </w14:textFill>
        </w:rPr>
        <w:t>应仔细阅读采购文件的所有内容，按照采购文件的要求提交投标文件，并对所提供的全部资料的真实性承担法律责任。</w:t>
      </w:r>
    </w:p>
    <w:p>
      <w:pPr>
        <w:pStyle w:val="22"/>
        <w:widowControl/>
        <w:spacing w:beforeLines="0" w:afterLines="0" w:line="360" w:lineRule="auto"/>
        <w:ind w:left="2" w:leftChars="1" w:firstLine="420" w:firstLineChars="200"/>
        <w:jc w:val="left"/>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*3、</w:t>
      </w:r>
      <w:r>
        <w:rPr>
          <w:rFonts w:hAnsi="宋体"/>
          <w:bCs/>
          <w:color w:val="000000" w:themeColor="text1"/>
          <w:sz w:val="21"/>
          <w:szCs w:val="21"/>
          <w14:textFill>
            <w14:solidFill>
              <w14:schemeClr w14:val="tx1"/>
            </w14:solidFill>
          </w14:textFill>
        </w:rPr>
        <w:t>投标人</w:t>
      </w:r>
      <w:r>
        <w:rPr>
          <w:rFonts w:hint="eastAsia" w:hAnsi="宋体"/>
          <w:bCs/>
          <w:color w:val="000000" w:themeColor="text1"/>
          <w:sz w:val="21"/>
          <w:szCs w:val="21"/>
          <w14:textFill>
            <w14:solidFill>
              <w14:schemeClr w14:val="tx1"/>
            </w14:solidFill>
          </w14:textFill>
        </w:rPr>
        <w:t>在投标活动中提供任何虚假材料，其投标无效，并报监管部门查处。</w:t>
      </w:r>
    </w:p>
    <w:bookmarkEnd w:id="96"/>
    <w:bookmarkEnd w:id="97"/>
    <w:bookmarkEnd w:id="98"/>
    <w:p>
      <w:pPr>
        <w:widowControl/>
        <w:spacing w:line="360" w:lineRule="auto"/>
        <w:jc w:val="left"/>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（九）、关于分公司投标</w:t>
      </w:r>
    </w:p>
    <w:p>
      <w:pPr>
        <w:widowControl/>
        <w:spacing w:line="360" w:lineRule="auto"/>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除银行、保险、石油石化、电力、电信、移动、联通等行业外，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pPr>
        <w:widowControl/>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（十）、关于知识产权</w:t>
      </w:r>
    </w:p>
    <w:p>
      <w:pPr>
        <w:widowControl/>
        <w:spacing w:line="360" w:lineRule="auto"/>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w:t>
      </w:r>
      <w:r>
        <w:rPr>
          <w:rFonts w:ascii="宋体" w:hAnsi="宋体"/>
          <w:bCs/>
          <w:color w:val="000000" w:themeColor="text1"/>
          <w:szCs w:val="21"/>
          <w14:textFill>
            <w14:solidFill>
              <w14:schemeClr w14:val="tx1"/>
            </w14:solidFill>
          </w14:textFill>
        </w:rPr>
        <w:t>投标人</w:t>
      </w:r>
      <w:r>
        <w:rPr>
          <w:rFonts w:hint="eastAsia" w:ascii="宋体" w:hAnsi="宋体"/>
          <w:bCs/>
          <w:color w:val="000000" w:themeColor="text1"/>
          <w:szCs w:val="21"/>
          <w14:textFill>
            <w14:solidFill>
              <w14:schemeClr w14:val="tx1"/>
            </w14:solidFill>
          </w14:textFill>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ascii="宋体" w:hAnsi="宋体"/>
          <w:bCs/>
          <w:color w:val="000000" w:themeColor="text1"/>
          <w:szCs w:val="21"/>
          <w14:textFill>
            <w14:solidFill>
              <w14:schemeClr w14:val="tx1"/>
            </w14:solidFill>
          </w14:textFill>
        </w:rPr>
        <w:t>投标人</w:t>
      </w:r>
      <w:r>
        <w:rPr>
          <w:rFonts w:hint="eastAsia" w:ascii="宋体" w:hAnsi="宋体"/>
          <w:bCs/>
          <w:color w:val="000000" w:themeColor="text1"/>
          <w:szCs w:val="21"/>
          <w14:textFill>
            <w14:solidFill>
              <w14:schemeClr w14:val="tx1"/>
            </w14:solidFill>
          </w14:textFill>
        </w:rPr>
        <w:t>承担。</w:t>
      </w:r>
    </w:p>
    <w:p>
      <w:pPr>
        <w:widowControl/>
        <w:spacing w:line="360" w:lineRule="auto"/>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2、投标报价应包含所有应向所有权人支付的专利权、商标权或其它知识产权的一切相关费用。</w:t>
      </w:r>
    </w:p>
    <w:p>
      <w:pPr>
        <w:widowControl/>
        <w:spacing w:line="360" w:lineRule="auto"/>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3、系统软件、通用软件必须是具有在中国境内的合法使用权或版权的正版软件，涉及到第三方提出侵权或知识产权的起诉及支付版税等费用由</w:t>
      </w:r>
      <w:r>
        <w:rPr>
          <w:rFonts w:ascii="宋体" w:hAnsi="宋体"/>
          <w:bCs/>
          <w:color w:val="000000" w:themeColor="text1"/>
          <w:szCs w:val="21"/>
          <w14:textFill>
            <w14:solidFill>
              <w14:schemeClr w14:val="tx1"/>
            </w14:solidFill>
          </w14:textFill>
        </w:rPr>
        <w:t>投标人</w:t>
      </w:r>
      <w:r>
        <w:rPr>
          <w:rFonts w:hint="eastAsia" w:ascii="宋体" w:hAnsi="宋体"/>
          <w:bCs/>
          <w:color w:val="000000" w:themeColor="text1"/>
          <w:szCs w:val="21"/>
          <w14:textFill>
            <w14:solidFill>
              <w14:schemeClr w14:val="tx1"/>
            </w14:solidFill>
          </w14:textFill>
        </w:rPr>
        <w:t>承担所有责任及费用。</w:t>
      </w:r>
    </w:p>
    <w:p>
      <w:pPr>
        <w:spacing w:line="360" w:lineRule="auto"/>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（十一）质疑和投诉</w:t>
      </w:r>
      <w:bookmarkEnd w:id="99"/>
      <w:bookmarkEnd w:id="100"/>
      <w:bookmarkEnd w:id="101"/>
      <w:bookmarkEnd w:id="102"/>
      <w:bookmarkEnd w:id="103"/>
    </w:p>
    <w:p>
      <w:pPr>
        <w:pStyle w:val="2"/>
        <w:spacing w:after="0" w:line="360" w:lineRule="auto"/>
        <w:ind w:firstLine="420" w:firstLineChars="200"/>
        <w:rPr>
          <w:rFonts w:ascii="宋体" w:hAnsi="宋体"/>
          <w:color w:val="000000" w:themeColor="text1"/>
          <w14:textFill>
            <w14:solidFill>
              <w14:schemeClr w14:val="tx1"/>
            </w14:solidFill>
          </w14:textFill>
        </w:rPr>
      </w:pP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、供应商</w:t>
      </w:r>
      <w:r>
        <w:rPr>
          <w:rFonts w:ascii="宋体" w:hAnsi="宋体"/>
          <w:color w:val="000000" w:themeColor="text1"/>
          <w:sz w:val="21"/>
          <w:szCs w:val="21"/>
          <w14:textFill>
            <w14:solidFill>
              <w14:schemeClr w14:val="tx1"/>
            </w14:solidFill>
          </w14:textFill>
        </w:rPr>
        <w:t>认为采购文件、采购过程、中标或者成交结果使自己的权益受到损害的，</w:t>
      </w:r>
      <w:r>
        <w:rPr>
          <w:rFonts w:hint="eastAsia" w:ascii="宋体" w:hAnsi="宋体"/>
          <w:color w:val="000000" w:themeColor="text1"/>
          <w:sz w:val="21"/>
          <w:szCs w:val="21"/>
          <w14:textFill>
            <w14:solidFill>
              <w14:schemeClr w14:val="tx1"/>
            </w14:solidFill>
          </w14:textFill>
        </w:rPr>
        <w:t>须</w:t>
      </w:r>
      <w:r>
        <w:rPr>
          <w:rFonts w:ascii="宋体" w:hAnsi="宋体"/>
          <w:color w:val="000000" w:themeColor="text1"/>
          <w:sz w:val="21"/>
          <w:szCs w:val="21"/>
          <w14:textFill>
            <w14:solidFill>
              <w14:schemeClr w14:val="tx1"/>
            </w14:solidFill>
          </w14:textFill>
        </w:rPr>
        <w:t>在应</w:t>
      </w:r>
      <w:r>
        <w:rPr>
          <w:rFonts w:ascii="宋体" w:hAnsi="宋体"/>
          <w:color w:val="000000" w:themeColor="text1"/>
          <w:spacing w:val="2"/>
          <w:sz w:val="21"/>
          <w14:textFill>
            <w14:solidFill>
              <w14:schemeClr w14:val="tx1"/>
            </w14:solidFill>
          </w14:textFill>
        </w:rPr>
        <w:t>知其</w:t>
      </w:r>
      <w:r>
        <w:rPr>
          <w:rFonts w:hint="eastAsia" w:ascii="宋体" w:hAnsi="宋体"/>
          <w:color w:val="000000" w:themeColor="text1"/>
          <w:spacing w:val="2"/>
          <w:sz w:val="21"/>
          <w14:textFill>
            <w14:solidFill>
              <w14:schemeClr w14:val="tx1"/>
            </w14:solidFill>
          </w14:textFill>
        </w:rPr>
        <w:t>利</w:t>
      </w:r>
      <w:r>
        <w:rPr>
          <w:rFonts w:ascii="宋体" w:hAnsi="宋体"/>
          <w:color w:val="000000" w:themeColor="text1"/>
          <w:spacing w:val="2"/>
          <w:sz w:val="21"/>
          <w14:textFill>
            <w14:solidFill>
              <w14:schemeClr w14:val="tx1"/>
            </w14:solidFill>
          </w14:textFill>
        </w:rPr>
        <w:t>益受损之日起七个工作日内以书面形式向</w:t>
      </w:r>
      <w:r>
        <w:rPr>
          <w:rFonts w:hint="eastAsia" w:ascii="宋体" w:hAnsi="宋体"/>
          <w:color w:val="000000" w:themeColor="text1"/>
          <w:spacing w:val="2"/>
          <w:sz w:val="21"/>
          <w14:textFill>
            <w14:solidFill>
              <w14:schemeClr w14:val="tx1"/>
            </w14:solidFill>
          </w14:textFill>
        </w:rPr>
        <w:t>采购人、采购代理机构</w:t>
      </w:r>
      <w:r>
        <w:rPr>
          <w:rFonts w:ascii="宋体" w:hAnsi="宋体"/>
          <w:color w:val="000000" w:themeColor="text1"/>
          <w:spacing w:val="2"/>
          <w:sz w:val="21"/>
          <w14:textFill>
            <w14:solidFill>
              <w14:schemeClr w14:val="tx1"/>
            </w14:solidFill>
          </w14:textFill>
        </w:rPr>
        <w:t>提出质疑。供应商应当在法定质疑期内一次性提出针对同一采购程序环节的质疑。</w:t>
      </w:r>
    </w:p>
    <w:p>
      <w:pPr>
        <w:tabs>
          <w:tab w:val="left" w:pos="518"/>
        </w:tabs>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s="Arial"/>
          <w:color w:val="000000" w:themeColor="text1"/>
          <w14:textFill>
            <w14:solidFill>
              <w14:schemeClr w14:val="tx1"/>
            </w14:solidFill>
          </w14:textFill>
        </w:rPr>
        <w:t>提出质疑的供应商应当是参与所质疑项目采购活动的供应商。</w:t>
      </w:r>
      <w:r>
        <w:rPr>
          <w:rFonts w:ascii="宋体" w:hAnsi="宋体"/>
          <w:color w:val="000000" w:themeColor="text1"/>
          <w14:textFill>
            <w14:solidFill>
              <w14:schemeClr w14:val="tx1"/>
            </w14:solidFill>
          </w14:textFill>
        </w:rPr>
        <w:t>未</w:t>
      </w:r>
      <w:r>
        <w:rPr>
          <w:rFonts w:hint="eastAsia" w:ascii="宋体" w:hAnsi="宋体"/>
          <w:color w:val="000000" w:themeColor="text1"/>
          <w14:textFill>
            <w14:solidFill>
              <w14:schemeClr w14:val="tx1"/>
            </w14:solidFill>
          </w14:textFill>
        </w:rPr>
        <w:t>按招标公告规定</w:t>
      </w:r>
      <w:r>
        <w:rPr>
          <w:rFonts w:ascii="宋体" w:hAnsi="宋体"/>
          <w:color w:val="000000" w:themeColor="text1"/>
          <w14:textFill>
            <w14:solidFill>
              <w14:schemeClr w14:val="tx1"/>
            </w14:solidFill>
          </w14:textFill>
        </w:rPr>
        <w:t>获取采</w:t>
      </w:r>
      <w:r>
        <w:rPr>
          <w:rFonts w:ascii="宋体" w:hAnsi="宋体"/>
          <w:color w:val="000000" w:themeColor="text1"/>
          <w:spacing w:val="2"/>
          <w14:textFill>
            <w14:solidFill>
              <w14:schemeClr w14:val="tx1"/>
            </w14:solidFill>
          </w14:textFill>
        </w:rPr>
        <w:t>购文件的，不得就采购文件提出质疑；未提交投标文件的供应商，视为与采购结</w:t>
      </w:r>
      <w:r>
        <w:rPr>
          <w:rFonts w:ascii="宋体" w:hAnsi="宋体"/>
          <w:color w:val="000000" w:themeColor="text1"/>
          <w14:textFill>
            <w14:solidFill>
              <w14:schemeClr w14:val="tx1"/>
            </w14:solidFill>
          </w14:textFill>
        </w:rPr>
        <w:t>果没有利害关系，不得就采购响应截止时间后的采购过程、采购结果提出质疑。</w:t>
      </w:r>
    </w:p>
    <w:p>
      <w:pPr>
        <w:tabs>
          <w:tab w:val="left" w:pos="518"/>
        </w:tabs>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ascii="宋体" w:hAnsi="宋体" w:cs="Arial"/>
          <w:color w:val="000000" w:themeColor="text1"/>
          <w14:textFill>
            <w14:solidFill>
              <w14:schemeClr w14:val="tx1"/>
            </w14:solidFill>
          </w14:textFill>
        </w:rPr>
        <w:t>供应商提出质疑应当提交质疑函和必要的证明材料</w:t>
      </w:r>
      <w:r>
        <w:rPr>
          <w:rFonts w:hint="eastAsia" w:ascii="宋体" w:hAnsi="宋体" w:cs="Arial"/>
          <w:color w:val="000000" w:themeColor="text1"/>
          <w14:textFill>
            <w14:solidFill>
              <w14:schemeClr w14:val="tx1"/>
            </w14:solidFill>
          </w14:textFill>
        </w:rPr>
        <w:t>，</w:t>
      </w:r>
      <w:r>
        <w:rPr>
          <w:rFonts w:ascii="宋体" w:hAnsi="宋体"/>
          <w:color w:val="000000" w:themeColor="text1"/>
          <w14:textFill>
            <w14:solidFill>
              <w14:schemeClr w14:val="tx1"/>
            </w14:solidFill>
          </w14:textFill>
        </w:rPr>
        <w:t>质疑函应当以书面形式</w:t>
      </w:r>
      <w:r>
        <w:rPr>
          <w:rFonts w:hint="eastAsia" w:ascii="宋体" w:hAnsi="宋体"/>
          <w:color w:val="000000" w:themeColor="text1"/>
          <w:szCs w:val="21"/>
          <w14:textFill>
            <w14:solidFill>
              <w14:schemeClr w14:val="tx1"/>
            </w14:solidFill>
          </w14:textFill>
        </w:rPr>
        <w:t>（需符合财政部令第94号</w:t>
      </w:r>
      <w:r>
        <w:rPr>
          <w:rFonts w:ascii="宋体" w:hAnsi="宋体"/>
          <w:color w:val="000000" w:themeColor="text1"/>
          <w:szCs w:val="21"/>
          <w14:textFill>
            <w14:solidFill>
              <w14:schemeClr w14:val="tx1"/>
            </w14:solidFill>
          </w14:textFill>
        </w:rPr>
        <w:t>政府采购质疑和投诉办法</w:t>
      </w:r>
      <w:r>
        <w:rPr>
          <w:rFonts w:hint="eastAsia" w:ascii="宋体" w:hAnsi="宋体"/>
          <w:color w:val="000000" w:themeColor="text1"/>
          <w:szCs w:val="21"/>
          <w14:textFill>
            <w14:solidFill>
              <w14:schemeClr w14:val="tx1"/>
            </w14:solidFill>
          </w14:textFill>
        </w:rPr>
        <w:t>要求）</w:t>
      </w:r>
      <w:r>
        <w:rPr>
          <w:rFonts w:ascii="宋体" w:hAnsi="宋体"/>
          <w:color w:val="000000" w:themeColor="text1"/>
          <w:spacing w:val="2"/>
          <w14:textFill>
            <w14:solidFill>
              <w14:schemeClr w14:val="tx1"/>
            </w14:solidFill>
          </w14:textFill>
        </w:rPr>
        <w:t>提出</w:t>
      </w:r>
      <w:r>
        <w:rPr>
          <w:rFonts w:hint="eastAsia" w:ascii="宋体" w:hAnsi="宋体"/>
          <w:color w:val="000000" w:themeColor="text1"/>
          <w:szCs w:val="21"/>
          <w14:textFill>
            <w14:solidFill>
              <w14:schemeClr w14:val="tx1"/>
            </w14:solidFill>
          </w14:textFill>
        </w:rPr>
        <w:t>。</w:t>
      </w:r>
    </w:p>
    <w:p>
      <w:pPr>
        <w:tabs>
          <w:tab w:val="left" w:pos="518"/>
        </w:tabs>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接收</w:t>
      </w:r>
      <w:r>
        <w:rPr>
          <w:rFonts w:hint="eastAsia" w:ascii="宋体" w:hAnsi="宋体"/>
          <w:color w:val="000000" w:themeColor="text1"/>
          <w:szCs w:val="21"/>
          <w14:textFill>
            <w14:solidFill>
              <w14:schemeClr w14:val="tx1"/>
            </w14:solidFill>
          </w14:textFill>
        </w:rPr>
        <w:t>书面</w:t>
      </w:r>
      <w:r>
        <w:rPr>
          <w:rFonts w:ascii="宋体" w:hAnsi="宋体"/>
          <w:color w:val="000000" w:themeColor="text1"/>
          <w:szCs w:val="21"/>
          <w14:textFill>
            <w14:solidFill>
              <w14:schemeClr w14:val="tx1"/>
            </w14:solidFill>
          </w14:textFill>
        </w:rPr>
        <w:t>质疑</w:t>
      </w:r>
      <w:r>
        <w:rPr>
          <w:rFonts w:hint="eastAsia" w:ascii="宋体" w:hAnsi="宋体"/>
          <w:color w:val="000000" w:themeColor="text1"/>
          <w:szCs w:val="21"/>
          <w14:textFill>
            <w14:solidFill>
              <w14:schemeClr w14:val="tx1"/>
            </w14:solidFill>
          </w14:textFill>
        </w:rPr>
        <w:t>函</w:t>
      </w:r>
      <w:r>
        <w:rPr>
          <w:rFonts w:ascii="宋体" w:hAnsi="宋体"/>
          <w:color w:val="000000" w:themeColor="text1"/>
          <w:szCs w:val="21"/>
          <w14:textFill>
            <w14:solidFill>
              <w14:schemeClr w14:val="tx1"/>
            </w14:solidFill>
          </w14:textFill>
        </w:rPr>
        <w:t>的方式</w:t>
      </w:r>
      <w:r>
        <w:rPr>
          <w:rFonts w:hint="eastAsia" w:ascii="宋体" w:hAnsi="宋体"/>
          <w:color w:val="000000" w:themeColor="text1"/>
          <w:szCs w:val="21"/>
          <w14:textFill>
            <w14:solidFill>
              <w14:schemeClr w14:val="tx1"/>
            </w14:solidFill>
          </w14:textFill>
        </w:rPr>
        <w:t>：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被质疑人处理质疑</w:t>
      </w:r>
      <w:r>
        <w:rPr>
          <w:rFonts w:ascii="宋体" w:hAnsi="宋体"/>
          <w:color w:val="000000" w:themeColor="text1"/>
          <w:szCs w:val="21"/>
          <w14:textFill>
            <w14:solidFill>
              <w14:schemeClr w14:val="tx1"/>
            </w14:solidFill>
          </w14:textFill>
        </w:rPr>
        <w:t>联系部门</w:t>
      </w:r>
      <w:r>
        <w:rPr>
          <w:rFonts w:hint="eastAsia" w:ascii="宋体" w:hAnsi="宋体"/>
          <w:color w:val="000000" w:themeColor="text1"/>
          <w:szCs w:val="21"/>
          <w14:textFill>
            <w14:solidFill>
              <w14:schemeClr w14:val="tx1"/>
            </w14:solidFill>
          </w14:textFill>
        </w:rPr>
        <w:t>：本采购文件第一章中采购代理机构的有关联系方式。</w:t>
      </w:r>
    </w:p>
    <w:p>
      <w:pPr>
        <w:tabs>
          <w:tab w:val="left" w:pos="518"/>
        </w:tabs>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5、供应商对采购人或采购代理机构的质疑答复不满意或者采购人或采购代理机构未在规定时间内作出答复的，可以在答复期满后十五个工作日内向同级采购监管部门投诉，</w:t>
      </w:r>
      <w:r>
        <w:rPr>
          <w:rFonts w:ascii="宋体" w:hAnsi="宋体"/>
          <w:color w:val="000000" w:themeColor="text1"/>
          <w:szCs w:val="21"/>
          <w14:textFill>
            <w14:solidFill>
              <w14:schemeClr w14:val="tx1"/>
            </w14:solidFill>
          </w14:textFill>
        </w:rPr>
        <w:t>投诉</w:t>
      </w:r>
      <w:r>
        <w:rPr>
          <w:rFonts w:hint="eastAsia" w:ascii="宋体" w:hAnsi="宋体"/>
          <w:color w:val="000000" w:themeColor="text1"/>
          <w:szCs w:val="21"/>
          <w14:textFill>
            <w14:solidFill>
              <w14:schemeClr w14:val="tx1"/>
            </w14:solidFill>
          </w14:textFill>
        </w:rPr>
        <w:t>须</w:t>
      </w:r>
      <w:r>
        <w:rPr>
          <w:rFonts w:ascii="宋体" w:hAnsi="宋体"/>
          <w:color w:val="000000" w:themeColor="text1"/>
          <w:szCs w:val="21"/>
          <w14:textFill>
            <w14:solidFill>
              <w14:schemeClr w14:val="tx1"/>
            </w14:solidFill>
          </w14:textFill>
        </w:rPr>
        <w:t>采用书面形式</w:t>
      </w:r>
      <w:r>
        <w:rPr>
          <w:rFonts w:hint="eastAsia" w:ascii="宋体" w:hAnsi="宋体"/>
          <w:color w:val="000000" w:themeColor="text1"/>
          <w:szCs w:val="21"/>
          <w14:textFill>
            <w14:solidFill>
              <w14:schemeClr w14:val="tx1"/>
            </w14:solidFill>
          </w14:textFill>
        </w:rPr>
        <w:t>（需符合财政部令第94号</w:t>
      </w:r>
      <w:r>
        <w:rPr>
          <w:rFonts w:ascii="宋体" w:hAnsi="宋体"/>
          <w:color w:val="000000" w:themeColor="text1"/>
          <w:szCs w:val="21"/>
          <w14:textFill>
            <w14:solidFill>
              <w14:schemeClr w14:val="tx1"/>
            </w14:solidFill>
          </w14:textFill>
        </w:rPr>
        <w:t>政府采购质疑和投诉办法</w:t>
      </w:r>
      <w:r>
        <w:rPr>
          <w:rFonts w:hint="eastAsia" w:ascii="宋体" w:hAnsi="宋体"/>
          <w:color w:val="000000" w:themeColor="text1"/>
          <w:szCs w:val="21"/>
          <w14:textFill>
            <w14:solidFill>
              <w14:schemeClr w14:val="tx1"/>
            </w14:solidFill>
          </w14:textFill>
        </w:rPr>
        <w:t>要求）。</w:t>
      </w:r>
    </w:p>
    <w:p>
      <w:pPr>
        <w:spacing w:line="360" w:lineRule="auto"/>
        <w:rPr>
          <w:rFonts w:ascii="宋体" w:hAnsi="宋体"/>
          <w:b/>
          <w:color w:val="000000" w:themeColor="text1"/>
          <w14:textFill>
            <w14:solidFill>
              <w14:schemeClr w14:val="tx1"/>
            </w14:solidFill>
          </w14:textFill>
        </w:rPr>
      </w:pPr>
      <w:bookmarkStart w:id="104" w:name="_Toc460857907"/>
      <w:bookmarkStart w:id="105" w:name="_Toc460416652"/>
      <w:bookmarkStart w:id="106" w:name="_Toc460416347"/>
    </w:p>
    <w:p>
      <w:pPr>
        <w:spacing w:line="360" w:lineRule="auto"/>
        <w:rPr>
          <w:rFonts w:ascii="宋体" w:hAnsi="宋体"/>
          <w:b/>
          <w:color w:val="000000" w:themeColor="text1"/>
          <w14:textFill>
            <w14:solidFill>
              <w14:schemeClr w14:val="tx1"/>
            </w14:solidFill>
          </w14:textFill>
        </w:rPr>
      </w:pPr>
      <w:bookmarkStart w:id="107" w:name="_Toc17884824"/>
      <w:r>
        <w:rPr>
          <w:rFonts w:hint="eastAsia" w:ascii="宋体" w:hAnsi="宋体"/>
          <w:b/>
          <w:color w:val="000000" w:themeColor="text1"/>
          <w14:textFill>
            <w14:solidFill>
              <w14:schemeClr w14:val="tx1"/>
            </w14:solidFill>
          </w14:textFill>
        </w:rPr>
        <w:t>二、采购文件</w:t>
      </w:r>
      <w:bookmarkEnd w:id="104"/>
      <w:bookmarkEnd w:id="105"/>
      <w:bookmarkEnd w:id="106"/>
      <w:bookmarkEnd w:id="107"/>
    </w:p>
    <w:p>
      <w:pPr>
        <w:spacing w:line="360" w:lineRule="auto"/>
        <w:rPr>
          <w:rFonts w:ascii="宋体" w:hAnsi="宋体"/>
          <w:b/>
          <w:color w:val="000000" w:themeColor="text1"/>
          <w14:textFill>
            <w14:solidFill>
              <w14:schemeClr w14:val="tx1"/>
            </w14:solidFill>
          </w14:textFill>
        </w:rPr>
      </w:pPr>
      <w:bookmarkStart w:id="108" w:name="_Toc17884825"/>
      <w:bookmarkStart w:id="109" w:name="_Toc460857908"/>
      <w:r>
        <w:rPr>
          <w:rFonts w:hint="eastAsia" w:ascii="宋体" w:hAnsi="宋体"/>
          <w:b/>
          <w:color w:val="000000" w:themeColor="text1"/>
          <w14:textFill>
            <w14:solidFill>
              <w14:schemeClr w14:val="tx1"/>
            </w14:solidFill>
          </w14:textFill>
        </w:rPr>
        <w:t>（一）采购文件的构成。本采购文件由以下部份组成：</w:t>
      </w:r>
      <w:bookmarkEnd w:id="108"/>
      <w:bookmarkEnd w:id="109"/>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1、采购公告</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2、招标需求</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3、投标人须知</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4、评标办法及评分标准</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5、政府采购合同主要条款</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6、投标文件格式</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7、本项目采购文件的澄清、答复、修改、补充的内容</w:t>
      </w:r>
    </w:p>
    <w:p>
      <w:pPr>
        <w:spacing w:line="360" w:lineRule="auto"/>
        <w:rPr>
          <w:rFonts w:ascii="宋体" w:hAnsi="宋体"/>
          <w:b/>
          <w:color w:val="000000" w:themeColor="text1"/>
          <w14:textFill>
            <w14:solidFill>
              <w14:schemeClr w14:val="tx1"/>
            </w14:solidFill>
          </w14:textFill>
        </w:rPr>
      </w:pPr>
      <w:bookmarkStart w:id="110" w:name="_Toc17884826"/>
      <w:bookmarkStart w:id="111" w:name="_Toc460857909"/>
      <w:r>
        <w:rPr>
          <w:rFonts w:hint="eastAsia" w:ascii="宋体" w:hAnsi="宋体"/>
          <w:b/>
          <w:color w:val="000000" w:themeColor="text1"/>
          <w14:textFill>
            <w14:solidFill>
              <w14:schemeClr w14:val="tx1"/>
            </w14:solidFill>
          </w14:textFill>
        </w:rPr>
        <w:t>（二）投标人的风险</w:t>
      </w:r>
      <w:bookmarkEnd w:id="110"/>
      <w:bookmarkEnd w:id="111"/>
    </w:p>
    <w:p>
      <w:pPr>
        <w:spacing w:line="360" w:lineRule="auto"/>
        <w:ind w:firstLine="420" w:firstLineChars="200"/>
        <w:rPr>
          <w:rFonts w:ascii="宋体" w:hAnsi="宋体"/>
          <w:color w:val="000000" w:themeColor="text1"/>
          <w:szCs w:val="21"/>
          <w14:textFill>
            <w14:solidFill>
              <w14:schemeClr w14:val="tx1"/>
            </w14:solidFill>
          </w14:textFill>
        </w:rPr>
      </w:pPr>
      <w:bookmarkStart w:id="112" w:name="_Toc460857910"/>
      <w:bookmarkStart w:id="113" w:name="_Toc17884827"/>
      <w:r>
        <w:rPr>
          <w:rFonts w:hint="eastAsia" w:ascii="宋体" w:hAnsi="宋体"/>
          <w:color w:val="000000" w:themeColor="text1"/>
          <w:szCs w:val="21"/>
          <w14:textFill>
            <w14:solidFill>
              <w14:schemeClr w14:val="tx1"/>
            </w14:solidFill>
          </w14:textFill>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2、无论因何种原因导致本次采购活动终止致投标人损失的，相关责任人均不承担任何责任。</w:t>
      </w:r>
    </w:p>
    <w:p>
      <w:pPr>
        <w:spacing w:line="360" w:lineRule="auto"/>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（三）采购文件的澄清与修改</w:t>
      </w:r>
      <w:bookmarkEnd w:id="112"/>
      <w:bookmarkEnd w:id="113"/>
    </w:p>
    <w:p>
      <w:pPr>
        <w:pStyle w:val="33"/>
        <w:numPr>
          <w:ilvl w:val="0"/>
          <w:numId w:val="0"/>
        </w:numPr>
        <w:spacing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采购人对采购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33"/>
        <w:numPr>
          <w:ilvl w:val="0"/>
          <w:numId w:val="0"/>
        </w:numPr>
        <w:spacing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2、更正公告为采购文件的组成部分，一经在网站发布，视同已通知所有采购文件的收受人，不再采用其它方式传达相关信息，若因未能及时了解到上述网站上发布的相关信息而导致的一切后果自行承担。</w:t>
      </w:r>
    </w:p>
    <w:p>
      <w:pPr>
        <w:pStyle w:val="33"/>
        <w:numPr>
          <w:ilvl w:val="0"/>
          <w:numId w:val="0"/>
        </w:numPr>
        <w:spacing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3、如更正公告有重新发布电子采购文件的，</w:t>
      </w:r>
      <w:r>
        <w:rPr>
          <w:rFonts w:ascii="宋体" w:hAnsi="宋体" w:eastAsia="宋体"/>
          <w:color w:val="000000" w:themeColor="text1"/>
          <w:sz w:val="21"/>
          <w:szCs w:val="21"/>
          <w14:textFill>
            <w14:solidFill>
              <w14:schemeClr w14:val="tx1"/>
            </w14:solidFill>
          </w14:textFill>
        </w:rPr>
        <w:t>投标人</w:t>
      </w:r>
      <w:r>
        <w:rPr>
          <w:rFonts w:hint="eastAsia" w:ascii="宋体" w:hAnsi="宋体" w:eastAsia="宋体"/>
          <w:color w:val="000000" w:themeColor="text1"/>
          <w:sz w:val="21"/>
          <w:szCs w:val="21"/>
          <w14:textFill>
            <w14:solidFill>
              <w14:schemeClr w14:val="tx1"/>
            </w14:solidFill>
          </w14:textFill>
        </w:rPr>
        <w:t>应下载最新发布的电子采购文件制作投标文件。</w:t>
      </w:r>
    </w:p>
    <w:p>
      <w:pPr>
        <w:pStyle w:val="33"/>
        <w:numPr>
          <w:ilvl w:val="0"/>
          <w:numId w:val="0"/>
        </w:numPr>
        <w:spacing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w:t>
      </w:r>
      <w:r>
        <w:rPr>
          <w:rFonts w:ascii="宋体" w:hAnsi="宋体" w:eastAsia="宋体"/>
          <w:color w:val="000000" w:themeColor="text1"/>
          <w:sz w:val="21"/>
          <w:szCs w:val="21"/>
          <w14:textFill>
            <w14:solidFill>
              <w14:schemeClr w14:val="tx1"/>
            </w14:solidFill>
          </w14:textFill>
        </w:rPr>
        <w:t>投标人</w:t>
      </w:r>
      <w:r>
        <w:rPr>
          <w:rFonts w:hint="eastAsia" w:ascii="宋体" w:hAnsi="宋体" w:eastAsia="宋体"/>
          <w:color w:val="000000" w:themeColor="text1"/>
          <w:sz w:val="21"/>
          <w:szCs w:val="21"/>
          <w14:textFill>
            <w14:solidFill>
              <w14:schemeClr w14:val="tx1"/>
            </w14:solidFill>
          </w14:textFill>
        </w:rPr>
        <w:t>在规定的时间内未对采购文件提出疑问、质疑或要求澄清的，将视其为无异议。对采购文件中描述有歧义或前后不一致的地方，评标委员会有权进行评判，但对同一条款的评判应适用于每个</w:t>
      </w:r>
      <w:r>
        <w:rPr>
          <w:rFonts w:ascii="宋体" w:hAnsi="宋体" w:eastAsia="宋体"/>
          <w:color w:val="000000" w:themeColor="text1"/>
          <w:sz w:val="21"/>
          <w:szCs w:val="21"/>
          <w14:textFill>
            <w14:solidFill>
              <w14:schemeClr w14:val="tx1"/>
            </w14:solidFill>
          </w14:textFill>
        </w:rPr>
        <w:t>投标人</w:t>
      </w:r>
      <w:r>
        <w:rPr>
          <w:rFonts w:hint="eastAsia" w:ascii="宋体" w:hAnsi="宋体" w:eastAsia="宋体"/>
          <w:color w:val="000000" w:themeColor="text1"/>
          <w:sz w:val="21"/>
          <w:szCs w:val="21"/>
          <w14:textFill>
            <w14:solidFill>
              <w14:schemeClr w14:val="tx1"/>
            </w14:solidFill>
          </w14:textFill>
        </w:rPr>
        <w:t>。</w:t>
      </w:r>
    </w:p>
    <w:p>
      <w:pPr>
        <w:spacing w:line="360" w:lineRule="auto"/>
        <w:rPr>
          <w:rFonts w:ascii="宋体" w:hAnsi="宋体"/>
          <w:b/>
          <w:color w:val="000000" w:themeColor="text1"/>
          <w14:textFill>
            <w14:solidFill>
              <w14:schemeClr w14:val="tx1"/>
            </w14:solidFill>
          </w14:textFill>
        </w:rPr>
      </w:pPr>
      <w:bookmarkStart w:id="114" w:name="_Toc460416653"/>
      <w:bookmarkStart w:id="115" w:name="_Toc460416348"/>
      <w:bookmarkStart w:id="116" w:name="_Toc460857912"/>
      <w:bookmarkStart w:id="117" w:name="_Toc17884828"/>
      <w:r>
        <w:rPr>
          <w:rFonts w:hint="eastAsia" w:ascii="宋体" w:hAnsi="宋体"/>
          <w:b/>
          <w:color w:val="000000" w:themeColor="text1"/>
          <w14:textFill>
            <w14:solidFill>
              <w14:schemeClr w14:val="tx1"/>
            </w14:solidFill>
          </w14:textFill>
        </w:rPr>
        <w:t>三、投标文件的编制</w:t>
      </w:r>
      <w:bookmarkEnd w:id="114"/>
      <w:bookmarkEnd w:id="115"/>
      <w:bookmarkEnd w:id="116"/>
      <w:bookmarkEnd w:id="117"/>
    </w:p>
    <w:p>
      <w:pPr>
        <w:spacing w:line="360" w:lineRule="auto"/>
        <w:rPr>
          <w:rFonts w:ascii="宋体" w:hAnsi="宋体"/>
          <w:b/>
          <w:color w:val="000000" w:themeColor="text1"/>
          <w14:textFill>
            <w14:solidFill>
              <w14:schemeClr w14:val="tx1"/>
            </w14:solidFill>
          </w14:textFill>
        </w:rPr>
      </w:pPr>
      <w:bookmarkStart w:id="118" w:name="_Toc460416654"/>
      <w:bookmarkStart w:id="119" w:name="_Toc17884829"/>
      <w:bookmarkStart w:id="120" w:name="_Toc460857913"/>
      <w:bookmarkStart w:id="121" w:name="_Toc460416349"/>
      <w:r>
        <w:rPr>
          <w:rFonts w:hint="eastAsia" w:ascii="宋体" w:hAnsi="宋体"/>
          <w:b/>
          <w:color w:val="000000" w:themeColor="text1"/>
          <w14:textFill>
            <w14:solidFill>
              <w14:schemeClr w14:val="tx1"/>
            </w14:solidFill>
          </w14:textFill>
        </w:rPr>
        <w:t>（一）投标文件的组成</w:t>
      </w:r>
      <w:bookmarkEnd w:id="118"/>
      <w:bookmarkEnd w:id="119"/>
      <w:bookmarkEnd w:id="120"/>
      <w:bookmarkEnd w:id="121"/>
    </w:p>
    <w:p>
      <w:pPr>
        <w:snapToGrid w:val="0"/>
        <w:spacing w:line="360" w:lineRule="auto"/>
        <w:ind w:firstLine="413" w:firstLineChars="196"/>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1、资格文件包括以下内容：</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（1）有效的企业法人营业执照（或事业法人登记证）、其他组织（个体工商户）的营业执照或者民办非企业单位登记证书复印件（复印件加盖公章）；</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（2）投标人资格声明(格式见附件一)；</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（3）投标承诺书(格式见附件二)；</w:t>
      </w:r>
    </w:p>
    <w:p>
      <w:pPr>
        <w:pStyle w:val="39"/>
        <w:spacing w:line="360" w:lineRule="auto"/>
        <w:rPr>
          <w:color w:val="000000" w:themeColor="text1"/>
          <w14:textFill>
            <w14:solidFill>
              <w14:schemeClr w14:val="tx1"/>
            </w14:solidFill>
          </w14:textFill>
        </w:rPr>
      </w:pPr>
      <w:r>
        <w:rPr>
          <w:rFonts w:hint="eastAsia" w:hAnsi="宋体"/>
          <w:b/>
          <w:color w:val="000000" w:themeColor="text1"/>
          <w:spacing w:val="0"/>
          <w:sz w:val="21"/>
          <w:szCs w:val="21"/>
          <w14:textFill>
            <w14:solidFill>
              <w14:schemeClr w14:val="tx1"/>
            </w14:solidFill>
          </w14:textFill>
        </w:rPr>
        <w:t>2、商务技术文件包括以下内容：</w:t>
      </w:r>
    </w:p>
    <w:p>
      <w:pPr>
        <w:tabs>
          <w:tab w:val="left" w:pos="518"/>
        </w:tabs>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（1）投标函(格式见附件三)；</w:t>
      </w:r>
    </w:p>
    <w:p>
      <w:pPr>
        <w:tabs>
          <w:tab w:val="left" w:pos="518"/>
        </w:tabs>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（2）法定代表人的身份证明或法定代表人授权书（投标人的代表若为非法定代表人的，必须提交法定代表人授权书，格式见附件四</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tabs>
          <w:tab w:val="left" w:pos="518"/>
        </w:tabs>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（3）投标人基本情况说明(格式见附件五)；</w:t>
      </w:r>
    </w:p>
    <w:p>
      <w:pPr>
        <w:tabs>
          <w:tab w:val="left" w:pos="518"/>
        </w:tabs>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（4）商务条款偏离表(格式见附件七)；</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（5）投标产品概况(格式见附件八)；</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（6）投标产品技术规格响应表（格式见附件九）；（附相关招标需求要求的证明材料）</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（7）设备附件清单(格式见附件十)；</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（8）投标人认为有必要提交的其他技术资信说明文件和资料 。</w:t>
      </w:r>
    </w:p>
    <w:p>
      <w:pPr>
        <w:snapToGrid w:val="0"/>
        <w:spacing w:line="360" w:lineRule="auto"/>
        <w:ind w:left="413"/>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3、报价文件包括以下内容：</w:t>
      </w:r>
    </w:p>
    <w:p>
      <w:pPr>
        <w:tabs>
          <w:tab w:val="left" w:pos="420"/>
        </w:tabs>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（1）开标一览表(格式见附件十二)；</w:t>
      </w:r>
    </w:p>
    <w:p>
      <w:pPr>
        <w:tabs>
          <w:tab w:val="left" w:pos="518"/>
        </w:tabs>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（2）投标分项报价表(格式见附件十三)；</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（3）中小企业声明函（若有，格式见附件十四）；</w:t>
      </w:r>
    </w:p>
    <w:p>
      <w:pPr>
        <w:snapToGrid w:val="0"/>
        <w:spacing w:line="360" w:lineRule="auto"/>
        <w:ind w:firstLine="525" w:firstLineChars="2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本项目为非专门面向中小企业采购的项目，如果供应商和制造商为小微企业，提供《中小企业声明函》。如未按照要求提供，将不得享受评标标准中注明的针对小微企业的价格扣除优惠；</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（4）残疾人福利性单位声明函（若有，格式见附件十五）。</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（5）投标人</w:t>
      </w:r>
      <w:r>
        <w:rPr>
          <w:rFonts w:ascii="宋体" w:hAnsi="宋体"/>
          <w:color w:val="000000" w:themeColor="text1"/>
          <w:szCs w:val="21"/>
          <w14:textFill>
            <w14:solidFill>
              <w14:schemeClr w14:val="tx1"/>
            </w14:solidFill>
          </w14:textFill>
        </w:rPr>
        <w:t>认为还须提供的其他文件。</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、上述组成投标文件的各项资料中本采购文件的有规定格式的，应统一按本采购文件的规定格式填写。未有规定格式的资料，投标人应自行编制，但至少要包含以上要求的内容。</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投标文件在提供对投标产品技术条款响应表的应答时，对采购文件有技术数值要求的参数，应以投标货物的具体技术数值据实应答；对于采购文件无数值要求的参数的应答，应作出明确、直接、无导致两种理解可能的应答。</w:t>
      </w:r>
    </w:p>
    <w:p>
      <w:pPr>
        <w:spacing w:line="360" w:lineRule="auto"/>
        <w:rPr>
          <w:rFonts w:ascii="宋体" w:hAnsi="宋体"/>
          <w:b/>
          <w:color w:val="000000" w:themeColor="text1"/>
          <w14:textFill>
            <w14:solidFill>
              <w14:schemeClr w14:val="tx1"/>
            </w14:solidFill>
          </w14:textFill>
        </w:rPr>
      </w:pPr>
      <w:bookmarkStart w:id="122" w:name="_Toc17884830"/>
      <w:bookmarkStart w:id="123" w:name="_Toc460416350"/>
      <w:bookmarkStart w:id="124" w:name="_Toc460416655"/>
      <w:bookmarkStart w:id="125" w:name="_Toc460857914"/>
      <w:r>
        <w:rPr>
          <w:rFonts w:hint="eastAsia" w:ascii="宋体" w:hAnsi="宋体"/>
          <w:b/>
          <w:color w:val="000000" w:themeColor="text1"/>
          <w14:textFill>
            <w14:solidFill>
              <w14:schemeClr w14:val="tx1"/>
            </w14:solidFill>
          </w14:textFill>
        </w:rPr>
        <w:t>（二）投标文件的语言及计量</w:t>
      </w:r>
      <w:bookmarkEnd w:id="122"/>
      <w:bookmarkEnd w:id="123"/>
      <w:bookmarkEnd w:id="124"/>
      <w:bookmarkEnd w:id="125"/>
    </w:p>
    <w:p>
      <w:pPr>
        <w:snapToGrid w:val="0"/>
        <w:spacing w:line="360" w:lineRule="auto"/>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*1、投标文件以及投标方与招标人就有关投标事宜的所有来往函电，均应以中文汉语书写。除签名、盖章、专用名称等特殊情形外，以中文汉语以外的文字表述的投标文件视同未提供。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*2、投标计量单位，采购文件已有明确规定的，使用采购文件规定的计量单位；采购文件没有规定的，应采用中华人民共和国法定计量单位（货币单位：人民币元），否则视同未响应。</w:t>
      </w:r>
    </w:p>
    <w:p>
      <w:pPr>
        <w:spacing w:line="360" w:lineRule="auto"/>
        <w:rPr>
          <w:rFonts w:ascii="宋体" w:hAnsi="宋体"/>
          <w:b/>
          <w:color w:val="000000" w:themeColor="text1"/>
          <w14:textFill>
            <w14:solidFill>
              <w14:schemeClr w14:val="tx1"/>
            </w14:solidFill>
          </w14:textFill>
        </w:rPr>
      </w:pPr>
      <w:bookmarkStart w:id="126" w:name="_Toc17884831"/>
      <w:bookmarkStart w:id="127" w:name="_Toc460416351"/>
      <w:bookmarkStart w:id="128" w:name="_Toc460857915"/>
      <w:bookmarkStart w:id="129" w:name="_Toc460416656"/>
      <w:r>
        <w:rPr>
          <w:rFonts w:hint="eastAsia" w:ascii="宋体" w:hAnsi="宋体"/>
          <w:b/>
          <w:color w:val="000000" w:themeColor="text1"/>
          <w14:textFill>
            <w14:solidFill>
              <w14:schemeClr w14:val="tx1"/>
            </w14:solidFill>
          </w14:textFill>
        </w:rPr>
        <w:t>（三）投标报价</w:t>
      </w:r>
      <w:bookmarkEnd w:id="126"/>
      <w:bookmarkEnd w:id="127"/>
      <w:bookmarkEnd w:id="128"/>
      <w:bookmarkEnd w:id="129"/>
    </w:p>
    <w:p>
      <w:pPr>
        <w:pStyle w:val="22"/>
        <w:snapToGrid w:val="0"/>
        <w:spacing w:beforeLines="0" w:afterLines="0" w:line="360" w:lineRule="auto"/>
        <w:ind w:firstLine="420" w:firstLineChars="20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1、投标报价应按采购文件中相关附表格式填写。</w:t>
      </w:r>
    </w:p>
    <w:p>
      <w:pPr>
        <w:tabs>
          <w:tab w:val="left" w:pos="525"/>
        </w:tabs>
        <w:snapToGrid w:val="0"/>
        <w:spacing w:line="360" w:lineRule="auto"/>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*2、投标文件只允许有一个报价，有选择的或有条件的报价将不予接受。</w:t>
      </w:r>
    </w:p>
    <w:p>
      <w:pPr>
        <w:spacing w:line="360" w:lineRule="auto"/>
        <w:rPr>
          <w:rFonts w:ascii="宋体" w:hAnsi="宋体"/>
          <w:b/>
          <w:color w:val="000000" w:themeColor="text1"/>
          <w14:textFill>
            <w14:solidFill>
              <w14:schemeClr w14:val="tx1"/>
            </w14:solidFill>
          </w14:textFill>
        </w:rPr>
      </w:pPr>
      <w:bookmarkStart w:id="130" w:name="_Toc17884832"/>
      <w:bookmarkStart w:id="131" w:name="_Toc460857916"/>
      <w:r>
        <w:rPr>
          <w:rFonts w:hint="eastAsia" w:ascii="宋体" w:hAnsi="宋体"/>
          <w:b/>
          <w:color w:val="000000" w:themeColor="text1"/>
          <w14:textFill>
            <w14:solidFill>
              <w14:schemeClr w14:val="tx1"/>
            </w14:solidFill>
          </w14:textFill>
        </w:rPr>
        <w:t>（四）投标文件的有效期</w:t>
      </w:r>
      <w:bookmarkEnd w:id="130"/>
      <w:bookmarkEnd w:id="131"/>
    </w:p>
    <w:p>
      <w:pPr>
        <w:pStyle w:val="12"/>
        <w:widowControl w:val="0"/>
        <w:tabs>
          <w:tab w:val="clear" w:pos="454"/>
        </w:tabs>
        <w:snapToGrid w:val="0"/>
        <w:spacing w:afterLines="0" w:line="360" w:lineRule="auto"/>
        <w:ind w:left="0" w:firstLine="422" w:firstLineChars="200"/>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*1、自投标截止日起</w:t>
      </w:r>
      <w:r>
        <w:rPr>
          <w:rFonts w:hint="eastAsia" w:ascii="宋体" w:hAnsi="宋体"/>
          <w:b/>
          <w:color w:val="000000" w:themeColor="text1"/>
          <w:sz w:val="21"/>
          <w:szCs w:val="21"/>
          <w:u w:val="single"/>
          <w14:textFill>
            <w14:solidFill>
              <w14:schemeClr w14:val="tx1"/>
            </w14:solidFill>
          </w14:textFill>
        </w:rPr>
        <w:t xml:space="preserve">90 </w:t>
      </w:r>
      <w:r>
        <w:rPr>
          <w:rFonts w:hint="eastAsia" w:ascii="宋体" w:hAnsi="宋体"/>
          <w:b/>
          <w:color w:val="000000" w:themeColor="text1"/>
          <w:sz w:val="21"/>
          <w:szCs w:val="21"/>
          <w14:textFill>
            <w14:solidFill>
              <w14:schemeClr w14:val="tx1"/>
            </w14:solidFill>
          </w14:textFill>
        </w:rPr>
        <w:t>天投标文件应保持有效。有效期不足的投标文件将被拒绝。</w:t>
      </w:r>
    </w:p>
    <w:p>
      <w:pPr>
        <w:pStyle w:val="12"/>
        <w:widowControl w:val="0"/>
        <w:tabs>
          <w:tab w:val="clear" w:pos="454"/>
        </w:tabs>
        <w:snapToGrid w:val="0"/>
        <w:spacing w:afterLines="0" w:line="360" w:lineRule="auto"/>
        <w:ind w:left="0"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2、在特殊情况下，招标人可与投标人协商延长投标书的有效期，这种要求和答复均以书面形式进行。</w:t>
      </w:r>
    </w:p>
    <w:p>
      <w:pPr>
        <w:pStyle w:val="12"/>
        <w:widowControl w:val="0"/>
        <w:tabs>
          <w:tab w:val="clear" w:pos="454"/>
        </w:tabs>
        <w:snapToGrid w:val="0"/>
        <w:spacing w:afterLines="0" w:line="360" w:lineRule="auto"/>
        <w:ind w:left="0" w:firstLine="420" w:firstLineChars="200"/>
        <w:rPr>
          <w:rFonts w:ascii="宋体" w:hAnsi="宋体"/>
          <w:color w:val="000000" w:themeColor="text1"/>
          <w:sz w:val="21"/>
          <w:szCs w:val="21"/>
          <w14:textFill>
            <w14:solidFill>
              <w14:schemeClr w14:val="tx1"/>
            </w14:solidFill>
          </w14:textFill>
        </w:rPr>
      </w:pPr>
      <w:bookmarkStart w:id="132" w:name="_Toc460416657"/>
      <w:bookmarkStart w:id="133" w:name="_Toc460416352"/>
      <w:r>
        <w:rPr>
          <w:rFonts w:hint="eastAsia" w:ascii="宋体" w:hAnsi="宋体"/>
          <w:color w:val="000000" w:themeColor="text1"/>
          <w:sz w:val="21"/>
          <w:szCs w:val="21"/>
          <w14:textFill>
            <w14:solidFill>
              <w14:schemeClr w14:val="tx1"/>
            </w14:solidFill>
          </w14:textFill>
        </w:rPr>
        <w:t>3</w:t>
      </w:r>
      <w:bookmarkEnd w:id="132"/>
      <w:bookmarkEnd w:id="133"/>
      <w:bookmarkStart w:id="134" w:name="_Toc460416658"/>
      <w:bookmarkStart w:id="135" w:name="_Toc460416353"/>
      <w:r>
        <w:rPr>
          <w:rFonts w:hint="eastAsia" w:ascii="宋体" w:hAnsi="宋体"/>
          <w:color w:val="000000" w:themeColor="text1"/>
          <w:sz w:val="21"/>
          <w:szCs w:val="21"/>
          <w14:textFill>
            <w14:solidFill>
              <w14:schemeClr w14:val="tx1"/>
            </w14:solidFill>
          </w14:textFill>
        </w:rPr>
        <w:t>、中标人的投标文件自开标之日起至合同履行完毕止均应保持有效。</w:t>
      </w:r>
      <w:bookmarkEnd w:id="134"/>
      <w:bookmarkEnd w:id="135"/>
    </w:p>
    <w:p>
      <w:pPr>
        <w:spacing w:line="360" w:lineRule="auto"/>
        <w:rPr>
          <w:rFonts w:ascii="宋体" w:hAnsi="宋体"/>
          <w:b/>
          <w:color w:val="000000" w:themeColor="text1"/>
          <w14:textFill>
            <w14:solidFill>
              <w14:schemeClr w14:val="tx1"/>
            </w14:solidFill>
          </w14:textFill>
        </w:rPr>
      </w:pPr>
      <w:bookmarkStart w:id="136" w:name="_Toc460416659"/>
      <w:bookmarkStart w:id="137" w:name="_Toc460416354"/>
      <w:bookmarkStart w:id="138" w:name="_Toc17884833"/>
      <w:bookmarkStart w:id="139" w:name="_Toc460857917"/>
      <w:r>
        <w:rPr>
          <w:rFonts w:hint="eastAsia" w:ascii="宋体" w:hAnsi="宋体"/>
          <w:b/>
          <w:color w:val="000000" w:themeColor="text1"/>
          <w14:textFill>
            <w14:solidFill>
              <w14:schemeClr w14:val="tx1"/>
            </w14:solidFill>
          </w14:textFill>
        </w:rPr>
        <w:t>（五）投标保证金</w:t>
      </w:r>
      <w:bookmarkEnd w:id="136"/>
      <w:bookmarkEnd w:id="137"/>
      <w:bookmarkEnd w:id="138"/>
      <w:bookmarkEnd w:id="139"/>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本项目无须缴纳投标保证金。</w:t>
      </w:r>
    </w:p>
    <w:p>
      <w:pPr>
        <w:spacing w:line="360" w:lineRule="auto"/>
        <w:rPr>
          <w:rFonts w:ascii="宋体" w:hAnsi="宋体"/>
          <w:b/>
          <w:color w:val="000000" w:themeColor="text1"/>
          <w14:textFill>
            <w14:solidFill>
              <w14:schemeClr w14:val="tx1"/>
            </w14:solidFill>
          </w14:textFill>
        </w:rPr>
      </w:pPr>
      <w:bookmarkStart w:id="140" w:name="_Toc17884834"/>
      <w:bookmarkStart w:id="141" w:name="_Toc460416355"/>
      <w:bookmarkStart w:id="142" w:name="_Toc460416660"/>
      <w:bookmarkStart w:id="143" w:name="_Toc460857918"/>
      <w:r>
        <w:rPr>
          <w:rFonts w:hint="eastAsia" w:ascii="宋体" w:hAnsi="宋体"/>
          <w:b/>
          <w:color w:val="000000" w:themeColor="text1"/>
          <w14:textFill>
            <w14:solidFill>
              <w14:schemeClr w14:val="tx1"/>
            </w14:solidFill>
          </w14:textFill>
        </w:rPr>
        <w:t>（六）投标文件的签署和份数</w:t>
      </w:r>
      <w:bookmarkEnd w:id="140"/>
      <w:bookmarkEnd w:id="141"/>
      <w:bookmarkEnd w:id="142"/>
      <w:bookmarkEnd w:id="143"/>
    </w:p>
    <w:p>
      <w:pPr>
        <w:spacing w:line="360" w:lineRule="auto"/>
        <w:ind w:firstLine="420"/>
        <w:rPr>
          <w:rFonts w:ascii="宋体" w:hAnsi="宋体"/>
          <w:bCs/>
          <w:color w:val="000000" w:themeColor="text1"/>
          <w14:textFill>
            <w14:solidFill>
              <w14:schemeClr w14:val="tx1"/>
            </w14:solidFill>
          </w14:textFill>
        </w:rPr>
      </w:pPr>
      <w:bookmarkStart w:id="144" w:name="_Toc460857919"/>
      <w:bookmarkStart w:id="145" w:name="_Toc17884835"/>
      <w:r>
        <w:rPr>
          <w:rFonts w:hint="eastAsia" w:ascii="宋体" w:hAnsi="宋体"/>
          <w:bCs/>
          <w:color w:val="000000" w:themeColor="text1"/>
          <w14:textFill>
            <w14:solidFill>
              <w14:schemeClr w14:val="tx1"/>
            </w14:solidFill>
          </w14:textFill>
        </w:rPr>
        <w:t>1、投标人应按本招标文件规定的格式和顺序编制、装订投标文件，投标文件要求有目录并标注页码，投标文件内容不完整、编排混乱导致投标文件被误读、漏读或者查找不到相关内容的，是投标人的责任。</w:t>
      </w:r>
    </w:p>
    <w:p>
      <w:pPr>
        <w:spacing w:line="360" w:lineRule="auto"/>
        <w:ind w:firstLine="42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2、投标文件的份数：</w:t>
      </w:r>
    </w:p>
    <w:p>
      <w:pPr>
        <w:spacing w:line="360" w:lineRule="auto"/>
        <w:ind w:firstLine="42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本项目实行网上投标，投标人应准备以下投标文件：</w:t>
      </w:r>
    </w:p>
    <w:p>
      <w:pPr>
        <w:spacing w:line="360" w:lineRule="auto"/>
        <w:ind w:firstLine="42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（1）上传到政府采购云平台的电子加密投标文件（</w:t>
      </w:r>
      <w:r>
        <w:rPr>
          <w:rFonts w:ascii="宋体" w:hAnsi="宋体"/>
          <w:bCs/>
          <w:color w:val="000000" w:themeColor="text1"/>
          <w14:textFill>
            <w14:solidFill>
              <w14:schemeClr w14:val="tx1"/>
            </w14:solidFill>
          </w14:textFill>
        </w:rPr>
        <w:t>”资格文件”、“商务和技术文件</w:t>
      </w:r>
      <w:r>
        <w:rPr>
          <w:rFonts w:hint="eastAsia" w:ascii="宋体" w:hAnsi="宋体"/>
          <w:bCs/>
          <w:color w:val="000000" w:themeColor="text1"/>
          <w14:textFill>
            <w14:solidFill>
              <w14:schemeClr w14:val="tx1"/>
            </w14:solidFill>
          </w14:textFill>
        </w:rPr>
        <w:t>”、“报价文件”）1份。</w:t>
      </w:r>
    </w:p>
    <w:p>
      <w:pPr>
        <w:spacing w:line="360" w:lineRule="auto"/>
        <w:ind w:firstLine="42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（2）投标人应根据政府采购云平台的要求及本招标文件规定的格式和顺序编制电子投标文件并进行关联定位。</w:t>
      </w:r>
    </w:p>
    <w:p>
      <w:pPr>
        <w:spacing w:line="360" w:lineRule="auto"/>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（七）投标文件的修改和撤回</w:t>
      </w:r>
      <w:bookmarkEnd w:id="144"/>
      <w:bookmarkEnd w:id="145"/>
    </w:p>
    <w:p>
      <w:pPr>
        <w:spacing w:line="360" w:lineRule="auto"/>
        <w:ind w:firstLine="420"/>
        <w:rPr>
          <w:rFonts w:ascii="宋体" w:hAnsi="宋体"/>
          <w:bCs/>
          <w:color w:val="000000" w:themeColor="text1"/>
          <w14:textFill>
            <w14:solidFill>
              <w14:schemeClr w14:val="tx1"/>
            </w14:solidFill>
          </w14:textFill>
        </w:rPr>
      </w:pPr>
      <w:bookmarkStart w:id="146" w:name="_Toc17884836"/>
      <w:bookmarkStart w:id="147" w:name="_Toc460416356"/>
      <w:bookmarkStart w:id="148" w:name="_Toc460857920"/>
      <w:bookmarkStart w:id="149" w:name="_Toc460416661"/>
      <w:r>
        <w:rPr>
          <w:rFonts w:hint="eastAsia" w:ascii="宋体" w:hAnsi="宋体"/>
          <w:bCs/>
          <w:color w:val="000000" w:themeColor="text1"/>
          <w14:textFill>
            <w14:solidFill>
              <w14:schemeClr w14:val="tx1"/>
            </w14:solidFill>
          </w14:textFill>
        </w:rPr>
        <w:t>投标人应当在投标截止时间前完成电子加密投标文件的传输递交，并可以补充、修改或者撤回电子加密投标文件。补充或者修改电子加密投标文件的，应当先行撤回原文件，补充、修改后重新传输递交。投标截止时间前未完成传输的，视为撤回投标文件。投标、响应截止时间后传输递交的投标、响应文件，将被拒收。</w:t>
      </w:r>
    </w:p>
    <w:p>
      <w:pPr>
        <w:spacing w:line="360" w:lineRule="auto"/>
        <w:ind w:firstLine="42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（八）投标文件的形式和效力</w:t>
      </w:r>
    </w:p>
    <w:p>
      <w:pPr>
        <w:spacing w:line="360" w:lineRule="auto"/>
        <w:ind w:firstLine="42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①“电子加密投标文件”是指通过“政采云电子交易客户端”完成投标文件编制后生成并加密的数据电文形式的投标文件（文件后缀为：jmbs）。</w:t>
      </w:r>
    </w:p>
    <w:p>
      <w:pPr>
        <w:spacing w:line="360" w:lineRule="auto"/>
        <w:ind w:firstLine="420"/>
        <w:rPr>
          <w:rFonts w:ascii="宋体" w:hAnsi="宋体"/>
          <w:bCs/>
          <w:color w:val="000000" w:themeColor="text1"/>
          <w14:textFill>
            <w14:solidFill>
              <w14:schemeClr w14:val="tx1"/>
            </w14:solidFill>
          </w14:textFill>
        </w:rPr>
      </w:pPr>
      <w:r>
        <w:rPr>
          <w:rFonts w:ascii="Calibri" w:hAnsi="Calibri" w:cs="Calibri"/>
          <w:bCs/>
          <w:color w:val="000000" w:themeColor="text1"/>
          <w14:textFill>
            <w14:solidFill>
              <w14:schemeClr w14:val="tx1"/>
            </w14:solidFill>
          </w14:textFill>
        </w:rPr>
        <w:t>②</w:t>
      </w:r>
      <w:r>
        <w:rPr>
          <w:rFonts w:hint="eastAsia" w:ascii="宋体" w:hAnsi="宋体"/>
          <w:bCs/>
          <w:color w:val="000000" w:themeColor="text1"/>
          <w14:textFill>
            <w14:solidFill>
              <w14:schemeClr w14:val="tx1"/>
            </w14:solidFill>
          </w14:textFill>
        </w:rPr>
        <w:t>采购过程中出现以下情形，导致电子交易平台无法正常运行，或者无法保证电子交易的公平、公正和安全时，采购人（或代理机构）可中止电子交易活动：</w:t>
      </w:r>
    </w:p>
    <w:p>
      <w:pPr>
        <w:spacing w:line="360" w:lineRule="auto"/>
        <w:ind w:firstLine="42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A.“政府采购云平台”发生故障而无法登录访问的；</w:t>
      </w:r>
    </w:p>
    <w:p>
      <w:pPr>
        <w:spacing w:line="360" w:lineRule="auto"/>
        <w:ind w:firstLine="42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B.“政府采购云平台”应用或数据库出现错误，不能进行正常操作的；</w:t>
      </w:r>
    </w:p>
    <w:p>
      <w:pPr>
        <w:spacing w:line="360" w:lineRule="auto"/>
        <w:ind w:firstLine="42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C.“政府采购云平台”发现严重安全漏洞，有潜在泄密危险的；</w:t>
      </w:r>
    </w:p>
    <w:p>
      <w:pPr>
        <w:spacing w:line="360" w:lineRule="auto"/>
        <w:ind w:firstLine="42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D.病毒发作导致不能进行正常操作的；</w:t>
      </w:r>
    </w:p>
    <w:p>
      <w:pPr>
        <w:spacing w:line="360" w:lineRule="auto"/>
        <w:ind w:firstLine="42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E.其他无法保证电子交易的公平、公正和安全的情况。</w:t>
      </w:r>
    </w:p>
    <w:p>
      <w:pPr>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出现前款规定情形，不影响采购公平、公正性的，采购组织机构可以待上述情形消除后继续组织电子交易活动；影响或可能影响采购公平、公正性的，应当重新采购。</w:t>
      </w:r>
    </w:p>
    <w:p>
      <w:pPr>
        <w:spacing w:line="360" w:lineRule="auto"/>
        <w:ind w:firstLine="42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（九）投标无效的情形</w:t>
      </w:r>
      <w:bookmarkEnd w:id="146"/>
      <w:bookmarkEnd w:id="147"/>
      <w:bookmarkEnd w:id="148"/>
      <w:bookmarkEnd w:id="149"/>
    </w:p>
    <w:p>
      <w:pPr>
        <w:snapToGri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实质上没有响应采购文件要求的投标将被视为无效投标。投标人不得通过修正或撤销不合要求的偏离或保留从而使其投标成为实质上响应的投标。投标无效情形详见第四章《评标办法及评分标准》。</w:t>
      </w:r>
    </w:p>
    <w:p>
      <w:pPr>
        <w:spacing w:line="360" w:lineRule="auto"/>
        <w:rPr>
          <w:rFonts w:ascii="宋体" w:hAnsi="宋体"/>
          <w:b/>
          <w:color w:val="000000" w:themeColor="text1"/>
          <w14:textFill>
            <w14:solidFill>
              <w14:schemeClr w14:val="tx1"/>
            </w14:solidFill>
          </w14:textFill>
        </w:rPr>
      </w:pPr>
      <w:bookmarkStart w:id="150" w:name="_Toc17884840"/>
      <w:bookmarkStart w:id="151" w:name="_Toc460416663"/>
      <w:bookmarkStart w:id="152" w:name="_Toc460857924"/>
      <w:bookmarkStart w:id="153" w:name="_Toc460416358"/>
      <w:r>
        <w:rPr>
          <w:rFonts w:hint="eastAsia" w:ascii="宋体" w:hAnsi="宋体"/>
          <w:b/>
          <w:color w:val="000000" w:themeColor="text1"/>
          <w14:textFill>
            <w14:solidFill>
              <w14:schemeClr w14:val="tx1"/>
            </w14:solidFill>
          </w14:textFill>
        </w:rPr>
        <w:t>四、评标</w:t>
      </w:r>
      <w:bookmarkEnd w:id="150"/>
      <w:bookmarkEnd w:id="151"/>
      <w:bookmarkEnd w:id="152"/>
      <w:bookmarkEnd w:id="153"/>
    </w:p>
    <w:p>
      <w:pPr>
        <w:spacing w:line="360" w:lineRule="auto"/>
        <w:rPr>
          <w:rFonts w:ascii="宋体" w:hAnsi="宋体"/>
          <w:b/>
          <w:color w:val="000000" w:themeColor="text1"/>
          <w14:textFill>
            <w14:solidFill>
              <w14:schemeClr w14:val="tx1"/>
            </w14:solidFill>
          </w14:textFill>
        </w:rPr>
      </w:pPr>
      <w:bookmarkStart w:id="154" w:name="_Toc17884841"/>
      <w:bookmarkStart w:id="155" w:name="_Toc460857925"/>
      <w:r>
        <w:rPr>
          <w:rFonts w:hint="eastAsia" w:ascii="宋体" w:hAnsi="宋体"/>
          <w:b/>
          <w:color w:val="000000" w:themeColor="text1"/>
          <w14:textFill>
            <w14:solidFill>
              <w14:schemeClr w14:val="tx1"/>
            </w14:solidFill>
          </w14:textFill>
        </w:rPr>
        <w:t>（一）组建评标委员会</w:t>
      </w:r>
      <w:bookmarkEnd w:id="154"/>
      <w:bookmarkEnd w:id="155"/>
    </w:p>
    <w:p>
      <w:pPr>
        <w:pStyle w:val="22"/>
        <w:snapToGrid w:val="0"/>
        <w:spacing w:beforeLines="0" w:afterLines="0" w:line="360" w:lineRule="auto"/>
        <w:ind w:firstLine="420" w:firstLineChars="20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本项目评标委员会依法组建。</w:t>
      </w:r>
    </w:p>
    <w:p>
      <w:pPr>
        <w:spacing w:line="360" w:lineRule="auto"/>
        <w:rPr>
          <w:rFonts w:ascii="宋体" w:hAnsi="宋体"/>
          <w:b/>
          <w:color w:val="000000" w:themeColor="text1"/>
          <w14:textFill>
            <w14:solidFill>
              <w14:schemeClr w14:val="tx1"/>
            </w14:solidFill>
          </w14:textFill>
        </w:rPr>
      </w:pPr>
      <w:bookmarkStart w:id="156" w:name="_Toc17884842"/>
      <w:bookmarkStart w:id="157" w:name="_Toc460857926"/>
      <w:r>
        <w:rPr>
          <w:rFonts w:hint="eastAsia" w:ascii="宋体" w:hAnsi="宋体"/>
          <w:b/>
          <w:color w:val="000000" w:themeColor="text1"/>
          <w14:textFill>
            <w14:solidFill>
              <w14:schemeClr w14:val="tx1"/>
            </w14:solidFill>
          </w14:textFill>
        </w:rPr>
        <w:t>（二）评标的方式</w:t>
      </w:r>
      <w:bookmarkEnd w:id="156"/>
      <w:bookmarkEnd w:id="157"/>
    </w:p>
    <w:p>
      <w:pPr>
        <w:pStyle w:val="22"/>
        <w:snapToGrid w:val="0"/>
        <w:spacing w:beforeLines="0" w:afterLines="0" w:line="360" w:lineRule="auto"/>
        <w:ind w:left="689" w:leftChars="228" w:hanging="210" w:hangingChars="10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本项目采用不公开方式评标，评标的依据为采购文件和投标文件。</w:t>
      </w:r>
    </w:p>
    <w:p>
      <w:pPr>
        <w:spacing w:line="360" w:lineRule="auto"/>
        <w:rPr>
          <w:rFonts w:ascii="宋体" w:hAnsi="宋体"/>
          <w:b/>
          <w:color w:val="000000" w:themeColor="text1"/>
          <w14:textFill>
            <w14:solidFill>
              <w14:schemeClr w14:val="tx1"/>
            </w14:solidFill>
          </w14:textFill>
        </w:rPr>
      </w:pPr>
      <w:bookmarkStart w:id="158" w:name="_Toc17884843"/>
      <w:bookmarkStart w:id="159" w:name="_Toc460857927"/>
      <w:r>
        <w:rPr>
          <w:rFonts w:hint="eastAsia" w:ascii="宋体" w:hAnsi="宋体"/>
          <w:b/>
          <w:color w:val="000000" w:themeColor="text1"/>
          <w14:textFill>
            <w14:solidFill>
              <w14:schemeClr w14:val="tx1"/>
            </w14:solidFill>
          </w14:textFill>
        </w:rPr>
        <w:t>（三）评标程序</w:t>
      </w:r>
      <w:bookmarkEnd w:id="158"/>
      <w:bookmarkEnd w:id="159"/>
    </w:p>
    <w:p>
      <w:pPr>
        <w:snapToGrid w:val="0"/>
        <w:spacing w:line="360" w:lineRule="auto"/>
        <w:ind w:firstLine="413" w:firstLineChars="196"/>
        <w:jc w:val="lef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1、资格审查</w:t>
      </w:r>
    </w:p>
    <w:p>
      <w:pPr>
        <w:snapToGrid w:val="0"/>
        <w:spacing w:line="360" w:lineRule="auto"/>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招标代理机构工作人员对投标人的资格</w:t>
      </w:r>
      <w:r>
        <w:rPr>
          <w:rFonts w:ascii="宋体" w:hAnsi="宋体"/>
          <w:color w:val="000000" w:themeColor="text1"/>
          <w:szCs w:val="21"/>
          <w14:textFill>
            <w14:solidFill>
              <w14:schemeClr w14:val="tx1"/>
            </w14:solidFill>
          </w14:textFill>
        </w:rPr>
        <w:t>进行审查。</w:t>
      </w:r>
    </w:p>
    <w:p>
      <w:pPr>
        <w:snapToGrid w:val="0"/>
        <w:spacing w:line="360" w:lineRule="auto"/>
        <w:ind w:firstLine="413" w:firstLineChars="196"/>
        <w:jc w:val="lef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2、符合性审查与比较</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（1）评标委员会审查投标文件的实质性内容是否符合采购文件的实质性要求。</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（2）评标委员会将根据投标人的投标文件进行审查、核对,如有疑问,将对投标人进行询标，投标人要向评标委员会澄清有关问题,并最终以书面形式进行答复。</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投标人代表未到场或者拒绝澄清或者澄清的内容改变了投标文件的实质性内容的，评标委员会有权对该投标文件作出不利于投标人的评判。</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（3）各投标人的技术商务得分为所有评委的有效评分的算术平均数，由指定专人进行计算复核。</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（4）采购代理机构工作人员协助评标委员会根据本项目的评分标准计算各投标人的商务报价得分。</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（5）评标委员会完成评标后,评委对各部分得分汇总,计算出本项目最终得分。评标委员会按评标原则推荐中标候选人同时起草评标报告。</w:t>
      </w:r>
    </w:p>
    <w:p>
      <w:pPr>
        <w:spacing w:line="360" w:lineRule="auto"/>
        <w:rPr>
          <w:rFonts w:ascii="宋体" w:hAnsi="宋体"/>
          <w:b/>
          <w:color w:val="000000" w:themeColor="text1"/>
          <w14:textFill>
            <w14:solidFill>
              <w14:schemeClr w14:val="tx1"/>
            </w14:solidFill>
          </w14:textFill>
        </w:rPr>
      </w:pPr>
      <w:bookmarkStart w:id="160" w:name="_Toc17884844"/>
      <w:bookmarkStart w:id="161" w:name="_Toc460857928"/>
      <w:r>
        <w:rPr>
          <w:rFonts w:hint="eastAsia" w:ascii="宋体" w:hAnsi="宋体"/>
          <w:b/>
          <w:color w:val="000000" w:themeColor="text1"/>
          <w14:textFill>
            <w14:solidFill>
              <w14:schemeClr w14:val="tx1"/>
            </w14:solidFill>
          </w14:textFill>
        </w:rPr>
        <w:t>（四）澄清问题的形式</w:t>
      </w:r>
      <w:bookmarkEnd w:id="160"/>
      <w:bookmarkEnd w:id="161"/>
    </w:p>
    <w:p>
      <w:pPr>
        <w:widowControl/>
        <w:spacing w:line="360" w:lineRule="auto"/>
        <w:ind w:firstLine="420" w:firstLineChars="200"/>
        <w:jc w:val="left"/>
        <w:outlineLvl w:val="1"/>
        <w:rPr>
          <w:rFonts w:ascii="宋体" w:hAnsi="宋体"/>
          <w:color w:val="000000" w:themeColor="text1"/>
          <w:szCs w:val="21"/>
          <w14:textFill>
            <w14:solidFill>
              <w14:schemeClr w14:val="tx1"/>
            </w14:solidFill>
          </w14:textFill>
        </w:rPr>
      </w:pPr>
      <w:bookmarkStart w:id="162" w:name="_Toc497898868"/>
      <w:bookmarkStart w:id="163" w:name="_Toc17884845"/>
      <w:bookmarkStart w:id="164" w:name="_Toc460857930"/>
      <w:r>
        <w:rPr>
          <w:rFonts w:hint="eastAsia" w:ascii="宋体" w:hAnsi="宋体"/>
          <w:color w:val="000000" w:themeColor="text1"/>
          <w:szCs w:val="21"/>
          <w14:textFill>
            <w14:solidFill>
              <w14:schemeClr w14:val="tx1"/>
            </w14:solidFill>
          </w14:textFill>
        </w:rPr>
        <w:t>对于投标文件中含义不明确、同类问题表述不一致或者有明显文字和计算错误的内容，评标委员会可要求</w:t>
      </w:r>
      <w:r>
        <w:rPr>
          <w:rFonts w:ascii="宋体" w:hAnsi="宋体"/>
          <w:color w:val="000000" w:themeColor="text1"/>
          <w:szCs w:val="21"/>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以书面形式作出必要的澄清、说明或者补正。</w:t>
      </w:r>
      <w:bookmarkEnd w:id="162"/>
    </w:p>
    <w:p>
      <w:pPr>
        <w:widowControl/>
        <w:spacing w:line="360" w:lineRule="auto"/>
        <w:ind w:firstLine="420" w:firstLineChars="200"/>
        <w:jc w:val="left"/>
        <w:outlineLvl w:val="1"/>
        <w:rPr>
          <w:rFonts w:ascii="宋体" w:hAnsi="宋体"/>
          <w:color w:val="000000" w:themeColor="text1"/>
          <w:szCs w:val="21"/>
          <w14:textFill>
            <w14:solidFill>
              <w14:schemeClr w14:val="tx1"/>
            </w14:solidFill>
          </w14:textFill>
        </w:rPr>
      </w:pPr>
      <w:bookmarkStart w:id="165" w:name="_Toc497898869"/>
      <w:r>
        <w:rPr>
          <w:rFonts w:ascii="宋体" w:hAnsi="宋体"/>
          <w:color w:val="000000" w:themeColor="text1"/>
          <w:szCs w:val="21"/>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的澄清、说明或者补正应当采用书面形式，并加盖公章，或者由法定代表人或其授权代表签字确认，</w:t>
      </w:r>
      <w:r>
        <w:rPr>
          <w:rFonts w:ascii="宋体" w:hAnsi="宋体"/>
          <w:color w:val="000000" w:themeColor="text1"/>
          <w:szCs w:val="21"/>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的澄清、说明或者补正不得超出投标文件的范围或者改变投标文件的实质性内容。</w:t>
      </w:r>
      <w:bookmarkEnd w:id="165"/>
    </w:p>
    <w:p>
      <w:pPr>
        <w:widowControl/>
        <w:spacing w:line="360" w:lineRule="auto"/>
        <w:jc w:val="left"/>
        <w:outlineLvl w:val="1"/>
        <w:rPr>
          <w:rFonts w:ascii="宋体" w:hAnsi="宋体"/>
          <w:b/>
          <w:color w:val="000000" w:themeColor="text1"/>
          <w:szCs w:val="28"/>
          <w14:textFill>
            <w14:solidFill>
              <w14:schemeClr w14:val="tx1"/>
            </w14:solidFill>
          </w14:textFill>
        </w:rPr>
      </w:pPr>
      <w:bookmarkStart w:id="166" w:name="_Toc497898870"/>
      <w:r>
        <w:rPr>
          <w:rFonts w:hint="eastAsia" w:ascii="宋体" w:hAnsi="宋体"/>
          <w:b/>
          <w:color w:val="000000" w:themeColor="text1"/>
          <w:szCs w:val="28"/>
          <w14:textFill>
            <w14:solidFill>
              <w14:schemeClr w14:val="tx1"/>
            </w14:solidFill>
          </w14:textFill>
        </w:rPr>
        <w:t>（五）、错误修正</w:t>
      </w:r>
      <w:bookmarkEnd w:id="166"/>
    </w:p>
    <w:p>
      <w:pPr>
        <w:pStyle w:val="123"/>
        <w:widowControl/>
        <w:spacing w:beforeLines="0" w:afterLines="0" w:line="360" w:lineRule="auto"/>
        <w:ind w:left="689" w:leftChars="228" w:hanging="210" w:hangingChars="10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投标文件报价出现前后不一致的，除采购文件另有规定外，按照下列规定修正：</w:t>
      </w:r>
    </w:p>
    <w:p>
      <w:pPr>
        <w:pStyle w:val="22"/>
        <w:snapToGrid w:val="0"/>
        <w:spacing w:beforeLines="0" w:afterLines="0" w:line="360" w:lineRule="auto"/>
        <w:ind w:firstLine="420" w:firstLineChars="20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1、投标文件中开标一览表（报价表）内容与投标文件中相应内容不一致的，以开标一览表（报价表）为准；</w:t>
      </w:r>
    </w:p>
    <w:p>
      <w:pPr>
        <w:pStyle w:val="22"/>
        <w:snapToGrid w:val="0"/>
        <w:spacing w:beforeLines="0" w:afterLines="0" w:line="360" w:lineRule="auto"/>
        <w:ind w:firstLine="420" w:firstLineChars="20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2、大写金额和小写金额不一致的，以大写金额为准；</w:t>
      </w:r>
    </w:p>
    <w:p>
      <w:pPr>
        <w:pStyle w:val="22"/>
        <w:snapToGrid w:val="0"/>
        <w:spacing w:beforeLines="0" w:afterLines="0" w:line="360" w:lineRule="auto"/>
        <w:ind w:firstLine="420" w:firstLineChars="20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3、单价金额小数点或者百分比有明显错位的，以开标一览表的总价为准，并修改单价；</w:t>
      </w:r>
    </w:p>
    <w:p>
      <w:pPr>
        <w:pStyle w:val="22"/>
        <w:snapToGrid w:val="0"/>
        <w:spacing w:beforeLines="0" w:afterLines="0" w:line="360" w:lineRule="auto"/>
        <w:ind w:firstLine="420" w:firstLineChars="20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4、总价金额与按单价汇总金额不一致的，以单价金额计算结果为准；</w:t>
      </w:r>
    </w:p>
    <w:p>
      <w:pPr>
        <w:pStyle w:val="123"/>
        <w:widowControl/>
        <w:spacing w:beforeLines="0" w:afterLines="0" w:line="360" w:lineRule="auto"/>
        <w:ind w:firstLine="422" w:firstLineChars="200"/>
        <w:jc w:val="left"/>
        <w:rPr>
          <w:rFonts w:hAnsi="宋体"/>
          <w:color w:val="000000" w:themeColor="text1"/>
          <w:sz w:val="21"/>
          <w:szCs w:val="21"/>
          <w14:textFill>
            <w14:solidFill>
              <w14:schemeClr w14:val="tx1"/>
            </w14:solidFill>
          </w14:textFill>
        </w:rPr>
      </w:pPr>
      <w:r>
        <w:rPr>
          <w:rFonts w:hint="eastAsia" w:hAnsi="宋体"/>
          <w:b/>
          <w:bCs/>
          <w:color w:val="000000" w:themeColor="text1"/>
          <w:sz w:val="21"/>
          <w:szCs w:val="21"/>
          <w14:textFill>
            <w14:solidFill>
              <w14:schemeClr w14:val="tx1"/>
            </w14:solidFill>
          </w14:textFill>
        </w:rPr>
        <w:t>同时出现两种以上不一致的，按照前款规定的顺序修正。修正后的报价经</w:t>
      </w:r>
      <w:r>
        <w:rPr>
          <w:rFonts w:hAnsi="宋体"/>
          <w:b/>
          <w:bCs/>
          <w:color w:val="000000" w:themeColor="text1"/>
          <w:sz w:val="21"/>
          <w:szCs w:val="21"/>
          <w14:textFill>
            <w14:solidFill>
              <w14:schemeClr w14:val="tx1"/>
            </w14:solidFill>
          </w14:textFill>
        </w:rPr>
        <w:t>投标人</w:t>
      </w:r>
      <w:r>
        <w:rPr>
          <w:rFonts w:hint="eastAsia" w:hAnsi="宋体"/>
          <w:b/>
          <w:bCs/>
          <w:color w:val="000000" w:themeColor="text1"/>
          <w:sz w:val="21"/>
          <w:szCs w:val="21"/>
          <w14:textFill>
            <w14:solidFill>
              <w14:schemeClr w14:val="tx1"/>
            </w14:solidFill>
          </w14:textFill>
        </w:rPr>
        <w:t>确认后具有约束力，若</w:t>
      </w:r>
      <w:r>
        <w:rPr>
          <w:rFonts w:hAnsi="宋体"/>
          <w:b/>
          <w:bCs/>
          <w:color w:val="000000" w:themeColor="text1"/>
          <w:sz w:val="21"/>
          <w:szCs w:val="21"/>
          <w14:textFill>
            <w14:solidFill>
              <w14:schemeClr w14:val="tx1"/>
            </w14:solidFill>
          </w14:textFill>
        </w:rPr>
        <w:t>投标人</w:t>
      </w:r>
      <w:r>
        <w:rPr>
          <w:rFonts w:hint="eastAsia" w:hAnsi="宋体"/>
          <w:b/>
          <w:bCs/>
          <w:color w:val="000000" w:themeColor="text1"/>
          <w:sz w:val="21"/>
          <w:szCs w:val="21"/>
          <w14:textFill>
            <w14:solidFill>
              <w14:schemeClr w14:val="tx1"/>
            </w14:solidFill>
          </w14:textFill>
        </w:rPr>
        <w:t>不确认的，则其投标无效。</w:t>
      </w:r>
    </w:p>
    <w:p>
      <w:pPr>
        <w:spacing w:line="360" w:lineRule="auto"/>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（六）评标原则和评标办法</w:t>
      </w:r>
      <w:bookmarkEnd w:id="163"/>
      <w:bookmarkEnd w:id="164"/>
    </w:p>
    <w:p>
      <w:pPr>
        <w:pStyle w:val="22"/>
        <w:snapToGrid w:val="0"/>
        <w:spacing w:beforeLines="0" w:afterLines="0" w:line="360" w:lineRule="auto"/>
        <w:ind w:firstLine="420" w:firstLineChars="20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2"/>
        <w:snapToGrid w:val="0"/>
        <w:spacing w:beforeLines="0" w:afterLines="0" w:line="360" w:lineRule="auto"/>
        <w:ind w:firstLine="420" w:firstLineChars="20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2、评标办法。本项目评标办法是</w:t>
      </w:r>
      <w:r>
        <w:rPr>
          <w:rFonts w:hint="eastAsia" w:hAnsi="宋体"/>
          <w:color w:val="000000" w:themeColor="text1"/>
          <w:sz w:val="21"/>
          <w:szCs w:val="21"/>
          <w:u w:val="single"/>
          <w14:textFill>
            <w14:solidFill>
              <w14:schemeClr w14:val="tx1"/>
            </w14:solidFill>
          </w14:textFill>
        </w:rPr>
        <w:t xml:space="preserve"> 综合评分法 </w:t>
      </w:r>
      <w:r>
        <w:rPr>
          <w:rFonts w:hint="eastAsia" w:hAnsi="宋体"/>
          <w:color w:val="000000" w:themeColor="text1"/>
          <w:sz w:val="21"/>
          <w:szCs w:val="21"/>
          <w14:textFill>
            <w14:solidFill>
              <w14:schemeClr w14:val="tx1"/>
            </w14:solidFill>
          </w14:textFill>
        </w:rPr>
        <w:t>，具体评标内容及评分标准等详见《第四章 评标办法及评分标准》。</w:t>
      </w:r>
    </w:p>
    <w:p>
      <w:pPr>
        <w:spacing w:line="360" w:lineRule="auto"/>
        <w:rPr>
          <w:rFonts w:ascii="宋体" w:hAnsi="宋体"/>
          <w:b/>
          <w:color w:val="000000" w:themeColor="text1"/>
          <w14:textFill>
            <w14:solidFill>
              <w14:schemeClr w14:val="tx1"/>
            </w14:solidFill>
          </w14:textFill>
        </w:rPr>
      </w:pPr>
      <w:bookmarkStart w:id="167" w:name="_Toc17884846"/>
      <w:bookmarkStart w:id="168" w:name="_Toc460857931"/>
      <w:r>
        <w:rPr>
          <w:rFonts w:hint="eastAsia" w:ascii="宋体" w:hAnsi="宋体"/>
          <w:b/>
          <w:color w:val="000000" w:themeColor="text1"/>
          <w14:textFill>
            <w14:solidFill>
              <w14:schemeClr w14:val="tx1"/>
            </w14:solidFill>
          </w14:textFill>
        </w:rPr>
        <w:t>五、</w:t>
      </w:r>
      <w:bookmarkEnd w:id="167"/>
      <w:bookmarkEnd w:id="168"/>
      <w:r>
        <w:rPr>
          <w:rFonts w:hint="eastAsia" w:ascii="宋体" w:hAnsi="宋体"/>
          <w:b/>
          <w:color w:val="000000" w:themeColor="text1"/>
          <w14:textFill>
            <w14:solidFill>
              <w14:schemeClr w14:val="tx1"/>
            </w14:solidFill>
          </w14:textFill>
        </w:rPr>
        <w:t>项目终止</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bookmarkStart w:id="169" w:name="_Toc460857932"/>
      <w:r>
        <w:rPr>
          <w:rFonts w:hint="eastAsia" w:ascii="宋体" w:hAnsi="宋体"/>
          <w:color w:val="000000" w:themeColor="text1"/>
          <w:szCs w:val="21"/>
          <w14:textFill>
            <w14:solidFill>
              <w14:schemeClr w14:val="tx1"/>
            </w14:solidFill>
          </w14:textFill>
        </w:rPr>
        <w:t>政府采购的国内公开招标，采购响应截止时间或评审期间，出现参与采购响应或者对采购文件作出实质性响应的供应商不足3家的情况，招标人有权全部或部分终止招标。</w:t>
      </w:r>
    </w:p>
    <w:p>
      <w:pPr>
        <w:spacing w:line="360" w:lineRule="auto"/>
        <w:rPr>
          <w:rFonts w:ascii="宋体" w:hAnsi="宋体"/>
          <w:b/>
          <w:color w:val="000000" w:themeColor="text1"/>
          <w14:textFill>
            <w14:solidFill>
              <w14:schemeClr w14:val="tx1"/>
            </w14:solidFill>
          </w14:textFill>
        </w:rPr>
      </w:pPr>
      <w:bookmarkStart w:id="170" w:name="_Toc17884847"/>
      <w:r>
        <w:rPr>
          <w:rFonts w:hint="eastAsia" w:ascii="宋体" w:hAnsi="宋体"/>
          <w:b/>
          <w:color w:val="000000" w:themeColor="text1"/>
          <w14:textFill>
            <w14:solidFill>
              <w14:schemeClr w14:val="tx1"/>
            </w14:solidFill>
          </w14:textFill>
        </w:rPr>
        <w:t>六、定标</w:t>
      </w:r>
      <w:bookmarkEnd w:id="169"/>
      <w:bookmarkEnd w:id="170"/>
    </w:p>
    <w:p>
      <w:pPr>
        <w:spacing w:line="360" w:lineRule="auto"/>
        <w:rPr>
          <w:rFonts w:ascii="宋体" w:hAnsi="宋体"/>
          <w:b/>
          <w:color w:val="000000" w:themeColor="text1"/>
          <w14:textFill>
            <w14:solidFill>
              <w14:schemeClr w14:val="tx1"/>
            </w14:solidFill>
          </w14:textFill>
        </w:rPr>
      </w:pPr>
      <w:bookmarkStart w:id="171" w:name="_Toc460857933"/>
      <w:bookmarkStart w:id="172" w:name="_Toc17884848"/>
      <w:r>
        <w:rPr>
          <w:rFonts w:hint="eastAsia" w:ascii="宋体" w:hAnsi="宋体"/>
          <w:b/>
          <w:color w:val="000000" w:themeColor="text1"/>
          <w14:textFill>
            <w14:solidFill>
              <w14:schemeClr w14:val="tx1"/>
            </w14:solidFill>
          </w14:textFill>
        </w:rPr>
        <w:t>（一）确定中标人</w:t>
      </w:r>
      <w:bookmarkEnd w:id="171"/>
      <w:bookmarkEnd w:id="172"/>
    </w:p>
    <w:p>
      <w:pPr>
        <w:pStyle w:val="22"/>
        <w:widowControl/>
        <w:spacing w:beforeLines="0" w:afterLines="0" w:line="360" w:lineRule="auto"/>
        <w:ind w:firstLine="420" w:firstLineChars="200"/>
        <w:jc w:val="left"/>
        <w:rPr>
          <w:rFonts w:hAnsi="宋体"/>
          <w:color w:val="000000" w:themeColor="text1"/>
          <w:sz w:val="21"/>
          <w:szCs w:val="21"/>
          <w14:textFill>
            <w14:solidFill>
              <w14:schemeClr w14:val="tx1"/>
            </w14:solidFill>
          </w14:textFill>
        </w:rPr>
      </w:pPr>
      <w:bookmarkStart w:id="173" w:name="_Toc460416664"/>
      <w:bookmarkStart w:id="174" w:name="_Toc17884849"/>
      <w:bookmarkStart w:id="175" w:name="_Toc460857934"/>
      <w:bookmarkStart w:id="176" w:name="_Toc460416359"/>
      <w:r>
        <w:rPr>
          <w:rFonts w:hint="eastAsia" w:hAnsi="宋体"/>
          <w:color w:val="000000" w:themeColor="text1"/>
          <w:sz w:val="21"/>
          <w:szCs w:val="21"/>
          <w14:textFill>
            <w14:solidFill>
              <w14:schemeClr w14:val="tx1"/>
            </w14:solidFill>
          </w14:textFill>
        </w:rPr>
        <w:t>1、确定中标人。本项目由评标委员会推荐中标候选人，采购人不得在评标委员会推荐的中标候选人以外确定中标候选人。</w:t>
      </w:r>
    </w:p>
    <w:p>
      <w:pPr>
        <w:pStyle w:val="22"/>
        <w:widowControl/>
        <w:spacing w:beforeLines="0" w:afterLines="0" w:line="360" w:lineRule="auto"/>
        <w:ind w:firstLine="420" w:firstLineChars="20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22"/>
        <w:widowControl/>
        <w:spacing w:beforeLines="0" w:afterLines="0" w:line="360" w:lineRule="auto"/>
        <w:ind w:firstLine="420" w:firstLineChars="200"/>
        <w:jc w:val="left"/>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3</w:t>
      </w:r>
      <w:r>
        <w:rPr>
          <w:rFonts w:hint="eastAsia" w:hAnsi="宋体"/>
          <w:color w:val="000000" w:themeColor="text1"/>
          <w:sz w:val="21"/>
          <w:szCs w:val="21"/>
          <w14:textFill>
            <w14:solidFill>
              <w14:schemeClr w14:val="tx1"/>
            </w14:solidFill>
          </w14:textFill>
        </w:rPr>
        <w:t>、采购代理机构自中标人确定之日起2个工作日内，在发布招标公告的网站上对中标结果进行公示，中标结果公告期限为1个工作日。</w:t>
      </w:r>
    </w:p>
    <w:p>
      <w:pPr>
        <w:pStyle w:val="22"/>
        <w:widowControl/>
        <w:spacing w:beforeLines="0" w:afterLines="0" w:line="360" w:lineRule="auto"/>
        <w:ind w:firstLine="420" w:firstLineChars="200"/>
        <w:jc w:val="left"/>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4</w:t>
      </w:r>
      <w:r>
        <w:rPr>
          <w:rFonts w:hint="eastAsia" w:hAnsi="宋体"/>
          <w:color w:val="000000" w:themeColor="text1"/>
          <w:sz w:val="21"/>
          <w:szCs w:val="21"/>
          <w14:textFill>
            <w14:solidFill>
              <w14:schemeClr w14:val="tx1"/>
            </w14:solidFill>
          </w14:textFill>
        </w:rPr>
        <w:t>、凡发现中标人有下列行为之一的，将移交政府采购监督管理部门依法处理：</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提供虚假材料谋取中标的；</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采取不正当手段诋毁、排挤其他</w:t>
      </w:r>
      <w:r>
        <w:rPr>
          <w:rFonts w:ascii="宋体" w:hAnsi="宋体"/>
          <w:color w:val="000000" w:themeColor="text1"/>
          <w:szCs w:val="21"/>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的；</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与采购人、其他</w:t>
      </w:r>
      <w:r>
        <w:rPr>
          <w:rFonts w:ascii="宋体" w:hAnsi="宋体"/>
          <w:color w:val="000000" w:themeColor="text1"/>
          <w:szCs w:val="21"/>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或者采购代理机构工作人员恶意串通的；</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向采购人或采购代理机构人员行贿或者提供其他不正当利益的；</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拒绝有关部门监督检查或者提供虚假情况的；</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有法律、法规规定的其他损害采购人利益和社会公共利益情形的。</w:t>
      </w:r>
    </w:p>
    <w:p>
      <w:pPr>
        <w:widowControl/>
        <w:spacing w:line="360" w:lineRule="auto"/>
        <w:jc w:val="left"/>
        <w:outlineLvl w:val="1"/>
        <w:rPr>
          <w:rFonts w:ascii="宋体" w:hAnsi="宋体"/>
          <w:b/>
          <w:color w:val="000000" w:themeColor="text1"/>
          <w:szCs w:val="28"/>
          <w14:textFill>
            <w14:solidFill>
              <w14:schemeClr w14:val="tx1"/>
            </w14:solidFill>
          </w14:textFill>
        </w:rPr>
      </w:pPr>
      <w:bookmarkStart w:id="177" w:name="_Toc497898872"/>
      <w:r>
        <w:rPr>
          <w:rFonts w:hint="eastAsia" w:ascii="宋体" w:hAnsi="宋体"/>
          <w:b/>
          <w:color w:val="000000" w:themeColor="text1"/>
          <w:szCs w:val="28"/>
          <w14:textFill>
            <w14:solidFill>
              <w14:schemeClr w14:val="tx1"/>
            </w14:solidFill>
          </w14:textFill>
        </w:rPr>
        <w:t>七、评标过程的监控</w:t>
      </w:r>
      <w:bookmarkEnd w:id="177"/>
    </w:p>
    <w:p>
      <w:pPr>
        <w:snapToGrid w:val="0"/>
        <w:spacing w:line="360" w:lineRule="auto"/>
        <w:ind w:firstLine="420" w:firstLineChars="200"/>
        <w:jc w:val="left"/>
        <w:rPr>
          <w:rFonts w:ascii="宋体" w:hAnsi="宋体"/>
          <w:bCs/>
          <w:color w:val="000000" w:themeColor="text1"/>
          <w:szCs w:val="28"/>
          <w14:textFill>
            <w14:solidFill>
              <w14:schemeClr w14:val="tx1"/>
            </w14:solidFill>
          </w14:textFill>
        </w:rPr>
      </w:pPr>
      <w:bookmarkStart w:id="178" w:name="_Toc497898873"/>
      <w:r>
        <w:rPr>
          <w:rFonts w:hint="eastAsia" w:ascii="宋体" w:hAnsi="宋体"/>
          <w:color w:val="000000" w:themeColor="text1"/>
          <w:szCs w:val="21"/>
          <w14:textFill>
            <w14:solidFill>
              <w14:schemeClr w14:val="tx1"/>
            </w14:solidFill>
          </w14:textFill>
        </w:rPr>
        <w:t>本项目评标过程实行全程录音</w:t>
      </w:r>
      <w:r>
        <w:rPr>
          <w:rFonts w:hint="eastAsia" w:ascii="宋体" w:hAnsi="宋体"/>
          <w:bCs/>
          <w:color w:val="000000" w:themeColor="text1"/>
          <w:szCs w:val="28"/>
          <w14:textFill>
            <w14:solidFill>
              <w14:schemeClr w14:val="tx1"/>
            </w14:solidFill>
          </w14:textFill>
        </w:rPr>
        <w:t>、录像监控，</w:t>
      </w:r>
      <w:r>
        <w:rPr>
          <w:rFonts w:ascii="宋体" w:hAnsi="宋体"/>
          <w:bCs/>
          <w:color w:val="000000" w:themeColor="text1"/>
          <w:szCs w:val="28"/>
          <w14:textFill>
            <w14:solidFill>
              <w14:schemeClr w14:val="tx1"/>
            </w14:solidFill>
          </w14:textFill>
        </w:rPr>
        <w:t>投标人</w:t>
      </w:r>
      <w:r>
        <w:rPr>
          <w:rFonts w:hint="eastAsia" w:ascii="宋体" w:hAnsi="宋体"/>
          <w:bCs/>
          <w:color w:val="000000" w:themeColor="text1"/>
          <w:szCs w:val="28"/>
          <w14:textFill>
            <w14:solidFill>
              <w14:schemeClr w14:val="tx1"/>
            </w14:solidFill>
          </w14:textFill>
        </w:rPr>
        <w:t>在评标过程中所进行的试图影响评标结果的不公正活动，可能导致其投标被拒绝。</w:t>
      </w:r>
      <w:bookmarkEnd w:id="178"/>
    </w:p>
    <w:p>
      <w:pPr>
        <w:spacing w:line="360" w:lineRule="auto"/>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八、合同授予</w:t>
      </w:r>
      <w:bookmarkEnd w:id="173"/>
      <w:bookmarkEnd w:id="174"/>
      <w:bookmarkEnd w:id="175"/>
      <w:bookmarkEnd w:id="176"/>
    </w:p>
    <w:p>
      <w:pPr>
        <w:spacing w:line="360" w:lineRule="auto"/>
        <w:rPr>
          <w:rFonts w:ascii="宋体" w:hAnsi="宋体"/>
          <w:b/>
          <w:color w:val="000000" w:themeColor="text1"/>
          <w14:textFill>
            <w14:solidFill>
              <w14:schemeClr w14:val="tx1"/>
            </w14:solidFill>
          </w14:textFill>
        </w:rPr>
      </w:pPr>
      <w:bookmarkStart w:id="179" w:name="_Toc460857935"/>
      <w:bookmarkStart w:id="180" w:name="_Toc17884850"/>
      <w:r>
        <w:rPr>
          <w:rFonts w:hint="eastAsia" w:ascii="宋体" w:hAnsi="宋体"/>
          <w:b/>
          <w:color w:val="000000" w:themeColor="text1"/>
          <w14:textFill>
            <w14:solidFill>
              <w14:schemeClr w14:val="tx1"/>
            </w14:solidFill>
          </w14:textFill>
        </w:rPr>
        <w:t>（一）签订合同</w:t>
      </w:r>
      <w:bookmarkEnd w:id="179"/>
      <w:bookmarkEnd w:id="180"/>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1、采购人与中标人应当在《中标通知书》发出之日起</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日内签订政府采购合同。同时，采购代理机构对合同内容进行审查，如发现与采购结果和投标承诺内容不一致的，应予以纠正。</w:t>
      </w:r>
    </w:p>
    <w:p>
      <w:pPr>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2、中标人拖延、拒签合同的,将取消中标资格。</w:t>
      </w:r>
    </w:p>
    <w:p>
      <w:pPr>
        <w:spacing w:line="360" w:lineRule="auto"/>
        <w:rPr>
          <w:rFonts w:ascii="宋体" w:hAnsi="宋体"/>
          <w:b/>
          <w:color w:val="000000" w:themeColor="text1"/>
          <w14:textFill>
            <w14:solidFill>
              <w14:schemeClr w14:val="tx1"/>
            </w14:solidFill>
          </w14:textFill>
        </w:rPr>
      </w:pPr>
      <w:bookmarkStart w:id="181" w:name="_Toc460857936"/>
      <w:bookmarkStart w:id="182" w:name="_Toc17884851"/>
      <w:r>
        <w:rPr>
          <w:rFonts w:hint="eastAsia" w:ascii="宋体" w:hAnsi="宋体"/>
          <w:b/>
          <w:color w:val="000000" w:themeColor="text1"/>
          <w14:textFill>
            <w14:solidFill>
              <w14:schemeClr w14:val="tx1"/>
            </w14:solidFill>
          </w14:textFill>
        </w:rPr>
        <w:t>（二）履约保证金</w:t>
      </w:r>
      <w:bookmarkEnd w:id="181"/>
      <w:bookmarkEnd w:id="182"/>
    </w:p>
    <w:p>
      <w:pPr>
        <w:pStyle w:val="22"/>
        <w:snapToGrid w:val="0"/>
        <w:spacing w:beforeLines="0" w:afterLines="0" w:line="360" w:lineRule="auto"/>
        <w:ind w:firstLine="420" w:firstLineChars="20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1、中标人应按采购文件确定的履约保证金的金额，向采购人交纳履约保证金。</w:t>
      </w:r>
    </w:p>
    <w:p>
      <w:pPr>
        <w:pStyle w:val="22"/>
        <w:snapToGrid w:val="0"/>
        <w:spacing w:beforeLines="0" w:afterLines="0" w:line="360" w:lineRule="auto"/>
        <w:ind w:firstLine="420" w:firstLineChars="20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2、签订合同后，如中标人不按双方合同约定履约，则没收其全部履约保证金，履约保证金不足以赔偿损失的，按实际损失赔偿。</w:t>
      </w:r>
    </w:p>
    <w:p>
      <w:pPr>
        <w:spacing w:line="360" w:lineRule="auto"/>
        <w:rPr>
          <w:rFonts w:ascii="宋体" w:hAnsi="宋体"/>
          <w:b/>
          <w:color w:val="000000" w:themeColor="text1"/>
          <w14:textFill>
            <w14:solidFill>
              <w14:schemeClr w14:val="tx1"/>
            </w14:solidFill>
          </w14:textFill>
        </w:rPr>
      </w:pPr>
      <w:bookmarkStart w:id="183" w:name="_Toc17884852"/>
      <w:bookmarkStart w:id="184" w:name="_Toc460857937"/>
      <w:r>
        <w:rPr>
          <w:rFonts w:hint="eastAsia" w:ascii="宋体" w:hAnsi="宋体"/>
          <w:b/>
          <w:color w:val="000000" w:themeColor="text1"/>
          <w14:textFill>
            <w14:solidFill>
              <w14:schemeClr w14:val="tx1"/>
            </w14:solidFill>
          </w14:textFill>
        </w:rPr>
        <w:t>九、特别说明</w:t>
      </w:r>
      <w:bookmarkEnd w:id="183"/>
      <w:bookmarkEnd w:id="184"/>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1、本项目</w:t>
      </w:r>
      <w:r>
        <w:rPr>
          <w:rFonts w:hint="eastAsia"/>
          <w:color w:val="000000" w:themeColor="text1"/>
          <w:u w:val="single"/>
          <w14:textFill>
            <w14:solidFill>
              <w14:schemeClr w14:val="tx1"/>
            </w14:solidFill>
          </w14:textFill>
        </w:rPr>
        <w:t xml:space="preserve">  非  </w:t>
      </w:r>
      <w:r>
        <w:rPr>
          <w:rFonts w:hint="eastAsia"/>
          <w:color w:val="000000" w:themeColor="text1"/>
          <w14:textFill>
            <w14:solidFill>
              <w14:schemeClr w14:val="tx1"/>
            </w14:solidFill>
          </w14:textFill>
        </w:rPr>
        <w:t>专门面向中小企业采购。</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2、本项目对应的中小企业划分标准所属行业：</w:t>
      </w:r>
      <w:r>
        <w:rPr>
          <w:rFonts w:hint="eastAsia"/>
          <w:color w:val="000000" w:themeColor="text1"/>
          <w:u w:val="single"/>
          <w14:textFill>
            <w14:solidFill>
              <w14:schemeClr w14:val="tx1"/>
            </w14:solidFill>
          </w14:textFill>
        </w:rPr>
        <w:t xml:space="preserve">  </w:t>
      </w:r>
      <w:r>
        <w:rPr>
          <w:rFonts w:hint="eastAsia"/>
          <w:b/>
          <w:bCs/>
          <w:color w:val="000000" w:themeColor="text1"/>
          <w:u w:val="single"/>
          <w14:textFill>
            <w14:solidFill>
              <w14:schemeClr w14:val="tx1"/>
            </w14:solidFill>
          </w14:textFill>
        </w:rPr>
        <w:t>工业</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3、小微企业是指中华人民共和国境内依法设立，依据国务院批准的中小企业划分标准确定的小型企业和微型企业，但与大企业的负责人为同一人，或者与大企业存在直接控股、管理关系的除外。</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符合中小企业划分标准的个体工商户，在政府采购活动中视同中小企业。</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国务院批准的中小企业划分标准：具体见工信部联企业[2011]300号。</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4、在政府采购活动中，供应商提供的货物、工程或者服务符合下列情形的，可享受小型、微型企业（以下简称小微企业）的价格扣除：</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（1）在货物采购项目中，货物由小微企业制造，即货物由小微企业生产且使用该小微企业商号或者注册商标；</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（2）在工程采购项目中，工程由小微企业承建，即工程施工单位为小微企业；</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（3）在服务采购项目中，服务由小微企业承接，即提供服务的人员为小微企业依照《中华人民共和国劳动合同法》订立劳动合同的从业人员。</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以联合体形式参加政府采购活动，联合体各方均为小微企业的，联合体视同小微企业。</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5、在货物采购项目中，供应商提供的货物既有中小企业制造货物，也有大型企业制造货物的，不享受的小微企业价格扣除。</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6、本项目对符合《政府采购促进中小企业发展管理办法》（财库﹝2020）46号）规定的小微企业报价给予20%（工程项目为5%）的扣除，用扣除后的价格参加评审。</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6%（工程项目为2%）的扣除，用扣除后的价格参加评审。组成联合体或者接受分包的小微企业与联合体内其他企业、分包企业之间存在直接控股、管理关系的，不享受价格扣除优惠政策。</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7、小微企业应按照招标文件格式要求提供《中小企业声明函》。</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9、根据《关于促进残疾人就业政府采购政策的通知》（财库[2017]141号）规定，在政府采购活动中，残疾人福利性单位视同小型、微型企业。残疾人福利性单位参加政府采购活动时，提供《残疾人福利性单位声明函》。</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10、按规定享受扶持政策获得政府采购合同的，小微企业不得将合同分包给大中型企业，中型企业不得将合同分包给大型企业。</w:t>
      </w:r>
    </w:p>
    <w:p>
      <w:pPr>
        <w:spacing w:line="360" w:lineRule="auto"/>
        <w:ind w:firstLine="420"/>
        <w:rPr>
          <w:color w:val="000000" w:themeColor="text1"/>
          <w14:textFill>
            <w14:solidFill>
              <w14:schemeClr w14:val="tx1"/>
            </w14:solidFill>
          </w14:textFill>
        </w:rPr>
        <w:sectPr>
          <w:pgSz w:w="11907" w:h="16840"/>
          <w:pgMar w:top="1361" w:right="1474" w:bottom="1242" w:left="1474" w:header="720" w:footer="720" w:gutter="0"/>
          <w:cols w:space="720" w:num="1"/>
          <w:docGrid w:linePitch="285" w:charSpace="0"/>
        </w:sectPr>
      </w:pPr>
      <w:r>
        <w:rPr>
          <w:rFonts w:hint="eastAsia"/>
          <w:color w:val="000000" w:themeColor="text1"/>
          <w14:textFill>
            <w14:solidFill>
              <w14:schemeClr w14:val="tx1"/>
            </w14:solidFill>
          </w14:textFill>
        </w:rPr>
        <w:t>11、供应商按照《政府采购促进中小企业发展管理办法》（财库﹝2020﹞46号）规定提供声明函内容不实的，属于提供虚假材料谋取中标、成交，依照《中华人民共和国政府采购法》等国家有关规定追究相应责任。</w:t>
      </w:r>
    </w:p>
    <w:p>
      <w:pPr>
        <w:pStyle w:val="3"/>
        <w:spacing w:before="0" w:after="0" w:line="360" w:lineRule="auto"/>
        <w:jc w:val="center"/>
        <w:rPr>
          <w:rFonts w:ascii="宋体" w:hAnsi="宋体"/>
          <w:b w:val="0"/>
          <w:bCs w:val="0"/>
          <w:color w:val="000000" w:themeColor="text1"/>
          <w:sz w:val="28"/>
          <w:szCs w:val="28"/>
          <w14:textFill>
            <w14:solidFill>
              <w14:schemeClr w14:val="tx1"/>
            </w14:solidFill>
          </w14:textFill>
        </w:rPr>
      </w:pPr>
      <w:bookmarkStart w:id="185" w:name="_Toc29961"/>
      <w:r>
        <w:rPr>
          <w:rFonts w:hint="eastAsia" w:ascii="宋体" w:hAnsi="宋体"/>
          <w:color w:val="000000" w:themeColor="text1"/>
          <w:sz w:val="30"/>
          <w14:textFill>
            <w14:solidFill>
              <w14:schemeClr w14:val="tx1"/>
            </w14:solidFill>
          </w14:textFill>
        </w:rPr>
        <w:t>第四章  评标办法及评分标准</w:t>
      </w:r>
      <w:bookmarkEnd w:id="185"/>
    </w:p>
    <w:p>
      <w:pPr>
        <w:spacing w:line="360" w:lineRule="auto"/>
        <w:ind w:firstLine="420" w:firstLineChars="200"/>
        <w:rPr>
          <w:rFonts w:ascii="宋体" w:hAnsi="宋体" w:cs="宋体"/>
          <w:color w:val="000000" w:themeColor="text1"/>
          <w:szCs w:val="21"/>
          <w14:textFill>
            <w14:solidFill>
              <w14:schemeClr w14:val="tx1"/>
            </w14:solidFill>
          </w14:textFill>
        </w:rPr>
      </w:pPr>
    </w:p>
    <w:p>
      <w:pPr>
        <w:pStyle w:val="25"/>
        <w:spacing w:line="360" w:lineRule="auto"/>
        <w:ind w:firstLine="422" w:firstLineChars="200"/>
        <w:rPr>
          <w:rFonts w:ascii="宋体" w:hAnsi="宋体"/>
          <w:color w:val="000000" w:themeColor="text1"/>
          <w:sz w:val="21"/>
          <w:szCs w:val="21"/>
          <w14:textFill>
            <w14:solidFill>
              <w14:schemeClr w14:val="tx1"/>
            </w14:solidFill>
          </w14:textFill>
        </w:rPr>
      </w:pPr>
      <w:bookmarkStart w:id="186" w:name="_Toc317685600"/>
      <w:r>
        <w:rPr>
          <w:rFonts w:hint="eastAsia" w:ascii="宋体" w:hAnsi="宋体"/>
          <w:color w:val="000000" w:themeColor="text1"/>
          <w:sz w:val="21"/>
          <w:szCs w:val="21"/>
          <w14:textFill>
            <w14:solidFill>
              <w14:schemeClr w14:val="tx1"/>
            </w14:solidFill>
          </w14:textFill>
        </w:rPr>
        <w:t>本办法严格遵照《中华人民共和国政府采购法》、《政府采购货物和服务招标投标管理办法》、《宁波市政府采购招标采购方式暂行实施规程》，结合项目所在地政府有关政府采购规定和项目的实际情况制定。</w:t>
      </w:r>
    </w:p>
    <w:bookmarkEnd w:id="186"/>
    <w:p>
      <w:pPr>
        <w:spacing w:line="360" w:lineRule="auto"/>
        <w:contextualSpacing/>
        <w:rPr>
          <w:rFonts w:ascii="宋体" w:hAnsi="宋体" w:cs="宋体"/>
          <w:b/>
          <w:bCs/>
          <w:color w:val="000000" w:themeColor="text1"/>
          <w:szCs w:val="21"/>
          <w14:textFill>
            <w14:solidFill>
              <w14:schemeClr w14:val="tx1"/>
            </w14:solidFill>
          </w14:textFill>
        </w:rPr>
      </w:pPr>
      <w:bookmarkStart w:id="187" w:name="_Toc495957614"/>
      <w:bookmarkStart w:id="188" w:name="_Toc493058316"/>
      <w:bookmarkStart w:id="189" w:name="_Toc259108326"/>
      <w:bookmarkStart w:id="190" w:name="_Toc249866769"/>
      <w:r>
        <w:rPr>
          <w:rFonts w:hint="eastAsia" w:ascii="宋体" w:hAnsi="宋体" w:cs="宋体"/>
          <w:b/>
          <w:bCs/>
          <w:color w:val="000000" w:themeColor="text1"/>
          <w:szCs w:val="21"/>
          <w14:textFill>
            <w14:solidFill>
              <w14:schemeClr w14:val="tx1"/>
            </w14:solidFill>
          </w14:textFill>
        </w:rPr>
        <w:t>一、开标准备</w:t>
      </w:r>
    </w:p>
    <w:p>
      <w:pPr>
        <w:pStyle w:val="25"/>
        <w:snapToGrid/>
        <w:spacing w:line="360" w:lineRule="auto"/>
        <w:ind w:firstLine="417" w:firstLineChars="199"/>
        <w:contextualSpacing/>
        <w:rPr>
          <w:rFonts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采购代理机构将在规定的时间和地点进行开标，投标人的法定代表人或其授权代表可参加开标会。投标人的法定代表人或其授权代表未参加开标会的，视同放弃开标监督权利、认可开标结果。</w:t>
      </w:r>
    </w:p>
    <w:p>
      <w:pPr>
        <w:pStyle w:val="30"/>
        <w:spacing w:before="0" w:after="0" w:line="360" w:lineRule="auto"/>
        <w:jc w:val="left"/>
        <w:rPr>
          <w:rFonts w:ascii="宋体" w:hAnsi="宋体" w:cs="宋体"/>
          <w:color w:val="000000" w:themeColor="text1"/>
          <w:sz w:val="21"/>
          <w:szCs w:val="21"/>
          <w14:textFill>
            <w14:solidFill>
              <w14:schemeClr w14:val="tx1"/>
            </w14:solidFill>
          </w14:textFill>
        </w:rPr>
      </w:pPr>
      <w:bookmarkStart w:id="191" w:name="_Toc14065"/>
      <w:r>
        <w:rPr>
          <w:rFonts w:hint="eastAsia" w:ascii="宋体" w:hAnsi="宋体" w:cs="宋体"/>
          <w:color w:val="000000" w:themeColor="text1"/>
          <w:sz w:val="21"/>
          <w:szCs w:val="21"/>
          <w14:textFill>
            <w14:solidFill>
              <w14:schemeClr w14:val="tx1"/>
            </w14:solidFill>
          </w14:textFill>
        </w:rPr>
        <w:t>二、开标程序</w:t>
      </w:r>
      <w:bookmarkEnd w:id="191"/>
    </w:p>
    <w:p>
      <w:pPr>
        <w:spacing w:line="360" w:lineRule="auto"/>
        <w:ind w:firstLine="420" w:firstLineChars="200"/>
        <w:contextualSpacing/>
        <w:jc w:val="left"/>
        <w:rPr>
          <w:rFonts w:ascii="宋体" w:hAnsi="宋体" w:cs="宋体"/>
          <w:bCs/>
          <w:color w:val="000000" w:themeColor="text1"/>
          <w:szCs w:val="21"/>
          <w:lang w:bidi="ar"/>
          <w14:textFill>
            <w14:solidFill>
              <w14:schemeClr w14:val="tx1"/>
            </w14:solidFill>
          </w14:textFill>
        </w:rPr>
      </w:pPr>
      <w:r>
        <w:rPr>
          <w:rFonts w:hint="eastAsia" w:ascii="宋体" w:hAnsi="宋体" w:cs="宋体"/>
          <w:bCs/>
          <w:color w:val="000000" w:themeColor="text1"/>
          <w:szCs w:val="21"/>
          <w:lang w:bidi="ar"/>
          <w14:textFill>
            <w14:solidFill>
              <w14:schemeClr w14:val="tx1"/>
            </w14:solidFill>
          </w14:textFill>
        </w:rPr>
        <w:t>1、电子招投标开标程序：</w:t>
      </w:r>
    </w:p>
    <w:p>
      <w:pPr>
        <w:numPr>
          <w:ilvl w:val="0"/>
          <w:numId w:val="14"/>
        </w:num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投标截止时间后，投标人登录政府采购云平台，用“项目采购-开标评标”功能对电子加密投标文件进行在线解密，在线解密电子加密投标文件时间为开标时间后30分钟内。</w:t>
      </w:r>
    </w:p>
    <w:p>
      <w:pPr>
        <w:numPr>
          <w:ilvl w:val="0"/>
          <w:numId w:val="14"/>
        </w:num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在政府采购云平台开启已解密投标人的“</w:t>
      </w:r>
      <w:r>
        <w:rPr>
          <w:rFonts w:hint="eastAsia" w:ascii="宋体" w:hAnsi="宋体" w:cs="宋体"/>
          <w:color w:val="000000" w:themeColor="text1"/>
          <w14:textFill>
            <w14:solidFill>
              <w14:schemeClr w14:val="tx1"/>
            </w14:solidFill>
          </w14:textFill>
        </w:rPr>
        <w:t>资格证明文件、</w:t>
      </w:r>
      <w:r>
        <w:rPr>
          <w:rFonts w:hint="eastAsia" w:ascii="宋体" w:hAnsi="宋体" w:cs="宋体"/>
          <w:color w:val="000000" w:themeColor="text1"/>
          <w:szCs w:val="21"/>
          <w14:textFill>
            <w14:solidFill>
              <w14:schemeClr w14:val="tx1"/>
            </w14:solidFill>
          </w14:textFill>
        </w:rPr>
        <w:t>技术商务文件、报价文件”并做开标记录；</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（3）在</w:t>
      </w:r>
      <w:r>
        <w:rPr>
          <w:rFonts w:hint="eastAsia" w:ascii="宋体" w:hAnsi="宋体" w:cs="宋体"/>
          <w:color w:val="000000" w:themeColor="text1"/>
          <w:kern w:val="0"/>
          <w:szCs w:val="21"/>
          <w14:textFill>
            <w14:solidFill>
              <w14:schemeClr w14:val="tx1"/>
            </w14:solidFill>
          </w14:textFill>
        </w:rPr>
        <w:t>政府采购云平台</w:t>
      </w:r>
      <w:r>
        <w:rPr>
          <w:rFonts w:hint="eastAsia" w:ascii="宋体" w:hAnsi="宋体" w:cs="宋体"/>
          <w:color w:val="000000" w:themeColor="text1"/>
          <w:szCs w:val="21"/>
          <w14:textFill>
            <w14:solidFill>
              <w14:schemeClr w14:val="tx1"/>
            </w14:solidFill>
          </w14:textFill>
        </w:rPr>
        <w:t>公布评审结果。</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（4）开标会议结束。</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3、特别说明：</w:t>
      </w:r>
      <w:r>
        <w:rPr>
          <w:rFonts w:hint="eastAsia" w:ascii="宋体" w:hAnsi="宋体" w:cs="宋体"/>
          <w:color w:val="000000" w:themeColor="text1"/>
          <w:kern w:val="0"/>
          <w:szCs w:val="21"/>
          <w14:textFill>
            <w14:solidFill>
              <w14:schemeClr w14:val="tx1"/>
            </w14:solidFill>
          </w14:textFill>
        </w:rPr>
        <w:t>政府采购云平台</w:t>
      </w:r>
      <w:r>
        <w:rPr>
          <w:rFonts w:hint="eastAsia" w:ascii="宋体" w:hAnsi="宋体" w:cs="宋体"/>
          <w:color w:val="000000" w:themeColor="text1"/>
          <w:szCs w:val="21"/>
          <w14:textFill>
            <w14:solidFill>
              <w14:schemeClr w14:val="tx1"/>
            </w14:solidFill>
          </w14:textFill>
        </w:rPr>
        <w:t>如对电子化开标及评审程序有调整的，按调整后的程序操作。</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本项目原则上采用政采云</w:t>
      </w:r>
      <w:r>
        <w:rPr>
          <w:rFonts w:hint="eastAsia" w:ascii="宋体" w:hAnsi="宋体" w:cs="宋体"/>
          <w:bCs/>
          <w:color w:val="000000" w:themeColor="text1"/>
          <w:szCs w:val="21"/>
          <w:lang w:bidi="ar"/>
          <w14:textFill>
            <w14:solidFill>
              <w14:schemeClr w14:val="tx1"/>
            </w14:solidFill>
          </w14:textFill>
        </w:rPr>
        <w:t>电子招投标开标程序</w:t>
      </w:r>
      <w:r>
        <w:rPr>
          <w:rFonts w:hint="eastAsia" w:ascii="宋体" w:hAnsi="宋体" w:cs="宋体"/>
          <w:color w:val="000000" w:themeColor="text1"/>
          <w:szCs w:val="21"/>
          <w14:textFill>
            <w14:solidFill>
              <w14:schemeClr w14:val="tx1"/>
            </w14:solidFill>
          </w14:textFill>
        </w:rPr>
        <w:t>，但有下情形之一的，按以下情况处理：</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（1）若有投标人在规定时间内无法解密或解密失败，代理机构将开启该投标人递交的</w:t>
      </w:r>
      <w:r>
        <w:rPr>
          <w:rFonts w:hint="eastAsia" w:ascii="宋体" w:hAnsi="宋体" w:cs="宋体"/>
          <w:color w:val="000000" w:themeColor="text1"/>
          <w:kern w:val="0"/>
          <w:szCs w:val="21"/>
          <w14:textFill>
            <w14:solidFill>
              <w14:schemeClr w14:val="tx1"/>
            </w14:solidFill>
          </w14:textFill>
        </w:rPr>
        <w:t>以U盘存储的电子备份投标文件</w:t>
      </w:r>
      <w:r>
        <w:rPr>
          <w:rFonts w:hint="eastAsia" w:ascii="宋体" w:hAnsi="宋体" w:cs="宋体"/>
          <w:color w:val="000000" w:themeColor="text1"/>
          <w:szCs w:val="21"/>
          <w14:textFill>
            <w14:solidFill>
              <w14:schemeClr w14:val="tx1"/>
            </w14:solidFill>
          </w14:textFill>
        </w:rPr>
        <w:t>，上传至政采云平台项目采购模块，以完成开标，电子加密投标文件自动失效。</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（2）采购过程中出现以下情形，导致电子交易平台无法正常运行，或者无法保证电子交易的公平、公正和安全时，采购人（或代理机构）可中止电子交易活动：</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2.1电子交易平台发生故障而无法登录访问的；</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2.2电子交易平台应用或数据库出现错误，不能进行正常操作的；</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2.3电子交易平台发现严重安全漏洞，有潜在泄密危险的；</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2.4病毒发作导致不能进行正常操作的； </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2.5其他无法保证电子交易的公平、公正和安全的情况。</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出现前款规定情形，不影响采购公平、公正性的，采购人（或代理机构）可以待上述情形消除后继续组织电子交易活动。</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（3）未开启的备份投标文件在开标现场予以退还。</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（4）投标人上传政采云平台的pdf版本电子加密投标文件内容与政采云系统中投标人填写的内容不一致的，经评标委员会审查，应以电子加密投标文件中的内容为准。</w:t>
      </w:r>
    </w:p>
    <w:p>
      <w:pPr>
        <w:pStyle w:val="30"/>
        <w:spacing w:before="0" w:after="0" w:line="360" w:lineRule="auto"/>
        <w:ind w:firstLine="413" w:firstLineChars="196"/>
        <w:jc w:val="left"/>
        <w:rPr>
          <w:rFonts w:ascii="宋体" w:hAnsi="宋体" w:eastAsia="宋体" w:cs="宋体"/>
          <w:color w:val="000000" w:themeColor="text1"/>
          <w:sz w:val="21"/>
          <w:szCs w:val="21"/>
          <w14:textFill>
            <w14:solidFill>
              <w14:schemeClr w14:val="tx1"/>
            </w14:solidFill>
          </w14:textFill>
        </w:rPr>
      </w:pPr>
      <w:bookmarkStart w:id="192" w:name="_Toc9140"/>
      <w:r>
        <w:rPr>
          <w:rFonts w:hint="eastAsia" w:ascii="宋体" w:hAnsi="宋体" w:eastAsia="宋体" w:cs="宋体"/>
          <w:color w:val="000000" w:themeColor="text1"/>
          <w:sz w:val="21"/>
          <w:szCs w:val="21"/>
          <w14:textFill>
            <w14:solidFill>
              <w14:schemeClr w14:val="tx1"/>
            </w14:solidFill>
          </w14:textFill>
        </w:rPr>
        <w:t>三、评标委员会</w:t>
      </w:r>
      <w:bookmarkEnd w:id="187"/>
      <w:bookmarkEnd w:id="188"/>
      <w:bookmarkEnd w:id="192"/>
    </w:p>
    <w:p>
      <w:pPr>
        <w:spacing w:line="360" w:lineRule="auto"/>
        <w:ind w:firstLine="315"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（一）本次招标依法组建评标委员会。</w:t>
      </w:r>
    </w:p>
    <w:p>
      <w:pPr>
        <w:spacing w:line="360" w:lineRule="auto"/>
        <w:ind w:firstLine="315"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pStyle w:val="30"/>
        <w:spacing w:before="0" w:after="0" w:line="360" w:lineRule="auto"/>
        <w:ind w:firstLine="409" w:firstLineChars="195"/>
        <w:jc w:val="both"/>
        <w:rPr>
          <w:rFonts w:ascii="宋体" w:hAnsi="宋体" w:eastAsia="宋体" w:cs="宋体"/>
          <w:b w:val="0"/>
          <w:bCs w:val="0"/>
          <w:color w:val="000000" w:themeColor="text1"/>
          <w:sz w:val="21"/>
          <w:szCs w:val="21"/>
          <w14:textFill>
            <w14:solidFill>
              <w14:schemeClr w14:val="tx1"/>
            </w14:solidFill>
          </w14:textFill>
        </w:rPr>
      </w:pPr>
      <w:bookmarkStart w:id="193" w:name="_Toc426"/>
      <w:bookmarkStart w:id="194" w:name="_Toc495957615"/>
      <w:bookmarkStart w:id="195" w:name="_Toc493058317"/>
      <w:bookmarkStart w:id="196" w:name="_Toc481567076"/>
      <w:r>
        <w:rPr>
          <w:rFonts w:hint="eastAsia" w:ascii="宋体" w:hAnsi="宋体" w:eastAsia="宋体" w:cs="宋体"/>
          <w:b w:val="0"/>
          <w:bCs w:val="0"/>
          <w:color w:val="000000" w:themeColor="text1"/>
          <w:sz w:val="21"/>
          <w:szCs w:val="21"/>
          <w14:textFill>
            <w14:solidFill>
              <w14:schemeClr w14:val="tx1"/>
            </w14:solidFill>
          </w14:textFill>
        </w:rPr>
        <w:t>（三）评审专家有下列情形之一的，受到邀请应主动提出回避，采购当事人也可以要求该评审专家回避：</w:t>
      </w:r>
      <w:bookmarkEnd w:id="193"/>
    </w:p>
    <w:p>
      <w:pPr>
        <w:pStyle w:val="30"/>
        <w:spacing w:before="0" w:after="0" w:line="360" w:lineRule="auto"/>
        <w:ind w:firstLine="409" w:firstLineChars="195"/>
        <w:jc w:val="both"/>
        <w:rPr>
          <w:rFonts w:ascii="宋体" w:hAnsi="宋体" w:eastAsia="宋体" w:cs="宋体"/>
          <w:b w:val="0"/>
          <w:bCs w:val="0"/>
          <w:color w:val="000000" w:themeColor="text1"/>
          <w:sz w:val="21"/>
          <w:szCs w:val="21"/>
          <w14:textFill>
            <w14:solidFill>
              <w14:schemeClr w14:val="tx1"/>
            </w14:solidFill>
          </w14:textFill>
        </w:rPr>
      </w:pPr>
      <w:bookmarkStart w:id="197" w:name="_Toc2043"/>
      <w:r>
        <w:rPr>
          <w:rFonts w:hint="eastAsia" w:ascii="宋体" w:hAnsi="宋体" w:eastAsia="宋体" w:cs="宋体"/>
          <w:b w:val="0"/>
          <w:bCs w:val="0"/>
          <w:color w:val="000000" w:themeColor="text1"/>
          <w:sz w:val="21"/>
          <w:szCs w:val="21"/>
          <w14:textFill>
            <w14:solidFill>
              <w14:schemeClr w14:val="tx1"/>
            </w14:solidFill>
          </w14:textFill>
        </w:rPr>
        <w:t>1、参加采购活动前三年内，与供应商存在劳动关系，或者担任过供应商的董事、监事，或者是供应商的控股股东或实际控制人；</w:t>
      </w:r>
    </w:p>
    <w:p>
      <w:pPr>
        <w:pStyle w:val="30"/>
        <w:spacing w:before="0" w:after="0" w:line="360" w:lineRule="auto"/>
        <w:ind w:firstLine="409" w:firstLineChars="195"/>
        <w:jc w:val="both"/>
        <w:rPr>
          <w:rFonts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2、与供应商的法定代表人或者负责人有夫妻、直系血亲、三代以内旁系血亲或者近姻亲关系；</w:t>
      </w:r>
    </w:p>
    <w:p>
      <w:pPr>
        <w:pStyle w:val="30"/>
        <w:spacing w:before="0" w:after="0" w:line="360" w:lineRule="auto"/>
        <w:ind w:firstLine="409" w:firstLineChars="195"/>
        <w:jc w:val="both"/>
        <w:rPr>
          <w:rFonts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3、与供应商有其他可能影响政府采购活动公平、公正进行的关系；</w:t>
      </w:r>
    </w:p>
    <w:p>
      <w:pPr>
        <w:pStyle w:val="30"/>
        <w:spacing w:before="0" w:after="0" w:line="360" w:lineRule="auto"/>
        <w:ind w:firstLine="409" w:firstLineChars="195"/>
        <w:jc w:val="both"/>
        <w:rPr>
          <w:rFonts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4、参与过采购项目进口产品论证的专家应当回避；</w:t>
      </w:r>
    </w:p>
    <w:p>
      <w:pPr>
        <w:pStyle w:val="30"/>
        <w:spacing w:before="0" w:after="0" w:line="360" w:lineRule="auto"/>
        <w:ind w:firstLine="409" w:firstLineChars="195"/>
        <w:jc w:val="both"/>
        <w:rPr>
          <w:rFonts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5、通过随机抽到本单位的评审专家，采购人已经指定了采购人代表，该评审专家应当回避，采购人自行选定相应专业领域评审专家情形除外；</w:t>
      </w:r>
    </w:p>
    <w:p>
      <w:pPr>
        <w:pStyle w:val="30"/>
        <w:spacing w:before="0" w:after="0" w:line="360" w:lineRule="auto"/>
        <w:ind w:firstLine="409" w:firstLineChars="195"/>
        <w:jc w:val="both"/>
        <w:rPr>
          <w:rFonts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6、法律、法规、规章规定应当回避以及其他可能影响公正评审的。</w:t>
      </w:r>
      <w:bookmarkEnd w:id="197"/>
    </w:p>
    <w:p>
      <w:pPr>
        <w:pStyle w:val="30"/>
        <w:spacing w:before="0" w:after="0" w:line="360" w:lineRule="auto"/>
        <w:ind w:firstLine="409" w:firstLineChars="195"/>
        <w:jc w:val="both"/>
        <w:rPr>
          <w:rFonts w:ascii="宋体" w:hAnsi="宋体" w:eastAsia="宋体" w:cs="宋体"/>
          <w:b w:val="0"/>
          <w:bCs w:val="0"/>
          <w:color w:val="000000" w:themeColor="text1"/>
          <w:sz w:val="21"/>
          <w:szCs w:val="21"/>
          <w14:textFill>
            <w14:solidFill>
              <w14:schemeClr w14:val="tx1"/>
            </w14:solidFill>
          </w14:textFill>
        </w:rPr>
      </w:pPr>
      <w:bookmarkStart w:id="198" w:name="_Toc16031"/>
      <w:r>
        <w:rPr>
          <w:rFonts w:hint="eastAsia" w:ascii="宋体" w:hAnsi="宋体" w:eastAsia="宋体" w:cs="宋体"/>
          <w:b w:val="0"/>
          <w:bCs w:val="0"/>
          <w:color w:val="000000" w:themeColor="text1"/>
          <w:sz w:val="21"/>
          <w:szCs w:val="21"/>
          <w14:textFill>
            <w14:solidFill>
              <w14:schemeClr w14:val="tx1"/>
            </w14:solidFill>
          </w14:textFill>
        </w:rPr>
        <w:t>（四）评标委员会判断投标文件的有效性、合格性和响应情况，仅依据投标人所递交一切文件的真实表述，不受与本项目无直接关联的外部信息、传言而影响自身的专业判断。</w:t>
      </w:r>
      <w:bookmarkEnd w:id="198"/>
    </w:p>
    <w:p>
      <w:pPr>
        <w:pStyle w:val="30"/>
        <w:spacing w:before="0" w:after="0" w:line="360" w:lineRule="auto"/>
        <w:ind w:firstLine="409" w:firstLineChars="195"/>
        <w:jc w:val="both"/>
        <w:rPr>
          <w:rFonts w:ascii="宋体" w:hAnsi="宋体" w:eastAsia="宋体" w:cs="宋体"/>
          <w:b w:val="0"/>
          <w:bCs w:val="0"/>
          <w:color w:val="000000" w:themeColor="text1"/>
          <w:sz w:val="21"/>
          <w:szCs w:val="21"/>
          <w14:textFill>
            <w14:solidFill>
              <w14:schemeClr w14:val="tx1"/>
            </w14:solidFill>
          </w14:textFill>
        </w:rPr>
      </w:pPr>
      <w:bookmarkStart w:id="199" w:name="_Toc24000"/>
      <w:r>
        <w:rPr>
          <w:rFonts w:hint="eastAsia" w:ascii="宋体" w:hAnsi="宋体" w:eastAsia="宋体" w:cs="宋体"/>
          <w:b w:val="0"/>
          <w:bCs w:val="0"/>
          <w:color w:val="000000" w:themeColor="text1"/>
          <w:sz w:val="21"/>
          <w:szCs w:val="21"/>
          <w14:textFill>
            <w14:solidFill>
              <w14:schemeClr w14:val="tx1"/>
            </w14:solidFill>
          </w14:textFill>
        </w:rPr>
        <w:t>（五）评委依法独立评审，并对评审意见承担个人责任。对明显畸高、畸低的评分（评审小组成员个人主观总评分偏离所有评审小组成员主观总评分平均值30%以上），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bookmarkEnd w:id="199"/>
    </w:p>
    <w:p>
      <w:pPr>
        <w:pStyle w:val="30"/>
        <w:spacing w:before="0" w:after="0" w:line="360" w:lineRule="auto"/>
        <w:ind w:firstLine="411" w:firstLineChars="195"/>
        <w:jc w:val="both"/>
        <w:rPr>
          <w:rFonts w:ascii="宋体" w:hAnsi="宋体" w:eastAsia="宋体" w:cs="宋体"/>
          <w:color w:val="000000" w:themeColor="text1"/>
          <w:sz w:val="21"/>
          <w:szCs w:val="21"/>
          <w14:textFill>
            <w14:solidFill>
              <w14:schemeClr w14:val="tx1"/>
            </w14:solidFill>
          </w14:textFill>
        </w:rPr>
      </w:pPr>
      <w:bookmarkStart w:id="200" w:name="_Toc6372"/>
      <w:r>
        <w:rPr>
          <w:rFonts w:hint="eastAsia" w:ascii="宋体" w:hAnsi="宋体" w:eastAsia="宋体" w:cs="宋体"/>
          <w:color w:val="000000" w:themeColor="text1"/>
          <w:sz w:val="21"/>
          <w:szCs w:val="21"/>
          <w14:textFill>
            <w14:solidFill>
              <w14:schemeClr w14:val="tx1"/>
            </w14:solidFill>
          </w14:textFill>
        </w:rPr>
        <w:t>四、评标方法</w:t>
      </w:r>
      <w:bookmarkEnd w:id="194"/>
      <w:bookmarkEnd w:id="195"/>
      <w:bookmarkEnd w:id="196"/>
      <w:bookmarkEnd w:id="200"/>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（一）本次招标项目的评标方法为：综合评分法。</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（二）评分权重</w:t>
      </w:r>
    </w:p>
    <w:tbl>
      <w:tblPr>
        <w:tblStyle w:val="40"/>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3714"/>
        <w:gridCol w:w="3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3" w:type="dxa"/>
            <w:vAlign w:val="center"/>
          </w:tcPr>
          <w:p>
            <w:pPr>
              <w:ind w:firstLine="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评分项目</w:t>
            </w:r>
          </w:p>
        </w:tc>
        <w:tc>
          <w:tcPr>
            <w:tcW w:w="3714" w:type="dxa"/>
            <w:vAlign w:val="center"/>
          </w:tcPr>
          <w:p>
            <w:pPr>
              <w:ind w:firstLine="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技术资信分（分）</w:t>
            </w:r>
          </w:p>
        </w:tc>
        <w:tc>
          <w:tcPr>
            <w:tcW w:w="3196" w:type="dxa"/>
            <w:vAlign w:val="center"/>
          </w:tcPr>
          <w:p>
            <w:pPr>
              <w:ind w:firstLine="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价格分（分）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3" w:type="dxa"/>
            <w:vAlign w:val="center"/>
          </w:tcPr>
          <w:p>
            <w:pPr>
              <w:ind w:firstLine="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权重</w:t>
            </w:r>
          </w:p>
        </w:tc>
        <w:tc>
          <w:tcPr>
            <w:tcW w:w="3714" w:type="dxa"/>
            <w:vAlign w:val="center"/>
          </w:tcPr>
          <w:p>
            <w:pPr>
              <w:ind w:firstLine="200"/>
              <w:jc w:val="center"/>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70</w:t>
            </w:r>
          </w:p>
        </w:tc>
        <w:tc>
          <w:tcPr>
            <w:tcW w:w="3196" w:type="dxa"/>
            <w:vAlign w:val="center"/>
          </w:tcPr>
          <w:p>
            <w:pPr>
              <w:ind w:firstLine="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30</w:t>
            </w:r>
          </w:p>
        </w:tc>
      </w:tr>
    </w:tbl>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1、价格分采用低价优先法计算，即满足采购文件要求且参与评审价格最低为评标基准价，其价格分为满分。其他投标人的价格分按照下列公式计算：</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参与评审价格=投标价格×（1-价格折扣率）</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价格分=（评标基准价/参与评审的价格）×价格权值×100</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2、合格投标人评标综合得分=价格分+技术资信分。</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3、报价要求：本次招标设有最高限价，投标人报价超出最高限价的投标文件作无效处理。</w:t>
      </w:r>
    </w:p>
    <w:p>
      <w:pPr>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采用综合评分法的，评标结果按评审后得分由高到低顺序排列。得分相同的，按投标报价由低到高顺序排列。得分且投标报价相同的并列。投标文件满足采购文件全部实质性要求，且按照评审因素的量化指标评审每个子包号综合得分排序前二位的中标候选人，得分最高的为第一中标候选人。</w:t>
      </w:r>
    </w:p>
    <w:p>
      <w:pPr>
        <w:spacing w:line="360" w:lineRule="auto"/>
        <w:ind w:firstLine="315"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w:t>
      </w:r>
      <w:bookmarkStart w:id="201" w:name="_Toc481567079"/>
      <w:r>
        <w:rPr>
          <w:rFonts w:hint="eastAsia" w:ascii="宋体" w:hAnsi="宋体" w:cs="宋体"/>
          <w:color w:val="000000" w:themeColor="text1"/>
          <w:szCs w:val="21"/>
          <w14:textFill>
            <w14:solidFill>
              <w14:schemeClr w14:val="tx1"/>
            </w14:solidFill>
          </w14:textFill>
        </w:rPr>
        <w:t>投标文件的澄清</w:t>
      </w:r>
      <w:bookmarkEnd w:id="201"/>
    </w:p>
    <w:p>
      <w:pPr>
        <w:widowControl/>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pStyle w:val="30"/>
        <w:spacing w:before="0" w:after="0" w:line="360" w:lineRule="auto"/>
        <w:ind w:firstLine="413" w:firstLineChars="196"/>
        <w:jc w:val="both"/>
        <w:rPr>
          <w:rFonts w:ascii="宋体" w:hAnsi="宋体" w:eastAsia="宋体" w:cs="宋体"/>
          <w:color w:val="000000" w:themeColor="text1"/>
          <w:sz w:val="21"/>
          <w:szCs w:val="21"/>
          <w14:textFill>
            <w14:solidFill>
              <w14:schemeClr w14:val="tx1"/>
            </w14:solidFill>
          </w14:textFill>
        </w:rPr>
      </w:pPr>
      <w:bookmarkStart w:id="202" w:name="_Toc481567077"/>
      <w:bookmarkStart w:id="203" w:name="_Toc493058318"/>
      <w:bookmarkStart w:id="204" w:name="_Toc18513"/>
      <w:bookmarkStart w:id="205" w:name="_Toc495957616"/>
      <w:r>
        <w:rPr>
          <w:rFonts w:hint="eastAsia" w:ascii="宋体" w:hAnsi="宋体" w:eastAsia="宋体" w:cs="宋体"/>
          <w:color w:val="000000" w:themeColor="text1"/>
          <w:sz w:val="21"/>
          <w:szCs w:val="21"/>
          <w14:textFill>
            <w14:solidFill>
              <w14:schemeClr w14:val="tx1"/>
            </w14:solidFill>
          </w14:textFill>
        </w:rPr>
        <w:t>五、评标</w:t>
      </w:r>
      <w:bookmarkEnd w:id="189"/>
      <w:bookmarkEnd w:id="190"/>
      <w:bookmarkEnd w:id="202"/>
      <w:r>
        <w:rPr>
          <w:rFonts w:hint="eastAsia" w:ascii="宋体" w:hAnsi="宋体" w:eastAsia="宋体" w:cs="宋体"/>
          <w:color w:val="000000" w:themeColor="text1"/>
          <w:sz w:val="21"/>
          <w:szCs w:val="21"/>
          <w14:textFill>
            <w14:solidFill>
              <w14:schemeClr w14:val="tx1"/>
            </w14:solidFill>
          </w14:textFill>
        </w:rPr>
        <w:t>程序</w:t>
      </w:r>
      <w:bookmarkEnd w:id="203"/>
      <w:bookmarkEnd w:id="204"/>
      <w:bookmarkEnd w:id="205"/>
    </w:p>
    <w:p>
      <w:pPr>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（一）资格条件审查</w:t>
      </w:r>
    </w:p>
    <w:p>
      <w:pPr>
        <w:spacing w:line="360" w:lineRule="auto"/>
        <w:ind w:firstLine="522" w:firstLineChars="24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由招标代理机构对投标人的资格进行审查。</w:t>
      </w:r>
    </w:p>
    <w:tbl>
      <w:tblPr>
        <w:tblStyle w:val="40"/>
        <w:tblW w:w="91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7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2" w:type="dxa"/>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审查类别</w:t>
            </w:r>
          </w:p>
        </w:tc>
        <w:tc>
          <w:tcPr>
            <w:tcW w:w="7803"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2" w:type="dxa"/>
            <w:vMerge w:val="restart"/>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资格条件审查</w:t>
            </w:r>
          </w:p>
        </w:tc>
        <w:tc>
          <w:tcPr>
            <w:tcW w:w="7803" w:type="dxa"/>
            <w:vAlign w:val="center"/>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1、符合《中华人民共和国政府采购法》第二十二条规定的投标人资格条件。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Merge w:val="continue"/>
          </w:tcPr>
          <w:p>
            <w:pPr>
              <w:spacing w:line="400" w:lineRule="exact"/>
              <w:rPr>
                <w:rFonts w:ascii="宋体" w:hAnsi="宋体" w:cs="宋体"/>
                <w:color w:val="000000" w:themeColor="text1"/>
                <w:szCs w:val="21"/>
                <w14:textFill>
                  <w14:solidFill>
                    <w14:schemeClr w14:val="tx1"/>
                  </w14:solidFill>
                </w14:textFill>
              </w:rPr>
            </w:pPr>
          </w:p>
        </w:tc>
        <w:tc>
          <w:tcPr>
            <w:tcW w:w="7803" w:type="dxa"/>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2、单位负责人为同一人或者存在直接控股、管理关系的不同投标人，不得参加同一合同项下的政府采购活动。为采购项目提供项目管理、监理、检测等服务的投标人，不得参加本项目的投标。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Merge w:val="continue"/>
          </w:tcPr>
          <w:p>
            <w:pPr>
              <w:spacing w:line="400" w:lineRule="exact"/>
              <w:rPr>
                <w:rFonts w:ascii="宋体" w:hAnsi="宋体" w:cs="宋体"/>
                <w:color w:val="000000" w:themeColor="text1"/>
                <w:szCs w:val="21"/>
                <w14:textFill>
                  <w14:solidFill>
                    <w14:schemeClr w14:val="tx1"/>
                  </w14:solidFill>
                </w14:textFill>
              </w:rPr>
            </w:pPr>
          </w:p>
        </w:tc>
        <w:tc>
          <w:tcPr>
            <w:tcW w:w="7803" w:type="dxa"/>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3、与采购人存在利害关系可能影响招标公正性的法人或其他组织不得参加投标。 存在利害关系的投标人是指：</w:t>
            </w: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（1）北京航空航天大学、北京航空航天大学宁波创新研究院在该投标人中有股份的。</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（2）项目负责人、项目主要成员及经办人在该投标人中有股份或担任高管的。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Merge w:val="continue"/>
          </w:tcPr>
          <w:p>
            <w:pPr>
              <w:spacing w:line="400" w:lineRule="exact"/>
              <w:rPr>
                <w:rFonts w:ascii="宋体" w:hAnsi="宋体" w:cs="宋体"/>
                <w:color w:val="000000" w:themeColor="text1"/>
                <w:szCs w:val="21"/>
                <w14:textFill>
                  <w14:solidFill>
                    <w14:schemeClr w14:val="tx1"/>
                  </w14:solidFill>
                </w14:textFill>
              </w:rPr>
            </w:pPr>
          </w:p>
        </w:tc>
        <w:tc>
          <w:tcPr>
            <w:tcW w:w="7803" w:type="dxa"/>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302" w:type="dxa"/>
            <w:vMerge w:val="continue"/>
          </w:tcPr>
          <w:p>
            <w:pPr>
              <w:spacing w:line="400" w:lineRule="exact"/>
              <w:rPr>
                <w:rFonts w:ascii="宋体" w:hAnsi="宋体" w:cs="宋体"/>
                <w:color w:val="000000" w:themeColor="text1"/>
                <w:szCs w:val="21"/>
                <w14:textFill>
                  <w14:solidFill>
                    <w14:schemeClr w14:val="tx1"/>
                  </w14:solidFill>
                </w14:textFill>
              </w:rPr>
            </w:pPr>
          </w:p>
        </w:tc>
        <w:tc>
          <w:tcPr>
            <w:tcW w:w="7803" w:type="dxa"/>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5、本项目不接受联合体投标。</w:t>
            </w:r>
          </w:p>
        </w:tc>
      </w:tr>
    </w:tbl>
    <w:p>
      <w:pPr>
        <w:spacing w:line="360" w:lineRule="auto"/>
        <w:ind w:firstLine="420" w:firstLineChars="200"/>
        <w:rPr>
          <w:rFonts w:ascii="宋体" w:hAnsi="宋体" w:cs="宋体"/>
          <w:color w:val="000000" w:themeColor="text1"/>
          <w:szCs w:val="21"/>
          <w14:textFill>
            <w14:solidFill>
              <w14:schemeClr w14:val="tx1"/>
            </w14:solidFill>
          </w14:textFill>
        </w:rPr>
      </w:pPr>
    </w:p>
    <w:p>
      <w:pPr>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（二）符合性审查</w:t>
      </w:r>
    </w:p>
    <w:p>
      <w:pPr>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评标委员会应当对符合资格的投标人的投标文件进行符合性审查，以确定其是否满足采购文件的实质性要求。</w:t>
      </w:r>
    </w:p>
    <w:p>
      <w:pPr>
        <w:pStyle w:val="39"/>
        <w:rPr>
          <w:color w:val="000000" w:themeColor="text1"/>
          <w14:textFill>
            <w14:solidFill>
              <w14:schemeClr w14:val="tx1"/>
            </w14:solidFill>
          </w14:textFill>
        </w:rPr>
      </w:pPr>
    </w:p>
    <w:tbl>
      <w:tblPr>
        <w:tblStyle w:val="40"/>
        <w:tblW w:w="91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审查类别</w:t>
            </w:r>
          </w:p>
        </w:tc>
        <w:tc>
          <w:tcPr>
            <w:tcW w:w="7573" w:type="dxa"/>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restart"/>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符合性审查</w:t>
            </w:r>
          </w:p>
        </w:tc>
        <w:tc>
          <w:tcPr>
            <w:tcW w:w="7573" w:type="dxa"/>
            <w:vAlign w:val="center"/>
          </w:tcPr>
          <w:p>
            <w:pPr>
              <w:tabs>
                <w:tab w:val="left" w:pos="612"/>
              </w:tabs>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spacing w:line="400" w:lineRule="exact"/>
              <w:rPr>
                <w:rFonts w:ascii="宋体" w:hAnsi="宋体" w:cs="宋体"/>
                <w:color w:val="000000" w:themeColor="text1"/>
                <w:szCs w:val="21"/>
                <w14:textFill>
                  <w14:solidFill>
                    <w14:schemeClr w14:val="tx1"/>
                  </w14:solidFill>
                </w14:textFill>
              </w:rPr>
            </w:pPr>
          </w:p>
        </w:tc>
        <w:tc>
          <w:tcPr>
            <w:tcW w:w="7573" w:type="dxa"/>
            <w:vAlign w:val="center"/>
          </w:tcPr>
          <w:p>
            <w:pPr>
              <w:tabs>
                <w:tab w:val="left" w:pos="612"/>
              </w:tabs>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按照采购文件规定要求签署、盖章且投标文件有法定代表人</w:t>
            </w:r>
            <w:r>
              <w:rPr>
                <w:rFonts w:hint="eastAsia" w:ascii="宋体" w:hAnsi="宋体" w:cs="宋体"/>
                <w:color w:val="000000" w:themeColor="text1"/>
                <w:szCs w:val="21"/>
                <w:lang w:eastAsia="zh-TW"/>
                <w14:textFill>
                  <w14:solidFill>
                    <w14:schemeClr w14:val="tx1"/>
                  </w14:solidFill>
                </w14:textFill>
              </w:rPr>
              <w:t>签署本人姓名（或印盖本人姓名章）</w:t>
            </w:r>
            <w:r>
              <w:rPr>
                <w:rFonts w:hint="eastAsia" w:ascii="宋体" w:hAnsi="宋体" w:cs="宋体"/>
                <w:color w:val="000000" w:themeColor="text1"/>
                <w:szCs w:val="21"/>
                <w14:textFill>
                  <w14:solidFill>
                    <w14:schemeClr w14:val="tx1"/>
                  </w14:solidFill>
                </w14:textFill>
              </w:rPr>
              <w:t>，或</w:t>
            </w:r>
            <w:r>
              <w:rPr>
                <w:rFonts w:hint="eastAsia" w:ascii="宋体" w:hAnsi="宋体" w:cs="宋体"/>
                <w:color w:val="000000" w:themeColor="text1"/>
                <w:szCs w:val="21"/>
                <w:lang w:eastAsia="zh-TW"/>
                <w14:textFill>
                  <w14:solidFill>
                    <w14:schemeClr w14:val="tx1"/>
                  </w14:solidFill>
                </w14:textFill>
              </w:rPr>
              <w:t>签署</w:t>
            </w:r>
            <w:r>
              <w:rPr>
                <w:rFonts w:hint="eastAsia" w:ascii="宋体" w:hAnsi="宋体" w:cs="宋体"/>
                <w:color w:val="000000" w:themeColor="text1"/>
                <w:szCs w:val="21"/>
                <w14:textFill>
                  <w14:solidFill>
                    <w14:schemeClr w14:val="tx1"/>
                  </w14:solidFill>
                </w14:textFill>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532" w:type="dxa"/>
            <w:vMerge w:val="continue"/>
          </w:tcPr>
          <w:p>
            <w:pPr>
              <w:spacing w:line="400" w:lineRule="exact"/>
              <w:rPr>
                <w:rFonts w:ascii="宋体" w:hAnsi="宋体" w:cs="宋体"/>
                <w:color w:val="000000" w:themeColor="text1"/>
                <w:szCs w:val="21"/>
                <w14:textFill>
                  <w14:solidFill>
                    <w14:schemeClr w14:val="tx1"/>
                  </w14:solidFill>
                </w14:textFill>
              </w:rPr>
            </w:pPr>
          </w:p>
        </w:tc>
        <w:tc>
          <w:tcPr>
            <w:tcW w:w="7573" w:type="dxa"/>
            <w:vAlign w:val="center"/>
          </w:tcPr>
          <w:p>
            <w:pPr>
              <w:tabs>
                <w:tab w:val="left" w:pos="612"/>
              </w:tabs>
              <w:spacing w:line="40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投标文件完全满足采购文件的实质性条款（即标注*号条款）无负偏离的；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532" w:type="dxa"/>
            <w:vMerge w:val="continue"/>
          </w:tcPr>
          <w:p>
            <w:pPr>
              <w:spacing w:line="400" w:lineRule="exact"/>
              <w:rPr>
                <w:rFonts w:ascii="宋体" w:hAnsi="宋体" w:cs="宋体"/>
                <w:color w:val="000000" w:themeColor="text1"/>
                <w:szCs w:val="21"/>
                <w14:textFill>
                  <w14:solidFill>
                    <w14:schemeClr w14:val="tx1"/>
                  </w14:solidFill>
                </w14:textFill>
              </w:rPr>
            </w:pPr>
          </w:p>
        </w:tc>
        <w:tc>
          <w:tcPr>
            <w:tcW w:w="7573" w:type="dxa"/>
            <w:vAlign w:val="center"/>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532" w:type="dxa"/>
            <w:vMerge w:val="continue"/>
          </w:tcPr>
          <w:p>
            <w:pPr>
              <w:spacing w:line="400" w:lineRule="exact"/>
              <w:rPr>
                <w:rFonts w:ascii="宋体" w:hAnsi="宋体" w:cs="宋体"/>
                <w:color w:val="000000" w:themeColor="text1"/>
                <w:szCs w:val="21"/>
                <w14:textFill>
                  <w14:solidFill>
                    <w14:schemeClr w14:val="tx1"/>
                  </w14:solidFill>
                </w14:textFill>
              </w:rPr>
            </w:pPr>
          </w:p>
        </w:tc>
        <w:tc>
          <w:tcPr>
            <w:tcW w:w="7573" w:type="dxa"/>
            <w:vAlign w:val="center"/>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按有关法律、法规、规章不属于投标无效的。</w:t>
            </w:r>
          </w:p>
        </w:tc>
      </w:tr>
    </w:tbl>
    <w:p>
      <w:pPr>
        <w:spacing w:line="360" w:lineRule="auto"/>
        <w:ind w:firstLine="422" w:firstLineChars="200"/>
        <w:rPr>
          <w:rFonts w:ascii="宋体" w:hAnsi="宋体" w:cs="宋体"/>
          <w:b/>
          <w:color w:val="000000" w:themeColor="text1"/>
          <w:szCs w:val="21"/>
          <w14:textFill>
            <w14:solidFill>
              <w14:schemeClr w14:val="tx1"/>
            </w14:solidFill>
          </w14:textFill>
        </w:rPr>
      </w:pPr>
      <w:bookmarkStart w:id="206" w:name="_Toc249866767"/>
      <w:bookmarkStart w:id="207" w:name="_Toc259108323"/>
      <w:r>
        <w:rPr>
          <w:rFonts w:hint="eastAsia" w:ascii="宋体" w:hAnsi="宋体" w:cs="宋体"/>
          <w:b/>
          <w:color w:val="000000" w:themeColor="text1"/>
          <w:szCs w:val="21"/>
          <w14:textFill>
            <w14:solidFill>
              <w14:schemeClr w14:val="tx1"/>
            </w14:solidFill>
          </w14:textFill>
        </w:rPr>
        <w:t>（三）投标无效的情形</w:t>
      </w:r>
      <w:bookmarkEnd w:id="206"/>
      <w:bookmarkEnd w:id="207"/>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没有响应采购文件实质性要求的投标将被视为无效投标。投标人不得通过修正或撤消不合要求的偏离或保留从而使其投标成为实质上响应的投标。</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A、在资格审查、符合性审查和商务评审时，如发现下列情形之一的，将被视为无效投标文件：</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1、资格证明文件不全的或者不符合采购文件规定的资格要求的；</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2、投标文件未按照采购文件要求签署、盖章的；</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3、投标文件项目不齐全或者内容虚假的；</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5、带“*”的条款不能满足采购文件要求、未实质性响应采购文件要求或者投标文件有招标人不能接受的附加条件的；</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B</w:t>
      </w:r>
      <w:r>
        <w:rPr>
          <w:rFonts w:hint="eastAsia" w:ascii="宋体" w:hAnsi="宋体" w:cs="宋体"/>
          <w:color w:val="000000" w:themeColor="text1"/>
          <w:szCs w:val="21"/>
          <w14:textFill>
            <w14:solidFill>
              <w14:schemeClr w14:val="tx1"/>
            </w14:solidFill>
          </w14:textFill>
        </w:rPr>
        <w:t>、在技术评审时，如发现下列情形之一的，将被视为无效投标文件：</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1、明显不符合或无法满足采购文件要求，或者与采购文件中标“*”的条款发生实质性偏离的；</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2、投标技术方案不明确，存在一个或一个以上备选（替代）投标方案的；</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C</w:t>
      </w:r>
      <w:r>
        <w:rPr>
          <w:rFonts w:hint="eastAsia" w:ascii="宋体" w:hAnsi="宋体" w:cs="宋体"/>
          <w:color w:val="000000" w:themeColor="text1"/>
          <w:szCs w:val="21"/>
          <w14:textFill>
            <w14:solidFill>
              <w14:schemeClr w14:val="tx1"/>
            </w14:solidFill>
          </w14:textFill>
        </w:rPr>
        <w:t>、在报价评审时，如发现下列情形之一的，投标文件将被视为无效：</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1、未采用人民币报价或者未按照采购文件标明的币种报价的；</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2、报价超出最高限价，招标人不能支付的；</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3、投标报价具有选择性的；</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4、评委会一致认为报价明显不合理的（不平衡报价）；</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5、投标报价中出现重大缺项、漏项；</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6、评标委员会认为投标人的报价明显低于其他通过符合性审查投标人的报价，有可能影响服务质量或者不能诚信履约的，且不能在评标现场合理时间内提供相关证明材料说明其报价的合理性的。</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D、不同投标人的投标文件出自同一终端设备或在相同Internet主机分配地址（相同IP地址）网上报名投标的。</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E、法律、法规和招标文件规定的其他无效情形。</w:t>
      </w:r>
    </w:p>
    <w:p>
      <w:pPr>
        <w:spacing w:line="360" w:lineRule="auto"/>
        <w:ind w:firstLine="420" w:firstLineChars="200"/>
        <w:rPr>
          <w:color w:val="000000" w:themeColor="text1"/>
          <w14:textFill>
            <w14:solidFill>
              <w14:schemeClr w14:val="tx1"/>
            </w14:solidFill>
          </w14:textFill>
        </w:rPr>
        <w:sectPr>
          <w:pgSz w:w="11907" w:h="16840"/>
          <w:pgMar w:top="1361" w:right="1474" w:bottom="1242" w:left="1474" w:header="720" w:footer="720" w:gutter="0"/>
          <w:cols w:space="720" w:num="1"/>
          <w:docGrid w:linePitch="285" w:charSpace="0"/>
        </w:sectPr>
      </w:pPr>
    </w:p>
    <w:p>
      <w:pPr>
        <w:pStyle w:val="30"/>
        <w:spacing w:before="0" w:after="0" w:line="360" w:lineRule="auto"/>
        <w:ind w:firstLine="413" w:firstLineChars="196"/>
        <w:jc w:val="both"/>
        <w:rPr>
          <w:color w:val="000000" w:themeColor="text1"/>
          <w14:textFill>
            <w14:solidFill>
              <w14:schemeClr w14:val="tx1"/>
            </w14:solidFill>
          </w14:textFill>
        </w:rPr>
      </w:pPr>
      <w:bookmarkStart w:id="208" w:name="_Toc22575"/>
      <w:r>
        <w:rPr>
          <w:rFonts w:hint="eastAsia" w:ascii="宋体" w:hAnsi="宋体" w:eastAsia="宋体" w:cs="宋体"/>
          <w:color w:val="000000" w:themeColor="text1"/>
          <w:sz w:val="21"/>
          <w:szCs w:val="21"/>
          <w14:textFill>
            <w14:solidFill>
              <w14:schemeClr w14:val="tx1"/>
            </w14:solidFill>
          </w14:textFill>
        </w:rPr>
        <w:t>六、评分标准表</w:t>
      </w:r>
      <w:bookmarkEnd w:id="208"/>
    </w:p>
    <w:tbl>
      <w:tblPr>
        <w:tblStyle w:val="40"/>
        <w:tblW w:w="93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096"/>
        <w:gridCol w:w="567"/>
        <w:gridCol w:w="6091"/>
        <w:gridCol w:w="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4" w:type="dxa"/>
            <w:gridSpan w:val="2"/>
            <w:tcBorders>
              <w:tl2br w:val="nil"/>
              <w:tr2bl w:val="nil"/>
            </w:tcBorders>
            <w:vAlign w:val="center"/>
          </w:tcPr>
          <w:p>
            <w:pPr>
              <w:spacing w:line="40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评标项目</w:t>
            </w:r>
          </w:p>
        </w:tc>
        <w:tc>
          <w:tcPr>
            <w:tcW w:w="567" w:type="dxa"/>
            <w:tcBorders>
              <w:tl2br w:val="nil"/>
              <w:tr2bl w:val="nil"/>
            </w:tcBorders>
            <w:vAlign w:val="center"/>
          </w:tcPr>
          <w:p>
            <w:pPr>
              <w:spacing w:line="40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分值</w:t>
            </w:r>
          </w:p>
        </w:tc>
        <w:tc>
          <w:tcPr>
            <w:tcW w:w="6091" w:type="dxa"/>
            <w:tcBorders>
              <w:tl2br w:val="nil"/>
              <w:tr2bl w:val="nil"/>
            </w:tcBorders>
            <w:vAlign w:val="center"/>
          </w:tcPr>
          <w:p>
            <w:pPr>
              <w:spacing w:line="40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评标要点及说明</w:t>
            </w:r>
          </w:p>
        </w:tc>
        <w:tc>
          <w:tcPr>
            <w:tcW w:w="850" w:type="dxa"/>
            <w:tcBorders>
              <w:tl2br w:val="nil"/>
              <w:tr2bl w:val="nil"/>
            </w:tcBorders>
          </w:tcPr>
          <w:p>
            <w:pPr>
              <w:spacing w:line="400" w:lineRule="exact"/>
              <w:ind w:right="-183" w:rightChars="-87"/>
              <w:jc w:val="center"/>
              <w:rPr>
                <w:rFonts w:asciiTheme="minorEastAsia" w:hAnsiTheme="minorEastAsia" w:eastAsiaTheme="minorEastAsia" w:cstheme="minorEastAsia"/>
                <w:b/>
                <w:color w:val="000000" w:themeColor="text1"/>
                <w:szCs w:val="21"/>
                <w:highlight w:val="yellow"/>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738" w:type="dxa"/>
            <w:vMerge w:val="restart"/>
            <w:tcBorders>
              <w:tl2br w:val="nil"/>
              <w:tr2bl w:val="nil"/>
            </w:tcBorders>
            <w:vAlign w:val="center"/>
          </w:tcPr>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技术</w:t>
            </w:r>
          </w:p>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资信部分</w:t>
            </w:r>
          </w:p>
          <w:p>
            <w:pPr>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70分</w:t>
            </w:r>
          </w:p>
        </w:tc>
        <w:tc>
          <w:tcPr>
            <w:tcW w:w="1096" w:type="dxa"/>
            <w:tcBorders>
              <w:tl2br w:val="nil"/>
              <w:tr2bl w:val="nil"/>
            </w:tcBorders>
            <w:vAlign w:val="center"/>
          </w:tcPr>
          <w:p>
            <w:pPr>
              <w:widowControl/>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技术指标响应</w:t>
            </w:r>
          </w:p>
        </w:tc>
        <w:tc>
          <w:tcPr>
            <w:tcW w:w="567" w:type="dxa"/>
            <w:tcBorders>
              <w:tl2br w:val="nil"/>
              <w:tr2bl w:val="nil"/>
            </w:tcBorders>
            <w:vAlign w:val="center"/>
          </w:tcPr>
          <w:p>
            <w:pPr>
              <w:widowControl/>
              <w:spacing w:line="400" w:lineRule="exact"/>
              <w:jc w:val="center"/>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24</w:t>
            </w:r>
          </w:p>
        </w:tc>
        <w:tc>
          <w:tcPr>
            <w:tcW w:w="6091" w:type="dxa"/>
            <w:tcBorders>
              <w:tl2br w:val="nil"/>
              <w:tr2bl w:val="nil"/>
            </w:tcBorders>
            <w:vAlign w:val="center"/>
          </w:tcPr>
          <w:p>
            <w:pPr>
              <w:widowControl/>
              <w:snapToGrid w:val="0"/>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完全满足招标文件技术要求的得</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24</w:t>
            </w:r>
            <w:r>
              <w:rPr>
                <w:rFonts w:hint="eastAsia" w:asciiTheme="minorEastAsia" w:hAnsiTheme="minorEastAsia" w:eastAsiaTheme="minorEastAsia" w:cstheme="minorEastAsia"/>
                <w:color w:val="000000" w:themeColor="text1"/>
                <w:szCs w:val="21"/>
                <w14:textFill>
                  <w14:solidFill>
                    <w14:schemeClr w14:val="tx1"/>
                  </w14:solidFill>
                </w14:textFill>
              </w:rPr>
              <w:t>分；</w:t>
            </w:r>
          </w:p>
          <w:p>
            <w:pPr>
              <w:widowControl/>
              <w:snapToGrid w:val="0"/>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对“*”技术要求负偏离的作无效标处理；非“*”指标每负偏离一条技术要求的扣</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Cs w:val="21"/>
                <w14:textFill>
                  <w14:solidFill>
                    <w14:schemeClr w14:val="tx1"/>
                  </w14:solidFill>
                </w14:textFill>
              </w:rPr>
              <w:t>分，负偏离技术要求超过</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Cs w:val="21"/>
                <w14:textFill>
                  <w14:solidFill>
                    <w14:schemeClr w14:val="tx1"/>
                  </w14:solidFill>
                </w14:textFill>
              </w:rPr>
              <w:t>条（含）作无效标处理。</w:t>
            </w:r>
          </w:p>
        </w:tc>
        <w:tc>
          <w:tcPr>
            <w:tcW w:w="850" w:type="dxa"/>
            <w:tcBorders>
              <w:tl2br w:val="nil"/>
              <w:tr2bl w:val="nil"/>
            </w:tcBorders>
            <w:vAlign w:val="center"/>
          </w:tcPr>
          <w:p>
            <w:pPr>
              <w:widowControl/>
              <w:snapToGrid w:val="0"/>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客观评审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738" w:type="dxa"/>
            <w:vMerge w:val="continue"/>
            <w:tcBorders>
              <w:tl2br w:val="nil"/>
              <w:tr2bl w:val="nil"/>
            </w:tcBorders>
            <w:vAlign w:val="center"/>
          </w:tcPr>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96" w:type="dxa"/>
            <w:tcBorders>
              <w:tl2br w:val="nil"/>
              <w:tr2bl w:val="nil"/>
            </w:tcBorders>
            <w:vAlign w:val="center"/>
          </w:tcPr>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业绩</w:t>
            </w:r>
          </w:p>
        </w:tc>
        <w:tc>
          <w:tcPr>
            <w:tcW w:w="567" w:type="dxa"/>
            <w:tcBorders>
              <w:tl2br w:val="nil"/>
              <w:tr2bl w:val="nil"/>
            </w:tcBorders>
            <w:vAlign w:val="center"/>
          </w:tcPr>
          <w:p>
            <w:pPr>
              <w:widowControl/>
              <w:spacing w:line="400" w:lineRule="exact"/>
              <w:jc w:val="center"/>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2</w:t>
            </w:r>
          </w:p>
        </w:tc>
        <w:tc>
          <w:tcPr>
            <w:tcW w:w="6091" w:type="dxa"/>
            <w:tcBorders>
              <w:tl2br w:val="nil"/>
              <w:tr2bl w:val="nil"/>
            </w:tcBorders>
            <w:vAlign w:val="center"/>
          </w:tcPr>
          <w:p>
            <w:pPr>
              <w:tabs>
                <w:tab w:val="left" w:pos="984"/>
              </w:tabs>
              <w:snapToGrid w:val="0"/>
              <w:spacing w:line="400" w:lineRule="exact"/>
              <w:rPr>
                <w:rFonts w:hint="default" w:eastAsia="宋体" w:asciiTheme="minorEastAsia" w:hAnsi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制造商或投标人2021年</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Cs w:val="21"/>
                <w14:textFill>
                  <w14:solidFill>
                    <w14:schemeClr w14:val="tx1"/>
                  </w14:solidFill>
                </w14:textFill>
              </w:rPr>
              <w:t>月1日（以合同签订时间为准）至今类似项目业绩的</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得2分。投标文件中提供</w:t>
            </w:r>
            <w:r>
              <w:rPr>
                <w:rFonts w:ascii="宋体" w:hAnsi="宋体"/>
                <w:sz w:val="21"/>
                <w:szCs w:val="21"/>
              </w:rPr>
              <w:t>合同首页、采购内容或技术协议相关页、签字盖章页</w:t>
            </w:r>
            <w:r>
              <w:rPr>
                <w:rFonts w:hint="eastAsia" w:ascii="宋体" w:hAnsi="宋体"/>
                <w:sz w:val="21"/>
                <w:szCs w:val="21"/>
                <w:lang w:eastAsia="zh-CN"/>
              </w:rPr>
              <w:t>，</w:t>
            </w:r>
            <w:r>
              <w:rPr>
                <w:rFonts w:hint="eastAsia" w:ascii="宋体" w:hAnsi="宋体"/>
                <w:sz w:val="21"/>
                <w:szCs w:val="21"/>
                <w:lang w:val="en-US" w:eastAsia="zh-CN"/>
              </w:rPr>
              <w:t>加盖公章。</w:t>
            </w:r>
          </w:p>
        </w:tc>
        <w:tc>
          <w:tcPr>
            <w:tcW w:w="850" w:type="dxa"/>
            <w:tcBorders>
              <w:tl2br w:val="nil"/>
              <w:tr2bl w:val="nil"/>
            </w:tcBorders>
            <w:vAlign w:val="center"/>
          </w:tcPr>
          <w:p>
            <w:pPr>
              <w:tabs>
                <w:tab w:val="left" w:pos="984"/>
              </w:tabs>
              <w:snapToGrid w:val="0"/>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客观评审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738" w:type="dxa"/>
            <w:vMerge w:val="continue"/>
            <w:tcBorders>
              <w:tl2br w:val="nil"/>
              <w:tr2bl w:val="nil"/>
            </w:tcBorders>
            <w:vAlign w:val="center"/>
          </w:tcPr>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96" w:type="dxa"/>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惯量模拟系统方案</w:t>
            </w:r>
          </w:p>
        </w:tc>
        <w:tc>
          <w:tcPr>
            <w:tcW w:w="567" w:type="dxa"/>
            <w:tcBorders>
              <w:tl2br w:val="nil"/>
              <w:tr2bl w:val="nil"/>
            </w:tcBorders>
            <w:vAlign w:val="center"/>
          </w:tcPr>
          <w:p>
            <w:pPr>
              <w:widowControl/>
              <w:spacing w:line="400" w:lineRule="exact"/>
              <w:jc w:val="center"/>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5</w:t>
            </w:r>
          </w:p>
        </w:tc>
        <w:tc>
          <w:tcPr>
            <w:tcW w:w="6091" w:type="dxa"/>
            <w:tcBorders>
              <w:tl2br w:val="nil"/>
              <w:tr2bl w:val="nil"/>
            </w:tcBorders>
            <w:vAlign w:val="center"/>
          </w:tcPr>
          <w:p>
            <w:pPr>
              <w:tabs>
                <w:tab w:val="left" w:pos="984"/>
              </w:tabs>
              <w:snapToGrid w:val="0"/>
              <w:spacing w:line="400" w:lineRule="exact"/>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评标委员会根据投标人针对</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投标产品</w:t>
            </w:r>
            <w:r>
              <w:rPr>
                <w:rFonts w:hint="eastAsia" w:asciiTheme="minorEastAsia" w:hAnsiTheme="minorEastAsia" w:eastAsiaTheme="minorEastAsia" w:cstheme="minorEastAsia"/>
                <w:color w:val="000000" w:themeColor="text1"/>
                <w:szCs w:val="21"/>
                <w14:textFill>
                  <w14:solidFill>
                    <w14:schemeClr w14:val="tx1"/>
                  </w14:solidFill>
                </w14:textFill>
              </w:rPr>
              <w:t>惯量模拟系统方案</w:t>
            </w:r>
            <w:r>
              <w:rPr>
                <w:rFonts w:hint="eastAsia" w:asciiTheme="minorEastAsia" w:hAnsiTheme="minorEastAsia" w:eastAsiaTheme="minorEastAsia" w:cstheme="minorEastAsia"/>
                <w:color w:val="000000" w:themeColor="text1"/>
                <w:szCs w:val="21"/>
                <w:lang w:val="zh-CN"/>
                <w14:textFill>
                  <w14:solidFill>
                    <w14:schemeClr w14:val="tx1"/>
                  </w14:solidFill>
                </w14:textFill>
              </w:rPr>
              <w:t>进行评议：</w:t>
            </w:r>
            <w:r>
              <w:rPr>
                <w:rFonts w:hint="eastAsia" w:asciiTheme="minorEastAsia" w:hAnsiTheme="minorEastAsia" w:eastAsiaTheme="minorEastAsia" w:cstheme="minorEastAsia"/>
                <w:color w:val="000000" w:themeColor="text1"/>
                <w:szCs w:val="21"/>
                <w14:textFill>
                  <w14:solidFill>
                    <w14:schemeClr w14:val="tx1"/>
                  </w14:solidFill>
                </w14:textFill>
              </w:rPr>
              <w:t>方案</w:t>
            </w:r>
            <w:r>
              <w:rPr>
                <w:rFonts w:hint="eastAsia" w:asciiTheme="minorEastAsia" w:hAnsiTheme="minorEastAsia" w:eastAsiaTheme="minorEastAsia" w:cstheme="minorEastAsia"/>
                <w:szCs w:val="21"/>
              </w:rPr>
              <w:t>欠合理，欠充足，欠全面，欠完善，欠可行的，每项扣0.5分；</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配置</w:t>
            </w:r>
            <w:r>
              <w:rPr>
                <w:rFonts w:hint="eastAsia" w:asciiTheme="minorEastAsia" w:hAnsiTheme="minorEastAsia" w:eastAsiaTheme="minorEastAsia" w:cstheme="minorEastAsia"/>
                <w:color w:val="000000" w:themeColor="text1"/>
                <w:szCs w:val="21"/>
                <w14:textFill>
                  <w14:solidFill>
                    <w14:schemeClr w14:val="tx1"/>
                  </w14:solidFill>
                </w14:textFill>
              </w:rPr>
              <w:t>方案</w:t>
            </w:r>
            <w:r>
              <w:rPr>
                <w:rFonts w:hint="eastAsia" w:asciiTheme="minorEastAsia" w:hAnsiTheme="minorEastAsia" w:eastAsiaTheme="minorEastAsia" w:cstheme="minorEastAsia"/>
                <w:szCs w:val="21"/>
              </w:rPr>
              <w:t>不合理，不充足，不全面，不完善，不可行的，每项扣1分。（</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分）</w:t>
            </w:r>
          </w:p>
        </w:tc>
        <w:tc>
          <w:tcPr>
            <w:tcW w:w="850" w:type="dxa"/>
            <w:tcBorders>
              <w:tl2br w:val="nil"/>
              <w:tr2bl w:val="nil"/>
            </w:tcBorders>
            <w:vAlign w:val="center"/>
          </w:tcPr>
          <w:p>
            <w:pPr>
              <w:tabs>
                <w:tab w:val="left" w:pos="984"/>
              </w:tabs>
              <w:snapToGrid w:val="0"/>
              <w:spacing w:line="400" w:lineRule="exact"/>
              <w:jc w:val="cente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主观评审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738" w:type="dxa"/>
            <w:vMerge w:val="continue"/>
            <w:tcBorders>
              <w:tl2br w:val="nil"/>
              <w:tr2bl w:val="nil"/>
            </w:tcBorders>
            <w:vAlign w:val="center"/>
          </w:tcPr>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96" w:type="dxa"/>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惯量驱动系统</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方案</w:t>
            </w:r>
          </w:p>
        </w:tc>
        <w:tc>
          <w:tcPr>
            <w:tcW w:w="567" w:type="dxa"/>
            <w:tcBorders>
              <w:tl2br w:val="nil"/>
              <w:tr2bl w:val="nil"/>
            </w:tcBorders>
            <w:vAlign w:val="center"/>
          </w:tcPr>
          <w:p>
            <w:pPr>
              <w:widowControl/>
              <w:spacing w:line="400" w:lineRule="exact"/>
              <w:jc w:val="center"/>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5</w:t>
            </w:r>
          </w:p>
        </w:tc>
        <w:tc>
          <w:tcPr>
            <w:tcW w:w="6091" w:type="dxa"/>
            <w:tcBorders>
              <w:tl2br w:val="nil"/>
              <w:tr2bl w:val="nil"/>
            </w:tcBorders>
            <w:vAlign w:val="center"/>
          </w:tcPr>
          <w:p>
            <w:pPr>
              <w:tabs>
                <w:tab w:val="left" w:pos="984"/>
              </w:tabs>
              <w:snapToGrid w:val="0"/>
              <w:spacing w:line="400" w:lineRule="exac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评标委员会根据投标人针对</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投标产品</w:t>
            </w:r>
            <w:r>
              <w:rPr>
                <w:rFonts w:hint="eastAsia" w:asciiTheme="minorEastAsia" w:hAnsiTheme="minorEastAsia" w:eastAsiaTheme="minorEastAsia" w:cstheme="minorEastAsia"/>
                <w:color w:val="000000" w:themeColor="text1"/>
                <w:szCs w:val="21"/>
                <w14:textFill>
                  <w14:solidFill>
                    <w14:schemeClr w14:val="tx1"/>
                  </w14:solidFill>
                </w14:textFill>
              </w:rPr>
              <w:t>惯量驱动系统方案</w:t>
            </w:r>
            <w:r>
              <w:rPr>
                <w:rFonts w:hint="eastAsia" w:asciiTheme="minorEastAsia" w:hAnsiTheme="minorEastAsia" w:eastAsiaTheme="minorEastAsia" w:cstheme="minorEastAsia"/>
                <w:color w:val="000000" w:themeColor="text1"/>
                <w:szCs w:val="21"/>
                <w:lang w:val="zh-CN"/>
                <w14:textFill>
                  <w14:solidFill>
                    <w14:schemeClr w14:val="tx1"/>
                  </w14:solidFill>
                </w14:textFill>
              </w:rPr>
              <w:t>进行评议：</w:t>
            </w:r>
            <w:r>
              <w:rPr>
                <w:rFonts w:hint="eastAsia" w:asciiTheme="minorEastAsia" w:hAnsiTheme="minorEastAsia" w:eastAsiaTheme="minorEastAsia" w:cstheme="minorEastAsia"/>
                <w:szCs w:val="21"/>
              </w:rPr>
              <w:t>欠合理，欠充足，欠全面，欠完善，欠可行的，每项扣0.5分；不合理，不充足，不全面，不完善，不可行的，每项扣1分。（</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分）</w:t>
            </w:r>
          </w:p>
        </w:tc>
        <w:tc>
          <w:tcPr>
            <w:tcW w:w="850" w:type="dxa"/>
            <w:tcBorders>
              <w:tl2br w:val="nil"/>
              <w:tr2bl w:val="nil"/>
            </w:tcBorders>
            <w:vAlign w:val="center"/>
          </w:tcPr>
          <w:p>
            <w:pPr>
              <w:tabs>
                <w:tab w:val="left" w:pos="984"/>
              </w:tabs>
              <w:snapToGrid w:val="0"/>
              <w:spacing w:line="400" w:lineRule="exact"/>
              <w:jc w:val="cente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主观评审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738" w:type="dxa"/>
            <w:vMerge w:val="continue"/>
            <w:tcBorders>
              <w:tl2br w:val="nil"/>
              <w:tr2bl w:val="nil"/>
            </w:tcBorders>
            <w:vAlign w:val="center"/>
          </w:tcPr>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96" w:type="dxa"/>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载荷压下系统方案</w:t>
            </w:r>
          </w:p>
        </w:tc>
        <w:tc>
          <w:tcPr>
            <w:tcW w:w="567" w:type="dxa"/>
            <w:tcBorders>
              <w:tl2br w:val="nil"/>
              <w:tr2bl w:val="nil"/>
            </w:tcBorders>
            <w:vAlign w:val="center"/>
          </w:tcPr>
          <w:p>
            <w:pPr>
              <w:widowControl/>
              <w:spacing w:line="400" w:lineRule="exact"/>
              <w:jc w:val="center"/>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5</w:t>
            </w:r>
          </w:p>
        </w:tc>
        <w:tc>
          <w:tcPr>
            <w:tcW w:w="6091" w:type="dxa"/>
            <w:tcBorders>
              <w:tl2br w:val="nil"/>
              <w:tr2bl w:val="nil"/>
            </w:tcBorders>
            <w:vAlign w:val="center"/>
          </w:tcPr>
          <w:p>
            <w:pPr>
              <w:tabs>
                <w:tab w:val="left" w:pos="984"/>
              </w:tabs>
              <w:snapToGrid w:val="0"/>
              <w:spacing w:line="400" w:lineRule="exac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评标委员会根据投标人针对</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投标产品</w:t>
            </w:r>
            <w:r>
              <w:rPr>
                <w:rFonts w:hint="eastAsia" w:asciiTheme="minorEastAsia" w:hAnsiTheme="minorEastAsia" w:eastAsiaTheme="minorEastAsia" w:cstheme="minorEastAsia"/>
                <w:color w:val="000000" w:themeColor="text1"/>
                <w:szCs w:val="21"/>
                <w14:textFill>
                  <w14:solidFill>
                    <w14:schemeClr w14:val="tx1"/>
                  </w14:solidFill>
                </w14:textFill>
              </w:rPr>
              <w:t>载荷压下系统方案</w:t>
            </w:r>
            <w:r>
              <w:rPr>
                <w:rFonts w:hint="eastAsia" w:asciiTheme="minorEastAsia" w:hAnsiTheme="minorEastAsia" w:eastAsiaTheme="minorEastAsia" w:cstheme="minorEastAsia"/>
                <w:color w:val="000000" w:themeColor="text1"/>
                <w:szCs w:val="21"/>
                <w:lang w:val="zh-CN"/>
                <w14:textFill>
                  <w14:solidFill>
                    <w14:schemeClr w14:val="tx1"/>
                  </w14:solidFill>
                </w14:textFill>
              </w:rPr>
              <w:t>进行评议：</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配置</w:t>
            </w:r>
            <w:r>
              <w:rPr>
                <w:rFonts w:hint="eastAsia" w:asciiTheme="minorEastAsia" w:hAnsiTheme="minorEastAsia" w:eastAsiaTheme="minorEastAsia" w:cstheme="minorEastAsia"/>
                <w:color w:val="000000" w:themeColor="text1"/>
                <w:szCs w:val="21"/>
                <w14:textFill>
                  <w14:solidFill>
                    <w14:schemeClr w14:val="tx1"/>
                  </w14:solidFill>
                </w14:textFill>
              </w:rPr>
              <w:t>方案</w:t>
            </w:r>
            <w:r>
              <w:rPr>
                <w:rFonts w:hint="eastAsia" w:asciiTheme="minorEastAsia" w:hAnsiTheme="minorEastAsia" w:eastAsiaTheme="minorEastAsia" w:cstheme="minorEastAsia"/>
                <w:szCs w:val="21"/>
              </w:rPr>
              <w:t>欠合理，欠充足，欠全面，欠完善，欠可行的，每项扣0.5分；</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配置</w:t>
            </w:r>
            <w:r>
              <w:rPr>
                <w:rFonts w:hint="eastAsia" w:asciiTheme="minorEastAsia" w:hAnsiTheme="minorEastAsia" w:eastAsiaTheme="minorEastAsia" w:cstheme="minorEastAsia"/>
                <w:color w:val="000000" w:themeColor="text1"/>
                <w:szCs w:val="21"/>
                <w14:textFill>
                  <w14:solidFill>
                    <w14:schemeClr w14:val="tx1"/>
                  </w14:solidFill>
                </w14:textFill>
              </w:rPr>
              <w:t>方案</w:t>
            </w:r>
            <w:r>
              <w:rPr>
                <w:rFonts w:hint="eastAsia" w:asciiTheme="minorEastAsia" w:hAnsiTheme="minorEastAsia" w:eastAsiaTheme="minorEastAsia" w:cstheme="minorEastAsia"/>
                <w:szCs w:val="21"/>
              </w:rPr>
              <w:t>不合理，不充足，不全面，不完善，不可行的，每项扣1分。（</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分）</w:t>
            </w:r>
          </w:p>
        </w:tc>
        <w:tc>
          <w:tcPr>
            <w:tcW w:w="850" w:type="dxa"/>
            <w:tcBorders>
              <w:tl2br w:val="nil"/>
              <w:tr2bl w:val="nil"/>
            </w:tcBorders>
            <w:vAlign w:val="center"/>
          </w:tcPr>
          <w:p>
            <w:pPr>
              <w:tabs>
                <w:tab w:val="left" w:pos="984"/>
              </w:tabs>
              <w:snapToGrid w:val="0"/>
              <w:spacing w:line="400" w:lineRule="exact"/>
              <w:jc w:val="cente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主观评审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738" w:type="dxa"/>
            <w:vMerge w:val="continue"/>
            <w:tcBorders>
              <w:tl2br w:val="nil"/>
              <w:tr2bl w:val="nil"/>
            </w:tcBorders>
            <w:vAlign w:val="center"/>
          </w:tcPr>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96" w:type="dxa"/>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综合测控系统</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方案</w:t>
            </w:r>
          </w:p>
        </w:tc>
        <w:tc>
          <w:tcPr>
            <w:tcW w:w="567" w:type="dxa"/>
            <w:tcBorders>
              <w:tl2br w:val="nil"/>
              <w:tr2bl w:val="nil"/>
            </w:tcBorders>
            <w:vAlign w:val="center"/>
          </w:tcPr>
          <w:p>
            <w:pPr>
              <w:widowControl/>
              <w:spacing w:line="400" w:lineRule="exact"/>
              <w:jc w:val="center"/>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5</w:t>
            </w:r>
          </w:p>
        </w:tc>
        <w:tc>
          <w:tcPr>
            <w:tcW w:w="6091" w:type="dxa"/>
            <w:tcBorders>
              <w:tl2br w:val="nil"/>
              <w:tr2bl w:val="nil"/>
            </w:tcBorders>
            <w:vAlign w:val="center"/>
          </w:tcPr>
          <w:p>
            <w:pPr>
              <w:tabs>
                <w:tab w:val="left" w:pos="984"/>
              </w:tabs>
              <w:snapToGrid w:val="0"/>
              <w:spacing w:line="400" w:lineRule="exac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评标委员会根据投标人针对</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投标产品</w:t>
            </w:r>
            <w:r>
              <w:rPr>
                <w:rFonts w:hint="eastAsia" w:asciiTheme="minorEastAsia" w:hAnsiTheme="minorEastAsia" w:eastAsiaTheme="minorEastAsia" w:cstheme="minorEastAsia"/>
                <w:color w:val="000000" w:themeColor="text1"/>
                <w:szCs w:val="21"/>
                <w14:textFill>
                  <w14:solidFill>
                    <w14:schemeClr w14:val="tx1"/>
                  </w14:solidFill>
                </w14:textFill>
              </w:rPr>
              <w:t>综合测控系统方案</w:t>
            </w:r>
            <w:r>
              <w:rPr>
                <w:rFonts w:hint="eastAsia" w:asciiTheme="minorEastAsia" w:hAnsiTheme="minorEastAsia" w:eastAsiaTheme="minorEastAsia" w:cstheme="minorEastAsia"/>
                <w:color w:val="000000" w:themeColor="text1"/>
                <w:szCs w:val="21"/>
                <w:lang w:val="zh-CN"/>
                <w14:textFill>
                  <w14:solidFill>
                    <w14:schemeClr w14:val="tx1"/>
                  </w14:solidFill>
                </w14:textFill>
              </w:rPr>
              <w:t>进行评议：</w:t>
            </w:r>
            <w:r>
              <w:rPr>
                <w:rFonts w:hint="eastAsia" w:asciiTheme="minorEastAsia" w:hAnsiTheme="minorEastAsia" w:eastAsiaTheme="minorEastAsia" w:cstheme="minorEastAsia"/>
                <w:color w:val="000000" w:themeColor="text1"/>
                <w:szCs w:val="21"/>
                <w14:textFill>
                  <w14:solidFill>
                    <w14:schemeClr w14:val="tx1"/>
                  </w14:solidFill>
                </w14:textFill>
              </w:rPr>
              <w:t>方案</w:t>
            </w:r>
            <w:r>
              <w:rPr>
                <w:rFonts w:hint="eastAsia" w:asciiTheme="minorEastAsia" w:hAnsiTheme="minorEastAsia" w:eastAsiaTheme="minorEastAsia" w:cstheme="minorEastAsia"/>
                <w:szCs w:val="21"/>
              </w:rPr>
              <w:t>欠合理，欠充足，欠全面，欠完善，欠可行的，每项扣0.5分；</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配置</w:t>
            </w:r>
            <w:r>
              <w:rPr>
                <w:rFonts w:hint="eastAsia" w:asciiTheme="minorEastAsia" w:hAnsiTheme="minorEastAsia" w:eastAsiaTheme="minorEastAsia" w:cstheme="minorEastAsia"/>
                <w:color w:val="000000" w:themeColor="text1"/>
                <w:szCs w:val="21"/>
                <w14:textFill>
                  <w14:solidFill>
                    <w14:schemeClr w14:val="tx1"/>
                  </w14:solidFill>
                </w14:textFill>
              </w:rPr>
              <w:t>方案</w:t>
            </w:r>
            <w:r>
              <w:rPr>
                <w:rFonts w:hint="eastAsia" w:asciiTheme="minorEastAsia" w:hAnsiTheme="minorEastAsia" w:eastAsiaTheme="minorEastAsia" w:cstheme="minorEastAsia"/>
                <w:szCs w:val="21"/>
              </w:rPr>
              <w:t>不合理，不充足，不全面，不完善，不可行的，每项扣1分。（</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分）</w:t>
            </w:r>
          </w:p>
        </w:tc>
        <w:tc>
          <w:tcPr>
            <w:tcW w:w="850" w:type="dxa"/>
            <w:tcBorders>
              <w:tl2br w:val="nil"/>
              <w:tr2bl w:val="nil"/>
            </w:tcBorders>
            <w:vAlign w:val="center"/>
          </w:tcPr>
          <w:p>
            <w:pPr>
              <w:tabs>
                <w:tab w:val="left" w:pos="984"/>
              </w:tabs>
              <w:snapToGrid w:val="0"/>
              <w:spacing w:line="400" w:lineRule="exact"/>
              <w:jc w:val="cente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主观评审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738" w:type="dxa"/>
            <w:vMerge w:val="continue"/>
            <w:tcBorders>
              <w:tl2br w:val="nil"/>
              <w:tr2bl w:val="nil"/>
            </w:tcBorders>
            <w:vAlign w:val="center"/>
          </w:tcPr>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96" w:type="dxa"/>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机械台架</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配置</w:t>
            </w:r>
            <w:r>
              <w:rPr>
                <w:rFonts w:hint="eastAsia" w:asciiTheme="minorEastAsia" w:hAnsiTheme="minorEastAsia" w:eastAsiaTheme="minorEastAsia" w:cstheme="minorEastAsia"/>
                <w:color w:val="000000" w:themeColor="text1"/>
                <w:szCs w:val="21"/>
                <w14:textFill>
                  <w14:solidFill>
                    <w14:schemeClr w14:val="tx1"/>
                  </w14:solidFill>
                </w14:textFill>
              </w:rPr>
              <w:t>方案</w:t>
            </w:r>
          </w:p>
        </w:tc>
        <w:tc>
          <w:tcPr>
            <w:tcW w:w="567" w:type="dxa"/>
            <w:tcBorders>
              <w:tl2br w:val="nil"/>
              <w:tr2bl w:val="nil"/>
            </w:tcBorders>
            <w:vAlign w:val="center"/>
          </w:tcPr>
          <w:p>
            <w:pPr>
              <w:widowControl/>
              <w:spacing w:line="400" w:lineRule="exact"/>
              <w:jc w:val="center"/>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5</w:t>
            </w:r>
          </w:p>
        </w:tc>
        <w:tc>
          <w:tcPr>
            <w:tcW w:w="6091" w:type="dxa"/>
            <w:tcBorders>
              <w:tl2br w:val="nil"/>
              <w:tr2bl w:val="nil"/>
            </w:tcBorders>
            <w:vAlign w:val="center"/>
          </w:tcPr>
          <w:p>
            <w:pPr>
              <w:tabs>
                <w:tab w:val="left" w:pos="984"/>
              </w:tabs>
              <w:snapToGrid w:val="0"/>
              <w:spacing w:line="400" w:lineRule="exac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评标委员会根据投标人针对</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投标产品</w:t>
            </w:r>
            <w:r>
              <w:rPr>
                <w:rFonts w:hint="eastAsia" w:asciiTheme="minorEastAsia" w:hAnsiTheme="minorEastAsia" w:eastAsiaTheme="minorEastAsia" w:cstheme="minorEastAsia"/>
                <w:color w:val="000000" w:themeColor="text1"/>
                <w:szCs w:val="21"/>
                <w14:textFill>
                  <w14:solidFill>
                    <w14:schemeClr w14:val="tx1"/>
                  </w14:solidFill>
                </w14:textFill>
              </w:rPr>
              <w:t>机械台架</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配置</w:t>
            </w:r>
            <w:r>
              <w:rPr>
                <w:rFonts w:hint="eastAsia" w:asciiTheme="minorEastAsia" w:hAnsiTheme="minorEastAsia" w:eastAsiaTheme="minorEastAsia" w:cstheme="minorEastAsia"/>
                <w:color w:val="000000" w:themeColor="text1"/>
                <w:szCs w:val="21"/>
                <w14:textFill>
                  <w14:solidFill>
                    <w14:schemeClr w14:val="tx1"/>
                  </w14:solidFill>
                </w14:textFill>
              </w:rPr>
              <w:t>方案</w:t>
            </w:r>
            <w:r>
              <w:rPr>
                <w:rFonts w:hint="eastAsia" w:asciiTheme="minorEastAsia" w:hAnsiTheme="minorEastAsia" w:eastAsiaTheme="minorEastAsia" w:cstheme="minorEastAsia"/>
                <w:color w:val="000000" w:themeColor="text1"/>
                <w:szCs w:val="21"/>
                <w:lang w:val="zh-CN"/>
                <w14:textFill>
                  <w14:solidFill>
                    <w14:schemeClr w14:val="tx1"/>
                  </w14:solidFill>
                </w14:textFill>
              </w:rPr>
              <w:t>进行评议：</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配置</w:t>
            </w:r>
            <w:r>
              <w:rPr>
                <w:rFonts w:hint="eastAsia" w:asciiTheme="minorEastAsia" w:hAnsiTheme="minorEastAsia" w:eastAsiaTheme="minorEastAsia" w:cstheme="minorEastAsia"/>
                <w:color w:val="000000" w:themeColor="text1"/>
                <w:szCs w:val="21"/>
                <w14:textFill>
                  <w14:solidFill>
                    <w14:schemeClr w14:val="tx1"/>
                  </w14:solidFill>
                </w14:textFill>
              </w:rPr>
              <w:t>方案</w:t>
            </w:r>
            <w:r>
              <w:rPr>
                <w:rFonts w:hint="eastAsia" w:asciiTheme="minorEastAsia" w:hAnsiTheme="minorEastAsia" w:eastAsiaTheme="minorEastAsia" w:cstheme="minorEastAsia"/>
                <w:szCs w:val="21"/>
              </w:rPr>
              <w:t>欠合理，欠充足，欠全面，欠完善，欠可行的，每项扣0.5分；</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配置</w:t>
            </w:r>
            <w:r>
              <w:rPr>
                <w:rFonts w:hint="eastAsia" w:asciiTheme="minorEastAsia" w:hAnsiTheme="minorEastAsia" w:eastAsiaTheme="minorEastAsia" w:cstheme="minorEastAsia"/>
                <w:color w:val="000000" w:themeColor="text1"/>
                <w:szCs w:val="21"/>
                <w14:textFill>
                  <w14:solidFill>
                    <w14:schemeClr w14:val="tx1"/>
                  </w14:solidFill>
                </w14:textFill>
              </w:rPr>
              <w:t>方案</w:t>
            </w:r>
            <w:r>
              <w:rPr>
                <w:rFonts w:hint="eastAsia" w:asciiTheme="minorEastAsia" w:hAnsiTheme="minorEastAsia" w:eastAsiaTheme="minorEastAsia" w:cstheme="minorEastAsia"/>
                <w:szCs w:val="21"/>
              </w:rPr>
              <w:t>不合理，不充足，不全面，不完善，不可行的，每项扣1分。（</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分）</w:t>
            </w:r>
          </w:p>
        </w:tc>
        <w:tc>
          <w:tcPr>
            <w:tcW w:w="850" w:type="dxa"/>
            <w:tcBorders>
              <w:tl2br w:val="nil"/>
              <w:tr2bl w:val="nil"/>
            </w:tcBorders>
            <w:vAlign w:val="center"/>
          </w:tcPr>
          <w:p>
            <w:pPr>
              <w:tabs>
                <w:tab w:val="left" w:pos="984"/>
              </w:tabs>
              <w:snapToGrid w:val="0"/>
              <w:spacing w:line="400" w:lineRule="exact"/>
              <w:jc w:val="cente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主观评审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38" w:type="dxa"/>
            <w:vMerge w:val="continue"/>
            <w:tcBorders>
              <w:tl2br w:val="nil"/>
              <w:tr2bl w:val="nil"/>
            </w:tcBorders>
            <w:vAlign w:val="center"/>
          </w:tcPr>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96" w:type="dxa"/>
            <w:tcBorders>
              <w:tl2br w:val="nil"/>
              <w:tr2bl w:val="nil"/>
            </w:tcBorders>
            <w:vAlign w:val="center"/>
          </w:tcPr>
          <w:p>
            <w:pPr>
              <w:tabs>
                <w:tab w:val="left" w:pos="984"/>
              </w:tabs>
              <w:spacing w:line="400" w:lineRule="exact"/>
              <w:jc w:val="center"/>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货物运输、安装方案</w:t>
            </w:r>
          </w:p>
        </w:tc>
        <w:tc>
          <w:tcPr>
            <w:tcW w:w="567" w:type="dxa"/>
            <w:tcBorders>
              <w:tl2br w:val="nil"/>
              <w:tr2bl w:val="nil"/>
            </w:tcBorders>
            <w:vAlign w:val="center"/>
          </w:tcPr>
          <w:p>
            <w:pPr>
              <w:widowControl/>
              <w:spacing w:line="400" w:lineRule="exact"/>
              <w:jc w:val="center"/>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5</w:t>
            </w:r>
          </w:p>
        </w:tc>
        <w:tc>
          <w:tcPr>
            <w:tcW w:w="6091" w:type="dxa"/>
            <w:tcBorders>
              <w:tl2br w:val="nil"/>
              <w:tr2bl w:val="nil"/>
            </w:tcBorders>
            <w:vAlign w:val="center"/>
          </w:tcPr>
          <w:p>
            <w:pPr>
              <w:tabs>
                <w:tab w:val="left" w:pos="984"/>
              </w:tabs>
              <w:snapToGrid w:val="0"/>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评标委员会根据投标人针对本项目运输安装方案（包括运输</w:t>
            </w:r>
            <w:r>
              <w:rPr>
                <w:rFonts w:hint="eastAsia" w:asciiTheme="minorEastAsia" w:hAnsiTheme="minorEastAsia" w:eastAsiaTheme="minorEastAsia" w:cstheme="minorEastAsia"/>
                <w:color w:val="000000" w:themeColor="text1"/>
                <w:szCs w:val="21"/>
                <w14:textFill>
                  <w14:solidFill>
                    <w14:schemeClr w14:val="tx1"/>
                  </w14:solidFill>
                </w14:textFill>
              </w:rPr>
              <w:t>方案全面</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、安装、调试</w:t>
            </w:r>
            <w:r>
              <w:rPr>
                <w:rFonts w:hint="eastAsia" w:asciiTheme="minorEastAsia" w:hAnsiTheme="minorEastAsia" w:eastAsiaTheme="minorEastAsia" w:cstheme="minorEastAsia"/>
                <w:color w:val="000000" w:themeColor="text1"/>
                <w:szCs w:val="21"/>
                <w14:textFill>
                  <w14:solidFill>
                    <w14:schemeClr w14:val="tx1"/>
                  </w14:solidFill>
                </w14:textFill>
              </w:rPr>
              <w:t>进度合理</w:t>
            </w:r>
            <w:r>
              <w:rPr>
                <w:rFonts w:hint="eastAsia" w:asciiTheme="minorEastAsia" w:hAnsiTheme="minorEastAsia" w:eastAsiaTheme="minorEastAsia" w:cstheme="minorEastAsia"/>
                <w:color w:val="000000" w:themeColor="text1"/>
                <w:szCs w:val="21"/>
                <w:lang w:val="zh-CN"/>
                <w14:textFill>
                  <w14:solidFill>
                    <w14:schemeClr w14:val="tx1"/>
                  </w14:solidFill>
                </w14:textFill>
              </w:rPr>
              <w:t>、验收方案</w:t>
            </w:r>
            <w:r>
              <w:rPr>
                <w:rFonts w:hint="eastAsia" w:asciiTheme="minorEastAsia" w:hAnsiTheme="minorEastAsia" w:eastAsiaTheme="minorEastAsia" w:cstheme="minorEastAsia"/>
                <w:color w:val="000000" w:themeColor="text1"/>
                <w:szCs w:val="21"/>
                <w14:textFill>
                  <w14:solidFill>
                    <w14:schemeClr w14:val="tx1"/>
                  </w14:solidFill>
                </w14:textFill>
              </w:rPr>
              <w:t>全面合理</w:t>
            </w:r>
            <w:r>
              <w:rPr>
                <w:rFonts w:hint="eastAsia" w:asciiTheme="minorEastAsia" w:hAnsiTheme="minorEastAsia" w:eastAsiaTheme="minorEastAsia" w:cstheme="minorEastAsia"/>
                <w:color w:val="000000" w:themeColor="text1"/>
                <w:szCs w:val="21"/>
                <w:lang w:val="zh-CN"/>
                <w14:textFill>
                  <w14:solidFill>
                    <w14:schemeClr w14:val="tx1"/>
                  </w14:solidFill>
                </w14:textFill>
              </w:rPr>
              <w:t>）进行评议</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color w:val="000000" w:themeColor="text1"/>
                <w:szCs w:val="21"/>
                <w:lang w:val="zh-CN"/>
                <w14:textFill>
                  <w14:solidFill>
                    <w14:schemeClr w14:val="tx1"/>
                  </w14:solidFill>
                </w14:textFill>
              </w:rPr>
              <w:t>运输、安装、调试、验收方案</w:t>
            </w:r>
            <w:r>
              <w:rPr>
                <w:rFonts w:hint="eastAsia" w:asciiTheme="minorEastAsia" w:hAnsiTheme="minorEastAsia" w:eastAsiaTheme="minorEastAsia" w:cstheme="minorEastAsia"/>
                <w:szCs w:val="21"/>
              </w:rPr>
              <w:t>欠合理，欠充足，欠全面，欠完善，欠可行的，每项扣0.5分；不合理，不充足，</w:t>
            </w:r>
            <w:r>
              <w:rPr>
                <w:rFonts w:hint="eastAsia" w:asciiTheme="minorEastAsia" w:hAnsiTheme="minorEastAsia" w:eastAsiaTheme="minorEastAsia" w:cstheme="minorEastAsia"/>
                <w:color w:val="000000" w:themeColor="text1"/>
                <w:szCs w:val="21"/>
                <w:lang w:val="zh-CN"/>
                <w14:textFill>
                  <w14:solidFill>
                    <w14:schemeClr w14:val="tx1"/>
                  </w14:solidFill>
                </w14:textFill>
              </w:rPr>
              <w:t>运输、安装、调试、验收方案</w:t>
            </w:r>
            <w:r>
              <w:rPr>
                <w:rFonts w:hint="eastAsia" w:asciiTheme="minorEastAsia" w:hAnsiTheme="minorEastAsia" w:eastAsiaTheme="minorEastAsia" w:cstheme="minorEastAsia"/>
                <w:szCs w:val="21"/>
              </w:rPr>
              <w:t>不全面，不完善，不可行的，每项扣1分。（</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分）</w:t>
            </w:r>
          </w:p>
        </w:tc>
        <w:tc>
          <w:tcPr>
            <w:tcW w:w="850" w:type="dxa"/>
            <w:tcBorders>
              <w:tl2br w:val="nil"/>
              <w:tr2bl w:val="nil"/>
            </w:tcBorders>
            <w:vAlign w:val="center"/>
          </w:tcPr>
          <w:p>
            <w:pPr>
              <w:tabs>
                <w:tab w:val="left" w:pos="984"/>
              </w:tabs>
              <w:snapToGrid w:val="0"/>
              <w:spacing w:line="400" w:lineRule="exact"/>
              <w:jc w:val="center"/>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主观评审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738" w:type="dxa"/>
            <w:vMerge w:val="continue"/>
            <w:tcBorders>
              <w:tl2br w:val="nil"/>
              <w:tr2bl w:val="nil"/>
            </w:tcBorders>
            <w:vAlign w:val="center"/>
          </w:tcPr>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96" w:type="dxa"/>
            <w:tcBorders>
              <w:tl2br w:val="nil"/>
              <w:tr2bl w:val="nil"/>
            </w:tcBorders>
            <w:vAlign w:val="center"/>
          </w:tcPr>
          <w:p>
            <w:pPr>
              <w:tabs>
                <w:tab w:val="left" w:pos="984"/>
              </w:tabs>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培训方案</w:t>
            </w:r>
          </w:p>
        </w:tc>
        <w:tc>
          <w:tcPr>
            <w:tcW w:w="567" w:type="dxa"/>
            <w:tcBorders>
              <w:tl2br w:val="nil"/>
              <w:tr2bl w:val="nil"/>
            </w:tcBorders>
            <w:vAlign w:val="center"/>
          </w:tcPr>
          <w:p>
            <w:pPr>
              <w:widowControl/>
              <w:spacing w:line="400" w:lineRule="exact"/>
              <w:jc w:val="center"/>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5</w:t>
            </w:r>
          </w:p>
        </w:tc>
        <w:tc>
          <w:tcPr>
            <w:tcW w:w="6091" w:type="dxa"/>
            <w:tcBorders>
              <w:tl2br w:val="nil"/>
              <w:tr2bl w:val="nil"/>
            </w:tcBorders>
            <w:vAlign w:val="center"/>
          </w:tcPr>
          <w:p>
            <w:pPr>
              <w:tabs>
                <w:tab w:val="left" w:pos="984"/>
              </w:tabs>
              <w:snapToGrid w:val="0"/>
              <w:spacing w:line="400" w:lineRule="exac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评标委员会根据投标人的培训方案（包括培训次数</w:t>
            </w:r>
            <w:r>
              <w:rPr>
                <w:rFonts w:hint="eastAsia" w:asciiTheme="minorEastAsia" w:hAnsiTheme="minorEastAsia" w:eastAsiaTheme="minorEastAsia" w:cstheme="minorEastAsia"/>
                <w:color w:val="000000" w:themeColor="text1"/>
                <w:szCs w:val="21"/>
                <w14:textFill>
                  <w14:solidFill>
                    <w14:schemeClr w14:val="tx1"/>
                  </w14:solidFill>
                </w14:textFill>
              </w:rPr>
              <w:t>充足</w:t>
            </w:r>
            <w:r>
              <w:rPr>
                <w:rFonts w:hint="eastAsia" w:asciiTheme="minorEastAsia" w:hAnsiTheme="minorEastAsia" w:eastAsiaTheme="minorEastAsia" w:cstheme="minorEastAsia"/>
                <w:color w:val="000000" w:themeColor="text1"/>
                <w:szCs w:val="21"/>
                <w:lang w:val="zh-CN"/>
                <w14:textFill>
                  <w14:solidFill>
                    <w14:schemeClr w14:val="tx1"/>
                  </w14:solidFill>
                </w14:textFill>
              </w:rPr>
              <w:t>、每次培训人数、总人数</w:t>
            </w:r>
            <w:r>
              <w:rPr>
                <w:rFonts w:hint="eastAsia" w:asciiTheme="minorEastAsia" w:hAnsiTheme="minorEastAsia" w:eastAsiaTheme="minorEastAsia" w:cstheme="minorEastAsia"/>
                <w:color w:val="000000" w:themeColor="text1"/>
                <w:szCs w:val="21"/>
                <w14:textFill>
                  <w14:solidFill>
                    <w14:schemeClr w14:val="tx1"/>
                  </w14:solidFill>
                </w14:textFill>
              </w:rPr>
              <w:t>合理</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、培训内容</w:t>
            </w:r>
            <w:r>
              <w:rPr>
                <w:rFonts w:hint="eastAsia" w:asciiTheme="minorEastAsia" w:hAnsiTheme="minorEastAsia" w:eastAsiaTheme="minorEastAsia" w:cstheme="minorEastAsia"/>
                <w:color w:val="000000" w:themeColor="text1"/>
                <w:szCs w:val="21"/>
                <w14:textFill>
                  <w14:solidFill>
                    <w14:schemeClr w14:val="tx1"/>
                  </w14:solidFill>
                </w14:textFill>
              </w:rPr>
              <w:t>丰富有效</w:t>
            </w:r>
            <w:r>
              <w:rPr>
                <w:rFonts w:hint="eastAsia" w:asciiTheme="minorEastAsia" w:hAnsiTheme="minorEastAsia" w:eastAsiaTheme="minorEastAsia" w:cstheme="minorEastAsia"/>
                <w:color w:val="000000" w:themeColor="text1"/>
                <w:szCs w:val="21"/>
                <w:lang w:val="zh-CN"/>
                <w14:textFill>
                  <w14:solidFill>
                    <w14:schemeClr w14:val="tx1"/>
                  </w14:solidFill>
                </w14:textFill>
              </w:rPr>
              <w:t>等）进行评议。培训次数</w:t>
            </w:r>
            <w:r>
              <w:rPr>
                <w:rFonts w:hint="eastAsia" w:asciiTheme="minorEastAsia" w:hAnsiTheme="minorEastAsia" w:eastAsiaTheme="minorEastAsia" w:cstheme="minorEastAsia"/>
                <w:szCs w:val="21"/>
              </w:rPr>
              <w:t>欠合理，</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培训内容</w:t>
            </w:r>
            <w:r>
              <w:rPr>
                <w:rFonts w:hint="eastAsia" w:asciiTheme="minorEastAsia" w:hAnsiTheme="minorEastAsia" w:eastAsiaTheme="minorEastAsia" w:cstheme="minorEastAsia"/>
                <w:szCs w:val="21"/>
              </w:rPr>
              <w:t>欠完善，</w:t>
            </w:r>
            <w:r>
              <w:rPr>
                <w:rFonts w:hint="eastAsia" w:asciiTheme="minorEastAsia" w:hAnsiTheme="minorEastAsia" w:eastAsiaTheme="minorEastAsia" w:cstheme="minorEastAsia"/>
                <w:color w:val="000000" w:themeColor="text1"/>
                <w:szCs w:val="21"/>
                <w:lang w:val="zh-CN"/>
                <w14:textFill>
                  <w14:solidFill>
                    <w14:schemeClr w14:val="tx1"/>
                  </w14:solidFill>
                </w14:textFill>
              </w:rPr>
              <w:t>每次培训人数、总人数</w:t>
            </w:r>
            <w:r>
              <w:rPr>
                <w:rFonts w:hint="eastAsia" w:asciiTheme="minorEastAsia" w:hAnsiTheme="minorEastAsia" w:eastAsiaTheme="minorEastAsia" w:cstheme="minorEastAsia"/>
                <w:szCs w:val="21"/>
              </w:rPr>
              <w:t>欠可行的，每项扣0.5分；</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培训次数</w:t>
            </w:r>
            <w:r>
              <w:rPr>
                <w:rFonts w:hint="eastAsia" w:asciiTheme="minorEastAsia" w:hAnsiTheme="minorEastAsia" w:eastAsiaTheme="minorEastAsia" w:cstheme="minorEastAsia"/>
                <w:szCs w:val="21"/>
              </w:rPr>
              <w:t>不合理，</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培训内容</w:t>
            </w:r>
            <w:r>
              <w:rPr>
                <w:rFonts w:hint="eastAsia" w:asciiTheme="minorEastAsia" w:hAnsiTheme="minorEastAsia" w:eastAsiaTheme="minorEastAsia" w:cstheme="minorEastAsia"/>
                <w:szCs w:val="21"/>
              </w:rPr>
              <w:t>不完善，</w:t>
            </w:r>
            <w:r>
              <w:rPr>
                <w:rFonts w:hint="eastAsia" w:asciiTheme="minorEastAsia" w:hAnsiTheme="minorEastAsia" w:eastAsiaTheme="minorEastAsia" w:cstheme="minorEastAsia"/>
                <w:color w:val="000000" w:themeColor="text1"/>
                <w:szCs w:val="21"/>
                <w:lang w:val="zh-CN"/>
                <w14:textFill>
                  <w14:solidFill>
                    <w14:schemeClr w14:val="tx1"/>
                  </w14:solidFill>
                </w14:textFill>
              </w:rPr>
              <w:t>每次培训人数、总人数</w:t>
            </w:r>
            <w:r>
              <w:rPr>
                <w:rFonts w:hint="eastAsia" w:asciiTheme="minorEastAsia" w:hAnsiTheme="minorEastAsia" w:eastAsiaTheme="minorEastAsia" w:cstheme="minorEastAsia"/>
                <w:szCs w:val="21"/>
              </w:rPr>
              <w:t>不可行的，每项扣1分。（</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分）</w:t>
            </w:r>
          </w:p>
        </w:tc>
        <w:tc>
          <w:tcPr>
            <w:tcW w:w="850" w:type="dxa"/>
            <w:tcBorders>
              <w:tl2br w:val="nil"/>
              <w:tr2bl w:val="nil"/>
            </w:tcBorders>
            <w:vAlign w:val="center"/>
          </w:tcPr>
          <w:p>
            <w:pPr>
              <w:tabs>
                <w:tab w:val="left" w:pos="984"/>
              </w:tabs>
              <w:snapToGrid w:val="0"/>
              <w:spacing w:line="400" w:lineRule="exact"/>
              <w:jc w:val="center"/>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主观评审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8" w:type="dxa"/>
            <w:vMerge w:val="continue"/>
            <w:tcBorders>
              <w:tl2br w:val="nil"/>
              <w:tr2bl w:val="nil"/>
            </w:tcBorders>
            <w:vAlign w:val="center"/>
          </w:tcPr>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96" w:type="dxa"/>
            <w:tcBorders>
              <w:tl2br w:val="nil"/>
              <w:tr2bl w:val="nil"/>
            </w:tcBorders>
            <w:vAlign w:val="center"/>
          </w:tcPr>
          <w:p>
            <w:pPr>
              <w:widowControl/>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质保期</w:t>
            </w:r>
          </w:p>
        </w:tc>
        <w:tc>
          <w:tcPr>
            <w:tcW w:w="567" w:type="dxa"/>
            <w:tcBorders>
              <w:tl2br w:val="nil"/>
              <w:tr2bl w:val="nil"/>
            </w:tcBorders>
            <w:vAlign w:val="center"/>
          </w:tcPr>
          <w:p>
            <w:pPr>
              <w:widowControl/>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3</w:t>
            </w:r>
          </w:p>
        </w:tc>
        <w:tc>
          <w:tcPr>
            <w:tcW w:w="6091" w:type="dxa"/>
            <w:tcBorders>
              <w:tl2br w:val="nil"/>
              <w:tr2bl w:val="nil"/>
            </w:tcBorders>
            <w:vAlign w:val="center"/>
          </w:tcPr>
          <w:p>
            <w:pPr>
              <w:widowControl/>
              <w:snapToGrid w:val="0"/>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满足招标文件要求（1年）的不得分，每延长12个月质保期得1分，最多得</w:t>
            </w:r>
            <w:r>
              <w:rPr>
                <w:rFonts w:asciiTheme="minorEastAsia" w:hAnsiTheme="minorEastAsia" w:eastAsiaTheme="minorEastAsia" w:cstheme="minorEastAsia"/>
                <w:color w:val="000000" w:themeColor="text1"/>
                <w:szCs w:val="21"/>
                <w14:textFill>
                  <w14:solidFill>
                    <w14:schemeClr w14:val="tx1"/>
                  </w14:solidFill>
                </w14:textFill>
              </w:rPr>
              <w:t>3</w:t>
            </w:r>
            <w:r>
              <w:rPr>
                <w:rFonts w:hint="eastAsia" w:asciiTheme="minorEastAsia" w:hAnsiTheme="minorEastAsia" w:eastAsiaTheme="minorEastAsia" w:cstheme="minorEastAsia"/>
                <w:color w:val="000000" w:themeColor="text1"/>
                <w:szCs w:val="21"/>
                <w14:textFill>
                  <w14:solidFill>
                    <w14:schemeClr w14:val="tx1"/>
                  </w14:solidFill>
                </w14:textFill>
              </w:rPr>
              <w:t>分。</w:t>
            </w:r>
          </w:p>
        </w:tc>
        <w:tc>
          <w:tcPr>
            <w:tcW w:w="850" w:type="dxa"/>
            <w:tcBorders>
              <w:tl2br w:val="nil"/>
              <w:tr2bl w:val="nil"/>
            </w:tcBorders>
            <w:vAlign w:val="center"/>
          </w:tcPr>
          <w:p>
            <w:pPr>
              <w:widowControl/>
              <w:snapToGrid w:val="0"/>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客观评审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38" w:type="dxa"/>
            <w:vMerge w:val="continue"/>
            <w:tcBorders>
              <w:tl2br w:val="nil"/>
              <w:tr2bl w:val="nil"/>
            </w:tcBorders>
            <w:vAlign w:val="center"/>
          </w:tcPr>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96" w:type="dxa"/>
            <w:tcBorders>
              <w:tl2br w:val="nil"/>
              <w:tr2bl w:val="nil"/>
            </w:tcBorders>
            <w:vAlign w:val="center"/>
          </w:tcPr>
          <w:p>
            <w:pPr>
              <w:widowControl/>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售后服务</w:t>
            </w:r>
          </w:p>
        </w:tc>
        <w:tc>
          <w:tcPr>
            <w:tcW w:w="567" w:type="dxa"/>
            <w:tcBorders>
              <w:tl2br w:val="nil"/>
              <w:tr2bl w:val="nil"/>
            </w:tcBorders>
            <w:vAlign w:val="center"/>
          </w:tcPr>
          <w:p>
            <w:pPr>
              <w:widowControl/>
              <w:spacing w:line="400" w:lineRule="exact"/>
              <w:jc w:val="center"/>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5</w:t>
            </w:r>
          </w:p>
        </w:tc>
        <w:tc>
          <w:tcPr>
            <w:tcW w:w="6091" w:type="dxa"/>
            <w:tcBorders>
              <w:tl2br w:val="nil"/>
              <w:tr2bl w:val="nil"/>
            </w:tcBorders>
            <w:vAlign w:val="center"/>
          </w:tcPr>
          <w:p>
            <w:pPr>
              <w:tabs>
                <w:tab w:val="left" w:pos="984"/>
              </w:tabs>
              <w:snapToGrid w:val="0"/>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szCs w:val="21"/>
              </w:rPr>
              <w:t>评标委员会根据供应商针对本项目的售后服务方案（包括售后服务机构的设置合理、售后服务人员配置充足、应急保障方案全面、服务响应时间及时、维修培训方案完善及软件升级方案可行）进行评议：欠合理，欠充足，欠全面，欠及时，欠完善，欠可行的，每项扣0.5分；不合理，不充足，不全面，不及时，不完善，不可行的，每项扣1分。（</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分）</w:t>
            </w:r>
          </w:p>
        </w:tc>
        <w:tc>
          <w:tcPr>
            <w:tcW w:w="850" w:type="dxa"/>
            <w:tcBorders>
              <w:tl2br w:val="nil"/>
              <w:tr2bl w:val="nil"/>
            </w:tcBorders>
            <w:vAlign w:val="center"/>
          </w:tcPr>
          <w:p>
            <w:pPr>
              <w:tabs>
                <w:tab w:val="left" w:pos="984"/>
              </w:tabs>
              <w:snapToGrid w:val="0"/>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themeColor="text1"/>
                <w:szCs w:val="21"/>
                <w14:textFill>
                  <w14:solidFill>
                    <w14:schemeClr w14:val="tx1"/>
                  </w14:solidFill>
                </w14:textFill>
              </w:rPr>
              <w:t>主观评审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8" w:type="dxa"/>
            <w:vMerge w:val="continue"/>
            <w:tcBorders>
              <w:tl2br w:val="nil"/>
              <w:tr2bl w:val="nil"/>
            </w:tcBorders>
            <w:vAlign w:val="center"/>
          </w:tcPr>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96" w:type="dxa"/>
            <w:tcBorders>
              <w:tl2br w:val="nil"/>
              <w:tr2bl w:val="nil"/>
            </w:tcBorders>
            <w:vAlign w:val="center"/>
          </w:tcPr>
          <w:p>
            <w:pPr>
              <w:tabs>
                <w:tab w:val="left" w:pos="984"/>
              </w:tabs>
              <w:spacing w:line="400" w:lineRule="exact"/>
              <w:jc w:val="center"/>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节能环保政策</w:t>
            </w:r>
          </w:p>
        </w:tc>
        <w:tc>
          <w:tcPr>
            <w:tcW w:w="567" w:type="dxa"/>
            <w:tcBorders>
              <w:tl2br w:val="nil"/>
              <w:tr2bl w:val="nil"/>
            </w:tcBorders>
            <w:vAlign w:val="center"/>
          </w:tcPr>
          <w:p>
            <w:pPr>
              <w:widowControl/>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6091" w:type="dxa"/>
            <w:tcBorders>
              <w:tl2br w:val="nil"/>
              <w:tr2bl w:val="nil"/>
            </w:tcBorders>
            <w:vAlign w:val="center"/>
          </w:tcPr>
          <w:p>
            <w:pPr>
              <w:tabs>
                <w:tab w:val="left" w:pos="4469"/>
              </w:tabs>
              <w:snapToGrid w:val="0"/>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节能环保产品（1分）：</w:t>
            </w:r>
          </w:p>
          <w:p>
            <w:pPr>
              <w:tabs>
                <w:tab w:val="left" w:pos="4469"/>
              </w:tabs>
              <w:snapToGrid w:val="0"/>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投标产品属于《节能产品政府采购品目清单》范围的且具有国家确定的认证机构出具的、处于有效期之内的节能产品认证证书的得0.5分；</w:t>
            </w:r>
          </w:p>
          <w:p>
            <w:pPr>
              <w:tabs>
                <w:tab w:val="left" w:pos="4469"/>
              </w:tabs>
              <w:snapToGrid w:val="0"/>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投标产品属于《环境标志产品政府采购品目清单》范围的且具有国家确定的认证机构出具的、处于有效期之内的环境标志产品认证证书的得0.5分。</w:t>
            </w:r>
          </w:p>
          <w:p>
            <w:pPr>
              <w:tabs>
                <w:tab w:val="left" w:pos="4469"/>
              </w:tabs>
              <w:snapToGrid w:val="0"/>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注：投标文件中必须同时提供以下资料：（1）提供政府采购品目清单相关内容页（并对相关内容作圈记），采购品目清单详见《关于印发环境标志产品政府采购品目清单的通知》（财库〔2019〕18号）和《关于印发节能产品政府采购品目清单的通知》（财库〔2019〕19号）。（2）《市场监管总局关于发布参与实施政府采购节能产品、环境标志产品认证机构名录的公告》中的认证机构出具的、处于有效期之内的节能产品/环境标志产品认证证书复印件并加盖公章。</w:t>
            </w:r>
          </w:p>
        </w:tc>
        <w:tc>
          <w:tcPr>
            <w:tcW w:w="850" w:type="dxa"/>
            <w:tcBorders>
              <w:tl2br w:val="nil"/>
              <w:tr2bl w:val="nil"/>
            </w:tcBorders>
            <w:vAlign w:val="center"/>
          </w:tcPr>
          <w:p>
            <w:pPr>
              <w:tabs>
                <w:tab w:val="left" w:pos="4469"/>
              </w:tabs>
              <w:snapToGrid w:val="0"/>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客观评审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38" w:type="dxa"/>
            <w:tcBorders>
              <w:tl2br w:val="nil"/>
              <w:tr2bl w:val="nil"/>
            </w:tcBorders>
            <w:vAlign w:val="center"/>
          </w:tcPr>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价格部分</w:t>
            </w:r>
          </w:p>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30分</w:t>
            </w:r>
          </w:p>
        </w:tc>
        <w:tc>
          <w:tcPr>
            <w:tcW w:w="1096" w:type="dxa"/>
            <w:tcBorders>
              <w:tl2br w:val="nil"/>
              <w:tr2bl w:val="nil"/>
            </w:tcBorders>
            <w:vAlign w:val="center"/>
          </w:tcPr>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价格分</w:t>
            </w:r>
          </w:p>
        </w:tc>
        <w:tc>
          <w:tcPr>
            <w:tcW w:w="567" w:type="dxa"/>
            <w:tcBorders>
              <w:tl2br w:val="nil"/>
              <w:tr2bl w:val="nil"/>
            </w:tcBorders>
            <w:vAlign w:val="center"/>
          </w:tcPr>
          <w:p>
            <w:pPr>
              <w:spacing w:line="400" w:lineRule="exact"/>
              <w:jc w:val="center"/>
              <w:rPr>
                <w:rFonts w:asciiTheme="minorEastAsia" w:hAnsiTheme="minorEastAsia" w:eastAsiaTheme="minorEastAsia" w:cstheme="minorEastAsia"/>
                <w:strike/>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30</w:t>
            </w:r>
          </w:p>
        </w:tc>
        <w:tc>
          <w:tcPr>
            <w:tcW w:w="6091" w:type="dxa"/>
            <w:tcBorders>
              <w:tl2br w:val="nil"/>
              <w:tr2bl w:val="nil"/>
            </w:tcBorders>
            <w:vAlign w:val="center"/>
          </w:tcPr>
          <w:p>
            <w:pPr>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参与评审的价格=投标报价－小微企业价格扣除优惠值（如有）</w:t>
            </w:r>
          </w:p>
          <w:p>
            <w:pPr>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满足采购文件要求且最低的参与评审的价格为评标基准价，其价格分为满分30分。其他投标供应商的价格分统一按照下列公式计算：</w:t>
            </w:r>
          </w:p>
          <w:p>
            <w:pPr>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投标报价得分=(评标基准价／参与评审的价格)×</w:t>
            </w:r>
            <w:r>
              <w:rPr>
                <w:rFonts w:hint="eastAsia" w:asciiTheme="minorEastAsia" w:hAnsiTheme="minorEastAsia" w:eastAsiaTheme="minorEastAsia" w:cstheme="minorEastAsia"/>
                <w:color w:val="000000" w:themeColor="text1"/>
                <w:szCs w:val="21"/>
                <w:u w:val="single"/>
                <w14:textFill>
                  <w14:solidFill>
                    <w14:schemeClr w14:val="tx1"/>
                  </w14:solidFill>
                </w14:textFill>
              </w:rPr>
              <w:t>30</w:t>
            </w:r>
            <w:r>
              <w:rPr>
                <w:rFonts w:hint="eastAsia" w:asciiTheme="minorEastAsia" w:hAnsiTheme="minorEastAsia" w:eastAsiaTheme="minorEastAsia" w:cstheme="minorEastAsia"/>
                <w:color w:val="000000" w:themeColor="text1"/>
                <w:szCs w:val="21"/>
                <w14:textFill>
                  <w14:solidFill>
                    <w14:schemeClr w14:val="tx1"/>
                  </w14:solidFill>
                </w14:textFill>
              </w:rPr>
              <w:t>%×100</w:t>
            </w:r>
          </w:p>
          <w:p>
            <w:pPr>
              <w:snapToGrid w:val="0"/>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（投标价得分以四舍五入方法整合到小数点后两位）</w:t>
            </w:r>
          </w:p>
        </w:tc>
        <w:tc>
          <w:tcPr>
            <w:tcW w:w="850" w:type="dxa"/>
            <w:tcBorders>
              <w:tl2br w:val="nil"/>
              <w:tr2bl w:val="nil"/>
            </w:tcBorders>
            <w:vAlign w:val="center"/>
          </w:tcPr>
          <w:p>
            <w:pPr>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客观评审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492" w:type="dxa"/>
            <w:gridSpan w:val="4"/>
            <w:tcBorders>
              <w:tl2br w:val="nil"/>
              <w:tr2bl w:val="nil"/>
            </w:tcBorders>
            <w:vAlign w:val="center"/>
          </w:tcPr>
          <w:p>
            <w:pPr>
              <w:tabs>
                <w:tab w:val="left" w:pos="984"/>
              </w:tabs>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总分（100分）</w:t>
            </w:r>
          </w:p>
        </w:tc>
        <w:tc>
          <w:tcPr>
            <w:tcW w:w="850" w:type="dxa"/>
            <w:tcBorders>
              <w:tl2br w:val="nil"/>
              <w:tr2bl w:val="nil"/>
            </w:tcBorders>
          </w:tcPr>
          <w:p>
            <w:pPr>
              <w:tabs>
                <w:tab w:val="left" w:pos="984"/>
              </w:tabs>
              <w:spacing w:line="400" w:lineRule="exact"/>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spacing w:line="360" w:lineRule="auto"/>
        <w:ind w:firstLine="420" w:firstLineChars="200"/>
        <w:rPr>
          <w:color w:val="000000" w:themeColor="text1"/>
          <w14:textFill>
            <w14:solidFill>
              <w14:schemeClr w14:val="tx1"/>
            </w14:solidFill>
          </w14:textFill>
        </w:rPr>
        <w:sectPr>
          <w:pgSz w:w="11907" w:h="16840"/>
          <w:pgMar w:top="1361" w:right="1474" w:bottom="1242" w:left="1474" w:header="720" w:footer="720" w:gutter="0"/>
          <w:cols w:space="720" w:num="1"/>
          <w:docGrid w:linePitch="285" w:charSpace="0"/>
        </w:sectPr>
      </w:pPr>
    </w:p>
    <w:p>
      <w:pPr>
        <w:widowControl/>
        <w:jc w:val="left"/>
        <w:rPr>
          <w:rFonts w:ascii="宋体" w:hAnsi="宋体"/>
          <w:color w:val="000000" w:themeColor="text1"/>
          <w:sz w:val="30"/>
          <w14:textFill>
            <w14:solidFill>
              <w14:schemeClr w14:val="tx1"/>
            </w14:solidFill>
          </w14:textFill>
        </w:rPr>
      </w:pPr>
      <w:bookmarkStart w:id="209" w:name="_Toc460857944"/>
    </w:p>
    <w:p>
      <w:pPr>
        <w:pStyle w:val="3"/>
        <w:spacing w:before="0" w:after="0" w:line="360" w:lineRule="auto"/>
        <w:jc w:val="center"/>
        <w:rPr>
          <w:rFonts w:ascii="宋体" w:hAnsi="宋体"/>
          <w:color w:val="000000" w:themeColor="text1"/>
          <w:sz w:val="30"/>
          <w14:textFill>
            <w14:solidFill>
              <w14:schemeClr w14:val="tx1"/>
            </w14:solidFill>
          </w14:textFill>
        </w:rPr>
      </w:pPr>
      <w:bookmarkStart w:id="210" w:name="_Toc19473"/>
      <w:r>
        <w:rPr>
          <w:rFonts w:hint="eastAsia" w:ascii="宋体" w:hAnsi="宋体"/>
          <w:color w:val="000000" w:themeColor="text1"/>
          <w:sz w:val="30"/>
          <w14:textFill>
            <w14:solidFill>
              <w14:schemeClr w14:val="tx1"/>
            </w14:solidFill>
          </w14:textFill>
        </w:rPr>
        <w:t>第五章  政府采购合同主要条款</w:t>
      </w:r>
      <w:bookmarkEnd w:id="209"/>
      <w:bookmarkEnd w:id="210"/>
    </w:p>
    <w:p>
      <w:pPr>
        <w:rPr>
          <w:color w:val="000000" w:themeColor="text1"/>
          <w14:textFill>
            <w14:solidFill>
              <w14:schemeClr w14:val="tx1"/>
            </w14:solidFill>
          </w14:textFill>
        </w:rPr>
      </w:pPr>
    </w:p>
    <w:p>
      <w:pPr>
        <w:spacing w:line="360" w:lineRule="auto"/>
        <w:jc w:val="center"/>
        <w:rPr>
          <w:rFonts w:ascii="宋体" w:hAnsi="宋体" w:cs="宋体"/>
          <w:b/>
          <w:color w:val="000000" w:themeColor="text1"/>
          <w:szCs w:val="21"/>
          <w14:textFill>
            <w14:solidFill>
              <w14:schemeClr w14:val="tx1"/>
            </w14:solidFill>
          </w14:textFill>
        </w:rPr>
      </w:pPr>
      <w:bookmarkStart w:id="211" w:name="_Toc9973047"/>
      <w:bookmarkStart w:id="212" w:name="_Toc17884861"/>
      <w:bookmarkStart w:id="213" w:name="_Toc460857945"/>
      <w:bookmarkStart w:id="214" w:name="_Toc460857947"/>
      <w:r>
        <w:rPr>
          <w:rFonts w:hint="eastAsia" w:ascii="宋体" w:hAnsi="宋体" w:cs="宋体"/>
          <w:b/>
          <w:color w:val="000000" w:themeColor="text1"/>
          <w:szCs w:val="21"/>
          <w14:textFill>
            <w14:solidFill>
              <w14:schemeClr w14:val="tx1"/>
            </w14:solidFill>
          </w14:textFill>
        </w:rPr>
        <w:t>北京航空航天大学宁波创新研究院科研设备采购合同</w:t>
      </w:r>
      <w:bookmarkEnd w:id="211"/>
      <w:bookmarkEnd w:id="212"/>
      <w:r>
        <w:rPr>
          <w:rFonts w:hint="eastAsia" w:ascii="宋体" w:hAnsi="宋体" w:cs="宋体"/>
          <w:b/>
          <w:color w:val="000000" w:themeColor="text1"/>
          <w:szCs w:val="21"/>
          <w14:textFill>
            <w14:solidFill>
              <w14:schemeClr w14:val="tx1"/>
            </w14:solidFill>
          </w14:textFill>
        </w:rPr>
        <w:t>（供参考）</w:t>
      </w:r>
    </w:p>
    <w:p>
      <w:pPr>
        <w:spacing w:line="440" w:lineRule="exact"/>
        <w:jc w:val="right"/>
        <w:rPr>
          <w:color w:val="000000" w:themeColor="text1"/>
          <w14:textFill>
            <w14:solidFill>
              <w14:schemeClr w14:val="tx1"/>
            </w14:solidFill>
          </w14:textFill>
        </w:rPr>
      </w:pPr>
      <w:r>
        <w:rPr>
          <w:rFonts w:hint="eastAsia" w:ascii="宋体" w:hAnsi="宋体" w:cs="仿宋"/>
          <w:b/>
          <w:color w:val="000000" w:themeColor="text1"/>
          <w:szCs w:val="21"/>
          <w14:textFill>
            <w14:solidFill>
              <w14:schemeClr w14:val="tx1"/>
            </w14:solidFill>
          </w14:textFill>
        </w:rPr>
        <w:t xml:space="preserve"> </w:t>
      </w:r>
      <w:r>
        <w:rPr>
          <w:rFonts w:ascii="宋体" w:hAnsi="宋体" w:cs="仿宋"/>
          <w:b/>
          <w:color w:val="000000" w:themeColor="text1"/>
          <w:szCs w:val="21"/>
          <w14:textFill>
            <w14:solidFill>
              <w14:schemeClr w14:val="tx1"/>
            </w14:solidFill>
          </w14:textFill>
        </w:rPr>
        <w:t xml:space="preserve"> </w:t>
      </w:r>
      <w:r>
        <w:rPr>
          <w:rFonts w:hint="eastAsia" w:ascii="宋体" w:hAnsi="宋体" w:cs="仿宋"/>
          <w:b/>
          <w:color w:val="000000" w:themeColor="text1"/>
          <w:szCs w:val="21"/>
          <w14:textFill>
            <w14:solidFill>
              <w14:schemeClr w14:val="tx1"/>
            </w14:solidFill>
          </w14:textFill>
        </w:rPr>
        <w:t>使用中心</w:t>
      </w:r>
      <w:r>
        <w:rPr>
          <w:rFonts w:hint="eastAsia" w:ascii="宋体" w:hAnsi="宋体" w:cs="仿宋"/>
          <w:b/>
          <w:color w:val="000000" w:themeColor="text1"/>
          <w:szCs w:val="21"/>
          <w:u w:val="single"/>
          <w14:textFill>
            <w14:solidFill>
              <w14:schemeClr w14:val="tx1"/>
            </w14:solidFill>
          </w14:textFill>
        </w:rPr>
        <w:t xml:space="preserve">：      </w:t>
      </w:r>
      <w:r>
        <w:rPr>
          <w:rFonts w:hint="eastAsia" w:ascii="宋体" w:hAnsi="宋体" w:cs="仿宋"/>
          <w:b/>
          <w:color w:val="000000" w:themeColor="text1"/>
          <w:szCs w:val="21"/>
          <w14:textFill>
            <w14:solidFill>
              <w14:schemeClr w14:val="tx1"/>
            </w14:solidFill>
          </w14:textFill>
        </w:rPr>
        <w:t xml:space="preserve"> 项目负责人</w:t>
      </w:r>
      <w:r>
        <w:rPr>
          <w:rFonts w:hint="eastAsia" w:ascii="宋体" w:hAnsi="宋体" w:cs="仿宋"/>
          <w:b/>
          <w:color w:val="000000" w:themeColor="text1"/>
          <w:szCs w:val="21"/>
          <w:u w:val="single"/>
          <w14:textFill>
            <w14:solidFill>
              <w14:schemeClr w14:val="tx1"/>
            </w14:solidFill>
          </w14:textFill>
        </w:rPr>
        <w:t xml:space="preserve">：      </w:t>
      </w: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 xml:space="preserve">甲方：北京航空航天大学宁波创新研究院 </w:t>
      </w: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地址： 浙江省宁波市梅山保税港区三创基地七号楼</w:t>
      </w:r>
    </w:p>
    <w:p>
      <w:pPr>
        <w:spacing w:line="360" w:lineRule="auto"/>
        <w:rPr>
          <w:rFonts w:ascii="宋体" w:hAnsi="宋体" w:cs="仿宋"/>
          <w:color w:val="000000" w:themeColor="text1"/>
          <w:szCs w:val="21"/>
          <w14:textFill>
            <w14:solidFill>
              <w14:schemeClr w14:val="tx1"/>
            </w14:solidFill>
          </w14:textFill>
        </w:rPr>
      </w:pP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乙方：</w:t>
      </w: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地址：</w:t>
      </w:r>
    </w:p>
    <w:p>
      <w:pPr>
        <w:spacing w:line="360" w:lineRule="auto"/>
        <w:rPr>
          <w:rFonts w:ascii="宋体" w:hAnsi="宋体" w:cs="仿宋"/>
          <w:color w:val="000000" w:themeColor="text1"/>
          <w:szCs w:val="21"/>
          <w:u w:val="single"/>
          <w14:textFill>
            <w14:solidFill>
              <w14:schemeClr w14:val="tx1"/>
            </w14:solidFill>
          </w14:textFill>
        </w:rPr>
      </w:pPr>
      <w:r>
        <w:rPr>
          <w:rFonts w:hint="eastAsia" w:ascii="宋体" w:hAnsi="宋体" w:cs="仿宋"/>
          <w:color w:val="000000" w:themeColor="text1"/>
          <w:szCs w:val="21"/>
          <w14:textFill>
            <w14:solidFill>
              <w14:schemeClr w14:val="tx1"/>
            </w14:solidFill>
          </w14:textFill>
        </w:rPr>
        <w:t>招标编号：</w:t>
      </w:r>
    </w:p>
    <w:p>
      <w:pPr>
        <w:spacing w:line="360" w:lineRule="auto"/>
        <w:rPr>
          <w:rFonts w:ascii="宋体" w:hAnsi="宋体" w:cs="仿宋"/>
          <w:color w:val="000000" w:themeColor="text1"/>
          <w:szCs w:val="21"/>
          <w:u w:val="single"/>
          <w14:textFill>
            <w14:solidFill>
              <w14:schemeClr w14:val="tx1"/>
            </w14:solidFill>
          </w14:textFill>
        </w:rPr>
      </w:pPr>
      <w:r>
        <w:rPr>
          <w:rFonts w:hint="eastAsia" w:ascii="宋体" w:hAnsi="宋体" w:cs="仿宋"/>
          <w:color w:val="000000" w:themeColor="text1"/>
          <w:szCs w:val="21"/>
          <w14:textFill>
            <w14:solidFill>
              <w14:schemeClr w14:val="tx1"/>
            </w14:solidFill>
          </w14:textFill>
        </w:rPr>
        <w:t>招标日期：</w:t>
      </w:r>
    </w:p>
    <w:p>
      <w:pPr>
        <w:spacing w:line="360" w:lineRule="auto"/>
        <w:rPr>
          <w:rFonts w:ascii="宋体" w:hAnsi="宋体" w:cs="仿宋"/>
          <w:color w:val="000000" w:themeColor="text1"/>
          <w:szCs w:val="21"/>
          <w:u w:val="single"/>
          <w14:textFill>
            <w14:solidFill>
              <w14:schemeClr w14:val="tx1"/>
            </w14:solidFill>
          </w14:textFill>
        </w:rPr>
      </w:pPr>
      <w:r>
        <w:rPr>
          <w:rFonts w:hint="eastAsia" w:ascii="宋体" w:hAnsi="宋体" w:cs="仿宋"/>
          <w:color w:val="000000" w:themeColor="text1"/>
          <w:szCs w:val="21"/>
          <w14:textFill>
            <w14:solidFill>
              <w14:schemeClr w14:val="tx1"/>
            </w14:solidFill>
          </w14:textFill>
        </w:rPr>
        <w:t>合同编号：</w:t>
      </w: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一、内容、要求和金额：</w:t>
      </w:r>
    </w:p>
    <w:tbl>
      <w:tblPr>
        <w:tblStyle w:val="40"/>
        <w:tblW w:w="9633" w:type="dxa"/>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681"/>
        <w:gridCol w:w="1818"/>
        <w:gridCol w:w="709"/>
        <w:gridCol w:w="1374"/>
        <w:gridCol w:w="1319"/>
        <w:gridCol w:w="1560"/>
        <w:gridCol w:w="117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3" w:hRule="atLeast"/>
        </w:trPr>
        <w:tc>
          <w:tcPr>
            <w:tcW w:w="1681"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r>
              <w:rPr>
                <w:rFonts w:hint="eastAsia" w:hAnsi="宋体" w:cs="仿宋"/>
                <w:color w:val="000000" w:themeColor="text1"/>
                <w:sz w:val="21"/>
                <w:szCs w:val="21"/>
                <w14:textFill>
                  <w14:solidFill>
                    <w14:schemeClr w14:val="tx1"/>
                  </w14:solidFill>
                </w14:textFill>
              </w:rPr>
              <w:t>设备名称</w:t>
            </w:r>
          </w:p>
        </w:tc>
        <w:tc>
          <w:tcPr>
            <w:tcW w:w="1818"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r>
              <w:rPr>
                <w:rFonts w:hint="eastAsia" w:hAnsi="宋体" w:cs="仿宋"/>
                <w:color w:val="000000" w:themeColor="text1"/>
                <w:sz w:val="21"/>
                <w:szCs w:val="21"/>
                <w14:textFill>
                  <w14:solidFill>
                    <w14:schemeClr w14:val="tx1"/>
                  </w14:solidFill>
                </w14:textFill>
              </w:rPr>
              <w:t>型号、规格</w:t>
            </w:r>
          </w:p>
          <w:p>
            <w:pPr>
              <w:pStyle w:val="18"/>
              <w:spacing w:line="360" w:lineRule="auto"/>
              <w:ind w:firstLine="0"/>
              <w:jc w:val="center"/>
              <w:rPr>
                <w:rFonts w:hAnsi="宋体" w:cs="仿宋"/>
                <w:color w:val="000000" w:themeColor="text1"/>
                <w:sz w:val="21"/>
                <w:szCs w:val="21"/>
                <w14:textFill>
                  <w14:solidFill>
                    <w14:schemeClr w14:val="tx1"/>
                  </w14:solidFill>
                </w14:textFill>
              </w:rPr>
            </w:pPr>
            <w:r>
              <w:rPr>
                <w:rFonts w:hint="eastAsia" w:hAnsi="宋体" w:cs="仿宋"/>
                <w:color w:val="000000" w:themeColor="text1"/>
                <w:sz w:val="21"/>
                <w:szCs w:val="21"/>
                <w14:textFill>
                  <w14:solidFill>
                    <w14:schemeClr w14:val="tx1"/>
                  </w14:solidFill>
                </w14:textFill>
              </w:rPr>
              <w:t>（配置清单附后）</w:t>
            </w:r>
          </w:p>
        </w:tc>
        <w:tc>
          <w:tcPr>
            <w:tcW w:w="709"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r>
              <w:rPr>
                <w:rFonts w:hint="eastAsia" w:hAnsi="宋体" w:cs="仿宋"/>
                <w:color w:val="000000" w:themeColor="text1"/>
                <w:sz w:val="21"/>
                <w:szCs w:val="21"/>
                <w14:textFill>
                  <w14:solidFill>
                    <w14:schemeClr w14:val="tx1"/>
                  </w14:solidFill>
                </w14:textFill>
              </w:rPr>
              <w:t>数量</w:t>
            </w:r>
          </w:p>
        </w:tc>
        <w:tc>
          <w:tcPr>
            <w:tcW w:w="1374"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r>
              <w:rPr>
                <w:rFonts w:hint="eastAsia" w:hAnsi="宋体" w:cs="仿宋"/>
                <w:color w:val="000000" w:themeColor="text1"/>
                <w:sz w:val="21"/>
                <w:szCs w:val="21"/>
                <w14:textFill>
                  <w14:solidFill>
                    <w14:schemeClr w14:val="tx1"/>
                  </w14:solidFill>
                </w14:textFill>
              </w:rPr>
              <w:t>单价(元)</w:t>
            </w:r>
          </w:p>
        </w:tc>
        <w:tc>
          <w:tcPr>
            <w:tcW w:w="1319"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r>
              <w:rPr>
                <w:rFonts w:hint="eastAsia" w:hAnsi="宋体" w:cs="仿宋"/>
                <w:color w:val="000000" w:themeColor="text1"/>
                <w:sz w:val="21"/>
                <w:szCs w:val="21"/>
                <w14:textFill>
                  <w14:solidFill>
                    <w14:schemeClr w14:val="tx1"/>
                  </w14:solidFill>
                </w14:textFill>
              </w:rPr>
              <w:t>金额(元)</w:t>
            </w:r>
          </w:p>
        </w:tc>
        <w:tc>
          <w:tcPr>
            <w:tcW w:w="1560"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r>
              <w:rPr>
                <w:rFonts w:hint="eastAsia" w:hAnsi="宋体" w:cs="仿宋"/>
                <w:color w:val="000000" w:themeColor="text1"/>
                <w:sz w:val="21"/>
                <w:szCs w:val="21"/>
                <w14:textFill>
                  <w14:solidFill>
                    <w14:schemeClr w14:val="tx1"/>
                  </w14:solidFill>
                </w14:textFill>
              </w:rPr>
              <w:t>原产地及品牌</w:t>
            </w:r>
          </w:p>
        </w:tc>
        <w:tc>
          <w:tcPr>
            <w:tcW w:w="1172"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r>
              <w:rPr>
                <w:rFonts w:hint="eastAsia" w:hAnsi="宋体" w:cs="仿宋"/>
                <w:color w:val="000000" w:themeColor="text1"/>
                <w:sz w:val="21"/>
                <w:szCs w:val="21"/>
                <w14:textFill>
                  <w14:solidFill>
                    <w14:schemeClr w14:val="tx1"/>
                  </w14:solidFill>
                </w14:textFill>
              </w:rPr>
              <w:t>使用单位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38" w:hRule="atLeast"/>
        </w:trPr>
        <w:tc>
          <w:tcPr>
            <w:tcW w:w="1681"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c>
          <w:tcPr>
            <w:tcW w:w="1818"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c>
          <w:tcPr>
            <w:tcW w:w="709" w:type="dxa"/>
            <w:tcBorders>
              <w:top w:val="single" w:color="auto" w:sz="4" w:space="0"/>
              <w:bottom w:val="single" w:color="auto" w:sz="4" w:space="0"/>
            </w:tcBorders>
            <w:vAlign w:val="center"/>
          </w:tcPr>
          <w:p>
            <w:pPr>
              <w:pStyle w:val="18"/>
              <w:spacing w:line="360" w:lineRule="auto"/>
              <w:ind w:left="-110" w:right="-115" w:firstLine="0"/>
              <w:jc w:val="center"/>
              <w:rPr>
                <w:rFonts w:hAnsi="宋体" w:cs="仿宋"/>
                <w:color w:val="000000" w:themeColor="text1"/>
                <w:sz w:val="21"/>
                <w:szCs w:val="21"/>
                <w14:textFill>
                  <w14:solidFill>
                    <w14:schemeClr w14:val="tx1"/>
                  </w14:solidFill>
                </w14:textFill>
              </w:rPr>
            </w:pPr>
          </w:p>
        </w:tc>
        <w:tc>
          <w:tcPr>
            <w:tcW w:w="1374"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c>
          <w:tcPr>
            <w:tcW w:w="1319"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c>
          <w:tcPr>
            <w:tcW w:w="1560"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c>
          <w:tcPr>
            <w:tcW w:w="1172"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38" w:hRule="atLeast"/>
        </w:trPr>
        <w:tc>
          <w:tcPr>
            <w:tcW w:w="1681"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c>
          <w:tcPr>
            <w:tcW w:w="1818"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c>
          <w:tcPr>
            <w:tcW w:w="709" w:type="dxa"/>
            <w:tcBorders>
              <w:top w:val="single" w:color="auto" w:sz="4" w:space="0"/>
              <w:bottom w:val="single" w:color="auto" w:sz="4" w:space="0"/>
            </w:tcBorders>
            <w:vAlign w:val="center"/>
          </w:tcPr>
          <w:p>
            <w:pPr>
              <w:pStyle w:val="18"/>
              <w:spacing w:line="360" w:lineRule="auto"/>
              <w:ind w:left="-110" w:right="-115" w:firstLine="0"/>
              <w:jc w:val="center"/>
              <w:rPr>
                <w:rFonts w:hAnsi="宋体" w:cs="仿宋"/>
                <w:color w:val="000000" w:themeColor="text1"/>
                <w:sz w:val="21"/>
                <w:szCs w:val="21"/>
                <w14:textFill>
                  <w14:solidFill>
                    <w14:schemeClr w14:val="tx1"/>
                  </w14:solidFill>
                </w14:textFill>
              </w:rPr>
            </w:pPr>
          </w:p>
        </w:tc>
        <w:tc>
          <w:tcPr>
            <w:tcW w:w="1374"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c>
          <w:tcPr>
            <w:tcW w:w="1319"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c>
          <w:tcPr>
            <w:tcW w:w="1560"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c>
          <w:tcPr>
            <w:tcW w:w="1172"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38" w:hRule="atLeast"/>
        </w:trPr>
        <w:tc>
          <w:tcPr>
            <w:tcW w:w="1681"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c>
          <w:tcPr>
            <w:tcW w:w="1818"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c>
          <w:tcPr>
            <w:tcW w:w="709" w:type="dxa"/>
            <w:tcBorders>
              <w:top w:val="single" w:color="auto" w:sz="4" w:space="0"/>
              <w:bottom w:val="single" w:color="auto" w:sz="4" w:space="0"/>
            </w:tcBorders>
            <w:vAlign w:val="center"/>
          </w:tcPr>
          <w:p>
            <w:pPr>
              <w:pStyle w:val="18"/>
              <w:spacing w:line="360" w:lineRule="auto"/>
              <w:ind w:left="-110" w:right="-115" w:firstLine="0"/>
              <w:jc w:val="center"/>
              <w:rPr>
                <w:rFonts w:hAnsi="宋体" w:cs="仿宋"/>
                <w:color w:val="000000" w:themeColor="text1"/>
                <w:sz w:val="21"/>
                <w:szCs w:val="21"/>
                <w14:textFill>
                  <w14:solidFill>
                    <w14:schemeClr w14:val="tx1"/>
                  </w14:solidFill>
                </w14:textFill>
              </w:rPr>
            </w:pPr>
          </w:p>
        </w:tc>
        <w:tc>
          <w:tcPr>
            <w:tcW w:w="1374"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c>
          <w:tcPr>
            <w:tcW w:w="1319"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c>
          <w:tcPr>
            <w:tcW w:w="1560"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c>
          <w:tcPr>
            <w:tcW w:w="1172" w:type="dxa"/>
            <w:tcBorders>
              <w:top w:val="single" w:color="auto" w:sz="4" w:space="0"/>
              <w:bottom w:val="single" w:color="auto" w:sz="4" w:space="0"/>
            </w:tcBorders>
            <w:vAlign w:val="center"/>
          </w:tcPr>
          <w:p>
            <w:pPr>
              <w:pStyle w:val="18"/>
              <w:spacing w:line="360" w:lineRule="auto"/>
              <w:ind w:firstLine="0"/>
              <w:jc w:val="center"/>
              <w:rPr>
                <w:rFonts w:hAnsi="宋体" w:cs="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38" w:hRule="atLeast"/>
        </w:trPr>
        <w:tc>
          <w:tcPr>
            <w:tcW w:w="9633" w:type="dxa"/>
            <w:gridSpan w:val="7"/>
            <w:tcBorders>
              <w:top w:val="single" w:color="auto" w:sz="4" w:space="0"/>
            </w:tcBorders>
            <w:vAlign w:val="center"/>
          </w:tcPr>
          <w:p>
            <w:pPr>
              <w:pStyle w:val="18"/>
              <w:spacing w:line="360" w:lineRule="auto"/>
              <w:ind w:firstLine="0"/>
              <w:jc w:val="left"/>
              <w:rPr>
                <w:rFonts w:hAnsi="宋体" w:cs="仿宋"/>
                <w:color w:val="000000" w:themeColor="text1"/>
                <w:sz w:val="21"/>
                <w:szCs w:val="21"/>
                <w14:textFill>
                  <w14:solidFill>
                    <w14:schemeClr w14:val="tx1"/>
                  </w14:solidFill>
                </w14:textFill>
              </w:rPr>
            </w:pPr>
            <w:r>
              <w:rPr>
                <w:rFonts w:hint="eastAsia" w:hAnsi="宋体" w:cs="仿宋"/>
                <w:color w:val="000000" w:themeColor="text1"/>
                <w:sz w:val="21"/>
                <w:szCs w:val="21"/>
                <w14:textFill>
                  <w14:solidFill>
                    <w14:schemeClr w14:val="tx1"/>
                  </w14:solidFill>
                </w14:textFill>
              </w:rPr>
              <w:t>含税合计（人民币大写）：</w:t>
            </w:r>
          </w:p>
        </w:tc>
      </w:tr>
    </w:tbl>
    <w:p>
      <w:pPr>
        <w:pStyle w:val="27"/>
        <w:spacing w:after="120" w:line="360" w:lineRule="auto"/>
        <w:ind w:firstLine="420" w:firstLineChars="200"/>
        <w:rPr>
          <w:rFonts w:ascii="宋体" w:hAnsi="宋体" w:cs="仿宋"/>
          <w:color w:val="000000" w:themeColor="text1"/>
          <w:sz w:val="21"/>
          <w:szCs w:val="21"/>
          <w14:textFill>
            <w14:solidFill>
              <w14:schemeClr w14:val="tx1"/>
            </w14:solidFill>
          </w14:textFill>
        </w:rPr>
      </w:pPr>
      <w:r>
        <w:rPr>
          <w:rFonts w:hint="eastAsia" w:ascii="宋体" w:hAnsi="宋体" w:cs="仿宋"/>
          <w:color w:val="000000" w:themeColor="text1"/>
          <w:sz w:val="21"/>
          <w:szCs w:val="21"/>
          <w14:textFill>
            <w14:solidFill>
              <w14:schemeClr w14:val="tx1"/>
            </w14:solidFill>
          </w14:textFill>
        </w:rPr>
        <w:t>合同金额包括但不仅限于：所有设备、运输及装卸、安装调试、验收、质保期内的售后服务、利润、税金、技术培训，及政策性文件规定的各项应有的所有费用。</w:t>
      </w:r>
    </w:p>
    <w:p>
      <w:pPr>
        <w:pStyle w:val="27"/>
        <w:spacing w:line="360" w:lineRule="auto"/>
        <w:rPr>
          <w:rFonts w:ascii="宋体" w:hAnsi="宋体" w:cs="仿宋"/>
          <w:color w:val="000000" w:themeColor="text1"/>
          <w:sz w:val="21"/>
          <w:szCs w:val="21"/>
          <w14:textFill>
            <w14:solidFill>
              <w14:schemeClr w14:val="tx1"/>
            </w14:solidFill>
          </w14:textFill>
        </w:rPr>
      </w:pPr>
      <w:r>
        <w:rPr>
          <w:rFonts w:hint="eastAsia" w:ascii="宋体" w:hAnsi="宋体" w:cs="仿宋"/>
          <w:color w:val="000000" w:themeColor="text1"/>
          <w:sz w:val="21"/>
          <w:szCs w:val="21"/>
          <w14:textFill>
            <w14:solidFill>
              <w14:schemeClr w14:val="tx1"/>
            </w14:solidFill>
          </w14:textFill>
        </w:rPr>
        <w:t>二、付款方式及条件</w:t>
      </w:r>
    </w:p>
    <w:p>
      <w:pPr>
        <w:tabs>
          <w:tab w:val="left" w:pos="426"/>
        </w:tabs>
        <w:spacing w:line="360" w:lineRule="auto"/>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．乙方应当向甲方支付履约保证金，以作为其履行本合同的保证。</w:t>
      </w:r>
    </w:p>
    <w:p>
      <w:pPr>
        <w:tabs>
          <w:tab w:val="left" w:pos="4320"/>
        </w:tabs>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（1）履约保证金金额：合同总价的1%。</w:t>
      </w:r>
    </w:p>
    <w:p>
      <w:pPr>
        <w:tabs>
          <w:tab w:val="left" w:pos="4320"/>
        </w:tabs>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（2）履约保证金形式：转账或银行、保险公司出具的保函形式。</w:t>
      </w:r>
    </w:p>
    <w:p>
      <w:pPr>
        <w:tabs>
          <w:tab w:val="left" w:pos="4320"/>
        </w:tabs>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（3）履约保证金递交时间：中标通知书发出后30天内缴纳。</w:t>
      </w:r>
    </w:p>
    <w:p>
      <w:pPr>
        <w:tabs>
          <w:tab w:val="left" w:pos="4320"/>
        </w:tabs>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（4）履约保证金退还时间：最终验收合格后，具体详见付款方式。</w:t>
      </w:r>
    </w:p>
    <w:p>
      <w:pPr>
        <w:tabs>
          <w:tab w:val="left" w:pos="4320"/>
        </w:tabs>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收件人：北京航空航天大学宁波创新研究院</w:t>
      </w:r>
    </w:p>
    <w:p>
      <w:pPr>
        <w:tabs>
          <w:tab w:val="left" w:pos="426"/>
        </w:tabs>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2．付款方式：</w:t>
      </w:r>
    </w:p>
    <w:p>
      <w:pPr>
        <w:spacing w:line="400" w:lineRule="exact"/>
        <w:contextualSpacing/>
        <w:jc w:val="left"/>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1）合同签订后</w:t>
      </w:r>
      <w:r>
        <w:rPr>
          <w:rFonts w:hint="eastAsia" w:ascii="宋体" w:hAnsi="宋体" w:cs="宋体"/>
          <w:bCs/>
          <w:color w:val="000000" w:themeColor="text1"/>
          <w:szCs w:val="21"/>
          <w14:textFill>
            <w14:solidFill>
              <w14:schemeClr w14:val="tx1"/>
            </w14:solidFill>
          </w14:textFill>
        </w:rPr>
        <w:t>，</w:t>
      </w:r>
      <w:r>
        <w:rPr>
          <w:rFonts w:ascii="宋体" w:hAnsi="宋体" w:cs="宋体"/>
          <w:bCs/>
          <w:color w:val="000000" w:themeColor="text1"/>
          <w:szCs w:val="21"/>
          <w14:textFill>
            <w14:solidFill>
              <w14:schemeClr w14:val="tx1"/>
            </w14:solidFill>
          </w14:textFill>
        </w:rPr>
        <w:t>合同签订后</w:t>
      </w:r>
      <w:r>
        <w:rPr>
          <w:rFonts w:hint="eastAsia" w:ascii="宋体" w:hAnsi="宋体" w:cs="宋体"/>
          <w:bCs/>
          <w:color w:val="000000" w:themeColor="text1"/>
          <w:szCs w:val="21"/>
          <w14:textFill>
            <w14:solidFill>
              <w14:schemeClr w14:val="tx1"/>
            </w14:solidFill>
          </w14:textFill>
        </w:rPr>
        <w:t>，甲方在收到乙方提供的预付款保函（预付款保函有效期须与交货期相一致）具备实施条件后7</w:t>
      </w:r>
      <w:r>
        <w:rPr>
          <w:rFonts w:ascii="宋体" w:hAnsi="宋体" w:cs="宋体"/>
          <w:bCs/>
          <w:color w:val="000000" w:themeColor="text1"/>
          <w:szCs w:val="21"/>
          <w14:textFill>
            <w14:solidFill>
              <w14:schemeClr w14:val="tx1"/>
            </w14:solidFill>
          </w14:textFill>
        </w:rPr>
        <w:t>个</w:t>
      </w:r>
      <w:r>
        <w:rPr>
          <w:rFonts w:hint="eastAsia" w:ascii="宋体" w:hAnsi="宋体" w:cs="宋体"/>
          <w:bCs/>
          <w:color w:val="000000" w:themeColor="text1"/>
          <w:szCs w:val="21"/>
          <w14:textFill>
            <w14:solidFill>
              <w14:schemeClr w14:val="tx1"/>
            </w14:solidFill>
          </w14:textFill>
        </w:rPr>
        <w:t>工作日</w:t>
      </w:r>
      <w:r>
        <w:rPr>
          <w:rFonts w:ascii="宋体" w:hAnsi="宋体" w:cs="宋体"/>
          <w:bCs/>
          <w:color w:val="000000" w:themeColor="text1"/>
          <w:szCs w:val="21"/>
          <w14:textFill>
            <w14:solidFill>
              <w14:schemeClr w14:val="tx1"/>
            </w14:solidFill>
          </w14:textFill>
        </w:rPr>
        <w:t>内</w:t>
      </w:r>
      <w:r>
        <w:rPr>
          <w:rFonts w:hint="eastAsia" w:ascii="宋体" w:hAnsi="宋体" w:cs="宋体"/>
          <w:bCs/>
          <w:color w:val="000000" w:themeColor="text1"/>
          <w:szCs w:val="21"/>
          <w14:textFill>
            <w14:solidFill>
              <w14:schemeClr w14:val="tx1"/>
            </w14:solidFill>
          </w14:textFill>
        </w:rPr>
        <w:t>支付乙方</w:t>
      </w:r>
      <w:r>
        <w:rPr>
          <w:rFonts w:ascii="宋体" w:hAnsi="宋体" w:cs="宋体"/>
          <w:bCs/>
          <w:color w:val="000000" w:themeColor="text1"/>
          <w:szCs w:val="21"/>
          <w14:textFill>
            <w14:solidFill>
              <w14:schemeClr w14:val="tx1"/>
            </w14:solidFill>
          </w14:textFill>
        </w:rPr>
        <w:t>合同总价的</w:t>
      </w:r>
      <w:r>
        <w:rPr>
          <w:rFonts w:hint="eastAsia" w:ascii="宋体" w:hAnsi="宋体" w:cs="宋体"/>
          <w:bCs/>
          <w:color w:val="000000" w:themeColor="text1"/>
          <w:szCs w:val="21"/>
          <w14:textFill>
            <w14:solidFill>
              <w14:schemeClr w14:val="tx1"/>
            </w14:solidFill>
          </w14:textFill>
        </w:rPr>
        <w:t>40</w:t>
      </w:r>
      <w:r>
        <w:rPr>
          <w:rFonts w:ascii="宋体" w:hAnsi="宋体" w:cs="宋体"/>
          <w:bCs/>
          <w:color w:val="000000" w:themeColor="text1"/>
          <w:szCs w:val="21"/>
          <w14:textFill>
            <w14:solidFill>
              <w14:schemeClr w14:val="tx1"/>
            </w14:solidFill>
          </w14:textFill>
        </w:rPr>
        <w:t>%作为预付款；</w:t>
      </w:r>
    </w:p>
    <w:p>
      <w:pPr>
        <w:spacing w:line="400" w:lineRule="exact"/>
        <w:contextualSpacing/>
        <w:jc w:val="left"/>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2）设备</w:t>
      </w:r>
      <w:r>
        <w:rPr>
          <w:rFonts w:hint="eastAsia" w:ascii="宋体" w:hAnsi="宋体" w:cs="宋体"/>
          <w:bCs/>
          <w:color w:val="000000" w:themeColor="text1"/>
          <w:szCs w:val="21"/>
          <w14:textFill>
            <w14:solidFill>
              <w14:schemeClr w14:val="tx1"/>
            </w14:solidFill>
          </w14:textFill>
        </w:rPr>
        <w:t>调试</w:t>
      </w:r>
      <w:r>
        <w:rPr>
          <w:rFonts w:ascii="宋体" w:hAnsi="宋体" w:cs="宋体"/>
          <w:bCs/>
          <w:color w:val="000000" w:themeColor="text1"/>
          <w:szCs w:val="21"/>
          <w14:textFill>
            <w14:solidFill>
              <w14:schemeClr w14:val="tx1"/>
            </w14:solidFill>
          </w14:textFill>
        </w:rPr>
        <w:t>安装完毕经</w:t>
      </w:r>
      <w:r>
        <w:rPr>
          <w:rFonts w:hint="eastAsia" w:ascii="宋体" w:hAnsi="宋体" w:cs="宋体"/>
          <w:bCs/>
          <w:color w:val="000000" w:themeColor="text1"/>
          <w:szCs w:val="21"/>
          <w14:textFill>
            <w14:solidFill>
              <w14:schemeClr w14:val="tx1"/>
            </w14:solidFill>
          </w14:textFill>
        </w:rPr>
        <w:t>甲方</w:t>
      </w:r>
      <w:r>
        <w:rPr>
          <w:rFonts w:ascii="宋体" w:hAnsi="宋体" w:cs="宋体"/>
          <w:bCs/>
          <w:color w:val="000000" w:themeColor="text1"/>
          <w:szCs w:val="21"/>
          <w14:textFill>
            <w14:solidFill>
              <w14:schemeClr w14:val="tx1"/>
            </w14:solidFill>
          </w14:textFill>
        </w:rPr>
        <w:t>初步验收合格正常启动运行后，</w:t>
      </w:r>
      <w:r>
        <w:rPr>
          <w:rFonts w:hint="eastAsia" w:ascii="宋体" w:hAnsi="宋体" w:cs="宋体"/>
          <w:bCs/>
          <w:color w:val="000000" w:themeColor="text1"/>
          <w:szCs w:val="21"/>
          <w14:textFill>
            <w14:solidFill>
              <w14:schemeClr w14:val="tx1"/>
            </w14:solidFill>
          </w14:textFill>
        </w:rPr>
        <w:t>甲方</w:t>
      </w:r>
      <w:r>
        <w:rPr>
          <w:rFonts w:ascii="宋体" w:hAnsi="宋体" w:cs="宋体"/>
          <w:bCs/>
          <w:color w:val="000000" w:themeColor="text1"/>
          <w:szCs w:val="21"/>
          <w14:textFill>
            <w14:solidFill>
              <w14:schemeClr w14:val="tx1"/>
            </w14:solidFill>
          </w14:textFill>
        </w:rPr>
        <w:t>支付</w:t>
      </w:r>
      <w:r>
        <w:rPr>
          <w:rFonts w:hint="eastAsia" w:ascii="宋体" w:hAnsi="宋体" w:cs="宋体"/>
          <w:bCs/>
          <w:color w:val="000000" w:themeColor="text1"/>
          <w:szCs w:val="21"/>
          <w14:textFill>
            <w14:solidFill>
              <w14:schemeClr w14:val="tx1"/>
            </w14:solidFill>
          </w14:textFill>
        </w:rPr>
        <w:t>乙方</w:t>
      </w:r>
      <w:r>
        <w:rPr>
          <w:rFonts w:ascii="宋体" w:hAnsi="宋体" w:cs="宋体"/>
          <w:bCs/>
          <w:color w:val="000000" w:themeColor="text1"/>
          <w:szCs w:val="21"/>
          <w14:textFill>
            <w14:solidFill>
              <w14:schemeClr w14:val="tx1"/>
            </w14:solidFill>
          </w14:textFill>
        </w:rPr>
        <w:t>合同总价的</w:t>
      </w:r>
      <w:r>
        <w:rPr>
          <w:rFonts w:hint="eastAsia" w:ascii="宋体" w:hAnsi="宋体" w:cs="宋体"/>
          <w:bCs/>
          <w:color w:val="000000" w:themeColor="text1"/>
          <w:szCs w:val="21"/>
          <w14:textFill>
            <w14:solidFill>
              <w14:schemeClr w14:val="tx1"/>
            </w14:solidFill>
          </w14:textFill>
        </w:rPr>
        <w:t>50</w:t>
      </w:r>
      <w:r>
        <w:rPr>
          <w:rFonts w:ascii="宋体" w:hAnsi="宋体" w:cs="宋体"/>
          <w:bCs/>
          <w:color w:val="000000" w:themeColor="text1"/>
          <w:szCs w:val="21"/>
          <w14:textFill>
            <w14:solidFill>
              <w14:schemeClr w14:val="tx1"/>
            </w14:solidFill>
          </w14:textFill>
        </w:rPr>
        <w:t>%。</w:t>
      </w:r>
    </w:p>
    <w:p>
      <w:pPr>
        <w:spacing w:line="400" w:lineRule="exact"/>
        <w:contextualSpacing/>
        <w:jc w:val="left"/>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3）设备试运行</w:t>
      </w:r>
      <w:r>
        <w:rPr>
          <w:rFonts w:hint="eastAsia" w:ascii="宋体" w:hAnsi="宋体" w:cs="宋体"/>
          <w:bCs/>
          <w:color w:val="000000" w:themeColor="text1"/>
          <w:szCs w:val="21"/>
          <w14:textFill>
            <w14:solidFill>
              <w14:schemeClr w14:val="tx1"/>
            </w14:solidFill>
          </w14:textFill>
        </w:rPr>
        <w:t>满</w:t>
      </w:r>
      <w:r>
        <w:rPr>
          <w:rFonts w:ascii="宋体" w:hAnsi="宋体" w:cs="宋体"/>
          <w:bCs/>
          <w:color w:val="000000" w:themeColor="text1"/>
          <w:szCs w:val="21"/>
          <w14:textFill>
            <w14:solidFill>
              <w14:schemeClr w14:val="tx1"/>
            </w14:solidFill>
          </w14:textFill>
        </w:rPr>
        <w:t>6个月</w:t>
      </w:r>
      <w:r>
        <w:rPr>
          <w:rFonts w:hint="eastAsia" w:ascii="宋体" w:hAnsi="宋体" w:cs="宋体"/>
          <w:bCs/>
          <w:color w:val="000000" w:themeColor="text1"/>
          <w:szCs w:val="21"/>
          <w14:textFill>
            <w14:solidFill>
              <w14:schemeClr w14:val="tx1"/>
            </w14:solidFill>
          </w14:textFill>
        </w:rPr>
        <w:t>并</w:t>
      </w:r>
      <w:r>
        <w:rPr>
          <w:rFonts w:ascii="宋体" w:hAnsi="宋体" w:cs="宋体"/>
          <w:bCs/>
          <w:color w:val="000000" w:themeColor="text1"/>
          <w:szCs w:val="21"/>
          <w14:textFill>
            <w14:solidFill>
              <w14:schemeClr w14:val="tx1"/>
            </w14:solidFill>
          </w14:textFill>
        </w:rPr>
        <w:t>经</w:t>
      </w:r>
      <w:r>
        <w:rPr>
          <w:rFonts w:hint="eastAsia" w:ascii="宋体" w:hAnsi="宋体" w:cs="宋体"/>
          <w:bCs/>
          <w:color w:val="000000" w:themeColor="text1"/>
          <w:szCs w:val="21"/>
          <w14:textFill>
            <w14:solidFill>
              <w14:schemeClr w14:val="tx1"/>
            </w14:solidFill>
          </w14:textFill>
        </w:rPr>
        <w:t>甲方</w:t>
      </w:r>
      <w:r>
        <w:rPr>
          <w:rFonts w:ascii="宋体" w:hAnsi="宋体" w:cs="宋体"/>
          <w:bCs/>
          <w:color w:val="000000" w:themeColor="text1"/>
          <w:szCs w:val="21"/>
          <w14:textFill>
            <w14:solidFill>
              <w14:schemeClr w14:val="tx1"/>
            </w14:solidFill>
          </w14:textFill>
        </w:rPr>
        <w:t>最终验收后，</w:t>
      </w:r>
      <w:r>
        <w:rPr>
          <w:rFonts w:hint="eastAsia" w:ascii="宋体" w:hAnsi="宋体" w:cs="宋体"/>
          <w:bCs/>
          <w:color w:val="000000" w:themeColor="text1"/>
          <w:szCs w:val="21"/>
          <w14:textFill>
            <w14:solidFill>
              <w14:schemeClr w14:val="tx1"/>
            </w14:solidFill>
          </w14:textFill>
        </w:rPr>
        <w:t>甲方收到乙方</w:t>
      </w:r>
      <w:r>
        <w:rPr>
          <w:rFonts w:ascii="宋体" w:hAnsi="宋体" w:cs="宋体"/>
          <w:bCs/>
          <w:color w:val="000000" w:themeColor="text1"/>
          <w:szCs w:val="21"/>
          <w14:textFill>
            <w14:solidFill>
              <w14:schemeClr w14:val="tx1"/>
            </w14:solidFill>
          </w14:textFill>
        </w:rPr>
        <w:t>提供的全额增值税专用发票及抵扣联后</w:t>
      </w:r>
      <w:r>
        <w:rPr>
          <w:rFonts w:hint="eastAsia" w:ascii="宋体" w:hAnsi="宋体" w:cs="宋体"/>
          <w:bCs/>
          <w:color w:val="000000" w:themeColor="text1"/>
          <w:szCs w:val="21"/>
          <w14:textFill>
            <w14:solidFill>
              <w14:schemeClr w14:val="tx1"/>
            </w14:solidFill>
          </w14:textFill>
        </w:rPr>
        <w:t>7</w:t>
      </w:r>
      <w:r>
        <w:rPr>
          <w:rFonts w:ascii="宋体" w:hAnsi="宋体" w:cs="宋体"/>
          <w:bCs/>
          <w:color w:val="000000" w:themeColor="text1"/>
          <w:szCs w:val="21"/>
          <w14:textFill>
            <w14:solidFill>
              <w14:schemeClr w14:val="tx1"/>
            </w14:solidFill>
          </w14:textFill>
        </w:rPr>
        <w:t>个</w:t>
      </w:r>
      <w:r>
        <w:rPr>
          <w:rFonts w:hint="eastAsia" w:ascii="宋体" w:hAnsi="宋体" w:cs="宋体"/>
          <w:bCs/>
          <w:color w:val="000000" w:themeColor="text1"/>
          <w:szCs w:val="21"/>
          <w14:textFill>
            <w14:solidFill>
              <w14:schemeClr w14:val="tx1"/>
            </w14:solidFill>
          </w14:textFill>
        </w:rPr>
        <w:t>工作日</w:t>
      </w:r>
      <w:r>
        <w:rPr>
          <w:rFonts w:ascii="宋体" w:hAnsi="宋体" w:cs="宋体"/>
          <w:bCs/>
          <w:color w:val="000000" w:themeColor="text1"/>
          <w:szCs w:val="21"/>
          <w14:textFill>
            <w14:solidFill>
              <w14:schemeClr w14:val="tx1"/>
            </w14:solidFill>
          </w14:textFill>
        </w:rPr>
        <w:t>内支付</w:t>
      </w:r>
      <w:r>
        <w:rPr>
          <w:rFonts w:hint="eastAsia" w:ascii="宋体" w:hAnsi="宋体" w:cs="宋体"/>
          <w:bCs/>
          <w:color w:val="000000" w:themeColor="text1"/>
          <w:szCs w:val="21"/>
          <w14:textFill>
            <w14:solidFill>
              <w14:schemeClr w14:val="tx1"/>
            </w14:solidFill>
          </w14:textFill>
        </w:rPr>
        <w:t>乙方</w:t>
      </w:r>
      <w:r>
        <w:rPr>
          <w:rFonts w:ascii="宋体" w:hAnsi="宋体" w:cs="宋体"/>
          <w:bCs/>
          <w:color w:val="000000" w:themeColor="text1"/>
          <w:szCs w:val="21"/>
          <w14:textFill>
            <w14:solidFill>
              <w14:schemeClr w14:val="tx1"/>
            </w14:solidFill>
          </w14:textFill>
        </w:rPr>
        <w:t>剩余合同总价的10%，同时无息返还履约保证金。</w:t>
      </w:r>
    </w:p>
    <w:p>
      <w:pPr>
        <w:spacing w:line="400" w:lineRule="exact"/>
        <w:contextualSpacing/>
        <w:jc w:val="left"/>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3．甲方增值税专用发票信息：</w:t>
      </w:r>
    </w:p>
    <w:p>
      <w:pPr>
        <w:spacing w:line="400" w:lineRule="exact"/>
        <w:contextualSpacing/>
        <w:jc w:val="left"/>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名称：北京航空航天大学宁波创新研究院</w:t>
      </w:r>
    </w:p>
    <w:p>
      <w:pPr>
        <w:spacing w:line="400" w:lineRule="exact"/>
        <w:contextualSpacing/>
        <w:jc w:val="left"/>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纳税人识别号：</w:t>
      </w:r>
    </w:p>
    <w:p>
      <w:pPr>
        <w:spacing w:line="400" w:lineRule="exact"/>
        <w:contextualSpacing/>
        <w:jc w:val="left"/>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开户银行及账号：</w:t>
      </w:r>
    </w:p>
    <w:p>
      <w:pPr>
        <w:spacing w:line="400" w:lineRule="exact"/>
        <w:contextualSpacing/>
        <w:jc w:val="left"/>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 xml:space="preserve">地址： </w:t>
      </w:r>
      <w:r>
        <w:rPr>
          <w:rFonts w:ascii="宋体" w:hAnsi="宋体" w:cs="仿宋"/>
          <w:color w:val="000000" w:themeColor="text1"/>
          <w:szCs w:val="21"/>
          <w14:textFill>
            <w14:solidFill>
              <w14:schemeClr w14:val="tx1"/>
            </w14:solidFill>
          </w14:textFill>
        </w:rPr>
        <w:t xml:space="preserve">                  </w:t>
      </w:r>
      <w:r>
        <w:rPr>
          <w:rFonts w:hint="eastAsia" w:ascii="宋体" w:hAnsi="宋体" w:cs="仿宋"/>
          <w:color w:val="000000" w:themeColor="text1"/>
          <w:szCs w:val="21"/>
          <w14:textFill>
            <w14:solidFill>
              <w14:schemeClr w14:val="tx1"/>
            </w14:solidFill>
          </w14:textFill>
        </w:rPr>
        <w:t>，电话</w:t>
      </w:r>
    </w:p>
    <w:p>
      <w:pPr>
        <w:spacing w:line="400" w:lineRule="exact"/>
        <w:contextualSpacing/>
        <w:jc w:val="left"/>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4．以上款项由甲方汇入乙方指定的如下帐户内：</w:t>
      </w:r>
    </w:p>
    <w:p>
      <w:pPr>
        <w:spacing w:before="120" w:beforeLines="50" w:after="120" w:afterLines="50"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户    名：</w:t>
      </w:r>
    </w:p>
    <w:p>
      <w:pPr>
        <w:spacing w:before="120" w:beforeLines="50" w:after="120" w:afterLines="50"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帐    号：</w:t>
      </w:r>
    </w:p>
    <w:p>
      <w:pPr>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开户银行：</w:t>
      </w: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三、设备交货时间及地点</w:t>
      </w:r>
    </w:p>
    <w:p>
      <w:pPr>
        <w:numPr>
          <w:ilvl w:val="0"/>
          <w:numId w:val="15"/>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乙方应当于合同签订之日起</w:t>
      </w:r>
      <w:r>
        <w:rPr>
          <w:rFonts w:ascii="宋体" w:hAnsi="宋体" w:cs="仿宋"/>
          <w:color w:val="000000" w:themeColor="text1"/>
          <w:szCs w:val="21"/>
          <w:u w:val="single"/>
          <w14:textFill>
            <w14:solidFill>
              <w14:schemeClr w14:val="tx1"/>
            </w14:solidFill>
          </w14:textFill>
        </w:rPr>
        <w:t xml:space="preserve">   </w:t>
      </w:r>
      <w:r>
        <w:rPr>
          <w:rFonts w:hint="eastAsia" w:ascii="宋体" w:hAnsi="宋体" w:cs="仿宋"/>
          <w:color w:val="000000" w:themeColor="text1"/>
          <w:szCs w:val="21"/>
          <w14:textFill>
            <w14:solidFill>
              <w14:schemeClr w14:val="tx1"/>
            </w14:solidFill>
          </w14:textFill>
        </w:rPr>
        <w:t>日内将货物交付甲方，乙方必须同时向甲方提供产品说明书、产品合格证、质量保证书、保修卡、软件光盘等必须具备的相关资料和附件。</w:t>
      </w:r>
    </w:p>
    <w:p>
      <w:pPr>
        <w:numPr>
          <w:ilvl w:val="0"/>
          <w:numId w:val="15"/>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乙方负责对设备进行坚固的包装，以防止设备在运输中发生损坏。</w:t>
      </w:r>
    </w:p>
    <w:p>
      <w:pPr>
        <w:numPr>
          <w:ilvl w:val="0"/>
          <w:numId w:val="15"/>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乙方应当于设备运至甲方指定地点后</w:t>
      </w:r>
      <w:r>
        <w:rPr>
          <w:rFonts w:ascii="宋体" w:hAnsi="宋体" w:cs="仿宋"/>
          <w:color w:val="000000" w:themeColor="text1"/>
          <w:szCs w:val="21"/>
          <w:u w:val="single"/>
          <w14:textFill>
            <w14:solidFill>
              <w14:schemeClr w14:val="tx1"/>
            </w14:solidFill>
          </w14:textFill>
        </w:rPr>
        <w:t xml:space="preserve">   </w:t>
      </w:r>
      <w:r>
        <w:rPr>
          <w:rFonts w:hint="eastAsia" w:ascii="宋体" w:hAnsi="宋体" w:cs="仿宋"/>
          <w:color w:val="000000" w:themeColor="text1"/>
          <w:szCs w:val="21"/>
          <w14:textFill>
            <w14:solidFill>
              <w14:schemeClr w14:val="tx1"/>
            </w14:solidFill>
          </w14:textFill>
        </w:rPr>
        <w:t>个工作日内免费安装完毕。</w:t>
      </w:r>
    </w:p>
    <w:p>
      <w:pPr>
        <w:pStyle w:val="16"/>
        <w:numPr>
          <w:ilvl w:val="0"/>
          <w:numId w:val="15"/>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若甲方原因影响进度，则乙方的到货交付日期顺延。</w:t>
      </w:r>
    </w:p>
    <w:p>
      <w:pPr>
        <w:pStyle w:val="16"/>
        <w:numPr>
          <w:ilvl w:val="0"/>
          <w:numId w:val="15"/>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若因火灾、水灾、台风、地震等及双方同意的其它不可抗力因素影响进度，则乙方的到货交付日期顺延。</w:t>
      </w:r>
    </w:p>
    <w:p>
      <w:pPr>
        <w:numPr>
          <w:ilvl w:val="0"/>
          <w:numId w:val="15"/>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交货地点为甲方指定地点：</w:t>
      </w:r>
      <w:r>
        <w:rPr>
          <w:rFonts w:ascii="宋体" w:hAnsi="宋体" w:cs="仿宋"/>
          <w:color w:val="000000" w:themeColor="text1"/>
          <w:szCs w:val="21"/>
          <w:u w:val="single"/>
          <w14:textFill>
            <w14:solidFill>
              <w14:schemeClr w14:val="tx1"/>
            </w14:solidFill>
          </w14:textFill>
        </w:rPr>
        <w:t xml:space="preserve">                                </w:t>
      </w:r>
      <w:r>
        <w:rPr>
          <w:rFonts w:hint="eastAsia" w:ascii="宋体" w:hAnsi="宋体" w:cs="仿宋"/>
          <w:color w:val="000000" w:themeColor="text1"/>
          <w:szCs w:val="21"/>
          <w14:textFill>
            <w14:solidFill>
              <w14:schemeClr w14:val="tx1"/>
            </w14:solidFill>
          </w14:textFill>
        </w:rPr>
        <w:t>。</w:t>
      </w: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四、双方的义务</w:t>
      </w: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甲方义务</w:t>
      </w:r>
    </w:p>
    <w:p>
      <w:pPr>
        <w:numPr>
          <w:ilvl w:val="0"/>
          <w:numId w:val="16"/>
        </w:numPr>
        <w:tabs>
          <w:tab w:val="left" w:pos="142"/>
          <w:tab w:val="left" w:pos="426"/>
        </w:tabs>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甲方应当配合乙方在设备安装过程提供衔接事务，提供符合设备正常使用的场地和环境。</w:t>
      </w:r>
    </w:p>
    <w:p>
      <w:pPr>
        <w:numPr>
          <w:ilvl w:val="0"/>
          <w:numId w:val="16"/>
        </w:numPr>
        <w:tabs>
          <w:tab w:val="left" w:pos="142"/>
          <w:tab w:val="left" w:pos="426"/>
        </w:tabs>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甲方应当按合同约定组织办理验收和款项支付。</w:t>
      </w:r>
    </w:p>
    <w:p>
      <w:pPr>
        <w:pStyle w:val="27"/>
        <w:spacing w:line="360" w:lineRule="auto"/>
        <w:jc w:val="both"/>
        <w:rPr>
          <w:rFonts w:ascii="宋体" w:hAnsi="宋体" w:cs="仿宋"/>
          <w:color w:val="000000" w:themeColor="text1"/>
          <w:sz w:val="21"/>
          <w:szCs w:val="21"/>
          <w14:textFill>
            <w14:solidFill>
              <w14:schemeClr w14:val="tx1"/>
            </w14:solidFill>
          </w14:textFill>
        </w:rPr>
      </w:pPr>
      <w:r>
        <w:rPr>
          <w:rFonts w:hint="eastAsia" w:ascii="宋体" w:hAnsi="宋体" w:cs="仿宋"/>
          <w:color w:val="000000" w:themeColor="text1"/>
          <w:sz w:val="21"/>
          <w:szCs w:val="21"/>
          <w14:textFill>
            <w14:solidFill>
              <w14:schemeClr w14:val="tx1"/>
            </w14:solidFill>
          </w14:textFill>
        </w:rPr>
        <w:t>乙方义务</w:t>
      </w:r>
    </w:p>
    <w:p>
      <w:pPr>
        <w:pStyle w:val="27"/>
        <w:numPr>
          <w:ilvl w:val="0"/>
          <w:numId w:val="17"/>
        </w:numPr>
        <w:tabs>
          <w:tab w:val="left" w:pos="426"/>
        </w:tabs>
        <w:spacing w:line="360" w:lineRule="auto"/>
        <w:rPr>
          <w:rFonts w:ascii="宋体" w:hAnsi="宋体" w:cs="仿宋"/>
          <w:color w:val="000000" w:themeColor="text1"/>
          <w:sz w:val="21"/>
          <w:szCs w:val="21"/>
          <w14:textFill>
            <w14:solidFill>
              <w14:schemeClr w14:val="tx1"/>
            </w14:solidFill>
          </w14:textFill>
        </w:rPr>
      </w:pPr>
      <w:r>
        <w:rPr>
          <w:rFonts w:hint="eastAsia" w:ascii="宋体" w:hAnsi="宋体" w:cs="仿宋"/>
          <w:color w:val="000000" w:themeColor="text1"/>
          <w:sz w:val="21"/>
          <w:szCs w:val="21"/>
          <w14:textFill>
            <w14:solidFill>
              <w14:schemeClr w14:val="tx1"/>
            </w14:solidFill>
          </w14:textFill>
        </w:rPr>
        <w:t>负责设备的运输、保险、安装、调试、培训、保修服务及相应费用等。</w:t>
      </w:r>
    </w:p>
    <w:p>
      <w:pPr>
        <w:pStyle w:val="27"/>
        <w:numPr>
          <w:ilvl w:val="0"/>
          <w:numId w:val="17"/>
        </w:numPr>
        <w:tabs>
          <w:tab w:val="left" w:pos="426"/>
        </w:tabs>
        <w:spacing w:line="360" w:lineRule="auto"/>
        <w:rPr>
          <w:rFonts w:ascii="宋体" w:hAnsi="宋体" w:cs="仿宋"/>
          <w:color w:val="000000" w:themeColor="text1"/>
          <w:sz w:val="21"/>
          <w:szCs w:val="21"/>
          <w14:textFill>
            <w14:solidFill>
              <w14:schemeClr w14:val="tx1"/>
            </w14:solidFill>
          </w14:textFill>
        </w:rPr>
      </w:pPr>
      <w:r>
        <w:rPr>
          <w:rFonts w:hint="eastAsia" w:ascii="宋体" w:hAnsi="宋体" w:cs="仿宋"/>
          <w:color w:val="000000" w:themeColor="text1"/>
          <w:sz w:val="21"/>
          <w:szCs w:val="21"/>
          <w14:textFill>
            <w14:solidFill>
              <w14:schemeClr w14:val="tx1"/>
            </w14:solidFill>
          </w14:textFill>
        </w:rPr>
        <w:t>选派合格的技术人员负责本项目的安装调试。</w:t>
      </w:r>
    </w:p>
    <w:p>
      <w:pPr>
        <w:pStyle w:val="27"/>
        <w:spacing w:line="360" w:lineRule="auto"/>
        <w:jc w:val="both"/>
        <w:rPr>
          <w:rFonts w:ascii="宋体" w:hAnsi="宋体" w:cs="仿宋"/>
          <w:color w:val="000000" w:themeColor="text1"/>
          <w:sz w:val="21"/>
          <w:szCs w:val="21"/>
          <w14:textFill>
            <w14:solidFill>
              <w14:schemeClr w14:val="tx1"/>
            </w14:solidFill>
          </w14:textFill>
        </w:rPr>
      </w:pPr>
      <w:r>
        <w:rPr>
          <w:rFonts w:hint="eastAsia" w:ascii="宋体" w:hAnsi="宋体" w:cs="仿宋"/>
          <w:color w:val="000000" w:themeColor="text1"/>
          <w:sz w:val="21"/>
          <w:szCs w:val="21"/>
          <w14:textFill>
            <w14:solidFill>
              <w14:schemeClr w14:val="tx1"/>
            </w14:solidFill>
          </w14:textFill>
        </w:rPr>
        <w:t>五、售后服务</w:t>
      </w:r>
    </w:p>
    <w:p>
      <w:pPr>
        <w:numPr>
          <w:ilvl w:val="0"/>
          <w:numId w:val="18"/>
        </w:numPr>
        <w:spacing w:line="360" w:lineRule="auto"/>
        <w:ind w:left="0" w:firstLine="0"/>
        <w:jc w:val="left"/>
        <w:rPr>
          <w:rFonts w:ascii="宋体" w:hAnsi="宋体" w:cs="仿宋"/>
          <w:color w:val="000000" w:themeColor="text1"/>
          <w:szCs w:val="21"/>
          <w:u w:val="single"/>
          <w14:textFill>
            <w14:solidFill>
              <w14:schemeClr w14:val="tx1"/>
            </w14:solidFill>
          </w14:textFill>
        </w:rPr>
      </w:pPr>
      <w:r>
        <w:rPr>
          <w:rFonts w:hint="eastAsia" w:ascii="宋体" w:hAnsi="宋体" w:cs="仿宋"/>
          <w:color w:val="000000" w:themeColor="text1"/>
          <w:szCs w:val="21"/>
          <w14:textFill>
            <w14:solidFill>
              <w14:schemeClr w14:val="tx1"/>
            </w14:solidFill>
          </w14:textFill>
        </w:rPr>
        <w:t>乙方保证对所提供的产品实行</w:t>
      </w:r>
      <w:r>
        <w:rPr>
          <w:rFonts w:hint="eastAsia" w:ascii="宋体" w:hAnsi="宋体" w:cs="仿宋"/>
          <w:color w:val="000000" w:themeColor="text1"/>
          <w:szCs w:val="21"/>
          <w:u w:val="single"/>
          <w14:textFill>
            <w14:solidFill>
              <w14:schemeClr w14:val="tx1"/>
            </w14:solidFill>
          </w14:textFill>
        </w:rPr>
        <w:t xml:space="preserve"> </w:t>
      </w:r>
      <w:r>
        <w:rPr>
          <w:rFonts w:ascii="宋体" w:hAnsi="宋体" w:cs="仿宋"/>
          <w:color w:val="000000" w:themeColor="text1"/>
          <w:szCs w:val="21"/>
          <w:u w:val="single"/>
          <w14:textFill>
            <w14:solidFill>
              <w14:schemeClr w14:val="tx1"/>
            </w14:solidFill>
          </w14:textFill>
        </w:rPr>
        <w:t xml:space="preserve">  </w:t>
      </w:r>
      <w:r>
        <w:rPr>
          <w:rFonts w:hint="eastAsia" w:ascii="宋体" w:hAnsi="宋体" w:cs="仿宋"/>
          <w:color w:val="000000" w:themeColor="text1"/>
          <w:szCs w:val="21"/>
          <w14:textFill>
            <w14:solidFill>
              <w14:schemeClr w14:val="tx1"/>
            </w14:solidFill>
          </w14:textFill>
        </w:rPr>
        <w:t>年免费保修（免费上门服务），设备附带的软件</w:t>
      </w:r>
      <w:r>
        <w:rPr>
          <w:rFonts w:hint="eastAsia" w:ascii="宋体" w:hAnsi="宋体" w:cs="仿宋"/>
          <w:color w:val="000000" w:themeColor="text1"/>
          <w:szCs w:val="21"/>
          <w:u w:val="single"/>
          <w14:textFill>
            <w14:solidFill>
              <w14:schemeClr w14:val="tx1"/>
            </w14:solidFill>
          </w14:textFill>
        </w:rPr>
        <w:t xml:space="preserve"> </w:t>
      </w:r>
      <w:r>
        <w:rPr>
          <w:rFonts w:ascii="宋体" w:hAnsi="宋体" w:cs="仿宋"/>
          <w:color w:val="000000" w:themeColor="text1"/>
          <w:szCs w:val="21"/>
          <w:u w:val="single"/>
          <w14:textFill>
            <w14:solidFill>
              <w14:schemeClr w14:val="tx1"/>
            </w14:solidFill>
          </w14:textFill>
        </w:rPr>
        <w:t xml:space="preserve">   </w:t>
      </w:r>
      <w:r>
        <w:rPr>
          <w:rFonts w:hint="eastAsia" w:ascii="宋体" w:hAnsi="宋体" w:cs="仿宋"/>
          <w:color w:val="000000" w:themeColor="text1"/>
          <w:szCs w:val="21"/>
          <w14:textFill>
            <w14:solidFill>
              <w14:schemeClr w14:val="tx1"/>
            </w14:solidFill>
          </w14:textFill>
        </w:rPr>
        <w:t>年内免费升级，维修响应时间为接到 甲方保修电话后</w:t>
      </w:r>
      <w:r>
        <w:rPr>
          <w:rFonts w:hint="eastAsia" w:ascii="宋体" w:hAnsi="宋体" w:cs="仿宋"/>
          <w:color w:val="000000" w:themeColor="text1"/>
          <w:szCs w:val="21"/>
          <w:u w:val="single"/>
          <w14:textFill>
            <w14:solidFill>
              <w14:schemeClr w14:val="tx1"/>
            </w14:solidFill>
          </w14:textFill>
        </w:rPr>
        <w:t xml:space="preserve"> </w:t>
      </w:r>
      <w:r>
        <w:rPr>
          <w:rFonts w:ascii="宋体" w:hAnsi="宋体" w:cs="仿宋"/>
          <w:color w:val="000000" w:themeColor="text1"/>
          <w:szCs w:val="21"/>
          <w:u w:val="single"/>
          <w14:textFill>
            <w14:solidFill>
              <w14:schemeClr w14:val="tx1"/>
            </w14:solidFill>
          </w14:textFill>
        </w:rPr>
        <w:t xml:space="preserve">   </w:t>
      </w:r>
      <w:r>
        <w:rPr>
          <w:rFonts w:hint="eastAsia" w:ascii="宋体" w:hAnsi="宋体" w:cs="仿宋"/>
          <w:color w:val="000000" w:themeColor="text1"/>
          <w:szCs w:val="21"/>
          <w14:textFill>
            <w14:solidFill>
              <w14:schemeClr w14:val="tx1"/>
            </w14:solidFill>
          </w14:textFill>
        </w:rPr>
        <w:t>小时到现场解决。乙方在接到甲方通知后，未及时派员维修的，甲方有权自行委托第三方进行维修并从履约保证金中扣除所产生的相关费用。</w:t>
      </w:r>
    </w:p>
    <w:p>
      <w:pPr>
        <w:numPr>
          <w:ilvl w:val="0"/>
          <w:numId w:val="18"/>
        </w:numPr>
        <w:spacing w:line="360" w:lineRule="auto"/>
        <w:ind w:left="0" w:firstLine="0"/>
        <w:rPr>
          <w:rFonts w:ascii="宋体" w:hAnsi="宋体" w:cs="仿宋"/>
          <w:color w:val="000000" w:themeColor="text1"/>
          <w:szCs w:val="21"/>
          <w:u w:val="single"/>
          <w14:textFill>
            <w14:solidFill>
              <w14:schemeClr w14:val="tx1"/>
            </w14:solidFill>
          </w14:textFill>
        </w:rPr>
      </w:pPr>
      <w:r>
        <w:rPr>
          <w:rFonts w:hint="eastAsia" w:ascii="宋体" w:hAnsi="宋体" w:cs="仿宋"/>
          <w:color w:val="000000" w:themeColor="text1"/>
          <w:szCs w:val="21"/>
          <w14:textFill>
            <w14:solidFill>
              <w14:schemeClr w14:val="tx1"/>
            </w14:solidFill>
          </w14:textFill>
        </w:rPr>
        <w:t>保修期从最终验收合格之日算起，乙方提供的货物在保修期内因货物、软件本身的质量问题发生故障，乙方应负责免费更换。</w:t>
      </w:r>
      <w:r>
        <w:rPr>
          <w:rFonts w:ascii="宋体" w:hAnsi="宋体"/>
          <w:color w:val="000000" w:themeColor="text1"/>
          <w:szCs w:val="21"/>
          <w14:textFill>
            <w14:solidFill>
              <w14:schemeClr w14:val="tx1"/>
            </w14:solidFill>
          </w14:textFill>
        </w:rPr>
        <w:t>对达不到技术要求者，</w:t>
      </w:r>
      <w:r>
        <w:rPr>
          <w:rFonts w:hint="eastAsia" w:ascii="宋体" w:hAnsi="宋体" w:cs="仿宋"/>
          <w:color w:val="000000" w:themeColor="text1"/>
          <w:szCs w:val="21"/>
          <w14:textFill>
            <w14:solidFill>
              <w14:schemeClr w14:val="tx1"/>
            </w14:solidFill>
          </w14:textFill>
        </w:rPr>
        <w:t>根据实际情况，经双方协商，可按以下办法处理：</w:t>
      </w:r>
    </w:p>
    <w:p>
      <w:pPr>
        <w:spacing w:line="360" w:lineRule="auto"/>
        <w:ind w:firstLine="420" w:firstLineChars="200"/>
        <w:rPr>
          <w:rFonts w:ascii="宋体" w:hAnsi="宋体" w:cs="仿宋"/>
          <w:color w:val="000000" w:themeColor="text1"/>
          <w:szCs w:val="21"/>
          <w:u w:val="single"/>
          <w14:textFill>
            <w14:solidFill>
              <w14:schemeClr w14:val="tx1"/>
            </w14:solidFill>
          </w14:textFill>
        </w:rPr>
      </w:pPr>
      <w:r>
        <w:rPr>
          <w:rFonts w:hint="eastAsia" w:ascii="宋体" w:hAnsi="宋体" w:cs="仿宋"/>
          <w:color w:val="000000" w:themeColor="text1"/>
          <w:szCs w:val="21"/>
          <w14:textFill>
            <w14:solidFill>
              <w14:schemeClr w14:val="tx1"/>
            </w14:solidFill>
          </w14:textFill>
        </w:rPr>
        <w:t>（1）更换：由乙方承担所发生的全部费用。</w:t>
      </w:r>
    </w:p>
    <w:p>
      <w:pPr>
        <w:spacing w:line="360" w:lineRule="auto"/>
        <w:ind w:firstLine="411" w:firstLineChars="196"/>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（2）贬值处理：由甲乙双方协商定价。</w:t>
      </w:r>
    </w:p>
    <w:p>
      <w:pPr>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（3）退货处理：乙方应退还甲方支付的全部合同款并赔偿甲方由此造成的全部损失，同时应承担该货物的直接费用（运输、保险、检验、全部合同款的利息损失及银行手续费等）。</w:t>
      </w:r>
    </w:p>
    <w:p>
      <w:pPr>
        <w:numPr>
          <w:ilvl w:val="0"/>
          <w:numId w:val="18"/>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保修期过后由乙方提供维修服务。双方可另行签订维修服务合同，如招标文件对维修费用有约定，则应当以招标文件约定为准。</w:t>
      </w:r>
    </w:p>
    <w:p>
      <w:pPr>
        <w:numPr>
          <w:ilvl w:val="0"/>
          <w:numId w:val="18"/>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乙方应当承担因设备故障原因造成的甲方财产损失、人员伤亡等赔偿责任。</w:t>
      </w: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六、设备验收及风险转移</w:t>
      </w:r>
    </w:p>
    <w:p>
      <w:pPr>
        <w:numPr>
          <w:ilvl w:val="0"/>
          <w:numId w:val="19"/>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 xml:space="preserve">验收标准：按下列第( )项执行： </w:t>
      </w:r>
      <w:r>
        <w:rPr>
          <w:rFonts w:hint="eastAsia" w:ascii="宋体" w:hAnsi="宋体" w:cs="仿宋"/>
          <w:color w:val="000000" w:themeColor="text1"/>
          <w:szCs w:val="21"/>
          <w14:textFill>
            <w14:solidFill>
              <w14:schemeClr w14:val="tx1"/>
            </w14:solidFill>
          </w14:textFill>
        </w:rPr>
        <w:br w:type="textWrapping"/>
      </w:r>
      <w:r>
        <w:rPr>
          <w:rFonts w:hint="eastAsia" w:ascii="宋体" w:hAnsi="宋体" w:cs="仿宋"/>
          <w:color w:val="000000" w:themeColor="text1"/>
          <w:szCs w:val="21"/>
          <w14:textFill>
            <w14:solidFill>
              <w14:schemeClr w14:val="tx1"/>
            </w14:solidFill>
          </w14:textFill>
        </w:rPr>
        <w:t xml:space="preserve"> (1) 按照</w:t>
      </w:r>
      <w:r>
        <w:rPr>
          <w:rFonts w:hint="eastAsia" w:ascii="宋体" w:hAnsi="宋体" w:cs="仿宋"/>
          <w:color w:val="000000" w:themeColor="text1"/>
          <w:szCs w:val="21"/>
          <w:u w:val="single"/>
          <w14:textFill>
            <w14:solidFill>
              <w14:schemeClr w14:val="tx1"/>
            </w14:solidFill>
          </w14:textFill>
        </w:rPr>
        <w:t xml:space="preserve"> </w:t>
      </w:r>
      <w:r>
        <w:rPr>
          <w:rFonts w:ascii="宋体" w:hAnsi="宋体" w:cs="仿宋"/>
          <w:color w:val="000000" w:themeColor="text1"/>
          <w:szCs w:val="21"/>
          <w:u w:val="single"/>
          <w14:textFill>
            <w14:solidFill>
              <w14:schemeClr w14:val="tx1"/>
            </w14:solidFill>
          </w14:textFill>
        </w:rPr>
        <w:t xml:space="preserve">      </w:t>
      </w:r>
      <w:r>
        <w:rPr>
          <w:rFonts w:hint="eastAsia" w:ascii="宋体" w:hAnsi="宋体" w:cs="仿宋"/>
          <w:color w:val="000000" w:themeColor="text1"/>
          <w:szCs w:val="21"/>
          <w14:textFill>
            <w14:solidFill>
              <w14:schemeClr w14:val="tx1"/>
            </w14:solidFill>
          </w14:textFill>
        </w:rPr>
        <w:t xml:space="preserve">标准执行(须注明按国家标准或部颁或企业具体标准，如标准代号、编号和标准名称等)。 </w:t>
      </w:r>
      <w:r>
        <w:rPr>
          <w:rFonts w:hint="eastAsia" w:ascii="宋体" w:hAnsi="宋体" w:cs="仿宋"/>
          <w:color w:val="000000" w:themeColor="text1"/>
          <w:szCs w:val="21"/>
          <w14:textFill>
            <w14:solidFill>
              <w14:schemeClr w14:val="tx1"/>
            </w14:solidFill>
          </w14:textFill>
        </w:rPr>
        <w:br w:type="textWrapping"/>
      </w:r>
      <w:r>
        <w:rPr>
          <w:rFonts w:hint="eastAsia" w:ascii="宋体" w:hAnsi="宋体" w:cs="仿宋"/>
          <w:color w:val="000000" w:themeColor="text1"/>
          <w:szCs w:val="21"/>
          <w14:textFill>
            <w14:solidFill>
              <w14:schemeClr w14:val="tx1"/>
            </w14:solidFill>
          </w14:textFill>
        </w:rPr>
        <w:t xml:space="preserve"> (2) 按样本，样本作为合同的附件（应注明样本封存及保管方式）。 </w:t>
      </w:r>
      <w:r>
        <w:rPr>
          <w:rFonts w:hint="eastAsia" w:ascii="宋体" w:hAnsi="宋体" w:cs="仿宋"/>
          <w:color w:val="000000" w:themeColor="text1"/>
          <w:szCs w:val="21"/>
          <w14:textFill>
            <w14:solidFill>
              <w14:schemeClr w14:val="tx1"/>
            </w14:solidFill>
          </w14:textFill>
        </w:rPr>
        <w:br w:type="textWrapping"/>
      </w:r>
      <w:r>
        <w:rPr>
          <w:rFonts w:hint="eastAsia" w:ascii="宋体" w:hAnsi="宋体" w:cs="仿宋"/>
          <w:color w:val="000000" w:themeColor="text1"/>
          <w:szCs w:val="21"/>
          <w14:textFill>
            <w14:solidFill>
              <w14:schemeClr w14:val="tx1"/>
            </w14:solidFill>
          </w14:textFill>
        </w:rPr>
        <w:t xml:space="preserve"> (3) 按双方商定要求执行，具体为：</w:t>
      </w:r>
      <w:r>
        <w:rPr>
          <w:rFonts w:hint="eastAsia" w:ascii="宋体" w:hAnsi="宋体" w:cs="仿宋"/>
          <w:color w:val="000000" w:themeColor="text1"/>
          <w:szCs w:val="21"/>
          <w:u w:val="single"/>
          <w14:textFill>
            <w14:solidFill>
              <w14:schemeClr w14:val="tx1"/>
            </w14:solidFill>
          </w14:textFill>
        </w:rPr>
        <w:t xml:space="preserve"> </w:t>
      </w:r>
      <w:r>
        <w:rPr>
          <w:rFonts w:ascii="宋体" w:hAnsi="宋体" w:cs="仿宋"/>
          <w:color w:val="000000" w:themeColor="text1"/>
          <w:szCs w:val="21"/>
          <w:u w:val="single"/>
          <w14:textFill>
            <w14:solidFill>
              <w14:schemeClr w14:val="tx1"/>
            </w14:solidFill>
          </w14:textFill>
        </w:rPr>
        <w:t xml:space="preserve">      </w:t>
      </w:r>
      <w:r>
        <w:rPr>
          <w:rFonts w:hint="eastAsia" w:ascii="宋体" w:hAnsi="宋体" w:cs="仿宋"/>
          <w:color w:val="000000" w:themeColor="text1"/>
          <w:szCs w:val="21"/>
          <w14:textFill>
            <w14:solidFill>
              <w14:schemeClr w14:val="tx1"/>
            </w14:solidFill>
          </w14:textFill>
        </w:rPr>
        <w:t xml:space="preserve">（应具体约定产品质量要求）。 </w:t>
      </w:r>
    </w:p>
    <w:p>
      <w:pPr>
        <w:numPr>
          <w:ilvl w:val="0"/>
          <w:numId w:val="19"/>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由于设备不符合合同约定的标准或国家标准、行业标准，甲方拒绝受领的，设备的风险仍由乙方承担。</w:t>
      </w:r>
    </w:p>
    <w:p>
      <w:pPr>
        <w:numPr>
          <w:ilvl w:val="0"/>
          <w:numId w:val="19"/>
        </w:numPr>
        <w:tabs>
          <w:tab w:val="left" w:pos="426"/>
        </w:tabs>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开箱验收：由双方共同对设备进行开箱清点，乙方不得事先拆封原厂商包装，否则甲方可拒绝接收设备且可以单方通知乙方解除合同，由此而产生的后果由乙方负责。</w:t>
      </w:r>
    </w:p>
    <w:p>
      <w:pPr>
        <w:numPr>
          <w:ilvl w:val="0"/>
          <w:numId w:val="19"/>
        </w:numPr>
        <w:tabs>
          <w:tab w:val="left" w:pos="426"/>
        </w:tabs>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甲方在验收中如发现货物的品种、型号、规格、花色和质量不合规定或约定，应在妥为保管货物的同时，自收到货物后</w:t>
      </w:r>
      <w:r>
        <w:rPr>
          <w:rFonts w:hint="eastAsia" w:ascii="宋体" w:hAnsi="宋体" w:cs="仿宋"/>
          <w:color w:val="000000" w:themeColor="text1"/>
          <w:szCs w:val="21"/>
          <w:u w:val="single"/>
          <w14:textFill>
            <w14:solidFill>
              <w14:schemeClr w14:val="tx1"/>
            </w14:solidFill>
          </w14:textFill>
        </w:rPr>
        <w:t xml:space="preserve"> </w:t>
      </w:r>
      <w:r>
        <w:rPr>
          <w:rFonts w:ascii="宋体" w:hAnsi="宋体" w:cs="仿宋"/>
          <w:color w:val="000000" w:themeColor="text1"/>
          <w:szCs w:val="21"/>
          <w:u w:val="single"/>
          <w14:textFill>
            <w14:solidFill>
              <w14:schemeClr w14:val="tx1"/>
            </w14:solidFill>
          </w14:textFill>
        </w:rPr>
        <w:t xml:space="preserve">  </w:t>
      </w:r>
      <w:r>
        <w:rPr>
          <w:rFonts w:hint="eastAsia" w:ascii="宋体" w:hAnsi="宋体" w:cs="仿宋"/>
          <w:color w:val="000000" w:themeColor="text1"/>
          <w:szCs w:val="21"/>
          <w14:textFill>
            <w14:solidFill>
              <w14:schemeClr w14:val="tx1"/>
            </w14:solidFill>
          </w14:textFill>
        </w:rPr>
        <w:t>日内向乙方提出书面异议。</w:t>
      </w:r>
    </w:p>
    <w:p>
      <w:pPr>
        <w:numPr>
          <w:ilvl w:val="0"/>
          <w:numId w:val="19"/>
        </w:numPr>
        <w:tabs>
          <w:tab w:val="left" w:pos="426"/>
        </w:tabs>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乙方在接到甲方书面异议后，应在</w:t>
      </w:r>
      <w:r>
        <w:rPr>
          <w:rFonts w:hint="eastAsia" w:ascii="宋体" w:hAnsi="宋体" w:cs="仿宋"/>
          <w:color w:val="000000" w:themeColor="text1"/>
          <w:szCs w:val="21"/>
          <w:u w:val="single"/>
          <w14:textFill>
            <w14:solidFill>
              <w14:schemeClr w14:val="tx1"/>
            </w14:solidFill>
          </w14:textFill>
        </w:rPr>
        <w:t xml:space="preserve"> </w:t>
      </w:r>
      <w:r>
        <w:rPr>
          <w:rFonts w:ascii="宋体" w:hAnsi="宋体" w:cs="仿宋"/>
          <w:color w:val="000000" w:themeColor="text1"/>
          <w:szCs w:val="21"/>
          <w:u w:val="single"/>
          <w14:textFill>
            <w14:solidFill>
              <w14:schemeClr w14:val="tx1"/>
            </w14:solidFill>
          </w14:textFill>
        </w:rPr>
        <w:t xml:space="preserve">   </w:t>
      </w:r>
      <w:r>
        <w:rPr>
          <w:rFonts w:hint="eastAsia" w:ascii="宋体" w:hAnsi="宋体" w:cs="仿宋"/>
          <w:color w:val="000000" w:themeColor="text1"/>
          <w:szCs w:val="21"/>
          <w14:textFill>
            <w14:solidFill>
              <w14:schemeClr w14:val="tx1"/>
            </w14:solidFill>
          </w14:textFill>
        </w:rPr>
        <w:t xml:space="preserve">日内负责处理并通知甲方处理情况，否则，即视为默认甲方提出的异议和处理意见。 </w:t>
      </w:r>
    </w:p>
    <w:p>
      <w:pPr>
        <w:numPr>
          <w:ilvl w:val="0"/>
          <w:numId w:val="19"/>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风险转移：乙方需对所有设备购买保险，设备在乙方送货前毁损、灭失的风险由乙方承担；在乙方送货后因乙方或乙方设备的自身原因造成的毁损、灭失的风险由乙方承担，因甲方人为破坏造成的毁损、灭失的风险由甲方承担。乙方应当在送货前告知甲方关于设备的存放条件及保管要求，因乙方未告知情况下造成的设备毁损、灭失，该风险也由乙方承担。</w:t>
      </w:r>
    </w:p>
    <w:p>
      <w:pPr>
        <w:spacing w:line="360" w:lineRule="auto"/>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七、设备的安装调试</w:t>
      </w:r>
    </w:p>
    <w:p>
      <w:pPr>
        <w:numPr>
          <w:ilvl w:val="0"/>
          <w:numId w:val="20"/>
        </w:num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乙方在设备开箱验收合格后</w:t>
      </w:r>
      <w:r>
        <w:rPr>
          <w:rFonts w:hint="eastAsia" w:ascii="宋体" w:hAnsi="宋体" w:cs="仿宋"/>
          <w:color w:val="000000" w:themeColor="text1"/>
          <w:szCs w:val="21"/>
          <w:u w:val="single"/>
          <w14:textFill>
            <w14:solidFill>
              <w14:schemeClr w14:val="tx1"/>
            </w14:solidFill>
          </w14:textFill>
        </w:rPr>
        <w:t xml:space="preserve"> </w:t>
      </w:r>
      <w:r>
        <w:rPr>
          <w:rFonts w:ascii="宋体" w:hAnsi="宋体" w:cs="仿宋"/>
          <w:color w:val="000000" w:themeColor="text1"/>
          <w:szCs w:val="21"/>
          <w:u w:val="single"/>
          <w14:textFill>
            <w14:solidFill>
              <w14:schemeClr w14:val="tx1"/>
            </w14:solidFill>
          </w14:textFill>
        </w:rPr>
        <w:t xml:space="preserve">   </w:t>
      </w:r>
      <w:r>
        <w:rPr>
          <w:rFonts w:hint="eastAsia" w:ascii="宋体" w:hAnsi="宋体" w:cs="仿宋"/>
          <w:color w:val="000000" w:themeColor="text1"/>
          <w:szCs w:val="21"/>
          <w14:textFill>
            <w14:solidFill>
              <w14:schemeClr w14:val="tx1"/>
            </w14:solidFill>
          </w14:textFill>
        </w:rPr>
        <w:t>日内完成设备的安装调试。</w:t>
      </w:r>
    </w:p>
    <w:p>
      <w:pPr>
        <w:numPr>
          <w:ilvl w:val="0"/>
          <w:numId w:val="20"/>
        </w:num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乙方完成安装调试后，应通知甲方进行安装调试后的验收。</w:t>
      </w:r>
    </w:p>
    <w:p>
      <w:pPr>
        <w:numPr>
          <w:ilvl w:val="0"/>
          <w:numId w:val="20"/>
        </w:num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设备功能验收</w:t>
      </w:r>
    </w:p>
    <w:p>
      <w:pPr>
        <w:tabs>
          <w:tab w:val="left" w:pos="426"/>
        </w:tabs>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（1）甲方应在乙方完成安装调试后的进行验收，如验收不合格，乙方须重新进行安装调试，经甲方两次验收仍不合格的，甲方有权单方解除本合同，并按照本合同第八条的约定追究乙方的违约责任。</w:t>
      </w:r>
    </w:p>
    <w:p>
      <w:pPr>
        <w:tabs>
          <w:tab w:val="left" w:pos="426"/>
        </w:tabs>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（2）功能验收合格后，应由甲方在《采购项目验收单》上签字盖章确认。《采购项目验收单》一式贰份，甲乙双方各执壹份，具有同等法律效力。</w:t>
      </w: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八、违约责任</w:t>
      </w:r>
    </w:p>
    <w:p>
      <w:pPr>
        <w:numPr>
          <w:ilvl w:val="0"/>
          <w:numId w:val="21"/>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乙方无正当理由延迟交货，乙方应付给甲方每星期按合同总价0.5%的违约金，不足一星期的一律按一星期计算，甲方有权直接在货款或履约保证金中直接扣除相应违约金，此项违约金总额不超过全部合同总价的5%，无特殊理由延迟交货1个月以上，甲方可拒绝收货且可以单方通知乙方解除合同，乙方需自行承担由此而产生的一切后果；延迟付款，甲方应付给乙方每星期按合同总价0.5%的违约金，此项违约金总额不超过全部合同总价的5%。</w:t>
      </w:r>
    </w:p>
    <w:p>
      <w:pPr>
        <w:numPr>
          <w:ilvl w:val="0"/>
          <w:numId w:val="21"/>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违约金应在守约方发出书面违约通知之日起十个工作日内完成支付，因违约方违约行为给守约方造成损失的，违约方还需承担全部赔偿责任，守约方为维护权益，向违约方主张权利的一切费用（包括但不限于律师费、诉讼费、保全费、交通费、差旅费、鉴定费等等）均由违约方承担。</w:t>
      </w: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九、争议的解决</w:t>
      </w:r>
    </w:p>
    <w:p>
      <w:pPr>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因执行本合同所发生的或与本合同有关的一切争议，甲乙双方应通过友好协商解决。如经协商仍不能解决争议时，可向甲方所在地人民法院提起诉讼。</w:t>
      </w: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十、通讯地址</w:t>
      </w:r>
    </w:p>
    <w:p>
      <w:pPr>
        <w:numPr>
          <w:ilvl w:val="0"/>
          <w:numId w:val="22"/>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甲方与乙方就合同中涉及各类通知、协议等文件以及就合同发生纠纷时相关文件和法律文书送达时的送达地址及法律后果作如下约定：</w:t>
      </w:r>
    </w:p>
    <w:p>
      <w:pPr>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甲方确认其有效的送达地址为：浙江省宁波市梅山保税港区三创基地七号楼</w:t>
      </w:r>
    </w:p>
    <w:p>
      <w:pPr>
        <w:spacing w:line="360" w:lineRule="auto"/>
        <w:ind w:firstLine="420" w:firstLineChars="200"/>
        <w:rPr>
          <w:rFonts w:ascii="宋体" w:hAnsi="宋体" w:cs="仿宋"/>
          <w:color w:val="000000" w:themeColor="text1"/>
          <w:szCs w:val="21"/>
          <w:u w:val="single"/>
          <w14:textFill>
            <w14:solidFill>
              <w14:schemeClr w14:val="tx1"/>
            </w14:solidFill>
          </w14:textFill>
        </w:rPr>
      </w:pPr>
      <w:r>
        <w:rPr>
          <w:rFonts w:hint="eastAsia" w:ascii="宋体" w:hAnsi="宋体" w:cs="仿宋"/>
          <w:color w:val="000000" w:themeColor="text1"/>
          <w:szCs w:val="21"/>
          <w14:textFill>
            <w14:solidFill>
              <w14:schemeClr w14:val="tx1"/>
            </w14:solidFill>
          </w14:textFill>
        </w:rPr>
        <w:t>乙方确认其有效的送达地址为：</w:t>
      </w:r>
    </w:p>
    <w:p>
      <w:pPr>
        <w:numPr>
          <w:ilvl w:val="0"/>
          <w:numId w:val="22"/>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甲方或乙方未按前述方式履行通知义务，双方所确认的送达地址仍视为有效送达地址，因当事人提供或确认的送达地址不准确、送达地址变更后未及时依程序告知对方和法院、当事人或指定的接收人拒绝签收等原因，导致法律文书未能被当事人实际接收的，邮寄送达，以文书退回之日视为送达之日；直接送达的，送达人当场在送达回证上记明情况之日视为送达之日；履行送达地址变更通知义务的，以变更后的送达地址为有效送达地址。对于上述当事人在合同中明确约定的送达地址，法院进行送达时可直接邮寄送达，即使当事人未能收到法院邮寄送达的文书，由于其在合同中的约定，也应当视为送达。</w:t>
      </w:r>
    </w:p>
    <w:p>
      <w:pPr>
        <w:spacing w:line="360" w:lineRule="auto"/>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十一、知识产权</w:t>
      </w:r>
      <w:r>
        <w:rPr>
          <w:rFonts w:hint="eastAsia" w:ascii="宋体" w:hAnsi="宋体" w:cs="仿宋"/>
          <w:color w:val="000000" w:themeColor="text1"/>
          <w:szCs w:val="21"/>
          <w14:textFill>
            <w14:solidFill>
              <w14:schemeClr w14:val="tx1"/>
            </w14:solidFill>
          </w14:textFill>
        </w:rPr>
        <w:t>保护</w:t>
      </w:r>
    </w:p>
    <w:p>
      <w:pPr>
        <w:numPr>
          <w:ilvl w:val="0"/>
          <w:numId w:val="23"/>
        </w:num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乙方承诺出售给甲方的设备不会侵犯任何第三方的合同知识产权或其他权益。</w:t>
      </w:r>
    </w:p>
    <w:p>
      <w:pPr>
        <w:numPr>
          <w:ilvl w:val="0"/>
          <w:numId w:val="23"/>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本合同履行过程中及设备使用过程中，如发生第三方主张甲方侵权，乙方须负责与第三方交涉，承担全部责任，并赔偿由此给甲方造成的一切损失，应承担的损失包括但不限于：生效判决书、仲裁书、调解书中所确定的赔偿金额、和解协议确定的赔偿金额、诉讼费或仲裁费与诉讼或仲裁相关的费用、律师费、差旅费、公证费。</w:t>
      </w:r>
    </w:p>
    <w:p>
      <w:pPr>
        <w:numPr>
          <w:ilvl w:val="0"/>
          <w:numId w:val="23"/>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乙方保证本合同中甲方所享有的一切权利（包括合同货物所指软件的使用权以及软件的有效性和合法性），并保证甲方不受第三方追究侵权责任。如发生第三方追究甲方购买软件的侵权责任，甲方对此不负任何法律和经济责任，应由乙方与第三方进行交涉，并承担由此而产生的一切法律和经济责任。</w:t>
      </w: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十二、附则</w:t>
      </w:r>
    </w:p>
    <w:p>
      <w:pPr>
        <w:numPr>
          <w:ilvl w:val="0"/>
          <w:numId w:val="24"/>
        </w:num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本合同一式陆份，甲方叁份，乙方贰份、招标代理机构壹份。</w:t>
      </w:r>
    </w:p>
    <w:p>
      <w:pPr>
        <w:numPr>
          <w:ilvl w:val="0"/>
          <w:numId w:val="24"/>
        </w:numPr>
        <w:spacing w:line="360" w:lineRule="auto"/>
        <w:ind w:left="0" w:firstLine="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本合同由双方代表签字，加盖双方公章或合同章后生效，投标书及招标现场书面承诺作为合同附件具有同等法律效力。</w:t>
      </w: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十三、其他约定</w:t>
      </w:r>
    </w:p>
    <w:p>
      <w:pPr>
        <w:spacing w:line="360" w:lineRule="auto"/>
        <w:ind w:left="816" w:leftChars="200" w:hanging="396" w:hangingChars="189"/>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其他约定详见附件</w:t>
      </w:r>
      <w:r>
        <w:rPr>
          <w:rFonts w:hint="eastAsia" w:ascii="宋体" w:hAnsi="宋体" w:cs="仿宋"/>
          <w:color w:val="000000" w:themeColor="text1"/>
          <w:szCs w:val="21"/>
          <w:u w:val="single"/>
          <w14:textFill>
            <w14:solidFill>
              <w14:schemeClr w14:val="tx1"/>
            </w14:solidFill>
          </w14:textFill>
        </w:rPr>
        <w:t xml:space="preserve">    配置清单     </w:t>
      </w:r>
      <w:r>
        <w:rPr>
          <w:rFonts w:hint="eastAsia" w:ascii="宋体" w:hAnsi="宋体" w:cs="仿宋"/>
          <w:color w:val="000000" w:themeColor="text1"/>
          <w:szCs w:val="21"/>
          <w14:textFill>
            <w14:solidFill>
              <w14:schemeClr w14:val="tx1"/>
            </w14:solidFill>
          </w14:textFill>
        </w:rPr>
        <w:t>。</w:t>
      </w: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十四、本合同共有附件</w:t>
      </w:r>
      <w:r>
        <w:rPr>
          <w:rFonts w:hint="eastAsia" w:ascii="宋体" w:hAnsi="宋体" w:cs="仿宋"/>
          <w:color w:val="000000" w:themeColor="text1"/>
          <w:szCs w:val="21"/>
          <w:u w:val="single"/>
          <w14:textFill>
            <w14:solidFill>
              <w14:schemeClr w14:val="tx1"/>
            </w14:solidFill>
          </w14:textFill>
        </w:rPr>
        <w:t xml:space="preserve"> </w:t>
      </w:r>
      <w:r>
        <w:rPr>
          <w:rFonts w:ascii="宋体" w:hAnsi="宋体" w:cs="仿宋"/>
          <w:color w:val="000000" w:themeColor="text1"/>
          <w:szCs w:val="21"/>
          <w:u w:val="single"/>
          <w14:textFill>
            <w14:solidFill>
              <w14:schemeClr w14:val="tx1"/>
            </w14:solidFill>
          </w14:textFill>
        </w:rPr>
        <w:t xml:space="preserve">  </w:t>
      </w:r>
      <w:r>
        <w:rPr>
          <w:rFonts w:hint="eastAsia" w:ascii="宋体" w:hAnsi="宋体" w:cs="仿宋"/>
          <w:color w:val="000000" w:themeColor="text1"/>
          <w:szCs w:val="21"/>
          <w14:textFill>
            <w14:solidFill>
              <w14:schemeClr w14:val="tx1"/>
            </w14:solidFill>
          </w14:textFill>
        </w:rPr>
        <w:t>个，共计</w:t>
      </w:r>
      <w:r>
        <w:rPr>
          <w:rFonts w:hint="eastAsia" w:ascii="宋体" w:hAnsi="宋体" w:cs="仿宋"/>
          <w:color w:val="000000" w:themeColor="text1"/>
          <w:szCs w:val="21"/>
          <w:u w:val="single"/>
          <w14:textFill>
            <w14:solidFill>
              <w14:schemeClr w14:val="tx1"/>
            </w14:solidFill>
          </w14:textFill>
        </w:rPr>
        <w:t xml:space="preserve"> </w:t>
      </w:r>
      <w:r>
        <w:rPr>
          <w:rFonts w:ascii="宋体" w:hAnsi="宋体" w:cs="仿宋"/>
          <w:color w:val="000000" w:themeColor="text1"/>
          <w:szCs w:val="21"/>
          <w:u w:val="single"/>
          <w14:textFill>
            <w14:solidFill>
              <w14:schemeClr w14:val="tx1"/>
            </w14:solidFill>
          </w14:textFill>
        </w:rPr>
        <w:t xml:space="preserve">   </w:t>
      </w:r>
      <w:r>
        <w:rPr>
          <w:rFonts w:hint="eastAsia" w:ascii="宋体" w:hAnsi="宋体" w:cs="仿宋"/>
          <w:color w:val="000000" w:themeColor="text1"/>
          <w:szCs w:val="21"/>
          <w14:textFill>
            <w14:solidFill>
              <w14:schemeClr w14:val="tx1"/>
            </w14:solidFill>
          </w14:textFill>
        </w:rPr>
        <w:t>页</w:t>
      </w:r>
    </w:p>
    <w:p>
      <w:pPr>
        <w:spacing w:line="360" w:lineRule="auto"/>
        <w:rPr>
          <w:rFonts w:ascii="宋体" w:hAnsi="宋体" w:cs="仿宋"/>
          <w:color w:val="000000" w:themeColor="text1"/>
          <w:szCs w:val="21"/>
          <w14:textFill>
            <w14:solidFill>
              <w14:schemeClr w14:val="tx1"/>
            </w14:solidFill>
          </w14:textFill>
        </w:rPr>
      </w:pP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 xml:space="preserve">甲    方：（盖  章）                            乙    方：（盖  章）           </w:t>
      </w:r>
    </w:p>
    <w:p>
      <w:pPr>
        <w:spacing w:line="360" w:lineRule="auto"/>
        <w:rPr>
          <w:rFonts w:ascii="宋体" w:hAnsi="宋体" w:cs="仿宋"/>
          <w:color w:val="000000" w:themeColor="text1"/>
          <w:szCs w:val="21"/>
          <w14:textFill>
            <w14:solidFill>
              <w14:schemeClr w14:val="tx1"/>
            </w14:solidFill>
          </w14:textFill>
        </w:rPr>
      </w:pP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 xml:space="preserve">名称：北京航空航天大学宁波创新研究院           名称：                        </w:t>
      </w:r>
    </w:p>
    <w:p>
      <w:pPr>
        <w:spacing w:line="360" w:lineRule="auto"/>
        <w:rPr>
          <w:rFonts w:ascii="宋体" w:hAnsi="宋体" w:cs="仿宋"/>
          <w:color w:val="000000" w:themeColor="text1"/>
          <w:szCs w:val="21"/>
          <w14:textFill>
            <w14:solidFill>
              <w14:schemeClr w14:val="tx1"/>
            </w14:solidFill>
          </w14:textFill>
        </w:rPr>
      </w:pP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 xml:space="preserve">代表签字：                                     代表签字：                    </w:t>
      </w:r>
    </w:p>
    <w:p>
      <w:pPr>
        <w:spacing w:line="360" w:lineRule="auto"/>
        <w:rPr>
          <w:rFonts w:ascii="宋体" w:hAnsi="宋体" w:cs="仿宋"/>
          <w:color w:val="000000" w:themeColor="text1"/>
          <w:szCs w:val="21"/>
          <w14:textFill>
            <w14:solidFill>
              <w14:schemeClr w14:val="tx1"/>
            </w14:solidFill>
          </w14:textFill>
        </w:rPr>
      </w:pPr>
    </w:p>
    <w:p>
      <w:pPr>
        <w:spacing w:line="36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 xml:space="preserve">联系电话：                                     联系电话：                    </w:t>
      </w:r>
    </w:p>
    <w:p>
      <w:pPr>
        <w:spacing w:line="360" w:lineRule="auto"/>
        <w:rPr>
          <w:rFonts w:ascii="宋体" w:hAnsi="宋体" w:cs="仿宋"/>
          <w:color w:val="000000" w:themeColor="text1"/>
          <w:szCs w:val="21"/>
          <w14:textFill>
            <w14:solidFill>
              <w14:schemeClr w14:val="tx1"/>
            </w14:solidFill>
          </w14:textFill>
        </w:rPr>
      </w:pPr>
    </w:p>
    <w:p>
      <w:pPr>
        <w:pStyle w:val="18"/>
        <w:widowControl/>
        <w:spacing w:line="360" w:lineRule="auto"/>
        <w:ind w:firstLine="0"/>
        <w:jc w:val="left"/>
        <w:rPr>
          <w:rFonts w:hAnsi="宋体" w:cs="仿宋"/>
          <w:color w:val="000000" w:themeColor="text1"/>
          <w14:textFill>
            <w14:solidFill>
              <w14:schemeClr w14:val="tx1"/>
            </w14:solidFill>
          </w14:textFill>
        </w:rPr>
      </w:pPr>
      <w:r>
        <w:rPr>
          <w:rFonts w:hint="eastAsia" w:hAnsi="宋体" w:cs="仿宋"/>
          <w:color w:val="000000" w:themeColor="text1"/>
          <w:sz w:val="21"/>
          <w:szCs w:val="21"/>
          <w14:textFill>
            <w14:solidFill>
              <w14:schemeClr w14:val="tx1"/>
            </w14:solidFill>
          </w14:textFill>
        </w:rPr>
        <w:t xml:space="preserve">日    期：    年    月    日                 </w:t>
      </w:r>
      <w:r>
        <w:rPr>
          <w:rFonts w:hAnsi="宋体" w:cs="仿宋"/>
          <w:color w:val="000000" w:themeColor="text1"/>
          <w:sz w:val="21"/>
          <w:szCs w:val="21"/>
          <w14:textFill>
            <w14:solidFill>
              <w14:schemeClr w14:val="tx1"/>
            </w14:solidFill>
          </w14:textFill>
        </w:rPr>
        <w:t xml:space="preserve">   </w:t>
      </w:r>
      <w:r>
        <w:rPr>
          <w:rFonts w:hint="eastAsia" w:hAnsi="宋体" w:cs="仿宋"/>
          <w:color w:val="000000" w:themeColor="text1"/>
          <w:sz w:val="21"/>
          <w:szCs w:val="21"/>
          <w14:textFill>
            <w14:solidFill>
              <w14:schemeClr w14:val="tx1"/>
            </w14:solidFill>
          </w14:textFill>
        </w:rPr>
        <w:t xml:space="preserve">  日    期：       年    月    日</w:t>
      </w:r>
    </w:p>
    <w:p>
      <w:pPr>
        <w:spacing w:line="440" w:lineRule="exact"/>
        <w:rPr>
          <w:rFonts w:ascii="宋体" w:hAnsi="宋体"/>
          <w:b/>
          <w:color w:val="000000" w:themeColor="text1"/>
          <w:szCs w:val="21"/>
          <w14:textFill>
            <w14:solidFill>
              <w14:schemeClr w14:val="tx1"/>
            </w14:solidFill>
          </w14:textFill>
        </w:rPr>
      </w:pPr>
    </w:p>
    <w:p>
      <w:pPr>
        <w:spacing w:line="440" w:lineRule="exact"/>
        <w:rPr>
          <w:rFonts w:ascii="宋体" w:hAnsi="宋体"/>
          <w:b/>
          <w:color w:val="000000" w:themeColor="text1"/>
          <w:szCs w:val="21"/>
          <w14:textFill>
            <w14:solidFill>
              <w14:schemeClr w14:val="tx1"/>
            </w14:solidFill>
          </w14:textFill>
        </w:rPr>
      </w:pPr>
    </w:p>
    <w:p>
      <w:pPr>
        <w:spacing w:line="440" w:lineRule="exact"/>
        <w:rPr>
          <w:rFonts w:ascii="宋体" w:hAnsi="宋体"/>
          <w:b/>
          <w:color w:val="000000" w:themeColor="text1"/>
          <w:szCs w:val="21"/>
          <w14:textFill>
            <w14:solidFill>
              <w14:schemeClr w14:val="tx1"/>
            </w14:solidFill>
          </w14:textFill>
        </w:rPr>
      </w:pPr>
    </w:p>
    <w:p>
      <w:pPr>
        <w:spacing w:line="440" w:lineRule="exact"/>
        <w:rPr>
          <w:rFonts w:ascii="宋体" w:hAnsi="宋体"/>
          <w:b/>
          <w:color w:val="000000" w:themeColor="text1"/>
          <w:szCs w:val="21"/>
          <w14:textFill>
            <w14:solidFill>
              <w14:schemeClr w14:val="tx1"/>
            </w14:solidFill>
          </w14:textFill>
        </w:rPr>
      </w:pPr>
    </w:p>
    <w:p>
      <w:pPr>
        <w:spacing w:line="440" w:lineRule="exact"/>
        <w:rPr>
          <w:rFonts w:ascii="宋体" w:hAnsi="宋体"/>
          <w:b/>
          <w:color w:val="000000" w:themeColor="text1"/>
          <w:szCs w:val="21"/>
          <w14:textFill>
            <w14:solidFill>
              <w14:schemeClr w14:val="tx1"/>
            </w14:solidFill>
          </w14:textFill>
        </w:rPr>
      </w:pPr>
    </w:p>
    <w:p>
      <w:pPr>
        <w:pStyle w:val="18"/>
        <w:widowControl/>
        <w:spacing w:line="360" w:lineRule="auto"/>
        <w:ind w:firstLine="0"/>
        <w:jc w:val="left"/>
        <w:rPr>
          <w:color w:val="000000" w:themeColor="text1"/>
          <w14:textFill>
            <w14:solidFill>
              <w14:schemeClr w14:val="tx1"/>
            </w14:solidFill>
          </w14:textFill>
        </w:rPr>
      </w:pPr>
    </w:p>
    <w:p>
      <w:pPr>
        <w:spacing w:line="360" w:lineRule="auto"/>
        <w:rPr>
          <w:rFonts w:ascii="宋体" w:hAnsi="宋体"/>
          <w:b/>
          <w:bCs/>
          <w:color w:val="000000" w:themeColor="text1"/>
          <w:kern w:val="44"/>
          <w:sz w:val="30"/>
          <w:szCs w:val="44"/>
          <w14:textFill>
            <w14:solidFill>
              <w14:schemeClr w14:val="tx1"/>
            </w14:solidFill>
          </w14:textFill>
        </w:rPr>
      </w:pPr>
      <w:r>
        <w:rPr>
          <w:rFonts w:ascii="宋体" w:hAnsi="宋体"/>
          <w:color w:val="000000" w:themeColor="text1"/>
          <w:sz w:val="30"/>
          <w14:textFill>
            <w14:solidFill>
              <w14:schemeClr w14:val="tx1"/>
            </w14:solidFill>
          </w14:textFill>
        </w:rPr>
        <w:br w:type="page"/>
      </w:r>
    </w:p>
    <w:p>
      <w:pPr>
        <w:pStyle w:val="3"/>
        <w:spacing w:before="0" w:after="0" w:line="360" w:lineRule="auto"/>
        <w:jc w:val="center"/>
        <w:rPr>
          <w:color w:val="000000" w:themeColor="text1"/>
          <w14:textFill>
            <w14:solidFill>
              <w14:schemeClr w14:val="tx1"/>
            </w14:solidFill>
          </w14:textFill>
        </w:rPr>
      </w:pPr>
      <w:bookmarkStart w:id="215" w:name="_Toc19498"/>
      <w:r>
        <w:rPr>
          <w:rFonts w:hint="eastAsia" w:ascii="宋体" w:hAnsi="宋体"/>
          <w:color w:val="000000" w:themeColor="text1"/>
          <w:sz w:val="30"/>
          <w14:textFill>
            <w14:solidFill>
              <w14:schemeClr w14:val="tx1"/>
            </w14:solidFill>
          </w14:textFill>
        </w:rPr>
        <w:t>第六章 投标文件格式</w:t>
      </w:r>
      <w:bookmarkEnd w:id="213"/>
      <w:bookmarkEnd w:id="215"/>
      <w:bookmarkStart w:id="216" w:name="_Toc460857946"/>
    </w:p>
    <w:p>
      <w:pP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格式一：</w:t>
      </w:r>
      <w:r>
        <w:rPr>
          <w:rFonts w:hint="eastAsia" w:ascii="宋体" w:hAnsi="宋体"/>
          <w:color w:val="000000" w:themeColor="text1"/>
          <w:szCs w:val="21"/>
          <w14:textFill>
            <w14:solidFill>
              <w14:schemeClr w14:val="tx1"/>
            </w14:solidFill>
          </w14:textFill>
        </w:rPr>
        <w:t>投标人资格声明</w:t>
      </w:r>
    </w:p>
    <w:p>
      <w:pPr>
        <w:jc w:val="center"/>
        <w:outlineLvl w:val="2"/>
        <w:rPr>
          <w:rFonts w:ascii="宋体" w:hAnsi="宋体"/>
          <w:b/>
          <w:color w:val="000000" w:themeColor="text1"/>
          <w:sz w:val="28"/>
          <w:szCs w:val="28"/>
          <w14:textFill>
            <w14:solidFill>
              <w14:schemeClr w14:val="tx1"/>
            </w14:solidFill>
          </w14:textFill>
        </w:rPr>
      </w:pPr>
      <w:bookmarkStart w:id="217" w:name="_Toc275865606"/>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投标人资格声明函</w:t>
      </w:r>
      <w:bookmarkEnd w:id="217"/>
    </w:p>
    <w:p>
      <w:pPr>
        <w:rPr>
          <w:rFonts w:ascii="宋体" w:hAnsi="宋体"/>
          <w:b/>
          <w:color w:val="000000" w:themeColor="text1"/>
          <w14:textFill>
            <w14:solidFill>
              <w14:schemeClr w14:val="tx1"/>
            </w14:solidFill>
          </w14:textFill>
        </w:rPr>
      </w:pPr>
    </w:p>
    <w:p>
      <w:pP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采购人或采购代理机构：</w:t>
      </w:r>
    </w:p>
    <w:p>
      <w:pPr>
        <w:snapToGrid w:val="0"/>
        <w:spacing w:before="120" w:beforeLines="50" w:line="360" w:lineRule="auto"/>
        <w:ind w:firstLine="424" w:firstLineChars="202"/>
        <w:rPr>
          <w:rFonts w:ascii="宋体" w:hAnsi="宋体"/>
          <w:color w:val="000000" w:themeColor="text1"/>
          <w14:textFill>
            <w14:solidFill>
              <w14:schemeClr w14:val="tx1"/>
            </w14:solidFill>
          </w14:textFill>
        </w:rPr>
      </w:pPr>
    </w:p>
    <w:p>
      <w:pPr>
        <w:snapToGrid w:val="0"/>
        <w:spacing w:before="120" w:beforeLines="50" w:line="360" w:lineRule="auto"/>
        <w:ind w:firstLine="424" w:firstLineChars="2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关于你贵司项目（项目编号：　　　）的采购公告，本公司（企业）愿意参加投标，并声明：</w:t>
      </w:r>
    </w:p>
    <w:p>
      <w:pPr>
        <w:snapToGrid w:val="0"/>
        <w:spacing w:line="360" w:lineRule="auto"/>
        <w:ind w:firstLine="424" w:firstLineChars="202"/>
        <w:rPr>
          <w:rFonts w:ascii="宋体" w:hAnsi="宋体"/>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本公司（企业）具备</w:t>
      </w:r>
      <w:r>
        <w:rPr>
          <w:rFonts w:hint="eastAsia" w:ascii="宋体" w:hAnsi="宋体"/>
          <w:bCs/>
          <w:color w:val="000000" w:themeColor="text1"/>
          <w:szCs w:val="21"/>
          <w14:textFill>
            <w14:solidFill>
              <w14:schemeClr w14:val="tx1"/>
            </w14:solidFill>
          </w14:textFill>
        </w:rPr>
        <w:t>《中华人民共和国政府采购法》第二十二条资格条件，</w:t>
      </w:r>
    </w:p>
    <w:p>
      <w:pPr>
        <w:snapToGrid w:val="0"/>
        <w:spacing w:line="360" w:lineRule="auto"/>
        <w:ind w:firstLine="424" w:firstLineChars="202"/>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（一）具有独立承担民事责任的能力；</w:t>
      </w:r>
    </w:p>
    <w:p>
      <w:pPr>
        <w:snapToGrid w:val="0"/>
        <w:spacing w:line="360" w:lineRule="auto"/>
        <w:ind w:firstLine="424" w:firstLineChars="202"/>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（二）具有良好的商业信誉和健全的财务会计制度；</w:t>
      </w:r>
    </w:p>
    <w:p>
      <w:pPr>
        <w:snapToGrid w:val="0"/>
        <w:spacing w:line="360" w:lineRule="auto"/>
        <w:ind w:firstLine="424" w:firstLineChars="202"/>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（三）具有履行合同所必需的设备和专业技术能力；</w:t>
      </w:r>
    </w:p>
    <w:p>
      <w:pPr>
        <w:snapToGrid w:val="0"/>
        <w:spacing w:line="360" w:lineRule="auto"/>
        <w:ind w:firstLine="424" w:firstLineChars="202"/>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（四）有依法缴纳税收和社会保障资金的良好记录；</w:t>
      </w:r>
    </w:p>
    <w:p>
      <w:pPr>
        <w:snapToGrid w:val="0"/>
        <w:spacing w:line="360" w:lineRule="auto"/>
        <w:ind w:firstLine="424" w:firstLineChars="202"/>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（五）参加政府采购活动前三年内，在经营活动中没有重大违法记录；</w:t>
      </w:r>
    </w:p>
    <w:p>
      <w:pPr>
        <w:snapToGrid w:val="0"/>
        <w:spacing w:line="360" w:lineRule="auto"/>
        <w:ind w:firstLine="424" w:firstLineChars="202"/>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（六）法律、行政法规规定的其他条件。</w:t>
      </w:r>
    </w:p>
    <w:p>
      <w:pPr>
        <w:snapToGrid w:val="0"/>
        <w:spacing w:line="360" w:lineRule="auto"/>
        <w:ind w:firstLine="424" w:firstLineChars="2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并已清楚采购文件的要求及有关文件规定。</w:t>
      </w:r>
    </w:p>
    <w:p>
      <w:pPr>
        <w:snapToGrid w:val="0"/>
        <w:spacing w:line="360" w:lineRule="auto"/>
        <w:ind w:firstLine="424" w:firstLineChars="2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中华人民共和国政府采购法实施条例》的规定，本公司（企业）如为本采购项目提供项目管理、监理、检测等服务的供应商，不得再参加本项目的采购活动。否则，由此所造成的损失、不良后果及法律责任，一律由我公司（企业）承担。</w:t>
      </w:r>
    </w:p>
    <w:p>
      <w:pPr>
        <w:snapToGrid w:val="0"/>
        <w:spacing w:line="360" w:lineRule="auto"/>
        <w:ind w:firstLine="426" w:firstLineChars="202"/>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本公司（企业）</w:t>
      </w:r>
      <w:r>
        <w:rPr>
          <w:rFonts w:ascii="宋体" w:hAnsi="宋体"/>
          <w:b/>
          <w:color w:val="000000" w:themeColor="text1"/>
          <w14:textFill>
            <w14:solidFill>
              <w14:schemeClr w14:val="tx1"/>
            </w14:solidFill>
          </w14:textFill>
        </w:rPr>
        <w:t>具有履行合同所必需的设备和专业技术能力</w:t>
      </w:r>
      <w:r>
        <w:rPr>
          <w:rFonts w:hint="eastAsia" w:ascii="宋体" w:hAnsi="宋体"/>
          <w:b/>
          <w:color w:val="000000" w:themeColor="text1"/>
          <w14:textFill>
            <w14:solidFill>
              <w14:schemeClr w14:val="tx1"/>
            </w14:solidFill>
          </w14:textFill>
        </w:rPr>
        <w:t>，且本公司（企业）参加政府采购活动前</w:t>
      </w:r>
      <w:r>
        <w:rPr>
          <w:rFonts w:ascii="宋体" w:hAnsi="宋体"/>
          <w:b/>
          <w:color w:val="000000" w:themeColor="text1"/>
          <w14:textFill>
            <w14:solidFill>
              <w14:schemeClr w14:val="tx1"/>
            </w14:solidFill>
          </w14:textFill>
        </w:rPr>
        <w:t>3</w:t>
      </w:r>
      <w:r>
        <w:rPr>
          <w:rFonts w:hint="eastAsia" w:ascii="宋体" w:hAnsi="宋体"/>
          <w:b/>
          <w:color w:val="000000" w:themeColor="text1"/>
          <w14:textFill>
            <w14:solidFill>
              <w14:schemeClr w14:val="tx1"/>
            </w14:solidFill>
          </w14:textFill>
        </w:rPr>
        <w:t>年内在经营活动中没有重大违法记录。</w:t>
      </w:r>
      <w:r>
        <w:rPr>
          <w:rFonts w:hint="eastAsia" w:ascii="宋体" w:hAnsi="宋体"/>
          <w:color w:val="000000" w:themeColor="text1"/>
          <w14:textFill>
            <w14:solidFill>
              <w14:schemeClr w14:val="tx1"/>
            </w14:solidFill>
          </w14:textFill>
        </w:rPr>
        <w:t>否则，由此所造成的损失、不良后果及法律责任，一律由我公司（企业）承担。</w:t>
      </w:r>
    </w:p>
    <w:p>
      <w:pPr>
        <w:snapToGrid w:val="0"/>
        <w:spacing w:line="360" w:lineRule="auto"/>
        <w:ind w:firstLine="424" w:firstLineChars="2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本次招标采购活动中，如有违法、违规、弄虚作假行为，所造成的损失、不良后果及法律责任，一律由我公司（企业）承担。</w:t>
      </w:r>
    </w:p>
    <w:p>
      <w:pPr>
        <w:spacing w:line="360" w:lineRule="auto"/>
        <w:ind w:firstLine="420"/>
        <w:rPr>
          <w:rFonts w:ascii="宋体" w:hAnsi="宋体"/>
          <w:b/>
          <w:color w:val="000000" w:themeColor="text1"/>
          <w14:textFill>
            <w14:solidFill>
              <w14:schemeClr w14:val="tx1"/>
            </w14:solidFill>
          </w14:textFill>
        </w:rPr>
      </w:pPr>
    </w:p>
    <w:p>
      <w:pPr>
        <w:spacing w:line="360" w:lineRule="auto"/>
        <w:ind w:firstLine="420"/>
        <w:rPr>
          <w:rFonts w:ascii="宋体" w:hAnsi="宋体"/>
          <w:b/>
          <w:color w:val="000000" w:themeColor="text1"/>
          <w14:textFill>
            <w14:solidFill>
              <w14:schemeClr w14:val="tx1"/>
            </w14:solidFill>
          </w14:textFill>
        </w:rPr>
      </w:pPr>
    </w:p>
    <w:p>
      <w:pPr>
        <w:spacing w:line="360" w:lineRule="auto"/>
        <w:ind w:firstLine="42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特此声明！</w:t>
      </w:r>
    </w:p>
    <w:p>
      <w:pPr>
        <w:adjustRightInd w:val="0"/>
        <w:snapToGrid w:val="0"/>
        <w:spacing w:line="360" w:lineRule="auto"/>
        <w:ind w:left="425"/>
        <w:rPr>
          <w:rFonts w:ascii="宋体" w:hAnsi="宋体"/>
          <w:color w:val="000000" w:themeColor="text1"/>
          <w:spacing w:val="4"/>
          <w14:textFill>
            <w14:solidFill>
              <w14:schemeClr w14:val="tx1"/>
            </w14:solidFill>
          </w14:textFill>
        </w:rPr>
      </w:pPr>
    </w:p>
    <w:p>
      <w:pPr>
        <w:widowControl/>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 标 人（盖章）：</w:t>
      </w:r>
    </w:p>
    <w:p>
      <w:pPr>
        <w:pStyle w:val="18"/>
        <w:snapToGrid w:val="0"/>
        <w:spacing w:line="360" w:lineRule="auto"/>
        <w:ind w:firstLine="0"/>
        <w:rPr>
          <w:rFonts w:hAnsi="宋体"/>
          <w:color w:val="000000" w:themeColor="text1"/>
          <w:spacing w:val="0"/>
          <w:sz w:val="24"/>
          <w:szCs w:val="24"/>
          <w14:textFill>
            <w14:solidFill>
              <w14:schemeClr w14:val="tx1"/>
            </w14:solidFill>
          </w14:textFill>
        </w:rPr>
      </w:pPr>
      <w:r>
        <w:rPr>
          <w:rFonts w:hint="eastAsia" w:hAnsi="宋体"/>
          <w:color w:val="000000" w:themeColor="text1"/>
          <w:spacing w:val="0"/>
          <w:sz w:val="24"/>
          <w:szCs w:val="24"/>
          <w14:textFill>
            <w14:solidFill>
              <w14:schemeClr w14:val="tx1"/>
            </w14:solidFill>
          </w14:textFill>
        </w:rPr>
        <w:t>法定代表人或其授权代表（签字或盖章）：</w:t>
      </w:r>
    </w:p>
    <w:p>
      <w:pPr>
        <w:pStyle w:val="18"/>
        <w:widowControl/>
        <w:spacing w:line="360" w:lineRule="auto"/>
        <w:ind w:firstLine="0"/>
        <w:jc w:val="left"/>
        <w:rPr>
          <w:rFonts w:hAnsi="宋体"/>
          <w:color w:val="000000" w:themeColor="text1"/>
          <w:spacing w:val="0"/>
          <w:sz w:val="24"/>
          <w:szCs w:val="24"/>
          <w14:textFill>
            <w14:solidFill>
              <w14:schemeClr w14:val="tx1"/>
            </w14:solidFill>
          </w14:textFill>
        </w:rPr>
      </w:pPr>
      <w:r>
        <w:rPr>
          <w:rFonts w:hint="eastAsia" w:hAnsi="宋体"/>
          <w:color w:val="000000" w:themeColor="text1"/>
          <w:spacing w:val="0"/>
          <w:sz w:val="24"/>
          <w:szCs w:val="24"/>
          <w14:textFill>
            <w14:solidFill>
              <w14:schemeClr w14:val="tx1"/>
            </w14:solidFill>
          </w14:textFill>
        </w:rPr>
        <w:t>日  期：</w:t>
      </w:r>
    </w:p>
    <w:p>
      <w:pPr>
        <w:widowControl/>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p>
      <w:pPr>
        <w:rPr>
          <w:rFonts w:ascii="宋体" w:hAnsi="宋体"/>
          <w:color w:val="000000" w:themeColor="text1"/>
          <w:sz w:val="24"/>
          <w14:textFill>
            <w14:solidFill>
              <w14:schemeClr w14:val="tx1"/>
            </w14:solidFill>
          </w14:textFill>
        </w:rPr>
      </w:pPr>
      <w:r>
        <w:rPr>
          <w:rFonts w:hint="eastAsia" w:ascii="宋体" w:hAnsi="宋体"/>
          <w:b/>
          <w:color w:val="000000" w:themeColor="text1"/>
          <w14:textFill>
            <w14:solidFill>
              <w14:schemeClr w14:val="tx1"/>
            </w14:solidFill>
          </w14:textFill>
        </w:rPr>
        <w:t>格式二：</w:t>
      </w:r>
    </w:p>
    <w:p>
      <w:pPr>
        <w:jc w:val="center"/>
        <w:rPr>
          <w:rFonts w:ascii="宋体" w:hAnsi="宋体"/>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投标承诺书</w:t>
      </w:r>
    </w:p>
    <w:p>
      <w:pPr>
        <w:ind w:firstLine="420"/>
        <w:rPr>
          <w:rFonts w:ascii="宋体" w:hAnsi="宋体"/>
          <w:color w:val="000000" w:themeColor="text1"/>
          <w14:textFill>
            <w14:solidFill>
              <w14:schemeClr w14:val="tx1"/>
            </w14:solidFill>
          </w14:textFill>
        </w:rPr>
      </w:pPr>
    </w:p>
    <w:p>
      <w:pPr>
        <w:spacing w:line="360" w:lineRule="auto"/>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本投标人遵循公开、公平、公正和诚实信用的原则，参加_____________ 项目投标(响应)，特郑重承诺如下: </w:t>
      </w:r>
    </w:p>
    <w:p>
      <w:pPr>
        <w:spacing w:line="360" w:lineRule="auto"/>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一、所提供的一切资料都是真实、有效、合法的</w:t>
      </w:r>
      <w:r>
        <w:rPr>
          <w:rFonts w:hint="eastAsia" w:ascii="宋体" w:hAnsi="宋体"/>
          <w:color w:val="000000" w:themeColor="text1"/>
          <w14:textFill>
            <w14:solidFill>
              <w14:schemeClr w14:val="tx1"/>
            </w14:solidFill>
          </w14:textFill>
        </w:rPr>
        <w:t>；</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二、未为本项目提供整体设计、规范编制或者项目管理、监理、检测等服务。</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三、与采购人不存在以下利害关系（1）北京航空航天大学、北京航空航天大学宁波创新研究院在该投标人中有股份的。（2）项目负责人、项目主要成员及经办人在该投标人中有股份或任职的。</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四</w:t>
      </w:r>
      <w:r>
        <w:rPr>
          <w:rFonts w:ascii="宋体" w:hAnsi="宋体"/>
          <w:color w:val="000000" w:themeColor="text1"/>
          <w14:textFill>
            <w14:solidFill>
              <w14:schemeClr w14:val="tx1"/>
            </w14:solidFill>
          </w14:textFill>
        </w:rPr>
        <w:t>、无资质挂靠或出卖资质让他人挂靠投标(响应)的行为</w:t>
      </w:r>
      <w:r>
        <w:rPr>
          <w:rFonts w:hint="eastAsia" w:ascii="宋体" w:hAnsi="宋体"/>
          <w:color w:val="000000" w:themeColor="text1"/>
          <w14:textFill>
            <w14:solidFill>
              <w14:schemeClr w14:val="tx1"/>
            </w14:solidFill>
          </w14:textFill>
        </w:rPr>
        <w:t>；</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五</w:t>
      </w:r>
      <w:r>
        <w:rPr>
          <w:rFonts w:ascii="宋体" w:hAnsi="宋体"/>
          <w:color w:val="000000" w:themeColor="text1"/>
          <w14:textFill>
            <w14:solidFill>
              <w14:schemeClr w14:val="tx1"/>
            </w14:solidFill>
          </w14:textFill>
        </w:rPr>
        <w:t>、不以他人名义投标(响应)或者以其他方式弄虚作假，骗取中标(成交)</w:t>
      </w:r>
      <w:r>
        <w:rPr>
          <w:rFonts w:hint="eastAsia" w:ascii="宋体" w:hAnsi="宋体"/>
          <w:color w:val="000000" w:themeColor="text1"/>
          <w14:textFill>
            <w14:solidFill>
              <w14:schemeClr w14:val="tx1"/>
            </w14:solidFill>
          </w14:textFill>
        </w:rPr>
        <w:t xml:space="preserve"> ；</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六</w:t>
      </w:r>
      <w:r>
        <w:rPr>
          <w:rFonts w:ascii="宋体" w:hAnsi="宋体"/>
          <w:color w:val="000000" w:themeColor="text1"/>
          <w14:textFill>
            <w14:solidFill>
              <w14:schemeClr w14:val="tx1"/>
            </w14:solidFill>
          </w14:textFill>
        </w:rPr>
        <w:t>、没有被各级行政主管部门做出停止市场行为的处罚</w:t>
      </w:r>
      <w:r>
        <w:rPr>
          <w:rFonts w:hint="eastAsia" w:ascii="宋体" w:hAnsi="宋体"/>
          <w:color w:val="000000" w:themeColor="text1"/>
          <w14:textFill>
            <w14:solidFill>
              <w14:schemeClr w14:val="tx1"/>
            </w14:solidFill>
          </w14:textFill>
        </w:rPr>
        <w:t>；</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七</w:t>
      </w:r>
      <w:r>
        <w:rPr>
          <w:rFonts w:ascii="宋体" w:hAnsi="宋体"/>
          <w:color w:val="000000" w:themeColor="text1"/>
          <w14:textFill>
            <w14:solidFill>
              <w14:schemeClr w14:val="tx1"/>
            </w14:solidFill>
          </w14:textFill>
        </w:rPr>
        <w:t>、不参与串标、围标及抬标(响应)情形，不排挤其他投标(响应)人的公平竞争</w:t>
      </w:r>
      <w:r>
        <w:rPr>
          <w:rFonts w:hint="eastAsia" w:ascii="宋体" w:hAnsi="宋体"/>
          <w:color w:val="000000" w:themeColor="text1"/>
          <w14:textFill>
            <w14:solidFill>
              <w14:schemeClr w14:val="tx1"/>
            </w14:solidFill>
          </w14:textFill>
        </w:rPr>
        <w:t>；</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八</w:t>
      </w:r>
      <w:r>
        <w:rPr>
          <w:rFonts w:ascii="宋体" w:hAnsi="宋体"/>
          <w:color w:val="000000" w:themeColor="text1"/>
          <w14:textFill>
            <w14:solidFill>
              <w14:schemeClr w14:val="tx1"/>
            </w14:solidFill>
          </w14:textFill>
        </w:rPr>
        <w:t>、不与采购人或采购代理机构串通投标(响应)，损害国家利益、社会公共利益或者他人的合法权益</w:t>
      </w:r>
      <w:r>
        <w:rPr>
          <w:rFonts w:hint="eastAsia" w:ascii="宋体" w:hAnsi="宋体"/>
          <w:color w:val="000000" w:themeColor="text1"/>
          <w14:textFill>
            <w14:solidFill>
              <w14:schemeClr w14:val="tx1"/>
            </w14:solidFill>
          </w14:textFill>
        </w:rPr>
        <w:t>；</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九</w:t>
      </w:r>
      <w:r>
        <w:rPr>
          <w:rFonts w:ascii="宋体" w:hAnsi="宋体"/>
          <w:color w:val="000000" w:themeColor="text1"/>
          <w14:textFill>
            <w14:solidFill>
              <w14:schemeClr w14:val="tx1"/>
            </w14:solidFill>
          </w14:textFill>
        </w:rPr>
        <w:t>、不向采购人或者评审委员会成员行贿以牟取中标(成交)</w:t>
      </w:r>
      <w:r>
        <w:rPr>
          <w:rFonts w:hint="eastAsia" w:ascii="宋体" w:hAnsi="宋体"/>
          <w:color w:val="000000" w:themeColor="text1"/>
          <w14:textFill>
            <w14:solidFill>
              <w14:schemeClr w14:val="tx1"/>
            </w14:solidFill>
          </w14:textFill>
        </w:rPr>
        <w:t xml:space="preserve"> ；</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十</w:t>
      </w:r>
      <w:r>
        <w:rPr>
          <w:rFonts w:ascii="宋体" w:hAnsi="宋体"/>
          <w:color w:val="000000" w:themeColor="text1"/>
          <w14:textFill>
            <w14:solidFill>
              <w14:schemeClr w14:val="tx1"/>
            </w14:solidFill>
          </w14:textFill>
        </w:rPr>
        <w:t>、不扰乱采购人招标采购秩序，不在招标采购过程中进行虚假恶意投标(响应)、质疑或投诉</w:t>
      </w:r>
      <w:r>
        <w:rPr>
          <w:rFonts w:hint="eastAsia" w:ascii="宋体" w:hAnsi="宋体"/>
          <w:color w:val="000000" w:themeColor="text1"/>
          <w14:textFill>
            <w14:solidFill>
              <w14:schemeClr w14:val="tx1"/>
            </w14:solidFill>
          </w14:textFill>
        </w:rPr>
        <w:t>；</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十一</w:t>
      </w:r>
      <w:r>
        <w:rPr>
          <w:rFonts w:ascii="宋体" w:hAnsi="宋体"/>
          <w:color w:val="000000" w:themeColor="text1"/>
          <w14:textFill>
            <w14:solidFill>
              <w14:schemeClr w14:val="tx1"/>
            </w14:solidFill>
          </w14:textFill>
        </w:rPr>
        <w:t>、若我方中标(成交)，将严格按照投标(响应)文件所承诺的报价、质量、</w:t>
      </w:r>
      <w:r>
        <w:rPr>
          <w:rFonts w:hint="eastAsia" w:ascii="宋体" w:hAnsi="宋体"/>
          <w:color w:val="000000" w:themeColor="text1"/>
          <w14:textFill>
            <w14:solidFill>
              <w14:schemeClr w14:val="tx1"/>
            </w14:solidFill>
          </w14:textFill>
        </w:rPr>
        <w:t>交货</w:t>
      </w:r>
      <w:r>
        <w:rPr>
          <w:rFonts w:ascii="宋体" w:hAnsi="宋体"/>
          <w:color w:val="000000" w:themeColor="text1"/>
          <w14:textFill>
            <w14:solidFill>
              <w14:schemeClr w14:val="tx1"/>
            </w14:solidFill>
          </w14:textFill>
        </w:rPr>
        <w:t xml:space="preserve">期、 投标(响应)方案等内容签署合同并组织实施。 </w:t>
      </w:r>
    </w:p>
    <w:p>
      <w:pPr>
        <w:spacing w:line="360" w:lineRule="auto"/>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本公司若有违反本承诺内容的行为之一，愿意承担法律责任，接受政府相关行政主管部门、行业组织及学校等依法依规进行的任何处罚。若造成财产损失，承担全部赔偿责任。 </w:t>
      </w:r>
    </w:p>
    <w:p>
      <w:pPr>
        <w:spacing w:line="360" w:lineRule="auto"/>
        <w:rPr>
          <w:rFonts w:ascii="宋体" w:hAnsi="宋体"/>
          <w:color w:val="000000" w:themeColor="text1"/>
          <w14:textFill>
            <w14:solidFill>
              <w14:schemeClr w14:val="tx1"/>
            </w14:solidFill>
          </w14:textFill>
        </w:rPr>
      </w:pPr>
    </w:p>
    <w:p>
      <w:pPr>
        <w:widowControl/>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 标 人（盖章）：</w:t>
      </w:r>
    </w:p>
    <w:p>
      <w:pPr>
        <w:pStyle w:val="18"/>
        <w:snapToGrid w:val="0"/>
        <w:spacing w:line="360" w:lineRule="auto"/>
        <w:ind w:firstLine="0"/>
        <w:rPr>
          <w:rFonts w:hAnsi="宋体"/>
          <w:color w:val="000000" w:themeColor="text1"/>
          <w:spacing w:val="0"/>
          <w:sz w:val="21"/>
          <w:szCs w:val="24"/>
          <w14:textFill>
            <w14:solidFill>
              <w14:schemeClr w14:val="tx1"/>
            </w14:solidFill>
          </w14:textFill>
        </w:rPr>
      </w:pPr>
      <w:r>
        <w:rPr>
          <w:rFonts w:hint="eastAsia" w:hAnsi="宋体"/>
          <w:color w:val="000000" w:themeColor="text1"/>
          <w:spacing w:val="0"/>
          <w:sz w:val="21"/>
          <w:szCs w:val="24"/>
          <w14:textFill>
            <w14:solidFill>
              <w14:schemeClr w14:val="tx1"/>
            </w14:solidFill>
          </w14:textFill>
        </w:rPr>
        <w:t>法定代表人或其授权代表（签字或盖章）：</w:t>
      </w:r>
    </w:p>
    <w:p>
      <w:pPr>
        <w:pStyle w:val="18"/>
        <w:widowControl/>
        <w:spacing w:line="360" w:lineRule="auto"/>
        <w:ind w:firstLine="0"/>
        <w:jc w:val="left"/>
        <w:rPr>
          <w:rFonts w:hAnsi="宋体"/>
          <w:color w:val="000000" w:themeColor="text1"/>
          <w:spacing w:val="0"/>
          <w:sz w:val="21"/>
          <w:szCs w:val="24"/>
          <w14:textFill>
            <w14:solidFill>
              <w14:schemeClr w14:val="tx1"/>
            </w14:solidFill>
          </w14:textFill>
        </w:rPr>
      </w:pPr>
      <w:r>
        <w:rPr>
          <w:rFonts w:hint="eastAsia" w:hAnsi="宋体"/>
          <w:color w:val="000000" w:themeColor="text1"/>
          <w:spacing w:val="0"/>
          <w:sz w:val="21"/>
          <w:szCs w:val="24"/>
          <w14:textFill>
            <w14:solidFill>
              <w14:schemeClr w14:val="tx1"/>
            </w14:solidFill>
          </w14:textFill>
        </w:rPr>
        <w:t>日           期：</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widowControl/>
        <w:jc w:val="left"/>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bookmarkEnd w:id="214"/>
      <w:bookmarkEnd w:id="216"/>
    </w:p>
    <w:p>
      <w:pP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格式三：</w:t>
      </w:r>
      <w:r>
        <w:rPr>
          <w:rFonts w:hint="eastAsia" w:ascii="宋体" w:hAnsi="宋体"/>
          <w:color w:val="000000" w:themeColor="text1"/>
          <w:szCs w:val="21"/>
          <w14:textFill>
            <w14:solidFill>
              <w14:schemeClr w14:val="tx1"/>
            </w14:solidFill>
          </w14:textFill>
        </w:rPr>
        <w:t>投标函</w:t>
      </w:r>
    </w:p>
    <w:p>
      <w:pPr>
        <w:widowControl/>
        <w:spacing w:line="40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投标函</w:t>
      </w:r>
    </w:p>
    <w:p>
      <w:pPr>
        <w:widowControl/>
        <w:spacing w:line="400" w:lineRule="exact"/>
        <w:jc w:val="center"/>
        <w:rPr>
          <w:rFonts w:ascii="宋体" w:hAnsi="宋体"/>
          <w:b/>
          <w:color w:val="000000" w:themeColor="text1"/>
          <w:sz w:val="24"/>
          <w14:textFill>
            <w14:solidFill>
              <w14:schemeClr w14:val="tx1"/>
            </w14:solidFill>
          </w14:textFill>
        </w:rPr>
      </w:pPr>
    </w:p>
    <w:p>
      <w:pPr>
        <w:pStyle w:val="18"/>
        <w:widowControl/>
        <w:spacing w:line="360" w:lineRule="auto"/>
        <w:ind w:firstLine="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致：招标代理机构</w:t>
      </w:r>
    </w:p>
    <w:p>
      <w:pPr>
        <w:pStyle w:val="18"/>
        <w:widowControl/>
        <w:spacing w:line="360" w:lineRule="auto"/>
        <w:ind w:firstLine="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u w:val="single"/>
          <w14:textFill>
            <w14:solidFill>
              <w14:schemeClr w14:val="tx1"/>
            </w14:solidFill>
          </w14:textFill>
        </w:rPr>
        <w:t xml:space="preserve">   （投标人全称）   </w:t>
      </w:r>
      <w:r>
        <w:rPr>
          <w:rFonts w:hint="eastAsia" w:hAnsi="宋体"/>
          <w:color w:val="000000" w:themeColor="text1"/>
          <w:sz w:val="21"/>
          <w:szCs w:val="21"/>
          <w14:textFill>
            <w14:solidFill>
              <w14:schemeClr w14:val="tx1"/>
            </w14:solidFill>
          </w14:textFill>
        </w:rPr>
        <w:t xml:space="preserve"> 授权</w:t>
      </w:r>
      <w:r>
        <w:rPr>
          <w:rFonts w:hint="eastAsia" w:hAnsi="宋体"/>
          <w:color w:val="000000" w:themeColor="text1"/>
          <w:sz w:val="21"/>
          <w:szCs w:val="21"/>
          <w:u w:val="single"/>
          <w14:textFill>
            <w14:solidFill>
              <w14:schemeClr w14:val="tx1"/>
            </w14:solidFill>
          </w14:textFill>
        </w:rPr>
        <w:t xml:space="preserve"> （授权代表姓名、职务）   </w:t>
      </w:r>
      <w:r>
        <w:rPr>
          <w:rFonts w:hint="eastAsia" w:hAnsi="宋体"/>
          <w:color w:val="000000" w:themeColor="text1"/>
          <w:sz w:val="21"/>
          <w:szCs w:val="21"/>
          <w14:textFill>
            <w14:solidFill>
              <w14:schemeClr w14:val="tx1"/>
            </w14:solidFill>
          </w14:textFill>
        </w:rPr>
        <w:t xml:space="preserve">为本公司合法代理人，参加贵方组织的 </w:t>
      </w:r>
      <w:r>
        <w:rPr>
          <w:rFonts w:hint="eastAsia" w:hAnsi="宋体"/>
          <w:color w:val="000000" w:themeColor="text1"/>
          <w:sz w:val="21"/>
          <w:szCs w:val="21"/>
          <w:u w:val="single"/>
          <w14:textFill>
            <w14:solidFill>
              <w14:schemeClr w14:val="tx1"/>
            </w14:solidFill>
          </w14:textFill>
        </w:rPr>
        <w:t xml:space="preserve">   （招标编号、项目名称） </w:t>
      </w:r>
      <w:r>
        <w:rPr>
          <w:rFonts w:hint="eastAsia" w:hAnsi="宋体"/>
          <w:color w:val="000000" w:themeColor="text1"/>
          <w:sz w:val="21"/>
          <w:szCs w:val="21"/>
          <w14:textFill>
            <w14:solidFill>
              <w14:schemeClr w14:val="tx1"/>
            </w14:solidFill>
          </w14:textFill>
        </w:rPr>
        <w:t>招投标活动，代表本公司（单位）处理招投标活动中的一切事宜，在此：</w:t>
      </w:r>
    </w:p>
    <w:p>
      <w:pPr>
        <w:pStyle w:val="18"/>
        <w:widowControl/>
        <w:spacing w:line="360" w:lineRule="auto"/>
        <w:ind w:firstLine="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1、据此函，签字代表宣布并承诺如下：</w:t>
      </w:r>
    </w:p>
    <w:p>
      <w:pPr>
        <w:pStyle w:val="18"/>
        <w:widowControl/>
        <w:numPr>
          <w:ilvl w:val="0"/>
          <w:numId w:val="25"/>
        </w:numPr>
        <w:spacing w:line="360" w:lineRule="auto"/>
        <w:jc w:val="left"/>
        <w:rPr>
          <w:rFonts w:hAnsi="宋体"/>
          <w:color w:val="000000" w:themeColor="text1"/>
          <w:sz w:val="21"/>
          <w:szCs w:val="21"/>
          <w:u w:val="single"/>
          <w14:textFill>
            <w14:solidFill>
              <w14:schemeClr w14:val="tx1"/>
            </w14:solidFill>
          </w14:textFill>
        </w:rPr>
      </w:pPr>
      <w:r>
        <w:rPr>
          <w:rFonts w:hAnsi="宋体"/>
          <w:color w:val="000000" w:themeColor="text1"/>
          <w:sz w:val="21"/>
          <w:szCs w:val="21"/>
          <w14:textFill>
            <w14:solidFill>
              <w14:schemeClr w14:val="tx1"/>
            </w14:solidFill>
          </w14:textFill>
        </w:rPr>
        <w:t>我方对招标项目子包愿以</w:t>
      </w:r>
      <w:r>
        <w:rPr>
          <w:rFonts w:hint="eastAsia" w:hAnsi="宋体"/>
          <w:color w:val="000000" w:themeColor="text1"/>
          <w:sz w:val="21"/>
          <w:szCs w:val="21"/>
          <w14:textFill>
            <w14:solidFill>
              <w14:schemeClr w14:val="tx1"/>
            </w14:solidFill>
          </w14:textFill>
        </w:rPr>
        <w:t>投标</w:t>
      </w:r>
      <w:r>
        <w:rPr>
          <w:rFonts w:hAnsi="宋体"/>
          <w:color w:val="000000" w:themeColor="text1"/>
          <w:sz w:val="21"/>
          <w:szCs w:val="21"/>
          <w14:textFill>
            <w14:solidFill>
              <w14:schemeClr w14:val="tx1"/>
            </w14:solidFill>
          </w14:textFill>
        </w:rPr>
        <w:t>报价为（大写）：人民币元、（小写）：</w:t>
      </w:r>
    </w:p>
    <w:p>
      <w:pPr>
        <w:pStyle w:val="18"/>
        <w:widowControl/>
        <w:spacing w:line="360" w:lineRule="auto"/>
        <w:ind w:left="210" w:firstLine="0"/>
        <w:jc w:val="left"/>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元人民币，承担采购文件规定内容。（可按子包列明）</w:t>
      </w:r>
    </w:p>
    <w:p>
      <w:pPr>
        <w:pStyle w:val="18"/>
        <w:widowControl/>
        <w:spacing w:line="360" w:lineRule="auto"/>
        <w:ind w:left="715" w:leftChars="100" w:hanging="505" w:hangingChars="25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（2）本报价已经包含了所供货物应纳的税金及采购文件规定的报价方式应包含的其它费用。本报价在投标有效期内固定不变，并在合同有效期内不受利率波动的影响。</w:t>
      </w:r>
    </w:p>
    <w:p>
      <w:pPr>
        <w:pStyle w:val="18"/>
        <w:widowControl/>
        <w:spacing w:line="360" w:lineRule="auto"/>
        <w:ind w:firstLine="202" w:firstLineChars="10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（3）本投标自开标之日起</w:t>
      </w:r>
      <w:r>
        <w:rPr>
          <w:rFonts w:hint="eastAsia" w:hAnsi="宋体"/>
          <w:color w:val="000000" w:themeColor="text1"/>
          <w:sz w:val="21"/>
          <w:szCs w:val="21"/>
          <w:u w:val="single"/>
          <w14:textFill>
            <w14:solidFill>
              <w14:schemeClr w14:val="tx1"/>
            </w14:solidFill>
          </w14:textFill>
        </w:rPr>
        <w:t xml:space="preserve">    90   </w:t>
      </w:r>
      <w:r>
        <w:rPr>
          <w:rFonts w:hint="eastAsia" w:hAnsi="宋体"/>
          <w:color w:val="000000" w:themeColor="text1"/>
          <w:sz w:val="21"/>
          <w:szCs w:val="21"/>
          <w14:textFill>
            <w14:solidFill>
              <w14:schemeClr w14:val="tx1"/>
            </w14:solidFill>
          </w14:textFill>
        </w:rPr>
        <w:t>天内有效。</w:t>
      </w:r>
    </w:p>
    <w:p>
      <w:pPr>
        <w:pStyle w:val="18"/>
        <w:widowControl/>
        <w:spacing w:line="360" w:lineRule="auto"/>
        <w:ind w:left="715" w:leftChars="100" w:hanging="505" w:hangingChars="25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（4）我们已详细审查全部采购文件及有关的澄清/修改文件(若有的话)，我们完全理解并同意放弃对这方面提出任何异议的权利。保证遵守采购文件有关条款规定。</w:t>
      </w:r>
    </w:p>
    <w:p>
      <w:pPr>
        <w:pStyle w:val="18"/>
        <w:widowControl/>
        <w:spacing w:line="360" w:lineRule="auto"/>
        <w:ind w:left="715" w:leftChars="100" w:hanging="505" w:hangingChars="25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（5）保证在中标后忠实地执行与招标人所签署的合同，并承担合同规定的责任义务。</w:t>
      </w:r>
    </w:p>
    <w:p>
      <w:pPr>
        <w:pStyle w:val="18"/>
        <w:widowControl/>
        <w:spacing w:line="360" w:lineRule="auto"/>
        <w:ind w:left="715" w:leftChars="100" w:hanging="505" w:hangingChars="25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6）完全同意采购文件中有关招标代理服务费的条款，保证在中标后按照采购文件规定的金额、时间和方式，向贵方一次性交纳中标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pStyle w:val="18"/>
        <w:widowControl/>
        <w:spacing w:line="360" w:lineRule="auto"/>
        <w:ind w:firstLine="202" w:firstLineChars="10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7</w:t>
      </w:r>
      <w:r>
        <w:rPr>
          <w:rFonts w:hint="eastAsia" w:hAnsi="宋体"/>
          <w:color w:val="000000" w:themeColor="text1"/>
          <w:sz w:val="21"/>
          <w:szCs w:val="21"/>
          <w14:textFill>
            <w14:solidFill>
              <w14:schemeClr w14:val="tx1"/>
            </w14:solidFill>
          </w14:textFill>
        </w:rPr>
        <w:t>）承诺应贵方要求提供任何与该项目投标有关的数据、情况和技术资料。</w:t>
      </w:r>
    </w:p>
    <w:p>
      <w:pPr>
        <w:pStyle w:val="18"/>
        <w:widowControl/>
        <w:spacing w:line="360" w:lineRule="auto"/>
        <w:ind w:left="614" w:leftChars="100" w:hanging="404" w:hangingChars="20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8</w:t>
      </w:r>
      <w:r>
        <w:rPr>
          <w:rFonts w:hint="eastAsia" w:hAnsi="宋体"/>
          <w:color w:val="000000" w:themeColor="text1"/>
          <w:sz w:val="21"/>
          <w:szCs w:val="21"/>
          <w14:textFill>
            <w14:solidFill>
              <w14:schemeClr w14:val="tx1"/>
            </w14:solidFill>
          </w14:textFill>
        </w:rPr>
        <w:t>）我们承诺，与为招标人采购本次招标的货物进行设计、编制规范和其他文件所委托的咨询公司或其附属机构无任何直接或间接的关联。</w:t>
      </w:r>
    </w:p>
    <w:p>
      <w:pPr>
        <w:pStyle w:val="18"/>
        <w:widowControl/>
        <w:spacing w:line="360" w:lineRule="auto"/>
        <w:ind w:left="303" w:hanging="303" w:hangingChars="15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w:t>
      </w:r>
      <w:r>
        <w:rPr>
          <w:rFonts w:hAnsi="宋体"/>
          <w:color w:val="000000" w:themeColor="text1"/>
          <w:sz w:val="21"/>
          <w:szCs w:val="21"/>
          <w14:textFill>
            <w14:solidFill>
              <w14:schemeClr w14:val="tx1"/>
            </w14:solidFill>
          </w14:textFill>
        </w:rPr>
        <w:t>我们郑重声明：</w:t>
      </w:r>
      <w:r>
        <w:rPr>
          <w:rFonts w:hAnsi="宋体"/>
          <w:color w:val="000000" w:themeColor="text1"/>
          <w:sz w:val="21"/>
          <w:szCs w:val="21"/>
          <w14:textFill>
            <w14:solidFill>
              <w14:schemeClr w14:val="tx1"/>
            </w14:solidFill>
          </w14:textFill>
        </w:rPr>
        <w:br w:type="textWrapping"/>
      </w:r>
      <w:r>
        <w:rPr>
          <w:rFonts w:hAnsi="宋体"/>
          <w:color w:val="000000" w:themeColor="text1"/>
          <w:sz w:val="21"/>
          <w:szCs w:val="21"/>
          <w14:textFill>
            <w14:solidFill>
              <w14:schemeClr w14:val="tx1"/>
            </w14:solidFill>
          </w14:textFill>
        </w:rPr>
        <w:t>我公司符合有关法律法规规定的参加采购活动应当具备的条件：具有健全的财务会计制度、依法缴纳税收和社会保障资金、参加本次采购活动之前的三年内，在经营活动中无重大违法活动。</w:t>
      </w:r>
    </w:p>
    <w:p>
      <w:pPr>
        <w:pStyle w:val="18"/>
        <w:widowControl/>
        <w:spacing w:line="360" w:lineRule="auto"/>
        <w:ind w:firstLine="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3、与本投标有关的一切往来通讯请寄：</w:t>
      </w:r>
    </w:p>
    <w:p>
      <w:pPr>
        <w:pStyle w:val="18"/>
        <w:widowControl/>
        <w:spacing w:line="360" w:lineRule="auto"/>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地址：</w:t>
      </w:r>
    </w:p>
    <w:p>
      <w:pPr>
        <w:pStyle w:val="18"/>
        <w:widowControl/>
        <w:spacing w:line="360" w:lineRule="auto"/>
        <w:jc w:val="lef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邮编：电话：传真：</w:t>
      </w:r>
    </w:p>
    <w:p>
      <w:pPr>
        <w:pStyle w:val="18"/>
        <w:widowControl/>
        <w:spacing w:line="360" w:lineRule="auto"/>
        <w:ind w:firstLine="0"/>
        <w:jc w:val="left"/>
        <w:rPr>
          <w:rFonts w:hAnsi="宋体"/>
          <w:color w:val="000000" w:themeColor="text1"/>
          <w:sz w:val="21"/>
          <w:szCs w:val="21"/>
          <w14:textFill>
            <w14:solidFill>
              <w14:schemeClr w14:val="tx1"/>
            </w14:solidFill>
          </w14:textFill>
        </w:rPr>
      </w:pPr>
    </w:p>
    <w:p>
      <w:pPr>
        <w:pStyle w:val="18"/>
        <w:snapToGrid w:val="0"/>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投 标 人  （盖章）：</w:t>
      </w:r>
    </w:p>
    <w:p>
      <w:pPr>
        <w:pStyle w:val="18"/>
        <w:snapToGrid w:val="0"/>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法定代表人或其授权代表（签字或盖章）：</w:t>
      </w:r>
    </w:p>
    <w:p>
      <w:pPr>
        <w:widowControl/>
        <w:jc w:val="left"/>
        <w:rPr>
          <w:rFonts w:ascii="宋体" w:hAnsi="宋体"/>
          <w:b/>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 xml:space="preserve">   日             期：</w:t>
      </w:r>
      <w:r>
        <w:rPr>
          <w:rFonts w:hint="eastAsia" w:hAnsi="宋体"/>
          <w:color w:val="000000" w:themeColor="text1"/>
          <w:sz w:val="24"/>
          <w14:textFill>
            <w14:solidFill>
              <w14:schemeClr w14:val="tx1"/>
            </w14:solidFill>
          </w14:textFill>
        </w:rPr>
        <w:br w:type="page"/>
      </w:r>
    </w:p>
    <w:p>
      <w:pPr>
        <w:spacing w:line="360" w:lineRule="auto"/>
        <w:jc w:val="left"/>
        <w:rPr>
          <w:rFonts w:ascii="宋体" w:hAnsi="宋体"/>
          <w:color w:val="000000" w:themeColor="text1"/>
          <w:szCs w:val="21"/>
          <w14:textFill>
            <w14:solidFill>
              <w14:schemeClr w14:val="tx1"/>
            </w14:solidFill>
          </w14:textFill>
        </w:rPr>
      </w:pPr>
      <w:r>
        <w:rPr>
          <w:rFonts w:hint="eastAsia" w:ascii="宋体" w:hAnsi="宋体"/>
          <w:b/>
          <w:color w:val="000000" w:themeColor="text1"/>
          <w14:textFill>
            <w14:solidFill>
              <w14:schemeClr w14:val="tx1"/>
            </w14:solidFill>
          </w14:textFill>
        </w:rPr>
        <w:t>格式四：</w:t>
      </w:r>
      <w:r>
        <w:rPr>
          <w:rFonts w:hint="eastAsia" w:ascii="宋体" w:hAnsi="宋体"/>
          <w:color w:val="000000" w:themeColor="text1"/>
          <w:szCs w:val="21"/>
          <w14:textFill>
            <w14:solidFill>
              <w14:schemeClr w14:val="tx1"/>
            </w14:solidFill>
          </w14:textFill>
        </w:rPr>
        <w:t>法定代表人的身份证明</w:t>
      </w: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法定代表人身份证明</w:t>
      </w:r>
    </w:p>
    <w:p>
      <w:pPr>
        <w:spacing w:line="480" w:lineRule="auto"/>
        <w:jc w:val="center"/>
        <w:rPr>
          <w:rFonts w:ascii="宋体" w:hAnsi="宋体"/>
          <w:bCs/>
          <w:color w:val="000000" w:themeColor="text1"/>
          <w:sz w:val="24"/>
          <w14:textFill>
            <w14:solidFill>
              <w14:schemeClr w14:val="tx1"/>
            </w14:solidFill>
          </w14:textFill>
        </w:rPr>
      </w:pPr>
    </w:p>
    <w:p>
      <w:pPr>
        <w:spacing w:line="480" w:lineRule="auto"/>
        <w:jc w:val="center"/>
        <w:rPr>
          <w:rFonts w:ascii="宋体" w:hAnsi="宋体"/>
          <w:b/>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（法定代表人不来投标的，此表不用）</w:t>
      </w:r>
    </w:p>
    <w:p>
      <w:pPr>
        <w:spacing w:line="480" w:lineRule="auto"/>
        <w:ind w:firstLine="420" w:firstLineChars="200"/>
        <w:rPr>
          <w:rFonts w:ascii="宋体" w:hAnsi="宋体"/>
          <w:color w:val="000000" w:themeColor="text1"/>
          <w:szCs w:val="21"/>
          <w14:textFill>
            <w14:solidFill>
              <w14:schemeClr w14:val="tx1"/>
            </w14:solidFill>
          </w14:textFill>
        </w:rPr>
      </w:pPr>
    </w:p>
    <w:p>
      <w:pPr>
        <w:spacing w:line="48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p>
    <w:p>
      <w:pPr>
        <w:spacing w:line="48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单位性质：</w:t>
      </w:r>
    </w:p>
    <w:p>
      <w:pPr>
        <w:spacing w:line="48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p>
    <w:p>
      <w:pPr>
        <w:spacing w:line="48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成立时间：年月＿日</w:t>
      </w:r>
    </w:p>
    <w:p>
      <w:pPr>
        <w:spacing w:line="48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经营期限：</w:t>
      </w:r>
    </w:p>
    <w:p>
      <w:pPr>
        <w:spacing w:line="48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姓名：性别：年龄：</w:t>
      </w:r>
      <w:r>
        <w:rPr>
          <w:rFonts w:hint="eastAsia" w:ascii="宋体" w:hAnsi="宋体"/>
          <w:color w:val="000000" w:themeColor="text1"/>
          <w:szCs w:val="21"/>
          <w:u w:val="single"/>
          <w14:textFill>
            <w14:solidFill>
              <w14:schemeClr w14:val="tx1"/>
            </w14:solidFill>
          </w14:textFill>
        </w:rPr>
        <w:t xml:space="preserve">    周岁  </w:t>
      </w:r>
      <w:r>
        <w:rPr>
          <w:rFonts w:hint="eastAsia" w:ascii="宋体" w:hAnsi="宋体"/>
          <w:color w:val="000000" w:themeColor="text1"/>
          <w:szCs w:val="21"/>
          <w14:textFill>
            <w14:solidFill>
              <w14:schemeClr w14:val="tx1"/>
            </w14:solidFill>
          </w14:textFill>
        </w:rPr>
        <w:t>职务：_</w:t>
      </w:r>
    </w:p>
    <w:p>
      <w:pPr>
        <w:spacing w:line="480" w:lineRule="auto"/>
        <w:ind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身份证号码：</w:t>
      </w:r>
    </w:p>
    <w:p>
      <w:pPr>
        <w:spacing w:line="48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系（供应商名称）的法定代表人。</w:t>
      </w:r>
    </w:p>
    <w:p>
      <w:pPr>
        <w:spacing w:line="480" w:lineRule="auto"/>
        <w:ind w:firstLine="840" w:firstLine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特此证明。</w:t>
      </w:r>
    </w:p>
    <w:p>
      <w:pPr>
        <w:spacing w:line="360" w:lineRule="auto"/>
        <w:ind w:firstLine="420" w:firstLineChars="200"/>
        <w:rPr>
          <w:rFonts w:ascii="宋体" w:hAnsi="宋体"/>
          <w:color w:val="000000" w:themeColor="text1"/>
          <w:szCs w:val="21"/>
          <w14:textFill>
            <w14:solidFill>
              <w14:schemeClr w14:val="tx1"/>
            </w14:solidFill>
          </w14:textFill>
        </w:rPr>
      </w:pPr>
    </w:p>
    <w:p>
      <w:pPr>
        <w:spacing w:line="360" w:lineRule="auto"/>
        <w:ind w:firstLine="420" w:firstLineChars="200"/>
        <w:rPr>
          <w:rFonts w:ascii="宋体" w:hAnsi="宋体"/>
          <w:color w:val="000000" w:themeColor="text1"/>
          <w:szCs w:val="21"/>
          <w14:textFill>
            <w14:solidFill>
              <w14:schemeClr w14:val="tx1"/>
            </w14:solidFill>
          </w14:textFill>
        </w:rPr>
      </w:pPr>
    </w:p>
    <w:p>
      <w:pPr>
        <w:wordWrap w:val="0"/>
        <w:spacing w:line="360" w:lineRule="auto"/>
        <w:ind w:right="420" w:firstLine="3045" w:firstLineChars="14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供应商：（盖单位公章）</w:t>
      </w:r>
    </w:p>
    <w:p>
      <w:pPr>
        <w:spacing w:line="360" w:lineRule="auto"/>
        <w:ind w:firstLine="4515" w:firstLineChars="2150"/>
        <w:rPr>
          <w:rFonts w:ascii="宋体" w:hAnsi="宋体"/>
          <w:color w:val="000000" w:themeColor="text1"/>
          <w:szCs w:val="21"/>
          <w:u w:val="single"/>
          <w14:textFill>
            <w14:solidFill>
              <w14:schemeClr w14:val="tx1"/>
            </w14:solidFill>
          </w14:textFill>
        </w:rPr>
      </w:pPr>
    </w:p>
    <w:p>
      <w:pPr>
        <w:spacing w:line="360" w:lineRule="auto"/>
        <w:ind w:firstLine="3675" w:firstLineChars="17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年月日</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p>
    <w:p>
      <w:pPr>
        <w:spacing w:line="360" w:lineRule="auto"/>
        <w:ind w:firstLine="413" w:firstLineChars="196"/>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附法定代表人身份证复印件（正反面）：</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9175" w:type="dxa"/>
          </w:tcPr>
          <w:p>
            <w:pPr>
              <w:rPr>
                <w:rFonts w:ascii="宋体" w:hAnsi="宋体"/>
                <w:color w:val="000000" w:themeColor="text1"/>
                <w14:textFill>
                  <w14:solidFill>
                    <w14:schemeClr w14:val="tx1"/>
                  </w14:solidFill>
                </w14:textFill>
              </w:rPr>
            </w:pPr>
          </w:p>
        </w:tc>
      </w:tr>
    </w:tbl>
    <w:p>
      <w:pPr>
        <w:rPr>
          <w:rFonts w:ascii="宋体" w:hAnsi="宋体"/>
          <w:color w:val="000000" w:themeColor="text1"/>
          <w14:textFill>
            <w14:solidFill>
              <w14:schemeClr w14:val="tx1"/>
            </w14:solidFill>
          </w14:textFill>
        </w:rPr>
      </w:pPr>
    </w:p>
    <w:p>
      <w:pPr>
        <w:jc w:val="left"/>
        <w:rPr>
          <w:rFonts w:ascii="宋体" w:hAnsi="宋体"/>
          <w:b/>
          <w:color w:val="000000" w:themeColor="text1"/>
          <w:sz w:val="32"/>
          <w:szCs w:val="32"/>
          <w14:textFill>
            <w14:solidFill>
              <w14:schemeClr w14:val="tx1"/>
            </w14:solidFill>
          </w14:textFill>
        </w:rPr>
      </w:pPr>
    </w:p>
    <w:p>
      <w:pPr>
        <w:jc w:val="left"/>
        <w:rPr>
          <w:rFonts w:ascii="宋体" w:hAnsi="宋体"/>
          <w:b/>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r>
        <w:rPr>
          <w:rFonts w:hint="eastAsia" w:ascii="宋体" w:hAnsi="宋体"/>
          <w:color w:val="000000" w:themeColor="text1"/>
          <w:szCs w:val="21"/>
          <w14:textFill>
            <w14:solidFill>
              <w14:schemeClr w14:val="tx1"/>
            </w14:solidFill>
          </w14:textFill>
        </w:rPr>
        <w:t>法定代表人授权书</w:t>
      </w:r>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法定代表人授权委托书</w:t>
      </w:r>
    </w:p>
    <w:p>
      <w:pPr>
        <w:jc w:val="center"/>
        <w:rPr>
          <w:rFonts w:ascii="宋体" w:hAnsi="宋体"/>
          <w:bCs/>
          <w:color w:val="000000" w:themeColor="text1"/>
          <w:sz w:val="24"/>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r>
        <w:rPr>
          <w:rFonts w:hint="eastAsia" w:ascii="宋体" w:hAnsi="宋体"/>
          <w:bCs/>
          <w:color w:val="000000" w:themeColor="text1"/>
          <w:sz w:val="24"/>
          <w14:textFill>
            <w14:solidFill>
              <w14:schemeClr w14:val="tx1"/>
            </w14:solidFill>
          </w14:textFill>
        </w:rPr>
        <w:t>（法定代表人来投标的，此表不用）</w:t>
      </w:r>
    </w:p>
    <w:p>
      <w:pPr>
        <w:snapToGrid w:val="0"/>
        <w:spacing w:line="360" w:lineRule="auto"/>
        <w:rPr>
          <w:rFonts w:ascii="宋体" w:hAnsi="宋体"/>
          <w:bCs/>
          <w:color w:val="000000" w:themeColor="text1"/>
          <w:sz w:val="24"/>
          <w14:textFill>
            <w14:solidFill>
              <w14:schemeClr w14:val="tx1"/>
            </w14:solidFill>
          </w14:textFill>
        </w:rPr>
      </w:pPr>
    </w:p>
    <w:p>
      <w:pPr>
        <w:snapToGrid w:val="0"/>
        <w:spacing w:line="360" w:lineRule="auto"/>
        <w:rPr>
          <w:rFonts w:ascii="宋体" w:hAnsi="宋体"/>
          <w:bCs/>
          <w:color w:val="000000" w:themeColor="text1"/>
          <w:szCs w:val="21"/>
          <w14:textFill>
            <w14:solidFill>
              <w14:schemeClr w14:val="tx1"/>
            </w14:solidFill>
          </w14:textFill>
        </w:rPr>
      </w:pPr>
    </w:p>
    <w:p>
      <w:p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致：</w:t>
      </w:r>
      <w:r>
        <w:rPr>
          <w:rFonts w:hint="eastAsia" w:ascii="宋体" w:hAnsi="宋体"/>
          <w:color w:val="000000" w:themeColor="text1"/>
          <w:szCs w:val="21"/>
          <w14:textFill>
            <w14:solidFill>
              <w14:schemeClr w14:val="tx1"/>
            </w14:solidFill>
          </w14:textFill>
        </w:rPr>
        <w:t>（采购单位名称）：</w:t>
      </w:r>
    </w:p>
    <w:p>
      <w:pPr>
        <w:snapToGrid w:val="0"/>
        <w:spacing w:line="360" w:lineRule="auto"/>
        <w:ind w:firstLine="525" w:firstLineChars="2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我（姓名）系（供应商名称）的法定代表人，现授权委托本单位在职职工 （姓名）以我方的名义参加</w:t>
      </w:r>
      <w:r>
        <w:rPr>
          <w:rFonts w:hint="eastAsia" w:ascii="宋体" w:hAnsi="宋体"/>
          <w:color w:val="000000" w:themeColor="text1"/>
          <w:szCs w:val="21"/>
          <w:u w:val="single"/>
          <w14:textFill>
            <w14:solidFill>
              <w14:schemeClr w14:val="tx1"/>
            </w14:solidFill>
          </w14:textFill>
        </w:rPr>
        <w:t xml:space="preserve">                       政府采购 </w:t>
      </w:r>
      <w:r>
        <w:rPr>
          <w:rFonts w:hint="eastAsia" w:ascii="宋体" w:hAnsi="宋体"/>
          <w:color w:val="000000" w:themeColor="text1"/>
          <w:szCs w:val="21"/>
          <w14:textFill>
            <w14:solidFill>
              <w14:schemeClr w14:val="tx1"/>
            </w14:solidFill>
          </w14:textFill>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我方对被授权人的签名事项负全部责任。</w:t>
      </w:r>
    </w:p>
    <w:p>
      <w:pPr>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被授权人无转委托权，特此委托。</w:t>
      </w:r>
    </w:p>
    <w:p>
      <w:pPr>
        <w:snapToGrid w:val="0"/>
        <w:spacing w:line="360" w:lineRule="auto"/>
        <w:rPr>
          <w:rFonts w:ascii="宋体" w:hAnsi="宋体"/>
          <w:color w:val="000000" w:themeColor="text1"/>
          <w:szCs w:val="21"/>
          <w14:textFill>
            <w14:solidFill>
              <w14:schemeClr w14:val="tx1"/>
            </w14:solidFill>
          </w14:textFill>
        </w:rPr>
      </w:pPr>
    </w:p>
    <w:p>
      <w:pPr>
        <w:snapToGrid w:val="0"/>
        <w:spacing w:line="360" w:lineRule="auto"/>
        <w:rPr>
          <w:rFonts w:ascii="宋体" w:hAnsi="宋体"/>
          <w:color w:val="000000" w:themeColor="text1"/>
          <w:szCs w:val="21"/>
          <w14:textFill>
            <w14:solidFill>
              <w14:schemeClr w14:val="tx1"/>
            </w14:solidFill>
          </w14:textFill>
        </w:rPr>
      </w:pPr>
    </w:p>
    <w:p>
      <w:pPr>
        <w:snapToGrid w:val="0"/>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被授权人签名：                 法定代表人签名：</w:t>
      </w:r>
    </w:p>
    <w:p>
      <w:pPr>
        <w:snapToGrid w:val="0"/>
        <w:spacing w:line="360" w:lineRule="auto"/>
        <w:ind w:firstLine="840" w:firstLine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职务：                          职务：</w:t>
      </w:r>
    </w:p>
    <w:p>
      <w:p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被授权人身份证号码：</w:t>
      </w:r>
    </w:p>
    <w:p>
      <w:pPr>
        <w:snapToGrid w:val="0"/>
        <w:spacing w:line="360" w:lineRule="auto"/>
        <w:rPr>
          <w:rFonts w:ascii="宋体" w:hAnsi="宋体"/>
          <w:color w:val="000000" w:themeColor="text1"/>
          <w:szCs w:val="21"/>
          <w14:textFill>
            <w14:solidFill>
              <w14:schemeClr w14:val="tx1"/>
            </w14:solidFill>
          </w14:textFill>
        </w:rPr>
      </w:pPr>
    </w:p>
    <w:p>
      <w:pPr>
        <w:snapToGrid w:val="0"/>
        <w:spacing w:line="360" w:lineRule="auto"/>
        <w:rPr>
          <w:rFonts w:ascii="宋体" w:hAnsi="宋体"/>
          <w:color w:val="000000" w:themeColor="text1"/>
          <w:szCs w:val="21"/>
          <w14:textFill>
            <w14:solidFill>
              <w14:schemeClr w14:val="tx1"/>
            </w14:solidFill>
          </w14:textFill>
        </w:rPr>
      </w:pPr>
    </w:p>
    <w:p>
      <w:pPr>
        <w:snapToGrid w:val="0"/>
        <w:spacing w:line="360" w:lineRule="auto"/>
        <w:ind w:firstLine="4830" w:firstLineChars="2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供应商公章：</w:t>
      </w:r>
    </w:p>
    <w:p>
      <w:pPr>
        <w:snapToGrid w:val="0"/>
        <w:spacing w:line="360" w:lineRule="auto"/>
        <w:ind w:firstLine="4830" w:firstLineChars="2300"/>
        <w:rPr>
          <w:rFonts w:ascii="宋体" w:hAnsi="宋体"/>
          <w:color w:val="000000" w:themeColor="text1"/>
          <w:szCs w:val="21"/>
          <w14:textFill>
            <w14:solidFill>
              <w14:schemeClr w14:val="tx1"/>
            </w14:solidFill>
          </w14:textFill>
        </w:rPr>
      </w:pPr>
    </w:p>
    <w:p>
      <w:pPr>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年    月    日</w:t>
      </w:r>
    </w:p>
    <w:p>
      <w:pPr>
        <w:spacing w:line="360" w:lineRule="auto"/>
        <w:rPr>
          <w:rFonts w:ascii="宋体" w:hAnsi="宋体"/>
          <w:b/>
          <w:color w:val="000000" w:themeColor="text1"/>
          <w:szCs w:val="21"/>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p>
    <w:p>
      <w:pPr>
        <w:spacing w:line="360" w:lineRule="auto"/>
        <w:ind w:firstLine="103" w:firstLineChars="4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附：</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7"/>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7" w:type="dxa"/>
          </w:tcPr>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法定代表人身份证复印件（正反面）</w:t>
            </w:r>
          </w:p>
          <w:p>
            <w:pPr>
              <w:spacing w:line="360" w:lineRule="auto"/>
              <w:rPr>
                <w:rFonts w:ascii="宋体" w:hAnsi="宋体"/>
                <w:b/>
                <w:color w:val="000000" w:themeColor="text1"/>
                <w:szCs w:val="21"/>
                <w14:textFill>
                  <w14:solidFill>
                    <w14:schemeClr w14:val="tx1"/>
                  </w14:solidFill>
                </w14:textFill>
              </w:rPr>
            </w:pPr>
          </w:p>
        </w:tc>
        <w:tc>
          <w:tcPr>
            <w:tcW w:w="4588" w:type="dxa"/>
          </w:tcPr>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授权代表身份证复印件（正反面）</w:t>
            </w:r>
          </w:p>
          <w:p>
            <w:pPr>
              <w:spacing w:line="360" w:lineRule="auto"/>
              <w:rPr>
                <w:rFonts w:ascii="宋体" w:hAnsi="宋体"/>
                <w:b/>
                <w:color w:val="000000" w:themeColor="text1"/>
                <w:szCs w:val="21"/>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p>
        </w:tc>
      </w:tr>
    </w:tbl>
    <w:p>
      <w:pPr>
        <w:spacing w:line="360" w:lineRule="auto"/>
        <w:ind w:firstLine="103" w:firstLineChars="49"/>
        <w:rPr>
          <w:rFonts w:ascii="宋体" w:hAnsi="宋体"/>
          <w:b/>
          <w:color w:val="000000" w:themeColor="text1"/>
          <w:szCs w:val="21"/>
          <w14:textFill>
            <w14:solidFill>
              <w14:schemeClr w14:val="tx1"/>
            </w14:solidFill>
          </w14:textFill>
        </w:rPr>
      </w:pPr>
    </w:p>
    <w:p>
      <w:pPr>
        <w:spacing w:line="360" w:lineRule="auto"/>
        <w:ind w:firstLine="103" w:firstLineChars="49"/>
        <w:rPr>
          <w:rFonts w:ascii="宋体" w:hAnsi="宋体"/>
          <w:b/>
          <w:color w:val="000000" w:themeColor="text1"/>
          <w:szCs w:val="21"/>
          <w14:textFill>
            <w14:solidFill>
              <w14:schemeClr w14:val="tx1"/>
            </w14:solidFill>
          </w14:textFill>
        </w:rPr>
      </w:pPr>
    </w:p>
    <w:p>
      <w:pPr>
        <w:widowControl/>
        <w:jc w:val="lef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br w:type="page"/>
      </w:r>
    </w:p>
    <w:p>
      <w:pPr>
        <w:rPr>
          <w:rFonts w:ascii="宋体" w:hAnsi="宋体"/>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格式五：</w:t>
      </w:r>
      <w:r>
        <w:rPr>
          <w:rFonts w:hint="eastAsia" w:ascii="宋体" w:hAnsi="宋体"/>
          <w:color w:val="000000" w:themeColor="text1"/>
          <w:szCs w:val="21"/>
          <w14:textFill>
            <w14:solidFill>
              <w14:schemeClr w14:val="tx1"/>
            </w14:solidFill>
          </w14:textFill>
        </w:rPr>
        <w:t>投标人基本情况说明</w:t>
      </w:r>
    </w:p>
    <w:p>
      <w:pPr>
        <w:spacing w:line="360" w:lineRule="auto"/>
        <w:jc w:val="center"/>
        <w:rPr>
          <w:rFonts w:ascii="宋体" w:hAnsi="宋体" w:cs="Arial"/>
          <w:b/>
          <w:color w:val="000000" w:themeColor="text1"/>
          <w:szCs w:val="21"/>
          <w14:textFill>
            <w14:solidFill>
              <w14:schemeClr w14:val="tx1"/>
            </w14:solidFill>
          </w14:textFill>
        </w:rPr>
      </w:pPr>
      <w:bookmarkStart w:id="218" w:name="_Toc14746861"/>
      <w:bookmarkStart w:id="219" w:name="_Toc488936100"/>
      <w:bookmarkStart w:id="220" w:name="_Toc479927873"/>
      <w:bookmarkStart w:id="221" w:name="_Toc225223761"/>
      <w:bookmarkStart w:id="222" w:name="_Toc110393361"/>
      <w:bookmarkStart w:id="223" w:name="_Toc483379796"/>
    </w:p>
    <w:p>
      <w:pPr>
        <w:spacing w:line="360" w:lineRule="auto"/>
        <w:jc w:val="center"/>
        <w:rPr>
          <w:rFonts w:ascii="宋体" w:hAnsi="宋体" w:cs="Arial"/>
          <w:b/>
          <w:color w:val="000000" w:themeColor="text1"/>
          <w:szCs w:val="21"/>
          <w14:textFill>
            <w14:solidFill>
              <w14:schemeClr w14:val="tx1"/>
            </w14:solidFill>
          </w14:textFill>
        </w:rPr>
      </w:pPr>
      <w:r>
        <w:rPr>
          <w:rFonts w:hint="eastAsia" w:ascii="宋体" w:hAnsi="宋体" w:cs="Arial"/>
          <w:b/>
          <w:color w:val="000000" w:themeColor="text1"/>
          <w:szCs w:val="21"/>
          <w14:textFill>
            <w14:solidFill>
              <w14:schemeClr w14:val="tx1"/>
            </w14:solidFill>
          </w14:textFill>
        </w:rPr>
        <w:t>投标人基本情况说明</w:t>
      </w:r>
      <w:bookmarkEnd w:id="218"/>
      <w:bookmarkEnd w:id="219"/>
      <w:bookmarkEnd w:id="220"/>
      <w:bookmarkEnd w:id="221"/>
      <w:bookmarkEnd w:id="222"/>
      <w:bookmarkEnd w:id="223"/>
    </w:p>
    <w:tbl>
      <w:tblPr>
        <w:tblStyle w:val="40"/>
        <w:tblW w:w="9164"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单位名称</w:t>
            </w:r>
          </w:p>
        </w:tc>
        <w:tc>
          <w:tcPr>
            <w:tcW w:w="3675" w:type="dxa"/>
            <w:gridSpan w:val="3"/>
            <w:vAlign w:val="center"/>
          </w:tcPr>
          <w:p>
            <w:pPr>
              <w:spacing w:line="360" w:lineRule="auto"/>
              <w:jc w:val="center"/>
              <w:rPr>
                <w:rFonts w:ascii="宋体" w:hAnsi="宋体"/>
                <w:color w:val="000000" w:themeColor="text1"/>
                <w:szCs w:val="21"/>
                <w14:textFill>
                  <w14:solidFill>
                    <w14:schemeClr w14:val="tx1"/>
                  </w14:solidFill>
                </w14:textFill>
              </w:rPr>
            </w:pPr>
          </w:p>
        </w:tc>
        <w:tc>
          <w:tcPr>
            <w:tcW w:w="178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组织机构代码</w:t>
            </w:r>
          </w:p>
        </w:tc>
        <w:tc>
          <w:tcPr>
            <w:tcW w:w="2234" w:type="dxa"/>
            <w:vAlign w:val="center"/>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注册地址</w:t>
            </w:r>
          </w:p>
        </w:tc>
        <w:tc>
          <w:tcPr>
            <w:tcW w:w="3675" w:type="dxa"/>
            <w:gridSpan w:val="3"/>
            <w:vAlign w:val="center"/>
          </w:tcPr>
          <w:p>
            <w:pPr>
              <w:spacing w:line="360" w:lineRule="auto"/>
              <w:jc w:val="center"/>
              <w:rPr>
                <w:rFonts w:ascii="宋体" w:hAnsi="宋体"/>
                <w:color w:val="000000" w:themeColor="text1"/>
                <w:szCs w:val="21"/>
                <w14:textFill>
                  <w14:solidFill>
                    <w14:schemeClr w14:val="tx1"/>
                  </w14:solidFill>
                </w14:textFill>
              </w:rPr>
            </w:pPr>
          </w:p>
        </w:tc>
        <w:tc>
          <w:tcPr>
            <w:tcW w:w="178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注册登记号</w:t>
            </w:r>
          </w:p>
        </w:tc>
        <w:tc>
          <w:tcPr>
            <w:tcW w:w="2234" w:type="dxa"/>
            <w:vAlign w:val="center"/>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经营地址</w:t>
            </w:r>
          </w:p>
        </w:tc>
        <w:tc>
          <w:tcPr>
            <w:tcW w:w="3675" w:type="dxa"/>
            <w:gridSpan w:val="3"/>
            <w:vAlign w:val="center"/>
          </w:tcPr>
          <w:p>
            <w:pPr>
              <w:spacing w:line="360" w:lineRule="auto"/>
              <w:jc w:val="center"/>
              <w:rPr>
                <w:rFonts w:ascii="宋体" w:hAnsi="宋体"/>
                <w:color w:val="000000" w:themeColor="text1"/>
                <w:szCs w:val="21"/>
                <w14:textFill>
                  <w14:solidFill>
                    <w14:schemeClr w14:val="tx1"/>
                  </w14:solidFill>
                </w14:textFill>
              </w:rPr>
            </w:pPr>
          </w:p>
        </w:tc>
        <w:tc>
          <w:tcPr>
            <w:tcW w:w="1785" w:type="dxa"/>
            <w:vAlign w:val="center"/>
          </w:tcPr>
          <w:p>
            <w:pPr>
              <w:spacing w:line="360" w:lineRule="auto"/>
              <w:jc w:val="center"/>
              <w:rPr>
                <w:rFonts w:ascii="宋体" w:hAnsi="宋体"/>
                <w:color w:val="000000" w:themeColor="text1"/>
                <w:spacing w:val="3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税务登记证号</w:t>
            </w:r>
          </w:p>
        </w:tc>
        <w:tc>
          <w:tcPr>
            <w:tcW w:w="2234" w:type="dxa"/>
            <w:vAlign w:val="center"/>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单位性质</w:t>
            </w:r>
          </w:p>
        </w:tc>
        <w:tc>
          <w:tcPr>
            <w:tcW w:w="3675" w:type="dxa"/>
            <w:gridSpan w:val="3"/>
            <w:vAlign w:val="center"/>
          </w:tcPr>
          <w:p>
            <w:pPr>
              <w:pStyle w:val="116"/>
              <w:widowControl w:val="0"/>
              <w:spacing w:before="0" w:beforeAutospacing="0" w:after="0" w:afterAutospacing="0" w:line="360" w:lineRule="auto"/>
              <w:ind w:left="1320" w:hanging="480"/>
              <w:rPr>
                <w:rFonts w:ascii="宋体" w:hAnsi="宋体" w:eastAsia="宋体"/>
                <w:color w:val="000000" w:themeColor="text1"/>
                <w:kern w:val="2"/>
                <w:sz w:val="21"/>
                <w:szCs w:val="21"/>
                <w14:textFill>
                  <w14:solidFill>
                    <w14:schemeClr w14:val="tx1"/>
                  </w14:solidFill>
                </w14:textFill>
              </w:rPr>
            </w:pPr>
          </w:p>
        </w:tc>
        <w:tc>
          <w:tcPr>
            <w:tcW w:w="1785" w:type="dxa"/>
            <w:vAlign w:val="center"/>
          </w:tcPr>
          <w:p>
            <w:pPr>
              <w:spacing w:line="360" w:lineRule="auto"/>
              <w:jc w:val="center"/>
              <w:rPr>
                <w:rFonts w:ascii="宋体" w:hAnsi="宋体"/>
                <w:color w:val="000000" w:themeColor="text1"/>
                <w:spacing w:val="34"/>
                <w:szCs w:val="21"/>
                <w14:textFill>
                  <w14:solidFill>
                    <w14:schemeClr w14:val="tx1"/>
                  </w14:solidFill>
                </w14:textFill>
              </w:rPr>
            </w:pPr>
            <w:r>
              <w:rPr>
                <w:rFonts w:hint="eastAsia" w:ascii="宋体" w:hAnsi="宋体"/>
                <w:color w:val="000000" w:themeColor="text1"/>
                <w:spacing w:val="34"/>
                <w:szCs w:val="21"/>
                <w14:textFill>
                  <w14:solidFill>
                    <w14:schemeClr w14:val="tx1"/>
                  </w14:solidFill>
                </w14:textFill>
              </w:rPr>
              <w:t>注册资本</w:t>
            </w:r>
          </w:p>
        </w:tc>
        <w:tc>
          <w:tcPr>
            <w:tcW w:w="2234" w:type="dxa"/>
            <w:vAlign w:val="center"/>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经营范围</w:t>
            </w:r>
          </w:p>
        </w:tc>
        <w:tc>
          <w:tcPr>
            <w:tcW w:w="3675" w:type="dxa"/>
            <w:gridSpan w:val="3"/>
            <w:vAlign w:val="center"/>
          </w:tcPr>
          <w:p>
            <w:pPr>
              <w:spacing w:line="360" w:lineRule="auto"/>
              <w:jc w:val="center"/>
              <w:rPr>
                <w:rFonts w:ascii="宋体" w:hAnsi="宋体"/>
                <w:color w:val="000000" w:themeColor="text1"/>
                <w:szCs w:val="21"/>
                <w14:textFill>
                  <w14:solidFill>
                    <w14:schemeClr w14:val="tx1"/>
                  </w14:solidFill>
                </w14:textFill>
              </w:rPr>
            </w:pPr>
          </w:p>
        </w:tc>
        <w:tc>
          <w:tcPr>
            <w:tcW w:w="178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营业期限</w:t>
            </w:r>
          </w:p>
        </w:tc>
        <w:tc>
          <w:tcPr>
            <w:tcW w:w="2234"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资质情况</w:t>
            </w:r>
          </w:p>
        </w:tc>
        <w:tc>
          <w:tcPr>
            <w:tcW w:w="7694" w:type="dxa"/>
            <w:gridSpan w:val="5"/>
            <w:vAlign w:val="center"/>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员工数量</w:t>
            </w:r>
          </w:p>
        </w:tc>
        <w:tc>
          <w:tcPr>
            <w:tcW w:w="7694" w:type="dxa"/>
            <w:gridSpan w:val="5"/>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共人，其中，高级职称人，中级职称人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tc>
        <w:tc>
          <w:tcPr>
            <w:tcW w:w="3675" w:type="dxa"/>
            <w:gridSpan w:val="3"/>
            <w:vAlign w:val="center"/>
          </w:tcPr>
          <w:p>
            <w:pPr>
              <w:spacing w:line="360" w:lineRule="auto"/>
              <w:jc w:val="center"/>
              <w:rPr>
                <w:rFonts w:ascii="宋体" w:hAnsi="宋体"/>
                <w:color w:val="000000" w:themeColor="text1"/>
                <w:szCs w:val="21"/>
                <w14:textFill>
                  <w14:solidFill>
                    <w14:schemeClr w14:val="tx1"/>
                  </w14:solidFill>
                </w14:textFill>
              </w:rPr>
            </w:pPr>
          </w:p>
        </w:tc>
        <w:tc>
          <w:tcPr>
            <w:tcW w:w="178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传真</w:t>
            </w:r>
          </w:p>
        </w:tc>
        <w:tc>
          <w:tcPr>
            <w:tcW w:w="2234" w:type="dxa"/>
            <w:vAlign w:val="center"/>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主要业绩</w:t>
            </w:r>
          </w:p>
        </w:tc>
        <w:tc>
          <w:tcPr>
            <w:tcW w:w="7694" w:type="dxa"/>
            <w:gridSpan w:val="5"/>
            <w:vAlign w:val="center"/>
          </w:tcPr>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4" w:type="dxa"/>
            <w:gridSpan w:val="6"/>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姓  名</w:t>
            </w:r>
          </w:p>
        </w:tc>
        <w:tc>
          <w:tcPr>
            <w:tcW w:w="3675" w:type="dxa"/>
            <w:gridSpan w:val="3"/>
            <w:vAlign w:val="center"/>
          </w:tcPr>
          <w:p>
            <w:pPr>
              <w:spacing w:line="360" w:lineRule="auto"/>
              <w:jc w:val="center"/>
              <w:rPr>
                <w:rFonts w:ascii="宋体" w:hAnsi="宋体"/>
                <w:color w:val="000000" w:themeColor="text1"/>
                <w:szCs w:val="21"/>
                <w14:textFill>
                  <w14:solidFill>
                    <w14:schemeClr w14:val="tx1"/>
                  </w14:solidFill>
                </w14:textFill>
              </w:rPr>
            </w:pPr>
          </w:p>
        </w:tc>
        <w:tc>
          <w:tcPr>
            <w:tcW w:w="178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身份证号码</w:t>
            </w:r>
          </w:p>
        </w:tc>
        <w:tc>
          <w:tcPr>
            <w:tcW w:w="2234" w:type="dxa"/>
            <w:vAlign w:val="center"/>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  务</w:t>
            </w:r>
          </w:p>
        </w:tc>
        <w:tc>
          <w:tcPr>
            <w:tcW w:w="1680"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05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   称</w:t>
            </w:r>
          </w:p>
        </w:tc>
        <w:tc>
          <w:tcPr>
            <w:tcW w:w="94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78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    历</w:t>
            </w:r>
          </w:p>
        </w:tc>
        <w:tc>
          <w:tcPr>
            <w:tcW w:w="2234" w:type="dxa"/>
            <w:vAlign w:val="center"/>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164" w:type="dxa"/>
            <w:gridSpan w:val="6"/>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p>
        </w:tc>
      </w:tr>
    </w:tbl>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兹证明上述声明是真实、正确的，并提供了全部能提供的资料和数据，我们同意遵照贵方要求出示有关证明文件。</w:t>
      </w:r>
    </w:p>
    <w:p>
      <w:pPr>
        <w:spacing w:line="360" w:lineRule="auto"/>
        <w:rPr>
          <w:rFonts w:ascii="宋体" w:hAnsi="宋体"/>
          <w:b/>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widowControl/>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 标 人（盖章）：</w:t>
      </w:r>
    </w:p>
    <w:p>
      <w:pPr>
        <w:pStyle w:val="18"/>
        <w:snapToGrid w:val="0"/>
        <w:spacing w:line="360" w:lineRule="auto"/>
        <w:ind w:firstLine="0"/>
        <w:rPr>
          <w:rFonts w:hAnsi="宋体"/>
          <w:color w:val="000000" w:themeColor="text1"/>
          <w:spacing w:val="0"/>
          <w:sz w:val="21"/>
          <w:szCs w:val="21"/>
          <w14:textFill>
            <w14:solidFill>
              <w14:schemeClr w14:val="tx1"/>
            </w14:solidFill>
          </w14:textFill>
        </w:rPr>
      </w:pPr>
      <w:r>
        <w:rPr>
          <w:rFonts w:hint="eastAsia" w:hAnsi="宋体"/>
          <w:color w:val="000000" w:themeColor="text1"/>
          <w:spacing w:val="0"/>
          <w:sz w:val="21"/>
          <w:szCs w:val="21"/>
          <w14:textFill>
            <w14:solidFill>
              <w14:schemeClr w14:val="tx1"/>
            </w14:solidFill>
          </w14:textFill>
        </w:rPr>
        <w:t>法定代表人或其授权代表（签字或盖章）：</w:t>
      </w:r>
    </w:p>
    <w:p>
      <w:pPr>
        <w:pStyle w:val="18"/>
        <w:widowControl/>
        <w:spacing w:line="360" w:lineRule="auto"/>
        <w:ind w:firstLine="0"/>
        <w:jc w:val="left"/>
        <w:rPr>
          <w:rFonts w:hAnsi="宋体"/>
          <w:color w:val="000000" w:themeColor="text1"/>
          <w:szCs w:val="21"/>
          <w14:textFill>
            <w14:solidFill>
              <w14:schemeClr w14:val="tx1"/>
            </w14:solidFill>
          </w14:textFill>
        </w:rPr>
      </w:pPr>
      <w:r>
        <w:rPr>
          <w:rFonts w:hint="eastAsia" w:hAnsi="宋体"/>
          <w:color w:val="000000" w:themeColor="text1"/>
          <w:spacing w:val="0"/>
          <w:sz w:val="21"/>
          <w:szCs w:val="21"/>
          <w14:textFill>
            <w14:solidFill>
              <w14:schemeClr w14:val="tx1"/>
            </w14:solidFill>
          </w14:textFill>
        </w:rPr>
        <w:t>日            期：</w:t>
      </w:r>
    </w:p>
    <w:p>
      <w:pPr>
        <w:spacing w:line="360" w:lineRule="auto"/>
        <w:rPr>
          <w:rFonts w:ascii="宋体" w:hAnsi="宋体"/>
          <w:color w:val="000000" w:themeColor="text1"/>
          <w:sz w:val="24"/>
          <w:szCs w:val="21"/>
          <w14:textFill>
            <w14:solidFill>
              <w14:schemeClr w14:val="tx1"/>
            </w14:solidFill>
          </w14:textFill>
        </w:rPr>
        <w:sectPr>
          <w:pgSz w:w="11907" w:h="16840"/>
          <w:pgMar w:top="1361" w:right="1474" w:bottom="1242" w:left="1474" w:header="720" w:footer="720" w:gutter="0"/>
          <w:cols w:space="720" w:num="1"/>
          <w:docGrid w:linePitch="285" w:charSpace="0"/>
        </w:sectPr>
      </w:pPr>
    </w:p>
    <w:p>
      <w:pPr>
        <w:pStyle w:val="18"/>
        <w:widowControl/>
        <w:spacing w:line="360" w:lineRule="auto"/>
        <w:ind w:firstLine="0"/>
        <w:jc w:val="left"/>
        <w:rPr>
          <w:rFonts w:hAnsi="宋体"/>
          <w:b/>
          <w:color w:val="000000" w:themeColor="text1"/>
          <w:sz w:val="21"/>
          <w:szCs w:val="21"/>
          <w14:textFill>
            <w14:solidFill>
              <w14:schemeClr w14:val="tx1"/>
            </w14:solidFill>
          </w14:textFill>
        </w:rPr>
      </w:pPr>
      <w:bookmarkStart w:id="224" w:name="_Toc460857952"/>
      <w:r>
        <w:rPr>
          <w:rFonts w:hint="eastAsia" w:hAnsi="宋体"/>
          <w:b/>
          <w:color w:val="000000" w:themeColor="text1"/>
          <w:sz w:val="21"/>
          <w:szCs w:val="21"/>
          <w14:textFill>
            <w14:solidFill>
              <w14:schemeClr w14:val="tx1"/>
            </w14:solidFill>
          </w14:textFill>
        </w:rPr>
        <w:t>格式</w:t>
      </w:r>
      <w:bookmarkEnd w:id="224"/>
      <w:r>
        <w:rPr>
          <w:rFonts w:hint="eastAsia" w:hAnsi="宋体"/>
          <w:b/>
          <w:color w:val="000000" w:themeColor="text1"/>
          <w:sz w:val="21"/>
          <w:szCs w:val="21"/>
          <w14:textFill>
            <w14:solidFill>
              <w14:schemeClr w14:val="tx1"/>
            </w14:solidFill>
          </w14:textFill>
        </w:rPr>
        <w:t>六：</w:t>
      </w:r>
      <w:r>
        <w:rPr>
          <w:rFonts w:hint="eastAsia" w:hAnsi="宋体"/>
          <w:color w:val="000000" w:themeColor="text1"/>
          <w:sz w:val="21"/>
          <w:szCs w:val="21"/>
          <w14:textFill>
            <w14:solidFill>
              <w14:schemeClr w14:val="tx1"/>
            </w14:solidFill>
          </w14:textFill>
        </w:rPr>
        <w:t>商务条款偏离表</w:t>
      </w:r>
    </w:p>
    <w:p>
      <w:pPr>
        <w:pStyle w:val="18"/>
        <w:spacing w:line="400" w:lineRule="exact"/>
        <w:ind w:left="711" w:leftChars="228" w:hanging="232" w:hangingChars="100"/>
        <w:rPr>
          <w:rFonts w:hAnsi="宋体"/>
          <w:color w:val="000000" w:themeColor="text1"/>
          <w:sz w:val="24"/>
          <w:szCs w:val="21"/>
          <w14:textFill>
            <w14:solidFill>
              <w14:schemeClr w14:val="tx1"/>
            </w14:solidFill>
          </w14:textFill>
        </w:rPr>
      </w:pPr>
    </w:p>
    <w:p>
      <w:pPr>
        <w:spacing w:line="360" w:lineRule="auto"/>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商务条款偏离表</w:t>
      </w:r>
    </w:p>
    <w:p>
      <w:pPr>
        <w:spacing w:line="360" w:lineRule="auto"/>
        <w:ind w:firstLine="3089"/>
        <w:rPr>
          <w:rFonts w:ascii="宋体" w:hAnsi="宋体"/>
          <w:b/>
          <w:color w:val="000000" w:themeColor="text1"/>
          <w:sz w:val="24"/>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项目名称： </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招标编号： </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子包：</w:t>
      </w:r>
    </w:p>
    <w:tbl>
      <w:tblPr>
        <w:tblStyle w:val="40"/>
        <w:tblW w:w="86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3062"/>
        <w:gridCol w:w="3151"/>
        <w:gridCol w:w="12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3062"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采购文件的商务条款</w:t>
            </w:r>
          </w:p>
        </w:tc>
        <w:tc>
          <w:tcPr>
            <w:tcW w:w="3151"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投标文件的商务条款</w:t>
            </w:r>
          </w:p>
        </w:tc>
        <w:tc>
          <w:tcPr>
            <w:tcW w:w="1243"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color w:val="000000" w:themeColor="text1"/>
                <w:sz w:val="24"/>
                <w14:textFill>
                  <w14:solidFill>
                    <w14:schemeClr w14:val="tx1"/>
                  </w14:solidFill>
                </w14:textFill>
              </w:rPr>
            </w:pPr>
          </w:p>
        </w:tc>
        <w:tc>
          <w:tcPr>
            <w:tcW w:w="3062" w:type="dxa"/>
            <w:vAlign w:val="center"/>
          </w:tcPr>
          <w:p>
            <w:pPr>
              <w:jc w:val="center"/>
              <w:rPr>
                <w:rFonts w:ascii="宋体" w:hAnsi="宋体"/>
                <w:color w:val="000000" w:themeColor="text1"/>
                <w:sz w:val="24"/>
                <w14:textFill>
                  <w14:solidFill>
                    <w14:schemeClr w14:val="tx1"/>
                  </w14:solidFill>
                </w14:textFill>
              </w:rPr>
            </w:pPr>
          </w:p>
        </w:tc>
        <w:tc>
          <w:tcPr>
            <w:tcW w:w="3151" w:type="dxa"/>
            <w:vAlign w:val="center"/>
          </w:tcPr>
          <w:p>
            <w:pPr>
              <w:jc w:val="center"/>
              <w:rPr>
                <w:rFonts w:ascii="宋体" w:hAnsi="宋体"/>
                <w:color w:val="000000" w:themeColor="text1"/>
                <w:sz w:val="24"/>
                <w14:textFill>
                  <w14:solidFill>
                    <w14:schemeClr w14:val="tx1"/>
                  </w14:solidFill>
                </w14:textFill>
              </w:rPr>
            </w:pPr>
          </w:p>
        </w:tc>
        <w:tc>
          <w:tcPr>
            <w:tcW w:w="1243" w:type="dxa"/>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color w:val="000000" w:themeColor="text1"/>
                <w:sz w:val="24"/>
                <w14:textFill>
                  <w14:solidFill>
                    <w14:schemeClr w14:val="tx1"/>
                  </w14:solidFill>
                </w14:textFill>
              </w:rPr>
            </w:pPr>
          </w:p>
        </w:tc>
        <w:tc>
          <w:tcPr>
            <w:tcW w:w="3062" w:type="dxa"/>
            <w:vAlign w:val="center"/>
          </w:tcPr>
          <w:p>
            <w:pPr>
              <w:jc w:val="center"/>
              <w:rPr>
                <w:rFonts w:ascii="宋体" w:hAnsi="宋体"/>
                <w:color w:val="000000" w:themeColor="text1"/>
                <w:sz w:val="24"/>
                <w14:textFill>
                  <w14:solidFill>
                    <w14:schemeClr w14:val="tx1"/>
                  </w14:solidFill>
                </w14:textFill>
              </w:rPr>
            </w:pPr>
          </w:p>
        </w:tc>
        <w:tc>
          <w:tcPr>
            <w:tcW w:w="3151" w:type="dxa"/>
            <w:vAlign w:val="center"/>
          </w:tcPr>
          <w:p>
            <w:pPr>
              <w:jc w:val="center"/>
              <w:rPr>
                <w:rFonts w:ascii="宋体" w:hAnsi="宋体"/>
                <w:color w:val="000000" w:themeColor="text1"/>
                <w:sz w:val="24"/>
                <w14:textFill>
                  <w14:solidFill>
                    <w14:schemeClr w14:val="tx1"/>
                  </w14:solidFill>
                </w14:textFill>
              </w:rPr>
            </w:pPr>
          </w:p>
        </w:tc>
        <w:tc>
          <w:tcPr>
            <w:tcW w:w="1243" w:type="dxa"/>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color w:val="000000" w:themeColor="text1"/>
                <w:sz w:val="24"/>
                <w14:textFill>
                  <w14:solidFill>
                    <w14:schemeClr w14:val="tx1"/>
                  </w14:solidFill>
                </w14:textFill>
              </w:rPr>
            </w:pPr>
          </w:p>
        </w:tc>
        <w:tc>
          <w:tcPr>
            <w:tcW w:w="3062" w:type="dxa"/>
            <w:vAlign w:val="center"/>
          </w:tcPr>
          <w:p>
            <w:pPr>
              <w:jc w:val="center"/>
              <w:rPr>
                <w:rFonts w:ascii="宋体" w:hAnsi="宋体"/>
                <w:color w:val="000000" w:themeColor="text1"/>
                <w:sz w:val="24"/>
                <w14:textFill>
                  <w14:solidFill>
                    <w14:schemeClr w14:val="tx1"/>
                  </w14:solidFill>
                </w14:textFill>
              </w:rPr>
            </w:pPr>
          </w:p>
        </w:tc>
        <w:tc>
          <w:tcPr>
            <w:tcW w:w="3151" w:type="dxa"/>
            <w:vAlign w:val="center"/>
          </w:tcPr>
          <w:p>
            <w:pPr>
              <w:jc w:val="center"/>
              <w:rPr>
                <w:rFonts w:ascii="宋体" w:hAnsi="宋体"/>
                <w:color w:val="000000" w:themeColor="text1"/>
                <w:sz w:val="24"/>
                <w14:textFill>
                  <w14:solidFill>
                    <w14:schemeClr w14:val="tx1"/>
                  </w14:solidFill>
                </w14:textFill>
              </w:rPr>
            </w:pPr>
          </w:p>
        </w:tc>
        <w:tc>
          <w:tcPr>
            <w:tcW w:w="1243" w:type="dxa"/>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color w:val="000000" w:themeColor="text1"/>
                <w:sz w:val="24"/>
                <w14:textFill>
                  <w14:solidFill>
                    <w14:schemeClr w14:val="tx1"/>
                  </w14:solidFill>
                </w14:textFill>
              </w:rPr>
            </w:pPr>
          </w:p>
        </w:tc>
        <w:tc>
          <w:tcPr>
            <w:tcW w:w="3062" w:type="dxa"/>
            <w:vAlign w:val="center"/>
          </w:tcPr>
          <w:p>
            <w:pPr>
              <w:jc w:val="center"/>
              <w:rPr>
                <w:rFonts w:ascii="宋体" w:hAnsi="宋体"/>
                <w:color w:val="000000" w:themeColor="text1"/>
                <w:sz w:val="24"/>
                <w14:textFill>
                  <w14:solidFill>
                    <w14:schemeClr w14:val="tx1"/>
                  </w14:solidFill>
                </w14:textFill>
              </w:rPr>
            </w:pPr>
          </w:p>
        </w:tc>
        <w:tc>
          <w:tcPr>
            <w:tcW w:w="3151" w:type="dxa"/>
            <w:vAlign w:val="center"/>
          </w:tcPr>
          <w:p>
            <w:pPr>
              <w:jc w:val="center"/>
              <w:rPr>
                <w:rFonts w:ascii="宋体" w:hAnsi="宋体"/>
                <w:color w:val="000000" w:themeColor="text1"/>
                <w:sz w:val="24"/>
                <w14:textFill>
                  <w14:solidFill>
                    <w14:schemeClr w14:val="tx1"/>
                  </w14:solidFill>
                </w14:textFill>
              </w:rPr>
            </w:pPr>
          </w:p>
        </w:tc>
        <w:tc>
          <w:tcPr>
            <w:tcW w:w="1243" w:type="dxa"/>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color w:val="000000" w:themeColor="text1"/>
                <w:sz w:val="24"/>
                <w14:textFill>
                  <w14:solidFill>
                    <w14:schemeClr w14:val="tx1"/>
                  </w14:solidFill>
                </w14:textFill>
              </w:rPr>
            </w:pPr>
          </w:p>
        </w:tc>
        <w:tc>
          <w:tcPr>
            <w:tcW w:w="3062" w:type="dxa"/>
            <w:vAlign w:val="center"/>
          </w:tcPr>
          <w:p>
            <w:pPr>
              <w:jc w:val="center"/>
              <w:rPr>
                <w:rFonts w:ascii="宋体" w:hAnsi="宋体"/>
                <w:color w:val="000000" w:themeColor="text1"/>
                <w:sz w:val="24"/>
                <w14:textFill>
                  <w14:solidFill>
                    <w14:schemeClr w14:val="tx1"/>
                  </w14:solidFill>
                </w14:textFill>
              </w:rPr>
            </w:pPr>
          </w:p>
        </w:tc>
        <w:tc>
          <w:tcPr>
            <w:tcW w:w="3151" w:type="dxa"/>
            <w:vAlign w:val="center"/>
          </w:tcPr>
          <w:p>
            <w:pPr>
              <w:jc w:val="center"/>
              <w:rPr>
                <w:rFonts w:ascii="宋体" w:hAnsi="宋体"/>
                <w:color w:val="000000" w:themeColor="text1"/>
                <w:sz w:val="24"/>
                <w14:textFill>
                  <w14:solidFill>
                    <w14:schemeClr w14:val="tx1"/>
                  </w14:solidFill>
                </w14:textFill>
              </w:rPr>
            </w:pPr>
          </w:p>
        </w:tc>
        <w:tc>
          <w:tcPr>
            <w:tcW w:w="1243" w:type="dxa"/>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color w:val="000000" w:themeColor="text1"/>
                <w:sz w:val="24"/>
                <w14:textFill>
                  <w14:solidFill>
                    <w14:schemeClr w14:val="tx1"/>
                  </w14:solidFill>
                </w14:textFill>
              </w:rPr>
            </w:pPr>
          </w:p>
        </w:tc>
        <w:tc>
          <w:tcPr>
            <w:tcW w:w="3062" w:type="dxa"/>
            <w:vAlign w:val="center"/>
          </w:tcPr>
          <w:p>
            <w:pPr>
              <w:jc w:val="center"/>
              <w:rPr>
                <w:rFonts w:ascii="宋体" w:hAnsi="宋体"/>
                <w:color w:val="000000" w:themeColor="text1"/>
                <w:sz w:val="24"/>
                <w14:textFill>
                  <w14:solidFill>
                    <w14:schemeClr w14:val="tx1"/>
                  </w14:solidFill>
                </w14:textFill>
              </w:rPr>
            </w:pPr>
          </w:p>
        </w:tc>
        <w:tc>
          <w:tcPr>
            <w:tcW w:w="3151" w:type="dxa"/>
            <w:vAlign w:val="center"/>
          </w:tcPr>
          <w:p>
            <w:pPr>
              <w:jc w:val="center"/>
              <w:rPr>
                <w:rFonts w:ascii="宋体" w:hAnsi="宋体"/>
                <w:color w:val="000000" w:themeColor="text1"/>
                <w:sz w:val="24"/>
                <w14:textFill>
                  <w14:solidFill>
                    <w14:schemeClr w14:val="tx1"/>
                  </w14:solidFill>
                </w14:textFill>
              </w:rPr>
            </w:pPr>
          </w:p>
        </w:tc>
        <w:tc>
          <w:tcPr>
            <w:tcW w:w="1243" w:type="dxa"/>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color w:val="000000" w:themeColor="text1"/>
                <w:sz w:val="24"/>
                <w14:textFill>
                  <w14:solidFill>
                    <w14:schemeClr w14:val="tx1"/>
                  </w14:solidFill>
                </w14:textFill>
              </w:rPr>
            </w:pPr>
          </w:p>
        </w:tc>
        <w:tc>
          <w:tcPr>
            <w:tcW w:w="3062" w:type="dxa"/>
            <w:vAlign w:val="center"/>
          </w:tcPr>
          <w:p>
            <w:pPr>
              <w:jc w:val="center"/>
              <w:rPr>
                <w:rFonts w:ascii="宋体" w:hAnsi="宋体"/>
                <w:color w:val="000000" w:themeColor="text1"/>
                <w:sz w:val="24"/>
                <w14:textFill>
                  <w14:solidFill>
                    <w14:schemeClr w14:val="tx1"/>
                  </w14:solidFill>
                </w14:textFill>
              </w:rPr>
            </w:pPr>
          </w:p>
        </w:tc>
        <w:tc>
          <w:tcPr>
            <w:tcW w:w="3151" w:type="dxa"/>
            <w:vAlign w:val="center"/>
          </w:tcPr>
          <w:p>
            <w:pPr>
              <w:jc w:val="center"/>
              <w:rPr>
                <w:rFonts w:ascii="宋体" w:hAnsi="宋体"/>
                <w:color w:val="000000" w:themeColor="text1"/>
                <w:sz w:val="24"/>
                <w14:textFill>
                  <w14:solidFill>
                    <w14:schemeClr w14:val="tx1"/>
                  </w14:solidFill>
                </w14:textFill>
              </w:rPr>
            </w:pPr>
          </w:p>
        </w:tc>
        <w:tc>
          <w:tcPr>
            <w:tcW w:w="1243" w:type="dxa"/>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color w:val="000000" w:themeColor="text1"/>
                <w:sz w:val="24"/>
                <w14:textFill>
                  <w14:solidFill>
                    <w14:schemeClr w14:val="tx1"/>
                  </w14:solidFill>
                </w14:textFill>
              </w:rPr>
            </w:pPr>
          </w:p>
        </w:tc>
        <w:tc>
          <w:tcPr>
            <w:tcW w:w="3062" w:type="dxa"/>
            <w:vAlign w:val="center"/>
          </w:tcPr>
          <w:p>
            <w:pPr>
              <w:jc w:val="center"/>
              <w:rPr>
                <w:rFonts w:ascii="宋体" w:hAnsi="宋体"/>
                <w:color w:val="000000" w:themeColor="text1"/>
                <w:sz w:val="24"/>
                <w14:textFill>
                  <w14:solidFill>
                    <w14:schemeClr w14:val="tx1"/>
                  </w14:solidFill>
                </w14:textFill>
              </w:rPr>
            </w:pPr>
          </w:p>
        </w:tc>
        <w:tc>
          <w:tcPr>
            <w:tcW w:w="3151" w:type="dxa"/>
            <w:vAlign w:val="center"/>
          </w:tcPr>
          <w:p>
            <w:pPr>
              <w:jc w:val="center"/>
              <w:rPr>
                <w:rFonts w:ascii="宋体" w:hAnsi="宋体"/>
                <w:color w:val="000000" w:themeColor="text1"/>
                <w:sz w:val="24"/>
                <w14:textFill>
                  <w14:solidFill>
                    <w14:schemeClr w14:val="tx1"/>
                  </w14:solidFill>
                </w14:textFill>
              </w:rPr>
            </w:pPr>
          </w:p>
        </w:tc>
        <w:tc>
          <w:tcPr>
            <w:tcW w:w="1243" w:type="dxa"/>
            <w:vAlign w:val="center"/>
          </w:tcPr>
          <w:p>
            <w:pPr>
              <w:jc w:val="center"/>
              <w:rPr>
                <w:rFonts w:ascii="宋体" w:hAnsi="宋体"/>
                <w:color w:val="000000" w:themeColor="text1"/>
                <w:sz w:val="24"/>
                <w14:textFill>
                  <w14:solidFill>
                    <w14:schemeClr w14:val="tx1"/>
                  </w14:solidFill>
                </w14:textFill>
              </w:rPr>
            </w:pPr>
          </w:p>
        </w:tc>
      </w:tr>
    </w:tbl>
    <w:p>
      <w:pPr>
        <w:pStyle w:val="18"/>
        <w:spacing w:line="360" w:lineRule="auto"/>
        <w:ind w:left="404" w:hanging="404" w:hanging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注：1、按采购文件第二章中商务要求内容进行填写。若无偏离可在本表空白处醒目地注明“无商务条款偏离”的字样。</w:t>
      </w:r>
    </w:p>
    <w:p>
      <w:pPr>
        <w:widowControl/>
        <w:spacing w:line="360" w:lineRule="auto"/>
        <w:jc w:val="left"/>
        <w:rPr>
          <w:rFonts w:ascii="宋体" w:hAnsi="宋体"/>
          <w:color w:val="000000" w:themeColor="text1"/>
          <w:sz w:val="24"/>
          <w14:textFill>
            <w14:solidFill>
              <w14:schemeClr w14:val="tx1"/>
            </w14:solidFill>
          </w14:textFill>
        </w:rPr>
      </w:pPr>
    </w:p>
    <w:p>
      <w:pPr>
        <w:widowControl/>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 标 人（盖章）：</w:t>
      </w:r>
    </w:p>
    <w:p>
      <w:pPr>
        <w:pStyle w:val="18"/>
        <w:snapToGrid w:val="0"/>
        <w:spacing w:line="360" w:lineRule="auto"/>
        <w:ind w:firstLine="0"/>
        <w:rPr>
          <w:rFonts w:hAnsi="宋体"/>
          <w:color w:val="000000" w:themeColor="text1"/>
          <w:spacing w:val="0"/>
          <w:sz w:val="21"/>
          <w:szCs w:val="24"/>
          <w14:textFill>
            <w14:solidFill>
              <w14:schemeClr w14:val="tx1"/>
            </w14:solidFill>
          </w14:textFill>
        </w:rPr>
      </w:pPr>
      <w:r>
        <w:rPr>
          <w:rFonts w:hint="eastAsia" w:hAnsi="宋体"/>
          <w:color w:val="000000" w:themeColor="text1"/>
          <w:spacing w:val="0"/>
          <w:sz w:val="21"/>
          <w:szCs w:val="24"/>
          <w14:textFill>
            <w14:solidFill>
              <w14:schemeClr w14:val="tx1"/>
            </w14:solidFill>
          </w14:textFill>
        </w:rPr>
        <w:t>法定代表人或其授权代表（签字或盖章）：</w:t>
      </w:r>
    </w:p>
    <w:p>
      <w:pPr>
        <w:pStyle w:val="18"/>
        <w:widowControl/>
        <w:spacing w:line="360" w:lineRule="auto"/>
        <w:ind w:firstLine="0"/>
        <w:jc w:val="left"/>
        <w:rPr>
          <w:rFonts w:hAnsi="宋体"/>
          <w:b/>
          <w:color w:val="000000" w:themeColor="text1"/>
          <w14:textFill>
            <w14:solidFill>
              <w14:schemeClr w14:val="tx1"/>
            </w14:solidFill>
          </w14:textFill>
        </w:rPr>
      </w:pPr>
      <w:r>
        <w:rPr>
          <w:rFonts w:hint="eastAsia" w:hAnsi="宋体"/>
          <w:color w:val="000000" w:themeColor="text1"/>
          <w:spacing w:val="0"/>
          <w:sz w:val="21"/>
          <w:szCs w:val="24"/>
          <w14:textFill>
            <w14:solidFill>
              <w14:schemeClr w14:val="tx1"/>
            </w14:solidFill>
          </w14:textFill>
        </w:rPr>
        <w:t>日  期：</w:t>
      </w:r>
      <w:bookmarkStart w:id="225" w:name="_Toc460857953"/>
      <w:r>
        <w:rPr>
          <w:rFonts w:hAnsi="宋体"/>
          <w:b/>
          <w:color w:val="000000" w:themeColor="text1"/>
          <w14:textFill>
            <w14:solidFill>
              <w14:schemeClr w14:val="tx1"/>
            </w14:solidFill>
          </w14:textFill>
        </w:rPr>
        <w:br w:type="page"/>
      </w:r>
    </w:p>
    <w:p>
      <w:pP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格式七：</w:t>
      </w:r>
      <w:bookmarkEnd w:id="225"/>
      <w:r>
        <w:rPr>
          <w:rFonts w:hint="eastAsia" w:ascii="宋体" w:hAnsi="宋体"/>
          <w:color w:val="000000" w:themeColor="text1"/>
          <w:szCs w:val="21"/>
          <w14:textFill>
            <w14:solidFill>
              <w14:schemeClr w14:val="tx1"/>
            </w14:solidFill>
          </w14:textFill>
        </w:rPr>
        <w:t>投标产品概况</w:t>
      </w:r>
    </w:p>
    <w:p>
      <w:pPr>
        <w:snapToGrid w:val="0"/>
        <w:spacing w:before="120" w:beforeLines="50" w:after="50"/>
        <w:rPr>
          <w:rFonts w:ascii="宋体" w:hAnsi="宋体"/>
          <w:color w:val="000000" w:themeColor="text1"/>
          <w:szCs w:val="21"/>
          <w14:textFill>
            <w14:solidFill>
              <w14:schemeClr w14:val="tx1"/>
            </w14:solidFill>
          </w14:textFill>
        </w:rPr>
      </w:pPr>
    </w:p>
    <w:p>
      <w:pPr>
        <w:snapToGrid w:val="0"/>
        <w:spacing w:line="360" w:lineRule="auto"/>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投标产品概况</w:t>
      </w:r>
    </w:p>
    <w:tbl>
      <w:tblPr>
        <w:tblStyle w:val="40"/>
        <w:tblW w:w="81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60"/>
        <w:gridCol w:w="8"/>
        <w:gridCol w:w="1186"/>
        <w:gridCol w:w="1649"/>
        <w:gridCol w:w="1020"/>
        <w:gridCol w:w="345"/>
        <w:gridCol w:w="945"/>
        <w:gridCol w:w="10"/>
        <w:gridCol w:w="830"/>
        <w:gridCol w:w="12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56" w:hRule="exact"/>
          <w:jc w:val="center"/>
        </w:trPr>
        <w:tc>
          <w:tcPr>
            <w:tcW w:w="868" w:type="dxa"/>
            <w:gridSpan w:val="2"/>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子包</w:t>
            </w:r>
          </w:p>
        </w:tc>
        <w:tc>
          <w:tcPr>
            <w:tcW w:w="1186" w:type="dxa"/>
            <w:vAlign w:val="center"/>
          </w:tcPr>
          <w:p>
            <w:pPr>
              <w:jc w:val="center"/>
              <w:rPr>
                <w:rFonts w:ascii="宋体" w:hAnsi="宋体"/>
                <w:color w:val="000000" w:themeColor="text1"/>
                <w:szCs w:val="21"/>
                <w14:textFill>
                  <w14:solidFill>
                    <w14:schemeClr w14:val="tx1"/>
                  </w14:solidFill>
                </w14:textFill>
              </w:rPr>
            </w:pPr>
          </w:p>
        </w:tc>
        <w:tc>
          <w:tcPr>
            <w:tcW w:w="1649"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产品名称</w:t>
            </w:r>
          </w:p>
        </w:tc>
        <w:tc>
          <w:tcPr>
            <w:tcW w:w="2310" w:type="dxa"/>
            <w:gridSpan w:val="3"/>
            <w:vAlign w:val="center"/>
          </w:tcPr>
          <w:p>
            <w:pPr>
              <w:jc w:val="center"/>
              <w:rPr>
                <w:rFonts w:ascii="宋体" w:hAnsi="宋体"/>
                <w:color w:val="000000" w:themeColor="text1"/>
                <w:szCs w:val="21"/>
                <w14:textFill>
                  <w14:solidFill>
                    <w14:schemeClr w14:val="tx1"/>
                  </w14:solidFill>
                </w14:textFill>
              </w:rPr>
            </w:pPr>
          </w:p>
        </w:tc>
        <w:tc>
          <w:tcPr>
            <w:tcW w:w="840" w:type="dxa"/>
            <w:gridSpan w:val="2"/>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版本</w:t>
            </w:r>
          </w:p>
        </w:tc>
        <w:tc>
          <w:tcPr>
            <w:tcW w:w="1275" w:type="dxa"/>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54" w:hRule="exact"/>
          <w:jc w:val="center"/>
        </w:trPr>
        <w:tc>
          <w:tcPr>
            <w:tcW w:w="2054" w:type="dxa"/>
            <w:gridSpan w:val="3"/>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货物投放市场年份</w:t>
            </w:r>
          </w:p>
        </w:tc>
        <w:tc>
          <w:tcPr>
            <w:tcW w:w="1649" w:type="dxa"/>
            <w:vAlign w:val="center"/>
          </w:tcPr>
          <w:p>
            <w:pPr>
              <w:jc w:val="center"/>
              <w:rPr>
                <w:rFonts w:ascii="宋体" w:hAnsi="宋体"/>
                <w:color w:val="000000" w:themeColor="text1"/>
                <w:szCs w:val="21"/>
                <w14:textFill>
                  <w14:solidFill>
                    <w14:schemeClr w14:val="tx1"/>
                  </w14:solidFill>
                </w14:textFill>
              </w:rPr>
            </w:pPr>
          </w:p>
        </w:tc>
        <w:tc>
          <w:tcPr>
            <w:tcW w:w="1365" w:type="dxa"/>
            <w:gridSpan w:val="2"/>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制造商</w:t>
            </w:r>
          </w:p>
        </w:tc>
        <w:tc>
          <w:tcPr>
            <w:tcW w:w="3060" w:type="dxa"/>
            <w:gridSpan w:val="4"/>
            <w:vAlign w:val="center"/>
          </w:tcPr>
          <w:p>
            <w:pP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60"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近</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业</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绩</w:t>
            </w:r>
          </w:p>
        </w:tc>
        <w:tc>
          <w:tcPr>
            <w:tcW w:w="2843" w:type="dxa"/>
            <w:gridSpan w:val="3"/>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用 户 名</w:t>
            </w:r>
          </w:p>
        </w:tc>
        <w:tc>
          <w:tcPr>
            <w:tcW w:w="102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数量</w:t>
            </w:r>
          </w:p>
        </w:tc>
        <w:tc>
          <w:tcPr>
            <w:tcW w:w="1300" w:type="dxa"/>
            <w:gridSpan w:val="3"/>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合同年份</w:t>
            </w:r>
          </w:p>
        </w:tc>
        <w:tc>
          <w:tcPr>
            <w:tcW w:w="2105" w:type="dxa"/>
            <w:gridSpan w:val="2"/>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 系 电 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65" w:hRule="atLeast"/>
          <w:jc w:val="center"/>
        </w:trPr>
        <w:tc>
          <w:tcPr>
            <w:tcW w:w="860" w:type="dxa"/>
            <w:vMerge w:val="continue"/>
            <w:tcBorders>
              <w:bottom w:val="single" w:color="auto" w:sz="2" w:space="0"/>
            </w:tcBorders>
            <w:vAlign w:val="center"/>
          </w:tcPr>
          <w:p>
            <w:pPr>
              <w:rPr>
                <w:rFonts w:ascii="宋体" w:hAnsi="宋体"/>
                <w:color w:val="000000" w:themeColor="text1"/>
                <w14:textFill>
                  <w14:solidFill>
                    <w14:schemeClr w14:val="tx1"/>
                  </w14:solidFill>
                </w14:textFill>
              </w:rPr>
            </w:pPr>
          </w:p>
        </w:tc>
        <w:tc>
          <w:tcPr>
            <w:tcW w:w="2843" w:type="dxa"/>
            <w:gridSpan w:val="3"/>
            <w:tcBorders>
              <w:bottom w:val="single" w:color="auto" w:sz="2" w:space="0"/>
            </w:tcBorders>
            <w:vAlign w:val="center"/>
          </w:tcPr>
          <w:p>
            <w:pPr>
              <w:jc w:val="center"/>
              <w:rPr>
                <w:rFonts w:ascii="宋体" w:hAnsi="宋体"/>
                <w:color w:val="000000" w:themeColor="text1"/>
                <w:szCs w:val="21"/>
                <w14:textFill>
                  <w14:solidFill>
                    <w14:schemeClr w14:val="tx1"/>
                  </w14:solidFill>
                </w14:textFill>
              </w:rPr>
            </w:pPr>
          </w:p>
        </w:tc>
        <w:tc>
          <w:tcPr>
            <w:tcW w:w="1020" w:type="dxa"/>
            <w:tcBorders>
              <w:bottom w:val="single" w:color="auto" w:sz="2" w:space="0"/>
            </w:tcBorders>
            <w:vAlign w:val="center"/>
          </w:tcPr>
          <w:p>
            <w:pPr>
              <w:rPr>
                <w:rFonts w:ascii="宋体" w:hAnsi="宋体"/>
                <w:color w:val="000000" w:themeColor="text1"/>
                <w:szCs w:val="21"/>
                <w14:textFill>
                  <w14:solidFill>
                    <w14:schemeClr w14:val="tx1"/>
                  </w14:solidFill>
                </w14:textFill>
              </w:rPr>
            </w:pPr>
          </w:p>
        </w:tc>
        <w:tc>
          <w:tcPr>
            <w:tcW w:w="1300" w:type="dxa"/>
            <w:gridSpan w:val="3"/>
            <w:tcBorders>
              <w:bottom w:val="single" w:color="auto" w:sz="2" w:space="0"/>
            </w:tcBorders>
            <w:vAlign w:val="center"/>
          </w:tcPr>
          <w:p>
            <w:pPr>
              <w:rPr>
                <w:rFonts w:ascii="宋体" w:hAnsi="宋体"/>
                <w:color w:val="000000" w:themeColor="text1"/>
                <w:szCs w:val="21"/>
                <w14:textFill>
                  <w14:solidFill>
                    <w14:schemeClr w14:val="tx1"/>
                  </w14:solidFill>
                </w14:textFill>
              </w:rPr>
            </w:pPr>
          </w:p>
        </w:tc>
        <w:tc>
          <w:tcPr>
            <w:tcW w:w="2105" w:type="dxa"/>
            <w:gridSpan w:val="2"/>
            <w:tcBorders>
              <w:bottom w:val="single" w:color="auto" w:sz="2" w:space="0"/>
            </w:tcBorders>
            <w:vAlign w:val="center"/>
          </w:tcPr>
          <w:p>
            <w:pP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65" w:hRule="atLeast"/>
          <w:jc w:val="center"/>
        </w:trPr>
        <w:tc>
          <w:tcPr>
            <w:tcW w:w="3703" w:type="dxa"/>
            <w:gridSpan w:val="4"/>
            <w:tcBorders>
              <w:top w:val="single" w:color="auto" w:sz="2" w:space="0"/>
              <w:bottom w:val="single" w:color="auto" w:sz="2"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主要部件名称、</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生产国家、厂家和型号规格</w:t>
            </w:r>
          </w:p>
        </w:tc>
        <w:tc>
          <w:tcPr>
            <w:tcW w:w="4425" w:type="dxa"/>
            <w:gridSpan w:val="6"/>
            <w:tcBorders>
              <w:top w:val="single" w:color="auto" w:sz="2" w:space="0"/>
              <w:bottom w:val="single" w:color="auto" w:sz="2" w:space="0"/>
            </w:tcBorders>
            <w:vAlign w:val="center"/>
          </w:tcPr>
          <w:p>
            <w:pP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65" w:hRule="atLeast"/>
          <w:jc w:val="center"/>
        </w:trPr>
        <w:tc>
          <w:tcPr>
            <w:tcW w:w="3703" w:type="dxa"/>
            <w:gridSpan w:val="4"/>
            <w:tcBorders>
              <w:top w:val="single" w:color="auto" w:sz="2"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货物的主要优点、</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特性，是否含专利权 </w:t>
            </w:r>
          </w:p>
        </w:tc>
        <w:tc>
          <w:tcPr>
            <w:tcW w:w="4425" w:type="dxa"/>
            <w:gridSpan w:val="6"/>
            <w:tcBorders>
              <w:top w:val="single" w:color="auto" w:sz="2" w:space="0"/>
            </w:tcBorders>
            <w:vAlign w:val="center"/>
          </w:tcPr>
          <w:p>
            <w:pPr>
              <w:rPr>
                <w:rFonts w:ascii="宋体" w:hAnsi="宋体"/>
                <w:color w:val="000000" w:themeColor="text1"/>
                <w:szCs w:val="21"/>
                <w14:textFill>
                  <w14:solidFill>
                    <w14:schemeClr w14:val="tx1"/>
                  </w14:solidFill>
                </w14:textFill>
              </w:rPr>
            </w:pPr>
          </w:p>
        </w:tc>
      </w:tr>
    </w:tbl>
    <w:p>
      <w:pPr>
        <w:snapToGrid w:val="0"/>
        <w:rPr>
          <w:rFonts w:ascii="宋体" w:hAnsi="宋体"/>
          <w:b/>
          <w:color w:val="000000" w:themeColor="text1"/>
          <w:szCs w:val="21"/>
          <w14:textFill>
            <w14:solidFill>
              <w14:schemeClr w14:val="tx1"/>
            </w14:solidFill>
          </w14:textFill>
        </w:rPr>
      </w:pPr>
    </w:p>
    <w:p>
      <w:pPr>
        <w:rPr>
          <w:rFonts w:ascii="宋体" w:hAnsi="宋体"/>
          <w:b/>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注：此表由投标人按报价产品情况如实填写。</w:t>
      </w:r>
      <w:r>
        <w:rPr>
          <w:rFonts w:hint="eastAsia" w:ascii="宋体" w:hAnsi="宋体"/>
          <w:color w:val="000000" w:themeColor="text1"/>
          <w14:textFill>
            <w14:solidFill>
              <w14:schemeClr w14:val="tx1"/>
            </w14:solidFill>
          </w14:textFill>
        </w:rPr>
        <w:br w:type="page"/>
      </w:r>
    </w:p>
    <w:p>
      <w:pPr>
        <w:rPr>
          <w:rStyle w:val="51"/>
          <w:rFonts w:ascii="宋体" w:hAnsi="宋体"/>
          <w:color w:val="000000" w:themeColor="text1"/>
          <w:sz w:val="21"/>
          <w:szCs w:val="21"/>
          <w14:textFill>
            <w14:solidFill>
              <w14:schemeClr w14:val="tx1"/>
            </w14:solidFill>
          </w14:textFill>
        </w:rPr>
      </w:pPr>
      <w:bookmarkStart w:id="226" w:name="_Toc460857955"/>
      <w:r>
        <w:rPr>
          <w:rFonts w:hint="eastAsia" w:ascii="宋体" w:hAnsi="宋体"/>
          <w:b/>
          <w:color w:val="000000" w:themeColor="text1"/>
          <w14:textFill>
            <w14:solidFill>
              <w14:schemeClr w14:val="tx1"/>
            </w14:solidFill>
          </w14:textFill>
        </w:rPr>
        <w:t>格式八：</w:t>
      </w:r>
      <w:r>
        <w:rPr>
          <w:rFonts w:hint="eastAsia" w:ascii="宋体" w:hAnsi="宋体"/>
          <w:color w:val="000000" w:themeColor="text1"/>
          <w:szCs w:val="21"/>
          <w14:textFill>
            <w14:solidFill>
              <w14:schemeClr w14:val="tx1"/>
            </w14:solidFill>
          </w14:textFill>
        </w:rPr>
        <w:t>投标产品技术规格响应表</w:t>
      </w:r>
    </w:p>
    <w:p>
      <w:pPr>
        <w:snapToGrid w:val="0"/>
        <w:spacing w:line="360" w:lineRule="auto"/>
        <w:jc w:val="center"/>
        <w:rPr>
          <w:rFonts w:ascii="宋体" w:hAnsi="宋体"/>
          <w:b/>
          <w:color w:val="000000" w:themeColor="text1"/>
          <w:sz w:val="24"/>
          <w:szCs w:val="21"/>
          <w14:textFill>
            <w14:solidFill>
              <w14:schemeClr w14:val="tx1"/>
            </w14:solidFill>
          </w14:textFill>
        </w:rPr>
      </w:pPr>
    </w:p>
    <w:p>
      <w:pPr>
        <w:snapToGrid w:val="0"/>
        <w:spacing w:line="360" w:lineRule="auto"/>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投标产品技术规格响应表</w:t>
      </w:r>
    </w:p>
    <w:p>
      <w:p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项目名称：  </w:t>
      </w:r>
    </w:p>
    <w:p>
      <w:p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招标编号： </w:t>
      </w:r>
    </w:p>
    <w:p>
      <w:pPr>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子包：</w:t>
      </w:r>
    </w:p>
    <w:tbl>
      <w:tblPr>
        <w:tblStyle w:val="40"/>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2892"/>
        <w:gridCol w:w="2410"/>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1185" w:type="dxa"/>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2892" w:type="dxa"/>
            <w:vAlign w:val="center"/>
          </w:tcPr>
          <w:p>
            <w:pPr>
              <w:spacing w:line="400" w:lineRule="exact"/>
              <w:jc w:val="center"/>
              <w:rPr>
                <w:rFonts w:ascii="宋体" w:hAnsi="宋体"/>
                <w:color w:val="000000" w:themeColor="text1"/>
                <w14:textFill>
                  <w14:solidFill>
                    <w14:schemeClr w14:val="tx1"/>
                  </w14:solidFill>
                </w14:textFill>
              </w:rPr>
            </w:pPr>
            <w:r>
              <w:rPr>
                <w:rFonts w:hint="eastAsia" w:ascii="宋体" w:hAnsi="宋体"/>
                <w:b/>
                <w:bCs/>
                <w:color w:val="000000" w:themeColor="text1"/>
                <w:szCs w:val="21"/>
                <w14:textFill>
                  <w14:solidFill>
                    <w14:schemeClr w14:val="tx1"/>
                  </w14:solidFill>
                </w14:textFill>
              </w:rPr>
              <w:t>招标要求</w:t>
            </w:r>
          </w:p>
        </w:tc>
        <w:tc>
          <w:tcPr>
            <w:tcW w:w="2410"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投标响应</w:t>
            </w:r>
          </w:p>
        </w:tc>
        <w:tc>
          <w:tcPr>
            <w:tcW w:w="2410"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185" w:type="dxa"/>
            <w:vAlign w:val="center"/>
          </w:tcPr>
          <w:p>
            <w:pPr>
              <w:widowControl/>
              <w:tabs>
                <w:tab w:val="left" w:pos="180"/>
                <w:tab w:val="left" w:pos="540"/>
              </w:tabs>
              <w:spacing w:line="400" w:lineRule="exact"/>
              <w:jc w:val="center"/>
              <w:rPr>
                <w:rFonts w:ascii="宋体" w:hAnsi="宋体"/>
                <w:color w:val="000000" w:themeColor="text1"/>
                <w14:textFill>
                  <w14:solidFill>
                    <w14:schemeClr w14:val="tx1"/>
                  </w14:solidFill>
                </w14:textFill>
              </w:rPr>
            </w:pPr>
          </w:p>
        </w:tc>
        <w:tc>
          <w:tcPr>
            <w:tcW w:w="2892" w:type="dxa"/>
          </w:tcPr>
          <w:p>
            <w:pPr>
              <w:widowControl/>
              <w:tabs>
                <w:tab w:val="left" w:pos="180"/>
                <w:tab w:val="left" w:pos="540"/>
              </w:tabs>
              <w:spacing w:line="400" w:lineRule="exact"/>
              <w:jc w:val="lef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rPr>
                <w:rFonts w:ascii="宋体" w:hAnsi="宋体"/>
                <w:color w:val="000000" w:themeColor="text1"/>
                <w14:textFill>
                  <w14:solidFill>
                    <w14:schemeClr w14:val="tx1"/>
                  </w14:solidFill>
                </w14:textFill>
              </w:rPr>
            </w:pPr>
          </w:p>
        </w:tc>
        <w:tc>
          <w:tcPr>
            <w:tcW w:w="2892" w:type="dxa"/>
            <w:vAlign w:val="center"/>
          </w:tcPr>
          <w:p>
            <w:pPr>
              <w:widowControl/>
              <w:tabs>
                <w:tab w:val="left" w:pos="180"/>
                <w:tab w:val="left" w:pos="540"/>
              </w:tabs>
              <w:spacing w:line="400" w:lineRule="exact"/>
              <w:jc w:val="lef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rPr>
                <w:rFonts w:ascii="宋体" w:hAnsi="宋体"/>
                <w:color w:val="000000" w:themeColor="text1"/>
                <w14:textFill>
                  <w14:solidFill>
                    <w14:schemeClr w14:val="tx1"/>
                  </w14:solidFill>
                </w14:textFill>
              </w:rPr>
            </w:pPr>
          </w:p>
        </w:tc>
        <w:tc>
          <w:tcPr>
            <w:tcW w:w="2892" w:type="dxa"/>
            <w:vAlign w:val="center"/>
          </w:tcPr>
          <w:p>
            <w:pPr>
              <w:widowControl/>
              <w:tabs>
                <w:tab w:val="left" w:pos="180"/>
                <w:tab w:val="left" w:pos="540"/>
              </w:tabs>
              <w:spacing w:line="400" w:lineRule="exact"/>
              <w:jc w:val="lef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rPr>
                <w:rFonts w:ascii="宋体" w:hAnsi="宋体"/>
                <w:color w:val="000000" w:themeColor="text1"/>
                <w14:textFill>
                  <w14:solidFill>
                    <w14:schemeClr w14:val="tx1"/>
                  </w14:solidFill>
                </w14:textFill>
              </w:rPr>
            </w:pPr>
          </w:p>
        </w:tc>
        <w:tc>
          <w:tcPr>
            <w:tcW w:w="2892" w:type="dxa"/>
            <w:vAlign w:val="center"/>
          </w:tcPr>
          <w:p>
            <w:pPr>
              <w:widowControl/>
              <w:tabs>
                <w:tab w:val="left" w:pos="180"/>
                <w:tab w:val="left" w:pos="540"/>
              </w:tabs>
              <w:spacing w:line="400" w:lineRule="exact"/>
              <w:jc w:val="lef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14:textFill>
                  <w14:solidFill>
                    <w14:schemeClr w14:val="tx1"/>
                  </w14:solidFill>
                </w14:textFill>
              </w:rPr>
            </w:pPr>
          </w:p>
        </w:tc>
        <w:tc>
          <w:tcPr>
            <w:tcW w:w="2892" w:type="dxa"/>
            <w:vAlign w:val="center"/>
          </w:tcPr>
          <w:p>
            <w:pPr>
              <w:widowControl/>
              <w:spacing w:line="400" w:lineRule="exac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14:textFill>
                  <w14:solidFill>
                    <w14:schemeClr w14:val="tx1"/>
                  </w14:solidFill>
                </w14:textFill>
              </w:rPr>
            </w:pPr>
          </w:p>
        </w:tc>
        <w:tc>
          <w:tcPr>
            <w:tcW w:w="2892" w:type="dxa"/>
            <w:vAlign w:val="center"/>
          </w:tcPr>
          <w:p>
            <w:pPr>
              <w:widowControl/>
              <w:spacing w:line="400" w:lineRule="exac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14:textFill>
                  <w14:solidFill>
                    <w14:schemeClr w14:val="tx1"/>
                  </w14:solidFill>
                </w14:textFill>
              </w:rPr>
            </w:pPr>
          </w:p>
        </w:tc>
        <w:tc>
          <w:tcPr>
            <w:tcW w:w="2892" w:type="dxa"/>
            <w:vAlign w:val="center"/>
          </w:tcPr>
          <w:p>
            <w:pPr>
              <w:widowControl/>
              <w:spacing w:line="400" w:lineRule="exac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14:textFill>
                  <w14:solidFill>
                    <w14:schemeClr w14:val="tx1"/>
                  </w14:solidFill>
                </w14:textFill>
              </w:rPr>
            </w:pPr>
          </w:p>
        </w:tc>
        <w:tc>
          <w:tcPr>
            <w:tcW w:w="2892" w:type="dxa"/>
            <w:vAlign w:val="center"/>
          </w:tcPr>
          <w:p>
            <w:pPr>
              <w:widowControl/>
              <w:spacing w:line="400" w:lineRule="exac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14:textFill>
                  <w14:solidFill>
                    <w14:schemeClr w14:val="tx1"/>
                  </w14:solidFill>
                </w14:textFill>
              </w:rPr>
            </w:pPr>
          </w:p>
        </w:tc>
        <w:tc>
          <w:tcPr>
            <w:tcW w:w="2892" w:type="dxa"/>
            <w:vAlign w:val="center"/>
          </w:tcPr>
          <w:p>
            <w:pPr>
              <w:widowControl/>
              <w:spacing w:line="400" w:lineRule="exac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14:textFill>
                  <w14:solidFill>
                    <w14:schemeClr w14:val="tx1"/>
                  </w14:solidFill>
                </w14:textFill>
              </w:rPr>
            </w:pPr>
          </w:p>
        </w:tc>
        <w:tc>
          <w:tcPr>
            <w:tcW w:w="2892" w:type="dxa"/>
            <w:vAlign w:val="center"/>
          </w:tcPr>
          <w:p>
            <w:pPr>
              <w:widowControl/>
              <w:spacing w:line="400" w:lineRule="exac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14:textFill>
                  <w14:solidFill>
                    <w14:schemeClr w14:val="tx1"/>
                  </w14:solidFill>
                </w14:textFill>
              </w:rPr>
            </w:pPr>
          </w:p>
        </w:tc>
        <w:tc>
          <w:tcPr>
            <w:tcW w:w="2892" w:type="dxa"/>
            <w:vAlign w:val="center"/>
          </w:tcPr>
          <w:p>
            <w:pPr>
              <w:widowControl/>
              <w:spacing w:line="400" w:lineRule="exac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14:textFill>
                  <w14:solidFill>
                    <w14:schemeClr w14:val="tx1"/>
                  </w14:solidFill>
                </w14:textFill>
              </w:rPr>
            </w:pPr>
          </w:p>
        </w:tc>
        <w:tc>
          <w:tcPr>
            <w:tcW w:w="2892" w:type="dxa"/>
            <w:vAlign w:val="center"/>
          </w:tcPr>
          <w:p>
            <w:pPr>
              <w:widowControl/>
              <w:spacing w:line="400" w:lineRule="exac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14:textFill>
                  <w14:solidFill>
                    <w14:schemeClr w14:val="tx1"/>
                  </w14:solidFill>
                </w14:textFill>
              </w:rPr>
            </w:pPr>
          </w:p>
        </w:tc>
        <w:tc>
          <w:tcPr>
            <w:tcW w:w="2892" w:type="dxa"/>
            <w:vAlign w:val="center"/>
          </w:tcPr>
          <w:p>
            <w:pPr>
              <w:widowControl/>
              <w:spacing w:line="400" w:lineRule="exac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14:textFill>
                  <w14:solidFill>
                    <w14:schemeClr w14:val="tx1"/>
                  </w14:solidFill>
                </w14:textFill>
              </w:rPr>
            </w:pPr>
          </w:p>
        </w:tc>
        <w:tc>
          <w:tcPr>
            <w:tcW w:w="2892" w:type="dxa"/>
            <w:vAlign w:val="center"/>
          </w:tcPr>
          <w:p>
            <w:pPr>
              <w:widowControl/>
              <w:spacing w:line="400" w:lineRule="exac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14:textFill>
                  <w14:solidFill>
                    <w14:schemeClr w14:val="tx1"/>
                  </w14:solidFill>
                </w14:textFill>
              </w:rPr>
            </w:pPr>
          </w:p>
        </w:tc>
        <w:tc>
          <w:tcPr>
            <w:tcW w:w="2892" w:type="dxa"/>
            <w:vAlign w:val="center"/>
          </w:tcPr>
          <w:p>
            <w:pPr>
              <w:widowControl/>
              <w:spacing w:line="400" w:lineRule="exac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14:textFill>
                  <w14:solidFill>
                    <w14:schemeClr w14:val="tx1"/>
                  </w14:solidFill>
                </w14:textFill>
              </w:rPr>
            </w:pPr>
          </w:p>
        </w:tc>
        <w:tc>
          <w:tcPr>
            <w:tcW w:w="2892" w:type="dxa"/>
            <w:vAlign w:val="center"/>
          </w:tcPr>
          <w:p>
            <w:pPr>
              <w:widowControl/>
              <w:spacing w:line="400" w:lineRule="exac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14:textFill>
                  <w14:solidFill>
                    <w14:schemeClr w14:val="tx1"/>
                  </w14:solidFill>
                </w14:textFill>
              </w:rPr>
            </w:pPr>
          </w:p>
        </w:tc>
        <w:tc>
          <w:tcPr>
            <w:tcW w:w="2892" w:type="dxa"/>
            <w:vAlign w:val="center"/>
          </w:tcPr>
          <w:p>
            <w:pPr>
              <w:widowControl/>
              <w:spacing w:line="400" w:lineRule="exact"/>
              <w:rPr>
                <w:rFonts w:ascii="宋体" w:hAnsi="宋体"/>
                <w:color w:val="000000" w:themeColor="text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c>
          <w:tcPr>
            <w:tcW w:w="2410" w:type="dxa"/>
          </w:tcPr>
          <w:p>
            <w:pPr>
              <w:widowControl/>
              <w:spacing w:line="400" w:lineRule="exact"/>
              <w:rPr>
                <w:rFonts w:ascii="宋体" w:hAnsi="宋体"/>
                <w:b/>
                <w:bCs/>
                <w:color w:val="000000" w:themeColor="text1"/>
                <w:szCs w:val="21"/>
                <w14:textFill>
                  <w14:solidFill>
                    <w14:schemeClr w14:val="tx1"/>
                  </w14:solidFill>
                </w14:textFill>
              </w:rPr>
            </w:pPr>
          </w:p>
        </w:tc>
      </w:tr>
    </w:tbl>
    <w:p>
      <w:pPr>
        <w:snapToGrid w:val="0"/>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注：1、投标人应根据投标产品的性能指标、对照采购文件第二章招标需求表B要求逐条填写，并在“偏离情况”栏注明“正偏离”、“负偏离”或“无偏离”。</w:t>
      </w:r>
    </w:p>
    <w:p>
      <w:pPr>
        <w:snapToGrid w:val="0"/>
        <w:spacing w:line="360" w:lineRule="auto"/>
        <w:jc w:val="center"/>
        <w:rPr>
          <w:rFonts w:ascii="宋体" w:hAnsi="宋体"/>
          <w:b/>
          <w:bCs/>
          <w:color w:val="000000" w:themeColor="text1"/>
          <w:sz w:val="24"/>
          <w:szCs w:val="21"/>
          <w14:textFill>
            <w14:solidFill>
              <w14:schemeClr w14:val="tx1"/>
            </w14:solidFill>
          </w14:textFill>
        </w:rPr>
      </w:pPr>
    </w:p>
    <w:p>
      <w:pPr>
        <w:widowControl/>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 标 人（盖章）：</w:t>
      </w:r>
    </w:p>
    <w:p>
      <w:pPr>
        <w:pStyle w:val="18"/>
        <w:snapToGrid w:val="0"/>
        <w:spacing w:line="360" w:lineRule="auto"/>
        <w:ind w:firstLine="0"/>
        <w:rPr>
          <w:rFonts w:hAnsi="宋体"/>
          <w:color w:val="000000" w:themeColor="text1"/>
          <w:spacing w:val="0"/>
          <w:sz w:val="21"/>
          <w:szCs w:val="21"/>
          <w14:textFill>
            <w14:solidFill>
              <w14:schemeClr w14:val="tx1"/>
            </w14:solidFill>
          </w14:textFill>
        </w:rPr>
      </w:pPr>
      <w:r>
        <w:rPr>
          <w:rFonts w:hint="eastAsia" w:hAnsi="宋体"/>
          <w:color w:val="000000" w:themeColor="text1"/>
          <w:spacing w:val="0"/>
          <w:sz w:val="21"/>
          <w:szCs w:val="21"/>
          <w14:textFill>
            <w14:solidFill>
              <w14:schemeClr w14:val="tx1"/>
            </w14:solidFill>
          </w14:textFill>
        </w:rPr>
        <w:t>法定代表人或其授权代表（签字或盖章）：</w:t>
      </w:r>
    </w:p>
    <w:p>
      <w:pPr>
        <w:pStyle w:val="18"/>
        <w:widowControl/>
        <w:spacing w:line="360" w:lineRule="auto"/>
        <w:ind w:firstLine="0"/>
        <w:jc w:val="left"/>
        <w:rPr>
          <w:rFonts w:hAnsi="宋体"/>
          <w:b/>
          <w:color w:val="000000" w:themeColor="text1"/>
          <w14:textFill>
            <w14:solidFill>
              <w14:schemeClr w14:val="tx1"/>
            </w14:solidFill>
          </w14:textFill>
        </w:rPr>
      </w:pPr>
      <w:r>
        <w:rPr>
          <w:rFonts w:hint="eastAsia" w:hAnsi="宋体"/>
          <w:color w:val="000000" w:themeColor="text1"/>
          <w:spacing w:val="0"/>
          <w:sz w:val="21"/>
          <w:szCs w:val="21"/>
          <w14:textFill>
            <w14:solidFill>
              <w14:schemeClr w14:val="tx1"/>
            </w14:solidFill>
          </w14:textFill>
        </w:rPr>
        <w:t>日期：</w:t>
      </w:r>
      <w:r>
        <w:rPr>
          <w:rFonts w:hAnsi="宋体"/>
          <w:b/>
          <w:color w:val="000000" w:themeColor="text1"/>
          <w14:textFill>
            <w14:solidFill>
              <w14:schemeClr w14:val="tx1"/>
            </w14:solidFill>
          </w14:textFill>
        </w:rPr>
        <w:br w:type="page"/>
      </w:r>
    </w:p>
    <w:p>
      <w:pP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格式九：</w:t>
      </w:r>
      <w:bookmarkEnd w:id="226"/>
      <w:r>
        <w:rPr>
          <w:rFonts w:hint="eastAsia" w:ascii="宋体" w:hAnsi="宋体"/>
          <w:color w:val="000000" w:themeColor="text1"/>
          <w:szCs w:val="21"/>
          <w14:textFill>
            <w14:solidFill>
              <w14:schemeClr w14:val="tx1"/>
            </w14:solidFill>
          </w14:textFill>
        </w:rPr>
        <w:t>设备附件清单</w:t>
      </w:r>
    </w:p>
    <w:p>
      <w:pPr>
        <w:snapToGrid w:val="0"/>
        <w:spacing w:line="360" w:lineRule="auto"/>
        <w:jc w:val="center"/>
        <w:rPr>
          <w:rFonts w:ascii="宋体" w:hAnsi="宋体"/>
          <w:b/>
          <w:bCs/>
          <w:color w:val="000000" w:themeColor="text1"/>
          <w:sz w:val="24"/>
          <w:szCs w:val="21"/>
          <w14:textFill>
            <w14:solidFill>
              <w14:schemeClr w14:val="tx1"/>
            </w14:solidFill>
          </w14:textFill>
        </w:rPr>
      </w:pPr>
      <w:r>
        <w:rPr>
          <w:rFonts w:hint="eastAsia" w:ascii="宋体" w:hAnsi="宋体"/>
          <w:b/>
          <w:bCs/>
          <w:color w:val="000000" w:themeColor="text1"/>
          <w:sz w:val="24"/>
          <w:szCs w:val="21"/>
          <w14:textFill>
            <w14:solidFill>
              <w14:schemeClr w14:val="tx1"/>
            </w14:solidFill>
          </w14:textFill>
        </w:rPr>
        <w:t>设备附件清单</w:t>
      </w:r>
    </w:p>
    <w:p>
      <w:pPr>
        <w:spacing w:line="180" w:lineRule="exact"/>
        <w:jc w:val="center"/>
        <w:rPr>
          <w:rFonts w:ascii="宋体" w:hAnsi="宋体"/>
          <w:b/>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表1  设备</w:t>
      </w:r>
      <w:r>
        <w:rPr>
          <w:rFonts w:hint="eastAsia" w:ascii="宋体" w:hAnsi="宋体"/>
          <w:b/>
          <w:color w:val="000000" w:themeColor="text1"/>
          <w:sz w:val="24"/>
          <w:lang w:val="zh-CN"/>
          <w14:textFill>
            <w14:solidFill>
              <w14:schemeClr w14:val="tx1"/>
            </w14:solidFill>
          </w14:textFill>
        </w:rPr>
        <w:t>附件、配件及备品备件表</w:t>
      </w:r>
    </w:p>
    <w:tbl>
      <w:tblPr>
        <w:tblStyle w:val="40"/>
        <w:tblW w:w="868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903"/>
        <w:gridCol w:w="3267"/>
        <w:gridCol w:w="1405"/>
        <w:gridCol w:w="1999"/>
        <w:gridCol w:w="11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23" w:hRule="atLeast"/>
        </w:trPr>
        <w:tc>
          <w:tcPr>
            <w:tcW w:w="903"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序号</w:t>
            </w:r>
          </w:p>
        </w:tc>
        <w:tc>
          <w:tcPr>
            <w:tcW w:w="3267"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名称</w:t>
            </w:r>
          </w:p>
        </w:tc>
        <w:tc>
          <w:tcPr>
            <w:tcW w:w="140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品牌</w:t>
            </w:r>
          </w:p>
        </w:tc>
        <w:tc>
          <w:tcPr>
            <w:tcW w:w="1999"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型号</w:t>
            </w:r>
          </w:p>
        </w:tc>
        <w:tc>
          <w:tcPr>
            <w:tcW w:w="1108"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产地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841" w:hRule="atLeast"/>
        </w:trPr>
        <w:tc>
          <w:tcPr>
            <w:tcW w:w="903" w:type="dxa"/>
            <w:vAlign w:val="center"/>
          </w:tcPr>
          <w:p>
            <w:pPr>
              <w:spacing w:before="240"/>
              <w:jc w:val="center"/>
              <w:rPr>
                <w:rFonts w:ascii="宋体" w:hAnsi="宋体"/>
                <w:color w:val="000000" w:themeColor="text1"/>
                <w:sz w:val="24"/>
                <w14:textFill>
                  <w14:solidFill>
                    <w14:schemeClr w14:val="tx1"/>
                  </w14:solidFill>
                </w14:textFill>
              </w:rPr>
            </w:pPr>
          </w:p>
        </w:tc>
        <w:tc>
          <w:tcPr>
            <w:tcW w:w="3267" w:type="dxa"/>
            <w:vAlign w:val="center"/>
          </w:tcPr>
          <w:p>
            <w:pPr>
              <w:spacing w:before="240"/>
              <w:jc w:val="center"/>
              <w:rPr>
                <w:rFonts w:ascii="宋体" w:hAnsi="宋体"/>
                <w:color w:val="000000" w:themeColor="text1"/>
                <w:sz w:val="24"/>
                <w14:textFill>
                  <w14:solidFill>
                    <w14:schemeClr w14:val="tx1"/>
                  </w14:solidFill>
                </w14:textFill>
              </w:rPr>
            </w:pPr>
          </w:p>
        </w:tc>
        <w:tc>
          <w:tcPr>
            <w:tcW w:w="1405" w:type="dxa"/>
            <w:vAlign w:val="center"/>
          </w:tcPr>
          <w:p>
            <w:pPr>
              <w:spacing w:before="240"/>
              <w:jc w:val="center"/>
              <w:rPr>
                <w:rFonts w:ascii="宋体" w:hAnsi="宋体"/>
                <w:color w:val="000000" w:themeColor="text1"/>
                <w:sz w:val="24"/>
                <w14:textFill>
                  <w14:solidFill>
                    <w14:schemeClr w14:val="tx1"/>
                  </w14:solidFill>
                </w14:textFill>
              </w:rPr>
            </w:pPr>
          </w:p>
        </w:tc>
        <w:tc>
          <w:tcPr>
            <w:tcW w:w="1999" w:type="dxa"/>
            <w:vAlign w:val="center"/>
          </w:tcPr>
          <w:p>
            <w:pPr>
              <w:spacing w:before="240"/>
              <w:jc w:val="center"/>
              <w:rPr>
                <w:rFonts w:ascii="宋体" w:hAnsi="宋体"/>
                <w:color w:val="000000" w:themeColor="text1"/>
                <w:sz w:val="24"/>
                <w14:textFill>
                  <w14:solidFill>
                    <w14:schemeClr w14:val="tx1"/>
                  </w14:solidFill>
                </w14:textFill>
              </w:rPr>
            </w:pPr>
          </w:p>
        </w:tc>
        <w:tc>
          <w:tcPr>
            <w:tcW w:w="1108" w:type="dxa"/>
            <w:vAlign w:val="center"/>
          </w:tcPr>
          <w:p>
            <w:pPr>
              <w:spacing w:before="240"/>
              <w:jc w:val="center"/>
              <w:rPr>
                <w:rFonts w:ascii="宋体" w:hAnsi="宋体"/>
                <w:color w:val="000000" w:themeColor="text1"/>
                <w:sz w:val="24"/>
                <w14:textFill>
                  <w14:solidFill>
                    <w14:schemeClr w14:val="tx1"/>
                  </w14:solidFill>
                </w14:textFill>
              </w:rPr>
            </w:pPr>
          </w:p>
        </w:tc>
      </w:tr>
    </w:tbl>
    <w:p>
      <w:pPr>
        <w:spacing w:line="360" w:lineRule="auto"/>
        <w:rPr>
          <w:rFonts w:ascii="宋体" w:hAnsi="宋体"/>
          <w:b/>
          <w:color w:val="000000" w:themeColor="text1"/>
          <w:sz w:val="28"/>
          <w14:textFill>
            <w14:solidFill>
              <w14:schemeClr w14:val="tx1"/>
            </w14:solidFill>
          </w14:textFill>
        </w:rPr>
      </w:pPr>
      <w:r>
        <w:rPr>
          <w:rFonts w:hint="eastAsia" w:ascii="宋体" w:hAnsi="宋体"/>
          <w:iCs/>
          <w:color w:val="000000" w:themeColor="text1"/>
          <w:sz w:val="24"/>
          <w:szCs w:val="21"/>
          <w14:textFill>
            <w14:solidFill>
              <w14:schemeClr w14:val="tx1"/>
            </w14:solidFill>
          </w14:textFill>
        </w:rPr>
        <w:t>表1是供设备使用的附件、配件及备品备件表，请投标人列出，该费用计入投标总价。</w:t>
      </w:r>
    </w:p>
    <w:p>
      <w:pPr>
        <w:snapToGrid w:val="0"/>
        <w:spacing w:line="360" w:lineRule="auto"/>
        <w:rPr>
          <w:rFonts w:ascii="宋体" w:hAnsi="宋体"/>
          <w:color w:val="000000" w:themeColor="text1"/>
          <w:sz w:val="24"/>
          <w:szCs w:val="21"/>
          <w:lang w:val="zh-CN"/>
          <w14:textFill>
            <w14:solidFill>
              <w14:schemeClr w14:val="tx1"/>
            </w14:solidFill>
          </w14:textFill>
        </w:rPr>
      </w:pPr>
    </w:p>
    <w:p>
      <w:pPr>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表2  </w:t>
      </w:r>
      <w:r>
        <w:rPr>
          <w:rFonts w:hint="eastAsia" w:ascii="宋体" w:hAnsi="宋体"/>
          <w:b/>
          <w:color w:val="000000" w:themeColor="text1"/>
          <w:sz w:val="24"/>
          <w:lang w:val="zh-CN"/>
          <w14:textFill>
            <w14:solidFill>
              <w14:schemeClr w14:val="tx1"/>
            </w14:solidFill>
          </w14:textFill>
        </w:rPr>
        <w:t>专用工具</w:t>
      </w:r>
      <w:r>
        <w:rPr>
          <w:rFonts w:hint="eastAsia" w:ascii="宋体" w:hAnsi="宋体"/>
          <w:b/>
          <w:color w:val="000000" w:themeColor="text1"/>
          <w:sz w:val="24"/>
          <w14:textFill>
            <w14:solidFill>
              <w14:schemeClr w14:val="tx1"/>
            </w14:solidFill>
          </w14:textFill>
        </w:rPr>
        <w:t>报价表</w:t>
      </w:r>
    </w:p>
    <w:tbl>
      <w:tblPr>
        <w:tblStyle w:val="40"/>
        <w:tblW w:w="863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66"/>
        <w:gridCol w:w="2355"/>
        <w:gridCol w:w="1470"/>
        <w:gridCol w:w="840"/>
        <w:gridCol w:w="1665"/>
        <w:gridCol w:w="1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04" w:hRule="atLeast"/>
        </w:trPr>
        <w:tc>
          <w:tcPr>
            <w:tcW w:w="766" w:type="dxa"/>
            <w:vMerge w:val="restart"/>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序号</w:t>
            </w:r>
          </w:p>
        </w:tc>
        <w:tc>
          <w:tcPr>
            <w:tcW w:w="2355" w:type="dxa"/>
            <w:vMerge w:val="restart"/>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名称</w:t>
            </w:r>
          </w:p>
        </w:tc>
        <w:tc>
          <w:tcPr>
            <w:tcW w:w="1470" w:type="dxa"/>
            <w:vMerge w:val="restart"/>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型号</w:t>
            </w:r>
          </w:p>
        </w:tc>
        <w:tc>
          <w:tcPr>
            <w:tcW w:w="840" w:type="dxa"/>
            <w:vMerge w:val="restart"/>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数量</w:t>
            </w:r>
          </w:p>
        </w:tc>
        <w:tc>
          <w:tcPr>
            <w:tcW w:w="166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单   价</w:t>
            </w:r>
          </w:p>
        </w:tc>
        <w:tc>
          <w:tcPr>
            <w:tcW w:w="1542"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总   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42" w:hRule="atLeast"/>
        </w:trPr>
        <w:tc>
          <w:tcPr>
            <w:tcW w:w="766" w:type="dxa"/>
            <w:vMerge w:val="continue"/>
            <w:vAlign w:val="center"/>
          </w:tcPr>
          <w:p>
            <w:pPr>
              <w:rPr>
                <w:rFonts w:ascii="宋体" w:hAnsi="宋体"/>
                <w:color w:val="000000" w:themeColor="text1"/>
                <w14:textFill>
                  <w14:solidFill>
                    <w14:schemeClr w14:val="tx1"/>
                  </w14:solidFill>
                </w14:textFill>
              </w:rPr>
            </w:pPr>
          </w:p>
        </w:tc>
        <w:tc>
          <w:tcPr>
            <w:tcW w:w="2355" w:type="dxa"/>
            <w:vMerge w:val="continue"/>
            <w:vAlign w:val="center"/>
          </w:tcPr>
          <w:p>
            <w:pPr>
              <w:rPr>
                <w:rFonts w:ascii="宋体" w:hAnsi="宋体"/>
                <w:color w:val="000000" w:themeColor="text1"/>
                <w14:textFill>
                  <w14:solidFill>
                    <w14:schemeClr w14:val="tx1"/>
                  </w14:solidFill>
                </w14:textFill>
              </w:rPr>
            </w:pPr>
          </w:p>
        </w:tc>
        <w:tc>
          <w:tcPr>
            <w:tcW w:w="1470" w:type="dxa"/>
            <w:vMerge w:val="continue"/>
            <w:vAlign w:val="center"/>
          </w:tcPr>
          <w:p>
            <w:pPr>
              <w:rPr>
                <w:rFonts w:ascii="宋体" w:hAnsi="宋体"/>
                <w:color w:val="000000" w:themeColor="text1"/>
                <w14:textFill>
                  <w14:solidFill>
                    <w14:schemeClr w14:val="tx1"/>
                  </w14:solidFill>
                </w14:textFill>
              </w:rPr>
            </w:pPr>
          </w:p>
        </w:tc>
        <w:tc>
          <w:tcPr>
            <w:tcW w:w="840" w:type="dxa"/>
            <w:vMerge w:val="continue"/>
            <w:vAlign w:val="center"/>
          </w:tcPr>
          <w:p>
            <w:pPr>
              <w:rPr>
                <w:rFonts w:ascii="宋体" w:hAnsi="宋体"/>
                <w:color w:val="000000" w:themeColor="text1"/>
                <w14:textFill>
                  <w14:solidFill>
                    <w14:schemeClr w14:val="tx1"/>
                  </w14:solidFill>
                </w14:textFill>
              </w:rPr>
            </w:pPr>
          </w:p>
        </w:tc>
        <w:tc>
          <w:tcPr>
            <w:tcW w:w="166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到工地价</w:t>
            </w:r>
          </w:p>
        </w:tc>
        <w:tc>
          <w:tcPr>
            <w:tcW w:w="1542"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到工地价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35" w:hRule="atLeast"/>
        </w:trPr>
        <w:tc>
          <w:tcPr>
            <w:tcW w:w="766" w:type="dxa"/>
            <w:vAlign w:val="center"/>
          </w:tcPr>
          <w:p>
            <w:pPr>
              <w:spacing w:before="240"/>
              <w:jc w:val="center"/>
              <w:rPr>
                <w:rFonts w:ascii="宋体" w:hAnsi="宋体"/>
                <w:color w:val="000000" w:themeColor="text1"/>
                <w:sz w:val="24"/>
                <w14:textFill>
                  <w14:solidFill>
                    <w14:schemeClr w14:val="tx1"/>
                  </w14:solidFill>
                </w14:textFill>
              </w:rPr>
            </w:pPr>
          </w:p>
        </w:tc>
        <w:tc>
          <w:tcPr>
            <w:tcW w:w="2355" w:type="dxa"/>
            <w:vAlign w:val="center"/>
          </w:tcPr>
          <w:p>
            <w:pPr>
              <w:spacing w:before="240"/>
              <w:jc w:val="center"/>
              <w:rPr>
                <w:rFonts w:ascii="宋体" w:hAnsi="宋体"/>
                <w:color w:val="000000" w:themeColor="text1"/>
                <w:sz w:val="24"/>
                <w14:textFill>
                  <w14:solidFill>
                    <w14:schemeClr w14:val="tx1"/>
                  </w14:solidFill>
                </w14:textFill>
              </w:rPr>
            </w:pPr>
          </w:p>
        </w:tc>
        <w:tc>
          <w:tcPr>
            <w:tcW w:w="1470" w:type="dxa"/>
            <w:vAlign w:val="center"/>
          </w:tcPr>
          <w:p>
            <w:pPr>
              <w:spacing w:before="240"/>
              <w:jc w:val="center"/>
              <w:rPr>
                <w:rFonts w:ascii="宋体" w:hAnsi="宋体"/>
                <w:color w:val="000000" w:themeColor="text1"/>
                <w:sz w:val="24"/>
                <w14:textFill>
                  <w14:solidFill>
                    <w14:schemeClr w14:val="tx1"/>
                  </w14:solidFill>
                </w14:textFill>
              </w:rPr>
            </w:pPr>
          </w:p>
        </w:tc>
        <w:tc>
          <w:tcPr>
            <w:tcW w:w="840" w:type="dxa"/>
            <w:vAlign w:val="center"/>
          </w:tcPr>
          <w:p>
            <w:pPr>
              <w:spacing w:before="240"/>
              <w:jc w:val="center"/>
              <w:rPr>
                <w:rFonts w:ascii="宋体" w:hAnsi="宋体"/>
                <w:color w:val="000000" w:themeColor="text1"/>
                <w:sz w:val="24"/>
                <w14:textFill>
                  <w14:solidFill>
                    <w14:schemeClr w14:val="tx1"/>
                  </w14:solidFill>
                </w14:textFill>
              </w:rPr>
            </w:pPr>
          </w:p>
        </w:tc>
        <w:tc>
          <w:tcPr>
            <w:tcW w:w="1665" w:type="dxa"/>
            <w:vAlign w:val="center"/>
          </w:tcPr>
          <w:p>
            <w:pPr>
              <w:spacing w:before="240"/>
              <w:jc w:val="center"/>
              <w:rPr>
                <w:rFonts w:ascii="宋体" w:hAnsi="宋体"/>
                <w:color w:val="000000" w:themeColor="text1"/>
                <w:sz w:val="24"/>
                <w14:textFill>
                  <w14:solidFill>
                    <w14:schemeClr w14:val="tx1"/>
                  </w14:solidFill>
                </w14:textFill>
              </w:rPr>
            </w:pPr>
          </w:p>
        </w:tc>
        <w:tc>
          <w:tcPr>
            <w:tcW w:w="1542" w:type="dxa"/>
            <w:vAlign w:val="center"/>
          </w:tcPr>
          <w:p>
            <w:pPr>
              <w:spacing w:before="240"/>
              <w:jc w:val="center"/>
              <w:rPr>
                <w:rFonts w:ascii="宋体" w:hAnsi="宋体"/>
                <w:color w:val="000000" w:themeColor="text1"/>
                <w:sz w:val="24"/>
                <w14:textFill>
                  <w14:solidFill>
                    <w14:schemeClr w14:val="tx1"/>
                  </w14:solidFill>
                </w14:textFill>
              </w:rPr>
            </w:pPr>
          </w:p>
        </w:tc>
      </w:tr>
    </w:tbl>
    <w:p>
      <w:pPr>
        <w:snapToGrid w:val="0"/>
        <w:spacing w:before="120" w:beforeLines="50" w:after="120" w:afterLines="50" w:line="360" w:lineRule="auto"/>
        <w:jc w:val="left"/>
        <w:rPr>
          <w:rFonts w:ascii="宋体" w:hAnsi="宋体"/>
          <w:b/>
          <w:bCs/>
          <w:color w:val="000000" w:themeColor="text1"/>
          <w:sz w:val="28"/>
          <w14:textFill>
            <w14:solidFill>
              <w14:schemeClr w14:val="tx1"/>
            </w14:solidFill>
          </w14:textFill>
        </w:rPr>
      </w:pPr>
      <w:r>
        <w:rPr>
          <w:rFonts w:hint="eastAsia" w:ascii="宋体" w:hAnsi="宋体"/>
          <w:iCs/>
          <w:color w:val="000000" w:themeColor="text1"/>
          <w:sz w:val="24"/>
          <w:szCs w:val="21"/>
          <w14:textFill>
            <w14:solidFill>
              <w14:schemeClr w14:val="tx1"/>
            </w14:solidFill>
          </w14:textFill>
        </w:rPr>
        <w:t>表</w:t>
      </w:r>
      <w:r>
        <w:rPr>
          <w:rFonts w:ascii="宋体" w:hAnsi="宋体"/>
          <w:iCs/>
          <w:color w:val="000000" w:themeColor="text1"/>
          <w:sz w:val="24"/>
          <w:szCs w:val="21"/>
          <w14:textFill>
            <w14:solidFill>
              <w14:schemeClr w14:val="tx1"/>
            </w14:solidFill>
          </w14:textFill>
        </w:rPr>
        <w:t>2</w:t>
      </w:r>
      <w:r>
        <w:rPr>
          <w:rFonts w:hint="eastAsia" w:ascii="宋体" w:hAnsi="宋体"/>
          <w:iCs/>
          <w:color w:val="000000" w:themeColor="text1"/>
          <w:sz w:val="24"/>
          <w:szCs w:val="21"/>
          <w14:textFill>
            <w14:solidFill>
              <w14:schemeClr w14:val="tx1"/>
            </w14:solidFill>
          </w14:textFill>
        </w:rPr>
        <w:t>是供</w:t>
      </w:r>
      <w:r>
        <w:rPr>
          <w:rFonts w:hint="eastAsia" w:ascii="宋体" w:hAnsi="宋体"/>
          <w:iCs/>
          <w:color w:val="000000" w:themeColor="text1"/>
          <w:sz w:val="24"/>
          <w:szCs w:val="21"/>
          <w:lang w:val="zh-CN"/>
          <w14:textFill>
            <w14:solidFill>
              <w14:schemeClr w14:val="tx1"/>
            </w14:solidFill>
          </w14:textFill>
        </w:rPr>
        <w:t>设备安装、调试、维修、常规保养所需专用工具</w:t>
      </w:r>
      <w:r>
        <w:rPr>
          <w:rFonts w:hint="eastAsia" w:ascii="宋体" w:hAnsi="宋体"/>
          <w:iCs/>
          <w:color w:val="000000" w:themeColor="text1"/>
          <w:sz w:val="24"/>
          <w:szCs w:val="21"/>
          <w14:textFill>
            <w14:solidFill>
              <w14:schemeClr w14:val="tx1"/>
            </w14:solidFill>
          </w14:textFill>
        </w:rPr>
        <w:t>报价表，请投标人列出，该费用计入投标总价。</w:t>
      </w:r>
    </w:p>
    <w:p>
      <w:pPr>
        <w:snapToGrid w:val="0"/>
        <w:spacing w:before="50" w:after="120" w:afterLines="50"/>
        <w:jc w:val="left"/>
        <w:rPr>
          <w:rFonts w:ascii="宋体" w:hAnsi="宋体"/>
          <w:color w:val="000000" w:themeColor="text1"/>
          <w:szCs w:val="21"/>
          <w14:textFill>
            <w14:solidFill>
              <w14:schemeClr w14:val="tx1"/>
            </w14:solidFill>
          </w14:textFill>
        </w:rPr>
        <w:sectPr>
          <w:pgSz w:w="11906" w:h="16838"/>
          <w:pgMar w:top="1247" w:right="1797" w:bottom="221" w:left="1797" w:header="851" w:footer="851" w:gutter="0"/>
          <w:cols w:space="720" w:num="1"/>
          <w:docGrid w:linePitch="312" w:charSpace="0"/>
        </w:sectPr>
      </w:pPr>
    </w:p>
    <w:p>
      <w:pPr>
        <w:pStyle w:val="18"/>
        <w:widowControl/>
        <w:spacing w:line="360" w:lineRule="auto"/>
        <w:ind w:firstLine="304" w:firstLineChars="150"/>
        <w:jc w:val="left"/>
        <w:rPr>
          <w:rFonts w:hAnsi="宋体"/>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格式十：</w:t>
      </w:r>
      <w:r>
        <w:rPr>
          <w:rFonts w:hint="eastAsia" w:hAnsi="宋体"/>
          <w:color w:val="000000" w:themeColor="text1"/>
          <w:sz w:val="21"/>
          <w:szCs w:val="21"/>
          <w14:textFill>
            <w14:solidFill>
              <w14:schemeClr w14:val="tx1"/>
            </w14:solidFill>
          </w14:textFill>
        </w:rPr>
        <w:t>开标一览表</w:t>
      </w:r>
    </w:p>
    <w:p>
      <w:pPr>
        <w:spacing w:line="360" w:lineRule="auto"/>
        <w:rPr>
          <w:rFonts w:ascii="宋体" w:hAnsi="宋体"/>
          <w:color w:val="000000" w:themeColor="text1"/>
          <w:sz w:val="24"/>
          <w14:textFill>
            <w14:solidFill>
              <w14:schemeClr w14:val="tx1"/>
            </w14:solidFill>
          </w14:textFill>
        </w:rPr>
      </w:pPr>
    </w:p>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开标一览表</w:t>
      </w:r>
    </w:p>
    <w:p>
      <w:pPr>
        <w:spacing w:line="360" w:lineRule="auto"/>
        <w:jc w:val="center"/>
        <w:rPr>
          <w:rFonts w:ascii="宋体" w:hAnsi="宋体"/>
          <w:b/>
          <w:color w:val="000000" w:themeColor="text1"/>
          <w:sz w:val="24"/>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项目名称：    </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招标编号：  </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子包号：</w:t>
      </w:r>
    </w:p>
    <w:tbl>
      <w:tblPr>
        <w:tblStyle w:val="40"/>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00"/>
        <w:gridCol w:w="1194"/>
        <w:gridCol w:w="734"/>
        <w:gridCol w:w="3260"/>
        <w:gridCol w:w="1276"/>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51" w:type="dxa"/>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500" w:type="dxa"/>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货物名称</w:t>
            </w:r>
          </w:p>
        </w:tc>
        <w:tc>
          <w:tcPr>
            <w:tcW w:w="1194" w:type="dxa"/>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规格、型号</w:t>
            </w:r>
          </w:p>
        </w:tc>
        <w:tc>
          <w:tcPr>
            <w:tcW w:w="734" w:type="dxa"/>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3260" w:type="dxa"/>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投标价</w:t>
            </w:r>
          </w:p>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（人民币/万元）</w:t>
            </w:r>
          </w:p>
        </w:tc>
        <w:tc>
          <w:tcPr>
            <w:tcW w:w="1276" w:type="dxa"/>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交货时间、地点</w:t>
            </w:r>
          </w:p>
        </w:tc>
        <w:tc>
          <w:tcPr>
            <w:tcW w:w="709" w:type="dxa"/>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产地</w:t>
            </w:r>
          </w:p>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品牌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500"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194" w:type="dxa"/>
            <w:vAlign w:val="center"/>
          </w:tcPr>
          <w:p>
            <w:pPr>
              <w:spacing w:line="360" w:lineRule="auto"/>
              <w:rPr>
                <w:rFonts w:ascii="宋体" w:hAnsi="宋体"/>
                <w:color w:val="000000" w:themeColor="text1"/>
                <w:szCs w:val="21"/>
                <w14:textFill>
                  <w14:solidFill>
                    <w14:schemeClr w14:val="tx1"/>
                  </w14:solidFill>
                </w14:textFill>
              </w:rPr>
            </w:pPr>
          </w:p>
        </w:tc>
        <w:tc>
          <w:tcPr>
            <w:tcW w:w="734" w:type="dxa"/>
            <w:vAlign w:val="center"/>
          </w:tcPr>
          <w:p>
            <w:pPr>
              <w:spacing w:line="360" w:lineRule="auto"/>
              <w:rPr>
                <w:rFonts w:ascii="宋体" w:hAnsi="宋体"/>
                <w:color w:val="000000" w:themeColor="text1"/>
                <w:szCs w:val="21"/>
                <w14:textFill>
                  <w14:solidFill>
                    <w14:schemeClr w14:val="tx1"/>
                  </w14:solidFill>
                </w14:textFill>
              </w:rPr>
            </w:pPr>
          </w:p>
        </w:tc>
        <w:tc>
          <w:tcPr>
            <w:tcW w:w="3260" w:type="dxa"/>
            <w:vAlign w:val="center"/>
          </w:tcPr>
          <w:p>
            <w:pPr>
              <w:spacing w:line="360" w:lineRule="auto"/>
              <w:rPr>
                <w:rFonts w:ascii="宋体" w:hAnsi="宋体"/>
                <w:color w:val="000000" w:themeColor="text1"/>
                <w:szCs w:val="21"/>
                <w14:textFill>
                  <w14:solidFill>
                    <w14:schemeClr w14:val="tx1"/>
                  </w14:solidFill>
                </w14:textFill>
              </w:rPr>
            </w:pPr>
          </w:p>
        </w:tc>
        <w:tc>
          <w:tcPr>
            <w:tcW w:w="1276" w:type="dxa"/>
            <w:vAlign w:val="center"/>
          </w:tcPr>
          <w:p>
            <w:pPr>
              <w:spacing w:line="360" w:lineRule="auto"/>
              <w:rPr>
                <w:rFonts w:ascii="宋体" w:hAnsi="宋体"/>
                <w:color w:val="000000" w:themeColor="text1"/>
                <w:szCs w:val="21"/>
                <w14:textFill>
                  <w14:solidFill>
                    <w14:schemeClr w14:val="tx1"/>
                  </w14:solidFill>
                </w14:textFill>
              </w:rPr>
            </w:pPr>
          </w:p>
        </w:tc>
        <w:tc>
          <w:tcPr>
            <w:tcW w:w="709" w:type="dxa"/>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500"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194" w:type="dxa"/>
            <w:vAlign w:val="center"/>
          </w:tcPr>
          <w:p>
            <w:pPr>
              <w:spacing w:line="360" w:lineRule="auto"/>
              <w:rPr>
                <w:rFonts w:ascii="宋体" w:hAnsi="宋体"/>
                <w:color w:val="000000" w:themeColor="text1"/>
                <w:szCs w:val="21"/>
                <w14:textFill>
                  <w14:solidFill>
                    <w14:schemeClr w14:val="tx1"/>
                  </w14:solidFill>
                </w14:textFill>
              </w:rPr>
            </w:pPr>
          </w:p>
        </w:tc>
        <w:tc>
          <w:tcPr>
            <w:tcW w:w="734" w:type="dxa"/>
            <w:vAlign w:val="center"/>
          </w:tcPr>
          <w:p>
            <w:pPr>
              <w:spacing w:line="360" w:lineRule="auto"/>
              <w:rPr>
                <w:rFonts w:ascii="宋体" w:hAnsi="宋体"/>
                <w:color w:val="000000" w:themeColor="text1"/>
                <w:szCs w:val="21"/>
                <w14:textFill>
                  <w14:solidFill>
                    <w14:schemeClr w14:val="tx1"/>
                  </w14:solidFill>
                </w14:textFill>
              </w:rPr>
            </w:pPr>
          </w:p>
        </w:tc>
        <w:tc>
          <w:tcPr>
            <w:tcW w:w="3260" w:type="dxa"/>
            <w:vAlign w:val="center"/>
          </w:tcPr>
          <w:p>
            <w:pPr>
              <w:spacing w:line="360" w:lineRule="auto"/>
              <w:rPr>
                <w:rFonts w:ascii="宋体" w:hAnsi="宋体"/>
                <w:color w:val="000000" w:themeColor="text1"/>
                <w:szCs w:val="21"/>
                <w14:textFill>
                  <w14:solidFill>
                    <w14:schemeClr w14:val="tx1"/>
                  </w14:solidFill>
                </w14:textFill>
              </w:rPr>
            </w:pPr>
          </w:p>
        </w:tc>
        <w:tc>
          <w:tcPr>
            <w:tcW w:w="1276" w:type="dxa"/>
            <w:vAlign w:val="center"/>
          </w:tcPr>
          <w:p>
            <w:pPr>
              <w:spacing w:line="360" w:lineRule="auto"/>
              <w:rPr>
                <w:rFonts w:ascii="宋体" w:hAnsi="宋体"/>
                <w:color w:val="000000" w:themeColor="text1"/>
                <w:szCs w:val="21"/>
                <w14:textFill>
                  <w14:solidFill>
                    <w14:schemeClr w14:val="tx1"/>
                  </w14:solidFill>
                </w14:textFill>
              </w:rPr>
            </w:pPr>
          </w:p>
        </w:tc>
        <w:tc>
          <w:tcPr>
            <w:tcW w:w="709" w:type="dxa"/>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500"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194" w:type="dxa"/>
            <w:vAlign w:val="center"/>
          </w:tcPr>
          <w:p>
            <w:pPr>
              <w:spacing w:line="360" w:lineRule="auto"/>
              <w:rPr>
                <w:rFonts w:ascii="宋体" w:hAnsi="宋体"/>
                <w:color w:val="000000" w:themeColor="text1"/>
                <w:szCs w:val="21"/>
                <w14:textFill>
                  <w14:solidFill>
                    <w14:schemeClr w14:val="tx1"/>
                  </w14:solidFill>
                </w14:textFill>
              </w:rPr>
            </w:pPr>
          </w:p>
        </w:tc>
        <w:tc>
          <w:tcPr>
            <w:tcW w:w="734" w:type="dxa"/>
            <w:vAlign w:val="center"/>
          </w:tcPr>
          <w:p>
            <w:pPr>
              <w:spacing w:line="360" w:lineRule="auto"/>
              <w:rPr>
                <w:rFonts w:ascii="宋体" w:hAnsi="宋体"/>
                <w:color w:val="000000" w:themeColor="text1"/>
                <w:szCs w:val="21"/>
                <w14:textFill>
                  <w14:solidFill>
                    <w14:schemeClr w14:val="tx1"/>
                  </w14:solidFill>
                </w14:textFill>
              </w:rPr>
            </w:pPr>
          </w:p>
        </w:tc>
        <w:tc>
          <w:tcPr>
            <w:tcW w:w="3260" w:type="dxa"/>
            <w:vAlign w:val="center"/>
          </w:tcPr>
          <w:p>
            <w:pPr>
              <w:spacing w:line="360" w:lineRule="auto"/>
              <w:rPr>
                <w:rFonts w:ascii="宋体" w:hAnsi="宋体"/>
                <w:color w:val="000000" w:themeColor="text1"/>
                <w:szCs w:val="21"/>
                <w14:textFill>
                  <w14:solidFill>
                    <w14:schemeClr w14:val="tx1"/>
                  </w14:solidFill>
                </w14:textFill>
              </w:rPr>
            </w:pPr>
          </w:p>
        </w:tc>
        <w:tc>
          <w:tcPr>
            <w:tcW w:w="1276" w:type="dxa"/>
            <w:vAlign w:val="center"/>
          </w:tcPr>
          <w:p>
            <w:pPr>
              <w:spacing w:line="360" w:lineRule="auto"/>
              <w:rPr>
                <w:rFonts w:ascii="宋体" w:hAnsi="宋体"/>
                <w:color w:val="000000" w:themeColor="text1"/>
                <w:szCs w:val="21"/>
                <w14:textFill>
                  <w14:solidFill>
                    <w14:schemeClr w14:val="tx1"/>
                  </w14:solidFill>
                </w14:textFill>
              </w:rPr>
            </w:pPr>
          </w:p>
        </w:tc>
        <w:tc>
          <w:tcPr>
            <w:tcW w:w="709" w:type="dxa"/>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500"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194" w:type="dxa"/>
            <w:vAlign w:val="center"/>
          </w:tcPr>
          <w:p>
            <w:pPr>
              <w:spacing w:line="360" w:lineRule="auto"/>
              <w:rPr>
                <w:rFonts w:ascii="宋体" w:hAnsi="宋体"/>
                <w:color w:val="000000" w:themeColor="text1"/>
                <w:szCs w:val="21"/>
                <w14:textFill>
                  <w14:solidFill>
                    <w14:schemeClr w14:val="tx1"/>
                  </w14:solidFill>
                </w14:textFill>
              </w:rPr>
            </w:pPr>
          </w:p>
        </w:tc>
        <w:tc>
          <w:tcPr>
            <w:tcW w:w="734" w:type="dxa"/>
            <w:vAlign w:val="center"/>
          </w:tcPr>
          <w:p>
            <w:pPr>
              <w:spacing w:line="360" w:lineRule="auto"/>
              <w:rPr>
                <w:rFonts w:ascii="宋体" w:hAnsi="宋体"/>
                <w:color w:val="000000" w:themeColor="text1"/>
                <w:szCs w:val="21"/>
                <w14:textFill>
                  <w14:solidFill>
                    <w14:schemeClr w14:val="tx1"/>
                  </w14:solidFill>
                </w14:textFill>
              </w:rPr>
            </w:pPr>
          </w:p>
        </w:tc>
        <w:tc>
          <w:tcPr>
            <w:tcW w:w="3260" w:type="dxa"/>
            <w:vAlign w:val="center"/>
          </w:tcPr>
          <w:p>
            <w:pPr>
              <w:spacing w:line="360" w:lineRule="auto"/>
              <w:rPr>
                <w:rFonts w:ascii="宋体" w:hAnsi="宋体"/>
                <w:color w:val="000000" w:themeColor="text1"/>
                <w:szCs w:val="21"/>
                <w14:textFill>
                  <w14:solidFill>
                    <w14:schemeClr w14:val="tx1"/>
                  </w14:solidFill>
                </w14:textFill>
              </w:rPr>
            </w:pPr>
          </w:p>
        </w:tc>
        <w:tc>
          <w:tcPr>
            <w:tcW w:w="1276" w:type="dxa"/>
            <w:vAlign w:val="center"/>
          </w:tcPr>
          <w:p>
            <w:pPr>
              <w:spacing w:line="360" w:lineRule="auto"/>
              <w:rPr>
                <w:rFonts w:ascii="宋体" w:hAnsi="宋体"/>
                <w:color w:val="000000" w:themeColor="text1"/>
                <w:szCs w:val="21"/>
                <w14:textFill>
                  <w14:solidFill>
                    <w14:schemeClr w14:val="tx1"/>
                  </w14:solidFill>
                </w14:textFill>
              </w:rPr>
            </w:pPr>
          </w:p>
        </w:tc>
        <w:tc>
          <w:tcPr>
            <w:tcW w:w="709" w:type="dxa"/>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500"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194" w:type="dxa"/>
            <w:vAlign w:val="center"/>
          </w:tcPr>
          <w:p>
            <w:pPr>
              <w:spacing w:line="360" w:lineRule="auto"/>
              <w:rPr>
                <w:rFonts w:ascii="宋体" w:hAnsi="宋体"/>
                <w:color w:val="000000" w:themeColor="text1"/>
                <w:szCs w:val="21"/>
                <w14:textFill>
                  <w14:solidFill>
                    <w14:schemeClr w14:val="tx1"/>
                  </w14:solidFill>
                </w14:textFill>
              </w:rPr>
            </w:pPr>
          </w:p>
        </w:tc>
        <w:tc>
          <w:tcPr>
            <w:tcW w:w="734" w:type="dxa"/>
            <w:vAlign w:val="center"/>
          </w:tcPr>
          <w:p>
            <w:pPr>
              <w:spacing w:line="360" w:lineRule="auto"/>
              <w:rPr>
                <w:rFonts w:ascii="宋体" w:hAnsi="宋体"/>
                <w:color w:val="000000" w:themeColor="text1"/>
                <w:szCs w:val="21"/>
                <w14:textFill>
                  <w14:solidFill>
                    <w14:schemeClr w14:val="tx1"/>
                  </w14:solidFill>
                </w14:textFill>
              </w:rPr>
            </w:pPr>
          </w:p>
        </w:tc>
        <w:tc>
          <w:tcPr>
            <w:tcW w:w="3260" w:type="dxa"/>
            <w:vAlign w:val="center"/>
          </w:tcPr>
          <w:p>
            <w:pPr>
              <w:spacing w:line="360" w:lineRule="auto"/>
              <w:rPr>
                <w:rFonts w:ascii="宋体" w:hAnsi="宋体"/>
                <w:color w:val="000000" w:themeColor="text1"/>
                <w:szCs w:val="21"/>
                <w14:textFill>
                  <w14:solidFill>
                    <w14:schemeClr w14:val="tx1"/>
                  </w14:solidFill>
                </w14:textFill>
              </w:rPr>
            </w:pPr>
          </w:p>
        </w:tc>
        <w:tc>
          <w:tcPr>
            <w:tcW w:w="1276" w:type="dxa"/>
            <w:vAlign w:val="center"/>
          </w:tcPr>
          <w:p>
            <w:pPr>
              <w:spacing w:line="360" w:lineRule="auto"/>
              <w:rPr>
                <w:rFonts w:ascii="宋体" w:hAnsi="宋体"/>
                <w:color w:val="000000" w:themeColor="text1"/>
                <w:szCs w:val="21"/>
                <w14:textFill>
                  <w14:solidFill>
                    <w14:schemeClr w14:val="tx1"/>
                  </w14:solidFill>
                </w14:textFill>
              </w:rPr>
            </w:pPr>
          </w:p>
        </w:tc>
        <w:tc>
          <w:tcPr>
            <w:tcW w:w="709" w:type="dxa"/>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50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194" w:type="dxa"/>
            <w:vAlign w:val="center"/>
          </w:tcPr>
          <w:p>
            <w:pPr>
              <w:spacing w:line="360" w:lineRule="auto"/>
              <w:rPr>
                <w:rFonts w:ascii="宋体" w:hAnsi="宋体"/>
                <w:color w:val="000000" w:themeColor="text1"/>
                <w:szCs w:val="21"/>
                <w14:textFill>
                  <w14:solidFill>
                    <w14:schemeClr w14:val="tx1"/>
                  </w14:solidFill>
                </w14:textFill>
              </w:rPr>
            </w:pPr>
          </w:p>
        </w:tc>
        <w:tc>
          <w:tcPr>
            <w:tcW w:w="734" w:type="dxa"/>
            <w:vAlign w:val="center"/>
          </w:tcPr>
          <w:p>
            <w:pPr>
              <w:spacing w:line="360" w:lineRule="auto"/>
              <w:rPr>
                <w:rFonts w:ascii="宋体" w:hAnsi="宋体"/>
                <w:color w:val="000000" w:themeColor="text1"/>
                <w:szCs w:val="21"/>
                <w14:textFill>
                  <w14:solidFill>
                    <w14:schemeClr w14:val="tx1"/>
                  </w14:solidFill>
                </w14:textFill>
              </w:rPr>
            </w:pPr>
          </w:p>
        </w:tc>
        <w:tc>
          <w:tcPr>
            <w:tcW w:w="3260" w:type="dxa"/>
            <w:vAlign w:val="center"/>
          </w:tcPr>
          <w:p>
            <w:pPr>
              <w:spacing w:line="360" w:lineRule="auto"/>
              <w:rPr>
                <w:rFonts w:ascii="宋体" w:hAnsi="宋体"/>
                <w:color w:val="000000" w:themeColor="text1"/>
                <w:szCs w:val="21"/>
                <w14:textFill>
                  <w14:solidFill>
                    <w14:schemeClr w14:val="tx1"/>
                  </w14:solidFill>
                </w14:textFill>
              </w:rPr>
            </w:pPr>
          </w:p>
        </w:tc>
        <w:tc>
          <w:tcPr>
            <w:tcW w:w="1276" w:type="dxa"/>
            <w:vAlign w:val="center"/>
          </w:tcPr>
          <w:p>
            <w:pPr>
              <w:spacing w:line="360" w:lineRule="auto"/>
              <w:rPr>
                <w:rFonts w:ascii="宋体" w:hAnsi="宋体"/>
                <w:color w:val="000000" w:themeColor="text1"/>
                <w:szCs w:val="21"/>
                <w14:textFill>
                  <w14:solidFill>
                    <w14:schemeClr w14:val="tx1"/>
                  </w14:solidFill>
                </w14:textFill>
              </w:rPr>
            </w:pPr>
          </w:p>
        </w:tc>
        <w:tc>
          <w:tcPr>
            <w:tcW w:w="709" w:type="dxa"/>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4279" w:type="dxa"/>
            <w:gridSpan w:val="4"/>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投标报价（大写）（人民币）</w:t>
            </w:r>
          </w:p>
        </w:tc>
        <w:tc>
          <w:tcPr>
            <w:tcW w:w="5245" w:type="dxa"/>
            <w:gridSpan w:val="3"/>
          </w:tcPr>
          <w:p>
            <w:pPr>
              <w:spacing w:line="360" w:lineRule="auto"/>
              <w:rPr>
                <w:rFonts w:ascii="宋体" w:hAnsi="宋体"/>
                <w:color w:val="000000" w:themeColor="text1"/>
                <w:szCs w:val="21"/>
                <w14:textFill>
                  <w14:solidFill>
                    <w14:schemeClr w14:val="tx1"/>
                  </w14:solidFill>
                </w14:textFill>
              </w:rPr>
            </w:pPr>
          </w:p>
        </w:tc>
      </w:tr>
    </w:tbl>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w:t>
      </w:r>
    </w:p>
    <w:p>
      <w:pPr>
        <w:pStyle w:val="18"/>
        <w:spacing w:line="360" w:lineRule="auto"/>
        <w:ind w:left="-178" w:leftChars="-85" w:firstLine="505" w:firstLineChars="2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、若投标人尚有其它内容需明列的，请按此表格式扩展。</w:t>
      </w:r>
    </w:p>
    <w:p>
      <w:pPr>
        <w:pStyle w:val="18"/>
        <w:spacing w:line="360" w:lineRule="auto"/>
        <w:ind w:left="-178" w:leftChars="-85" w:firstLine="505" w:firstLineChars="2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2、“投标报价”应与格式一“投标函”中“投标报价”一致。</w:t>
      </w:r>
    </w:p>
    <w:p>
      <w:pPr>
        <w:pStyle w:val="18"/>
        <w:spacing w:line="360" w:lineRule="auto"/>
        <w:ind w:left="-178" w:leftChars="-85" w:firstLine="505" w:firstLineChars="250"/>
        <w:rPr>
          <w:rFonts w:hAnsi="宋体"/>
          <w:color w:val="000000" w:themeColor="text1"/>
          <w:sz w:val="21"/>
          <w:szCs w:val="21"/>
          <w14:textFill>
            <w14:solidFill>
              <w14:schemeClr w14:val="tx1"/>
            </w14:solidFill>
          </w14:textFill>
        </w:rPr>
      </w:pPr>
    </w:p>
    <w:p>
      <w:pPr>
        <w:pStyle w:val="18"/>
        <w:snapToGrid w:val="0"/>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投 标 人  （盖章）：                   </w:t>
      </w:r>
    </w:p>
    <w:p>
      <w:pPr>
        <w:pStyle w:val="18"/>
        <w:snapToGrid w:val="0"/>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法定代表人或其授权代表（签字或盖章）：</w:t>
      </w:r>
    </w:p>
    <w:p>
      <w:pPr>
        <w:pStyle w:val="18"/>
        <w:widowControl/>
        <w:spacing w:line="360" w:lineRule="auto"/>
        <w:ind w:firstLine="303" w:firstLineChars="15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             期：</w:t>
      </w:r>
    </w:p>
    <w:p>
      <w:pPr>
        <w:pStyle w:val="18"/>
        <w:widowControl/>
        <w:spacing w:line="360" w:lineRule="auto"/>
        <w:ind w:firstLine="0"/>
        <w:jc w:val="left"/>
        <w:rPr>
          <w:rFonts w:hAnsi="宋体"/>
          <w:b/>
          <w:color w:val="000000" w:themeColor="text1"/>
          <w:sz w:val="28"/>
          <w14:textFill>
            <w14:solidFill>
              <w14:schemeClr w14:val="tx1"/>
            </w14:solidFill>
          </w14:textFill>
        </w:rPr>
        <w:sectPr>
          <w:headerReference r:id="rId7" w:type="default"/>
          <w:footerReference r:id="rId8" w:type="default"/>
          <w:pgSz w:w="11906" w:h="16838"/>
          <w:pgMar w:top="1474" w:right="1531" w:bottom="1247" w:left="1531" w:header="851" w:footer="851" w:gutter="0"/>
          <w:cols w:space="720" w:num="1"/>
          <w:titlePg/>
          <w:docGrid w:linePitch="312" w:charSpace="0"/>
        </w:sectPr>
      </w:pPr>
    </w:p>
    <w:p>
      <w:pPr>
        <w:rPr>
          <w:rFonts w:ascii="宋体" w:hAnsi="宋体"/>
          <w:color w:val="000000" w:themeColor="text1"/>
          <w:sz w:val="24"/>
          <w:szCs w:val="21"/>
          <w14:textFill>
            <w14:solidFill>
              <w14:schemeClr w14:val="tx1"/>
            </w14:solidFill>
          </w14:textFill>
        </w:rPr>
      </w:pPr>
      <w:bookmarkStart w:id="227" w:name="_Toc460857948"/>
      <w:r>
        <w:rPr>
          <w:rFonts w:hint="eastAsia" w:ascii="宋体" w:hAnsi="宋体"/>
          <w:b/>
          <w:color w:val="000000" w:themeColor="text1"/>
          <w14:textFill>
            <w14:solidFill>
              <w14:schemeClr w14:val="tx1"/>
            </w14:solidFill>
          </w14:textFill>
        </w:rPr>
        <w:t>格式十一：</w:t>
      </w:r>
      <w:bookmarkEnd w:id="227"/>
      <w:r>
        <w:rPr>
          <w:rFonts w:hint="eastAsia" w:ascii="宋体" w:hAnsi="宋体"/>
          <w:color w:val="000000" w:themeColor="text1"/>
          <w:szCs w:val="21"/>
          <w14:textFill>
            <w14:solidFill>
              <w14:schemeClr w14:val="tx1"/>
            </w14:solidFill>
          </w14:textFill>
        </w:rPr>
        <w:t>投标分项报价表</w:t>
      </w:r>
    </w:p>
    <w:p>
      <w:pPr>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投标分项报价表</w:t>
      </w:r>
    </w:p>
    <w:p>
      <w:pPr>
        <w:jc w:val="center"/>
        <w:rPr>
          <w:rFonts w:ascii="宋体" w:hAnsi="宋体"/>
          <w:b/>
          <w:color w:val="000000" w:themeColor="text1"/>
          <w:sz w:val="24"/>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t>项目名称： 招标编号：</w:t>
      </w:r>
    </w:p>
    <w:tbl>
      <w:tblPr>
        <w:tblStyle w:val="40"/>
        <w:tblW w:w="131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127"/>
        <w:gridCol w:w="917"/>
        <w:gridCol w:w="685"/>
        <w:gridCol w:w="502"/>
        <w:gridCol w:w="880"/>
        <w:gridCol w:w="639"/>
        <w:gridCol w:w="771"/>
        <w:gridCol w:w="768"/>
        <w:gridCol w:w="771"/>
        <w:gridCol w:w="897"/>
        <w:gridCol w:w="897"/>
        <w:gridCol w:w="771"/>
        <w:gridCol w:w="1026"/>
        <w:gridCol w:w="897"/>
        <w:gridCol w:w="11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80"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子包号</w:t>
            </w:r>
          </w:p>
        </w:tc>
        <w:tc>
          <w:tcPr>
            <w:tcW w:w="1127"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货物名称</w:t>
            </w:r>
          </w:p>
        </w:tc>
        <w:tc>
          <w:tcPr>
            <w:tcW w:w="917"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主要规格</w:t>
            </w:r>
          </w:p>
        </w:tc>
        <w:tc>
          <w:tcPr>
            <w:tcW w:w="685"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数量单位</w:t>
            </w:r>
          </w:p>
        </w:tc>
        <w:tc>
          <w:tcPr>
            <w:tcW w:w="502"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880"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制造商</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名称</w:t>
            </w:r>
          </w:p>
        </w:tc>
        <w:tc>
          <w:tcPr>
            <w:tcW w:w="639"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投标价</w:t>
            </w:r>
          </w:p>
          <w:p>
            <w:pPr>
              <w:jc w:val="center"/>
              <w:rPr>
                <w:rFonts w:ascii="宋体" w:hAnsi="宋体"/>
                <w:color w:val="000000" w:themeColor="text1"/>
                <w:szCs w:val="21"/>
                <w14:textFill>
                  <w14:solidFill>
                    <w14:schemeClr w14:val="tx1"/>
                  </w14:solidFill>
                </w14:textFill>
              </w:rPr>
            </w:pPr>
          </w:p>
        </w:tc>
        <w:tc>
          <w:tcPr>
            <w:tcW w:w="5901" w:type="dxa"/>
            <w:gridSpan w:val="7"/>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投标价组成（价格单位：人民币元）</w:t>
            </w:r>
          </w:p>
        </w:tc>
        <w:tc>
          <w:tcPr>
            <w:tcW w:w="897"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交货日期</w:t>
            </w:r>
          </w:p>
        </w:tc>
        <w:tc>
          <w:tcPr>
            <w:tcW w:w="1155" w:type="dxa"/>
            <w:vMerge w:val="restart"/>
            <w:vAlign w:val="center"/>
          </w:tcPr>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交货地点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480" w:type="dxa"/>
            <w:vMerge w:val="continue"/>
            <w:vAlign w:val="center"/>
          </w:tcPr>
          <w:p>
            <w:pPr>
              <w:rPr>
                <w:rFonts w:ascii="宋体" w:hAnsi="宋体"/>
                <w:color w:val="000000" w:themeColor="text1"/>
                <w14:textFill>
                  <w14:solidFill>
                    <w14:schemeClr w14:val="tx1"/>
                  </w14:solidFill>
                </w14:textFill>
              </w:rPr>
            </w:pPr>
          </w:p>
        </w:tc>
        <w:tc>
          <w:tcPr>
            <w:tcW w:w="1127" w:type="dxa"/>
            <w:vMerge w:val="continue"/>
            <w:vAlign w:val="center"/>
          </w:tcPr>
          <w:p>
            <w:pPr>
              <w:rPr>
                <w:rFonts w:ascii="宋体" w:hAnsi="宋体"/>
                <w:color w:val="000000" w:themeColor="text1"/>
                <w14:textFill>
                  <w14:solidFill>
                    <w14:schemeClr w14:val="tx1"/>
                  </w14:solidFill>
                </w14:textFill>
              </w:rPr>
            </w:pPr>
          </w:p>
        </w:tc>
        <w:tc>
          <w:tcPr>
            <w:tcW w:w="917" w:type="dxa"/>
            <w:vMerge w:val="continue"/>
            <w:vAlign w:val="center"/>
          </w:tcPr>
          <w:p>
            <w:pPr>
              <w:rPr>
                <w:rFonts w:ascii="宋体" w:hAnsi="宋体"/>
                <w:color w:val="000000" w:themeColor="text1"/>
                <w14:textFill>
                  <w14:solidFill>
                    <w14:schemeClr w14:val="tx1"/>
                  </w14:solidFill>
                </w14:textFill>
              </w:rPr>
            </w:pPr>
          </w:p>
        </w:tc>
        <w:tc>
          <w:tcPr>
            <w:tcW w:w="685" w:type="dxa"/>
            <w:vMerge w:val="continue"/>
            <w:vAlign w:val="center"/>
          </w:tcPr>
          <w:p>
            <w:pPr>
              <w:rPr>
                <w:rFonts w:ascii="宋体" w:hAnsi="宋体"/>
                <w:color w:val="000000" w:themeColor="text1"/>
                <w14:textFill>
                  <w14:solidFill>
                    <w14:schemeClr w14:val="tx1"/>
                  </w14:solidFill>
                </w14:textFill>
              </w:rPr>
            </w:pPr>
          </w:p>
        </w:tc>
        <w:tc>
          <w:tcPr>
            <w:tcW w:w="502" w:type="dxa"/>
            <w:vMerge w:val="continue"/>
            <w:vAlign w:val="center"/>
          </w:tcPr>
          <w:p>
            <w:pPr>
              <w:rPr>
                <w:rFonts w:ascii="宋体" w:hAnsi="宋体"/>
                <w:color w:val="000000" w:themeColor="text1"/>
                <w14:textFill>
                  <w14:solidFill>
                    <w14:schemeClr w14:val="tx1"/>
                  </w14:solidFill>
                </w14:textFill>
              </w:rPr>
            </w:pPr>
          </w:p>
        </w:tc>
        <w:tc>
          <w:tcPr>
            <w:tcW w:w="880" w:type="dxa"/>
            <w:vMerge w:val="continue"/>
            <w:vAlign w:val="center"/>
          </w:tcPr>
          <w:p>
            <w:pPr>
              <w:rPr>
                <w:rFonts w:ascii="宋体" w:hAnsi="宋体"/>
                <w:color w:val="000000" w:themeColor="text1"/>
                <w14:textFill>
                  <w14:solidFill>
                    <w14:schemeClr w14:val="tx1"/>
                  </w14:solidFill>
                </w14:textFill>
              </w:rPr>
            </w:pPr>
          </w:p>
        </w:tc>
        <w:tc>
          <w:tcPr>
            <w:tcW w:w="639" w:type="dxa"/>
            <w:vMerge w:val="continue"/>
            <w:vAlign w:val="center"/>
          </w:tcPr>
          <w:p>
            <w:pPr>
              <w:rPr>
                <w:rFonts w:ascii="宋体" w:hAnsi="宋体"/>
                <w:color w:val="000000" w:themeColor="text1"/>
                <w14:textFill>
                  <w14:solidFill>
                    <w14:schemeClr w14:val="tx1"/>
                  </w14:solidFill>
                </w14:textFill>
              </w:rPr>
            </w:pPr>
          </w:p>
        </w:tc>
        <w:tc>
          <w:tcPr>
            <w:tcW w:w="7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货物总价</w:t>
            </w:r>
          </w:p>
        </w:tc>
        <w:tc>
          <w:tcPr>
            <w:tcW w:w="768"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货物单价</w:t>
            </w:r>
          </w:p>
        </w:tc>
        <w:tc>
          <w:tcPr>
            <w:tcW w:w="7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特殊工具费</w:t>
            </w:r>
          </w:p>
        </w:tc>
        <w:tc>
          <w:tcPr>
            <w:tcW w:w="897"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备品备件费</w:t>
            </w:r>
          </w:p>
        </w:tc>
        <w:tc>
          <w:tcPr>
            <w:tcW w:w="897"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安装调试费</w:t>
            </w:r>
          </w:p>
        </w:tc>
        <w:tc>
          <w:tcPr>
            <w:tcW w:w="7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技术服务及培训费</w:t>
            </w:r>
          </w:p>
        </w:tc>
        <w:tc>
          <w:tcPr>
            <w:tcW w:w="102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运输保险费</w:t>
            </w:r>
          </w:p>
        </w:tc>
        <w:tc>
          <w:tcPr>
            <w:tcW w:w="897" w:type="dxa"/>
            <w:vMerge w:val="continue"/>
            <w:vAlign w:val="center"/>
          </w:tcPr>
          <w:p>
            <w:pPr>
              <w:rPr>
                <w:rFonts w:ascii="宋体" w:hAnsi="宋体"/>
                <w:color w:val="000000" w:themeColor="text1"/>
                <w14:textFill>
                  <w14:solidFill>
                    <w14:schemeClr w14:val="tx1"/>
                  </w14:solidFill>
                </w14:textFill>
              </w:rPr>
            </w:pPr>
          </w:p>
        </w:tc>
        <w:tc>
          <w:tcPr>
            <w:tcW w:w="1155" w:type="dxa"/>
            <w:vMerge w:val="continue"/>
            <w:vAlign w:val="center"/>
          </w:tcPr>
          <w:p>
            <w:pP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0" w:type="dxa"/>
            <w:vAlign w:val="center"/>
          </w:tcPr>
          <w:p>
            <w:pPr>
              <w:jc w:val="center"/>
              <w:rPr>
                <w:rFonts w:ascii="宋体" w:hAnsi="宋体"/>
                <w:color w:val="000000" w:themeColor="text1"/>
                <w:szCs w:val="21"/>
                <w14:textFill>
                  <w14:solidFill>
                    <w14:schemeClr w14:val="tx1"/>
                  </w14:solidFill>
                </w14:textFill>
              </w:rPr>
            </w:pPr>
          </w:p>
        </w:tc>
        <w:tc>
          <w:tcPr>
            <w:tcW w:w="1127"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917"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68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50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88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639"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7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c>
          <w:tcPr>
            <w:tcW w:w="768"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7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p>
        </w:tc>
        <w:tc>
          <w:tcPr>
            <w:tcW w:w="897"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w:t>
            </w:r>
          </w:p>
        </w:tc>
        <w:tc>
          <w:tcPr>
            <w:tcW w:w="897"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w:t>
            </w:r>
          </w:p>
        </w:tc>
        <w:tc>
          <w:tcPr>
            <w:tcW w:w="7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c>
          <w:tcPr>
            <w:tcW w:w="102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w:t>
            </w:r>
          </w:p>
        </w:tc>
        <w:tc>
          <w:tcPr>
            <w:tcW w:w="897"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w:t>
            </w:r>
          </w:p>
        </w:tc>
        <w:tc>
          <w:tcPr>
            <w:tcW w:w="115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0" w:type="dxa"/>
            <w:vAlign w:val="center"/>
          </w:tcPr>
          <w:p>
            <w:pPr>
              <w:rPr>
                <w:rFonts w:ascii="宋体" w:hAnsi="宋体"/>
                <w:color w:val="000000" w:themeColor="text1"/>
                <w:szCs w:val="21"/>
                <w14:textFill>
                  <w14:solidFill>
                    <w14:schemeClr w14:val="tx1"/>
                  </w14:solidFill>
                </w14:textFill>
              </w:rPr>
            </w:pPr>
          </w:p>
        </w:tc>
        <w:tc>
          <w:tcPr>
            <w:tcW w:w="1127" w:type="dxa"/>
            <w:vAlign w:val="center"/>
          </w:tcPr>
          <w:p>
            <w:pPr>
              <w:rPr>
                <w:rFonts w:ascii="宋体" w:hAnsi="宋体"/>
                <w:color w:val="000000" w:themeColor="text1"/>
                <w:szCs w:val="21"/>
                <w14:textFill>
                  <w14:solidFill>
                    <w14:schemeClr w14:val="tx1"/>
                  </w14:solidFill>
                </w14:textFill>
              </w:rPr>
            </w:pPr>
          </w:p>
        </w:tc>
        <w:tc>
          <w:tcPr>
            <w:tcW w:w="917" w:type="dxa"/>
            <w:vAlign w:val="center"/>
          </w:tcPr>
          <w:p>
            <w:pPr>
              <w:rPr>
                <w:rFonts w:ascii="宋体" w:hAnsi="宋体"/>
                <w:color w:val="000000" w:themeColor="text1"/>
                <w:szCs w:val="21"/>
                <w14:textFill>
                  <w14:solidFill>
                    <w14:schemeClr w14:val="tx1"/>
                  </w14:solidFill>
                </w14:textFill>
              </w:rPr>
            </w:pPr>
          </w:p>
        </w:tc>
        <w:tc>
          <w:tcPr>
            <w:tcW w:w="685" w:type="dxa"/>
            <w:vAlign w:val="center"/>
          </w:tcPr>
          <w:p>
            <w:pPr>
              <w:rPr>
                <w:rFonts w:ascii="宋体" w:hAnsi="宋体"/>
                <w:color w:val="000000" w:themeColor="text1"/>
                <w:szCs w:val="21"/>
                <w14:textFill>
                  <w14:solidFill>
                    <w14:schemeClr w14:val="tx1"/>
                  </w14:solidFill>
                </w14:textFill>
              </w:rPr>
            </w:pPr>
          </w:p>
        </w:tc>
        <w:tc>
          <w:tcPr>
            <w:tcW w:w="502" w:type="dxa"/>
            <w:vAlign w:val="center"/>
          </w:tcPr>
          <w:p>
            <w:pPr>
              <w:rPr>
                <w:rFonts w:ascii="宋体" w:hAnsi="宋体"/>
                <w:color w:val="000000" w:themeColor="text1"/>
                <w:szCs w:val="21"/>
                <w14:textFill>
                  <w14:solidFill>
                    <w14:schemeClr w14:val="tx1"/>
                  </w14:solidFill>
                </w14:textFill>
              </w:rPr>
            </w:pPr>
          </w:p>
        </w:tc>
        <w:tc>
          <w:tcPr>
            <w:tcW w:w="880" w:type="dxa"/>
            <w:vAlign w:val="center"/>
          </w:tcPr>
          <w:p>
            <w:pPr>
              <w:rPr>
                <w:rFonts w:ascii="宋体" w:hAnsi="宋体"/>
                <w:color w:val="000000" w:themeColor="text1"/>
                <w:szCs w:val="21"/>
                <w14:textFill>
                  <w14:solidFill>
                    <w14:schemeClr w14:val="tx1"/>
                  </w14:solidFill>
                </w14:textFill>
              </w:rPr>
            </w:pPr>
          </w:p>
        </w:tc>
        <w:tc>
          <w:tcPr>
            <w:tcW w:w="639" w:type="dxa"/>
            <w:vAlign w:val="center"/>
          </w:tcPr>
          <w:p>
            <w:pPr>
              <w:rPr>
                <w:rFonts w:ascii="宋体" w:hAnsi="宋体"/>
                <w:color w:val="000000" w:themeColor="text1"/>
                <w:szCs w:val="21"/>
                <w14:textFill>
                  <w14:solidFill>
                    <w14:schemeClr w14:val="tx1"/>
                  </w14:solidFill>
                </w14:textFill>
              </w:rPr>
            </w:pPr>
          </w:p>
        </w:tc>
        <w:tc>
          <w:tcPr>
            <w:tcW w:w="771" w:type="dxa"/>
            <w:vAlign w:val="center"/>
          </w:tcPr>
          <w:p>
            <w:pPr>
              <w:rPr>
                <w:rFonts w:ascii="宋体" w:hAnsi="宋体"/>
                <w:color w:val="000000" w:themeColor="text1"/>
                <w:szCs w:val="21"/>
                <w14:textFill>
                  <w14:solidFill>
                    <w14:schemeClr w14:val="tx1"/>
                  </w14:solidFill>
                </w14:textFill>
              </w:rPr>
            </w:pPr>
          </w:p>
        </w:tc>
        <w:tc>
          <w:tcPr>
            <w:tcW w:w="768" w:type="dxa"/>
            <w:vAlign w:val="center"/>
          </w:tcPr>
          <w:p>
            <w:pPr>
              <w:rPr>
                <w:rFonts w:ascii="宋体" w:hAnsi="宋体"/>
                <w:color w:val="000000" w:themeColor="text1"/>
                <w:szCs w:val="21"/>
                <w14:textFill>
                  <w14:solidFill>
                    <w14:schemeClr w14:val="tx1"/>
                  </w14:solidFill>
                </w14:textFill>
              </w:rPr>
            </w:pPr>
          </w:p>
        </w:tc>
        <w:tc>
          <w:tcPr>
            <w:tcW w:w="771" w:type="dxa"/>
            <w:vAlign w:val="center"/>
          </w:tcPr>
          <w:p>
            <w:pPr>
              <w:rPr>
                <w:rFonts w:ascii="宋体" w:hAnsi="宋体"/>
                <w:color w:val="000000" w:themeColor="text1"/>
                <w:szCs w:val="21"/>
                <w14:textFill>
                  <w14:solidFill>
                    <w14:schemeClr w14:val="tx1"/>
                  </w14:solidFill>
                </w14:textFill>
              </w:rPr>
            </w:pPr>
          </w:p>
        </w:tc>
        <w:tc>
          <w:tcPr>
            <w:tcW w:w="897" w:type="dxa"/>
            <w:vAlign w:val="center"/>
          </w:tcPr>
          <w:p>
            <w:pPr>
              <w:rPr>
                <w:rFonts w:ascii="宋体" w:hAnsi="宋体"/>
                <w:color w:val="000000" w:themeColor="text1"/>
                <w:szCs w:val="21"/>
                <w14:textFill>
                  <w14:solidFill>
                    <w14:schemeClr w14:val="tx1"/>
                  </w14:solidFill>
                </w14:textFill>
              </w:rPr>
            </w:pPr>
          </w:p>
        </w:tc>
        <w:tc>
          <w:tcPr>
            <w:tcW w:w="897" w:type="dxa"/>
            <w:vAlign w:val="center"/>
          </w:tcPr>
          <w:p>
            <w:pPr>
              <w:rPr>
                <w:rFonts w:ascii="宋体" w:hAnsi="宋体"/>
                <w:color w:val="000000" w:themeColor="text1"/>
                <w:szCs w:val="21"/>
                <w14:textFill>
                  <w14:solidFill>
                    <w14:schemeClr w14:val="tx1"/>
                  </w14:solidFill>
                </w14:textFill>
              </w:rPr>
            </w:pPr>
          </w:p>
        </w:tc>
        <w:tc>
          <w:tcPr>
            <w:tcW w:w="771" w:type="dxa"/>
            <w:vAlign w:val="center"/>
          </w:tcPr>
          <w:p>
            <w:pPr>
              <w:rPr>
                <w:rFonts w:ascii="宋体" w:hAnsi="宋体"/>
                <w:color w:val="000000" w:themeColor="text1"/>
                <w:szCs w:val="21"/>
                <w14:textFill>
                  <w14:solidFill>
                    <w14:schemeClr w14:val="tx1"/>
                  </w14:solidFill>
                </w14:textFill>
              </w:rPr>
            </w:pPr>
          </w:p>
        </w:tc>
        <w:tc>
          <w:tcPr>
            <w:tcW w:w="1026" w:type="dxa"/>
            <w:vAlign w:val="center"/>
          </w:tcPr>
          <w:p>
            <w:pPr>
              <w:rPr>
                <w:rFonts w:ascii="宋体" w:hAnsi="宋体"/>
                <w:color w:val="000000" w:themeColor="text1"/>
                <w:szCs w:val="21"/>
                <w14:textFill>
                  <w14:solidFill>
                    <w14:schemeClr w14:val="tx1"/>
                  </w14:solidFill>
                </w14:textFill>
              </w:rPr>
            </w:pPr>
          </w:p>
        </w:tc>
        <w:tc>
          <w:tcPr>
            <w:tcW w:w="897" w:type="dxa"/>
            <w:vAlign w:val="center"/>
          </w:tcPr>
          <w:p>
            <w:pPr>
              <w:rPr>
                <w:rFonts w:ascii="宋体" w:hAnsi="宋体"/>
                <w:color w:val="000000" w:themeColor="text1"/>
                <w:szCs w:val="21"/>
                <w14:textFill>
                  <w14:solidFill>
                    <w14:schemeClr w14:val="tx1"/>
                  </w14:solidFill>
                </w14:textFill>
              </w:rPr>
            </w:pPr>
          </w:p>
        </w:tc>
        <w:tc>
          <w:tcPr>
            <w:tcW w:w="1155" w:type="dxa"/>
            <w:vAlign w:val="center"/>
          </w:tcPr>
          <w:p>
            <w:pP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0" w:type="dxa"/>
            <w:vAlign w:val="center"/>
          </w:tcPr>
          <w:p>
            <w:pPr>
              <w:rPr>
                <w:rFonts w:ascii="宋体" w:hAnsi="宋体"/>
                <w:color w:val="000000" w:themeColor="text1"/>
                <w:szCs w:val="21"/>
                <w14:textFill>
                  <w14:solidFill>
                    <w14:schemeClr w14:val="tx1"/>
                  </w14:solidFill>
                </w14:textFill>
              </w:rPr>
            </w:pPr>
          </w:p>
        </w:tc>
        <w:tc>
          <w:tcPr>
            <w:tcW w:w="1127" w:type="dxa"/>
            <w:vAlign w:val="center"/>
          </w:tcPr>
          <w:p>
            <w:pPr>
              <w:rPr>
                <w:rFonts w:ascii="宋体" w:hAnsi="宋体"/>
                <w:color w:val="000000" w:themeColor="text1"/>
                <w:szCs w:val="21"/>
                <w14:textFill>
                  <w14:solidFill>
                    <w14:schemeClr w14:val="tx1"/>
                  </w14:solidFill>
                </w14:textFill>
              </w:rPr>
            </w:pPr>
          </w:p>
        </w:tc>
        <w:tc>
          <w:tcPr>
            <w:tcW w:w="917" w:type="dxa"/>
            <w:vAlign w:val="center"/>
          </w:tcPr>
          <w:p>
            <w:pPr>
              <w:rPr>
                <w:rFonts w:ascii="宋体" w:hAnsi="宋体"/>
                <w:color w:val="000000" w:themeColor="text1"/>
                <w:szCs w:val="21"/>
                <w14:textFill>
                  <w14:solidFill>
                    <w14:schemeClr w14:val="tx1"/>
                  </w14:solidFill>
                </w14:textFill>
              </w:rPr>
            </w:pPr>
          </w:p>
        </w:tc>
        <w:tc>
          <w:tcPr>
            <w:tcW w:w="685" w:type="dxa"/>
            <w:vAlign w:val="center"/>
          </w:tcPr>
          <w:p>
            <w:pPr>
              <w:rPr>
                <w:rFonts w:ascii="宋体" w:hAnsi="宋体"/>
                <w:color w:val="000000" w:themeColor="text1"/>
                <w:szCs w:val="21"/>
                <w14:textFill>
                  <w14:solidFill>
                    <w14:schemeClr w14:val="tx1"/>
                  </w14:solidFill>
                </w14:textFill>
              </w:rPr>
            </w:pPr>
          </w:p>
        </w:tc>
        <w:tc>
          <w:tcPr>
            <w:tcW w:w="502" w:type="dxa"/>
            <w:vAlign w:val="center"/>
          </w:tcPr>
          <w:p>
            <w:pPr>
              <w:rPr>
                <w:rFonts w:ascii="宋体" w:hAnsi="宋体"/>
                <w:color w:val="000000" w:themeColor="text1"/>
                <w:szCs w:val="21"/>
                <w14:textFill>
                  <w14:solidFill>
                    <w14:schemeClr w14:val="tx1"/>
                  </w14:solidFill>
                </w14:textFill>
              </w:rPr>
            </w:pPr>
          </w:p>
        </w:tc>
        <w:tc>
          <w:tcPr>
            <w:tcW w:w="880" w:type="dxa"/>
            <w:vAlign w:val="center"/>
          </w:tcPr>
          <w:p>
            <w:pPr>
              <w:rPr>
                <w:rFonts w:ascii="宋体" w:hAnsi="宋体"/>
                <w:color w:val="000000" w:themeColor="text1"/>
                <w:szCs w:val="21"/>
                <w14:textFill>
                  <w14:solidFill>
                    <w14:schemeClr w14:val="tx1"/>
                  </w14:solidFill>
                </w14:textFill>
              </w:rPr>
            </w:pPr>
          </w:p>
        </w:tc>
        <w:tc>
          <w:tcPr>
            <w:tcW w:w="639" w:type="dxa"/>
            <w:vAlign w:val="center"/>
          </w:tcPr>
          <w:p>
            <w:pPr>
              <w:rPr>
                <w:rFonts w:ascii="宋体" w:hAnsi="宋体"/>
                <w:color w:val="000000" w:themeColor="text1"/>
                <w:szCs w:val="21"/>
                <w14:textFill>
                  <w14:solidFill>
                    <w14:schemeClr w14:val="tx1"/>
                  </w14:solidFill>
                </w14:textFill>
              </w:rPr>
            </w:pPr>
          </w:p>
        </w:tc>
        <w:tc>
          <w:tcPr>
            <w:tcW w:w="771" w:type="dxa"/>
            <w:vAlign w:val="center"/>
          </w:tcPr>
          <w:p>
            <w:pPr>
              <w:rPr>
                <w:rFonts w:ascii="宋体" w:hAnsi="宋体"/>
                <w:color w:val="000000" w:themeColor="text1"/>
                <w:szCs w:val="21"/>
                <w14:textFill>
                  <w14:solidFill>
                    <w14:schemeClr w14:val="tx1"/>
                  </w14:solidFill>
                </w14:textFill>
              </w:rPr>
            </w:pPr>
          </w:p>
        </w:tc>
        <w:tc>
          <w:tcPr>
            <w:tcW w:w="768" w:type="dxa"/>
            <w:vAlign w:val="center"/>
          </w:tcPr>
          <w:p>
            <w:pPr>
              <w:rPr>
                <w:rFonts w:ascii="宋体" w:hAnsi="宋体"/>
                <w:color w:val="000000" w:themeColor="text1"/>
                <w:szCs w:val="21"/>
                <w14:textFill>
                  <w14:solidFill>
                    <w14:schemeClr w14:val="tx1"/>
                  </w14:solidFill>
                </w14:textFill>
              </w:rPr>
            </w:pPr>
          </w:p>
        </w:tc>
        <w:tc>
          <w:tcPr>
            <w:tcW w:w="771" w:type="dxa"/>
            <w:vAlign w:val="center"/>
          </w:tcPr>
          <w:p>
            <w:pPr>
              <w:rPr>
                <w:rFonts w:ascii="宋体" w:hAnsi="宋体"/>
                <w:color w:val="000000" w:themeColor="text1"/>
                <w:szCs w:val="21"/>
                <w14:textFill>
                  <w14:solidFill>
                    <w14:schemeClr w14:val="tx1"/>
                  </w14:solidFill>
                </w14:textFill>
              </w:rPr>
            </w:pPr>
          </w:p>
        </w:tc>
        <w:tc>
          <w:tcPr>
            <w:tcW w:w="897" w:type="dxa"/>
            <w:vAlign w:val="center"/>
          </w:tcPr>
          <w:p>
            <w:pPr>
              <w:rPr>
                <w:rFonts w:ascii="宋体" w:hAnsi="宋体"/>
                <w:color w:val="000000" w:themeColor="text1"/>
                <w:szCs w:val="21"/>
                <w14:textFill>
                  <w14:solidFill>
                    <w14:schemeClr w14:val="tx1"/>
                  </w14:solidFill>
                </w14:textFill>
              </w:rPr>
            </w:pPr>
          </w:p>
        </w:tc>
        <w:tc>
          <w:tcPr>
            <w:tcW w:w="897" w:type="dxa"/>
            <w:vAlign w:val="center"/>
          </w:tcPr>
          <w:p>
            <w:pPr>
              <w:rPr>
                <w:rFonts w:ascii="宋体" w:hAnsi="宋体"/>
                <w:color w:val="000000" w:themeColor="text1"/>
                <w:szCs w:val="21"/>
                <w14:textFill>
                  <w14:solidFill>
                    <w14:schemeClr w14:val="tx1"/>
                  </w14:solidFill>
                </w14:textFill>
              </w:rPr>
            </w:pPr>
          </w:p>
        </w:tc>
        <w:tc>
          <w:tcPr>
            <w:tcW w:w="771" w:type="dxa"/>
            <w:vAlign w:val="center"/>
          </w:tcPr>
          <w:p>
            <w:pPr>
              <w:rPr>
                <w:rFonts w:ascii="宋体" w:hAnsi="宋体"/>
                <w:color w:val="000000" w:themeColor="text1"/>
                <w:szCs w:val="21"/>
                <w14:textFill>
                  <w14:solidFill>
                    <w14:schemeClr w14:val="tx1"/>
                  </w14:solidFill>
                </w14:textFill>
              </w:rPr>
            </w:pPr>
          </w:p>
        </w:tc>
        <w:tc>
          <w:tcPr>
            <w:tcW w:w="1026" w:type="dxa"/>
            <w:vAlign w:val="center"/>
          </w:tcPr>
          <w:p>
            <w:pPr>
              <w:rPr>
                <w:rFonts w:ascii="宋体" w:hAnsi="宋体"/>
                <w:color w:val="000000" w:themeColor="text1"/>
                <w:szCs w:val="21"/>
                <w14:textFill>
                  <w14:solidFill>
                    <w14:schemeClr w14:val="tx1"/>
                  </w14:solidFill>
                </w14:textFill>
              </w:rPr>
            </w:pPr>
          </w:p>
        </w:tc>
        <w:tc>
          <w:tcPr>
            <w:tcW w:w="897" w:type="dxa"/>
            <w:vAlign w:val="center"/>
          </w:tcPr>
          <w:p>
            <w:pPr>
              <w:rPr>
                <w:rFonts w:ascii="宋体" w:hAnsi="宋体"/>
                <w:color w:val="000000" w:themeColor="text1"/>
                <w:szCs w:val="21"/>
                <w14:textFill>
                  <w14:solidFill>
                    <w14:schemeClr w14:val="tx1"/>
                  </w14:solidFill>
                </w14:textFill>
              </w:rPr>
            </w:pPr>
          </w:p>
        </w:tc>
        <w:tc>
          <w:tcPr>
            <w:tcW w:w="1155" w:type="dxa"/>
            <w:vAlign w:val="center"/>
          </w:tcPr>
          <w:p>
            <w:pP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0" w:type="dxa"/>
            <w:vAlign w:val="center"/>
          </w:tcPr>
          <w:p>
            <w:pPr>
              <w:rPr>
                <w:rFonts w:ascii="宋体" w:hAnsi="宋体"/>
                <w:color w:val="000000" w:themeColor="text1"/>
                <w:szCs w:val="21"/>
                <w14:textFill>
                  <w14:solidFill>
                    <w14:schemeClr w14:val="tx1"/>
                  </w14:solidFill>
                </w14:textFill>
              </w:rPr>
            </w:pPr>
          </w:p>
        </w:tc>
        <w:tc>
          <w:tcPr>
            <w:tcW w:w="1127" w:type="dxa"/>
            <w:vAlign w:val="center"/>
          </w:tcPr>
          <w:p>
            <w:pPr>
              <w:rPr>
                <w:rFonts w:ascii="宋体" w:hAnsi="宋体"/>
                <w:color w:val="000000" w:themeColor="text1"/>
                <w:szCs w:val="21"/>
                <w14:textFill>
                  <w14:solidFill>
                    <w14:schemeClr w14:val="tx1"/>
                  </w14:solidFill>
                </w14:textFill>
              </w:rPr>
            </w:pPr>
          </w:p>
        </w:tc>
        <w:tc>
          <w:tcPr>
            <w:tcW w:w="917" w:type="dxa"/>
            <w:vAlign w:val="center"/>
          </w:tcPr>
          <w:p>
            <w:pPr>
              <w:rPr>
                <w:rFonts w:ascii="宋体" w:hAnsi="宋体"/>
                <w:color w:val="000000" w:themeColor="text1"/>
                <w:szCs w:val="21"/>
                <w14:textFill>
                  <w14:solidFill>
                    <w14:schemeClr w14:val="tx1"/>
                  </w14:solidFill>
                </w14:textFill>
              </w:rPr>
            </w:pPr>
          </w:p>
        </w:tc>
        <w:tc>
          <w:tcPr>
            <w:tcW w:w="685" w:type="dxa"/>
            <w:vAlign w:val="center"/>
          </w:tcPr>
          <w:p>
            <w:pPr>
              <w:rPr>
                <w:rFonts w:ascii="宋体" w:hAnsi="宋体"/>
                <w:color w:val="000000" w:themeColor="text1"/>
                <w:szCs w:val="21"/>
                <w14:textFill>
                  <w14:solidFill>
                    <w14:schemeClr w14:val="tx1"/>
                  </w14:solidFill>
                </w14:textFill>
              </w:rPr>
            </w:pPr>
          </w:p>
        </w:tc>
        <w:tc>
          <w:tcPr>
            <w:tcW w:w="502" w:type="dxa"/>
            <w:vAlign w:val="center"/>
          </w:tcPr>
          <w:p>
            <w:pPr>
              <w:rPr>
                <w:rFonts w:ascii="宋体" w:hAnsi="宋体"/>
                <w:color w:val="000000" w:themeColor="text1"/>
                <w:szCs w:val="21"/>
                <w14:textFill>
                  <w14:solidFill>
                    <w14:schemeClr w14:val="tx1"/>
                  </w14:solidFill>
                </w14:textFill>
              </w:rPr>
            </w:pPr>
          </w:p>
        </w:tc>
        <w:tc>
          <w:tcPr>
            <w:tcW w:w="880" w:type="dxa"/>
            <w:vAlign w:val="center"/>
          </w:tcPr>
          <w:p>
            <w:pPr>
              <w:rPr>
                <w:rFonts w:ascii="宋体" w:hAnsi="宋体"/>
                <w:color w:val="000000" w:themeColor="text1"/>
                <w:szCs w:val="21"/>
                <w14:textFill>
                  <w14:solidFill>
                    <w14:schemeClr w14:val="tx1"/>
                  </w14:solidFill>
                </w14:textFill>
              </w:rPr>
            </w:pPr>
          </w:p>
        </w:tc>
        <w:tc>
          <w:tcPr>
            <w:tcW w:w="639" w:type="dxa"/>
            <w:vAlign w:val="center"/>
          </w:tcPr>
          <w:p>
            <w:pPr>
              <w:rPr>
                <w:rFonts w:ascii="宋体" w:hAnsi="宋体"/>
                <w:color w:val="000000" w:themeColor="text1"/>
                <w:szCs w:val="21"/>
                <w14:textFill>
                  <w14:solidFill>
                    <w14:schemeClr w14:val="tx1"/>
                  </w14:solidFill>
                </w14:textFill>
              </w:rPr>
            </w:pPr>
          </w:p>
        </w:tc>
        <w:tc>
          <w:tcPr>
            <w:tcW w:w="771" w:type="dxa"/>
            <w:vAlign w:val="center"/>
          </w:tcPr>
          <w:p>
            <w:pPr>
              <w:rPr>
                <w:rFonts w:ascii="宋体" w:hAnsi="宋体"/>
                <w:color w:val="000000" w:themeColor="text1"/>
                <w:szCs w:val="21"/>
                <w14:textFill>
                  <w14:solidFill>
                    <w14:schemeClr w14:val="tx1"/>
                  </w14:solidFill>
                </w14:textFill>
              </w:rPr>
            </w:pPr>
          </w:p>
        </w:tc>
        <w:tc>
          <w:tcPr>
            <w:tcW w:w="768" w:type="dxa"/>
            <w:vAlign w:val="center"/>
          </w:tcPr>
          <w:p>
            <w:pPr>
              <w:rPr>
                <w:rFonts w:ascii="宋体" w:hAnsi="宋体"/>
                <w:color w:val="000000" w:themeColor="text1"/>
                <w:szCs w:val="21"/>
                <w14:textFill>
                  <w14:solidFill>
                    <w14:schemeClr w14:val="tx1"/>
                  </w14:solidFill>
                </w14:textFill>
              </w:rPr>
            </w:pPr>
          </w:p>
        </w:tc>
        <w:tc>
          <w:tcPr>
            <w:tcW w:w="771" w:type="dxa"/>
            <w:vAlign w:val="center"/>
          </w:tcPr>
          <w:p>
            <w:pPr>
              <w:rPr>
                <w:rFonts w:ascii="宋体" w:hAnsi="宋体"/>
                <w:color w:val="000000" w:themeColor="text1"/>
                <w:szCs w:val="21"/>
                <w14:textFill>
                  <w14:solidFill>
                    <w14:schemeClr w14:val="tx1"/>
                  </w14:solidFill>
                </w14:textFill>
              </w:rPr>
            </w:pPr>
          </w:p>
        </w:tc>
        <w:tc>
          <w:tcPr>
            <w:tcW w:w="897" w:type="dxa"/>
            <w:vAlign w:val="center"/>
          </w:tcPr>
          <w:p>
            <w:pPr>
              <w:rPr>
                <w:rFonts w:ascii="宋体" w:hAnsi="宋体"/>
                <w:color w:val="000000" w:themeColor="text1"/>
                <w:szCs w:val="21"/>
                <w14:textFill>
                  <w14:solidFill>
                    <w14:schemeClr w14:val="tx1"/>
                  </w14:solidFill>
                </w14:textFill>
              </w:rPr>
            </w:pPr>
          </w:p>
        </w:tc>
        <w:tc>
          <w:tcPr>
            <w:tcW w:w="897" w:type="dxa"/>
            <w:vAlign w:val="center"/>
          </w:tcPr>
          <w:p>
            <w:pPr>
              <w:rPr>
                <w:rFonts w:ascii="宋体" w:hAnsi="宋体"/>
                <w:color w:val="000000" w:themeColor="text1"/>
                <w:szCs w:val="21"/>
                <w14:textFill>
                  <w14:solidFill>
                    <w14:schemeClr w14:val="tx1"/>
                  </w14:solidFill>
                </w14:textFill>
              </w:rPr>
            </w:pPr>
          </w:p>
        </w:tc>
        <w:tc>
          <w:tcPr>
            <w:tcW w:w="771" w:type="dxa"/>
            <w:vAlign w:val="center"/>
          </w:tcPr>
          <w:p>
            <w:pPr>
              <w:rPr>
                <w:rFonts w:ascii="宋体" w:hAnsi="宋体"/>
                <w:color w:val="000000" w:themeColor="text1"/>
                <w:szCs w:val="21"/>
                <w14:textFill>
                  <w14:solidFill>
                    <w14:schemeClr w14:val="tx1"/>
                  </w14:solidFill>
                </w14:textFill>
              </w:rPr>
            </w:pPr>
          </w:p>
        </w:tc>
        <w:tc>
          <w:tcPr>
            <w:tcW w:w="1026" w:type="dxa"/>
            <w:vAlign w:val="center"/>
          </w:tcPr>
          <w:p>
            <w:pPr>
              <w:rPr>
                <w:rFonts w:ascii="宋体" w:hAnsi="宋体"/>
                <w:color w:val="000000" w:themeColor="text1"/>
                <w:szCs w:val="21"/>
                <w14:textFill>
                  <w14:solidFill>
                    <w14:schemeClr w14:val="tx1"/>
                  </w14:solidFill>
                </w14:textFill>
              </w:rPr>
            </w:pPr>
          </w:p>
        </w:tc>
        <w:tc>
          <w:tcPr>
            <w:tcW w:w="897" w:type="dxa"/>
            <w:vAlign w:val="center"/>
          </w:tcPr>
          <w:p>
            <w:pPr>
              <w:rPr>
                <w:rFonts w:ascii="宋体" w:hAnsi="宋体"/>
                <w:color w:val="000000" w:themeColor="text1"/>
                <w:szCs w:val="21"/>
                <w14:textFill>
                  <w14:solidFill>
                    <w14:schemeClr w14:val="tx1"/>
                  </w14:solidFill>
                </w14:textFill>
              </w:rPr>
            </w:pPr>
          </w:p>
        </w:tc>
        <w:tc>
          <w:tcPr>
            <w:tcW w:w="1155" w:type="dxa"/>
            <w:vAlign w:val="center"/>
          </w:tcPr>
          <w:p>
            <w:pP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3183" w:type="dxa"/>
            <w:gridSpan w:val="16"/>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全部投标货物总金额（人民币）：</w:t>
            </w:r>
          </w:p>
        </w:tc>
      </w:tr>
    </w:tbl>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说明：1、项7＝项8×项4</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2、项6＝项7+项9+项10+项11+项12+项13                                         投标人单位（盖章）：</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3、除填写本表外，投标方还应提供以下附件：</w:t>
      </w:r>
    </w:p>
    <w:p>
      <w:pPr>
        <w:ind w:firstLine="945" w:firstLineChars="4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①货物主要部件（包括附件）分项价目表</w:t>
      </w:r>
    </w:p>
    <w:p>
      <w:pPr>
        <w:ind w:firstLine="945" w:firstLineChars="4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②特殊工具清单及价目表                                                     法定代表人或其授权代表（签字或盖章）：</w:t>
      </w:r>
    </w:p>
    <w:p>
      <w:pPr>
        <w:ind w:firstLine="945" w:firstLineChars="4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③备品、备件清单及价目表</w:t>
      </w:r>
    </w:p>
    <w:p>
      <w:pPr>
        <w:ind w:firstLine="945" w:firstLineChars="4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④所需进口关键元器件、原材料清单及价目表                                   日             期：</w:t>
      </w:r>
    </w:p>
    <w:p>
      <w:pPr>
        <w:snapToGrid w:val="0"/>
        <w:spacing w:before="120" w:beforeLines="50" w:after="50"/>
        <w:ind w:firstLine="4800" w:firstLineChars="2000"/>
        <w:rPr>
          <w:rFonts w:ascii="宋体" w:hAnsi="宋体"/>
          <w:color w:val="000000" w:themeColor="text1"/>
          <w:sz w:val="24"/>
          <w:szCs w:val="21"/>
          <w14:textFill>
            <w14:solidFill>
              <w14:schemeClr w14:val="tx1"/>
            </w14:solidFill>
          </w14:textFill>
        </w:rPr>
        <w:sectPr>
          <w:pgSz w:w="16838" w:h="11906" w:orient="landscape"/>
          <w:pgMar w:top="1797" w:right="1247" w:bottom="1797" w:left="1474" w:header="851" w:footer="851" w:gutter="0"/>
          <w:cols w:space="720" w:num="1"/>
          <w:titlePg/>
          <w:docGrid w:linePitch="312" w:charSpace="0"/>
        </w:sectPr>
      </w:pPr>
    </w:p>
    <w:p>
      <w:pPr>
        <w:rPr>
          <w:rFonts w:ascii="宋体" w:hAnsi="宋体"/>
          <w:b/>
          <w:color w:val="000000" w:themeColor="text1"/>
          <w14:textFill>
            <w14:solidFill>
              <w14:schemeClr w14:val="tx1"/>
            </w14:solidFill>
          </w14:textFill>
        </w:rPr>
      </w:pPr>
      <w:bookmarkStart w:id="228" w:name="_Toc460857950"/>
      <w:r>
        <w:rPr>
          <w:rFonts w:hint="eastAsia" w:ascii="宋体" w:hAnsi="宋体"/>
          <w:b/>
          <w:color w:val="000000" w:themeColor="text1"/>
          <w14:textFill>
            <w14:solidFill>
              <w14:schemeClr w14:val="tx1"/>
            </w14:solidFill>
          </w14:textFill>
        </w:rPr>
        <w:t>格式十二：</w:t>
      </w:r>
      <w:r>
        <w:rPr>
          <w:rFonts w:hint="eastAsia" w:ascii="宋体" w:hAnsi="宋体"/>
          <w:color w:val="000000" w:themeColor="text1"/>
          <w:szCs w:val="21"/>
          <w14:textFill>
            <w14:solidFill>
              <w14:schemeClr w14:val="tx1"/>
            </w14:solidFill>
          </w14:textFill>
        </w:rPr>
        <w:t>中小企业声明函</w:t>
      </w:r>
      <w:bookmarkEnd w:id="228"/>
    </w:p>
    <w:p>
      <w:pPr>
        <w:spacing w:line="360" w:lineRule="auto"/>
        <w:jc w:val="center"/>
        <w:rPr>
          <w:rFonts w:ascii="宋体" w:hAnsi="宋体"/>
          <w:b/>
          <w:color w:val="000000" w:themeColor="text1"/>
          <w:spacing w:val="-4"/>
          <w:szCs w:val="21"/>
          <w14:textFill>
            <w14:solidFill>
              <w14:schemeClr w14:val="tx1"/>
            </w14:solidFill>
          </w14:textFill>
        </w:rPr>
      </w:pPr>
    </w:p>
    <w:p>
      <w:pPr>
        <w:pStyle w:val="18"/>
        <w:spacing w:line="360" w:lineRule="auto"/>
        <w:jc w:val="center"/>
        <w:rPr>
          <w:rFonts w:ascii="Arial" w:hAnsi="Arial"/>
          <w:b/>
          <w:color w:val="000000" w:themeColor="text1"/>
          <w:sz w:val="28"/>
          <w:szCs w:val="28"/>
          <w14:textFill>
            <w14:solidFill>
              <w14:schemeClr w14:val="tx1"/>
            </w14:solidFill>
          </w14:textFill>
        </w:rPr>
      </w:pPr>
      <w:r>
        <w:rPr>
          <w:rFonts w:hint="eastAsia" w:ascii="Arial" w:hAnsi="Arial"/>
          <w:b/>
          <w:color w:val="000000" w:themeColor="text1"/>
          <w:sz w:val="28"/>
          <w:szCs w:val="28"/>
          <w14:textFill>
            <w14:solidFill>
              <w14:schemeClr w14:val="tx1"/>
            </w14:solidFill>
          </w14:textFill>
        </w:rPr>
        <w:t>中小企业声明函（货物）</w:t>
      </w:r>
    </w:p>
    <w:p>
      <w:pP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注：提供本项目货物的所有制造均需提供中小企业声明函</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本公司郑重声明，根据《政府采购促进中小企业发展管理办法》（财库﹝2020﹞46 号）的规定，本公司参加</w:t>
      </w:r>
      <w:r>
        <w:rPr>
          <w:rFonts w:hint="eastAsia" w:asciiTheme="minorEastAsia" w:hAnsiTheme="minorEastAsia" w:eastAsiaTheme="minorEastAsia" w:cstheme="minorEastAsia"/>
          <w:color w:val="000000" w:themeColor="text1"/>
          <w:szCs w:val="21"/>
          <w:u w:val="single"/>
          <w14:textFill>
            <w14:solidFill>
              <w14:schemeClr w14:val="tx1"/>
            </w14:solidFill>
          </w14:textFill>
        </w:rPr>
        <w:t>（单位名称）</w:t>
      </w:r>
      <w:r>
        <w:rPr>
          <w:rFonts w:hint="eastAsia" w:asciiTheme="minorEastAsia" w:hAnsiTheme="minorEastAsia" w:eastAsiaTheme="minorEastAsia" w:cstheme="minorEastAsia"/>
          <w:color w:val="000000" w:themeColor="text1"/>
          <w:szCs w:val="21"/>
          <w14:textFill>
            <w14:solidFill>
              <w14:schemeClr w14:val="tx1"/>
            </w14:solidFill>
          </w14:textFill>
        </w:rPr>
        <w:t>的</w:t>
      </w:r>
      <w:r>
        <w:rPr>
          <w:rFonts w:hint="eastAsia" w:asciiTheme="minorEastAsia" w:hAnsiTheme="minorEastAsia" w:eastAsiaTheme="minorEastAsia" w:cstheme="minorEastAsia"/>
          <w:color w:val="000000" w:themeColor="text1"/>
          <w:szCs w:val="21"/>
          <w:u w:val="single"/>
          <w14:textFill>
            <w14:solidFill>
              <w14:schemeClr w14:val="tx1"/>
            </w14:solidFill>
          </w14:textFill>
        </w:rPr>
        <w:t>（项目名称）</w:t>
      </w:r>
      <w:r>
        <w:rPr>
          <w:rFonts w:hint="eastAsia" w:asciiTheme="minorEastAsia" w:hAnsiTheme="minorEastAsia" w:eastAsiaTheme="minorEastAsia" w:cstheme="minorEastAsia"/>
          <w:color w:val="000000" w:themeColor="text1"/>
          <w:szCs w:val="21"/>
          <w14:textFill>
            <w14:solidFill>
              <w14:schemeClr w14:val="tx1"/>
            </w14:solidFill>
          </w14:textFill>
        </w:rPr>
        <w:t>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（标的名称） </w:t>
      </w:r>
      <w:r>
        <w:rPr>
          <w:rFonts w:hint="eastAsia" w:asciiTheme="minorEastAsia" w:hAnsiTheme="minorEastAsia" w:eastAsiaTheme="minorEastAsia" w:cstheme="minorEastAsia"/>
          <w:color w:val="000000" w:themeColor="text1"/>
          <w:szCs w:val="21"/>
          <w14:textFill>
            <w14:solidFill>
              <w14:schemeClr w14:val="tx1"/>
            </w14:solidFill>
          </w14:textFill>
        </w:rPr>
        <w:t>，属于</w:t>
      </w:r>
      <w:r>
        <w:rPr>
          <w:rFonts w:hint="eastAsia" w:asciiTheme="minorEastAsia" w:hAnsiTheme="minorEastAsia" w:eastAsiaTheme="minorEastAsia" w:cstheme="minorEastAsia"/>
          <w:color w:val="000000" w:themeColor="text1"/>
          <w:szCs w:val="21"/>
          <w:u w:val="single"/>
          <w14:textFill>
            <w14:solidFill>
              <w14:schemeClr w14:val="tx1"/>
            </w14:solidFill>
          </w14:textFill>
        </w:rPr>
        <w:t>工业行业</w:t>
      </w:r>
      <w:r>
        <w:rPr>
          <w:rFonts w:hint="eastAsia" w:asciiTheme="minorEastAsia" w:hAnsiTheme="minorEastAsia" w:eastAsiaTheme="minorEastAsia" w:cstheme="minorEastAsia"/>
          <w:color w:val="000000" w:themeColor="text1"/>
          <w:szCs w:val="21"/>
          <w14:textFill>
            <w14:solidFill>
              <w14:schemeClr w14:val="tx1"/>
            </w14:solidFill>
          </w14:textFill>
        </w:rPr>
        <w:t>；制造商为</w:t>
      </w:r>
      <w:r>
        <w:rPr>
          <w:rFonts w:hint="eastAsia" w:asciiTheme="minorEastAsia" w:hAnsiTheme="minorEastAsia" w:eastAsiaTheme="minorEastAsia" w:cstheme="minorEastAsia"/>
          <w:color w:val="000000" w:themeColor="text1"/>
          <w:szCs w:val="21"/>
          <w:u w:val="single"/>
          <w14:textFill>
            <w14:solidFill>
              <w14:schemeClr w14:val="tx1"/>
            </w14:solidFill>
          </w14:textFill>
        </w:rPr>
        <w:t>（企业名称）</w:t>
      </w:r>
      <w:r>
        <w:rPr>
          <w:rFonts w:hint="eastAsia" w:asciiTheme="minorEastAsia" w:hAnsiTheme="minorEastAsia" w:eastAsiaTheme="minorEastAsia" w:cstheme="minorEastAsia"/>
          <w:color w:val="000000" w:themeColor="text1"/>
          <w:szCs w:val="21"/>
          <w14:textFill>
            <w14:solidFill>
              <w14:schemeClr w14:val="tx1"/>
            </w14:solidFill>
          </w14:textFill>
        </w:rPr>
        <w:t>，从业人员</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人，营业收入为</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万元，资产总额为</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万元</w:t>
      </w:r>
      <w:r>
        <w:rPr>
          <w:rFonts w:hint="eastAsia" w:asciiTheme="minorEastAsia" w:hAnsiTheme="minorEastAsia" w:eastAsiaTheme="minorEastAsia" w:cstheme="minorEastAsia"/>
          <w:color w:val="000000" w:themeColor="text1"/>
          <w:szCs w:val="21"/>
          <w:vertAlign w:val="superscript"/>
          <w14:textFill>
            <w14:solidFill>
              <w14:schemeClr w14:val="tx1"/>
            </w14:solidFill>
          </w14:textFill>
        </w:rPr>
        <w:t>1</w:t>
      </w:r>
      <w:r>
        <w:rPr>
          <w:rFonts w:hint="eastAsia" w:asciiTheme="minorEastAsia" w:hAnsiTheme="minorEastAsia" w:eastAsiaTheme="minorEastAsia" w:cstheme="minorEastAsia"/>
          <w:color w:val="000000" w:themeColor="text1"/>
          <w:szCs w:val="21"/>
          <w14:textFill>
            <w14:solidFill>
              <w14:schemeClr w14:val="tx1"/>
            </w14:solidFill>
          </w14:textFill>
        </w:rPr>
        <w:t>，属于</w:t>
      </w:r>
      <w:r>
        <w:rPr>
          <w:rFonts w:hint="eastAsia" w:asciiTheme="minorEastAsia" w:hAnsiTheme="minorEastAsia" w:eastAsiaTheme="minorEastAsia" w:cstheme="minorEastAsia"/>
          <w:color w:val="000000" w:themeColor="text1"/>
          <w:szCs w:val="21"/>
          <w:u w:val="single"/>
          <w14:textFill>
            <w14:solidFill>
              <w14:schemeClr w14:val="tx1"/>
            </w14:solidFill>
          </w14:textFill>
        </w:rPr>
        <w:t>（中型企业、小型企业、微型企业）</w:t>
      </w:r>
      <w:r>
        <w:rPr>
          <w:rFonts w:hint="eastAsia" w:asciiTheme="minorEastAsia" w:hAnsiTheme="minorEastAsia" w:eastAsiaTheme="minorEastAsia" w:cstheme="minorEastAsia"/>
          <w:color w:val="000000" w:themeColor="text1"/>
          <w:szCs w:val="21"/>
          <w14:textFill>
            <w14:solidFill>
              <w14:schemeClr w14:val="tx1"/>
            </w14:solidFill>
          </w14:textFill>
        </w:rPr>
        <w:t>；</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本企业对上述声明内容的真实性负责。如有虚假，将依法承担相应责任。</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企业名称（盖章）：</w:t>
      </w:r>
    </w:p>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日期：</w:t>
      </w:r>
    </w:p>
    <w:p>
      <w:pPr>
        <w:spacing w:line="360" w:lineRule="auto"/>
        <w:rPr>
          <w:rFonts w:asciiTheme="minorEastAsia" w:hAnsiTheme="minorEastAsia" w:eastAsiaTheme="minorEastAsia" w:cstheme="minorEastAsia"/>
          <w:color w:val="000000" w:themeColor="text1"/>
          <w:kern w:val="0"/>
          <w:szCs w:val="21"/>
          <w:vertAlign w:val="superscript"/>
          <w14:textFill>
            <w14:solidFill>
              <w14:schemeClr w14:val="tx1"/>
            </w14:solidFill>
          </w14:textFill>
        </w:rPr>
      </w:pPr>
    </w:p>
    <w:p>
      <w:pPr>
        <w:spacing w:line="360" w:lineRule="auto"/>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vertAlign w:val="superscript"/>
          <w14:textFill>
            <w14:solidFill>
              <w14:schemeClr w14:val="tx1"/>
            </w14:solidFill>
          </w14:textFill>
        </w:rPr>
        <w:t>1</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从业人员、营业收入、资产总额填报上一年度数据，无上一年度数据的新成立企业可不填报。</w:t>
      </w:r>
    </w:p>
    <w:p>
      <w:pPr>
        <w:pStyle w:val="36"/>
        <w:spacing w:before="0" w:beforeAutospacing="0" w:after="0" w:afterAutospacing="0" w:line="360" w:lineRule="auto"/>
        <w:rPr>
          <w:rFonts w:ascii="Arial" w:hAnsi="Arial"/>
          <w:color w:val="000000" w:themeColor="text1"/>
          <w:sz w:val="21"/>
          <w:szCs w:val="21"/>
          <w14:textFill>
            <w14:solidFill>
              <w14:schemeClr w14:val="tx1"/>
            </w14:solidFill>
          </w14:textFill>
        </w:rPr>
      </w:pPr>
    </w:p>
    <w:p>
      <w:pPr>
        <w:pStyle w:val="36"/>
        <w:spacing w:before="0" w:beforeAutospacing="0" w:after="0" w:afterAutospacing="0" w:line="360" w:lineRule="auto"/>
        <w:rPr>
          <w:rFonts w:ascii="Arial" w:hAnsi="Arial"/>
          <w:color w:val="000000" w:themeColor="text1"/>
          <w:sz w:val="21"/>
          <w:szCs w:val="21"/>
          <w14:textFill>
            <w14:solidFill>
              <w14:schemeClr w14:val="tx1"/>
            </w14:solidFill>
          </w14:textFill>
        </w:rPr>
      </w:pPr>
    </w:p>
    <w:p>
      <w:pPr>
        <w:spacing w:line="360" w:lineRule="auto"/>
        <w:contextualSpacing/>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line="360" w:lineRule="auto"/>
        <w:contextualSpacing/>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2、本项目对应的中小企业划分标准所属行业：</w:t>
      </w:r>
      <w:r>
        <w:rPr>
          <w:rFonts w:hint="eastAsia" w:asciiTheme="minorEastAsia" w:hAnsiTheme="minorEastAsia" w:eastAsiaTheme="minorEastAsia" w:cstheme="minorEastAsia"/>
          <w:color w:val="000000" w:themeColor="text1"/>
          <w:szCs w:val="21"/>
          <w:u w:val="single"/>
          <w14:textFill>
            <w14:solidFill>
              <w14:schemeClr w14:val="tx1"/>
            </w14:solidFill>
          </w14:textFill>
        </w:rPr>
        <w:t>工业</w:t>
      </w:r>
      <w:r>
        <w:rPr>
          <w:rFonts w:hint="eastAsia" w:ascii="宋体" w:hAnsi="宋体" w:cs="宋体"/>
          <w:color w:val="000000" w:themeColor="text1"/>
          <w:kern w:val="0"/>
          <w:szCs w:val="21"/>
          <w14:textFill>
            <w14:solidFill>
              <w14:schemeClr w14:val="tx1"/>
            </w14:solidFill>
          </w14:textFill>
        </w:rPr>
        <w:t>。</w:t>
      </w:r>
    </w:p>
    <w:p>
      <w:pPr>
        <w:spacing w:line="360" w:lineRule="auto"/>
        <w:contextualSpacing/>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3、行业及规模：工业 。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contextualSpacing/>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4、从业人员、营业收入、资产总额填报上一年度数据，无上一年度数据的新成立企业可不填报。</w:t>
      </w:r>
    </w:p>
    <w:p>
      <w:pPr>
        <w:pStyle w:val="36"/>
        <w:spacing w:before="0" w:beforeAutospacing="0" w:after="0" w:afterAutospacing="0" w:line="360" w:lineRule="auto"/>
        <w:rPr>
          <w:rFonts w:ascii="Arial" w:hAnsi="Arial"/>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5、如接受联合体投标的项目，所有联合体参与方均需提供本表。</w:t>
      </w:r>
    </w:p>
    <w:p>
      <w:pPr>
        <w:spacing w:line="360" w:lineRule="auto"/>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风险提示：</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1、对于非面向中小型企业的项目，在货物采购项目中，供应商提供的货物既有大型或中型企业制造，也有小微企业制造的，不享受办法规定的小微企业扶持政策。</w:t>
      </w:r>
    </w:p>
    <w:p>
      <w:pPr>
        <w:spacing w:line="360" w:lineRule="auto"/>
        <w:rPr>
          <w:rFonts w:ascii="宋体" w:hAnsi="宋体"/>
          <w:b/>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2、供应商应当对其出具的《中小企业声明函》真实性负责，供应商出具的《中小企业声明函》内容不实的，属于提供虚假材料谋取中标。在实际操作中，供应商希望获得《办法》规定政策支持的，应从制造商处获得充分、准确的信息。对相关制造商信息了解不充分，或者不能确定相关信息真实、准确的，不建议出具《中小企业声明函》。</w:t>
      </w:r>
      <w:r>
        <w:rPr>
          <w:rFonts w:ascii="宋体" w:hAnsi="宋体"/>
          <w:color w:val="000000" w:themeColor="text1"/>
          <w:szCs w:val="21"/>
          <w14:textFill>
            <w14:solidFill>
              <w14:schemeClr w14:val="tx1"/>
            </w14:solidFill>
          </w14:textFill>
        </w:rPr>
        <w:br w:type="page"/>
      </w:r>
      <w:bookmarkStart w:id="229" w:name="OLE_LINK14"/>
      <w:bookmarkStart w:id="230" w:name="OLE_LINK13"/>
      <w:r>
        <w:rPr>
          <w:rFonts w:hint="eastAsia" w:ascii="宋体" w:hAnsi="宋体"/>
          <w:b/>
          <w:color w:val="000000" w:themeColor="text1"/>
          <w14:textFill>
            <w14:solidFill>
              <w14:schemeClr w14:val="tx1"/>
            </w14:solidFill>
          </w14:textFill>
        </w:rPr>
        <w:t>格式十三：</w:t>
      </w:r>
      <w:r>
        <w:rPr>
          <w:rFonts w:hint="eastAsia" w:ascii="宋体" w:hAnsi="宋体"/>
          <w:color w:val="000000" w:themeColor="text1"/>
          <w:szCs w:val="21"/>
          <w14:textFill>
            <w14:solidFill>
              <w14:schemeClr w14:val="tx1"/>
            </w14:solidFill>
          </w14:textFill>
        </w:rPr>
        <w:t>残疾人福利性单位声明函</w:t>
      </w:r>
    </w:p>
    <w:p>
      <w:pPr>
        <w:pStyle w:val="18"/>
        <w:spacing w:line="520" w:lineRule="exact"/>
        <w:jc w:val="center"/>
        <w:rPr>
          <w:rFonts w:hAnsi="宋体"/>
          <w:b/>
          <w:color w:val="000000" w:themeColor="text1"/>
          <w:sz w:val="21"/>
          <w:szCs w:val="21"/>
          <w14:textFill>
            <w14:solidFill>
              <w14:schemeClr w14:val="tx1"/>
            </w14:solidFill>
          </w14:textFill>
        </w:rPr>
      </w:pPr>
    </w:p>
    <w:bookmarkEnd w:id="229"/>
    <w:bookmarkEnd w:id="230"/>
    <w:p>
      <w:pPr>
        <w:pStyle w:val="18"/>
        <w:spacing w:line="360" w:lineRule="auto"/>
        <w:jc w:val="center"/>
        <w:rPr>
          <w:rFonts w:ascii="Arial" w:hAnsi="Arial"/>
          <w:b/>
          <w:color w:val="000000" w:themeColor="text1"/>
          <w:sz w:val="28"/>
          <w:szCs w:val="28"/>
          <w14:textFill>
            <w14:solidFill>
              <w14:schemeClr w14:val="tx1"/>
            </w14:solidFill>
          </w14:textFill>
        </w:rPr>
      </w:pPr>
      <w:r>
        <w:rPr>
          <w:rFonts w:hint="eastAsia" w:ascii="Arial" w:hAnsi="Arial"/>
          <w:b/>
          <w:color w:val="000000" w:themeColor="text1"/>
          <w:sz w:val="28"/>
          <w:szCs w:val="28"/>
          <w14:textFill>
            <w14:solidFill>
              <w14:schemeClr w14:val="tx1"/>
            </w14:solidFill>
          </w14:textFill>
        </w:rPr>
        <w:t>残疾人福利性单位声明函</w:t>
      </w:r>
    </w:p>
    <w:p>
      <w:pPr>
        <w:spacing w:line="360" w:lineRule="auto"/>
        <w:ind w:firstLine="420" w:firstLineChars="200"/>
        <w:rPr>
          <w:rFonts w:ascii="Arial" w:hAnsi="Arial"/>
          <w:color w:val="000000" w:themeColor="text1"/>
          <w:szCs w:val="21"/>
          <w14:textFill>
            <w14:solidFill>
              <w14:schemeClr w14:val="tx1"/>
            </w14:solidFill>
          </w14:textFill>
        </w:rPr>
      </w:pPr>
      <w:r>
        <w:rPr>
          <w:rFonts w:hint="eastAsia" w:ascii="Arial" w:hAnsi="Arial"/>
          <w:color w:val="000000" w:themeColor="text1"/>
          <w:szCs w:val="21"/>
          <w14:textFill>
            <w14:solidFill>
              <w14:schemeClr w14:val="tx1"/>
            </w14:solidFill>
          </w14:textFill>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Arial" w:hAnsi="Arial"/>
          <w:color w:val="000000" w:themeColor="text1"/>
          <w14:textFill>
            <w14:solidFill>
              <w14:schemeClr w14:val="tx1"/>
            </w14:solidFill>
          </w14:textFill>
        </w:rPr>
      </w:pPr>
      <w:r>
        <w:rPr>
          <w:rFonts w:hint="eastAsia" w:ascii="Arial" w:hAnsi="Arial"/>
          <w:color w:val="000000" w:themeColor="text1"/>
          <w:szCs w:val="21"/>
          <w14:textFill>
            <w14:solidFill>
              <w14:schemeClr w14:val="tx1"/>
            </w14:solidFill>
          </w14:textFill>
        </w:rPr>
        <w:t>本单位对上述声明的真实性负责。如有虚假，将依法承担相应责任。</w:t>
      </w:r>
    </w:p>
    <w:p>
      <w:pPr>
        <w:spacing w:line="360" w:lineRule="auto"/>
        <w:rPr>
          <w:rFonts w:ascii="Arial" w:hAnsi="Arial"/>
          <w:color w:val="000000" w:themeColor="text1"/>
          <w:spacing w:val="6"/>
          <w:szCs w:val="21"/>
          <w14:textFill>
            <w14:solidFill>
              <w14:schemeClr w14:val="tx1"/>
            </w14:solidFill>
          </w14:textFill>
        </w:rPr>
      </w:pPr>
    </w:p>
    <w:p>
      <w:pPr>
        <w:tabs>
          <w:tab w:val="left" w:pos="4860"/>
        </w:tabs>
        <w:spacing w:line="360" w:lineRule="auto"/>
        <w:ind w:right="1560" w:firstLine="444" w:firstLineChars="200"/>
        <w:jc w:val="center"/>
        <w:rPr>
          <w:rFonts w:ascii="Arial" w:hAnsi="Arial"/>
          <w:color w:val="000000" w:themeColor="text1"/>
          <w:spacing w:val="6"/>
          <w:szCs w:val="21"/>
          <w14:textFill>
            <w14:solidFill>
              <w14:schemeClr w14:val="tx1"/>
            </w14:solidFill>
          </w14:textFill>
        </w:rPr>
      </w:pPr>
      <w:r>
        <w:rPr>
          <w:rFonts w:hint="eastAsia" w:ascii="Arial" w:hAnsi="Arial"/>
          <w:color w:val="000000" w:themeColor="text1"/>
          <w:spacing w:val="6"/>
          <w:szCs w:val="21"/>
          <w14:textFill>
            <w14:solidFill>
              <w14:schemeClr w14:val="tx1"/>
            </w14:solidFill>
          </w14:textFill>
        </w:rPr>
        <w:t>企业名称（盖章）：</w:t>
      </w:r>
    </w:p>
    <w:p>
      <w:pPr>
        <w:pStyle w:val="36"/>
        <w:spacing w:before="0" w:beforeAutospacing="0" w:after="0" w:afterAutospacing="0" w:line="360" w:lineRule="auto"/>
        <w:ind w:firstLine="420"/>
        <w:rPr>
          <w:rFonts w:ascii="Arial" w:hAnsi="Arial"/>
          <w:color w:val="000000" w:themeColor="text1"/>
          <w:sz w:val="21"/>
          <w:szCs w:val="21"/>
          <w14:textFill>
            <w14:solidFill>
              <w14:schemeClr w14:val="tx1"/>
            </w14:solidFill>
          </w14:textFill>
        </w:rPr>
      </w:pPr>
      <w:r>
        <w:rPr>
          <w:rFonts w:hint="eastAsia" w:ascii="Arial" w:hAnsi="Arial"/>
          <w:color w:val="000000" w:themeColor="text1"/>
          <w:spacing w:val="6"/>
          <w:szCs w:val="21"/>
          <w14:textFill>
            <w14:solidFill>
              <w14:schemeClr w14:val="tx1"/>
            </w14:solidFill>
          </w14:textFill>
        </w:rPr>
        <w:t>日期：</w:t>
      </w:r>
    </w:p>
    <w:p>
      <w:pPr>
        <w:rPr>
          <w:rFonts w:ascii="Arial" w:hAnsi="Arial"/>
          <w:color w:val="000000" w:themeColor="text1"/>
          <w14:textFill>
            <w14:solidFill>
              <w14:schemeClr w14:val="tx1"/>
            </w14:solidFill>
          </w14:textFill>
        </w:rPr>
      </w:pPr>
    </w:p>
    <w:p>
      <w:pPr>
        <w:spacing w:line="360" w:lineRule="auto"/>
        <w:rPr>
          <w:rFonts w:ascii="Arial" w:hAnsi="Arial"/>
          <w:color w:val="000000" w:themeColor="text1"/>
          <w14:textFill>
            <w14:solidFill>
              <w14:schemeClr w14:val="tx1"/>
            </w14:solidFill>
          </w14:textFill>
        </w:rPr>
      </w:pPr>
      <w:r>
        <w:rPr>
          <w:rFonts w:hint="eastAsia" w:ascii="Arial" w:hAnsi="Arial"/>
          <w:color w:val="000000" w:themeColor="text1"/>
          <w14:textFill>
            <w14:solidFill>
              <w14:schemeClr w14:val="tx1"/>
            </w14:solidFill>
          </w14:textFill>
        </w:rPr>
        <w:t>注：</w:t>
      </w:r>
    </w:p>
    <w:p>
      <w:pPr>
        <w:spacing w:line="360" w:lineRule="auto"/>
        <w:rPr>
          <w:rFonts w:ascii="Arial" w:hAnsi="Arial"/>
          <w:color w:val="000000" w:themeColor="text1"/>
          <w14:textFill>
            <w14:solidFill>
              <w14:schemeClr w14:val="tx1"/>
            </w14:solidFill>
          </w14:textFill>
        </w:rPr>
      </w:pPr>
      <w:r>
        <w:rPr>
          <w:rFonts w:ascii="Arial" w:hAnsi="Arial"/>
          <w:color w:val="000000" w:themeColor="text1"/>
          <w14:textFill>
            <w14:solidFill>
              <w14:schemeClr w14:val="tx1"/>
            </w14:solidFill>
          </w14:textFill>
        </w:rPr>
        <w:t>1</w:t>
      </w:r>
      <w:r>
        <w:rPr>
          <w:rFonts w:hint="eastAsia" w:ascii="Arial" w:hAnsi="Arial"/>
          <w:color w:val="000000" w:themeColor="text1"/>
          <w14:textFill>
            <w14:solidFill>
              <w14:schemeClr w14:val="tx1"/>
            </w14:solidFill>
          </w14:textFill>
        </w:rPr>
        <w:t>、如投标人为非残疾人福利性单位的可不提供本声明函。</w:t>
      </w:r>
    </w:p>
    <w:p>
      <w:pPr>
        <w:spacing w:line="360" w:lineRule="auto"/>
        <w:rPr>
          <w:rFonts w:ascii="Arial" w:hAnsi="Arial"/>
          <w:color w:val="000000" w:themeColor="text1"/>
          <w14:textFill>
            <w14:solidFill>
              <w14:schemeClr w14:val="tx1"/>
            </w14:solidFill>
          </w14:textFill>
        </w:rPr>
      </w:pPr>
      <w:r>
        <w:rPr>
          <w:rFonts w:ascii="Arial" w:hAnsi="Arial"/>
          <w:color w:val="000000" w:themeColor="text1"/>
          <w14:textFill>
            <w14:solidFill>
              <w14:schemeClr w14:val="tx1"/>
            </w14:solidFill>
          </w14:textFill>
        </w:rPr>
        <w:t>2</w:t>
      </w:r>
      <w:r>
        <w:rPr>
          <w:rFonts w:hint="eastAsia" w:ascii="Arial" w:hAnsi="Arial"/>
          <w:color w:val="000000" w:themeColor="text1"/>
          <w14:textFill>
            <w14:solidFill>
              <w14:schemeClr w14:val="tx1"/>
            </w14:solidFill>
          </w14:textFill>
        </w:rPr>
        <w:t>、享受政府采购支持政策的残疾人福利性单位应当同时满足以下条件：</w:t>
      </w:r>
    </w:p>
    <w:p>
      <w:pPr>
        <w:spacing w:line="360" w:lineRule="auto"/>
        <w:rPr>
          <w:rFonts w:ascii="Arial" w:hAnsi="Arial"/>
          <w:color w:val="000000" w:themeColor="text1"/>
          <w14:textFill>
            <w14:solidFill>
              <w14:schemeClr w14:val="tx1"/>
            </w14:solidFill>
          </w14:textFill>
        </w:rPr>
      </w:pPr>
      <w:r>
        <w:rPr>
          <w:rFonts w:hint="eastAsia" w:ascii="Arial" w:hAnsi="Arial"/>
          <w:color w:val="000000" w:themeColor="text1"/>
          <w14:textFill>
            <w14:solidFill>
              <w14:schemeClr w14:val="tx1"/>
            </w14:solidFill>
          </w14:textFill>
        </w:rPr>
        <w:t>（一）安置的残疾人占本单位在职职工人数的比例不低于</w:t>
      </w:r>
      <w:r>
        <w:rPr>
          <w:rFonts w:ascii="Arial" w:hAnsi="Arial"/>
          <w:color w:val="000000" w:themeColor="text1"/>
          <w14:textFill>
            <w14:solidFill>
              <w14:schemeClr w14:val="tx1"/>
            </w14:solidFill>
          </w14:textFill>
        </w:rPr>
        <w:t>25%</w:t>
      </w:r>
      <w:r>
        <w:rPr>
          <w:rFonts w:hint="eastAsia" w:ascii="Arial" w:hAnsi="Arial"/>
          <w:color w:val="000000" w:themeColor="text1"/>
          <w14:textFill>
            <w14:solidFill>
              <w14:schemeClr w14:val="tx1"/>
            </w14:solidFill>
          </w14:textFill>
        </w:rPr>
        <w:t>（含</w:t>
      </w:r>
      <w:r>
        <w:rPr>
          <w:rFonts w:ascii="Arial" w:hAnsi="Arial"/>
          <w:color w:val="000000" w:themeColor="text1"/>
          <w14:textFill>
            <w14:solidFill>
              <w14:schemeClr w14:val="tx1"/>
            </w14:solidFill>
          </w14:textFill>
        </w:rPr>
        <w:t>25%</w:t>
      </w:r>
      <w:r>
        <w:rPr>
          <w:rFonts w:hint="eastAsia" w:ascii="Arial" w:hAnsi="Arial"/>
          <w:color w:val="000000" w:themeColor="text1"/>
          <w14:textFill>
            <w14:solidFill>
              <w14:schemeClr w14:val="tx1"/>
            </w14:solidFill>
          </w14:textFill>
        </w:rPr>
        <w:t>），并且安置的残疾人人数不少于</w:t>
      </w:r>
      <w:r>
        <w:rPr>
          <w:rFonts w:ascii="Arial" w:hAnsi="Arial"/>
          <w:color w:val="000000" w:themeColor="text1"/>
          <w14:textFill>
            <w14:solidFill>
              <w14:schemeClr w14:val="tx1"/>
            </w14:solidFill>
          </w14:textFill>
        </w:rPr>
        <w:t>10</w:t>
      </w:r>
      <w:r>
        <w:rPr>
          <w:rFonts w:hint="eastAsia" w:ascii="Arial" w:hAnsi="Arial"/>
          <w:color w:val="000000" w:themeColor="text1"/>
          <w14:textFill>
            <w14:solidFill>
              <w14:schemeClr w14:val="tx1"/>
            </w14:solidFill>
          </w14:textFill>
        </w:rPr>
        <w:t>人（含</w:t>
      </w:r>
      <w:r>
        <w:rPr>
          <w:rFonts w:ascii="Arial" w:hAnsi="Arial"/>
          <w:color w:val="000000" w:themeColor="text1"/>
          <w14:textFill>
            <w14:solidFill>
              <w14:schemeClr w14:val="tx1"/>
            </w14:solidFill>
          </w14:textFill>
        </w:rPr>
        <w:t>10</w:t>
      </w:r>
      <w:r>
        <w:rPr>
          <w:rFonts w:hint="eastAsia" w:ascii="Arial" w:hAnsi="Arial"/>
          <w:color w:val="000000" w:themeColor="text1"/>
          <w14:textFill>
            <w14:solidFill>
              <w14:schemeClr w14:val="tx1"/>
            </w14:solidFill>
          </w14:textFill>
        </w:rPr>
        <w:t>人）；</w:t>
      </w:r>
    </w:p>
    <w:p>
      <w:pPr>
        <w:spacing w:line="360" w:lineRule="auto"/>
        <w:rPr>
          <w:rFonts w:ascii="Arial" w:hAnsi="Arial"/>
          <w:color w:val="000000" w:themeColor="text1"/>
          <w14:textFill>
            <w14:solidFill>
              <w14:schemeClr w14:val="tx1"/>
            </w14:solidFill>
          </w14:textFill>
        </w:rPr>
      </w:pPr>
      <w:r>
        <w:rPr>
          <w:rFonts w:hint="eastAsia" w:ascii="Arial" w:hAnsi="Arial"/>
          <w:color w:val="000000" w:themeColor="text1"/>
          <w14:textFill>
            <w14:solidFill>
              <w14:schemeClr w14:val="tx1"/>
            </w14:solidFill>
          </w14:textFill>
        </w:rPr>
        <w:t>（二）依法与安置的每位残疾人签订了一年以上（含一年）的劳动合同或服务协议；</w:t>
      </w:r>
    </w:p>
    <w:p>
      <w:pPr>
        <w:spacing w:line="360" w:lineRule="auto"/>
        <w:rPr>
          <w:rFonts w:ascii="Arial" w:hAnsi="Arial"/>
          <w:color w:val="000000" w:themeColor="text1"/>
          <w14:textFill>
            <w14:solidFill>
              <w14:schemeClr w14:val="tx1"/>
            </w14:solidFill>
          </w14:textFill>
        </w:rPr>
      </w:pPr>
      <w:r>
        <w:rPr>
          <w:rFonts w:hint="eastAsia" w:ascii="Arial" w:hAnsi="Arial"/>
          <w:color w:val="000000" w:themeColor="text1"/>
          <w14:textFill>
            <w14:solidFill>
              <w14:schemeClr w14:val="tx1"/>
            </w14:solidFill>
          </w14:textFill>
        </w:rPr>
        <w:t>（三）为安置的每位残疾人按月足额缴纳了基本养老保险、基本医疗保险、失业保险、工伤保险和生育保险等社会保险费；</w:t>
      </w:r>
    </w:p>
    <w:p>
      <w:pPr>
        <w:spacing w:line="360" w:lineRule="auto"/>
        <w:rPr>
          <w:rFonts w:ascii="Arial" w:hAnsi="Arial"/>
          <w:color w:val="000000" w:themeColor="text1"/>
          <w14:textFill>
            <w14:solidFill>
              <w14:schemeClr w14:val="tx1"/>
            </w14:solidFill>
          </w14:textFill>
        </w:rPr>
      </w:pPr>
      <w:r>
        <w:rPr>
          <w:rFonts w:hint="eastAsia" w:ascii="Arial" w:hAnsi="Arial"/>
          <w:color w:val="000000" w:themeColor="text1"/>
          <w14:textFill>
            <w14:solidFill>
              <w14:schemeClr w14:val="tx1"/>
            </w14:solidFill>
          </w14:textFill>
        </w:rPr>
        <w:t>（四）通过银行等金融机构向安置的每位残疾人，按月支付了不低于单位所在区县适用的经省级人民政府批准的月最低工资标准的工资；</w:t>
      </w:r>
    </w:p>
    <w:p>
      <w:pPr>
        <w:spacing w:line="360" w:lineRule="auto"/>
        <w:rPr>
          <w:rFonts w:ascii="Arial" w:hAnsi="Arial"/>
          <w:color w:val="000000" w:themeColor="text1"/>
          <w14:textFill>
            <w14:solidFill>
              <w14:schemeClr w14:val="tx1"/>
            </w14:solidFill>
          </w14:textFill>
        </w:rPr>
      </w:pPr>
      <w:r>
        <w:rPr>
          <w:rFonts w:hint="eastAsia" w:ascii="Arial" w:hAnsi="Arial"/>
          <w:color w:val="000000" w:themeColor="text1"/>
          <w14:textFill>
            <w14:solidFill>
              <w14:schemeClr w14:val="tx1"/>
            </w14:solidFill>
          </w14:textFill>
        </w:rPr>
        <w:t>（五）提供本单位制造的货物、承担的工程或者服务（以下简称产品），或者提供其他残疾人福利性单位制造的货物（不包括使用非残疾人福利性单位注册商标的货物）。</w:t>
      </w:r>
    </w:p>
    <w:p>
      <w:pPr>
        <w:spacing w:line="360" w:lineRule="auto"/>
        <w:rPr>
          <w:rFonts w:ascii="宋体" w:hAnsi="宋体"/>
          <w:color w:val="000000" w:themeColor="text1"/>
          <w:spacing w:val="6"/>
          <w:szCs w:val="21"/>
          <w14:textFill>
            <w14:solidFill>
              <w14:schemeClr w14:val="tx1"/>
            </w14:solidFill>
          </w14:textFill>
        </w:rPr>
      </w:pPr>
      <w:r>
        <w:rPr>
          <w:rFonts w:hint="eastAsia" w:ascii="Arial" w:hAnsi="Arial"/>
          <w:color w:val="000000" w:themeColor="text1"/>
          <w14:textFill>
            <w14:solidFill>
              <w14:schemeClr w14:val="tx1"/>
            </w14:solidFill>
          </w14:textFill>
        </w:rPr>
        <w:t>前款所称残疾人是指法定劳动年龄内，持有《中华人民共和国残疾人证》或者《中华人民共和国残疾军人证（</w:t>
      </w:r>
      <w:r>
        <w:rPr>
          <w:rFonts w:ascii="Arial" w:hAnsi="Arial"/>
          <w:color w:val="000000" w:themeColor="text1"/>
          <w14:textFill>
            <w14:solidFill>
              <w14:schemeClr w14:val="tx1"/>
            </w14:solidFill>
          </w14:textFill>
        </w:rPr>
        <w:t>1</w:t>
      </w:r>
      <w:r>
        <w:rPr>
          <w:rFonts w:hint="eastAsia" w:ascii="Arial" w:hAnsi="Arial"/>
          <w:color w:val="000000" w:themeColor="text1"/>
          <w14:textFill>
            <w14:solidFill>
              <w14:schemeClr w14:val="tx1"/>
            </w14:solidFill>
          </w14:textFill>
        </w:rPr>
        <w:t>至</w:t>
      </w:r>
      <w:r>
        <w:rPr>
          <w:rFonts w:ascii="Arial" w:hAnsi="Arial"/>
          <w:color w:val="000000" w:themeColor="text1"/>
          <w14:textFill>
            <w14:solidFill>
              <w14:schemeClr w14:val="tx1"/>
            </w14:solidFill>
          </w14:textFill>
        </w:rPr>
        <w:t>8</w:t>
      </w:r>
      <w:r>
        <w:rPr>
          <w:rFonts w:hint="eastAsia" w:ascii="Arial" w:hAnsi="Arial"/>
          <w:color w:val="000000" w:themeColor="text1"/>
          <w14:textFill>
            <w14:solidFill>
              <w14:schemeClr w14:val="tx1"/>
            </w14:solidFill>
          </w14:textFill>
        </w:rPr>
        <w:t>级）》的自然人，包括具有劳动条件和劳动意愿的精神残疾人。在职职工人数是指与残疾人福利性单位建立劳动关系并依法签订劳动合同或者服务协议的雇员人数。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1FF" w:csb1="00000000"/>
  </w:font>
  <w:font w:name="ヒラギノ角ゴ Pro W3">
    <w:altName w:val="Yu Gothic"/>
    <w:panose1 w:val="00000000000000000000"/>
    <w:charset w:val="80"/>
    <w:family w:val="auto"/>
    <w:pitch w:val="default"/>
    <w:sig w:usb0="00000000" w:usb1="00000000" w:usb2="00000012" w:usb3="00000000" w:csb0="0002000D" w:csb1="00000000"/>
  </w:font>
  <w:font w:name="Yu Gothic">
    <w:panose1 w:val="020B04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4921401"/>
    </w:sdtPr>
    <w:sdtContent>
      <w:p>
        <w:pPr>
          <w:pStyle w:val="27"/>
          <w:jc w:val="center"/>
        </w:pPr>
        <w:r>
          <w:fldChar w:fldCharType="begin"/>
        </w:r>
        <w:r>
          <w:instrText xml:space="preserve">PAGE   \* MERGEFORMAT</w:instrText>
        </w:r>
        <w:r>
          <w:fldChar w:fldCharType="separate"/>
        </w:r>
        <w:r>
          <w:rPr>
            <w:lang w:val="zh-CN"/>
          </w:rPr>
          <w:t>47</w:t>
        </w:r>
        <w:r>
          <w:rPr>
            <w:lang w:val="zh-CN"/>
          </w:rPr>
          <w:fldChar w:fldCharType="end"/>
        </w:r>
      </w:p>
    </w:sdtContent>
  </w:sdt>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904443"/>
    </w:sdtPr>
    <w:sdtContent>
      <w:p>
        <w:pPr>
          <w:pStyle w:val="27"/>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t>50</w: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EE973"/>
    <w:multiLevelType w:val="singleLevel"/>
    <w:tmpl w:val="8F0EE973"/>
    <w:lvl w:ilvl="0" w:tentative="0">
      <w:start w:val="1"/>
      <w:numFmt w:val="decimal"/>
      <w:lvlText w:val="%1."/>
      <w:lvlJc w:val="left"/>
      <w:pPr>
        <w:ind w:left="425" w:hanging="425"/>
      </w:pPr>
      <w:rPr>
        <w:rFonts w:hint="default"/>
      </w:rPr>
    </w:lvl>
  </w:abstractNum>
  <w:abstractNum w:abstractNumId="1">
    <w:nsid w:val="C1E84864"/>
    <w:multiLevelType w:val="singleLevel"/>
    <w:tmpl w:val="C1E84864"/>
    <w:lvl w:ilvl="0" w:tentative="0">
      <w:start w:val="1"/>
      <w:numFmt w:val="decimal"/>
      <w:lvlText w:val="%1."/>
      <w:lvlJc w:val="left"/>
      <w:pPr>
        <w:ind w:left="425" w:hanging="425"/>
      </w:pPr>
      <w:rPr>
        <w:rFonts w:hint="default"/>
      </w:rPr>
    </w:lvl>
  </w:abstractNum>
  <w:abstractNum w:abstractNumId="2">
    <w:nsid w:val="D684109A"/>
    <w:multiLevelType w:val="multilevel"/>
    <w:tmpl w:val="D684109A"/>
    <w:lvl w:ilvl="0" w:tentative="0">
      <w:start w:val="1"/>
      <w:numFmt w:val="decimal"/>
      <w:lvlText w:val="（%1）"/>
      <w:lvlJc w:val="left"/>
      <w:pPr>
        <w:tabs>
          <w:tab w:val="left" w:pos="715"/>
        </w:tabs>
        <w:ind w:left="715" w:hanging="505"/>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3">
    <w:nsid w:val="E25FC674"/>
    <w:multiLevelType w:val="singleLevel"/>
    <w:tmpl w:val="E25FC674"/>
    <w:lvl w:ilvl="0" w:tentative="0">
      <w:start w:val="1"/>
      <w:numFmt w:val="decimal"/>
      <w:lvlText w:val="%1."/>
      <w:lvlJc w:val="left"/>
      <w:pPr>
        <w:ind w:left="425" w:hanging="425"/>
      </w:pPr>
      <w:rPr>
        <w:rFonts w:hint="default"/>
      </w:rPr>
    </w:lvl>
  </w:abstractNum>
  <w:abstractNum w:abstractNumId="4">
    <w:nsid w:val="EB5AB477"/>
    <w:multiLevelType w:val="singleLevel"/>
    <w:tmpl w:val="EB5AB477"/>
    <w:lvl w:ilvl="0" w:tentative="0">
      <w:start w:val="3"/>
      <w:numFmt w:val="chineseCounting"/>
      <w:suff w:val="nothing"/>
      <w:lvlText w:val="%1、"/>
      <w:lvlJc w:val="left"/>
      <w:rPr>
        <w:rFonts w:hint="eastAsia"/>
      </w:rPr>
    </w:lvl>
  </w:abstractNum>
  <w:abstractNum w:abstractNumId="5">
    <w:nsid w:val="00000013"/>
    <w:multiLevelType w:val="singleLevel"/>
    <w:tmpl w:val="00000013"/>
    <w:lvl w:ilvl="0" w:tentative="0">
      <w:start w:val="1"/>
      <w:numFmt w:val="decimal"/>
      <w:suff w:val="nothing"/>
      <w:lvlText w:val="（%1）"/>
      <w:lvlJc w:val="left"/>
      <w:pPr>
        <w:ind w:left="0" w:firstLine="400"/>
      </w:pPr>
      <w:rPr>
        <w:rFonts w:hint="default"/>
      </w:rPr>
    </w:lvl>
  </w:abstractNum>
  <w:abstractNum w:abstractNumId="6">
    <w:nsid w:val="05DA7C55"/>
    <w:multiLevelType w:val="singleLevel"/>
    <w:tmpl w:val="05DA7C55"/>
    <w:lvl w:ilvl="0" w:tentative="0">
      <w:start w:val="1"/>
      <w:numFmt w:val="decimal"/>
      <w:lvlText w:val="%1."/>
      <w:lvlJc w:val="left"/>
      <w:pPr>
        <w:ind w:left="425" w:hanging="425"/>
      </w:pPr>
      <w:rPr>
        <w:rFonts w:hint="default"/>
      </w:rPr>
    </w:lvl>
  </w:abstractNum>
  <w:abstractNum w:abstractNumId="7">
    <w:nsid w:val="06011510"/>
    <w:multiLevelType w:val="multilevel"/>
    <w:tmpl w:val="0601151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0A240389"/>
    <w:multiLevelType w:val="singleLevel"/>
    <w:tmpl w:val="0A240389"/>
    <w:lvl w:ilvl="0" w:tentative="0">
      <w:start w:val="2"/>
      <w:numFmt w:val="chineseCounting"/>
      <w:suff w:val="nothing"/>
      <w:lvlText w:val="（%1）"/>
      <w:lvlJc w:val="left"/>
      <w:rPr>
        <w:rFonts w:hint="eastAsia"/>
      </w:rPr>
    </w:lvl>
  </w:abstractNum>
  <w:abstractNum w:abstractNumId="9">
    <w:nsid w:val="0FFFFF7C"/>
    <w:multiLevelType w:val="singleLevel"/>
    <w:tmpl w:val="0FFFFF7C"/>
    <w:lvl w:ilvl="0" w:tentative="0">
      <w:start w:val="1"/>
      <w:numFmt w:val="decimal"/>
      <w:pStyle w:val="13"/>
      <w:lvlText w:val="%1."/>
      <w:lvlJc w:val="left"/>
      <w:pPr>
        <w:tabs>
          <w:tab w:val="left" w:pos="2040"/>
        </w:tabs>
        <w:ind w:left="2040" w:hanging="360"/>
      </w:pPr>
    </w:lvl>
  </w:abstractNum>
  <w:abstractNum w:abstractNumId="10">
    <w:nsid w:val="0FFFFF7D"/>
    <w:multiLevelType w:val="singleLevel"/>
    <w:tmpl w:val="0FFFFF7D"/>
    <w:lvl w:ilvl="0" w:tentative="0">
      <w:start w:val="1"/>
      <w:numFmt w:val="decimal"/>
      <w:pStyle w:val="17"/>
      <w:lvlText w:val="%1."/>
      <w:lvlJc w:val="left"/>
      <w:pPr>
        <w:tabs>
          <w:tab w:val="left" w:pos="1620"/>
        </w:tabs>
        <w:ind w:left="1620" w:hanging="360"/>
      </w:pPr>
    </w:lvl>
  </w:abstractNum>
  <w:abstractNum w:abstractNumId="11">
    <w:nsid w:val="0FFFFF7F"/>
    <w:multiLevelType w:val="singleLevel"/>
    <w:tmpl w:val="0FFFFF7F"/>
    <w:lvl w:ilvl="0" w:tentative="0">
      <w:start w:val="1"/>
      <w:numFmt w:val="decimal"/>
      <w:pStyle w:val="14"/>
      <w:lvlText w:val="%1."/>
      <w:lvlJc w:val="left"/>
      <w:pPr>
        <w:tabs>
          <w:tab w:val="left" w:pos="780"/>
        </w:tabs>
        <w:ind w:left="780" w:hanging="360"/>
      </w:pPr>
    </w:lvl>
  </w:abstractNum>
  <w:abstractNum w:abstractNumId="12">
    <w:nsid w:val="0FFFFF80"/>
    <w:multiLevelType w:val="singleLevel"/>
    <w:tmpl w:val="0FFFFF80"/>
    <w:lvl w:ilvl="0" w:tentative="0">
      <w:start w:val="1"/>
      <w:numFmt w:val="bullet"/>
      <w:pStyle w:val="24"/>
      <w:lvlText w:val=""/>
      <w:lvlJc w:val="left"/>
      <w:pPr>
        <w:tabs>
          <w:tab w:val="left" w:pos="2040"/>
        </w:tabs>
        <w:ind w:left="2040" w:hanging="360"/>
      </w:pPr>
      <w:rPr>
        <w:rFonts w:hint="default" w:ascii="Wingdings" w:hAnsi="Wingdings"/>
      </w:rPr>
    </w:lvl>
  </w:abstractNum>
  <w:abstractNum w:abstractNumId="13">
    <w:nsid w:val="0FFFFF81"/>
    <w:multiLevelType w:val="singleLevel"/>
    <w:tmpl w:val="0FFFFF81"/>
    <w:lvl w:ilvl="0" w:tentative="0">
      <w:start w:val="1"/>
      <w:numFmt w:val="bullet"/>
      <w:pStyle w:val="20"/>
      <w:lvlText w:val=""/>
      <w:lvlJc w:val="left"/>
      <w:pPr>
        <w:tabs>
          <w:tab w:val="left" w:pos="1620"/>
        </w:tabs>
        <w:ind w:left="1620" w:hanging="360"/>
      </w:pPr>
      <w:rPr>
        <w:rFonts w:hint="default" w:ascii="Wingdings" w:hAnsi="Wingdings"/>
      </w:rPr>
    </w:lvl>
  </w:abstractNum>
  <w:abstractNum w:abstractNumId="14">
    <w:nsid w:val="0FFFFF83"/>
    <w:multiLevelType w:val="singleLevel"/>
    <w:tmpl w:val="0FFFFF83"/>
    <w:lvl w:ilvl="0" w:tentative="0">
      <w:start w:val="1"/>
      <w:numFmt w:val="bullet"/>
      <w:pStyle w:val="33"/>
      <w:lvlText w:val=""/>
      <w:lvlJc w:val="left"/>
      <w:pPr>
        <w:tabs>
          <w:tab w:val="left" w:pos="780"/>
        </w:tabs>
        <w:ind w:left="780" w:hanging="360"/>
      </w:pPr>
      <w:rPr>
        <w:rFonts w:hint="default" w:ascii="Wingdings" w:hAnsi="Wingdings"/>
      </w:rPr>
    </w:lvl>
  </w:abstractNum>
  <w:abstractNum w:abstractNumId="15">
    <w:nsid w:val="0FFFFF89"/>
    <w:multiLevelType w:val="singleLevel"/>
    <w:tmpl w:val="0FFFFF89"/>
    <w:lvl w:ilvl="0" w:tentative="0">
      <w:start w:val="1"/>
      <w:numFmt w:val="bullet"/>
      <w:pStyle w:val="86"/>
      <w:lvlText w:val=""/>
      <w:lvlJc w:val="left"/>
      <w:pPr>
        <w:tabs>
          <w:tab w:val="left" w:pos="360"/>
        </w:tabs>
        <w:ind w:left="360" w:hanging="360"/>
      </w:pPr>
      <w:rPr>
        <w:rFonts w:hint="default" w:ascii="Wingdings" w:hAnsi="Wingdings"/>
      </w:rPr>
    </w:lvl>
  </w:abstractNum>
  <w:abstractNum w:abstractNumId="16">
    <w:nsid w:val="155240BF"/>
    <w:multiLevelType w:val="singleLevel"/>
    <w:tmpl w:val="155240BF"/>
    <w:lvl w:ilvl="0" w:tentative="0">
      <w:start w:val="1"/>
      <w:numFmt w:val="decimal"/>
      <w:lvlText w:val="%1."/>
      <w:lvlJc w:val="left"/>
      <w:pPr>
        <w:ind w:left="425" w:hanging="425"/>
      </w:pPr>
      <w:rPr>
        <w:rFonts w:hint="default"/>
      </w:rPr>
    </w:lvl>
  </w:abstractNum>
  <w:abstractNum w:abstractNumId="17">
    <w:nsid w:val="16A72738"/>
    <w:multiLevelType w:val="singleLevel"/>
    <w:tmpl w:val="16A72738"/>
    <w:lvl w:ilvl="0" w:tentative="0">
      <w:start w:val="1"/>
      <w:numFmt w:val="decimal"/>
      <w:lvlText w:val="%1."/>
      <w:lvlJc w:val="left"/>
      <w:pPr>
        <w:ind w:left="425" w:hanging="425"/>
      </w:pPr>
      <w:rPr>
        <w:rFonts w:hint="default"/>
      </w:rPr>
    </w:lvl>
  </w:abstractNum>
  <w:abstractNum w:abstractNumId="18">
    <w:nsid w:val="2458DEA9"/>
    <w:multiLevelType w:val="singleLevel"/>
    <w:tmpl w:val="2458DEA9"/>
    <w:lvl w:ilvl="0" w:tentative="0">
      <w:start w:val="1"/>
      <w:numFmt w:val="decimal"/>
      <w:lvlText w:val="%1."/>
      <w:lvlJc w:val="left"/>
      <w:pPr>
        <w:ind w:left="425" w:hanging="425"/>
      </w:pPr>
      <w:rPr>
        <w:rFonts w:hint="default"/>
      </w:rPr>
    </w:lvl>
  </w:abstractNum>
  <w:abstractNum w:abstractNumId="19">
    <w:nsid w:val="25B54A36"/>
    <w:multiLevelType w:val="multilevel"/>
    <w:tmpl w:val="25B54A36"/>
    <w:lvl w:ilvl="0" w:tentative="0">
      <w:start w:val="1"/>
      <w:numFmt w:val="bullet"/>
      <w:pStyle w:val="11"/>
      <w:lvlText w:val="ı"/>
      <w:lvlJc w:val="left"/>
      <w:pPr>
        <w:tabs>
          <w:tab w:val="left" w:pos="425"/>
        </w:tabs>
        <w:ind w:left="425" w:hanging="425"/>
      </w:pPr>
      <w:rPr>
        <w:rFonts w:ascii="Arial Black" w:hAnsi="Arial Black" w:cs="Arial Black"/>
        <w:sz w:val="18"/>
        <w:szCs w:val="18"/>
      </w:rPr>
    </w:lvl>
    <w:lvl w:ilvl="1" w:tentative="0">
      <w:start w:val="1"/>
      <w:numFmt w:val="bullet"/>
      <w:pStyle w:val="10"/>
      <w:lvlText w:val="▪"/>
      <w:lvlJc w:val="left"/>
      <w:pPr>
        <w:tabs>
          <w:tab w:val="left" w:pos="851"/>
        </w:tabs>
        <w:ind w:left="850" w:hanging="425"/>
      </w:pPr>
      <w:rPr>
        <w:rFonts w:hint="default" w:ascii="Arial" w:hAnsi="Arial" w:cs="Arial"/>
        <w:sz w:val="18"/>
        <w:szCs w:val="18"/>
      </w:rPr>
    </w:lvl>
    <w:lvl w:ilvl="2" w:tentative="0">
      <w:start w:val="1"/>
      <w:numFmt w:val="bullet"/>
      <w:pStyle w:val="9"/>
      <w:lvlText w:val="▪"/>
      <w:lvlJc w:val="left"/>
      <w:pPr>
        <w:tabs>
          <w:tab w:val="left" w:pos="1276"/>
        </w:tabs>
        <w:ind w:left="1275" w:hanging="425"/>
      </w:pPr>
      <w:rPr>
        <w:rFonts w:hint="default" w:ascii="Arial" w:hAnsi="Arial" w:cs="Arial"/>
        <w:sz w:val="18"/>
        <w:szCs w:val="18"/>
      </w:rPr>
    </w:lvl>
    <w:lvl w:ilvl="3" w:tentative="0">
      <w:start w:val="1"/>
      <w:numFmt w:val="bullet"/>
      <w:pStyle w:val="8"/>
      <w:lvlText w:val="▪"/>
      <w:lvlJc w:val="left"/>
      <w:pPr>
        <w:tabs>
          <w:tab w:val="left" w:pos="1701"/>
        </w:tabs>
        <w:ind w:left="1700" w:hanging="425"/>
      </w:pPr>
      <w:rPr>
        <w:rFonts w:hint="default" w:ascii="Arial" w:hAnsi="Arial" w:cs="Arial"/>
        <w:sz w:val="18"/>
        <w:szCs w:val="18"/>
      </w:rPr>
    </w:lvl>
    <w:lvl w:ilvl="4" w:tentative="0">
      <w:start w:val="1"/>
      <w:numFmt w:val="bullet"/>
      <w:pStyle w:val="23"/>
      <w:lvlText w:val="▪"/>
      <w:lvlJc w:val="left"/>
      <w:pPr>
        <w:tabs>
          <w:tab w:val="left" w:pos="2126"/>
        </w:tabs>
        <w:ind w:left="2125" w:hanging="425"/>
      </w:pPr>
      <w:rPr>
        <w:rFonts w:hint="default" w:ascii="Arial" w:hAnsi="Arial" w:cs="Arial"/>
        <w:sz w:val="18"/>
      </w:rPr>
    </w:lvl>
    <w:lvl w:ilvl="5" w:tentative="0">
      <w:start w:val="1"/>
      <w:numFmt w:val="bullet"/>
      <w:lvlText w:val="▪"/>
      <w:lvlJc w:val="left"/>
      <w:pPr>
        <w:tabs>
          <w:tab w:val="left" w:pos="2552"/>
        </w:tabs>
        <w:ind w:left="2550" w:hanging="425"/>
      </w:pPr>
      <w:rPr>
        <w:rFonts w:hint="default" w:ascii="Arial" w:hAnsi="Arial" w:cs="Arial"/>
        <w:sz w:val="18"/>
        <w:szCs w:val="18"/>
      </w:rPr>
    </w:lvl>
    <w:lvl w:ilvl="6" w:tentative="0">
      <w:start w:val="1"/>
      <w:numFmt w:val="bullet"/>
      <w:lvlText w:val="▪"/>
      <w:lvlJc w:val="left"/>
      <w:pPr>
        <w:tabs>
          <w:tab w:val="left" w:pos="2977"/>
        </w:tabs>
        <w:ind w:left="2975" w:hanging="425"/>
      </w:pPr>
      <w:rPr>
        <w:rFonts w:hint="default" w:ascii="Arial" w:hAnsi="Arial" w:cs="Arial"/>
        <w:sz w:val="18"/>
      </w:rPr>
    </w:lvl>
    <w:lvl w:ilvl="7" w:tentative="0">
      <w:start w:val="1"/>
      <w:numFmt w:val="bullet"/>
      <w:lvlText w:val="▪"/>
      <w:lvlJc w:val="left"/>
      <w:pPr>
        <w:tabs>
          <w:tab w:val="left" w:pos="3402"/>
        </w:tabs>
        <w:ind w:left="3400" w:hanging="425"/>
      </w:pPr>
      <w:rPr>
        <w:rFonts w:hint="default" w:ascii="Arial" w:hAnsi="Arial" w:cs="Arial"/>
        <w:sz w:val="18"/>
        <w:szCs w:val="18"/>
      </w:rPr>
    </w:lvl>
    <w:lvl w:ilvl="8" w:tentative="0">
      <w:start w:val="1"/>
      <w:numFmt w:val="bullet"/>
      <w:lvlText w:val="▪"/>
      <w:lvlJc w:val="left"/>
      <w:pPr>
        <w:tabs>
          <w:tab w:val="left" w:pos="3827"/>
        </w:tabs>
        <w:ind w:left="3825" w:hanging="425"/>
      </w:pPr>
      <w:rPr>
        <w:rFonts w:ascii="Arial" w:hAnsi="Arial" w:cs="Arial"/>
        <w:sz w:val="18"/>
        <w:szCs w:val="18"/>
      </w:rPr>
    </w:lvl>
  </w:abstractNum>
  <w:abstractNum w:abstractNumId="20">
    <w:nsid w:val="29436CFD"/>
    <w:multiLevelType w:val="singleLevel"/>
    <w:tmpl w:val="29436CFD"/>
    <w:lvl w:ilvl="0" w:tentative="0">
      <w:start w:val="1"/>
      <w:numFmt w:val="decimal"/>
      <w:lvlText w:val="%1."/>
      <w:lvlJc w:val="left"/>
      <w:pPr>
        <w:ind w:left="425" w:hanging="425"/>
      </w:pPr>
      <w:rPr>
        <w:rFonts w:hint="default"/>
      </w:rPr>
    </w:lvl>
  </w:abstractNum>
  <w:abstractNum w:abstractNumId="21">
    <w:nsid w:val="29D120CC"/>
    <w:multiLevelType w:val="singleLevel"/>
    <w:tmpl w:val="29D120CC"/>
    <w:lvl w:ilvl="0" w:tentative="0">
      <w:start w:val="1"/>
      <w:numFmt w:val="decimal"/>
      <w:suff w:val="nothing"/>
      <w:lvlText w:val="（%1）"/>
      <w:lvlJc w:val="left"/>
    </w:lvl>
  </w:abstractNum>
  <w:abstractNum w:abstractNumId="22">
    <w:nsid w:val="45EEDFE0"/>
    <w:multiLevelType w:val="singleLevel"/>
    <w:tmpl w:val="45EEDFE0"/>
    <w:lvl w:ilvl="0" w:tentative="0">
      <w:start w:val="1"/>
      <w:numFmt w:val="decimal"/>
      <w:lvlText w:val="%1."/>
      <w:lvlJc w:val="left"/>
      <w:pPr>
        <w:ind w:left="425" w:hanging="425"/>
      </w:pPr>
      <w:rPr>
        <w:rFonts w:hint="default"/>
      </w:rPr>
    </w:lvl>
  </w:abstractNum>
  <w:abstractNum w:abstractNumId="23">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pStyle w:val="5"/>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4">
    <w:nsid w:val="7827C3BE"/>
    <w:multiLevelType w:val="singleLevel"/>
    <w:tmpl w:val="7827C3BE"/>
    <w:lvl w:ilvl="0" w:tentative="0">
      <w:start w:val="1"/>
      <w:numFmt w:val="decimal"/>
      <w:lvlText w:val="%1."/>
      <w:lvlJc w:val="left"/>
      <w:pPr>
        <w:ind w:left="425" w:hanging="425"/>
      </w:pPr>
      <w:rPr>
        <w:rFonts w:hint="default"/>
      </w:rPr>
    </w:lvl>
  </w:abstractNum>
  <w:num w:numId="1">
    <w:abstractNumId w:val="23"/>
  </w:num>
  <w:num w:numId="2">
    <w:abstractNumId w:val="19"/>
  </w:num>
  <w:num w:numId="3">
    <w:abstractNumId w:val="9"/>
  </w:num>
  <w:num w:numId="4">
    <w:abstractNumId w:val="11"/>
  </w:num>
  <w:num w:numId="5">
    <w:abstractNumId w:val="10"/>
  </w:num>
  <w:num w:numId="6">
    <w:abstractNumId w:val="13"/>
  </w:num>
  <w:num w:numId="7">
    <w:abstractNumId w:val="12"/>
  </w:num>
  <w:num w:numId="8">
    <w:abstractNumId w:val="14"/>
  </w:num>
  <w:num w:numId="9">
    <w:abstractNumId w:val="15"/>
  </w:num>
  <w:num w:numId="10">
    <w:abstractNumId w:val="8"/>
  </w:num>
  <w:num w:numId="11">
    <w:abstractNumId w:val="7"/>
  </w:num>
  <w:num w:numId="12">
    <w:abstractNumId w:val="4"/>
  </w:num>
  <w:num w:numId="13">
    <w:abstractNumId w:val="5"/>
  </w:num>
  <w:num w:numId="14">
    <w:abstractNumId w:val="21"/>
  </w:num>
  <w:num w:numId="15">
    <w:abstractNumId w:val="22"/>
  </w:num>
  <w:num w:numId="16">
    <w:abstractNumId w:val="17"/>
  </w:num>
  <w:num w:numId="17">
    <w:abstractNumId w:val="0"/>
  </w:num>
  <w:num w:numId="18">
    <w:abstractNumId w:val="18"/>
  </w:num>
  <w:num w:numId="19">
    <w:abstractNumId w:val="3"/>
  </w:num>
  <w:num w:numId="20">
    <w:abstractNumId w:val="24"/>
  </w:num>
  <w:num w:numId="21">
    <w:abstractNumId w:val="1"/>
  </w:num>
  <w:num w:numId="22">
    <w:abstractNumId w:val="16"/>
  </w:num>
  <w:num w:numId="23">
    <w:abstractNumId w:val="20"/>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mJiNDRjYTQzMzI5NTUzYmZmN2NiMjA4NDZmNGEifQ=="/>
    <w:docVar w:name="KSO_WPS_MARK_KEY" w:val="d6d48320-a9e0-42bc-9d0d-1c3506ddc221"/>
  </w:docVars>
  <w:rsids>
    <w:rsidRoot w:val="001439E3"/>
    <w:rsid w:val="0000194C"/>
    <w:rsid w:val="000024E5"/>
    <w:rsid w:val="00002AE0"/>
    <w:rsid w:val="00002C60"/>
    <w:rsid w:val="00005B29"/>
    <w:rsid w:val="00005B9E"/>
    <w:rsid w:val="00013447"/>
    <w:rsid w:val="00017B9B"/>
    <w:rsid w:val="00017D65"/>
    <w:rsid w:val="00023846"/>
    <w:rsid w:val="00025A7A"/>
    <w:rsid w:val="00026A58"/>
    <w:rsid w:val="00030469"/>
    <w:rsid w:val="000329A1"/>
    <w:rsid w:val="00041888"/>
    <w:rsid w:val="00042DCB"/>
    <w:rsid w:val="0004419A"/>
    <w:rsid w:val="000448DC"/>
    <w:rsid w:val="00045DB1"/>
    <w:rsid w:val="00051913"/>
    <w:rsid w:val="00052D9E"/>
    <w:rsid w:val="00052F05"/>
    <w:rsid w:val="000553FE"/>
    <w:rsid w:val="00055771"/>
    <w:rsid w:val="000608A7"/>
    <w:rsid w:val="00060E85"/>
    <w:rsid w:val="000613B9"/>
    <w:rsid w:val="00061828"/>
    <w:rsid w:val="0006262E"/>
    <w:rsid w:val="0006612F"/>
    <w:rsid w:val="000670D6"/>
    <w:rsid w:val="000709B9"/>
    <w:rsid w:val="00076D9F"/>
    <w:rsid w:val="00080298"/>
    <w:rsid w:val="00080570"/>
    <w:rsid w:val="00080962"/>
    <w:rsid w:val="00082043"/>
    <w:rsid w:val="0008210E"/>
    <w:rsid w:val="0008354E"/>
    <w:rsid w:val="00084731"/>
    <w:rsid w:val="00086970"/>
    <w:rsid w:val="0009098B"/>
    <w:rsid w:val="0009420F"/>
    <w:rsid w:val="000950FD"/>
    <w:rsid w:val="00097A3A"/>
    <w:rsid w:val="000A4A71"/>
    <w:rsid w:val="000A5E8B"/>
    <w:rsid w:val="000A6ECA"/>
    <w:rsid w:val="000B1386"/>
    <w:rsid w:val="000B4C0D"/>
    <w:rsid w:val="000B4D31"/>
    <w:rsid w:val="000B75EC"/>
    <w:rsid w:val="000B794A"/>
    <w:rsid w:val="000B7CE5"/>
    <w:rsid w:val="000C202B"/>
    <w:rsid w:val="000C47C9"/>
    <w:rsid w:val="000C5EEB"/>
    <w:rsid w:val="000D0B96"/>
    <w:rsid w:val="000D151E"/>
    <w:rsid w:val="000D3700"/>
    <w:rsid w:val="000D5487"/>
    <w:rsid w:val="000D7D2B"/>
    <w:rsid w:val="000E0B50"/>
    <w:rsid w:val="000E1A9E"/>
    <w:rsid w:val="000E1FB8"/>
    <w:rsid w:val="000E25F6"/>
    <w:rsid w:val="000E3864"/>
    <w:rsid w:val="000E497A"/>
    <w:rsid w:val="000E635A"/>
    <w:rsid w:val="000E6ABF"/>
    <w:rsid w:val="000E77F4"/>
    <w:rsid w:val="000F7075"/>
    <w:rsid w:val="000F75C8"/>
    <w:rsid w:val="00100C0D"/>
    <w:rsid w:val="00101536"/>
    <w:rsid w:val="00102322"/>
    <w:rsid w:val="00102BFD"/>
    <w:rsid w:val="00103EE5"/>
    <w:rsid w:val="0010706C"/>
    <w:rsid w:val="001140A4"/>
    <w:rsid w:val="00114347"/>
    <w:rsid w:val="00115147"/>
    <w:rsid w:val="0012060F"/>
    <w:rsid w:val="00123804"/>
    <w:rsid w:val="001250D7"/>
    <w:rsid w:val="00126018"/>
    <w:rsid w:val="00132308"/>
    <w:rsid w:val="00132EF1"/>
    <w:rsid w:val="0013327D"/>
    <w:rsid w:val="00137501"/>
    <w:rsid w:val="0014178F"/>
    <w:rsid w:val="00141A30"/>
    <w:rsid w:val="0014202A"/>
    <w:rsid w:val="001439E3"/>
    <w:rsid w:val="00144707"/>
    <w:rsid w:val="00147DA8"/>
    <w:rsid w:val="001502FD"/>
    <w:rsid w:val="00151800"/>
    <w:rsid w:val="00152E03"/>
    <w:rsid w:val="001569F3"/>
    <w:rsid w:val="00157E25"/>
    <w:rsid w:val="0016018E"/>
    <w:rsid w:val="00161474"/>
    <w:rsid w:val="0016315B"/>
    <w:rsid w:val="00164C79"/>
    <w:rsid w:val="00165F28"/>
    <w:rsid w:val="00166E00"/>
    <w:rsid w:val="00170F13"/>
    <w:rsid w:val="0017292A"/>
    <w:rsid w:val="00174731"/>
    <w:rsid w:val="00174FBD"/>
    <w:rsid w:val="00185945"/>
    <w:rsid w:val="00185CA9"/>
    <w:rsid w:val="00190D30"/>
    <w:rsid w:val="001930EF"/>
    <w:rsid w:val="0019371D"/>
    <w:rsid w:val="00196A1E"/>
    <w:rsid w:val="001A1D25"/>
    <w:rsid w:val="001A3A14"/>
    <w:rsid w:val="001A40DB"/>
    <w:rsid w:val="001B21C8"/>
    <w:rsid w:val="001B25B1"/>
    <w:rsid w:val="001B2FD8"/>
    <w:rsid w:val="001B4E96"/>
    <w:rsid w:val="001C00F3"/>
    <w:rsid w:val="001C15CD"/>
    <w:rsid w:val="001C18B9"/>
    <w:rsid w:val="001C1AB3"/>
    <w:rsid w:val="001C6C5D"/>
    <w:rsid w:val="001D43F1"/>
    <w:rsid w:val="001D51DD"/>
    <w:rsid w:val="001D5E8B"/>
    <w:rsid w:val="001D7BEE"/>
    <w:rsid w:val="001E2F6C"/>
    <w:rsid w:val="001E729A"/>
    <w:rsid w:val="001F2405"/>
    <w:rsid w:val="001F4A61"/>
    <w:rsid w:val="001F4AE9"/>
    <w:rsid w:val="001F4F06"/>
    <w:rsid w:val="001F52F6"/>
    <w:rsid w:val="001F60B3"/>
    <w:rsid w:val="001F679D"/>
    <w:rsid w:val="001F7E9A"/>
    <w:rsid w:val="002024F9"/>
    <w:rsid w:val="00202E91"/>
    <w:rsid w:val="00205181"/>
    <w:rsid w:val="00205269"/>
    <w:rsid w:val="00207021"/>
    <w:rsid w:val="00207182"/>
    <w:rsid w:val="00211129"/>
    <w:rsid w:val="00212620"/>
    <w:rsid w:val="00212724"/>
    <w:rsid w:val="002128F6"/>
    <w:rsid w:val="002150E7"/>
    <w:rsid w:val="0021704B"/>
    <w:rsid w:val="0021738D"/>
    <w:rsid w:val="00220215"/>
    <w:rsid w:val="0022190F"/>
    <w:rsid w:val="0023112B"/>
    <w:rsid w:val="00233DE0"/>
    <w:rsid w:val="00235C1A"/>
    <w:rsid w:val="00244360"/>
    <w:rsid w:val="00255FBE"/>
    <w:rsid w:val="002604B4"/>
    <w:rsid w:val="0026103B"/>
    <w:rsid w:val="00263045"/>
    <w:rsid w:val="00266DAB"/>
    <w:rsid w:val="00270932"/>
    <w:rsid w:val="00275E89"/>
    <w:rsid w:val="0027676A"/>
    <w:rsid w:val="0028176F"/>
    <w:rsid w:val="002824D2"/>
    <w:rsid w:val="00285C02"/>
    <w:rsid w:val="00285CC6"/>
    <w:rsid w:val="002874BA"/>
    <w:rsid w:val="00291202"/>
    <w:rsid w:val="00292B5E"/>
    <w:rsid w:val="00292E04"/>
    <w:rsid w:val="00293834"/>
    <w:rsid w:val="00296B6C"/>
    <w:rsid w:val="00297C96"/>
    <w:rsid w:val="002A2DA4"/>
    <w:rsid w:val="002A4886"/>
    <w:rsid w:val="002A4CAB"/>
    <w:rsid w:val="002B3D12"/>
    <w:rsid w:val="002B40A8"/>
    <w:rsid w:val="002B585F"/>
    <w:rsid w:val="002B7D1F"/>
    <w:rsid w:val="002C0C8D"/>
    <w:rsid w:val="002C1AB4"/>
    <w:rsid w:val="002C2BE1"/>
    <w:rsid w:val="002C2C85"/>
    <w:rsid w:val="002C52B8"/>
    <w:rsid w:val="002C7BF0"/>
    <w:rsid w:val="002C7EE0"/>
    <w:rsid w:val="002D1244"/>
    <w:rsid w:val="002D1B48"/>
    <w:rsid w:val="002D5AF5"/>
    <w:rsid w:val="002D764B"/>
    <w:rsid w:val="002E0F33"/>
    <w:rsid w:val="002E4B06"/>
    <w:rsid w:val="002E4EEF"/>
    <w:rsid w:val="002E7B5E"/>
    <w:rsid w:val="002F0240"/>
    <w:rsid w:val="002F6DC2"/>
    <w:rsid w:val="002F76F8"/>
    <w:rsid w:val="00301C73"/>
    <w:rsid w:val="003039A1"/>
    <w:rsid w:val="003073AB"/>
    <w:rsid w:val="00315268"/>
    <w:rsid w:val="003166CF"/>
    <w:rsid w:val="0032319A"/>
    <w:rsid w:val="003247E1"/>
    <w:rsid w:val="00330011"/>
    <w:rsid w:val="00330601"/>
    <w:rsid w:val="003349F5"/>
    <w:rsid w:val="00336777"/>
    <w:rsid w:val="00336F55"/>
    <w:rsid w:val="003370F9"/>
    <w:rsid w:val="00340BBA"/>
    <w:rsid w:val="00342906"/>
    <w:rsid w:val="00342C38"/>
    <w:rsid w:val="00342EC0"/>
    <w:rsid w:val="00355821"/>
    <w:rsid w:val="00356003"/>
    <w:rsid w:val="00356B79"/>
    <w:rsid w:val="0035787B"/>
    <w:rsid w:val="00364CDD"/>
    <w:rsid w:val="00366D72"/>
    <w:rsid w:val="00373526"/>
    <w:rsid w:val="0037369B"/>
    <w:rsid w:val="0037441B"/>
    <w:rsid w:val="00382F83"/>
    <w:rsid w:val="0038498D"/>
    <w:rsid w:val="00386C7C"/>
    <w:rsid w:val="00395739"/>
    <w:rsid w:val="00395754"/>
    <w:rsid w:val="00396079"/>
    <w:rsid w:val="003A18A3"/>
    <w:rsid w:val="003A2F5C"/>
    <w:rsid w:val="003A36F5"/>
    <w:rsid w:val="003A4396"/>
    <w:rsid w:val="003A5795"/>
    <w:rsid w:val="003B07AE"/>
    <w:rsid w:val="003B146C"/>
    <w:rsid w:val="003B3994"/>
    <w:rsid w:val="003B3D2B"/>
    <w:rsid w:val="003C0911"/>
    <w:rsid w:val="003C0D5E"/>
    <w:rsid w:val="003C151F"/>
    <w:rsid w:val="003C181E"/>
    <w:rsid w:val="003C1828"/>
    <w:rsid w:val="003C24DA"/>
    <w:rsid w:val="003C58DA"/>
    <w:rsid w:val="003D0DB2"/>
    <w:rsid w:val="003D12DE"/>
    <w:rsid w:val="003D3FEA"/>
    <w:rsid w:val="003D5A14"/>
    <w:rsid w:val="003D6517"/>
    <w:rsid w:val="003D6614"/>
    <w:rsid w:val="003D7F91"/>
    <w:rsid w:val="003E249E"/>
    <w:rsid w:val="003E4851"/>
    <w:rsid w:val="003E4EBA"/>
    <w:rsid w:val="003F2A8B"/>
    <w:rsid w:val="003F4884"/>
    <w:rsid w:val="003F6B27"/>
    <w:rsid w:val="003F7A49"/>
    <w:rsid w:val="00400BE4"/>
    <w:rsid w:val="004012C0"/>
    <w:rsid w:val="0040362A"/>
    <w:rsid w:val="00407750"/>
    <w:rsid w:val="00410971"/>
    <w:rsid w:val="00411F44"/>
    <w:rsid w:val="0041563A"/>
    <w:rsid w:val="00417452"/>
    <w:rsid w:val="004177AB"/>
    <w:rsid w:val="00420705"/>
    <w:rsid w:val="00422447"/>
    <w:rsid w:val="00422A50"/>
    <w:rsid w:val="004247BA"/>
    <w:rsid w:val="004248F7"/>
    <w:rsid w:val="0042581D"/>
    <w:rsid w:val="00432AF4"/>
    <w:rsid w:val="004364DD"/>
    <w:rsid w:val="00437271"/>
    <w:rsid w:val="0044059B"/>
    <w:rsid w:val="0044321B"/>
    <w:rsid w:val="00443476"/>
    <w:rsid w:val="00443AB2"/>
    <w:rsid w:val="00450C98"/>
    <w:rsid w:val="00453C5F"/>
    <w:rsid w:val="0045417B"/>
    <w:rsid w:val="0045608C"/>
    <w:rsid w:val="004626DD"/>
    <w:rsid w:val="004648BD"/>
    <w:rsid w:val="00464CB2"/>
    <w:rsid w:val="00467461"/>
    <w:rsid w:val="00471CB2"/>
    <w:rsid w:val="00476928"/>
    <w:rsid w:val="004808DF"/>
    <w:rsid w:val="00483875"/>
    <w:rsid w:val="00485977"/>
    <w:rsid w:val="0048667E"/>
    <w:rsid w:val="00487407"/>
    <w:rsid w:val="00490739"/>
    <w:rsid w:val="004961F4"/>
    <w:rsid w:val="0049795E"/>
    <w:rsid w:val="004A03C8"/>
    <w:rsid w:val="004A1334"/>
    <w:rsid w:val="004A2C74"/>
    <w:rsid w:val="004A315A"/>
    <w:rsid w:val="004A3467"/>
    <w:rsid w:val="004A3527"/>
    <w:rsid w:val="004B0635"/>
    <w:rsid w:val="004B0E49"/>
    <w:rsid w:val="004B1419"/>
    <w:rsid w:val="004B6AAE"/>
    <w:rsid w:val="004C32E9"/>
    <w:rsid w:val="004C3BD0"/>
    <w:rsid w:val="004C63BC"/>
    <w:rsid w:val="004C6BA6"/>
    <w:rsid w:val="004D16B2"/>
    <w:rsid w:val="004D3977"/>
    <w:rsid w:val="004D43C4"/>
    <w:rsid w:val="004E2519"/>
    <w:rsid w:val="004E34C1"/>
    <w:rsid w:val="004E5B18"/>
    <w:rsid w:val="004F26E9"/>
    <w:rsid w:val="004F3B1E"/>
    <w:rsid w:val="004F6293"/>
    <w:rsid w:val="00500758"/>
    <w:rsid w:val="00501454"/>
    <w:rsid w:val="005022CD"/>
    <w:rsid w:val="00502EB7"/>
    <w:rsid w:val="005037F3"/>
    <w:rsid w:val="00505CD9"/>
    <w:rsid w:val="00507D53"/>
    <w:rsid w:val="00512C1B"/>
    <w:rsid w:val="00513532"/>
    <w:rsid w:val="005143C4"/>
    <w:rsid w:val="005145A7"/>
    <w:rsid w:val="00514D56"/>
    <w:rsid w:val="005169C9"/>
    <w:rsid w:val="005205E6"/>
    <w:rsid w:val="00525A8A"/>
    <w:rsid w:val="00527F62"/>
    <w:rsid w:val="005316C9"/>
    <w:rsid w:val="00531A3C"/>
    <w:rsid w:val="005328D5"/>
    <w:rsid w:val="00536191"/>
    <w:rsid w:val="00536CC9"/>
    <w:rsid w:val="005375D8"/>
    <w:rsid w:val="00540490"/>
    <w:rsid w:val="00541334"/>
    <w:rsid w:val="00541CF7"/>
    <w:rsid w:val="00542A6A"/>
    <w:rsid w:val="00542A70"/>
    <w:rsid w:val="005439BA"/>
    <w:rsid w:val="0054446A"/>
    <w:rsid w:val="0054744E"/>
    <w:rsid w:val="0055282F"/>
    <w:rsid w:val="00555C6B"/>
    <w:rsid w:val="00560B29"/>
    <w:rsid w:val="00560C29"/>
    <w:rsid w:val="00563C07"/>
    <w:rsid w:val="0056695E"/>
    <w:rsid w:val="00567B73"/>
    <w:rsid w:val="00567C02"/>
    <w:rsid w:val="00571414"/>
    <w:rsid w:val="00571F63"/>
    <w:rsid w:val="005740D3"/>
    <w:rsid w:val="0057674D"/>
    <w:rsid w:val="005817DE"/>
    <w:rsid w:val="00581CA3"/>
    <w:rsid w:val="00582F97"/>
    <w:rsid w:val="00583BF4"/>
    <w:rsid w:val="0058490E"/>
    <w:rsid w:val="005869C4"/>
    <w:rsid w:val="00586E7F"/>
    <w:rsid w:val="00587225"/>
    <w:rsid w:val="00591281"/>
    <w:rsid w:val="00592657"/>
    <w:rsid w:val="00593B69"/>
    <w:rsid w:val="005942BD"/>
    <w:rsid w:val="00596D3A"/>
    <w:rsid w:val="00597202"/>
    <w:rsid w:val="005A0748"/>
    <w:rsid w:val="005A0813"/>
    <w:rsid w:val="005B4A04"/>
    <w:rsid w:val="005B586F"/>
    <w:rsid w:val="005B68F0"/>
    <w:rsid w:val="005D08F2"/>
    <w:rsid w:val="005D0ECC"/>
    <w:rsid w:val="005D0FA0"/>
    <w:rsid w:val="005D0FD0"/>
    <w:rsid w:val="005D106C"/>
    <w:rsid w:val="005D1750"/>
    <w:rsid w:val="005D2704"/>
    <w:rsid w:val="005D381B"/>
    <w:rsid w:val="005D6896"/>
    <w:rsid w:val="005D714E"/>
    <w:rsid w:val="005D7760"/>
    <w:rsid w:val="005D7788"/>
    <w:rsid w:val="005E210D"/>
    <w:rsid w:val="005E4949"/>
    <w:rsid w:val="005F277A"/>
    <w:rsid w:val="005F2BAF"/>
    <w:rsid w:val="005F4639"/>
    <w:rsid w:val="005F541C"/>
    <w:rsid w:val="005F5ABC"/>
    <w:rsid w:val="005F5D61"/>
    <w:rsid w:val="00605AB7"/>
    <w:rsid w:val="00607C0E"/>
    <w:rsid w:val="006102FD"/>
    <w:rsid w:val="0061082B"/>
    <w:rsid w:val="00616E6F"/>
    <w:rsid w:val="006238F3"/>
    <w:rsid w:val="00626914"/>
    <w:rsid w:val="00627D28"/>
    <w:rsid w:val="006301A5"/>
    <w:rsid w:val="00630D7E"/>
    <w:rsid w:val="006310C4"/>
    <w:rsid w:val="00631D44"/>
    <w:rsid w:val="0063372F"/>
    <w:rsid w:val="00634918"/>
    <w:rsid w:val="0063496B"/>
    <w:rsid w:val="006372ED"/>
    <w:rsid w:val="00637421"/>
    <w:rsid w:val="006409A1"/>
    <w:rsid w:val="006415E4"/>
    <w:rsid w:val="006421C8"/>
    <w:rsid w:val="00643146"/>
    <w:rsid w:val="00646D5E"/>
    <w:rsid w:val="006543AD"/>
    <w:rsid w:val="0065546D"/>
    <w:rsid w:val="00656EBE"/>
    <w:rsid w:val="006613CE"/>
    <w:rsid w:val="0066180F"/>
    <w:rsid w:val="00661B52"/>
    <w:rsid w:val="0066331C"/>
    <w:rsid w:val="006705A7"/>
    <w:rsid w:val="00671159"/>
    <w:rsid w:val="00673B4B"/>
    <w:rsid w:val="00673EFF"/>
    <w:rsid w:val="0067541F"/>
    <w:rsid w:val="00675782"/>
    <w:rsid w:val="00675CCC"/>
    <w:rsid w:val="006766B2"/>
    <w:rsid w:val="00682BC0"/>
    <w:rsid w:val="00684EF9"/>
    <w:rsid w:val="00685799"/>
    <w:rsid w:val="006857DA"/>
    <w:rsid w:val="00686A13"/>
    <w:rsid w:val="006939DD"/>
    <w:rsid w:val="00693D6A"/>
    <w:rsid w:val="00694270"/>
    <w:rsid w:val="00695860"/>
    <w:rsid w:val="006A1CA4"/>
    <w:rsid w:val="006A2277"/>
    <w:rsid w:val="006A5813"/>
    <w:rsid w:val="006A73ED"/>
    <w:rsid w:val="006B33EC"/>
    <w:rsid w:val="006B5E16"/>
    <w:rsid w:val="006B63E3"/>
    <w:rsid w:val="006C0582"/>
    <w:rsid w:val="006C3EE2"/>
    <w:rsid w:val="006D04CB"/>
    <w:rsid w:val="006D11FD"/>
    <w:rsid w:val="006D2119"/>
    <w:rsid w:val="006D5A73"/>
    <w:rsid w:val="006D7A6E"/>
    <w:rsid w:val="006E1FC4"/>
    <w:rsid w:val="006E21CF"/>
    <w:rsid w:val="006E41C7"/>
    <w:rsid w:val="006E5A0B"/>
    <w:rsid w:val="006E7896"/>
    <w:rsid w:val="006F01D3"/>
    <w:rsid w:val="006F1F56"/>
    <w:rsid w:val="006F356B"/>
    <w:rsid w:val="006F362E"/>
    <w:rsid w:val="006F44F1"/>
    <w:rsid w:val="006F48A2"/>
    <w:rsid w:val="006F5459"/>
    <w:rsid w:val="006F74B7"/>
    <w:rsid w:val="006F769A"/>
    <w:rsid w:val="007004A4"/>
    <w:rsid w:val="007056E8"/>
    <w:rsid w:val="00706F70"/>
    <w:rsid w:val="0071318C"/>
    <w:rsid w:val="00721CE0"/>
    <w:rsid w:val="00725CFD"/>
    <w:rsid w:val="00727D6C"/>
    <w:rsid w:val="00730C00"/>
    <w:rsid w:val="00730C24"/>
    <w:rsid w:val="00733DB2"/>
    <w:rsid w:val="0074081C"/>
    <w:rsid w:val="00741F3E"/>
    <w:rsid w:val="00751FB3"/>
    <w:rsid w:val="007538E8"/>
    <w:rsid w:val="00763835"/>
    <w:rsid w:val="007644B7"/>
    <w:rsid w:val="00767991"/>
    <w:rsid w:val="00770F35"/>
    <w:rsid w:val="00775E47"/>
    <w:rsid w:val="00781042"/>
    <w:rsid w:val="007814F1"/>
    <w:rsid w:val="00782A5E"/>
    <w:rsid w:val="0078588E"/>
    <w:rsid w:val="0079300B"/>
    <w:rsid w:val="00793D7D"/>
    <w:rsid w:val="007947D2"/>
    <w:rsid w:val="00796CDA"/>
    <w:rsid w:val="007A21E1"/>
    <w:rsid w:val="007A2640"/>
    <w:rsid w:val="007A4FC4"/>
    <w:rsid w:val="007B1287"/>
    <w:rsid w:val="007B39E4"/>
    <w:rsid w:val="007B4914"/>
    <w:rsid w:val="007B711A"/>
    <w:rsid w:val="007B7D52"/>
    <w:rsid w:val="007C2E04"/>
    <w:rsid w:val="007C526E"/>
    <w:rsid w:val="007C767A"/>
    <w:rsid w:val="007D08EE"/>
    <w:rsid w:val="007D4A26"/>
    <w:rsid w:val="007D64DB"/>
    <w:rsid w:val="007E0F6E"/>
    <w:rsid w:val="007E7C85"/>
    <w:rsid w:val="007F0BFA"/>
    <w:rsid w:val="007F460E"/>
    <w:rsid w:val="007F4FAB"/>
    <w:rsid w:val="00801045"/>
    <w:rsid w:val="0080413E"/>
    <w:rsid w:val="008044BF"/>
    <w:rsid w:val="00804626"/>
    <w:rsid w:val="008048EE"/>
    <w:rsid w:val="00805193"/>
    <w:rsid w:val="00806EDF"/>
    <w:rsid w:val="00807CBC"/>
    <w:rsid w:val="00810E4A"/>
    <w:rsid w:val="0081379D"/>
    <w:rsid w:val="00813A09"/>
    <w:rsid w:val="00817A69"/>
    <w:rsid w:val="00820E9C"/>
    <w:rsid w:val="00821B4F"/>
    <w:rsid w:val="00826125"/>
    <w:rsid w:val="00826C42"/>
    <w:rsid w:val="0082762B"/>
    <w:rsid w:val="00827D47"/>
    <w:rsid w:val="00830879"/>
    <w:rsid w:val="00831DC2"/>
    <w:rsid w:val="00835D84"/>
    <w:rsid w:val="00836292"/>
    <w:rsid w:val="0084135C"/>
    <w:rsid w:val="008416AE"/>
    <w:rsid w:val="00841DEF"/>
    <w:rsid w:val="00843890"/>
    <w:rsid w:val="008440C1"/>
    <w:rsid w:val="00844716"/>
    <w:rsid w:val="008460CF"/>
    <w:rsid w:val="00847DA7"/>
    <w:rsid w:val="00850FF0"/>
    <w:rsid w:val="00855E97"/>
    <w:rsid w:val="00856173"/>
    <w:rsid w:val="00860427"/>
    <w:rsid w:val="00861F6B"/>
    <w:rsid w:val="008701E5"/>
    <w:rsid w:val="008707DB"/>
    <w:rsid w:val="0087098A"/>
    <w:rsid w:val="00870F64"/>
    <w:rsid w:val="00873524"/>
    <w:rsid w:val="00873D23"/>
    <w:rsid w:val="00874C81"/>
    <w:rsid w:val="0087589B"/>
    <w:rsid w:val="0088090B"/>
    <w:rsid w:val="0088166B"/>
    <w:rsid w:val="00884D40"/>
    <w:rsid w:val="0088520C"/>
    <w:rsid w:val="008854B9"/>
    <w:rsid w:val="0088741C"/>
    <w:rsid w:val="00890EA9"/>
    <w:rsid w:val="008937C8"/>
    <w:rsid w:val="00896115"/>
    <w:rsid w:val="00897875"/>
    <w:rsid w:val="00897DF9"/>
    <w:rsid w:val="008A163E"/>
    <w:rsid w:val="008A353D"/>
    <w:rsid w:val="008A7849"/>
    <w:rsid w:val="008B0672"/>
    <w:rsid w:val="008B6353"/>
    <w:rsid w:val="008B67DF"/>
    <w:rsid w:val="008B6E97"/>
    <w:rsid w:val="008B743F"/>
    <w:rsid w:val="008C0509"/>
    <w:rsid w:val="008C0EEB"/>
    <w:rsid w:val="008C1743"/>
    <w:rsid w:val="008C1E7D"/>
    <w:rsid w:val="008C2B3C"/>
    <w:rsid w:val="008C3113"/>
    <w:rsid w:val="008C697B"/>
    <w:rsid w:val="008D0972"/>
    <w:rsid w:val="008D0E2C"/>
    <w:rsid w:val="008D3BB4"/>
    <w:rsid w:val="008D3CB1"/>
    <w:rsid w:val="008D3FEE"/>
    <w:rsid w:val="008E0394"/>
    <w:rsid w:val="008E0484"/>
    <w:rsid w:val="008E08D9"/>
    <w:rsid w:val="008E1151"/>
    <w:rsid w:val="008E252A"/>
    <w:rsid w:val="008E3D94"/>
    <w:rsid w:val="008E5486"/>
    <w:rsid w:val="008E5A3B"/>
    <w:rsid w:val="008E6CEB"/>
    <w:rsid w:val="008F0BD3"/>
    <w:rsid w:val="008F1A49"/>
    <w:rsid w:val="008F1C8E"/>
    <w:rsid w:val="008F207C"/>
    <w:rsid w:val="008F248A"/>
    <w:rsid w:val="008F504B"/>
    <w:rsid w:val="008F5CD8"/>
    <w:rsid w:val="00907C5C"/>
    <w:rsid w:val="00913174"/>
    <w:rsid w:val="009233CB"/>
    <w:rsid w:val="009233FC"/>
    <w:rsid w:val="00925953"/>
    <w:rsid w:val="00926EE3"/>
    <w:rsid w:val="00927862"/>
    <w:rsid w:val="009364AD"/>
    <w:rsid w:val="009366BD"/>
    <w:rsid w:val="00937E19"/>
    <w:rsid w:val="009562E4"/>
    <w:rsid w:val="00957C04"/>
    <w:rsid w:val="009608EB"/>
    <w:rsid w:val="00961578"/>
    <w:rsid w:val="00961BDE"/>
    <w:rsid w:val="009634FF"/>
    <w:rsid w:val="00964AD1"/>
    <w:rsid w:val="00967793"/>
    <w:rsid w:val="00973418"/>
    <w:rsid w:val="00976FB6"/>
    <w:rsid w:val="0098002A"/>
    <w:rsid w:val="00980533"/>
    <w:rsid w:val="009823B5"/>
    <w:rsid w:val="009906A3"/>
    <w:rsid w:val="0099102C"/>
    <w:rsid w:val="00992F32"/>
    <w:rsid w:val="009935B2"/>
    <w:rsid w:val="00994CDF"/>
    <w:rsid w:val="00995192"/>
    <w:rsid w:val="00997C05"/>
    <w:rsid w:val="009B35BF"/>
    <w:rsid w:val="009B5E29"/>
    <w:rsid w:val="009C39D0"/>
    <w:rsid w:val="009C3D2C"/>
    <w:rsid w:val="009C5738"/>
    <w:rsid w:val="009C5773"/>
    <w:rsid w:val="009C5C6D"/>
    <w:rsid w:val="009C693B"/>
    <w:rsid w:val="009C755C"/>
    <w:rsid w:val="009D2662"/>
    <w:rsid w:val="009D64BF"/>
    <w:rsid w:val="009D6F67"/>
    <w:rsid w:val="009E2724"/>
    <w:rsid w:val="009E2F92"/>
    <w:rsid w:val="009E32A1"/>
    <w:rsid w:val="009E353D"/>
    <w:rsid w:val="009E5847"/>
    <w:rsid w:val="009F47DD"/>
    <w:rsid w:val="009F4B13"/>
    <w:rsid w:val="009F50EA"/>
    <w:rsid w:val="009F6DA3"/>
    <w:rsid w:val="00A0119D"/>
    <w:rsid w:val="00A01C90"/>
    <w:rsid w:val="00A0204C"/>
    <w:rsid w:val="00A02221"/>
    <w:rsid w:val="00A0258C"/>
    <w:rsid w:val="00A02A91"/>
    <w:rsid w:val="00A03006"/>
    <w:rsid w:val="00A03675"/>
    <w:rsid w:val="00A051DB"/>
    <w:rsid w:val="00A06737"/>
    <w:rsid w:val="00A072CE"/>
    <w:rsid w:val="00A1035B"/>
    <w:rsid w:val="00A10715"/>
    <w:rsid w:val="00A11EDB"/>
    <w:rsid w:val="00A12880"/>
    <w:rsid w:val="00A15292"/>
    <w:rsid w:val="00A159A1"/>
    <w:rsid w:val="00A169A2"/>
    <w:rsid w:val="00A20ECE"/>
    <w:rsid w:val="00A22CCE"/>
    <w:rsid w:val="00A24B05"/>
    <w:rsid w:val="00A25D1A"/>
    <w:rsid w:val="00A277FA"/>
    <w:rsid w:val="00A27C4A"/>
    <w:rsid w:val="00A30F77"/>
    <w:rsid w:val="00A31388"/>
    <w:rsid w:val="00A31AD4"/>
    <w:rsid w:val="00A32542"/>
    <w:rsid w:val="00A3286A"/>
    <w:rsid w:val="00A3508F"/>
    <w:rsid w:val="00A36439"/>
    <w:rsid w:val="00A37989"/>
    <w:rsid w:val="00A4095A"/>
    <w:rsid w:val="00A43F4D"/>
    <w:rsid w:val="00A5111E"/>
    <w:rsid w:val="00A52DB2"/>
    <w:rsid w:val="00A53621"/>
    <w:rsid w:val="00A5624A"/>
    <w:rsid w:val="00A56C82"/>
    <w:rsid w:val="00A57199"/>
    <w:rsid w:val="00A63F1B"/>
    <w:rsid w:val="00A65826"/>
    <w:rsid w:val="00A717CE"/>
    <w:rsid w:val="00A72072"/>
    <w:rsid w:val="00A76605"/>
    <w:rsid w:val="00A82507"/>
    <w:rsid w:val="00A83815"/>
    <w:rsid w:val="00A845C2"/>
    <w:rsid w:val="00A860E4"/>
    <w:rsid w:val="00A8796F"/>
    <w:rsid w:val="00A87A04"/>
    <w:rsid w:val="00A90E84"/>
    <w:rsid w:val="00A9142E"/>
    <w:rsid w:val="00A94B8F"/>
    <w:rsid w:val="00A95128"/>
    <w:rsid w:val="00A961E4"/>
    <w:rsid w:val="00A97008"/>
    <w:rsid w:val="00AA0834"/>
    <w:rsid w:val="00AA0EFE"/>
    <w:rsid w:val="00AA5E7F"/>
    <w:rsid w:val="00AB02CE"/>
    <w:rsid w:val="00AB7006"/>
    <w:rsid w:val="00AB7528"/>
    <w:rsid w:val="00AC0CE1"/>
    <w:rsid w:val="00AC30A3"/>
    <w:rsid w:val="00AC72CD"/>
    <w:rsid w:val="00AC7968"/>
    <w:rsid w:val="00AD1191"/>
    <w:rsid w:val="00AD253C"/>
    <w:rsid w:val="00AD3B4B"/>
    <w:rsid w:val="00AD473D"/>
    <w:rsid w:val="00AD6EAA"/>
    <w:rsid w:val="00AE0D6A"/>
    <w:rsid w:val="00AE1F4F"/>
    <w:rsid w:val="00AE2702"/>
    <w:rsid w:val="00AE2D73"/>
    <w:rsid w:val="00AE35C0"/>
    <w:rsid w:val="00AE3F6F"/>
    <w:rsid w:val="00AE4100"/>
    <w:rsid w:val="00AE5A88"/>
    <w:rsid w:val="00AF4D06"/>
    <w:rsid w:val="00AF5EB4"/>
    <w:rsid w:val="00B01902"/>
    <w:rsid w:val="00B04400"/>
    <w:rsid w:val="00B07A8F"/>
    <w:rsid w:val="00B07F71"/>
    <w:rsid w:val="00B10898"/>
    <w:rsid w:val="00B11112"/>
    <w:rsid w:val="00B11800"/>
    <w:rsid w:val="00B1379C"/>
    <w:rsid w:val="00B1518F"/>
    <w:rsid w:val="00B227D2"/>
    <w:rsid w:val="00B24765"/>
    <w:rsid w:val="00B25D87"/>
    <w:rsid w:val="00B2693D"/>
    <w:rsid w:val="00B27413"/>
    <w:rsid w:val="00B32E2B"/>
    <w:rsid w:val="00B35467"/>
    <w:rsid w:val="00B4554C"/>
    <w:rsid w:val="00B46B7E"/>
    <w:rsid w:val="00B507A1"/>
    <w:rsid w:val="00B5431F"/>
    <w:rsid w:val="00B579B0"/>
    <w:rsid w:val="00B62B90"/>
    <w:rsid w:val="00B65484"/>
    <w:rsid w:val="00B65B8C"/>
    <w:rsid w:val="00B73975"/>
    <w:rsid w:val="00B758D9"/>
    <w:rsid w:val="00B81817"/>
    <w:rsid w:val="00B833DD"/>
    <w:rsid w:val="00B8508E"/>
    <w:rsid w:val="00B85429"/>
    <w:rsid w:val="00B87879"/>
    <w:rsid w:val="00B901B8"/>
    <w:rsid w:val="00B94FB1"/>
    <w:rsid w:val="00B9587E"/>
    <w:rsid w:val="00B96808"/>
    <w:rsid w:val="00B96B20"/>
    <w:rsid w:val="00BA305D"/>
    <w:rsid w:val="00BA3E63"/>
    <w:rsid w:val="00BA43FD"/>
    <w:rsid w:val="00BB00A1"/>
    <w:rsid w:val="00BB144E"/>
    <w:rsid w:val="00BB1DCA"/>
    <w:rsid w:val="00BB2EB7"/>
    <w:rsid w:val="00BB31F6"/>
    <w:rsid w:val="00BB4AF9"/>
    <w:rsid w:val="00BB5533"/>
    <w:rsid w:val="00BB6ECA"/>
    <w:rsid w:val="00BB6F85"/>
    <w:rsid w:val="00BB7C13"/>
    <w:rsid w:val="00BC07AD"/>
    <w:rsid w:val="00BC2AB5"/>
    <w:rsid w:val="00BC44F4"/>
    <w:rsid w:val="00BC572C"/>
    <w:rsid w:val="00BD00A5"/>
    <w:rsid w:val="00BD37AD"/>
    <w:rsid w:val="00BD3DDC"/>
    <w:rsid w:val="00BD6D2A"/>
    <w:rsid w:val="00BD6E49"/>
    <w:rsid w:val="00BE091F"/>
    <w:rsid w:val="00BE0A25"/>
    <w:rsid w:val="00BE4190"/>
    <w:rsid w:val="00BE47FA"/>
    <w:rsid w:val="00BF12A6"/>
    <w:rsid w:val="00BF1755"/>
    <w:rsid w:val="00BF2D0A"/>
    <w:rsid w:val="00BF45AB"/>
    <w:rsid w:val="00BF479B"/>
    <w:rsid w:val="00BF4ED8"/>
    <w:rsid w:val="00C0002A"/>
    <w:rsid w:val="00C004DB"/>
    <w:rsid w:val="00C01595"/>
    <w:rsid w:val="00C03947"/>
    <w:rsid w:val="00C041BB"/>
    <w:rsid w:val="00C05DC8"/>
    <w:rsid w:val="00C10D2F"/>
    <w:rsid w:val="00C11063"/>
    <w:rsid w:val="00C113FA"/>
    <w:rsid w:val="00C155D5"/>
    <w:rsid w:val="00C20E9B"/>
    <w:rsid w:val="00C23165"/>
    <w:rsid w:val="00C242E2"/>
    <w:rsid w:val="00C24BD4"/>
    <w:rsid w:val="00C30AC9"/>
    <w:rsid w:val="00C3355C"/>
    <w:rsid w:val="00C3426C"/>
    <w:rsid w:val="00C370EE"/>
    <w:rsid w:val="00C37A1F"/>
    <w:rsid w:val="00C40874"/>
    <w:rsid w:val="00C428D5"/>
    <w:rsid w:val="00C45C0E"/>
    <w:rsid w:val="00C57971"/>
    <w:rsid w:val="00C6237A"/>
    <w:rsid w:val="00C651E8"/>
    <w:rsid w:val="00C704B4"/>
    <w:rsid w:val="00C71117"/>
    <w:rsid w:val="00C75335"/>
    <w:rsid w:val="00C80014"/>
    <w:rsid w:val="00C811DF"/>
    <w:rsid w:val="00C82009"/>
    <w:rsid w:val="00C83B36"/>
    <w:rsid w:val="00C8405C"/>
    <w:rsid w:val="00C85DB6"/>
    <w:rsid w:val="00C90506"/>
    <w:rsid w:val="00C907B7"/>
    <w:rsid w:val="00C94FDF"/>
    <w:rsid w:val="00CA1515"/>
    <w:rsid w:val="00CA2D46"/>
    <w:rsid w:val="00CA4270"/>
    <w:rsid w:val="00CA54D0"/>
    <w:rsid w:val="00CB201E"/>
    <w:rsid w:val="00CB2269"/>
    <w:rsid w:val="00CB328B"/>
    <w:rsid w:val="00CB7BCF"/>
    <w:rsid w:val="00CC06B4"/>
    <w:rsid w:val="00CC0D68"/>
    <w:rsid w:val="00CC15D2"/>
    <w:rsid w:val="00CC7843"/>
    <w:rsid w:val="00CD0B9B"/>
    <w:rsid w:val="00CD2DB1"/>
    <w:rsid w:val="00CD4644"/>
    <w:rsid w:val="00CE14BE"/>
    <w:rsid w:val="00CE1A34"/>
    <w:rsid w:val="00CE6F66"/>
    <w:rsid w:val="00CF2C99"/>
    <w:rsid w:val="00CF4160"/>
    <w:rsid w:val="00CF7D29"/>
    <w:rsid w:val="00D049C8"/>
    <w:rsid w:val="00D104CE"/>
    <w:rsid w:val="00D1054D"/>
    <w:rsid w:val="00D12E43"/>
    <w:rsid w:val="00D14ADC"/>
    <w:rsid w:val="00D15880"/>
    <w:rsid w:val="00D17957"/>
    <w:rsid w:val="00D234A2"/>
    <w:rsid w:val="00D269DE"/>
    <w:rsid w:val="00D31031"/>
    <w:rsid w:val="00D32502"/>
    <w:rsid w:val="00D32EDE"/>
    <w:rsid w:val="00D33A16"/>
    <w:rsid w:val="00D36007"/>
    <w:rsid w:val="00D42EF9"/>
    <w:rsid w:val="00D439F7"/>
    <w:rsid w:val="00D5044D"/>
    <w:rsid w:val="00D53452"/>
    <w:rsid w:val="00D549A7"/>
    <w:rsid w:val="00D61541"/>
    <w:rsid w:val="00D64761"/>
    <w:rsid w:val="00D64BF0"/>
    <w:rsid w:val="00D74208"/>
    <w:rsid w:val="00D74672"/>
    <w:rsid w:val="00D76667"/>
    <w:rsid w:val="00D80CB5"/>
    <w:rsid w:val="00D8170E"/>
    <w:rsid w:val="00D82DEB"/>
    <w:rsid w:val="00D8369B"/>
    <w:rsid w:val="00D85AB1"/>
    <w:rsid w:val="00D85C0F"/>
    <w:rsid w:val="00D86B72"/>
    <w:rsid w:val="00D86BE4"/>
    <w:rsid w:val="00D870C1"/>
    <w:rsid w:val="00D90E74"/>
    <w:rsid w:val="00D92BE2"/>
    <w:rsid w:val="00DA065D"/>
    <w:rsid w:val="00DA432F"/>
    <w:rsid w:val="00DA68CD"/>
    <w:rsid w:val="00DB1573"/>
    <w:rsid w:val="00DB1860"/>
    <w:rsid w:val="00DB194D"/>
    <w:rsid w:val="00DB1E19"/>
    <w:rsid w:val="00DB404D"/>
    <w:rsid w:val="00DB52B1"/>
    <w:rsid w:val="00DC120B"/>
    <w:rsid w:val="00DC4088"/>
    <w:rsid w:val="00DC61AF"/>
    <w:rsid w:val="00DC6F6A"/>
    <w:rsid w:val="00DC7C7A"/>
    <w:rsid w:val="00DD4175"/>
    <w:rsid w:val="00DD4815"/>
    <w:rsid w:val="00DD5308"/>
    <w:rsid w:val="00DD544C"/>
    <w:rsid w:val="00DD693A"/>
    <w:rsid w:val="00DE06D7"/>
    <w:rsid w:val="00DE420D"/>
    <w:rsid w:val="00DE4BA1"/>
    <w:rsid w:val="00DE4C34"/>
    <w:rsid w:val="00DE6C13"/>
    <w:rsid w:val="00DF0B06"/>
    <w:rsid w:val="00DF63DA"/>
    <w:rsid w:val="00DF6F3F"/>
    <w:rsid w:val="00E01167"/>
    <w:rsid w:val="00E0127A"/>
    <w:rsid w:val="00E02CAB"/>
    <w:rsid w:val="00E05CEE"/>
    <w:rsid w:val="00E07B2F"/>
    <w:rsid w:val="00E16CFA"/>
    <w:rsid w:val="00E1728C"/>
    <w:rsid w:val="00E2352C"/>
    <w:rsid w:val="00E27385"/>
    <w:rsid w:val="00E3031D"/>
    <w:rsid w:val="00E3200A"/>
    <w:rsid w:val="00E33946"/>
    <w:rsid w:val="00E35233"/>
    <w:rsid w:val="00E36288"/>
    <w:rsid w:val="00E37ED1"/>
    <w:rsid w:val="00E4171F"/>
    <w:rsid w:val="00E43D91"/>
    <w:rsid w:val="00E46FC7"/>
    <w:rsid w:val="00E4706C"/>
    <w:rsid w:val="00E50C96"/>
    <w:rsid w:val="00E53796"/>
    <w:rsid w:val="00E5480B"/>
    <w:rsid w:val="00E56EB7"/>
    <w:rsid w:val="00E60F6C"/>
    <w:rsid w:val="00E6277E"/>
    <w:rsid w:val="00E67A43"/>
    <w:rsid w:val="00E763F5"/>
    <w:rsid w:val="00E76B79"/>
    <w:rsid w:val="00E76D14"/>
    <w:rsid w:val="00E77676"/>
    <w:rsid w:val="00E823F8"/>
    <w:rsid w:val="00E82EE0"/>
    <w:rsid w:val="00E83D71"/>
    <w:rsid w:val="00E852E1"/>
    <w:rsid w:val="00E902D5"/>
    <w:rsid w:val="00E978AF"/>
    <w:rsid w:val="00EA0A73"/>
    <w:rsid w:val="00EA0A78"/>
    <w:rsid w:val="00EA2706"/>
    <w:rsid w:val="00EA2D50"/>
    <w:rsid w:val="00EA3E71"/>
    <w:rsid w:val="00EA6D4B"/>
    <w:rsid w:val="00EB0147"/>
    <w:rsid w:val="00EB0388"/>
    <w:rsid w:val="00EB0427"/>
    <w:rsid w:val="00EB1949"/>
    <w:rsid w:val="00EB2910"/>
    <w:rsid w:val="00EB475D"/>
    <w:rsid w:val="00EB61A1"/>
    <w:rsid w:val="00EC0B55"/>
    <w:rsid w:val="00EC177C"/>
    <w:rsid w:val="00EC1B7C"/>
    <w:rsid w:val="00EC3B19"/>
    <w:rsid w:val="00EC5E79"/>
    <w:rsid w:val="00EC71D4"/>
    <w:rsid w:val="00EC7248"/>
    <w:rsid w:val="00ED0CE5"/>
    <w:rsid w:val="00ED15F9"/>
    <w:rsid w:val="00ED179D"/>
    <w:rsid w:val="00ED2E86"/>
    <w:rsid w:val="00ED4F6F"/>
    <w:rsid w:val="00ED7525"/>
    <w:rsid w:val="00ED7E01"/>
    <w:rsid w:val="00EE0BA0"/>
    <w:rsid w:val="00EE0D38"/>
    <w:rsid w:val="00EE30CB"/>
    <w:rsid w:val="00EE3739"/>
    <w:rsid w:val="00EE4D75"/>
    <w:rsid w:val="00EE57E2"/>
    <w:rsid w:val="00EF2542"/>
    <w:rsid w:val="00EF2712"/>
    <w:rsid w:val="00EF2829"/>
    <w:rsid w:val="00EF7FDC"/>
    <w:rsid w:val="00F040E8"/>
    <w:rsid w:val="00F0505E"/>
    <w:rsid w:val="00F06689"/>
    <w:rsid w:val="00F10163"/>
    <w:rsid w:val="00F12589"/>
    <w:rsid w:val="00F15754"/>
    <w:rsid w:val="00F15E9E"/>
    <w:rsid w:val="00F22345"/>
    <w:rsid w:val="00F23540"/>
    <w:rsid w:val="00F23BA5"/>
    <w:rsid w:val="00F250CA"/>
    <w:rsid w:val="00F25D61"/>
    <w:rsid w:val="00F26C02"/>
    <w:rsid w:val="00F31E9D"/>
    <w:rsid w:val="00F32BBA"/>
    <w:rsid w:val="00F3356B"/>
    <w:rsid w:val="00F34AD3"/>
    <w:rsid w:val="00F35512"/>
    <w:rsid w:val="00F42587"/>
    <w:rsid w:val="00F42E54"/>
    <w:rsid w:val="00F42F61"/>
    <w:rsid w:val="00F43669"/>
    <w:rsid w:val="00F44F71"/>
    <w:rsid w:val="00F45688"/>
    <w:rsid w:val="00F5142E"/>
    <w:rsid w:val="00F520E1"/>
    <w:rsid w:val="00F55F62"/>
    <w:rsid w:val="00F648AD"/>
    <w:rsid w:val="00F64A48"/>
    <w:rsid w:val="00F64B4F"/>
    <w:rsid w:val="00F64F03"/>
    <w:rsid w:val="00F7083F"/>
    <w:rsid w:val="00F718AC"/>
    <w:rsid w:val="00F75DDF"/>
    <w:rsid w:val="00F77747"/>
    <w:rsid w:val="00F8165B"/>
    <w:rsid w:val="00F82AFA"/>
    <w:rsid w:val="00F860C4"/>
    <w:rsid w:val="00F90E13"/>
    <w:rsid w:val="00F92728"/>
    <w:rsid w:val="00F92769"/>
    <w:rsid w:val="00F9281D"/>
    <w:rsid w:val="00F93439"/>
    <w:rsid w:val="00F93937"/>
    <w:rsid w:val="00FA2E7C"/>
    <w:rsid w:val="00FA6141"/>
    <w:rsid w:val="00FA6FD4"/>
    <w:rsid w:val="00FA71CD"/>
    <w:rsid w:val="00FA7C33"/>
    <w:rsid w:val="00FB1567"/>
    <w:rsid w:val="00FB3827"/>
    <w:rsid w:val="00FB3E4C"/>
    <w:rsid w:val="00FB556A"/>
    <w:rsid w:val="00FC062C"/>
    <w:rsid w:val="00FD2B55"/>
    <w:rsid w:val="00FD749E"/>
    <w:rsid w:val="00FE062F"/>
    <w:rsid w:val="00FE152C"/>
    <w:rsid w:val="00FE3B6B"/>
    <w:rsid w:val="00FE528A"/>
    <w:rsid w:val="00FE6555"/>
    <w:rsid w:val="00FE66C7"/>
    <w:rsid w:val="00FF0736"/>
    <w:rsid w:val="00FF2148"/>
    <w:rsid w:val="00FF2612"/>
    <w:rsid w:val="00FF2983"/>
    <w:rsid w:val="01861AA4"/>
    <w:rsid w:val="026A57C8"/>
    <w:rsid w:val="06084D4E"/>
    <w:rsid w:val="063B3638"/>
    <w:rsid w:val="063D51B2"/>
    <w:rsid w:val="07702A17"/>
    <w:rsid w:val="0846428F"/>
    <w:rsid w:val="0C581252"/>
    <w:rsid w:val="0C8977FD"/>
    <w:rsid w:val="0D727B8B"/>
    <w:rsid w:val="0D852DB0"/>
    <w:rsid w:val="0EF436A3"/>
    <w:rsid w:val="10F70F0C"/>
    <w:rsid w:val="112A40D0"/>
    <w:rsid w:val="12F97F98"/>
    <w:rsid w:val="15E0029D"/>
    <w:rsid w:val="15E239F5"/>
    <w:rsid w:val="173E6874"/>
    <w:rsid w:val="17B2238D"/>
    <w:rsid w:val="17B95278"/>
    <w:rsid w:val="17E10ECA"/>
    <w:rsid w:val="19C77E03"/>
    <w:rsid w:val="1A22470D"/>
    <w:rsid w:val="1A9B5F8C"/>
    <w:rsid w:val="1C7E5889"/>
    <w:rsid w:val="1CB26096"/>
    <w:rsid w:val="1DC75035"/>
    <w:rsid w:val="1E7673CF"/>
    <w:rsid w:val="1EE30402"/>
    <w:rsid w:val="1F275B11"/>
    <w:rsid w:val="2055009F"/>
    <w:rsid w:val="21971083"/>
    <w:rsid w:val="22730190"/>
    <w:rsid w:val="22D05ED6"/>
    <w:rsid w:val="22ED584F"/>
    <w:rsid w:val="233C2A83"/>
    <w:rsid w:val="23BC689E"/>
    <w:rsid w:val="262F163E"/>
    <w:rsid w:val="26E63433"/>
    <w:rsid w:val="271E6E82"/>
    <w:rsid w:val="27954959"/>
    <w:rsid w:val="27F20672"/>
    <w:rsid w:val="281A6228"/>
    <w:rsid w:val="287C3936"/>
    <w:rsid w:val="29744CA5"/>
    <w:rsid w:val="2B88586B"/>
    <w:rsid w:val="2EBA169E"/>
    <w:rsid w:val="31373FB2"/>
    <w:rsid w:val="321E3A9A"/>
    <w:rsid w:val="33E83753"/>
    <w:rsid w:val="346642C8"/>
    <w:rsid w:val="349B6488"/>
    <w:rsid w:val="34DF7D6C"/>
    <w:rsid w:val="35440B7D"/>
    <w:rsid w:val="38FA5253"/>
    <w:rsid w:val="3A423F65"/>
    <w:rsid w:val="3AB26515"/>
    <w:rsid w:val="3B037579"/>
    <w:rsid w:val="3B457B92"/>
    <w:rsid w:val="3C11677B"/>
    <w:rsid w:val="3CCE2867"/>
    <w:rsid w:val="3CDC6BD0"/>
    <w:rsid w:val="3D3953ED"/>
    <w:rsid w:val="3D992740"/>
    <w:rsid w:val="3DF478CC"/>
    <w:rsid w:val="3F082925"/>
    <w:rsid w:val="3F3D3F3F"/>
    <w:rsid w:val="3F48065A"/>
    <w:rsid w:val="41000D32"/>
    <w:rsid w:val="4133674E"/>
    <w:rsid w:val="43047528"/>
    <w:rsid w:val="44BB5805"/>
    <w:rsid w:val="45775242"/>
    <w:rsid w:val="46016BBA"/>
    <w:rsid w:val="479E48B1"/>
    <w:rsid w:val="48306904"/>
    <w:rsid w:val="49E16B38"/>
    <w:rsid w:val="4A826994"/>
    <w:rsid w:val="4D426F74"/>
    <w:rsid w:val="4D6E4D16"/>
    <w:rsid w:val="4E976109"/>
    <w:rsid w:val="4F6255FF"/>
    <w:rsid w:val="4FFB4F72"/>
    <w:rsid w:val="5209470E"/>
    <w:rsid w:val="52536524"/>
    <w:rsid w:val="52880C6C"/>
    <w:rsid w:val="534A56F4"/>
    <w:rsid w:val="53A5521A"/>
    <w:rsid w:val="544C0EDB"/>
    <w:rsid w:val="555E4FD0"/>
    <w:rsid w:val="56BD49D1"/>
    <w:rsid w:val="5B06764B"/>
    <w:rsid w:val="5B123195"/>
    <w:rsid w:val="5B7C6AA9"/>
    <w:rsid w:val="5BBF3CFF"/>
    <w:rsid w:val="5C894B1F"/>
    <w:rsid w:val="5CE973D9"/>
    <w:rsid w:val="5D5C0D10"/>
    <w:rsid w:val="5D697578"/>
    <w:rsid w:val="5DA25CA7"/>
    <w:rsid w:val="5E897019"/>
    <w:rsid w:val="60370407"/>
    <w:rsid w:val="61892407"/>
    <w:rsid w:val="61C44E31"/>
    <w:rsid w:val="62573D2D"/>
    <w:rsid w:val="625B0207"/>
    <w:rsid w:val="63222256"/>
    <w:rsid w:val="63DD00C2"/>
    <w:rsid w:val="64CC0566"/>
    <w:rsid w:val="64D60E5C"/>
    <w:rsid w:val="664B2C0B"/>
    <w:rsid w:val="68732A47"/>
    <w:rsid w:val="68FF761B"/>
    <w:rsid w:val="69176228"/>
    <w:rsid w:val="69614279"/>
    <w:rsid w:val="69D1486B"/>
    <w:rsid w:val="6B362365"/>
    <w:rsid w:val="6C7A5752"/>
    <w:rsid w:val="6D024373"/>
    <w:rsid w:val="6E6A709B"/>
    <w:rsid w:val="72914E8F"/>
    <w:rsid w:val="76944F4E"/>
    <w:rsid w:val="774379AD"/>
    <w:rsid w:val="77481475"/>
    <w:rsid w:val="78AB14B3"/>
    <w:rsid w:val="7A2D5B49"/>
    <w:rsid w:val="7B941190"/>
    <w:rsid w:val="7BBE290B"/>
    <w:rsid w:val="7C5A4544"/>
    <w:rsid w:val="7CBD3DE7"/>
    <w:rsid w:val="7CC8230D"/>
    <w:rsid w:val="7CEF412F"/>
    <w:rsid w:val="7DDC2D72"/>
    <w:rsid w:val="7EB14BE3"/>
    <w:rsid w:val="7F161821"/>
    <w:rsid w:val="7FAD1017"/>
    <w:rsid w:val="7FEB3F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78"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qFormat="1" w:unhideWhenUsed="0" w:uiPriority="78" w:semiHidden="0" w:name="List Bullet 2"/>
    <w:lsdException w:qFormat="1" w:uiPriority="78" w:name="List Bullet 3"/>
    <w:lsdException w:qFormat="1" w:uiPriority="78" w:name="List Bullet 4"/>
    <w:lsdException w:qFormat="1" w:uiPriority="78"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1"/>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54"/>
    <w:qFormat/>
    <w:uiPriority w:val="9"/>
    <w:pPr>
      <w:keepNext/>
      <w:keepLines/>
      <w:numPr>
        <w:ilvl w:val="1"/>
        <w:numId w:val="1"/>
      </w:numPr>
      <w:tabs>
        <w:tab w:val="clear" w:pos="576"/>
      </w:tabs>
      <w:spacing w:before="260" w:after="260" w:line="412" w:lineRule="auto"/>
      <w:ind w:left="0" w:firstLine="0"/>
      <w:outlineLvl w:val="1"/>
    </w:pPr>
    <w:rPr>
      <w:rFonts w:ascii="Arial" w:hAnsi="Arial" w:eastAsia="黑体"/>
      <w:b/>
      <w:bCs/>
      <w:sz w:val="32"/>
      <w:szCs w:val="32"/>
    </w:rPr>
  </w:style>
  <w:style w:type="paragraph" w:styleId="5">
    <w:name w:val="heading 3"/>
    <w:basedOn w:val="1"/>
    <w:next w:val="1"/>
    <w:link w:val="55"/>
    <w:qFormat/>
    <w:uiPriority w:val="0"/>
    <w:pPr>
      <w:keepNext/>
      <w:keepLines/>
      <w:numPr>
        <w:ilvl w:val="2"/>
        <w:numId w:val="1"/>
      </w:numPr>
      <w:tabs>
        <w:tab w:val="clear" w:pos="720"/>
      </w:tabs>
      <w:spacing w:before="260" w:after="260" w:line="415" w:lineRule="auto"/>
      <w:ind w:left="0" w:firstLine="0"/>
      <w:outlineLvl w:val="2"/>
    </w:pPr>
    <w:rPr>
      <w:b/>
      <w:bCs/>
      <w:sz w:val="32"/>
      <w:szCs w:val="32"/>
    </w:rPr>
  </w:style>
  <w:style w:type="paragraph" w:styleId="6">
    <w:name w:val="heading 4"/>
    <w:basedOn w:val="1"/>
    <w:next w:val="1"/>
    <w:link w:val="56"/>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57"/>
    <w:qFormat/>
    <w:uiPriority w:val="0"/>
    <w:pPr>
      <w:keepNext/>
      <w:keepLines/>
      <w:spacing w:before="280" w:after="290" w:line="372" w:lineRule="auto"/>
      <w:outlineLvl w:val="4"/>
    </w:pPr>
    <w:rPr>
      <w:b/>
      <w:bCs/>
      <w:sz w:val="28"/>
      <w:szCs w:val="28"/>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5"/>
    <w:qFormat/>
    <w:uiPriority w:val="0"/>
    <w:pPr>
      <w:spacing w:after="120"/>
    </w:pPr>
    <w:rPr>
      <w:sz w:val="28"/>
    </w:rPr>
  </w:style>
  <w:style w:type="paragraph" w:styleId="8">
    <w:name w:val="List Bullet 4"/>
    <w:basedOn w:val="9"/>
    <w:semiHidden/>
    <w:unhideWhenUsed/>
    <w:qFormat/>
    <w:uiPriority w:val="78"/>
    <w:pPr>
      <w:numPr>
        <w:ilvl w:val="3"/>
      </w:numPr>
      <w:tabs>
        <w:tab w:val="left" w:pos="425"/>
      </w:tabs>
    </w:pPr>
  </w:style>
  <w:style w:type="paragraph" w:styleId="9">
    <w:name w:val="List Bullet 3"/>
    <w:basedOn w:val="10"/>
    <w:semiHidden/>
    <w:unhideWhenUsed/>
    <w:qFormat/>
    <w:uiPriority w:val="78"/>
    <w:pPr>
      <w:numPr>
        <w:ilvl w:val="2"/>
      </w:numPr>
      <w:tabs>
        <w:tab w:val="left" w:pos="425"/>
      </w:tabs>
    </w:pPr>
  </w:style>
  <w:style w:type="paragraph" w:styleId="10">
    <w:name w:val="List Bullet 2"/>
    <w:basedOn w:val="11"/>
    <w:qFormat/>
    <w:uiPriority w:val="78"/>
    <w:pPr>
      <w:numPr>
        <w:ilvl w:val="1"/>
      </w:numPr>
      <w:tabs>
        <w:tab w:val="left" w:pos="425"/>
      </w:tabs>
    </w:pPr>
  </w:style>
  <w:style w:type="paragraph" w:styleId="11">
    <w:name w:val="List Bullet"/>
    <w:basedOn w:val="1"/>
    <w:qFormat/>
    <w:uiPriority w:val="78"/>
    <w:pPr>
      <w:widowControl/>
      <w:numPr>
        <w:ilvl w:val="0"/>
        <w:numId w:val="2"/>
      </w:numPr>
      <w:spacing w:after="120" w:line="271" w:lineRule="auto"/>
      <w:jc w:val="left"/>
    </w:pPr>
    <w:rPr>
      <w:rFonts w:asciiTheme="minorHAnsi" w:hAnsiTheme="minorHAnsi" w:eastAsiaTheme="minorEastAsia" w:cstheme="minorBidi"/>
      <w:kern w:val="0"/>
      <w:sz w:val="20"/>
      <w:szCs w:val="20"/>
    </w:rPr>
  </w:style>
  <w:style w:type="paragraph" w:styleId="12">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3">
    <w:name w:val="Normal Indent"/>
    <w:basedOn w:val="1"/>
    <w:qFormat/>
    <w:uiPriority w:val="0"/>
    <w:pPr>
      <w:numPr>
        <w:ilvl w:val="0"/>
        <w:numId w:val="3"/>
      </w:numPr>
      <w:tabs>
        <w:tab w:val="clear" w:pos="2040"/>
      </w:tabs>
      <w:ind w:left="0" w:firstLine="420"/>
    </w:pPr>
    <w:rPr>
      <w:szCs w:val="20"/>
    </w:rPr>
  </w:style>
  <w:style w:type="paragraph" w:styleId="14">
    <w:name w:val="caption"/>
    <w:basedOn w:val="1"/>
    <w:next w:val="1"/>
    <w:qFormat/>
    <w:uiPriority w:val="0"/>
    <w:pPr>
      <w:numPr>
        <w:ilvl w:val="0"/>
        <w:numId w:val="4"/>
      </w:numPr>
      <w:tabs>
        <w:tab w:val="clear" w:pos="780"/>
      </w:tabs>
      <w:spacing w:before="152" w:after="160"/>
      <w:ind w:left="0" w:firstLine="0"/>
    </w:pPr>
    <w:rPr>
      <w:rFonts w:ascii="Arial" w:hAnsi="Arial" w:eastAsia="黑体" w:cs="Arial"/>
      <w:sz w:val="20"/>
      <w:szCs w:val="20"/>
    </w:rPr>
  </w:style>
  <w:style w:type="paragraph" w:styleId="15">
    <w:name w:val="Document Map"/>
    <w:basedOn w:val="1"/>
    <w:link w:val="85"/>
    <w:qFormat/>
    <w:uiPriority w:val="0"/>
    <w:pPr>
      <w:shd w:val="clear" w:color="auto" w:fill="000080"/>
    </w:pPr>
  </w:style>
  <w:style w:type="paragraph" w:styleId="16">
    <w:name w:val="annotation text"/>
    <w:basedOn w:val="1"/>
    <w:link w:val="99"/>
    <w:qFormat/>
    <w:uiPriority w:val="99"/>
    <w:pPr>
      <w:jc w:val="left"/>
    </w:pPr>
    <w:rPr>
      <w:szCs w:val="20"/>
    </w:rPr>
  </w:style>
  <w:style w:type="paragraph" w:styleId="17">
    <w:name w:val="Body Text 3"/>
    <w:basedOn w:val="1"/>
    <w:link w:val="94"/>
    <w:qFormat/>
    <w:uiPriority w:val="0"/>
    <w:pPr>
      <w:numPr>
        <w:ilvl w:val="0"/>
        <w:numId w:val="5"/>
      </w:numPr>
      <w:tabs>
        <w:tab w:val="clear" w:pos="1620"/>
      </w:tabs>
      <w:snapToGrid w:val="0"/>
      <w:spacing w:before="50" w:after="50"/>
      <w:ind w:left="0" w:firstLine="0"/>
    </w:pPr>
    <w:rPr>
      <w:rFonts w:eastAsia="仿宋_GB2312"/>
      <w:b/>
      <w:bCs/>
      <w:sz w:val="24"/>
      <w:szCs w:val="20"/>
    </w:rPr>
  </w:style>
  <w:style w:type="paragraph" w:styleId="18">
    <w:name w:val="Body Text Indent"/>
    <w:basedOn w:val="1"/>
    <w:next w:val="1"/>
    <w:link w:val="90"/>
    <w:qFormat/>
    <w:uiPriority w:val="0"/>
    <w:pPr>
      <w:spacing w:line="200" w:lineRule="exact"/>
      <w:ind w:firstLine="301"/>
    </w:pPr>
    <w:rPr>
      <w:rFonts w:ascii="宋体"/>
      <w:spacing w:val="-4"/>
      <w:sz w:val="18"/>
      <w:szCs w:val="20"/>
    </w:rPr>
  </w:style>
  <w:style w:type="paragraph" w:styleId="19">
    <w:name w:val="List Number 3"/>
    <w:basedOn w:val="1"/>
    <w:qFormat/>
    <w:uiPriority w:val="0"/>
    <w:pPr>
      <w:tabs>
        <w:tab w:val="left" w:pos="1200"/>
      </w:tabs>
      <w:ind w:left="1200" w:hanging="360"/>
    </w:pPr>
  </w:style>
  <w:style w:type="paragraph" w:styleId="20">
    <w:name w:val="List 2"/>
    <w:basedOn w:val="1"/>
    <w:qFormat/>
    <w:uiPriority w:val="0"/>
    <w:pPr>
      <w:numPr>
        <w:ilvl w:val="0"/>
        <w:numId w:val="6"/>
      </w:numPr>
      <w:tabs>
        <w:tab w:val="clear" w:pos="1620"/>
      </w:tabs>
      <w:ind w:left="400" w:leftChars="200" w:hanging="200" w:hangingChars="200"/>
    </w:pPr>
    <w:rPr>
      <w:sz w:val="28"/>
    </w:rPr>
  </w:style>
  <w:style w:type="paragraph" w:styleId="21">
    <w:name w:val="toc 3"/>
    <w:basedOn w:val="1"/>
    <w:next w:val="1"/>
    <w:qFormat/>
    <w:uiPriority w:val="0"/>
    <w:pPr>
      <w:ind w:left="400" w:leftChars="400"/>
    </w:pPr>
  </w:style>
  <w:style w:type="paragraph" w:styleId="22">
    <w:name w:val="Plain Text"/>
    <w:basedOn w:val="1"/>
    <w:link w:val="96"/>
    <w:qFormat/>
    <w:uiPriority w:val="0"/>
    <w:pPr>
      <w:spacing w:beforeLines="50" w:afterLines="50" w:line="400" w:lineRule="exact"/>
    </w:pPr>
    <w:rPr>
      <w:rFonts w:ascii="宋体"/>
      <w:sz w:val="24"/>
    </w:rPr>
  </w:style>
  <w:style w:type="paragraph" w:styleId="23">
    <w:name w:val="List Bullet 5"/>
    <w:basedOn w:val="8"/>
    <w:semiHidden/>
    <w:unhideWhenUsed/>
    <w:qFormat/>
    <w:uiPriority w:val="78"/>
    <w:pPr>
      <w:numPr>
        <w:ilvl w:val="4"/>
      </w:numPr>
    </w:pPr>
  </w:style>
  <w:style w:type="paragraph" w:styleId="24">
    <w:name w:val="Date"/>
    <w:basedOn w:val="1"/>
    <w:next w:val="1"/>
    <w:link w:val="92"/>
    <w:qFormat/>
    <w:uiPriority w:val="0"/>
    <w:pPr>
      <w:numPr>
        <w:ilvl w:val="0"/>
        <w:numId w:val="7"/>
      </w:numPr>
      <w:tabs>
        <w:tab w:val="clear" w:pos="2040"/>
      </w:tabs>
      <w:ind w:left="2500" w:leftChars="2500" w:firstLine="0"/>
    </w:pPr>
    <w:rPr>
      <w:rFonts w:eastAsia="楷体_GB2312"/>
      <w:sz w:val="32"/>
      <w:szCs w:val="20"/>
    </w:rPr>
  </w:style>
  <w:style w:type="paragraph" w:styleId="25">
    <w:name w:val="Body Text Indent 2"/>
    <w:basedOn w:val="1"/>
    <w:link w:val="98"/>
    <w:qFormat/>
    <w:uiPriority w:val="0"/>
    <w:pPr>
      <w:snapToGrid w:val="0"/>
      <w:ind w:firstLine="225" w:firstLineChars="225"/>
    </w:pPr>
    <w:rPr>
      <w:rFonts w:ascii="仿宋_GB2312" w:hAnsi="仿宋_GB2312"/>
      <w:b/>
      <w:bCs/>
      <w:color w:val="000000"/>
      <w:sz w:val="24"/>
    </w:rPr>
  </w:style>
  <w:style w:type="paragraph" w:styleId="26">
    <w:name w:val="Balloon Text"/>
    <w:basedOn w:val="1"/>
    <w:link w:val="93"/>
    <w:qFormat/>
    <w:uiPriority w:val="0"/>
    <w:rPr>
      <w:sz w:val="18"/>
      <w:szCs w:val="18"/>
    </w:rPr>
  </w:style>
  <w:style w:type="paragraph" w:styleId="27">
    <w:name w:val="footer"/>
    <w:basedOn w:val="1"/>
    <w:link w:val="53"/>
    <w:unhideWhenUsed/>
    <w:qFormat/>
    <w:uiPriority w:val="99"/>
    <w:pPr>
      <w:tabs>
        <w:tab w:val="center" w:pos="4153"/>
        <w:tab w:val="right" w:pos="8306"/>
      </w:tabs>
      <w:snapToGrid w:val="0"/>
      <w:jc w:val="left"/>
    </w:pPr>
    <w:rPr>
      <w:sz w:val="18"/>
      <w:szCs w:val="18"/>
    </w:rPr>
  </w:style>
  <w:style w:type="paragraph" w:styleId="28">
    <w:name w:val="header"/>
    <w:basedOn w:val="1"/>
    <w:link w:val="52"/>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style>
  <w:style w:type="paragraph" w:styleId="30">
    <w:name w:val="Subtitle"/>
    <w:basedOn w:val="1"/>
    <w:next w:val="1"/>
    <w:link w:val="113"/>
    <w:qFormat/>
    <w:uiPriority w:val="11"/>
    <w:pPr>
      <w:spacing w:before="240" w:after="60" w:line="312" w:lineRule="auto"/>
      <w:jc w:val="center"/>
      <w:outlineLvl w:val="1"/>
    </w:pPr>
    <w:rPr>
      <w:rFonts w:ascii="Cambria" w:hAnsi="Cambria" w:eastAsiaTheme="minorEastAsia" w:cstheme="minorBidi"/>
      <w:b/>
      <w:bCs/>
      <w:kern w:val="28"/>
      <w:sz w:val="32"/>
      <w:szCs w:val="32"/>
    </w:rPr>
  </w:style>
  <w:style w:type="paragraph" w:styleId="31">
    <w:name w:val="List"/>
    <w:basedOn w:val="1"/>
    <w:qFormat/>
    <w:uiPriority w:val="0"/>
    <w:pPr>
      <w:ind w:left="200" w:hanging="200" w:hangingChars="200"/>
    </w:pPr>
    <w:rPr>
      <w:sz w:val="28"/>
    </w:rPr>
  </w:style>
  <w:style w:type="paragraph" w:styleId="32">
    <w:name w:val="toc 6"/>
    <w:basedOn w:val="1"/>
    <w:next w:val="1"/>
    <w:qFormat/>
    <w:uiPriority w:val="0"/>
    <w:pPr>
      <w:ind w:left="1200"/>
      <w:jc w:val="left"/>
    </w:pPr>
    <w:rPr>
      <w:rFonts w:ascii="Calibri"/>
      <w:sz w:val="18"/>
      <w:szCs w:val="18"/>
    </w:rPr>
  </w:style>
  <w:style w:type="paragraph" w:styleId="33">
    <w:name w:val="Body Text Indent 3"/>
    <w:basedOn w:val="1"/>
    <w:link w:val="91"/>
    <w:qFormat/>
    <w:uiPriority w:val="0"/>
    <w:pPr>
      <w:numPr>
        <w:ilvl w:val="0"/>
        <w:numId w:val="8"/>
      </w:numPr>
      <w:snapToGrid w:val="0"/>
      <w:jc w:val="left"/>
    </w:pPr>
    <w:rPr>
      <w:rFonts w:ascii="仿宋_GB2312" w:eastAsia="仿宋_GB2312"/>
      <w:color w:val="000000"/>
      <w:sz w:val="24"/>
    </w:rPr>
  </w:style>
  <w:style w:type="paragraph" w:styleId="34">
    <w:name w:val="toc 2"/>
    <w:basedOn w:val="1"/>
    <w:next w:val="1"/>
    <w:qFormat/>
    <w:uiPriority w:val="39"/>
    <w:pPr>
      <w:ind w:left="200" w:leftChars="200"/>
    </w:pPr>
  </w:style>
  <w:style w:type="paragraph" w:styleId="35">
    <w:name w:val="Body Text 2"/>
    <w:basedOn w:val="1"/>
    <w:link w:val="97"/>
    <w:qFormat/>
    <w:uiPriority w:val="0"/>
    <w:pPr>
      <w:widowControl/>
      <w:snapToGrid w:val="0"/>
      <w:spacing w:before="50" w:afterLines="50" w:line="400" w:lineRule="exact"/>
      <w:jc w:val="left"/>
    </w:pPr>
    <w:rPr>
      <w:rFonts w:ascii="宋体"/>
      <w:color w:val="000000"/>
      <w:sz w:val="24"/>
    </w:rPr>
  </w:style>
  <w:style w:type="paragraph" w:styleId="36">
    <w:name w:val="Normal (Web)"/>
    <w:basedOn w:val="1"/>
    <w:qFormat/>
    <w:uiPriority w:val="0"/>
    <w:pPr>
      <w:widowControl/>
      <w:spacing w:before="100" w:beforeAutospacing="1" w:after="100" w:afterAutospacing="1"/>
      <w:jc w:val="left"/>
    </w:pPr>
    <w:rPr>
      <w:kern w:val="0"/>
      <w:sz w:val="24"/>
    </w:rPr>
  </w:style>
  <w:style w:type="paragraph" w:styleId="37">
    <w:name w:val="annotation subject"/>
    <w:basedOn w:val="16"/>
    <w:next w:val="16"/>
    <w:link w:val="100"/>
    <w:qFormat/>
    <w:uiPriority w:val="0"/>
  </w:style>
  <w:style w:type="paragraph" w:styleId="38">
    <w:name w:val="Body Text First Indent"/>
    <w:basedOn w:val="2"/>
    <w:next w:val="32"/>
    <w:qFormat/>
    <w:uiPriority w:val="0"/>
    <w:pPr>
      <w:ind w:firstLine="420" w:firstLineChars="100"/>
    </w:pPr>
  </w:style>
  <w:style w:type="paragraph" w:styleId="39">
    <w:name w:val="Body Text First Indent 2"/>
    <w:basedOn w:val="18"/>
    <w:next w:val="1"/>
    <w:unhideWhenUsed/>
    <w:qFormat/>
    <w:uiPriority w:val="99"/>
    <w:pPr>
      <w:ind w:firstLine="420"/>
    </w:pPr>
  </w:style>
  <w:style w:type="table" w:styleId="41">
    <w:name w:val="Table Grid"/>
    <w:basedOn w:val="4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99"/>
    <w:rPr>
      <w:color w:val="800080"/>
      <w:u w:val="single"/>
    </w:rPr>
  </w:style>
  <w:style w:type="character" w:styleId="46">
    <w:name w:val="Emphasis"/>
    <w:qFormat/>
    <w:uiPriority w:val="0"/>
    <w:rPr>
      <w:color w:val="CC0000"/>
    </w:rPr>
  </w:style>
  <w:style w:type="character" w:styleId="47">
    <w:name w:val="HTML Acronym"/>
    <w:qFormat/>
    <w:uiPriority w:val="0"/>
  </w:style>
  <w:style w:type="character" w:styleId="48">
    <w:name w:val="Hyperlink"/>
    <w:qFormat/>
    <w:uiPriority w:val="99"/>
    <w:rPr>
      <w:color w:val="0000FF"/>
      <w:u w:val="single"/>
    </w:rPr>
  </w:style>
  <w:style w:type="character" w:styleId="49">
    <w:name w:val="annotation reference"/>
    <w:basedOn w:val="42"/>
    <w:qFormat/>
    <w:uiPriority w:val="99"/>
    <w:rPr>
      <w:sz w:val="21"/>
      <w:szCs w:val="21"/>
    </w:rPr>
  </w:style>
  <w:style w:type="paragraph" w:customStyle="1" w:styleId="50">
    <w:name w:val="样式3"/>
    <w:basedOn w:val="22"/>
    <w:next w:val="1"/>
    <w:qFormat/>
    <w:uiPriority w:val="99"/>
    <w:pPr>
      <w:spacing w:line="0" w:lineRule="atLeast"/>
      <w:outlineLvl w:val="0"/>
    </w:pPr>
    <w:rPr>
      <w:sz w:val="28"/>
    </w:rPr>
  </w:style>
  <w:style w:type="character" w:customStyle="1" w:styleId="51">
    <w:name w:val="标题 1 字符"/>
    <w:basedOn w:val="42"/>
    <w:link w:val="3"/>
    <w:qFormat/>
    <w:uiPriority w:val="0"/>
    <w:rPr>
      <w:rFonts w:ascii="Times New Roman" w:hAnsi="Times New Roman" w:eastAsia="宋体" w:cs="Times New Roman"/>
      <w:b/>
      <w:bCs/>
      <w:kern w:val="44"/>
      <w:sz w:val="44"/>
      <w:szCs w:val="44"/>
    </w:rPr>
  </w:style>
  <w:style w:type="character" w:customStyle="1" w:styleId="52">
    <w:name w:val="页眉 字符"/>
    <w:basedOn w:val="42"/>
    <w:link w:val="28"/>
    <w:qFormat/>
    <w:uiPriority w:val="0"/>
    <w:rPr>
      <w:sz w:val="18"/>
      <w:szCs w:val="18"/>
    </w:rPr>
  </w:style>
  <w:style w:type="character" w:customStyle="1" w:styleId="53">
    <w:name w:val="页脚 字符"/>
    <w:basedOn w:val="42"/>
    <w:link w:val="27"/>
    <w:qFormat/>
    <w:uiPriority w:val="99"/>
    <w:rPr>
      <w:sz w:val="18"/>
      <w:szCs w:val="18"/>
    </w:rPr>
  </w:style>
  <w:style w:type="character" w:customStyle="1" w:styleId="54">
    <w:name w:val="标题 2 字符"/>
    <w:basedOn w:val="42"/>
    <w:link w:val="4"/>
    <w:qFormat/>
    <w:uiPriority w:val="9"/>
    <w:rPr>
      <w:rFonts w:ascii="Arial" w:hAnsi="Arial" w:eastAsia="黑体" w:cs="Times New Roman"/>
      <w:b/>
      <w:bCs/>
      <w:sz w:val="32"/>
      <w:szCs w:val="32"/>
    </w:rPr>
  </w:style>
  <w:style w:type="character" w:customStyle="1" w:styleId="55">
    <w:name w:val="标题 3 字符"/>
    <w:basedOn w:val="42"/>
    <w:link w:val="5"/>
    <w:qFormat/>
    <w:uiPriority w:val="0"/>
    <w:rPr>
      <w:rFonts w:ascii="Times New Roman" w:hAnsi="Times New Roman" w:eastAsia="宋体" w:cs="Times New Roman"/>
      <w:b/>
      <w:bCs/>
      <w:sz w:val="32"/>
      <w:szCs w:val="32"/>
    </w:rPr>
  </w:style>
  <w:style w:type="character" w:customStyle="1" w:styleId="56">
    <w:name w:val="标题 4 字符"/>
    <w:basedOn w:val="42"/>
    <w:link w:val="6"/>
    <w:qFormat/>
    <w:uiPriority w:val="0"/>
    <w:rPr>
      <w:rFonts w:ascii="Arial" w:hAnsi="Arial" w:eastAsia="黑体" w:cs="Times New Roman"/>
      <w:b/>
      <w:bCs/>
      <w:sz w:val="28"/>
      <w:szCs w:val="28"/>
    </w:rPr>
  </w:style>
  <w:style w:type="character" w:customStyle="1" w:styleId="57">
    <w:name w:val="标题 5 字符"/>
    <w:basedOn w:val="42"/>
    <w:link w:val="7"/>
    <w:qFormat/>
    <w:uiPriority w:val="0"/>
    <w:rPr>
      <w:rFonts w:ascii="Times New Roman" w:hAnsi="Times New Roman" w:eastAsia="宋体" w:cs="Times New Roman"/>
      <w:b/>
      <w:bCs/>
      <w:sz w:val="28"/>
      <w:szCs w:val="28"/>
    </w:rPr>
  </w:style>
  <w:style w:type="character" w:customStyle="1" w:styleId="58">
    <w:name w:val="ca-32"/>
    <w:qFormat/>
    <w:uiPriority w:val="0"/>
  </w:style>
  <w:style w:type="character" w:customStyle="1" w:styleId="59">
    <w:name w:val="apple-style-span"/>
    <w:basedOn w:val="42"/>
    <w:qFormat/>
    <w:uiPriority w:val="0"/>
  </w:style>
  <w:style w:type="character" w:customStyle="1" w:styleId="60">
    <w:name w:val="unnamed1"/>
    <w:basedOn w:val="42"/>
    <w:qFormat/>
    <w:uiPriority w:val="0"/>
  </w:style>
  <w:style w:type="character" w:customStyle="1" w:styleId="61">
    <w:name w:val="样式 标题 1合同标题卷标题H1h1Level 1 Topic HeadingH11H12H111H13H1... Char"/>
    <w:qFormat/>
    <w:uiPriority w:val="0"/>
    <w:rPr>
      <w:rFonts w:ascii="宋体" w:eastAsia="宋体"/>
      <w:b/>
      <w:bCs/>
      <w:kern w:val="44"/>
      <w:sz w:val="24"/>
      <w:szCs w:val="44"/>
      <w:lang w:val="en-US" w:eastAsia="zh-CN" w:bidi="ar-SA"/>
    </w:rPr>
  </w:style>
  <w:style w:type="character" w:customStyle="1" w:styleId="62">
    <w:name w:val="c_title1"/>
    <w:qFormat/>
    <w:uiPriority w:val="0"/>
    <w:rPr>
      <w:rFonts w:ascii="黑体" w:eastAsia="黑体"/>
      <w:color w:val="03005C"/>
      <w:sz w:val="30"/>
      <w:szCs w:val="30"/>
      <w:u w:val="none"/>
    </w:rPr>
  </w:style>
  <w:style w:type="character" w:customStyle="1" w:styleId="63">
    <w:name w:val="style7"/>
    <w:basedOn w:val="42"/>
    <w:qFormat/>
    <w:uiPriority w:val="0"/>
  </w:style>
  <w:style w:type="paragraph" w:customStyle="1" w:styleId="64">
    <w:name w:val="Char"/>
    <w:basedOn w:val="1"/>
    <w:qFormat/>
    <w:uiPriority w:val="0"/>
    <w:pPr>
      <w:ind w:firstLine="200" w:firstLineChars="200"/>
    </w:pPr>
    <w:rPr>
      <w:rFonts w:ascii="幼圆" w:eastAsia="幼圆" w:cs="幼圆"/>
      <w:sz w:val="24"/>
      <w:szCs w:val="20"/>
    </w:rPr>
  </w:style>
  <w:style w:type="paragraph" w:customStyle="1" w:styleId="6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66">
    <w:name w:val="自由格式 A"/>
    <w:qFormat/>
    <w:uiPriority w:val="0"/>
    <w:rPr>
      <w:rFonts w:ascii="Helvetica" w:hAnsi="Helvetica" w:eastAsia="ヒラギノ角ゴ Pro W3" w:cs="Times New Roman"/>
      <w:color w:val="000000"/>
      <w:sz w:val="24"/>
      <w:lang w:val="en-US" w:eastAsia="zh-CN" w:bidi="ar-SA"/>
    </w:rPr>
  </w:style>
  <w:style w:type="paragraph" w:customStyle="1" w:styleId="67">
    <w:name w:val="正文段"/>
    <w:basedOn w:val="1"/>
    <w:qFormat/>
    <w:uiPriority w:val="0"/>
    <w:pPr>
      <w:widowControl/>
      <w:snapToGrid w:val="0"/>
      <w:spacing w:afterLines="50"/>
      <w:ind w:firstLine="200" w:firstLineChars="200"/>
    </w:pPr>
    <w:rPr>
      <w:kern w:val="0"/>
      <w:sz w:val="24"/>
      <w:szCs w:val="20"/>
    </w:rPr>
  </w:style>
  <w:style w:type="paragraph" w:customStyle="1" w:styleId="68">
    <w:name w:val="样式1"/>
    <w:basedOn w:val="6"/>
    <w:qFormat/>
    <w:uiPriority w:val="0"/>
  </w:style>
  <w:style w:type="paragraph" w:customStyle="1" w:styleId="69">
    <w:name w:val="p0"/>
    <w:basedOn w:val="1"/>
    <w:qFormat/>
    <w:uiPriority w:val="0"/>
    <w:pPr>
      <w:widowControl/>
    </w:pPr>
    <w:rPr>
      <w:kern w:val="0"/>
      <w:szCs w:val="21"/>
    </w:rPr>
  </w:style>
  <w:style w:type="paragraph" w:customStyle="1" w:styleId="70">
    <w:name w:val="Char1"/>
    <w:basedOn w:val="1"/>
    <w:qFormat/>
    <w:uiPriority w:val="0"/>
    <w:rPr>
      <w:rFonts w:ascii="Tahoma" w:hAnsi="Tahoma"/>
      <w:sz w:val="24"/>
      <w:szCs w:val="20"/>
    </w:rPr>
  </w:style>
  <w:style w:type="paragraph" w:customStyle="1" w:styleId="71">
    <w:name w:val="默认段落字体 Para Char Char Char Char Char Char Char Char Char1 Char Char Char Char"/>
    <w:basedOn w:val="1"/>
    <w:qFormat/>
    <w:uiPriority w:val="0"/>
    <w:rPr>
      <w:rFonts w:ascii="Tahoma" w:hAnsi="Tahoma"/>
      <w:sz w:val="24"/>
      <w:szCs w:val="20"/>
    </w:rPr>
  </w:style>
  <w:style w:type="paragraph" w:customStyle="1" w:styleId="72">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73">
    <w:name w:val="列出段落1"/>
    <w:basedOn w:val="1"/>
    <w:qFormat/>
    <w:uiPriority w:val="0"/>
    <w:pPr>
      <w:ind w:firstLine="200" w:firstLineChars="200"/>
    </w:pPr>
    <w:rPr>
      <w:rFonts w:ascii="Calibri" w:hAnsi="Calibri"/>
      <w:szCs w:val="22"/>
    </w:rPr>
  </w:style>
  <w:style w:type="paragraph" w:customStyle="1" w:styleId="74">
    <w:name w:val="Char2"/>
    <w:basedOn w:val="1"/>
    <w:qFormat/>
    <w:uiPriority w:val="0"/>
    <w:rPr>
      <w:rFonts w:ascii="仿宋_GB2312" w:eastAsia="仿宋_GB2312"/>
      <w:b/>
      <w:sz w:val="32"/>
      <w:szCs w:val="32"/>
    </w:rPr>
  </w:style>
  <w:style w:type="paragraph" w:customStyle="1" w:styleId="75">
    <w:name w:val="style9"/>
    <w:basedOn w:val="1"/>
    <w:qFormat/>
    <w:uiPriority w:val="0"/>
    <w:pPr>
      <w:widowControl/>
      <w:spacing w:before="100" w:beforeAutospacing="1" w:after="100" w:afterAutospacing="1"/>
      <w:jc w:val="left"/>
    </w:pPr>
    <w:rPr>
      <w:rFonts w:ascii="宋体" w:cs="宋体"/>
      <w:kern w:val="0"/>
      <w:sz w:val="24"/>
    </w:rPr>
  </w:style>
  <w:style w:type="paragraph" w:customStyle="1" w:styleId="76">
    <w:name w:val="tgt2"/>
    <w:basedOn w:val="1"/>
    <w:qFormat/>
    <w:uiPriority w:val="0"/>
    <w:pPr>
      <w:widowControl/>
      <w:spacing w:after="150" w:line="360" w:lineRule="auto"/>
      <w:jc w:val="left"/>
    </w:pPr>
    <w:rPr>
      <w:rFonts w:ascii="宋体" w:cs="宋体"/>
      <w:b/>
      <w:bCs/>
      <w:kern w:val="0"/>
      <w:sz w:val="36"/>
      <w:szCs w:val="36"/>
    </w:rPr>
  </w:style>
  <w:style w:type="paragraph" w:customStyle="1" w:styleId="77">
    <w:name w:val="p15"/>
    <w:basedOn w:val="1"/>
    <w:qFormat/>
    <w:uiPriority w:val="0"/>
    <w:pPr>
      <w:widowControl/>
    </w:pPr>
    <w:rPr>
      <w:kern w:val="0"/>
      <w:szCs w:val="21"/>
    </w:rPr>
  </w:style>
  <w:style w:type="paragraph" w:customStyle="1" w:styleId="78">
    <w:name w:val="Char Char Char Char Char Char"/>
    <w:basedOn w:val="1"/>
    <w:qFormat/>
    <w:uiPriority w:val="0"/>
    <w:pPr>
      <w:ind w:firstLine="200" w:firstLineChars="200"/>
    </w:pPr>
    <w:rPr>
      <w:rFonts w:ascii="Tahoma" w:hAnsi="Tahoma"/>
      <w:sz w:val="24"/>
      <w:szCs w:val="20"/>
    </w:rPr>
  </w:style>
  <w:style w:type="paragraph" w:customStyle="1" w:styleId="79">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8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1">
    <w:name w:val="Char1 Char Char Char"/>
    <w:basedOn w:val="1"/>
    <w:qFormat/>
    <w:uiPriority w:val="0"/>
    <w:pPr>
      <w:tabs>
        <w:tab w:val="left" w:pos="840"/>
      </w:tabs>
      <w:ind w:left="840" w:hanging="420"/>
    </w:pPr>
    <w:rPr>
      <w:sz w:val="24"/>
    </w:rPr>
  </w:style>
  <w:style w:type="paragraph" w:customStyle="1" w:styleId="82">
    <w:name w:val="table_lines"/>
    <w:basedOn w:val="1"/>
    <w:qFormat/>
    <w:uiPriority w:val="0"/>
    <w:rPr>
      <w:szCs w:val="20"/>
    </w:rPr>
  </w:style>
  <w:style w:type="paragraph" w:customStyle="1" w:styleId="83">
    <w:name w:val="Char11"/>
    <w:basedOn w:val="1"/>
    <w:qFormat/>
    <w:uiPriority w:val="0"/>
  </w:style>
  <w:style w:type="paragraph" w:customStyle="1" w:styleId="84">
    <w:name w:val="Char Char Char Char Char Char Char Char Char Char Char Char1 Char"/>
    <w:basedOn w:val="15"/>
    <w:qFormat/>
    <w:uiPriority w:val="0"/>
    <w:rPr>
      <w:rFonts w:ascii="Tahoma" w:hAnsi="Tahoma"/>
      <w:sz w:val="24"/>
    </w:rPr>
  </w:style>
  <w:style w:type="character" w:customStyle="1" w:styleId="85">
    <w:name w:val="文档结构图 字符"/>
    <w:basedOn w:val="42"/>
    <w:link w:val="15"/>
    <w:qFormat/>
    <w:uiPriority w:val="0"/>
    <w:rPr>
      <w:rFonts w:ascii="Times New Roman" w:hAnsi="Times New Roman" w:eastAsia="宋体" w:cs="Times New Roman"/>
      <w:szCs w:val="24"/>
      <w:shd w:val="clear" w:color="auto" w:fill="000080"/>
    </w:rPr>
  </w:style>
  <w:style w:type="paragraph" w:styleId="86">
    <w:name w:val="List Paragraph"/>
    <w:basedOn w:val="1"/>
    <w:link w:val="117"/>
    <w:qFormat/>
    <w:uiPriority w:val="34"/>
    <w:pPr>
      <w:numPr>
        <w:ilvl w:val="0"/>
        <w:numId w:val="9"/>
      </w:numPr>
      <w:tabs>
        <w:tab w:val="clear" w:pos="360"/>
      </w:tabs>
      <w:ind w:left="0" w:firstLine="200" w:firstLineChars="200"/>
    </w:pPr>
    <w:rPr>
      <w:rFonts w:ascii="Calibri" w:hAnsi="Calibri"/>
      <w:szCs w:val="22"/>
    </w:rPr>
  </w:style>
  <w:style w:type="paragraph" w:customStyle="1" w:styleId="87">
    <w:name w:val="table_1stline"/>
    <w:basedOn w:val="1"/>
    <w:qFormat/>
    <w:uiPriority w:val="0"/>
    <w:pPr>
      <w:spacing w:before="120"/>
    </w:pPr>
    <w:rPr>
      <w:bCs/>
      <w:szCs w:val="20"/>
    </w:rPr>
  </w:style>
  <w:style w:type="paragraph" w:customStyle="1" w:styleId="88">
    <w:name w:val="Char Char Char Char"/>
    <w:basedOn w:val="1"/>
    <w:qFormat/>
    <w:uiPriority w:val="0"/>
    <w:pPr>
      <w:widowControl/>
      <w:spacing w:after="160" w:line="240" w:lineRule="exact"/>
      <w:jc w:val="left"/>
    </w:pPr>
    <w:rPr>
      <w:szCs w:val="20"/>
    </w:rPr>
  </w:style>
  <w:style w:type="paragraph" w:customStyle="1" w:styleId="89">
    <w:name w:val="pa-1"/>
    <w:basedOn w:val="1"/>
    <w:qFormat/>
    <w:uiPriority w:val="0"/>
    <w:pPr>
      <w:widowControl/>
      <w:spacing w:before="100" w:beforeAutospacing="1" w:after="100" w:afterAutospacing="1"/>
      <w:jc w:val="left"/>
    </w:pPr>
    <w:rPr>
      <w:rFonts w:ascii="宋体" w:cs="宋体"/>
      <w:kern w:val="0"/>
      <w:sz w:val="24"/>
    </w:rPr>
  </w:style>
  <w:style w:type="character" w:customStyle="1" w:styleId="90">
    <w:name w:val="正文文本缩进 字符"/>
    <w:basedOn w:val="42"/>
    <w:link w:val="18"/>
    <w:qFormat/>
    <w:uiPriority w:val="0"/>
    <w:rPr>
      <w:rFonts w:ascii="宋体" w:hAnsi="Times New Roman" w:eastAsia="宋体" w:cs="Times New Roman"/>
      <w:spacing w:val="-4"/>
      <w:sz w:val="18"/>
      <w:szCs w:val="20"/>
    </w:rPr>
  </w:style>
  <w:style w:type="character" w:customStyle="1" w:styleId="91">
    <w:name w:val="正文文本缩进 3 字符"/>
    <w:basedOn w:val="42"/>
    <w:link w:val="33"/>
    <w:qFormat/>
    <w:uiPriority w:val="0"/>
    <w:rPr>
      <w:rFonts w:ascii="仿宋_GB2312" w:eastAsia="仿宋_GB2312"/>
      <w:color w:val="000000"/>
      <w:kern w:val="2"/>
      <w:sz w:val="24"/>
      <w:szCs w:val="24"/>
    </w:rPr>
  </w:style>
  <w:style w:type="character" w:customStyle="1" w:styleId="92">
    <w:name w:val="日期 字符"/>
    <w:basedOn w:val="42"/>
    <w:link w:val="24"/>
    <w:qFormat/>
    <w:uiPriority w:val="0"/>
    <w:rPr>
      <w:rFonts w:ascii="Times New Roman" w:hAnsi="Times New Roman" w:eastAsia="楷体_GB2312" w:cs="Times New Roman"/>
      <w:sz w:val="32"/>
      <w:szCs w:val="20"/>
    </w:rPr>
  </w:style>
  <w:style w:type="character" w:customStyle="1" w:styleId="93">
    <w:name w:val="批注框文本 字符"/>
    <w:basedOn w:val="42"/>
    <w:link w:val="26"/>
    <w:qFormat/>
    <w:uiPriority w:val="0"/>
    <w:rPr>
      <w:rFonts w:ascii="Times New Roman" w:hAnsi="Times New Roman" w:eastAsia="宋体" w:cs="Times New Roman"/>
      <w:sz w:val="18"/>
      <w:szCs w:val="18"/>
    </w:rPr>
  </w:style>
  <w:style w:type="character" w:customStyle="1" w:styleId="94">
    <w:name w:val="正文文本 3 字符"/>
    <w:basedOn w:val="42"/>
    <w:link w:val="17"/>
    <w:qFormat/>
    <w:uiPriority w:val="0"/>
    <w:rPr>
      <w:rFonts w:ascii="Times New Roman" w:hAnsi="Times New Roman" w:eastAsia="仿宋_GB2312" w:cs="Times New Roman"/>
      <w:b/>
      <w:bCs/>
      <w:sz w:val="24"/>
      <w:szCs w:val="20"/>
    </w:rPr>
  </w:style>
  <w:style w:type="character" w:customStyle="1" w:styleId="95">
    <w:name w:val="正文文本 字符"/>
    <w:basedOn w:val="42"/>
    <w:link w:val="2"/>
    <w:qFormat/>
    <w:uiPriority w:val="0"/>
    <w:rPr>
      <w:rFonts w:ascii="Times New Roman" w:hAnsi="Times New Roman" w:eastAsia="宋体" w:cs="Times New Roman"/>
      <w:sz w:val="28"/>
      <w:szCs w:val="24"/>
    </w:rPr>
  </w:style>
  <w:style w:type="character" w:customStyle="1" w:styleId="96">
    <w:name w:val="纯文本 字符"/>
    <w:basedOn w:val="42"/>
    <w:link w:val="22"/>
    <w:qFormat/>
    <w:uiPriority w:val="0"/>
    <w:rPr>
      <w:rFonts w:ascii="宋体" w:hAnsi="Times New Roman" w:eastAsia="宋体" w:cs="Times New Roman"/>
      <w:sz w:val="24"/>
      <w:szCs w:val="24"/>
    </w:rPr>
  </w:style>
  <w:style w:type="character" w:customStyle="1" w:styleId="97">
    <w:name w:val="正文文本 2 字符"/>
    <w:basedOn w:val="42"/>
    <w:link w:val="35"/>
    <w:qFormat/>
    <w:uiPriority w:val="0"/>
    <w:rPr>
      <w:rFonts w:ascii="宋体" w:hAnsi="Times New Roman" w:eastAsia="宋体" w:cs="Times New Roman"/>
      <w:color w:val="000000"/>
      <w:sz w:val="24"/>
      <w:szCs w:val="24"/>
    </w:rPr>
  </w:style>
  <w:style w:type="character" w:customStyle="1" w:styleId="98">
    <w:name w:val="正文文本缩进 2 字符"/>
    <w:basedOn w:val="42"/>
    <w:link w:val="25"/>
    <w:qFormat/>
    <w:uiPriority w:val="0"/>
    <w:rPr>
      <w:rFonts w:ascii="仿宋_GB2312" w:hAnsi="仿宋_GB2312" w:eastAsia="宋体" w:cs="Times New Roman"/>
      <w:b/>
      <w:bCs/>
      <w:color w:val="000000"/>
      <w:sz w:val="24"/>
      <w:szCs w:val="24"/>
    </w:rPr>
  </w:style>
  <w:style w:type="character" w:customStyle="1" w:styleId="99">
    <w:name w:val="批注文字 字符"/>
    <w:basedOn w:val="42"/>
    <w:link w:val="16"/>
    <w:qFormat/>
    <w:uiPriority w:val="99"/>
    <w:rPr>
      <w:rFonts w:ascii="Times New Roman" w:hAnsi="Times New Roman" w:eastAsia="宋体" w:cs="Times New Roman"/>
      <w:szCs w:val="20"/>
    </w:rPr>
  </w:style>
  <w:style w:type="character" w:customStyle="1" w:styleId="100">
    <w:name w:val="批注主题 字符"/>
    <w:basedOn w:val="99"/>
    <w:link w:val="37"/>
    <w:qFormat/>
    <w:uiPriority w:val="0"/>
    <w:rPr>
      <w:rFonts w:ascii="Times New Roman" w:hAnsi="Times New Roman" w:eastAsia="宋体" w:cs="Times New Roman"/>
      <w:szCs w:val="20"/>
    </w:rPr>
  </w:style>
  <w:style w:type="paragraph" w:customStyle="1" w:styleId="101">
    <w:name w:val="op_mapdots_left"/>
    <w:basedOn w:val="1"/>
    <w:qFormat/>
    <w:uiPriority w:val="0"/>
    <w:pPr>
      <w:widowControl/>
      <w:jc w:val="left"/>
    </w:pPr>
    <w:rPr>
      <w:rFonts w:ascii="宋体" w:cs="宋体"/>
      <w:kern w:val="0"/>
      <w:sz w:val="24"/>
    </w:rPr>
  </w:style>
  <w:style w:type="paragraph" w:customStyle="1" w:styleId="102">
    <w:name w:val="样式 样式 标题 2 + 宋体 行距: 最小值 20 磅 + 段前: 0.5 行 段后: 0.5 行"/>
    <w:basedOn w:val="1"/>
    <w:qFormat/>
    <w:uiPriority w:val="0"/>
    <w:pPr>
      <w:keepNext/>
      <w:keepLines/>
      <w:tabs>
        <w:tab w:val="left" w:pos="567"/>
      </w:tabs>
      <w:spacing w:before="120" w:after="120"/>
      <w:jc w:val="center"/>
      <w:outlineLvl w:val="1"/>
    </w:pPr>
    <w:rPr>
      <w:rFonts w:eastAsia="仿宋_GB2312"/>
      <w:b/>
      <w:w w:val="80"/>
      <w:sz w:val="28"/>
      <w:szCs w:val="32"/>
    </w:rPr>
  </w:style>
  <w:style w:type="paragraph" w:customStyle="1" w:styleId="103">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04">
    <w:name w:val="zhouzhe jianjie txt"/>
    <w:basedOn w:val="1"/>
    <w:qFormat/>
    <w:uiPriority w:val="0"/>
    <w:pPr>
      <w:spacing w:line="240" w:lineRule="exact"/>
      <w:jc w:val="left"/>
    </w:pPr>
    <w:rPr>
      <w:rFonts w:ascii="宋体" w:hAnsi="宋体" w:eastAsia="Times New Roman" w:cs="Arial"/>
      <w:sz w:val="15"/>
      <w:szCs w:val="15"/>
    </w:rPr>
  </w:style>
  <w:style w:type="paragraph" w:customStyle="1" w:styleId="105">
    <w:name w:val="Char3"/>
    <w:basedOn w:val="1"/>
    <w:qFormat/>
    <w:uiPriority w:val="0"/>
    <w:pPr>
      <w:ind w:firstLine="200" w:firstLineChars="200"/>
      <w:jc w:val="left"/>
    </w:pPr>
    <w:rPr>
      <w:rFonts w:ascii="幼圆" w:hAnsi="宋体" w:eastAsia="幼圆" w:cs="幼圆"/>
      <w:sz w:val="24"/>
      <w:szCs w:val="21"/>
    </w:rPr>
  </w:style>
  <w:style w:type="paragraph" w:customStyle="1" w:styleId="106">
    <w:name w:val="列出段落11"/>
    <w:basedOn w:val="1"/>
    <w:qFormat/>
    <w:uiPriority w:val="0"/>
    <w:pPr>
      <w:ind w:firstLine="200" w:firstLineChars="200"/>
      <w:jc w:val="left"/>
    </w:pPr>
    <w:rPr>
      <w:rFonts w:ascii="Calibri" w:hAnsi="Calibri" w:cs="Arial"/>
      <w:szCs w:val="22"/>
    </w:rPr>
  </w:style>
  <w:style w:type="paragraph" w:customStyle="1" w:styleId="107">
    <w:name w:val="Char21"/>
    <w:basedOn w:val="1"/>
    <w:qFormat/>
    <w:uiPriority w:val="0"/>
    <w:pPr>
      <w:jc w:val="left"/>
    </w:pPr>
    <w:rPr>
      <w:rFonts w:ascii="仿宋_GB2312" w:hAnsi="宋体" w:eastAsia="仿宋_GB2312" w:cs="Arial"/>
      <w:b/>
      <w:sz w:val="32"/>
      <w:szCs w:val="32"/>
    </w:rPr>
  </w:style>
  <w:style w:type="paragraph" w:customStyle="1" w:styleId="108">
    <w:name w:val="Char Char Char Char Char Char1"/>
    <w:basedOn w:val="1"/>
    <w:qFormat/>
    <w:uiPriority w:val="0"/>
    <w:pPr>
      <w:ind w:firstLine="200" w:firstLineChars="200"/>
      <w:jc w:val="left"/>
    </w:pPr>
    <w:rPr>
      <w:rFonts w:ascii="Tahoma" w:hAnsi="Tahoma" w:cs="Arial"/>
      <w:sz w:val="24"/>
      <w:szCs w:val="21"/>
    </w:rPr>
  </w:style>
  <w:style w:type="paragraph" w:customStyle="1" w:styleId="109">
    <w:name w:val="Char1 Char Char Char1"/>
    <w:basedOn w:val="1"/>
    <w:qFormat/>
    <w:uiPriority w:val="0"/>
    <w:pPr>
      <w:tabs>
        <w:tab w:val="left" w:pos="840"/>
      </w:tabs>
      <w:ind w:left="840" w:hanging="420"/>
      <w:jc w:val="left"/>
    </w:pPr>
    <w:rPr>
      <w:rFonts w:ascii="宋体" w:hAnsi="宋体" w:cs="Arial"/>
      <w:sz w:val="24"/>
    </w:rPr>
  </w:style>
  <w:style w:type="paragraph" w:customStyle="1" w:styleId="110">
    <w:name w:val="Char Char Char Char Char Char Char Char Char Char Char Char1 Char1"/>
    <w:basedOn w:val="15"/>
    <w:qFormat/>
    <w:uiPriority w:val="0"/>
    <w:pPr>
      <w:jc w:val="left"/>
    </w:pPr>
    <w:rPr>
      <w:rFonts w:ascii="Tahoma" w:hAnsi="Tahoma" w:cs="Arial"/>
      <w:sz w:val="24"/>
    </w:rPr>
  </w:style>
  <w:style w:type="paragraph" w:customStyle="1" w:styleId="111">
    <w:name w:val="Char Char Char Char1"/>
    <w:basedOn w:val="1"/>
    <w:qFormat/>
    <w:uiPriority w:val="0"/>
    <w:pPr>
      <w:widowControl/>
      <w:spacing w:after="160" w:line="240" w:lineRule="exact"/>
      <w:jc w:val="left"/>
    </w:pPr>
    <w:rPr>
      <w:rFonts w:ascii="宋体" w:hAnsi="宋体" w:cs="Arial"/>
      <w:szCs w:val="21"/>
    </w:rPr>
  </w:style>
  <w:style w:type="paragraph" w:customStyle="1" w:styleId="112">
    <w:name w:val="trs_editor"/>
    <w:basedOn w:val="1"/>
    <w:qFormat/>
    <w:uiPriority w:val="0"/>
    <w:pPr>
      <w:widowControl/>
      <w:spacing w:before="100" w:beforeAutospacing="1" w:after="100" w:afterAutospacing="1"/>
      <w:jc w:val="left"/>
    </w:pPr>
    <w:rPr>
      <w:rFonts w:ascii="宋体" w:hAnsi="宋体" w:cs="宋体"/>
      <w:kern w:val="0"/>
      <w:sz w:val="24"/>
    </w:rPr>
  </w:style>
  <w:style w:type="character" w:customStyle="1" w:styleId="113">
    <w:name w:val="副标题 字符"/>
    <w:link w:val="30"/>
    <w:qFormat/>
    <w:uiPriority w:val="11"/>
    <w:rPr>
      <w:rFonts w:ascii="Cambria" w:hAnsi="Cambria"/>
      <w:b/>
      <w:bCs/>
      <w:kern w:val="28"/>
      <w:sz w:val="32"/>
      <w:szCs w:val="32"/>
    </w:rPr>
  </w:style>
  <w:style w:type="character" w:customStyle="1" w:styleId="114">
    <w:name w:val="副标题 Char1"/>
    <w:basedOn w:val="42"/>
    <w:qFormat/>
    <w:uiPriority w:val="11"/>
    <w:rPr>
      <w:rFonts w:eastAsia="宋体" w:asciiTheme="majorHAnsi" w:hAnsiTheme="majorHAnsi" w:cstheme="majorBidi"/>
      <w:b/>
      <w:bCs/>
      <w:kern w:val="28"/>
      <w:sz w:val="32"/>
      <w:szCs w:val="32"/>
    </w:rPr>
  </w:style>
  <w:style w:type="paragraph" w:customStyle="1" w:styleId="115">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16">
    <w:name w:val="xl29"/>
    <w:basedOn w:val="1"/>
    <w:qFormat/>
    <w:uiPriority w:val="0"/>
    <w:pPr>
      <w:widowControl/>
      <w:spacing w:before="100" w:beforeAutospacing="1" w:after="100" w:afterAutospacing="1"/>
      <w:jc w:val="center"/>
    </w:pPr>
    <w:rPr>
      <w:rFonts w:ascii="Arial Unicode MS" w:hAnsi="Arial Unicode MS" w:eastAsia="Arial Unicode MS"/>
      <w:kern w:val="0"/>
      <w:sz w:val="24"/>
    </w:rPr>
  </w:style>
  <w:style w:type="character" w:customStyle="1" w:styleId="117">
    <w:name w:val="列表段落 字符"/>
    <w:link w:val="86"/>
    <w:qFormat/>
    <w:locked/>
    <w:uiPriority w:val="34"/>
    <w:rPr>
      <w:rFonts w:ascii="Calibri" w:hAnsi="Calibri" w:eastAsia="宋体" w:cs="Times New Roman"/>
    </w:rPr>
  </w:style>
  <w:style w:type="paragraph" w:customStyle="1" w:styleId="118">
    <w:name w:val="333"/>
    <w:basedOn w:val="1"/>
    <w:qFormat/>
    <w:uiPriority w:val="0"/>
    <w:pPr>
      <w:adjustRightInd w:val="0"/>
      <w:spacing w:line="312" w:lineRule="atLeast"/>
      <w:textAlignment w:val="baseline"/>
    </w:pPr>
    <w:rPr>
      <w:kern w:val="0"/>
      <w:szCs w:val="20"/>
    </w:rPr>
  </w:style>
  <w:style w:type="paragraph" w:customStyle="1" w:styleId="119">
    <w:name w:val="修订1"/>
    <w:hidden/>
    <w:semiHidden/>
    <w:unhideWhenUsed/>
    <w:qFormat/>
    <w:uiPriority w:val="99"/>
    <w:rPr>
      <w:rFonts w:ascii="Times New Roman" w:hAnsi="Times New Roman" w:eastAsia="宋体" w:cs="Times New Roman"/>
      <w:kern w:val="2"/>
      <w:sz w:val="21"/>
      <w:szCs w:val="24"/>
      <w:lang w:val="en-US" w:eastAsia="zh-CN" w:bidi="ar-SA"/>
    </w:rPr>
  </w:style>
  <w:style w:type="paragraph" w:customStyle="1" w:styleId="120">
    <w:name w:val="_Style 2"/>
    <w:basedOn w:val="1"/>
    <w:qFormat/>
    <w:uiPriority w:val="34"/>
    <w:pPr>
      <w:adjustRightInd w:val="0"/>
      <w:spacing w:line="312" w:lineRule="atLeast"/>
      <w:ind w:firstLine="420" w:firstLineChars="200"/>
      <w:textAlignment w:val="baseline"/>
    </w:pPr>
    <w:rPr>
      <w:kern w:val="0"/>
    </w:rPr>
  </w:style>
  <w:style w:type="character" w:customStyle="1" w:styleId="121">
    <w:name w:val="批注文字 字符1"/>
    <w:qFormat/>
    <w:uiPriority w:val="99"/>
    <w:rPr>
      <w:kern w:val="2"/>
      <w:sz w:val="21"/>
    </w:rPr>
  </w:style>
  <w:style w:type="character" w:customStyle="1" w:styleId="122">
    <w:name w:val="纯文本 字符1"/>
    <w:qFormat/>
    <w:uiPriority w:val="0"/>
    <w:rPr>
      <w:rFonts w:ascii="宋体" w:hAnsi="Courier New"/>
      <w:kern w:val="2"/>
      <w:sz w:val="24"/>
      <w:szCs w:val="24"/>
    </w:rPr>
  </w:style>
  <w:style w:type="paragraph" w:customStyle="1" w:styleId="123">
    <w:name w:val="纯文本1"/>
    <w:basedOn w:val="1"/>
    <w:qFormat/>
    <w:uiPriority w:val="0"/>
    <w:pPr>
      <w:spacing w:beforeLines="50" w:afterLines="50" w:line="400" w:lineRule="exact"/>
    </w:pPr>
    <w:rPr>
      <w:rFonts w:ascii="宋体" w:hAnsi="Courier New"/>
      <w:sz w:val="24"/>
    </w:rPr>
  </w:style>
  <w:style w:type="character" w:customStyle="1" w:styleId="124">
    <w:name w:val="style361"/>
    <w:qFormat/>
    <w:uiPriority w:val="0"/>
    <w:rPr>
      <w:b/>
      <w:bCs/>
      <w:sz w:val="21"/>
      <w:szCs w:val="21"/>
    </w:rPr>
  </w:style>
  <w:style w:type="paragraph" w:customStyle="1" w:styleId="125">
    <w:name w:val="style31"/>
    <w:basedOn w:val="1"/>
    <w:qFormat/>
    <w:uiPriority w:val="0"/>
    <w:pPr>
      <w:widowControl/>
      <w:spacing w:before="100" w:beforeAutospacing="1" w:after="100" w:afterAutospacing="1"/>
      <w:jc w:val="left"/>
    </w:pPr>
    <w:rPr>
      <w:rFonts w:ascii="Arial" w:hAnsi="Arial" w:cs="Arial"/>
      <w:kern w:val="0"/>
      <w:szCs w:val="21"/>
    </w:rPr>
  </w:style>
  <w:style w:type="paragraph" w:customStyle="1" w:styleId="126">
    <w:name w:val="彩色列表 - 着色 11"/>
    <w:basedOn w:val="1"/>
    <w:qFormat/>
    <w:uiPriority w:val="34"/>
    <w:pPr>
      <w:adjustRightInd w:val="0"/>
      <w:spacing w:line="312" w:lineRule="atLeast"/>
      <w:ind w:firstLine="420" w:firstLineChars="200"/>
      <w:textAlignment w:val="baseline"/>
    </w:pPr>
    <w:rPr>
      <w:rFonts w:ascii="Calibri" w:hAnsi="Calibri"/>
      <w:kern w:val="0"/>
      <w:szCs w:val="22"/>
    </w:rPr>
  </w:style>
  <w:style w:type="paragraph" w:customStyle="1" w:styleId="127">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28">
    <w:name w:val="font61"/>
    <w:basedOn w:val="42"/>
    <w:qFormat/>
    <w:uiPriority w:val="0"/>
    <w:rPr>
      <w:rFonts w:hint="eastAsia" w:ascii="宋体" w:hAnsi="宋体" w:eastAsia="宋体" w:cs="宋体"/>
      <w:color w:val="000000"/>
      <w:sz w:val="22"/>
      <w:szCs w:val="22"/>
      <w:u w:val="none"/>
    </w:rPr>
  </w:style>
  <w:style w:type="character" w:customStyle="1" w:styleId="129">
    <w:name w:val="font31"/>
    <w:basedOn w:val="42"/>
    <w:qFormat/>
    <w:uiPriority w:val="0"/>
    <w:rPr>
      <w:rFonts w:ascii="Calibri" w:hAnsi="Calibri" w:cs="Calibri"/>
      <w:color w:val="000000"/>
      <w:sz w:val="22"/>
      <w:szCs w:val="22"/>
      <w:u w:val="none"/>
    </w:rPr>
  </w:style>
  <w:style w:type="character" w:customStyle="1" w:styleId="130">
    <w:name w:val="font71"/>
    <w:basedOn w:val="42"/>
    <w:qFormat/>
    <w:uiPriority w:val="0"/>
    <w:rPr>
      <w:rFonts w:hint="eastAsia" w:ascii="宋体" w:hAnsi="宋体" w:eastAsia="宋体" w:cs="宋体"/>
      <w:color w:val="000000"/>
      <w:sz w:val="22"/>
      <w:szCs w:val="22"/>
      <w:u w:val="none"/>
    </w:rPr>
  </w:style>
  <w:style w:type="character" w:customStyle="1" w:styleId="131">
    <w:name w:val="font112"/>
    <w:basedOn w:val="42"/>
    <w:qFormat/>
    <w:uiPriority w:val="0"/>
    <w:rPr>
      <w:rFonts w:hint="default" w:ascii="Calibri" w:hAnsi="Calibri" w:cs="Calibri"/>
      <w:color w:val="000000"/>
      <w:sz w:val="22"/>
      <w:szCs w:val="22"/>
      <w:u w:val="none"/>
    </w:rPr>
  </w:style>
  <w:style w:type="character" w:customStyle="1" w:styleId="132">
    <w:name w:val="font21"/>
    <w:basedOn w:val="42"/>
    <w:qFormat/>
    <w:uiPriority w:val="0"/>
    <w:rPr>
      <w:rFonts w:hint="eastAsia" w:ascii="宋体" w:hAnsi="宋体" w:eastAsia="宋体" w:cs="宋体"/>
      <w:color w:val="000000"/>
      <w:sz w:val="22"/>
      <w:szCs w:val="22"/>
      <w:u w:val="none"/>
    </w:rPr>
  </w:style>
  <w:style w:type="character" w:customStyle="1" w:styleId="133">
    <w:name w:val="font101"/>
    <w:basedOn w:val="42"/>
    <w:qFormat/>
    <w:uiPriority w:val="0"/>
    <w:rPr>
      <w:rFonts w:hint="eastAsia" w:ascii="宋体" w:hAnsi="宋体" w:eastAsia="宋体" w:cs="宋体"/>
      <w:color w:val="000000"/>
      <w:sz w:val="24"/>
      <w:szCs w:val="24"/>
      <w:u w:val="none"/>
    </w:rPr>
  </w:style>
  <w:style w:type="character" w:customStyle="1" w:styleId="134">
    <w:name w:val="font81"/>
    <w:basedOn w:val="42"/>
    <w:qFormat/>
    <w:uiPriority w:val="0"/>
    <w:rPr>
      <w:rFonts w:hint="eastAsia" w:ascii="宋体" w:hAnsi="宋体" w:eastAsia="宋体" w:cs="宋体"/>
      <w:b/>
      <w:bCs/>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DAEC-4BC2-3645-8699-CF717246475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52</Pages>
  <Words>30696</Words>
  <Characters>31761</Characters>
  <Lines>230</Lines>
  <Paragraphs>64</Paragraphs>
  <TotalTime>14</TotalTime>
  <ScaleCrop>false</ScaleCrop>
  <LinksUpToDate>false</LinksUpToDate>
  <CharactersWithSpaces>32826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2022-10-17T01:58:00Z</dcterms:created>
  <dc:creator>章海波</dc:creator>
  <cp:lastModifiedBy>Eva高</cp:lastModifiedBy>
  <cp:lastPrinted>2022-10-17T07:25:00Z</cp:lastPrinted>
  <dcterms:modified xsi:type="dcterms:W3CDTF">2022-12-07T10:01:45Z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7B2E770B46B64DDDA55B5AB7CA9055E6</vt:lpwstr>
  </property>
</Properties>
</file>