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s="宋体"/>
          <w:color w:val="auto"/>
          <w:highlight w:val="none"/>
        </w:rPr>
      </w:pPr>
      <w:bookmarkStart w:id="109" w:name="_GoBack"/>
      <w:bookmarkEnd w:id="109"/>
    </w:p>
    <w:p>
      <w:pPr>
        <w:spacing w:line="600" w:lineRule="exact"/>
        <w:jc w:val="center"/>
        <w:rPr>
          <w:rFonts w:hint="eastAsia" w:ascii="宋体" w:hAnsi="宋体" w:cs="宋体"/>
          <w:color w:val="auto"/>
          <w:sz w:val="32"/>
          <w:szCs w:val="32"/>
          <w:highlight w:val="none"/>
        </w:rPr>
      </w:pPr>
    </w:p>
    <w:p>
      <w:pPr>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公开招标文件</w:t>
      </w:r>
    </w:p>
    <w:p>
      <w:pPr>
        <w:spacing w:before="120" w:beforeLines="5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（全一册）</w:t>
      </w:r>
    </w:p>
    <w:p>
      <w:pPr>
        <w:jc w:val="center"/>
        <w:rPr>
          <w:rFonts w:hint="eastAsia" w:ascii="宋体" w:hAnsi="宋体" w:cs="宋体"/>
          <w:b/>
          <w:bCs/>
          <w:color w:val="auto"/>
          <w:sz w:val="100"/>
          <w:highlight w:val="none"/>
        </w:rPr>
      </w:pPr>
    </w:p>
    <w:p>
      <w:pPr>
        <w:jc w:val="center"/>
        <w:rPr>
          <w:rFonts w:hint="eastAsia" w:ascii="宋体" w:hAnsi="宋体" w:cs="宋体"/>
          <w:b/>
          <w:bCs/>
          <w:color w:val="auto"/>
          <w:sz w:val="100"/>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352" w:type="dxa"/>
            <w:noWrap w:val="0"/>
            <w:vAlign w:val="center"/>
          </w:tcPr>
          <w:p>
            <w:pPr>
              <w:jc w:val="center"/>
              <w:rPr>
                <w:rFonts w:hint="eastAsia" w:ascii="宋体" w:hAnsi="宋体" w:cs="宋体"/>
                <w:b/>
                <w:bCs/>
                <w:color w:val="auto"/>
                <w:sz w:val="30"/>
                <w:szCs w:val="30"/>
                <w:highlight w:val="none"/>
              </w:rPr>
            </w:pPr>
            <w:r>
              <w:rPr>
                <w:rFonts w:hint="eastAsia" w:ascii="宋体" w:hAnsi="宋体"/>
                <w:b/>
                <w:color w:val="auto"/>
                <w:sz w:val="30"/>
                <w:szCs w:val="72"/>
                <w:highlight w:val="none"/>
                <w:lang w:val="en-US" w:eastAsia="zh-CN"/>
              </w:rPr>
              <w:t>海曙区石碶街道办事处社会治安动态视频监控运维项目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2" w:type="dxa"/>
            <w:noWrap w:val="0"/>
            <w:vAlign w:val="center"/>
          </w:tcPr>
          <w:p>
            <w:pPr>
              <w:jc w:val="center"/>
              <w:rPr>
                <w:rFonts w:hint="default" w:ascii="宋体" w:hAnsi="宋体" w:eastAsia="宋体" w:cs="宋体"/>
                <w:b/>
                <w:bCs/>
                <w:color w:val="auto"/>
                <w:sz w:val="30"/>
                <w:szCs w:val="30"/>
                <w:highlight w:val="none"/>
                <w:lang w:val="en-US" w:eastAsia="zh-CN"/>
              </w:rPr>
            </w:pPr>
            <w:r>
              <w:rPr>
                <w:rFonts w:hint="eastAsia" w:ascii="宋体" w:hAnsi="宋体" w:cs="宋体"/>
                <w:b/>
                <w:bCs/>
                <w:color w:val="auto"/>
                <w:sz w:val="30"/>
                <w:szCs w:val="30"/>
                <w:highlight w:val="none"/>
              </w:rPr>
              <w:t>202</w:t>
            </w:r>
            <w:r>
              <w:rPr>
                <w:rFonts w:hint="eastAsia" w:ascii="宋体" w:hAnsi="宋体" w:cs="宋体"/>
                <w:b/>
                <w:bCs/>
                <w:color w:val="auto"/>
                <w:sz w:val="30"/>
                <w:szCs w:val="30"/>
                <w:highlight w:val="none"/>
                <w:lang w:val="en-US" w:eastAsia="zh-CN"/>
              </w:rPr>
              <w:t>2</w:t>
            </w:r>
            <w:r>
              <w:rPr>
                <w:rFonts w:hint="eastAsia" w:ascii="宋体" w:hAnsi="宋体" w:cs="宋体"/>
                <w:b/>
                <w:bCs/>
                <w:color w:val="auto"/>
                <w:sz w:val="30"/>
                <w:szCs w:val="30"/>
                <w:highlight w:val="none"/>
              </w:rPr>
              <w:t>NBHS</w:t>
            </w:r>
            <w:r>
              <w:rPr>
                <w:rFonts w:hint="eastAsia" w:ascii="宋体" w:hAnsi="宋体" w:cs="宋体"/>
                <w:b/>
                <w:bCs/>
                <w:color w:val="auto"/>
                <w:sz w:val="30"/>
                <w:szCs w:val="30"/>
                <w:highlight w:val="none"/>
                <w:lang w:eastAsia="zh-CN"/>
              </w:rPr>
              <w:t>WT</w:t>
            </w:r>
            <w:r>
              <w:rPr>
                <w:rFonts w:hint="eastAsia" w:ascii="宋体" w:hAnsi="宋体" w:cs="宋体"/>
                <w:b/>
                <w:bCs/>
                <w:color w:val="auto"/>
                <w:sz w:val="30"/>
                <w:szCs w:val="30"/>
                <w:highlight w:val="no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2" w:type="dxa"/>
            <w:noWrap w:val="0"/>
            <w:vAlign w:val="center"/>
          </w:tcPr>
          <w:p>
            <w:pPr>
              <w:jc w:val="center"/>
              <w:rPr>
                <w:rFonts w:hint="eastAsia" w:ascii="宋体" w:hAnsi="宋体" w:eastAsia="宋体" w:cs="Times New Roman"/>
                <w:b/>
                <w:color w:val="auto"/>
                <w:sz w:val="30"/>
                <w:szCs w:val="72"/>
                <w:highlight w:val="none"/>
                <w:lang w:eastAsia="zh-CN"/>
              </w:rPr>
            </w:pPr>
            <w:r>
              <w:rPr>
                <w:rFonts w:hint="eastAsia" w:ascii="宋体" w:hAnsi="宋体" w:eastAsia="宋体" w:cs="Times New Roman"/>
                <w:b/>
                <w:color w:val="auto"/>
                <w:sz w:val="30"/>
                <w:szCs w:val="72"/>
                <w:highlight w:val="none"/>
                <w:lang w:eastAsia="zh-CN"/>
              </w:rPr>
              <w:t>宁波市海曙区人民政府石碶街道办事处</w:t>
            </w:r>
          </w:p>
        </w:tc>
      </w:tr>
    </w:tbl>
    <w:p>
      <w:pPr>
        <w:jc w:val="center"/>
        <w:rPr>
          <w:rFonts w:hint="eastAsia" w:ascii="宋体" w:hAnsi="宋体" w:cs="宋体"/>
          <w:b/>
          <w:bCs/>
          <w:color w:val="auto"/>
          <w:sz w:val="100"/>
          <w:highlight w:val="none"/>
        </w:rPr>
      </w:pPr>
    </w:p>
    <w:p>
      <w:pPr>
        <w:jc w:val="center"/>
        <w:rPr>
          <w:rFonts w:hint="eastAsia" w:ascii="宋体" w:hAnsi="宋体" w:cs="宋体"/>
          <w:b/>
          <w:bCs/>
          <w:color w:val="auto"/>
          <w:sz w:val="100"/>
          <w:highlight w:val="none"/>
        </w:rPr>
      </w:pPr>
    </w:p>
    <w:p>
      <w:pPr>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宁波中基国际招标有限公司</w:t>
      </w:r>
    </w:p>
    <w:p>
      <w:pPr>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二〇二</w:t>
      </w:r>
      <w:r>
        <w:rPr>
          <w:rFonts w:hint="eastAsia" w:ascii="宋体" w:hAnsi="宋体" w:cs="宋体"/>
          <w:b/>
          <w:bCs/>
          <w:color w:val="auto"/>
          <w:sz w:val="44"/>
          <w:szCs w:val="44"/>
          <w:highlight w:val="none"/>
          <w:lang w:val="en-US" w:eastAsia="zh-CN"/>
        </w:rPr>
        <w:t>二</w:t>
      </w:r>
      <w:r>
        <w:rPr>
          <w:rFonts w:hint="eastAsia" w:ascii="宋体" w:hAnsi="宋体" w:cs="宋体"/>
          <w:b/>
          <w:bCs/>
          <w:color w:val="auto"/>
          <w:sz w:val="44"/>
          <w:szCs w:val="44"/>
          <w:highlight w:val="none"/>
        </w:rPr>
        <w:t>年</w:t>
      </w:r>
      <w:r>
        <w:rPr>
          <w:rFonts w:hint="eastAsia" w:ascii="宋体" w:hAnsi="宋体" w:cs="宋体"/>
          <w:b/>
          <w:bCs/>
          <w:color w:val="auto"/>
          <w:sz w:val="44"/>
          <w:szCs w:val="44"/>
          <w:highlight w:val="none"/>
          <w:lang w:val="en-US" w:eastAsia="zh-CN"/>
        </w:rPr>
        <w:t>三</w:t>
      </w:r>
      <w:r>
        <w:rPr>
          <w:rFonts w:hint="eastAsia" w:ascii="宋体" w:hAnsi="宋体" w:cs="宋体"/>
          <w:b/>
          <w:bCs/>
          <w:color w:val="auto"/>
          <w:sz w:val="44"/>
          <w:szCs w:val="44"/>
          <w:highlight w:val="none"/>
        </w:rPr>
        <w:t>月</w:t>
      </w:r>
    </w:p>
    <w:p>
      <w:pPr>
        <w:jc w:val="center"/>
        <w:rPr>
          <w:rFonts w:hint="eastAsia" w:ascii="宋体" w:hAnsi="宋体" w:cs="宋体"/>
          <w:b/>
          <w:color w:val="auto"/>
          <w:sz w:val="52"/>
          <w:szCs w:val="52"/>
          <w:highlight w:val="none"/>
        </w:rPr>
        <w:sectPr>
          <w:headerReference r:id="rId5" w:type="first"/>
          <w:headerReference r:id="rId3" w:type="default"/>
          <w:headerReference r:id="rId4" w:type="even"/>
          <w:footerReference r:id="rId6" w:type="even"/>
          <w:pgSz w:w="11906" w:h="16838"/>
          <w:pgMar w:top="1474" w:right="1797" w:bottom="1247" w:left="1797" w:header="851" w:footer="851" w:gutter="0"/>
          <w:pgNumType w:start="2"/>
          <w:cols w:space="720" w:num="1"/>
          <w:titlePg/>
          <w:docGrid w:linePitch="312" w:charSpace="0"/>
        </w:sectPr>
      </w:pPr>
    </w:p>
    <w:p>
      <w:pPr>
        <w:snapToGrid w:val="0"/>
        <w:spacing w:line="480" w:lineRule="auto"/>
        <w:rPr>
          <w:rFonts w:hint="eastAsia" w:ascii="宋体" w:hAnsi="宋体" w:cs="宋体"/>
          <w:b/>
          <w:color w:val="auto"/>
          <w:sz w:val="52"/>
          <w:szCs w:val="52"/>
          <w:highlight w:val="none"/>
        </w:rPr>
        <w:sectPr>
          <w:pgSz w:w="11906" w:h="16838"/>
          <w:pgMar w:top="1474" w:right="1797" w:bottom="1247" w:left="1797" w:header="851" w:footer="851" w:gutter="0"/>
          <w:pgNumType w:start="2"/>
          <w:cols w:space="720" w:num="1"/>
          <w:titlePg/>
          <w:docGrid w:linePitch="312" w:charSpace="0"/>
        </w:sectPr>
      </w:pPr>
    </w:p>
    <w:p>
      <w:pPr>
        <w:snapToGrid w:val="0"/>
        <w:spacing w:line="480" w:lineRule="auto"/>
        <w:jc w:val="center"/>
        <w:rPr>
          <w:rFonts w:hint="eastAsia" w:ascii="宋体" w:hAnsi="宋体" w:cs="宋体"/>
          <w:color w:val="auto"/>
          <w:sz w:val="30"/>
          <w:szCs w:val="20"/>
          <w:highlight w:val="none"/>
        </w:rPr>
      </w:pPr>
      <w:r>
        <w:rPr>
          <w:rFonts w:hint="eastAsia" w:ascii="宋体" w:hAnsi="宋体" w:cs="宋体"/>
          <w:b/>
          <w:color w:val="auto"/>
          <w:sz w:val="52"/>
          <w:szCs w:val="52"/>
          <w:highlight w:val="none"/>
        </w:rPr>
        <w:t>目    录</w:t>
      </w:r>
    </w:p>
    <w:p>
      <w:pPr>
        <w:pStyle w:val="32"/>
        <w:tabs>
          <w:tab w:val="right" w:leader="dot" w:pos="8302"/>
        </w:tabs>
        <w:spacing w:line="480" w:lineRule="auto"/>
        <w:rPr>
          <w:rFonts w:hint="eastAsia" w:ascii="宋体" w:hAnsi="宋体" w:cs="宋体"/>
          <w:color w:val="auto"/>
          <w:sz w:val="36"/>
          <w:szCs w:val="36"/>
          <w:highlight w:val="none"/>
        </w:rPr>
      </w:pPr>
    </w:p>
    <w:p>
      <w:pPr>
        <w:pStyle w:val="32"/>
        <w:tabs>
          <w:tab w:val="right" w:leader="dot" w:pos="8312"/>
        </w:tabs>
        <w:spacing w:line="360" w:lineRule="auto"/>
        <w:rPr>
          <w:rFonts w:hint="eastAsia" w:ascii="宋体" w:hAnsi="宋体" w:eastAsia="宋体" w:cs="宋体"/>
          <w:color w:val="auto"/>
          <w:sz w:val="32"/>
          <w:szCs w:val="32"/>
          <w:highlight w:val="none"/>
        </w:rPr>
      </w:pPr>
      <w:r>
        <w:rPr>
          <w:rFonts w:hint="eastAsia" w:ascii="宋体" w:hAnsi="宋体" w:cs="宋体"/>
          <w:color w:val="auto"/>
          <w:sz w:val="52"/>
          <w:szCs w:val="52"/>
          <w:highlight w:val="none"/>
        </w:rPr>
        <w:fldChar w:fldCharType="begin"/>
      </w:r>
      <w:r>
        <w:rPr>
          <w:rFonts w:hint="eastAsia" w:ascii="宋体" w:hAnsi="宋体" w:cs="宋体"/>
          <w:color w:val="auto"/>
          <w:sz w:val="52"/>
          <w:szCs w:val="52"/>
          <w:highlight w:val="none"/>
        </w:rPr>
        <w:instrText xml:space="preserve">TOC \o "1-1" \h \u </w:instrText>
      </w:r>
      <w:r>
        <w:rPr>
          <w:rFonts w:hint="eastAsia" w:ascii="宋体" w:hAnsi="宋体" w:cs="宋体"/>
          <w:color w:val="auto"/>
          <w:sz w:val="52"/>
          <w:szCs w:val="5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_Toc1870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第一章  公开招标公告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_Toc1870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2"/>
        <w:tabs>
          <w:tab w:val="right" w:leader="dot" w:pos="8312"/>
        </w:tabs>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_Toc1416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第二章  采购需求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_Toc1416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2"/>
        <w:tabs>
          <w:tab w:val="right" w:leader="dot" w:pos="8312"/>
        </w:tabs>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_Toc19030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第三章  供应商须知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_Toc19030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2"/>
        <w:tabs>
          <w:tab w:val="right" w:leader="dot" w:pos="8312"/>
        </w:tabs>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_Toc28333 </w:instrText>
      </w:r>
      <w:r>
        <w:rPr>
          <w:rFonts w:hint="eastAsia" w:ascii="宋体" w:hAnsi="宋体" w:eastAsia="宋体" w:cs="宋体"/>
          <w:color w:val="auto"/>
          <w:sz w:val="32"/>
          <w:szCs w:val="32"/>
          <w:highlight w:val="none"/>
        </w:rPr>
        <w:fldChar w:fldCharType="separate"/>
      </w:r>
      <w:r>
        <w:rPr>
          <w:rFonts w:hint="eastAsia" w:ascii="宋体" w:hAnsi="宋体" w:eastAsia="宋体" w:cs="宋体"/>
          <w:bCs/>
          <w:color w:val="auto"/>
          <w:sz w:val="32"/>
          <w:szCs w:val="32"/>
          <w:highlight w:val="none"/>
        </w:rPr>
        <w:t>第四章  评标办法及评分标准</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_Toc28333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24</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2"/>
        <w:tabs>
          <w:tab w:val="right" w:leader="dot" w:pos="8312"/>
        </w:tabs>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_Toc21974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第五章  政府采购合同主要条款</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_Toc21974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2"/>
        <w:tabs>
          <w:tab w:val="right" w:leader="dot" w:pos="8312"/>
        </w:tabs>
        <w:spacing w:line="360" w:lineRule="auto"/>
        <w:rPr>
          <w:color w:val="auto"/>
          <w:sz w:val="32"/>
          <w:szCs w:val="40"/>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_Toc24192 </w:instrText>
      </w:r>
      <w:r>
        <w:rPr>
          <w:rFonts w:hint="eastAsia" w:ascii="宋体" w:hAnsi="宋体" w:eastAsia="宋体" w:cs="宋体"/>
          <w:color w:val="auto"/>
          <w:sz w:val="32"/>
          <w:szCs w:val="32"/>
          <w:highlight w:val="none"/>
        </w:rPr>
        <w:fldChar w:fldCharType="separate"/>
      </w:r>
      <w:r>
        <w:rPr>
          <w:rFonts w:hint="eastAsia" w:ascii="宋体" w:hAnsi="宋体" w:eastAsia="宋体" w:cs="宋体"/>
          <w:bCs/>
          <w:color w:val="auto"/>
          <w:sz w:val="32"/>
          <w:szCs w:val="32"/>
          <w:highlight w:val="none"/>
        </w:rPr>
        <w:t xml:space="preserve">第六章 </w:t>
      </w:r>
      <w:r>
        <w:rPr>
          <w:rFonts w:hint="eastAsia" w:ascii="宋体" w:hAnsi="宋体" w:eastAsia="宋体" w:cs="宋体"/>
          <w:bCs/>
          <w:color w:val="auto"/>
          <w:sz w:val="32"/>
          <w:szCs w:val="32"/>
          <w:highlight w:val="none"/>
          <w:lang w:val="en-US" w:eastAsia="zh-CN"/>
        </w:rPr>
        <w:t xml:space="preserve"> </w:t>
      </w:r>
      <w:r>
        <w:rPr>
          <w:rFonts w:hint="eastAsia" w:ascii="宋体" w:hAnsi="宋体" w:eastAsia="宋体" w:cs="宋体"/>
          <w:bCs/>
          <w:color w:val="auto"/>
          <w:sz w:val="32"/>
          <w:szCs w:val="32"/>
          <w:highlight w:val="none"/>
        </w:rPr>
        <w:t>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_Toc24192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37</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spacing w:line="360" w:lineRule="auto"/>
        <w:rPr>
          <w:rFonts w:hint="eastAsia" w:ascii="宋体" w:hAnsi="宋体" w:cs="宋体"/>
          <w:color w:val="auto"/>
          <w:sz w:val="36"/>
          <w:szCs w:val="36"/>
          <w:highlight w:val="none"/>
        </w:rPr>
      </w:pPr>
      <w:r>
        <w:rPr>
          <w:rFonts w:hint="eastAsia" w:ascii="宋体" w:hAnsi="宋体" w:cs="宋体"/>
          <w:color w:val="auto"/>
          <w:sz w:val="32"/>
          <w:szCs w:val="52"/>
          <w:highlight w:val="none"/>
        </w:rPr>
        <w:fldChar w:fldCharType="end"/>
      </w:r>
    </w:p>
    <w:p>
      <w:pPr>
        <w:pStyle w:val="25"/>
        <w:snapToGrid w:val="0"/>
        <w:spacing w:before="0" w:beforeLines="0" w:after="0" w:afterLines="0" w:line="360" w:lineRule="auto"/>
        <w:rPr>
          <w:rFonts w:hAnsi="宋体" w:cs="宋体"/>
          <w:b/>
          <w:color w:val="auto"/>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25"/>
        <w:snapToGrid w:val="0"/>
        <w:spacing w:before="0" w:beforeLines="0" w:after="0" w:afterLines="0" w:line="360" w:lineRule="auto"/>
        <w:jc w:val="center"/>
        <w:outlineLvl w:val="0"/>
        <w:rPr>
          <w:rFonts w:hAnsi="宋体" w:cs="宋体"/>
          <w:b/>
          <w:color w:val="auto"/>
          <w:sz w:val="32"/>
          <w:szCs w:val="32"/>
          <w:highlight w:val="none"/>
        </w:rPr>
      </w:pPr>
      <w:bookmarkStart w:id="0" w:name="_Toc14924"/>
      <w:bookmarkStart w:id="1" w:name="_Toc1870"/>
      <w:r>
        <w:rPr>
          <w:rFonts w:hAnsi="宋体" w:cs="宋体"/>
          <w:b/>
          <w:color w:val="auto"/>
          <w:sz w:val="32"/>
          <w:szCs w:val="32"/>
          <w:highlight w:val="none"/>
        </w:rPr>
        <w:t xml:space="preserve">第一章  </w:t>
      </w:r>
      <w:bookmarkEnd w:id="0"/>
      <w:r>
        <w:rPr>
          <w:rFonts w:hAnsi="宋体" w:cs="宋体"/>
          <w:b/>
          <w:color w:val="auto"/>
          <w:sz w:val="32"/>
          <w:szCs w:val="32"/>
          <w:highlight w:val="none"/>
        </w:rPr>
        <w:t>公开招标公告</w:t>
      </w:r>
      <w:bookmarkEnd w:id="1"/>
    </w:p>
    <w:p>
      <w:pPr>
        <w:pStyle w:val="25"/>
        <w:snapToGrid w:val="0"/>
        <w:spacing w:before="0" w:beforeLines="0" w:after="0" w:afterLines="0" w:line="360" w:lineRule="auto"/>
        <w:jc w:val="center"/>
        <w:outlineLvl w:val="0"/>
        <w:rPr>
          <w:rFonts w:hAnsi="宋体" w:cs="宋体"/>
          <w:b/>
          <w:color w:val="auto"/>
          <w:sz w:val="32"/>
          <w:szCs w:val="32"/>
          <w:highlight w:val="none"/>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940" w:type="dxa"/>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项目概况：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海曙区石碶街道办事处社会治安动态视频监控运维项目</w:t>
            </w:r>
            <w:r>
              <w:rPr>
                <w:rFonts w:hint="eastAsia" w:ascii="宋体" w:hAnsi="宋体" w:cs="宋体"/>
                <w:color w:val="auto"/>
                <w:szCs w:val="21"/>
                <w:highlight w:val="none"/>
                <w:u w:val="single"/>
              </w:rPr>
              <w:t>）</w:t>
            </w:r>
            <w:r>
              <w:rPr>
                <w:rFonts w:hint="eastAsia" w:ascii="宋体" w:hAnsi="宋体" w:cs="宋体"/>
                <w:color w:val="auto"/>
                <w:szCs w:val="21"/>
                <w:highlight w:val="none"/>
              </w:rPr>
              <w:t>招标项目的潜在</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应在政府采购云平台</w:t>
            </w:r>
            <w:r>
              <w:rPr>
                <w:rFonts w:hint="eastAsia" w:ascii="宋体" w:hAnsi="宋体" w:cs="宋体"/>
                <w:color w:val="auto"/>
                <w:szCs w:val="21"/>
                <w:highlight w:val="none"/>
                <w:u w:val="single"/>
              </w:rPr>
              <w:t>（www.zcygov.cn）</w:t>
            </w:r>
            <w:r>
              <w:rPr>
                <w:rFonts w:hint="eastAsia" w:ascii="宋体" w:hAnsi="宋体" w:cs="宋体"/>
                <w:color w:val="auto"/>
                <w:szCs w:val="21"/>
                <w:highlight w:val="none"/>
              </w:rPr>
              <w:t>获取（下载）采购文件，并于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14</w:t>
            </w:r>
            <w:r>
              <w:rPr>
                <w:rFonts w:hint="eastAsia" w:ascii="宋体" w:hAnsi="宋体" w:cs="宋体"/>
                <w:bCs/>
                <w:color w:val="auto"/>
                <w:szCs w:val="21"/>
                <w:highlight w:val="none"/>
                <w:u w:val="single"/>
              </w:rPr>
              <w:t>：</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（北京时间）</w:t>
            </w:r>
            <w:r>
              <w:rPr>
                <w:rFonts w:hint="eastAsia" w:ascii="宋体" w:hAnsi="宋体" w:cs="宋体"/>
                <w:bCs/>
                <w:color w:val="auto"/>
                <w:szCs w:val="21"/>
                <w:highlight w:val="none"/>
              </w:rPr>
              <w:t>前递交（上传）投标文件</w:t>
            </w:r>
            <w:r>
              <w:rPr>
                <w:rFonts w:hint="eastAsia" w:ascii="宋体" w:hAnsi="宋体" w:cs="宋体"/>
                <w:color w:val="auto"/>
                <w:szCs w:val="21"/>
                <w:highlight w:val="none"/>
              </w:rPr>
              <w:t>。</w:t>
            </w:r>
          </w:p>
        </w:tc>
      </w:tr>
    </w:tbl>
    <w:p>
      <w:pPr>
        <w:pStyle w:val="5"/>
        <w:spacing w:before="0" w:after="0" w:line="360" w:lineRule="auto"/>
        <w:rPr>
          <w:rFonts w:hint="eastAsia" w:ascii="宋体" w:hAnsi="宋体" w:eastAsia="宋体" w:cs="宋体"/>
          <w:bCs w:val="0"/>
          <w:color w:val="auto"/>
          <w:sz w:val="21"/>
          <w:szCs w:val="21"/>
          <w:highlight w:val="none"/>
        </w:rPr>
      </w:pPr>
      <w:bookmarkStart w:id="2" w:name="_Toc28359079"/>
      <w:bookmarkStart w:id="3" w:name="_Toc35393621"/>
      <w:bookmarkStart w:id="4" w:name="_Toc28359002"/>
      <w:bookmarkStart w:id="5" w:name="_Toc35393790"/>
      <w:bookmarkStart w:id="6" w:name="_Hlk24379207"/>
      <w:r>
        <w:rPr>
          <w:rFonts w:hint="eastAsia" w:ascii="宋体" w:hAnsi="宋体" w:eastAsia="宋体" w:cs="宋体"/>
          <w:bCs w:val="0"/>
          <w:color w:val="auto"/>
          <w:sz w:val="21"/>
          <w:szCs w:val="21"/>
          <w:highlight w:val="none"/>
        </w:rPr>
        <w:t>一、项目基本情况</w:t>
      </w:r>
      <w:bookmarkEnd w:id="2"/>
      <w:bookmarkEnd w:id="3"/>
      <w:bookmarkEnd w:id="4"/>
      <w:bookmarkEnd w:id="5"/>
    </w:p>
    <w:p>
      <w:pPr>
        <w:spacing w:line="360" w:lineRule="auto"/>
        <w:ind w:firstLine="420" w:firstLineChars="200"/>
        <w:rPr>
          <w:rFonts w:hint="default" w:ascii="宋体" w:hAnsi="宋体" w:cs="宋体"/>
          <w:color w:val="auto"/>
          <w:szCs w:val="21"/>
          <w:highlight w:val="none"/>
          <w:lang w:val="en-US"/>
        </w:rPr>
      </w:pPr>
      <w:r>
        <w:rPr>
          <w:rFonts w:hint="eastAsia" w:ascii="宋体" w:hAnsi="宋体" w:cs="宋体"/>
          <w:color w:val="auto"/>
          <w:szCs w:val="21"/>
          <w:highlight w:val="none"/>
        </w:rPr>
        <w:t>1.项目编号：202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NBHS</w:t>
      </w:r>
      <w:r>
        <w:rPr>
          <w:rFonts w:hint="eastAsia" w:ascii="宋体" w:hAnsi="宋体" w:cs="宋体"/>
          <w:color w:val="auto"/>
          <w:szCs w:val="21"/>
          <w:highlight w:val="none"/>
          <w:lang w:eastAsia="zh-CN"/>
        </w:rPr>
        <w:t>WT</w:t>
      </w:r>
      <w:r>
        <w:rPr>
          <w:rFonts w:hint="eastAsia" w:ascii="宋体" w:hAnsi="宋体" w:cs="宋体"/>
          <w:color w:val="auto"/>
          <w:szCs w:val="21"/>
          <w:highlight w:val="none"/>
          <w:lang w:val="en-US" w:eastAsia="zh-CN"/>
        </w:rPr>
        <w:t>023</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2.项目名称：</w:t>
      </w:r>
      <w:r>
        <w:rPr>
          <w:rFonts w:hint="eastAsia" w:ascii="宋体" w:hAnsi="宋体" w:cs="宋体"/>
          <w:color w:val="auto"/>
          <w:szCs w:val="21"/>
          <w:highlight w:val="none"/>
          <w:lang w:val="en-US" w:eastAsia="zh-CN"/>
        </w:rPr>
        <w:t>海曙区石碶街道办事处社会治安动态视频监控运维项目</w:t>
      </w:r>
    </w:p>
    <w:bookmarkEnd w:id="6"/>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3.预算金额（元）：</w:t>
      </w:r>
      <w:r>
        <w:rPr>
          <w:rFonts w:hint="eastAsia" w:ascii="宋体" w:hAnsi="宋体" w:cs="宋体"/>
          <w:color w:val="auto"/>
          <w:szCs w:val="21"/>
          <w:highlight w:val="none"/>
          <w:lang w:val="en-US" w:eastAsia="zh-CN"/>
        </w:rPr>
        <w:t>15891430</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4.最高限价（元）：</w:t>
      </w:r>
      <w:r>
        <w:rPr>
          <w:rFonts w:hint="eastAsia" w:ascii="宋体" w:hAnsi="宋体" w:cs="宋体"/>
          <w:color w:val="auto"/>
          <w:szCs w:val="21"/>
          <w:highlight w:val="none"/>
          <w:lang w:val="en-US" w:eastAsia="zh-CN"/>
        </w:rPr>
        <w:t>15891430</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5.采购需求：</w:t>
      </w:r>
    </w:p>
    <w:p>
      <w:pPr>
        <w:spacing w:line="360" w:lineRule="auto"/>
        <w:ind w:left="210" w:leftChars="10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标项名称</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海曙区石碶街道办事处社会治安动态视频监控运维</w:t>
      </w:r>
    </w:p>
    <w:p>
      <w:pPr>
        <w:spacing w:line="360" w:lineRule="auto"/>
        <w:ind w:left="210" w:leftChars="100"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数量</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1项</w:t>
      </w:r>
    </w:p>
    <w:p>
      <w:pPr>
        <w:spacing w:line="360" w:lineRule="auto"/>
        <w:ind w:left="210" w:leftChars="100"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预算金额（元）:</w:t>
      </w:r>
      <w:r>
        <w:rPr>
          <w:rFonts w:hint="eastAsia" w:ascii="宋体" w:hAnsi="宋体" w:cs="宋体"/>
          <w:color w:val="auto"/>
          <w:szCs w:val="21"/>
          <w:highlight w:val="none"/>
          <w:lang w:val="en-US" w:eastAsia="zh-CN"/>
        </w:rPr>
        <w:t>15891430</w:t>
      </w:r>
    </w:p>
    <w:p>
      <w:pPr>
        <w:spacing w:line="360" w:lineRule="auto"/>
        <w:ind w:left="210" w:leftChars="100" w:firstLine="420" w:firstLineChars="200"/>
        <w:rPr>
          <w:rFonts w:hint="eastAsia" w:ascii="宋体" w:hAnsi="宋体" w:eastAsia="宋体" w:cs="宋体"/>
          <w:color w:val="auto"/>
          <w:highlight w:val="none"/>
        </w:rPr>
      </w:pPr>
      <w:r>
        <w:rPr>
          <w:rFonts w:hint="eastAsia" w:ascii="宋体" w:hAnsi="宋体" w:cs="宋体"/>
          <w:color w:val="auto"/>
          <w:szCs w:val="21"/>
          <w:highlight w:val="none"/>
        </w:rPr>
        <w:t>简要规格描述或项目基本概况介</w:t>
      </w:r>
      <w:r>
        <w:rPr>
          <w:rFonts w:hint="eastAsia" w:ascii="宋体" w:hAnsi="宋体" w:eastAsia="宋体" w:cs="宋体"/>
          <w:color w:val="auto"/>
          <w:highlight w:val="none"/>
        </w:rPr>
        <w:t>绍、用途：本次运维视频点位共计</w:t>
      </w:r>
      <w:r>
        <w:rPr>
          <w:rFonts w:hint="eastAsia" w:ascii="宋体" w:hAnsi="宋体" w:eastAsia="宋体" w:cs="宋体"/>
          <w:color w:val="auto"/>
          <w:highlight w:val="none"/>
          <w:lang w:val="en-US" w:eastAsia="zh-CN"/>
        </w:rPr>
        <w:t>729</w:t>
      </w:r>
      <w:r>
        <w:rPr>
          <w:rFonts w:hint="eastAsia" w:ascii="宋体" w:hAnsi="宋体" w:eastAsia="宋体" w:cs="宋体"/>
          <w:color w:val="auto"/>
          <w:highlight w:val="none"/>
        </w:rPr>
        <w:t>个</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以实际运维点为准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，范围覆盖石碶街道辖区内重点监控单位、区域、道路和小区。运维涉及的内容包括前后端设施的五年运维服务（包括摄像机、传输设备及后端的服务器、存储等）</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具体</w:t>
      </w:r>
      <w:r>
        <w:rPr>
          <w:rFonts w:hint="eastAsia" w:ascii="宋体" w:hAnsi="宋体" w:eastAsia="宋体" w:cs="宋体"/>
          <w:color w:val="auto"/>
          <w:highlight w:val="none"/>
        </w:rPr>
        <w:t>详见招标文件《第二章 采购需求》。</w:t>
      </w:r>
    </w:p>
    <w:p>
      <w:pPr>
        <w:spacing w:line="360" w:lineRule="auto"/>
        <w:ind w:left="210" w:leftChars="10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备注：</w:t>
      </w:r>
      <w:r>
        <w:rPr>
          <w:rFonts w:hint="eastAsia" w:ascii="宋体" w:hAnsi="宋体" w:eastAsia="宋体" w:cs="宋体"/>
          <w:color w:val="auto"/>
          <w:highlight w:val="none"/>
          <w:lang w:val="en-US" w:eastAsia="zh-CN"/>
        </w:rPr>
        <w:t>/。</w:t>
      </w:r>
    </w:p>
    <w:p>
      <w:pPr>
        <w:spacing w:line="360" w:lineRule="auto"/>
        <w:ind w:firstLine="420" w:firstLineChars="200"/>
        <w:rPr>
          <w:rFonts w:hint="default" w:ascii="宋体" w:hAnsi="宋体" w:cs="宋体"/>
          <w:color w:val="auto"/>
          <w:szCs w:val="21"/>
          <w:highlight w:val="none"/>
          <w:u w:val="single"/>
          <w:lang w:val="en-US"/>
        </w:rPr>
      </w:pPr>
      <w:r>
        <w:rPr>
          <w:rFonts w:hint="eastAsia" w:ascii="宋体" w:hAnsi="宋体" w:cs="宋体"/>
          <w:color w:val="auto"/>
          <w:szCs w:val="21"/>
          <w:highlight w:val="none"/>
        </w:rPr>
        <w:t>6.合同履行期限：</w:t>
      </w:r>
      <w:r>
        <w:rPr>
          <w:rFonts w:hint="eastAsia"/>
          <w:color w:val="auto"/>
          <w:highlight w:val="none"/>
          <w:lang w:eastAsia="zh-CN"/>
        </w:rPr>
        <w:t>合同签订</w:t>
      </w:r>
      <w:r>
        <w:rPr>
          <w:rFonts w:hint="eastAsia"/>
          <w:color w:val="auto"/>
          <w:highlight w:val="none"/>
          <w:lang w:val="en-US" w:eastAsia="zh-CN"/>
        </w:rPr>
        <w:t>之日起至五年（其中项目一期运维至2026年12月31日，项目二期运维至2027年5月31日）</w:t>
      </w:r>
      <w:r>
        <w:rPr>
          <w:rFonts w:hint="eastAsia" w:ascii="宋体" w:hAnsi="宋体" w:eastAsia="宋体" w:cs="宋体"/>
          <w:i w:val="0"/>
          <w:iCs w:val="0"/>
          <w:color w:val="auto"/>
          <w:sz w:val="21"/>
          <w:szCs w:val="21"/>
          <w:highlight w:val="none"/>
          <w:lang w:val="en-US" w:eastAsia="zh-CN"/>
        </w:rPr>
        <w:t>，合同一年一签。</w:t>
      </w:r>
      <w:r>
        <w:rPr>
          <w:rFonts w:hint="eastAsia" w:ascii="宋体" w:hAnsi="宋体" w:cs="宋体"/>
          <w:color w:val="auto"/>
          <w:szCs w:val="21"/>
          <w:highlight w:val="none"/>
        </w:rPr>
        <w:t>采购人根据中标人在合同履约期内</w:t>
      </w:r>
      <w:r>
        <w:rPr>
          <w:rFonts w:hint="eastAsia" w:ascii="宋体" w:hAnsi="宋体" w:cs="宋体"/>
          <w:color w:val="auto"/>
          <w:szCs w:val="21"/>
          <w:highlight w:val="none"/>
          <w:lang w:eastAsia="zh-CN"/>
        </w:rPr>
        <w:t>的</w:t>
      </w:r>
      <w:r>
        <w:rPr>
          <w:rFonts w:hint="eastAsia" w:ascii="宋体" w:hAnsi="宋体" w:cs="宋体"/>
          <w:color w:val="auto"/>
          <w:szCs w:val="21"/>
          <w:highlight w:val="none"/>
        </w:rPr>
        <w:t>履约情况决定是否续签。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7.本项目</w:t>
      </w:r>
      <w:r>
        <w:rPr>
          <w:rFonts w:hint="eastAsia" w:ascii="宋体" w:hAnsi="宋体" w:cs="宋体"/>
          <w:color w:val="auto"/>
          <w:szCs w:val="21"/>
          <w:highlight w:val="none"/>
          <w:lang w:val="en-US" w:eastAsia="zh-CN"/>
        </w:rPr>
        <w:t>（否）</w:t>
      </w:r>
      <w:r>
        <w:rPr>
          <w:rFonts w:hint="eastAsia" w:ascii="宋体" w:hAnsi="宋体" w:cs="宋体"/>
          <w:color w:val="auto"/>
          <w:szCs w:val="21"/>
          <w:highlight w:val="none"/>
        </w:rPr>
        <w:t>接受联合体投标。</w:t>
      </w:r>
    </w:p>
    <w:p>
      <w:pPr>
        <w:pStyle w:val="5"/>
        <w:spacing w:before="0" w:after="0" w:line="360" w:lineRule="auto"/>
        <w:rPr>
          <w:rFonts w:hint="eastAsia" w:ascii="宋体" w:hAnsi="宋体" w:eastAsia="宋体" w:cs="宋体"/>
          <w:bCs w:val="0"/>
          <w:color w:val="auto"/>
          <w:sz w:val="21"/>
          <w:szCs w:val="21"/>
          <w:highlight w:val="none"/>
        </w:rPr>
      </w:pPr>
      <w:bookmarkStart w:id="7" w:name="_Toc35393622"/>
      <w:bookmarkStart w:id="8" w:name="_Toc35393791"/>
      <w:bookmarkStart w:id="9" w:name="_Toc28359080"/>
      <w:bookmarkStart w:id="10" w:name="_Toc28359003"/>
      <w:r>
        <w:rPr>
          <w:rFonts w:hint="eastAsia" w:ascii="宋体" w:hAnsi="宋体" w:eastAsia="宋体" w:cs="宋体"/>
          <w:bCs w:val="0"/>
          <w:color w:val="auto"/>
          <w:sz w:val="21"/>
          <w:szCs w:val="21"/>
          <w:highlight w:val="none"/>
        </w:rPr>
        <w:t>二、申请人的资格要求：</w:t>
      </w:r>
      <w:bookmarkEnd w:id="7"/>
      <w:bookmarkEnd w:id="8"/>
      <w:bookmarkEnd w:id="9"/>
      <w:bookmarkEnd w:id="10"/>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cs="宋体"/>
          <w:color w:val="auto"/>
          <w:szCs w:val="21"/>
          <w:highlight w:val="none"/>
        </w:rPr>
      </w:pPr>
      <w:bookmarkStart w:id="11" w:name="_Toc28359004"/>
      <w:bookmarkStart w:id="12" w:name="_Toc28359081"/>
      <w:r>
        <w:rPr>
          <w:rFonts w:hint="eastAsia" w:ascii="宋体" w:hAnsi="宋体" w:cs="宋体"/>
          <w:color w:val="auto"/>
          <w:szCs w:val="21"/>
          <w:highlight w:val="none"/>
        </w:rPr>
        <w:t>2.落实政府采购政策需满足的资格要求：无。</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color w:val="auto"/>
          <w:szCs w:val="21"/>
          <w:highlight w:val="none"/>
        </w:rPr>
        <w:t>3.本项目的特定资格要求：</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供应商</w:t>
      </w:r>
      <w:r>
        <w:rPr>
          <w:rFonts w:hint="eastAsia" w:ascii="宋体" w:hAnsi="宋体" w:cs="宋体"/>
          <w:color w:val="auto"/>
          <w:szCs w:val="21"/>
          <w:highlight w:val="none"/>
          <w:lang w:val="en-US" w:eastAsia="zh-CN"/>
        </w:rPr>
        <w:t>须提供政府采购领域商业贿赂行为承诺书</w:t>
      </w:r>
      <w:r>
        <w:rPr>
          <w:rFonts w:hint="eastAsia" w:ascii="宋体" w:hAnsi="宋体" w:cs="宋体"/>
          <w:color w:val="auto"/>
          <w:szCs w:val="21"/>
          <w:highlight w:val="none"/>
        </w:rPr>
        <w:t>（投标文件中须提供《政府采购领域商业贿赂行为承诺书》，详见投标文件格式）。</w:t>
      </w:r>
    </w:p>
    <w:p>
      <w:pPr>
        <w:pStyle w:val="5"/>
        <w:spacing w:before="0" w:after="0" w:line="360" w:lineRule="auto"/>
        <w:rPr>
          <w:rFonts w:hint="eastAsia" w:ascii="宋体" w:hAnsi="宋体" w:eastAsia="宋体" w:cs="宋体"/>
          <w:bCs w:val="0"/>
          <w:color w:val="auto"/>
          <w:sz w:val="21"/>
          <w:szCs w:val="21"/>
          <w:highlight w:val="none"/>
        </w:rPr>
      </w:pPr>
      <w:bookmarkStart w:id="13" w:name="_Toc35393792"/>
      <w:bookmarkStart w:id="14" w:name="_Toc35393623"/>
      <w:r>
        <w:rPr>
          <w:rFonts w:hint="eastAsia" w:ascii="宋体" w:hAnsi="宋体" w:eastAsia="宋体" w:cs="宋体"/>
          <w:bCs w:val="0"/>
          <w:color w:val="auto"/>
          <w:sz w:val="21"/>
          <w:szCs w:val="21"/>
          <w:highlight w:val="none"/>
        </w:rPr>
        <w:t>三、获取</w:t>
      </w:r>
      <w:bookmarkEnd w:id="11"/>
      <w:bookmarkEnd w:id="12"/>
      <w:bookmarkEnd w:id="13"/>
      <w:bookmarkEnd w:id="14"/>
      <w:r>
        <w:rPr>
          <w:rFonts w:hint="eastAsia" w:ascii="宋体" w:hAnsi="宋体" w:eastAsia="宋体" w:cs="宋体"/>
          <w:bCs w:val="0"/>
          <w:color w:val="auto"/>
          <w:sz w:val="21"/>
          <w:szCs w:val="21"/>
          <w:highlight w:val="none"/>
        </w:rPr>
        <w:t>采购文件</w:t>
      </w:r>
    </w:p>
    <w:p>
      <w:pPr>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21</w:t>
      </w:r>
      <w:r>
        <w:rPr>
          <w:rFonts w:hint="eastAsia" w:ascii="宋体" w:hAnsi="宋体" w:cs="宋体"/>
          <w:bCs/>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03</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line="360" w:lineRule="auto"/>
        <w:ind w:firstLine="540"/>
        <w:rPr>
          <w:rFonts w:hint="eastAsia" w:ascii="宋体" w:hAnsi="宋体" w:cs="宋体"/>
          <w:color w:val="auto"/>
          <w:szCs w:val="21"/>
          <w:highlight w:val="none"/>
          <w:u w:val="single"/>
        </w:rPr>
      </w:pPr>
      <w:r>
        <w:rPr>
          <w:rFonts w:hint="eastAsia" w:ascii="宋体" w:hAnsi="宋体" w:cs="宋体"/>
          <w:color w:val="auto"/>
          <w:szCs w:val="21"/>
          <w:highlight w:val="none"/>
        </w:rPr>
        <w:t>2.地点（网址）：政府采购云平台（www.zcygov.cn）。</w:t>
      </w:r>
    </w:p>
    <w:p>
      <w:pPr>
        <w:spacing w:line="360" w:lineRule="auto"/>
        <w:ind w:firstLine="540"/>
        <w:rPr>
          <w:rFonts w:hint="eastAsia" w:ascii="宋体" w:hAnsi="宋体" w:cs="宋体"/>
          <w:color w:val="auto"/>
          <w:szCs w:val="21"/>
          <w:highlight w:val="none"/>
          <w:u w:val="single"/>
        </w:rPr>
      </w:pPr>
      <w:r>
        <w:rPr>
          <w:rFonts w:hint="eastAsia" w:ascii="宋体" w:hAnsi="宋体" w:cs="宋体"/>
          <w:color w:val="auto"/>
          <w:szCs w:val="21"/>
          <w:highlight w:val="none"/>
        </w:rPr>
        <w:t>3.方式：供应商注册后直接</w:t>
      </w:r>
      <w:r>
        <w:rPr>
          <w:rFonts w:hint="eastAsia" w:ascii="宋体" w:hAnsi="宋体" w:cs="宋体"/>
          <w:color w:val="auto"/>
          <w:szCs w:val="21"/>
          <w:highlight w:val="none"/>
          <w:lang w:eastAsia="zh-CN"/>
        </w:rPr>
        <w:t>登录</w:t>
      </w:r>
      <w:r>
        <w:rPr>
          <w:rFonts w:hint="eastAsia" w:ascii="宋体" w:hAnsi="宋体" w:cs="宋体"/>
          <w:color w:val="auto"/>
          <w:szCs w:val="21"/>
          <w:highlight w:val="none"/>
        </w:rPr>
        <w:t>“政府采购云平台”（www.zcygov.cn）下载电子</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。供应商未在规定时间内或未按上述方式获取</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文件的，其投标无效。</w:t>
      </w:r>
    </w:p>
    <w:p>
      <w:pPr>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4.售价（元）：0</w:t>
      </w:r>
    </w:p>
    <w:p>
      <w:pPr>
        <w:pStyle w:val="5"/>
        <w:spacing w:before="0" w:after="0" w:line="360" w:lineRule="auto"/>
        <w:rPr>
          <w:rFonts w:hint="eastAsia" w:ascii="宋体" w:hAnsi="宋体" w:eastAsia="宋体" w:cs="宋体"/>
          <w:bCs w:val="0"/>
          <w:color w:val="auto"/>
          <w:sz w:val="21"/>
          <w:szCs w:val="21"/>
          <w:highlight w:val="none"/>
        </w:rPr>
      </w:pPr>
      <w:bookmarkStart w:id="15" w:name="_Toc28359005"/>
      <w:bookmarkStart w:id="16" w:name="_Toc28359082"/>
      <w:bookmarkStart w:id="17" w:name="_Toc35393793"/>
      <w:bookmarkStart w:id="18" w:name="_Toc35393624"/>
      <w:r>
        <w:rPr>
          <w:rFonts w:hint="eastAsia" w:ascii="宋体" w:hAnsi="宋体" w:eastAsia="宋体" w:cs="宋体"/>
          <w:bCs w:val="0"/>
          <w:color w:val="auto"/>
          <w:sz w:val="21"/>
          <w:szCs w:val="21"/>
          <w:highlight w:val="none"/>
        </w:rPr>
        <w:t>四、提交投标文件</w:t>
      </w:r>
      <w:bookmarkEnd w:id="15"/>
      <w:bookmarkEnd w:id="16"/>
      <w:r>
        <w:rPr>
          <w:rFonts w:hint="eastAsia" w:ascii="宋体" w:hAnsi="宋体" w:eastAsia="宋体" w:cs="宋体"/>
          <w:bCs w:val="0"/>
          <w:color w:val="auto"/>
          <w:sz w:val="21"/>
          <w:szCs w:val="21"/>
          <w:highlight w:val="none"/>
        </w:rPr>
        <w:t>截止时间、开标时间和地点</w:t>
      </w:r>
      <w:bookmarkEnd w:id="17"/>
      <w:bookmarkEnd w:id="18"/>
    </w:p>
    <w:p>
      <w:pPr>
        <w:spacing w:line="336" w:lineRule="auto"/>
        <w:ind w:firstLine="540"/>
        <w:rPr>
          <w:rFonts w:hint="eastAsia" w:ascii="宋体" w:hAnsi="宋体" w:cs="宋体"/>
          <w:color w:val="auto"/>
          <w:szCs w:val="21"/>
          <w:highlight w:val="none"/>
        </w:rPr>
      </w:pPr>
      <w:r>
        <w:rPr>
          <w:rFonts w:hint="eastAsia" w:ascii="宋体" w:hAnsi="宋体" w:cs="宋体"/>
          <w:color w:val="auto"/>
          <w:szCs w:val="21"/>
          <w:highlight w:val="none"/>
        </w:rPr>
        <w:t>1.提交投标文件截止时间：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04</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 xml:space="preserve">00 </w:t>
      </w:r>
      <w:r>
        <w:rPr>
          <w:rFonts w:hint="eastAsia" w:ascii="宋体" w:hAnsi="宋体" w:cs="宋体"/>
          <w:color w:val="auto"/>
          <w:szCs w:val="21"/>
          <w:highlight w:val="none"/>
        </w:rPr>
        <w:t>（北京时间）。</w:t>
      </w:r>
    </w:p>
    <w:p>
      <w:pPr>
        <w:spacing w:line="336" w:lineRule="auto"/>
        <w:ind w:firstLine="540"/>
        <w:rPr>
          <w:rFonts w:hint="eastAsia" w:ascii="宋体" w:hAnsi="宋体" w:cs="宋体"/>
          <w:color w:val="auto"/>
          <w:szCs w:val="21"/>
          <w:highlight w:val="none"/>
        </w:rPr>
      </w:pPr>
      <w:r>
        <w:rPr>
          <w:rFonts w:hint="eastAsia" w:ascii="宋体" w:hAnsi="宋体" w:cs="宋体"/>
          <w:color w:val="auto"/>
          <w:szCs w:val="21"/>
          <w:highlight w:val="none"/>
        </w:rPr>
        <w:t>2.投标地点（网址）：</w:t>
      </w:r>
      <w:r>
        <w:rPr>
          <w:rFonts w:hint="eastAsia" w:ascii="宋体" w:hAnsi="宋体" w:cs="宋体"/>
          <w:color w:val="auto"/>
          <w:szCs w:val="21"/>
          <w:highlight w:val="none"/>
          <w:u w:val="single"/>
        </w:rPr>
        <w:t>政府采购云平台（www.zcygov.cn）。</w:t>
      </w:r>
    </w:p>
    <w:p>
      <w:pPr>
        <w:spacing w:line="336" w:lineRule="auto"/>
        <w:ind w:firstLine="540"/>
        <w:rPr>
          <w:rFonts w:ascii="宋体" w:hAnsi="宋体" w:cs="宋体"/>
          <w:color w:val="auto"/>
          <w:szCs w:val="21"/>
          <w:highlight w:val="none"/>
        </w:rPr>
      </w:pPr>
      <w:r>
        <w:rPr>
          <w:rFonts w:hint="eastAsia" w:ascii="宋体" w:hAnsi="宋体" w:cs="宋体"/>
          <w:color w:val="auto"/>
          <w:szCs w:val="21"/>
          <w:highlight w:val="none"/>
        </w:rPr>
        <w:t>3.开标时间：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 xml:space="preserve">04月11日14：00   </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 xml:space="preserve"> </w:t>
      </w:r>
    </w:p>
    <w:p>
      <w:pPr>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4.开标地点（网址）：</w:t>
      </w:r>
      <w:r>
        <w:rPr>
          <w:rFonts w:hint="eastAsia" w:ascii="宋体" w:hAnsi="宋体" w:cs="宋体"/>
          <w:color w:val="auto"/>
          <w:szCs w:val="21"/>
          <w:highlight w:val="none"/>
          <w:u w:val="single"/>
        </w:rPr>
        <w:t>政府采购云平台（www.zcygov.cn）。</w:t>
      </w:r>
    </w:p>
    <w:p>
      <w:pPr>
        <w:pStyle w:val="5"/>
        <w:spacing w:before="0" w:after="0" w:line="360" w:lineRule="auto"/>
        <w:rPr>
          <w:rFonts w:hint="eastAsia" w:ascii="宋体" w:hAnsi="宋体" w:eastAsia="宋体" w:cs="宋体"/>
          <w:bCs w:val="0"/>
          <w:color w:val="auto"/>
          <w:sz w:val="21"/>
          <w:szCs w:val="21"/>
          <w:highlight w:val="none"/>
        </w:rPr>
      </w:pPr>
      <w:bookmarkStart w:id="19" w:name="_Toc28359007"/>
      <w:bookmarkStart w:id="20" w:name="_Toc35393794"/>
      <w:bookmarkStart w:id="21" w:name="_Toc35393625"/>
      <w:bookmarkStart w:id="22" w:name="_Toc28359084"/>
      <w:r>
        <w:rPr>
          <w:rFonts w:hint="eastAsia" w:ascii="宋体" w:hAnsi="宋体" w:eastAsia="宋体" w:cs="宋体"/>
          <w:bCs w:val="0"/>
          <w:color w:val="auto"/>
          <w:sz w:val="21"/>
          <w:szCs w:val="21"/>
          <w:highlight w:val="none"/>
        </w:rPr>
        <w:t>五、公告期限</w:t>
      </w:r>
      <w:bookmarkEnd w:id="19"/>
      <w:bookmarkEnd w:id="20"/>
      <w:bookmarkEnd w:id="21"/>
      <w:bookmarkEnd w:id="22"/>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5"/>
        <w:spacing w:before="0" w:after="0" w:line="360" w:lineRule="auto"/>
        <w:rPr>
          <w:rFonts w:hint="eastAsia" w:ascii="宋体" w:hAnsi="宋体" w:eastAsia="宋体" w:cs="宋体"/>
          <w:bCs w:val="0"/>
          <w:color w:val="auto"/>
          <w:sz w:val="21"/>
          <w:szCs w:val="21"/>
          <w:highlight w:val="none"/>
        </w:rPr>
      </w:pPr>
      <w:bookmarkStart w:id="23" w:name="_Toc35393795"/>
      <w:bookmarkStart w:id="24" w:name="_Toc35393626"/>
      <w:r>
        <w:rPr>
          <w:rFonts w:hint="eastAsia" w:ascii="宋体" w:hAnsi="宋体" w:eastAsia="宋体" w:cs="宋体"/>
          <w:bCs w:val="0"/>
          <w:color w:val="auto"/>
          <w:sz w:val="21"/>
          <w:szCs w:val="21"/>
          <w:highlight w:val="none"/>
        </w:rPr>
        <w:t>六、其他补充事宜</w:t>
      </w:r>
      <w:bookmarkEnd w:id="23"/>
      <w:bookmarkEnd w:id="24"/>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2.其他事项：</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2.1落实的政策：</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2.1.1对小微企业的产品给予价格优惠（监狱企业、残疾人福利性单位视同小微企业；残疾人福利性单位属于小型、微型企业的，不重复享受政策）；</w:t>
      </w:r>
    </w:p>
    <w:p>
      <w:pPr>
        <w:widowControl/>
        <w:spacing w:line="336"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eastAsia="宋体" w:cs="宋体"/>
          <w:i w:val="0"/>
          <w:caps w:val="0"/>
          <w:color w:val="auto"/>
          <w:spacing w:val="0"/>
          <w:sz w:val="21"/>
          <w:szCs w:val="21"/>
          <w:highlight w:val="none"/>
          <w:lang w:val="en-US" w:eastAsia="zh-CN"/>
        </w:rPr>
        <w:t>2.1.2扶持不发达地区和少数民族地区；</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投标与开标注意事项</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.1本项目实行网上投标，采用电子投标文件。若供应商参与投标，自行承担投标一切费用。</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.2标前准备：因未办理CA数字证书等原因造成无法投标或投标失败等后果由供应商自行承担。</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.3投标文件制作：</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.3.1应按照本项目</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和政府采购云平台的要求编制、加密并递交投标文件。供应商在使用系统进行投标的过程中遇到涉及平台使用的任何问题，可致电政府采购云平台技术支持热线咨询，联系方式：400-8817190。</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.3.2供应商通过政府采购云平台电子投标工具制作投标文件，电子投标工具请供应商自行前往浙江政府采购网下载并安装，投标文件制作具体流程详见政府采购云平台。</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.3.3以U盘存储的电子备份投标文件1份，按政府采购云平台要求</w:t>
      </w:r>
      <w:r>
        <w:rPr>
          <w:rFonts w:hint="eastAsia" w:ascii="宋体" w:hAnsi="宋体" w:cs="宋体"/>
          <w:color w:val="auto"/>
          <w:szCs w:val="21"/>
          <w:highlight w:val="none"/>
        </w:rPr>
        <w:t>制作的电子备份文件</w:t>
      </w:r>
      <w:r>
        <w:rPr>
          <w:rFonts w:hint="eastAsia" w:ascii="宋体" w:hAnsi="宋体" w:cs="宋体"/>
          <w:color w:val="auto"/>
          <w:kern w:val="0"/>
          <w:szCs w:val="21"/>
          <w:highlight w:val="none"/>
        </w:rPr>
        <w:t>，以用于异常情况处理。</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.3.4本项目供应商仍应准备纸质投标文件。当电子开评标无法正常进行时，即转为线下评标。若在此种情况下，由于供应商未提交纸质投标文件而导致该供应商放弃投标，由供应商自行承担。</w:t>
      </w:r>
    </w:p>
    <w:p>
      <w:pPr>
        <w:snapToGrid w:val="0"/>
        <w:spacing w:line="360" w:lineRule="auto"/>
        <w:ind w:firstLine="420"/>
        <w:rPr>
          <w:rFonts w:hint="eastAsia" w:ascii="宋体" w:hAnsi="宋体" w:cs="宋体"/>
          <w:bCs/>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本招标公告附件中的</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仅供阅览使用，供应商应在规定的</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获取期限内在政采云平台登录供应商注册的账号后获取</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，未按上述方式获取</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的，不得对</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提起质疑投诉。</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供应商应于投标截止时间前将电子投标文件上传到政府采购云平台www.zcygov.cn，未上传电子投标文件，视为供应商放弃投标。</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供应商如提供备份投标文件的，应于提交投标文件截止时间前，将以U盘存储的电子备份投标文件和纸质备份投标文件分别密封，递交至宁波市海曙区公共资源交易中心二楼开标室（一）（南门上，宁波市海曙区气象路58号），逾期送达或未密封将予以拒收。供应商仅提供备份投标文件（包括以U盘存储的电子备份投标文件或纸质备份投标文件）的，投标无效。</w:t>
      </w:r>
    </w:p>
    <w:p>
      <w:pPr>
        <w:widowControl/>
        <w:spacing w:line="336"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采购代理机构将在招标文件规定的开标时间通过政府采购云平台组织开标、开启投标文件，所有供应商均应准时在线参加。开标时间后</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0分钟内供应商可以登录政府采购云平台www.zcygov.cn，用“项目采购</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开标评标”功能进行解密投标文件。</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供应商</w:t>
      </w:r>
      <w:r>
        <w:rPr>
          <w:rFonts w:hint="eastAsia" w:ascii="宋体" w:hAnsi="宋体" w:cs="宋体"/>
          <w:color w:val="auto"/>
          <w:szCs w:val="21"/>
          <w:highlight w:val="none"/>
        </w:rPr>
        <w:t>可采用邮寄（含快递）方式或现场方式</w:t>
      </w:r>
      <w:r>
        <w:rPr>
          <w:rFonts w:hint="eastAsia" w:ascii="宋体" w:hAnsi="宋体" w:cs="宋体"/>
          <w:color w:val="auto"/>
          <w:kern w:val="0"/>
          <w:szCs w:val="21"/>
          <w:highlight w:val="none"/>
        </w:rPr>
        <w:t>递交备份投标文件。</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.1采用邮寄方式递交备份投标文件，需按以下要求递交：</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拟在202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04</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日16:00（含）前到件的邮寄地址为：宁波市鄞州区天童南路666号中基大厦19楼业务六部；</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拟在202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04</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日16:00之后，202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04</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00</w:t>
      </w:r>
      <w:r>
        <w:rPr>
          <w:rFonts w:hint="eastAsia" w:ascii="宋体" w:hAnsi="宋体" w:cs="宋体"/>
          <w:color w:val="auto"/>
          <w:kern w:val="0"/>
          <w:szCs w:val="21"/>
          <w:highlight w:val="none"/>
        </w:rPr>
        <w:t>之前到件的邮寄地址为：宁波市海曙区公共资源交易中心二楼开标室</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（南门上，宁波市海曙区气象路58号）；</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收件人：王莹巧   联系方式：13777044592</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请各供应商确保密封包装在邮寄过程密封包装完好，因邮寄过程的密封破损造成不符合开标要求的，本采购代理及采购人概不负责。</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.2采用现场方式送达备份投标文件，需按以下要求递交：</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所有供应商可安排相关人员（原则上不超过一名）在投标截止时间前将备份投标文件送至宁波市海曙区公共资源交易中心二楼开标室</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（南门上，宁波市海曙区气象路58号）。投标文件递交时需同时递交供应商的法定代表人（或其委托代理人）联系方式，并保证开标期间联系方式的畅通。</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如本项目改为线下评标，供应商须在纸质备份投标文件（资格文件）中提供（1）指定作出澄清、说明或补正的电子邮箱、传真号码；（2）法定代表人或授权代表的微信号。评审过程中有关澄清、说明或者补正，采购代理机构将通过以下电子邮箱进行收发。</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电子邮箱：</w:t>
      </w:r>
      <w:r>
        <w:rPr>
          <w:rFonts w:hint="eastAsia" w:ascii="宋体" w:hAnsi="宋体" w:cs="宋体"/>
          <w:color w:val="auto"/>
          <w:kern w:val="0"/>
          <w:szCs w:val="21"/>
          <w:highlight w:val="none"/>
          <w:lang w:val="en-US" w:eastAsia="zh-CN"/>
        </w:rPr>
        <w:t>252497428</w:t>
      </w:r>
      <w:r>
        <w:rPr>
          <w:rFonts w:hint="eastAsia" w:ascii="宋体" w:hAnsi="宋体" w:cs="宋体"/>
          <w:color w:val="auto"/>
          <w:kern w:val="0"/>
          <w:szCs w:val="21"/>
          <w:highlight w:val="none"/>
        </w:rPr>
        <w:t>@qq.com</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9投标人员</w:t>
      </w:r>
      <w:r>
        <w:rPr>
          <w:rFonts w:hint="eastAsia" w:ascii="宋体" w:hAnsi="宋体" w:cs="宋体"/>
          <w:color w:val="auto"/>
          <w:kern w:val="0"/>
          <w:szCs w:val="21"/>
          <w:highlight w:val="none"/>
        </w:rPr>
        <w:t>须做好佩戴口罩、手套等防护措施，自觉接受体温检测、接受防疫询问，并如实报告相关情况。</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en-US" w:eastAsia="zh-CN"/>
        </w:rPr>
        <w:t>0投标人员</w:t>
      </w:r>
      <w:r>
        <w:rPr>
          <w:rFonts w:hint="eastAsia" w:ascii="宋体" w:hAnsi="宋体" w:cs="宋体"/>
          <w:color w:val="auto"/>
          <w:kern w:val="0"/>
          <w:szCs w:val="21"/>
          <w:highlight w:val="none"/>
        </w:rPr>
        <w:t>还需配合做好疫情防控“五个一律”：一律全面消毒、一律体温检测、一律承诺登记、一律按序办事、一律服从管理。</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如投标截止时间前疫情解除，上述第2.</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条内容废止。</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肺炎防疫期间，请各供应商遵守宁波市海曙区公共资源交易中心各项防疫措施规定。</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本公告发布媒体：浙江省公共资源交易服务平台（zjpubservice.zjzwfw.gov.cn/index.html?citycode=3300）、中国政府采购网（http://www.ccgp.gov.cn）、浙江政府采购网（www.zjzfcg.gov.cn）、宁波政府采购(www.nbzfcg.cn)、宁波公共资源交易网海曙区分网（http://haishu.nbggzy.cn/）、宁波中基国际招标有限公司网（www.cbbidding.com）。</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2.1</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海曙区“政采贷”助力中小企业金融服务，有需要的中标（成交）供应商请于网站http://bidding.ningbo.gov.cn/tzgg/360383.jhtml办理具体业务。</w:t>
      </w:r>
    </w:p>
    <w:p>
      <w:pPr>
        <w:pStyle w:val="5"/>
        <w:spacing w:before="0" w:after="0" w:line="360" w:lineRule="auto"/>
        <w:rPr>
          <w:rFonts w:hint="eastAsia" w:ascii="宋体" w:hAnsi="宋体" w:eastAsia="宋体" w:cs="宋体"/>
          <w:bCs w:val="0"/>
          <w:color w:val="auto"/>
          <w:sz w:val="21"/>
          <w:szCs w:val="21"/>
          <w:highlight w:val="none"/>
        </w:rPr>
      </w:pPr>
      <w:bookmarkStart w:id="25" w:name="_Toc28359008"/>
      <w:bookmarkStart w:id="26" w:name="_Toc35393627"/>
      <w:bookmarkStart w:id="27" w:name="_Toc28359085"/>
      <w:bookmarkStart w:id="28" w:name="_Toc35393796"/>
      <w:r>
        <w:rPr>
          <w:rFonts w:hint="eastAsia" w:ascii="宋体" w:hAnsi="宋体" w:eastAsia="宋体" w:cs="宋体"/>
          <w:bCs w:val="0"/>
          <w:color w:val="auto"/>
          <w:sz w:val="21"/>
          <w:szCs w:val="21"/>
          <w:highlight w:val="none"/>
        </w:rPr>
        <w:t>七、对本次招标提出询问</w:t>
      </w:r>
      <w:r>
        <w:rPr>
          <w:rFonts w:hint="eastAsia" w:ascii="宋体" w:hAnsi="宋体" w:eastAsia="宋体" w:cs="宋体"/>
          <w:bCs w:val="0"/>
          <w:color w:val="auto"/>
          <w:sz w:val="21"/>
          <w:szCs w:val="21"/>
          <w:highlight w:val="none"/>
        </w:rPr>
        <w:t>、质疑、投诉</w:t>
      </w:r>
      <w:r>
        <w:rPr>
          <w:rFonts w:hint="eastAsia" w:ascii="宋体" w:hAnsi="宋体" w:eastAsia="宋体" w:cs="宋体"/>
          <w:bCs w:val="0"/>
          <w:color w:val="auto"/>
          <w:sz w:val="21"/>
          <w:szCs w:val="21"/>
          <w:highlight w:val="none"/>
        </w:rPr>
        <w:t>，请按以下方式联系。</w:t>
      </w:r>
      <w:bookmarkEnd w:id="25"/>
      <w:bookmarkEnd w:id="26"/>
      <w:bookmarkEnd w:id="27"/>
      <w:bookmarkEnd w:id="28"/>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1.采购人信息</w:t>
      </w:r>
    </w:p>
    <w:p>
      <w:pPr>
        <w:spacing w:line="336" w:lineRule="auto"/>
        <w:ind w:firstLine="630" w:firstLineChars="3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名    称：</w:t>
      </w:r>
      <w:r>
        <w:rPr>
          <w:rFonts w:hint="eastAsia" w:ascii="宋体" w:hAnsi="宋体" w:cs="宋体"/>
          <w:color w:val="auto"/>
          <w:kern w:val="0"/>
          <w:szCs w:val="21"/>
          <w:highlight w:val="none"/>
          <w:lang w:eastAsia="zh-CN"/>
        </w:rPr>
        <w:t>宁波市海曙区人民政府石碶街道办事处</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地    址：</w:t>
      </w:r>
      <w:r>
        <w:rPr>
          <w:rFonts w:hint="eastAsia" w:ascii="宋体" w:hAnsi="宋体" w:cs="Tahoma"/>
          <w:color w:val="auto"/>
          <w:szCs w:val="21"/>
          <w:highlight w:val="none"/>
        </w:rPr>
        <w:t>宁波海曙区鄞奉路934号</w:t>
      </w:r>
      <w:r>
        <w:rPr>
          <w:rFonts w:hint="eastAsia" w:ascii="宋体" w:hAnsi="宋体" w:eastAsia="宋体" w:cs="宋体"/>
          <w:i w:val="0"/>
          <w:iCs w:val="0"/>
          <w:color w:val="auto"/>
          <w:sz w:val="21"/>
          <w:szCs w:val="21"/>
          <w:highlight w:val="none"/>
          <w:u w:val="none"/>
          <w:lang w:val="en-US" w:eastAsia="zh-CN"/>
        </w:rPr>
        <w:t xml:space="preserve"> </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传    真：/</w:t>
      </w:r>
    </w:p>
    <w:p>
      <w:pPr>
        <w:spacing w:line="336" w:lineRule="auto"/>
        <w:ind w:firstLine="630" w:firstLineChars="3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项目联系人（询问）：</w:t>
      </w:r>
      <w:r>
        <w:rPr>
          <w:rFonts w:hint="eastAsia" w:ascii="宋体" w:hAnsi="宋体" w:cs="宋体"/>
          <w:color w:val="auto"/>
          <w:kern w:val="0"/>
          <w:szCs w:val="21"/>
          <w:highlight w:val="none"/>
          <w:lang w:val="en-US" w:eastAsia="zh-CN"/>
        </w:rPr>
        <w:t xml:space="preserve"> 方老师</w:t>
      </w:r>
    </w:p>
    <w:p>
      <w:pPr>
        <w:spacing w:line="336" w:lineRule="auto"/>
        <w:ind w:firstLine="630" w:firstLineChars="3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项目联系方式（询问）：0574-</w:t>
      </w:r>
      <w:r>
        <w:rPr>
          <w:rFonts w:hint="eastAsia" w:ascii="宋体" w:hAnsi="宋体" w:cs="宋体"/>
          <w:color w:val="auto"/>
          <w:kern w:val="0"/>
          <w:szCs w:val="21"/>
          <w:highlight w:val="none"/>
          <w:lang w:val="en-US" w:eastAsia="zh-CN"/>
        </w:rPr>
        <w:t>88251766</w:t>
      </w:r>
    </w:p>
    <w:p>
      <w:pPr>
        <w:pageBreakBefore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质疑联系人：</w:t>
      </w:r>
      <w:r>
        <w:rPr>
          <w:rFonts w:hint="eastAsia" w:ascii="宋体" w:hAnsi="宋体" w:eastAsia="宋体" w:cs="宋体"/>
          <w:color w:val="auto"/>
          <w:sz w:val="21"/>
          <w:szCs w:val="21"/>
          <w:highlight w:val="none"/>
          <w:lang w:val="en-US" w:eastAsia="zh-CN"/>
        </w:rPr>
        <w:t>张老师</w:t>
      </w:r>
    </w:p>
    <w:p>
      <w:pPr>
        <w:pageBreakBefore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质疑联系方式：0574-</w:t>
      </w:r>
      <w:r>
        <w:rPr>
          <w:rFonts w:hint="eastAsia" w:ascii="宋体" w:hAnsi="宋体" w:eastAsia="宋体" w:cs="宋体"/>
          <w:color w:val="auto"/>
          <w:sz w:val="21"/>
          <w:szCs w:val="21"/>
          <w:highlight w:val="none"/>
          <w:lang w:val="en-US" w:eastAsia="zh-CN"/>
        </w:rPr>
        <w:t>88172965</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2.采购代理机构信息</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名    称：宁波中基国际招标有限公司</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地    址：宁波市鄞州区天童南路666号中基大厦19楼</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传    真：0574-87425373</w:t>
      </w:r>
    </w:p>
    <w:p>
      <w:pPr>
        <w:spacing w:line="336" w:lineRule="auto"/>
        <w:ind w:firstLine="630" w:firstLineChars="300"/>
        <w:rPr>
          <w:rFonts w:ascii="宋体" w:hAnsi="宋体" w:cs="宋体"/>
          <w:color w:val="auto"/>
          <w:kern w:val="0"/>
          <w:szCs w:val="21"/>
          <w:highlight w:val="none"/>
        </w:rPr>
      </w:pPr>
      <w:r>
        <w:rPr>
          <w:rFonts w:hint="eastAsia" w:ascii="宋体" w:hAnsi="宋体" w:cs="宋体"/>
          <w:color w:val="auto"/>
          <w:kern w:val="0"/>
          <w:szCs w:val="21"/>
          <w:highlight w:val="none"/>
        </w:rPr>
        <w:t>项目联系人（询问）：王莹巧</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孔晖、</w:t>
      </w:r>
      <w:r>
        <w:rPr>
          <w:rFonts w:hint="eastAsia" w:ascii="宋体" w:hAnsi="宋体" w:cs="宋体"/>
          <w:color w:val="auto"/>
          <w:kern w:val="0"/>
          <w:szCs w:val="21"/>
          <w:highlight w:val="none"/>
          <w:lang w:val="en-US" w:eastAsia="zh-CN"/>
        </w:rPr>
        <w:t>费凡</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张嘉城</w:t>
      </w:r>
      <w:r>
        <w:rPr>
          <w:rFonts w:hint="eastAsia" w:ascii="宋体" w:hAnsi="宋体" w:cs="宋体"/>
          <w:color w:val="auto"/>
          <w:kern w:val="0"/>
          <w:szCs w:val="21"/>
          <w:highlight w:val="none"/>
        </w:rPr>
        <w:t>、翁可欣</w:t>
      </w:r>
    </w:p>
    <w:p>
      <w:pPr>
        <w:spacing w:line="336" w:lineRule="auto"/>
        <w:ind w:firstLine="630" w:firstLineChars="3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项目联系方式（询问）：0574-87425</w:t>
      </w:r>
      <w:r>
        <w:rPr>
          <w:rFonts w:hint="eastAsia" w:ascii="宋体" w:hAnsi="宋体" w:cs="宋体"/>
          <w:color w:val="auto"/>
          <w:kern w:val="0"/>
          <w:szCs w:val="21"/>
          <w:highlight w:val="none"/>
          <w:lang w:val="en-US" w:eastAsia="zh-CN"/>
        </w:rPr>
        <w:t>583</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质疑联系人：周旭坤</w:t>
      </w:r>
    </w:p>
    <w:p>
      <w:pPr>
        <w:spacing w:line="336" w:lineRule="auto"/>
        <w:ind w:firstLine="630" w:firstLineChars="3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质疑联系方式：0574-8742</w:t>
      </w:r>
      <w:r>
        <w:rPr>
          <w:rFonts w:hint="eastAsia" w:ascii="宋体" w:hAnsi="宋体" w:cs="宋体"/>
          <w:color w:val="auto"/>
          <w:kern w:val="0"/>
          <w:szCs w:val="21"/>
          <w:highlight w:val="none"/>
          <w:lang w:val="en-US" w:eastAsia="zh-CN"/>
        </w:rPr>
        <w:t>6203</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3.同级政府采购监督管理部门：</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名    称：宁波市海曙区采购管理办公室             </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地    址：宁波市海曙区大梁街48号天之海大厦           </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传    真：/             </w:t>
      </w:r>
    </w:p>
    <w:p>
      <w:pPr>
        <w:spacing w:line="336" w:lineRule="auto"/>
        <w:ind w:firstLine="630" w:firstLineChars="3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联系人 ：邹老师             </w:t>
      </w:r>
    </w:p>
    <w:p>
      <w:pPr>
        <w:spacing w:line="336" w:lineRule="auto"/>
        <w:ind w:firstLine="630" w:firstLineChars="300"/>
        <w:rPr>
          <w:rFonts w:hint="eastAsia" w:ascii="宋体" w:hAnsi="宋体" w:cs="宋体"/>
          <w:color w:val="auto"/>
          <w:szCs w:val="21"/>
          <w:highlight w:val="none"/>
        </w:rPr>
      </w:pPr>
      <w:r>
        <w:rPr>
          <w:rFonts w:hint="eastAsia" w:ascii="宋体" w:hAnsi="宋体" w:cs="宋体"/>
          <w:color w:val="auto"/>
          <w:kern w:val="0"/>
          <w:szCs w:val="21"/>
          <w:highlight w:val="none"/>
        </w:rPr>
        <w:t>投诉电话：0574-87194482</w:t>
      </w:r>
      <w:r>
        <w:rPr>
          <w:rFonts w:hint="eastAsia" w:ascii="宋体" w:hAnsi="宋体" w:cs="宋体"/>
          <w:color w:val="auto"/>
          <w:szCs w:val="21"/>
          <w:highlight w:val="none"/>
        </w:rPr>
        <w:t xml:space="preserve"> </w:t>
      </w:r>
    </w:p>
    <w:p>
      <w:pPr>
        <w:spacing w:line="360" w:lineRule="auto"/>
        <w:rPr>
          <w:rFonts w:hint="eastAsia" w:ascii="宋体" w:hAnsi="宋体" w:cs="宋体"/>
          <w:color w:val="auto"/>
          <w:highlight w:val="none"/>
        </w:rPr>
      </w:pP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CA问题联系电话（人工）：汇信CA 400-888-4636；天谷CA 400-087-8198。</w:t>
      </w:r>
    </w:p>
    <w:p>
      <w:pPr>
        <w:spacing w:line="336" w:lineRule="auto"/>
        <w:jc w:val="center"/>
        <w:outlineLvl w:val="0"/>
        <w:rPr>
          <w:rFonts w:hAnsi="宋体" w:cs="宋体"/>
          <w:color w:val="auto"/>
          <w:sz w:val="32"/>
          <w:szCs w:val="32"/>
          <w:highlight w:val="none"/>
        </w:rPr>
      </w:pPr>
      <w:r>
        <w:rPr>
          <w:rFonts w:hAnsi="宋体" w:cs="宋体"/>
          <w:b/>
          <w:bCs/>
          <w:color w:val="auto"/>
          <w:sz w:val="32"/>
          <w:szCs w:val="32"/>
          <w:highlight w:val="none"/>
        </w:rPr>
        <w:br w:type="page"/>
      </w:r>
      <w:bookmarkStart w:id="29" w:name="_Toc1416"/>
      <w:r>
        <w:rPr>
          <w:rFonts w:hint="eastAsia" w:ascii="宋体" w:hAnsi="宋体" w:cs="宋体"/>
          <w:b/>
          <w:color w:val="auto"/>
          <w:sz w:val="32"/>
          <w:szCs w:val="32"/>
          <w:highlight w:val="none"/>
        </w:rPr>
        <w:t>第二章  采购需求</w:t>
      </w:r>
      <w:bookmarkEnd w:id="29"/>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前附表</w:t>
      </w:r>
    </w:p>
    <w:tbl>
      <w:tblPr>
        <w:tblStyle w:val="47"/>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318"/>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default" w:ascii="宋体" w:hAnsi="宋体" w:eastAsia="宋体" w:cs="宋体"/>
                <w:color w:val="auto"/>
                <w:szCs w:val="21"/>
                <w:highlight w:val="none"/>
                <w:lang w:val="en-US" w:eastAsia="zh-CN"/>
              </w:rPr>
            </w:pPr>
            <w:r>
              <w:rPr>
                <w:rFonts w:hint="eastAsia" w:ascii="宋体" w:hAnsi="宋体" w:eastAsia="宋体" w:cs="宋体"/>
                <w:bCs/>
                <w:color w:val="auto"/>
                <w:szCs w:val="21"/>
                <w:highlight w:val="none"/>
              </w:rPr>
              <w:t>详见</w:t>
            </w:r>
            <w:r>
              <w:rPr>
                <w:rFonts w:hint="eastAsia" w:ascii="宋体" w:hAnsi="宋体" w:cs="宋体"/>
                <w:color w:val="auto"/>
                <w:szCs w:val="21"/>
                <w:highlight w:val="none"/>
                <w:lang w:val="en-US" w:eastAsia="zh-CN"/>
              </w:rPr>
              <w:t>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单位及数量</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交付或者实施的时间和地点</w:t>
            </w:r>
          </w:p>
        </w:tc>
        <w:tc>
          <w:tcPr>
            <w:tcW w:w="5630"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szCs w:val="21"/>
                <w:highlight w:val="none"/>
              </w:rPr>
            </w:pPr>
            <w:r>
              <w:rPr>
                <w:rFonts w:hint="eastAsia" w:ascii="宋体" w:hAnsi="宋体" w:cs="宋体"/>
                <w:color w:val="auto"/>
                <w:szCs w:val="21"/>
                <w:highlight w:val="none"/>
              </w:rPr>
              <w:t>合同履行期限</w:t>
            </w:r>
            <w:r>
              <w:rPr>
                <w:rFonts w:hint="eastAsia" w:ascii="宋体" w:hAnsi="宋体" w:eastAsia="宋体" w:cs="宋体"/>
                <w:b w:val="0"/>
                <w:bCs w:val="0"/>
                <w:color w:val="auto"/>
                <w:szCs w:val="21"/>
                <w:highlight w:val="none"/>
              </w:rPr>
              <w:t>：详见第一章 《</w:t>
            </w:r>
            <w:r>
              <w:rPr>
                <w:rFonts w:hint="eastAsia" w:ascii="宋体" w:hAnsi="宋体" w:eastAsia="宋体" w:cs="宋体"/>
                <w:b w:val="0"/>
                <w:bCs w:val="0"/>
                <w:color w:val="auto"/>
                <w:szCs w:val="21"/>
                <w:highlight w:val="none"/>
                <w:lang w:eastAsia="zh-CN"/>
              </w:rPr>
              <w:t>公开招标公告</w:t>
            </w:r>
            <w:r>
              <w:rPr>
                <w:rFonts w:hint="eastAsia" w:ascii="宋体" w:hAnsi="宋体" w:eastAsia="宋体" w:cs="宋体"/>
                <w:b w:val="0"/>
                <w:bCs w:val="0"/>
                <w:color w:val="auto"/>
                <w:szCs w:val="21"/>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需实现的功能或者目标</w:t>
            </w:r>
          </w:p>
        </w:tc>
        <w:tc>
          <w:tcPr>
            <w:tcW w:w="56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执行的国家相关标准、行业标准、地方标准或者其它标准、规范</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技术规格要求</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物理特性要求</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质量、安全要求</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（1）质量要求：详见本章内容</w:t>
            </w:r>
            <w:r>
              <w:rPr>
                <w:rFonts w:hint="eastAsia" w:ascii="宋体" w:hAnsi="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验收标准</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0</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highlight w:val="none"/>
                <w:lang w:eastAsia="zh-CN"/>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演示时间及地点</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样品要求</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本项目的核心产品</w:t>
            </w:r>
          </w:p>
        </w:tc>
        <w:tc>
          <w:tcPr>
            <w:tcW w:w="5630"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bl>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color w:val="auto"/>
          <w:kern w:val="0"/>
          <w:szCs w:val="21"/>
          <w:highlight w:val="none"/>
        </w:rPr>
        <w:t>一、重要商务要求一览表</w:t>
      </w:r>
    </w:p>
    <w:tbl>
      <w:tblPr>
        <w:tblStyle w:val="47"/>
        <w:tblW w:w="87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3"/>
        <w:gridCol w:w="6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bookmarkStart w:id="30" w:name="_Toc513103337"/>
            <w:r>
              <w:rPr>
                <w:rFonts w:hint="eastAsia" w:ascii="宋体" w:hAnsi="宋体" w:eastAsia="宋体" w:cs="宋体"/>
                <w:b/>
                <w:bCs/>
                <w:color w:val="auto"/>
                <w:sz w:val="21"/>
                <w:szCs w:val="21"/>
                <w:highlight w:val="none"/>
              </w:rPr>
              <w:t>项目</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b/>
                <w:color w:val="auto"/>
                <w:kern w:val="0"/>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Cs w:val="21"/>
                <w:highlight w:val="none"/>
              </w:rPr>
              <w:t>合同履行期限</w:t>
            </w:r>
            <w:r>
              <w:rPr>
                <w:rFonts w:hint="eastAsia" w:ascii="宋体" w:hAnsi="宋体" w:eastAsia="宋体" w:cs="宋体"/>
                <w:color w:val="auto"/>
                <w:sz w:val="21"/>
                <w:szCs w:val="21"/>
                <w:highlight w:val="none"/>
                <w:lang w:eastAsia="zh-CN"/>
              </w:rPr>
              <w:t>及地点</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cs="宋体"/>
                <w:color w:val="auto"/>
                <w:szCs w:val="21"/>
                <w:highlight w:val="none"/>
              </w:rPr>
              <w:t>合同履行期限</w:t>
            </w:r>
            <w:r>
              <w:rPr>
                <w:rFonts w:hint="eastAsia" w:ascii="宋体" w:hAnsi="宋体" w:eastAsia="宋体" w:cs="宋体"/>
                <w:color w:val="auto"/>
                <w:sz w:val="21"/>
                <w:szCs w:val="21"/>
                <w:highlight w:val="none"/>
                <w:lang w:eastAsia="zh-CN"/>
              </w:rPr>
              <w:t>：详见第一章 《公开招标公告》。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w:t>
            </w:r>
            <w:r>
              <w:rPr>
                <w:rFonts w:hint="eastAsia" w:ascii="宋体" w:hAnsi="宋体" w:eastAsia="宋体" w:cs="宋体"/>
                <w:color w:val="auto"/>
                <w:sz w:val="21"/>
                <w:szCs w:val="21"/>
                <w:highlight w:val="none"/>
              </w:rPr>
              <w:t>2、付款方式</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本项目分5年支付，每年服务期开始后7个工作日内，支付该年度服务费（5年运维改造总费用的20%）。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cs="宋体"/>
                <w:b/>
                <w:color w:val="auto"/>
                <w:kern w:val="0"/>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、履约保证金</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履约保证金的收取及退还：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（1）履约保证金金额：</w:t>
            </w:r>
            <w:r>
              <w:rPr>
                <w:rFonts w:hint="eastAsia" w:ascii="宋体" w:hAnsi="宋体" w:eastAsia="宋体" w:cs="宋体"/>
                <w:color w:val="auto"/>
                <w:sz w:val="21"/>
                <w:szCs w:val="21"/>
                <w:highlight w:val="none"/>
                <w:lang w:val="en-US" w:eastAsia="zh-CN"/>
              </w:rPr>
              <w:t>年度合同金额的2.5</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（2）履约保证金形式：银行汇票（电汇）、银行保函、保险</w:t>
            </w:r>
            <w:r>
              <w:rPr>
                <w:rFonts w:hint="eastAsia" w:ascii="宋体" w:hAnsi="宋体" w:eastAsia="宋体" w:cs="宋体"/>
                <w:color w:val="auto"/>
                <w:sz w:val="21"/>
                <w:szCs w:val="21"/>
                <w:highlight w:val="none"/>
                <w:lang w:val="en-US" w:eastAsia="zh-CN"/>
              </w:rPr>
              <w:t>保单</w:t>
            </w:r>
            <w:r>
              <w:rPr>
                <w:rFonts w:hint="eastAsia" w:ascii="宋体" w:hAnsi="宋体" w:eastAsia="宋体" w:cs="宋体"/>
                <w:color w:val="auto"/>
                <w:sz w:val="21"/>
                <w:szCs w:val="21"/>
                <w:highlight w:val="none"/>
                <w:lang w:eastAsia="zh-CN"/>
              </w:rPr>
              <w:t>或支票（仅限于使用宁波大市区范围内的银行开具的支票）；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（3）履约保证金的退取：在</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履行完采购合同约定义务事项后及时退还。（如中标人未能履行合同规定的任何义务，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人有权从履约保证金</w:t>
            </w:r>
            <w:r>
              <w:rPr>
                <w:rFonts w:hint="eastAsia" w:ascii="宋体" w:hAnsi="宋体" w:eastAsia="宋体" w:cs="宋体"/>
                <w:color w:val="auto"/>
                <w:sz w:val="21"/>
                <w:szCs w:val="21"/>
                <w:highlight w:val="none"/>
                <w:lang w:val="en-US" w:eastAsia="zh-CN"/>
              </w:rPr>
              <w:t>中优先扣除应由中标人承担的违约金、赔偿金以及所有与合同履行相关的费用，履约保证金扣除后，中标人应于三日内补足</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cs="宋体"/>
                <w:b/>
                <w:color w:val="auto"/>
                <w:kern w:val="0"/>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质保期及</w:t>
            </w:r>
            <w:r>
              <w:rPr>
                <w:rFonts w:hint="eastAsia" w:ascii="宋体" w:hAnsi="宋体" w:cs="宋体"/>
                <w:color w:val="auto"/>
                <w:szCs w:val="21"/>
                <w:highlight w:val="none"/>
              </w:rPr>
              <w:t>备品备件要求</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质保期：</w:t>
            </w:r>
            <w:r>
              <w:rPr>
                <w:rFonts w:hint="eastAsia"/>
                <w:color w:val="auto"/>
                <w:highlight w:val="none"/>
                <w:lang w:val="en-US" w:eastAsia="zh-CN"/>
              </w:rPr>
              <w:t>设备到货经采购人签收</w:t>
            </w:r>
            <w:r>
              <w:rPr>
                <w:rFonts w:hint="eastAsia" w:ascii="宋体" w:hAnsi="宋体" w:cs="宋体"/>
                <w:color w:val="auto"/>
                <w:sz w:val="21"/>
                <w:szCs w:val="21"/>
                <w:highlight w:val="none"/>
                <w:lang w:val="en-US" w:eastAsia="zh-CN"/>
              </w:rPr>
              <w:t>后1年。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免费提供运维服务期内备品备件；供应商对各种易损的设备须提供足够的备品备件、附件和耗材并保证是原厂生产，以满足设备正常运行的需要。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、培训要求</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中标人应详细制定人员培训方案，包括培训目的、培训内容、培训时间安排、人数、次数等。培训费用包括在投标报价中。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、技术支持和售后服务要求</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）供应商应根据采购人的需求，对所提供的系统保证全面、有效、及时的技术支持和运营维护服务。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）应提供的伴随服务：安装、调试、验收、培训、服务期内系统的运行及维护保养等一切服务。供应商应在投标文件中详细说明技术服务的范围和程序。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）中标人应对提交的系统提供运维服务期限内的系统升级及维护服务。在此期间如果中标人推出新的版本，如采购人认为必要，中标人应提供免费升级。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、质量保证</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中标人确保提供的货物完全是崭新产品。所提供货物质量必须符合国家相关标准，必须满足本次采购的要求，若所供货物经产品质量检测机构检测认定质量不合格，造成的损失和后果由该供应商负全责。</w:t>
            </w:r>
          </w:p>
        </w:tc>
      </w:tr>
      <w:bookmarkEnd w:id="30"/>
    </w:tbl>
    <w:p>
      <w:pPr>
        <w:numPr>
          <w:ilvl w:val="0"/>
          <w:numId w:val="7"/>
        </w:numPr>
        <w:rPr>
          <w:rFonts w:hint="eastAsia" w:ascii="宋体" w:hAnsi="宋体" w:cs="宋体"/>
          <w:b/>
          <w:color w:val="auto"/>
          <w:kern w:val="0"/>
          <w:szCs w:val="21"/>
          <w:highlight w:val="none"/>
        </w:rPr>
      </w:pPr>
      <w:r>
        <w:rPr>
          <w:rFonts w:hint="eastAsia" w:ascii="宋体" w:hAnsi="宋体" w:cs="宋体"/>
          <w:b/>
          <w:color w:val="auto"/>
          <w:kern w:val="0"/>
          <w:szCs w:val="21"/>
          <w:highlight w:val="none"/>
        </w:rPr>
        <w:t>技术需求</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31" w:name="OLE_LINK29"/>
      <w:bookmarkStart w:id="32" w:name="_Toc414365376"/>
      <w:bookmarkStart w:id="33" w:name="OLE_LINK28"/>
      <w:bookmarkStart w:id="34" w:name="_Toc480197871"/>
      <w:r>
        <w:rPr>
          <w:rFonts w:hint="eastAsia" w:ascii="宋体" w:hAnsi="宋体" w:eastAsia="宋体" w:cs="宋体"/>
          <w:b/>
          <w:bCs/>
          <w:color w:val="auto"/>
          <w:sz w:val="21"/>
          <w:highlight w:val="none"/>
          <w:lang w:val="en-US" w:eastAsia="zh-CN"/>
        </w:rPr>
        <w:t>2.1需求分析</w:t>
      </w:r>
      <w:bookmarkEnd w:id="31"/>
      <w:bookmarkEnd w:id="32"/>
      <w:bookmarkEnd w:id="33"/>
      <w:bookmarkEnd w:id="34"/>
      <w:bookmarkStart w:id="35" w:name="OLE_LINK42"/>
    </w:p>
    <w:bookmarkEnd w:id="35"/>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bookmarkStart w:id="36" w:name="_Toc414365382"/>
      <w:bookmarkEnd w:id="36"/>
      <w:bookmarkStart w:id="37" w:name="_Toc414259823"/>
      <w:bookmarkEnd w:id="37"/>
      <w:bookmarkStart w:id="38" w:name="_Toc414365379"/>
      <w:bookmarkEnd w:id="38"/>
      <w:bookmarkStart w:id="39" w:name="_Toc414365386"/>
      <w:bookmarkEnd w:id="39"/>
      <w:bookmarkStart w:id="40" w:name="_Toc414259819"/>
      <w:bookmarkEnd w:id="40"/>
      <w:bookmarkStart w:id="41" w:name="_Toc414259816"/>
      <w:bookmarkEnd w:id="41"/>
      <w:bookmarkStart w:id="42" w:name="_Toc427583154"/>
      <w:bookmarkStart w:id="43" w:name="_Toc480197879"/>
      <w:r>
        <w:rPr>
          <w:rFonts w:hint="eastAsia" w:ascii="宋体" w:hAnsi="宋体" w:eastAsia="宋体" w:cs="宋体"/>
          <w:color w:val="auto"/>
          <w:sz w:val="21"/>
          <w:highlight w:val="none"/>
          <w:lang w:val="en-US" w:eastAsia="zh-CN"/>
        </w:rPr>
        <w:t>海曙区石碶街道现有729个治安视频点位。</w:t>
      </w:r>
      <w:r>
        <w:rPr>
          <w:rStyle w:val="217"/>
          <w:rFonts w:hint="eastAsia" w:ascii="宋体" w:hAnsi="宋体" w:eastAsia="宋体" w:cs="仿宋_GB2312"/>
          <w:color w:val="auto"/>
          <w:sz w:val="21"/>
          <w:szCs w:val="21"/>
          <w:highlight w:val="none"/>
          <w:lang w:val="en-US" w:eastAsia="zh-CN"/>
        </w:rPr>
        <w:t>原有摄像机经多年使用，</w:t>
      </w:r>
      <w:r>
        <w:rPr>
          <w:rFonts w:hint="eastAsia" w:ascii="宋体" w:hAnsi="宋体" w:eastAsia="宋体" w:cs="宋体"/>
          <w:color w:val="auto"/>
          <w:sz w:val="21"/>
          <w:highlight w:val="none"/>
          <w:lang w:val="en-US" w:eastAsia="zh-CN"/>
        </w:rPr>
        <w:t>部分已出现老化，图像不清晰等问题；部分杆件也出现老化等问题；对应的平台、网络安全设备也是17年上线，设备老化、功能无法满足治安需求，需要进行更新。一期配置的8台24盘位网络视频存储服务器中总计192块硬盘有近一半不可用，相机回放视频存储不足30天，急需进行升级改造，从而保障石碶街道治安防控。</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2.2</w:t>
      </w:r>
      <w:bookmarkEnd w:id="42"/>
      <w:bookmarkEnd w:id="43"/>
      <w:r>
        <w:rPr>
          <w:rFonts w:hint="eastAsia" w:ascii="宋体" w:hAnsi="宋体" w:eastAsia="宋体" w:cs="仿宋_GB2312"/>
          <w:b/>
          <w:bCs/>
          <w:color w:val="auto"/>
          <w:sz w:val="21"/>
          <w:szCs w:val="21"/>
          <w:highlight w:val="none"/>
          <w:lang w:eastAsia="zh-CN"/>
        </w:rPr>
        <w:t>设计原则</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bookmarkStart w:id="44" w:name="_Toc480197880"/>
      <w:r>
        <w:rPr>
          <w:rFonts w:hint="eastAsia" w:ascii="宋体" w:hAnsi="宋体" w:eastAsia="宋体" w:cs="宋体"/>
          <w:color w:val="auto"/>
          <w:sz w:val="21"/>
          <w:highlight w:val="none"/>
          <w:lang w:val="en-US" w:eastAsia="zh-CN"/>
        </w:rPr>
        <w:t>视频监控系统联网项目设计遵循标准化、稳定性、安全性、可扩展性、易用性、先进性、经济性、兼容性等原则，并具体体现为：</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ascii="宋体"/>
          <w:color w:val="auto"/>
          <w:szCs w:val="21"/>
          <w:highlight w:val="none"/>
        </w:rPr>
      </w:pPr>
      <w:r>
        <w:rPr>
          <w:rFonts w:hint="eastAsia" w:ascii="宋体" w:hAnsi="宋体"/>
          <w:color w:val="auto"/>
          <w:szCs w:val="21"/>
          <w:highlight w:val="none"/>
        </w:rPr>
        <w:t>标准化原则</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产品均应严格遵循国际通用编解码算法和网络传输标准协议，可实现在网络系统上的图像传输和共享。</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稳定性原则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方案采用的核心设备均应采用嵌入式操作系统，具有任务单一、响应实时的特点，要求能24小时不间断稳定运行。</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安全性原则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视频数据通过互联网或专网接入监控中心，采取技术手段，保障数据传输的安全性，避免了超越权限范围的监看、控制、设置，有效避免非法操作。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可扩展性原则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考虑以后的扩展性，提供更灵活的系统组合，用户可根据需求灵活配置硬件数量。当系统需要变更监控点位、网络客户端数量时，只需增加相应独立的设备即可融入现有系统。</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易用性原则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主要硬件均应采用嵌入式设备，可以即插即用。任意开关机、意外掉电都不会影响系统正常运行。软件应采用人机界面良好的图形化界面，用户安装相应软件后就可实现智能控制，管理、操作、配置、检索都相当简便。</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先进性原则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系统采用的相关技术与产品应均为目前主流应用技术，并保有升级空间，保护用户投资的长期有效。</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经济性原则</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系统应充分利用现有的网络资源，满足用户需求，无须重新布线等投入。可充分利用前期安装的设备（摄像机、DVR等），保护客户的投资。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兼容性</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系统应兼容多种矩阵协议、云台控制协议、网络协议、传输方式等。</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2.3</w:t>
      </w:r>
      <w:bookmarkEnd w:id="44"/>
      <w:r>
        <w:rPr>
          <w:rFonts w:hint="eastAsia" w:ascii="宋体" w:hAnsi="宋体" w:eastAsia="宋体" w:cs="仿宋_GB2312"/>
          <w:b/>
          <w:bCs/>
          <w:color w:val="auto"/>
          <w:sz w:val="21"/>
          <w:szCs w:val="21"/>
          <w:highlight w:val="none"/>
          <w:lang w:eastAsia="zh-CN"/>
        </w:rPr>
        <w:t>建设</w:t>
      </w:r>
      <w:r>
        <w:rPr>
          <w:rFonts w:hint="eastAsia" w:ascii="宋体" w:hAnsi="宋体" w:eastAsia="宋体" w:cs="仿宋_GB2312"/>
          <w:b/>
          <w:bCs/>
          <w:color w:val="auto"/>
          <w:sz w:val="21"/>
          <w:szCs w:val="21"/>
          <w:highlight w:val="none"/>
          <w:lang w:val="en-US" w:eastAsia="zh-CN"/>
        </w:rPr>
        <w:t>内容</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bookmarkStart w:id="45" w:name="_Toc480197876"/>
      <w:bookmarkStart w:id="46" w:name="_Toc414365389"/>
      <w:r>
        <w:rPr>
          <w:rStyle w:val="217"/>
          <w:rFonts w:hint="eastAsia" w:ascii="宋体" w:hAnsi="宋体" w:eastAsia="宋体" w:cs="仿宋_GB2312"/>
          <w:color w:val="auto"/>
          <w:sz w:val="21"/>
          <w:szCs w:val="21"/>
          <w:highlight w:val="none"/>
        </w:rPr>
        <w:t>本次运维项目将对海曙区石碶街道现有视频点位以及配套存储和平台进行替换，替换内容如下：</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前端点位：</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一期和二期的枪型摄像机升级为400W像素人脸抓拍枪型摄像机和400W像素监控枪型摄像机。</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一期和二期的200W像素的球形摄像机升级为400W网络球型摄像机。（一、二期摄像头根据采购人要求全部更换完成）</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对于一期杆件，部分因使用年份长久已明显老化，需进行杆件和基础替换。对于本次更换杆件的点位配置数字智能设备箱。</w:t>
      </w:r>
    </w:p>
    <w:p>
      <w:pPr>
        <w:keepNext w:val="0"/>
        <w:keepLines w:val="0"/>
        <w:pageBreakBefore w:val="0"/>
        <w:wordWrap/>
        <w:topLinePunct w:val="0"/>
        <w:bidi w:val="0"/>
        <w:spacing w:beforeLines="0" w:afterLines="0" w:line="360" w:lineRule="auto"/>
        <w:ind w:firstLine="392" w:firstLineChars="187"/>
        <w:rPr>
          <w:rStyle w:val="217"/>
          <w:rFonts w:hint="default"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建设一套智能电控平台，实现点位勘察，进度管理，环境联动，智能运维，电气火灾（温度、短路、漏电、过载、过压）等功能，实现数据点位勘察，标准格式输出，设备智能统计，工程进度可视，智能车队考勤，智能项目运维，智能电气排查。管理/维护人员可以通过PC/APP实现查询点位勘察情况，调整点位勘察信息，工程进度信息，设备状态信息（摄像机，网络，供电，箱体等）。</w:t>
      </w:r>
      <w:r>
        <w:rPr>
          <w:rStyle w:val="217"/>
          <w:rFonts w:hint="eastAsia" w:ascii="宋体" w:hAnsi="宋体" w:eastAsia="宋体" w:cs="仿宋_GB2312"/>
          <w:color w:val="auto"/>
          <w:sz w:val="21"/>
          <w:szCs w:val="21"/>
          <w:highlight w:val="none"/>
          <w:lang w:val="en-US" w:eastAsia="zh-CN"/>
        </w:rPr>
        <w:t>实现前端项目全程可视化管理，含</w:t>
      </w:r>
      <w:r>
        <w:rPr>
          <w:rStyle w:val="217"/>
          <w:rFonts w:hint="default" w:ascii="宋体" w:hAnsi="宋体" w:eastAsia="宋体" w:cs="仿宋_GB2312"/>
          <w:color w:val="auto"/>
          <w:sz w:val="21"/>
          <w:szCs w:val="21"/>
          <w:highlight w:val="none"/>
          <w:lang w:val="en-US" w:eastAsia="zh-CN"/>
        </w:rPr>
        <w:t>100</w:t>
      </w:r>
      <w:r>
        <w:rPr>
          <w:rStyle w:val="217"/>
          <w:rFonts w:hint="eastAsia" w:ascii="宋体" w:hAnsi="宋体" w:eastAsia="宋体" w:cs="仿宋_GB2312"/>
          <w:color w:val="auto"/>
          <w:sz w:val="21"/>
          <w:szCs w:val="21"/>
          <w:highlight w:val="none"/>
          <w:lang w:val="en-US" w:eastAsia="zh-CN"/>
        </w:rPr>
        <w:t>个接入授权。</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后端存储：</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lang w:val="en-US" w:eastAsia="zh-CN"/>
        </w:rPr>
        <w:t>将一期的存储设备拆除，</w:t>
      </w:r>
      <w:r>
        <w:rPr>
          <w:rStyle w:val="217"/>
          <w:rFonts w:hint="eastAsia" w:ascii="宋体" w:hAnsi="宋体" w:eastAsia="宋体" w:cs="仿宋_GB2312"/>
          <w:color w:val="auto"/>
          <w:sz w:val="21"/>
          <w:szCs w:val="21"/>
          <w:highlight w:val="none"/>
        </w:rPr>
        <w:t>现有8台网络视频存储服务器和1套标准云存储升级为视频云存储</w:t>
      </w:r>
      <w:r>
        <w:rPr>
          <w:rStyle w:val="217"/>
          <w:rFonts w:hint="eastAsia" w:ascii="宋体" w:hAnsi="宋体" w:eastAsia="宋体" w:cs="仿宋_GB2312"/>
          <w:color w:val="auto"/>
          <w:sz w:val="21"/>
          <w:szCs w:val="21"/>
          <w:highlight w:val="none"/>
          <w:lang w:eastAsia="zh-CN"/>
        </w:rPr>
        <w:t>，</w:t>
      </w:r>
      <w:r>
        <w:rPr>
          <w:rStyle w:val="217"/>
          <w:rFonts w:hint="eastAsia" w:ascii="宋体" w:hAnsi="宋体" w:eastAsia="宋体" w:cs="仿宋_GB2312"/>
          <w:color w:val="auto"/>
          <w:sz w:val="21"/>
          <w:szCs w:val="21"/>
          <w:highlight w:val="none"/>
          <w:lang w:val="en-US" w:eastAsia="zh-CN"/>
        </w:rPr>
        <w:t>对视频云存储进行升级扩容</w:t>
      </w:r>
      <w:r>
        <w:rPr>
          <w:rStyle w:val="217"/>
          <w:rFonts w:hint="eastAsia" w:ascii="宋体" w:hAnsi="宋体" w:eastAsia="宋体" w:cs="仿宋_GB2312"/>
          <w:color w:val="auto"/>
          <w:sz w:val="21"/>
          <w:szCs w:val="21"/>
          <w:highlight w:val="none"/>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管理平台：</w:t>
      </w:r>
    </w:p>
    <w:p>
      <w:pPr>
        <w:keepNext w:val="0"/>
        <w:keepLines w:val="0"/>
        <w:pageBreakBefore w:val="0"/>
        <w:wordWrap/>
        <w:topLinePunct w:val="0"/>
        <w:bidi w:val="0"/>
        <w:spacing w:beforeLines="0" w:afterLines="0" w:line="360" w:lineRule="auto"/>
        <w:ind w:firstLine="392" w:firstLineChars="187"/>
        <w:rPr>
          <w:rStyle w:val="217"/>
          <w:rFonts w:hint="default"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rPr>
        <w:t>现有7016视频综合管理平台升级为新款9系视频云综合应用平台，同时调整平台对接。</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rPr>
      </w:pPr>
      <w:r>
        <w:rPr>
          <w:rStyle w:val="217"/>
          <w:rFonts w:hint="eastAsia" w:ascii="宋体" w:hAnsi="宋体" w:eastAsia="宋体" w:cs="仿宋_GB2312"/>
          <w:color w:val="auto"/>
          <w:sz w:val="21"/>
          <w:szCs w:val="21"/>
          <w:highlight w:val="none"/>
        </w:rPr>
        <w:t>新9系视频云综合应用平台则直接视频级联到海曙视频云综合应用平台。</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网络安全</w:t>
      </w:r>
      <w:r>
        <w:rPr>
          <w:rFonts w:hint="eastAsia" w:ascii="宋体" w:hAnsi="宋体" w:eastAsia="宋体" w:cs="Times New Roman"/>
          <w:color w:val="auto"/>
          <w:szCs w:val="21"/>
          <w:highlight w:val="none"/>
        </w:rPr>
        <w:t>：</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现有核心交换机和接入交换机使用年限较久，新增</w:t>
      </w:r>
      <w:r>
        <w:rPr>
          <w:rStyle w:val="217"/>
          <w:rFonts w:hint="default" w:ascii="宋体" w:hAnsi="宋体" w:eastAsia="宋体" w:cs="仿宋_GB2312"/>
          <w:color w:val="auto"/>
          <w:sz w:val="21"/>
          <w:szCs w:val="21"/>
          <w:highlight w:val="none"/>
          <w:lang w:val="en-US" w:eastAsia="zh-CN"/>
        </w:rPr>
        <w:t>2</w:t>
      </w:r>
      <w:r>
        <w:rPr>
          <w:rStyle w:val="217"/>
          <w:rFonts w:hint="eastAsia" w:ascii="宋体" w:hAnsi="宋体" w:eastAsia="宋体" w:cs="仿宋_GB2312"/>
          <w:color w:val="auto"/>
          <w:sz w:val="21"/>
          <w:szCs w:val="21"/>
          <w:highlight w:val="none"/>
          <w:lang w:val="en-US" w:eastAsia="zh-CN"/>
        </w:rPr>
        <w:t>台核心交换机替换原有核心交换机，横向虚拟化，新增</w:t>
      </w:r>
      <w:r>
        <w:rPr>
          <w:rStyle w:val="217"/>
          <w:rFonts w:hint="default" w:ascii="宋体" w:hAnsi="宋体" w:eastAsia="宋体" w:cs="仿宋_GB2312"/>
          <w:color w:val="auto"/>
          <w:sz w:val="21"/>
          <w:szCs w:val="21"/>
          <w:highlight w:val="none"/>
          <w:lang w:val="en-US" w:eastAsia="zh-CN"/>
        </w:rPr>
        <w:t>8</w:t>
      </w:r>
      <w:r>
        <w:rPr>
          <w:rStyle w:val="217"/>
          <w:rFonts w:hint="eastAsia" w:ascii="宋体" w:hAnsi="宋体" w:eastAsia="宋体" w:cs="仿宋_GB2312"/>
          <w:color w:val="auto"/>
          <w:sz w:val="21"/>
          <w:szCs w:val="21"/>
          <w:highlight w:val="none"/>
          <w:lang w:val="en-US" w:eastAsia="zh-CN"/>
        </w:rPr>
        <w:t>台接入交换机替换原有的接入交换机设备；</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新增一套网络管理平台（含</w:t>
      </w:r>
      <w:r>
        <w:rPr>
          <w:rStyle w:val="217"/>
          <w:rFonts w:hint="default" w:ascii="宋体" w:hAnsi="宋体" w:eastAsia="宋体" w:cs="仿宋_GB2312"/>
          <w:color w:val="auto"/>
          <w:sz w:val="21"/>
          <w:szCs w:val="21"/>
          <w:highlight w:val="none"/>
          <w:lang w:val="en-US" w:eastAsia="zh-CN"/>
        </w:rPr>
        <w:t>1000</w:t>
      </w:r>
      <w:r>
        <w:rPr>
          <w:rStyle w:val="217"/>
          <w:rFonts w:hint="eastAsia" w:ascii="宋体" w:hAnsi="宋体" w:eastAsia="宋体" w:cs="仿宋_GB2312"/>
          <w:color w:val="auto"/>
          <w:sz w:val="21"/>
          <w:szCs w:val="21"/>
          <w:highlight w:val="none"/>
          <w:lang w:val="en-US" w:eastAsia="zh-CN"/>
        </w:rPr>
        <w:t>个点位授权），管理视频监控网络；</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新增</w:t>
      </w:r>
      <w:r>
        <w:rPr>
          <w:rStyle w:val="217"/>
          <w:rFonts w:hint="default" w:ascii="宋体" w:hAnsi="宋体" w:eastAsia="宋体" w:cs="仿宋_GB2312"/>
          <w:color w:val="auto"/>
          <w:sz w:val="21"/>
          <w:szCs w:val="21"/>
          <w:highlight w:val="none"/>
          <w:lang w:val="en-US" w:eastAsia="zh-CN"/>
        </w:rPr>
        <w:t>2</w:t>
      </w:r>
      <w:r>
        <w:rPr>
          <w:rStyle w:val="217"/>
          <w:rFonts w:hint="eastAsia" w:ascii="宋体" w:hAnsi="宋体" w:eastAsia="宋体" w:cs="仿宋_GB2312"/>
          <w:color w:val="auto"/>
          <w:sz w:val="21"/>
          <w:szCs w:val="21"/>
          <w:highlight w:val="none"/>
          <w:lang w:val="en-US" w:eastAsia="zh-CN"/>
        </w:rPr>
        <w:t>台防火墙替换一期配置的防火墙设备；</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新增相应的储存设备；</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服务期</w:t>
      </w:r>
      <w:r>
        <w:rPr>
          <w:rFonts w:hint="eastAsia" w:ascii="宋体" w:hAnsi="宋体" w:eastAsia="宋体" w:cs="Times New Roman"/>
          <w:color w:val="auto"/>
          <w:szCs w:val="21"/>
          <w:highlight w:val="none"/>
        </w:rPr>
        <w:t>具体需求如下：</w:t>
      </w:r>
    </w:p>
    <w:p>
      <w:pPr>
        <w:keepNext w:val="0"/>
        <w:keepLines w:val="0"/>
        <w:pageBreakBefore w:val="0"/>
        <w:numPr>
          <w:ilvl w:val="0"/>
          <w:numId w:val="10"/>
        </w:numPr>
        <w:wordWrap/>
        <w:topLinePunct w:val="0"/>
        <w:bidi w:val="0"/>
        <w:spacing w:beforeLines="0" w:afterLines="0" w:line="360" w:lineRule="auto"/>
        <w:ind w:left="0" w:leftChars="0" w:firstLine="420" w:firstLineChars="200"/>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系统保障</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zh-CN" w:eastAsia="zh-CN"/>
        </w:rPr>
      </w:pPr>
      <w:r>
        <w:rPr>
          <w:rStyle w:val="217"/>
          <w:rFonts w:hint="eastAsia" w:ascii="宋体" w:hAnsi="宋体" w:eastAsia="宋体" w:cs="仿宋_GB2312"/>
          <w:color w:val="auto"/>
          <w:sz w:val="21"/>
          <w:szCs w:val="21"/>
          <w:highlight w:val="none"/>
          <w:lang w:val="zh-CN" w:eastAsia="zh-CN"/>
        </w:rPr>
        <w:t>7</w:t>
      </w:r>
      <w:r>
        <w:rPr>
          <w:rStyle w:val="217"/>
          <w:rFonts w:hint="eastAsia" w:ascii="宋体" w:hAnsi="宋体" w:eastAsia="宋体" w:cs="仿宋_GB2312"/>
          <w:color w:val="auto"/>
          <w:sz w:val="21"/>
          <w:szCs w:val="21"/>
          <w:highlight w:val="none"/>
          <w:lang w:val="en-US" w:eastAsia="zh-CN"/>
        </w:rPr>
        <w:t>×</w:t>
      </w:r>
      <w:r>
        <w:rPr>
          <w:rStyle w:val="217"/>
          <w:rFonts w:hint="eastAsia" w:ascii="宋体" w:hAnsi="宋体" w:eastAsia="宋体" w:cs="仿宋_GB2312"/>
          <w:color w:val="auto"/>
          <w:sz w:val="21"/>
          <w:szCs w:val="21"/>
          <w:highlight w:val="none"/>
          <w:lang w:val="zh-CN" w:eastAsia="zh-CN"/>
        </w:rPr>
        <w:t>24小时对前端设备运作情况（比如图像清晰度，监控方位等），进行实时监控，获取各类告警、故障信息，实时响应并及时恢复、解决。</w:t>
      </w:r>
    </w:p>
    <w:p>
      <w:pPr>
        <w:keepNext w:val="0"/>
        <w:keepLines w:val="0"/>
        <w:pageBreakBefore w:val="0"/>
        <w:numPr>
          <w:ilvl w:val="0"/>
          <w:numId w:val="10"/>
        </w:numPr>
        <w:wordWrap/>
        <w:topLinePunct w:val="0"/>
        <w:bidi w:val="0"/>
        <w:spacing w:beforeLines="0" w:afterLines="0" w:line="360" w:lineRule="auto"/>
        <w:ind w:left="0" w:leftChars="0" w:firstLine="420" w:firstLineChars="200"/>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日常巡检</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对前端摄像机点位相关设备进行日常巡检，摄像机和镜头定期擦拭维护，清晰率须达到96%以上。确保监控系统的设备完好。</w:t>
      </w:r>
    </w:p>
    <w:p>
      <w:pPr>
        <w:keepNext w:val="0"/>
        <w:keepLines w:val="0"/>
        <w:pageBreakBefore w:val="0"/>
        <w:numPr>
          <w:ilvl w:val="0"/>
          <w:numId w:val="10"/>
        </w:numPr>
        <w:wordWrap/>
        <w:topLinePunct w:val="0"/>
        <w:bidi w:val="0"/>
        <w:spacing w:beforeLines="0" w:afterLines="0" w:line="360" w:lineRule="auto"/>
        <w:ind w:left="0" w:leftChars="0" w:firstLine="420" w:firstLineChars="200"/>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故障响应</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7×24小时故障响应，发现故障后，及时到达现场对前端故障件更换、返修，以保证前端设备持续可用。不能修复的设备立即更换代用设备。定期对设备进行评估。</w:t>
      </w:r>
    </w:p>
    <w:p>
      <w:pPr>
        <w:keepNext w:val="0"/>
        <w:keepLines w:val="0"/>
        <w:pageBreakBefore w:val="0"/>
        <w:numPr>
          <w:ilvl w:val="0"/>
          <w:numId w:val="10"/>
        </w:numPr>
        <w:wordWrap/>
        <w:topLinePunct w:val="0"/>
        <w:bidi w:val="0"/>
        <w:spacing w:beforeLines="0" w:afterLines="0" w:line="360" w:lineRule="auto"/>
        <w:ind w:left="0" w:leftChars="0" w:firstLine="420" w:firstLineChars="200"/>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en-US" w:eastAsia="zh-CN"/>
        </w:rPr>
        <w:t>点位迁移</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zh-CN" w:eastAsia="zh-CN"/>
        </w:rPr>
      </w:pPr>
      <w:r>
        <w:rPr>
          <w:rStyle w:val="217"/>
          <w:rFonts w:hint="eastAsia" w:ascii="宋体" w:hAnsi="宋体" w:eastAsia="宋体" w:cs="仿宋_GB2312"/>
          <w:color w:val="auto"/>
          <w:sz w:val="21"/>
          <w:szCs w:val="21"/>
          <w:highlight w:val="none"/>
          <w:lang w:val="en-US" w:eastAsia="zh-CN"/>
        </w:rPr>
        <w:t>为了适应五年运维期间辖区内环境变化</w:t>
      </w:r>
      <w:r>
        <w:rPr>
          <w:rStyle w:val="217"/>
          <w:rFonts w:hint="eastAsia" w:ascii="宋体" w:hAnsi="宋体" w:eastAsia="宋体" w:cs="仿宋_GB2312"/>
          <w:color w:val="auto"/>
          <w:sz w:val="21"/>
          <w:szCs w:val="21"/>
          <w:highlight w:val="none"/>
          <w:lang w:val="zh-CN" w:eastAsia="zh-CN"/>
        </w:rPr>
        <w:t>，中标人应提供数量不少于总摄像头数量</w:t>
      </w:r>
      <w:r>
        <w:rPr>
          <w:rStyle w:val="217"/>
          <w:rFonts w:hint="eastAsia" w:ascii="宋体" w:hAnsi="宋体" w:eastAsia="宋体" w:cs="仿宋_GB2312"/>
          <w:color w:val="auto"/>
          <w:sz w:val="21"/>
          <w:szCs w:val="21"/>
          <w:highlight w:val="none"/>
          <w:lang w:val="en-US" w:eastAsia="zh-CN"/>
        </w:rPr>
        <w:t>10</w:t>
      </w:r>
      <w:r>
        <w:rPr>
          <w:rStyle w:val="217"/>
          <w:rFonts w:hint="eastAsia" w:ascii="宋体" w:hAnsi="宋体" w:eastAsia="宋体" w:cs="仿宋_GB2312"/>
          <w:color w:val="auto"/>
          <w:sz w:val="21"/>
          <w:szCs w:val="21"/>
          <w:highlight w:val="none"/>
          <w:lang w:val="zh-CN" w:eastAsia="zh-CN"/>
        </w:rPr>
        <w:t>%的摄像头免费借杆移位服务，免费服务包括借杆后的摄像头配套机箱与用电、网络的迁移；超过免费数量的点位迁移服务报价,</w:t>
      </w:r>
      <w:r>
        <w:rPr>
          <w:rStyle w:val="217"/>
          <w:rFonts w:hint="eastAsia" w:ascii="宋体" w:hAnsi="宋体" w:eastAsia="宋体" w:cs="仿宋_GB2312"/>
          <w:color w:val="auto"/>
          <w:sz w:val="21"/>
          <w:szCs w:val="21"/>
          <w:highlight w:val="none"/>
          <w:lang w:val="en-US" w:eastAsia="zh-CN"/>
        </w:rPr>
        <w:t>供应商</w:t>
      </w:r>
      <w:r>
        <w:rPr>
          <w:rStyle w:val="217"/>
          <w:rFonts w:hint="eastAsia" w:ascii="宋体" w:hAnsi="宋体" w:eastAsia="宋体" w:cs="仿宋_GB2312"/>
          <w:color w:val="auto"/>
          <w:sz w:val="21"/>
          <w:szCs w:val="21"/>
          <w:highlight w:val="none"/>
          <w:lang w:val="zh-CN" w:eastAsia="zh-CN"/>
        </w:rPr>
        <w:t>按位点提供的费用在招标中作为重要参考。</w:t>
      </w:r>
    </w:p>
    <w:p>
      <w:pPr>
        <w:keepNext w:val="0"/>
        <w:keepLines w:val="0"/>
        <w:pageBreakBefore w:val="0"/>
        <w:numPr>
          <w:ilvl w:val="0"/>
          <w:numId w:val="10"/>
        </w:numPr>
        <w:wordWrap/>
        <w:topLinePunct w:val="0"/>
        <w:bidi w:val="0"/>
        <w:spacing w:beforeLines="0" w:afterLines="0" w:line="360" w:lineRule="auto"/>
        <w:ind w:left="0" w:leftChars="0" w:firstLine="420" w:firstLineChars="200"/>
        <w:rPr>
          <w:rStyle w:val="217"/>
          <w:rFonts w:hint="eastAsia" w:ascii="宋体" w:hAnsi="宋体" w:eastAsia="宋体" w:cs="仿宋_GB2312"/>
          <w:color w:val="auto"/>
          <w:sz w:val="21"/>
          <w:szCs w:val="21"/>
          <w:highlight w:val="none"/>
          <w:lang w:val="zh-CN" w:eastAsia="zh-CN"/>
        </w:rPr>
      </w:pPr>
      <w:r>
        <w:rPr>
          <w:rStyle w:val="217"/>
          <w:rFonts w:hint="eastAsia" w:ascii="宋体" w:hAnsi="宋体" w:eastAsia="宋体" w:cs="仿宋_GB2312"/>
          <w:color w:val="auto"/>
          <w:sz w:val="21"/>
          <w:szCs w:val="21"/>
          <w:highlight w:val="none"/>
          <w:lang w:val="zh-CN" w:eastAsia="zh-CN"/>
        </w:rPr>
        <w:t>应急保障</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zh-CN" w:eastAsia="zh-CN"/>
        </w:rPr>
      </w:pPr>
      <w:r>
        <w:rPr>
          <w:rStyle w:val="217"/>
          <w:rFonts w:hint="eastAsia" w:ascii="宋体" w:hAnsi="宋体" w:eastAsia="宋体" w:cs="仿宋_GB2312"/>
          <w:color w:val="auto"/>
          <w:sz w:val="21"/>
          <w:szCs w:val="21"/>
          <w:highlight w:val="none"/>
          <w:lang w:val="zh-CN" w:eastAsia="zh-CN"/>
        </w:rPr>
        <w:t>当有重大社会活动或是重大事故需要应急处置时，中标人需要提供相应的技术保障。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2.4</w:t>
      </w:r>
      <w:bookmarkEnd w:id="45"/>
      <w:bookmarkEnd w:id="46"/>
      <w:r>
        <w:rPr>
          <w:rFonts w:hint="eastAsia" w:ascii="宋体" w:hAnsi="宋体" w:eastAsia="宋体" w:cs="宋体"/>
          <w:b/>
          <w:bCs/>
          <w:color w:val="auto"/>
          <w:sz w:val="21"/>
          <w:highlight w:val="none"/>
          <w:lang w:val="en-US" w:eastAsia="zh-CN"/>
        </w:rPr>
        <w:t>运维</w:t>
      </w:r>
      <w:r>
        <w:rPr>
          <w:rFonts w:hint="eastAsia" w:ascii="宋体" w:hAnsi="宋体" w:eastAsia="宋体" w:cs="仿宋_GB2312"/>
          <w:b/>
          <w:bCs/>
          <w:color w:val="auto"/>
          <w:sz w:val="21"/>
          <w:szCs w:val="21"/>
          <w:highlight w:val="none"/>
          <w:lang w:val="en-US" w:eastAsia="zh-CN"/>
        </w:rPr>
        <w:t>模式</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en-US" w:eastAsia="zh-CN"/>
        </w:rPr>
      </w:pPr>
      <w:r>
        <w:rPr>
          <w:rStyle w:val="217"/>
          <w:rFonts w:hint="eastAsia" w:ascii="宋体" w:hAnsi="宋体" w:eastAsia="宋体" w:cs="仿宋_GB2312"/>
          <w:color w:val="auto"/>
          <w:sz w:val="21"/>
          <w:szCs w:val="21"/>
          <w:highlight w:val="none"/>
          <w:lang w:val="zh-CN" w:eastAsia="zh-CN"/>
        </w:rPr>
        <w:t>本项目运维年限为5年。中标</w:t>
      </w:r>
      <w:r>
        <w:rPr>
          <w:rStyle w:val="217"/>
          <w:rFonts w:hint="eastAsia" w:ascii="宋体" w:hAnsi="宋体" w:eastAsia="宋体" w:cs="仿宋_GB2312"/>
          <w:color w:val="auto"/>
          <w:sz w:val="21"/>
          <w:szCs w:val="21"/>
          <w:highlight w:val="none"/>
          <w:lang w:val="en-US" w:eastAsia="zh-CN"/>
        </w:rPr>
        <w:t>人</w:t>
      </w:r>
      <w:r>
        <w:rPr>
          <w:rStyle w:val="217"/>
          <w:rFonts w:hint="eastAsia" w:ascii="宋体" w:hAnsi="宋体" w:eastAsia="宋体" w:cs="仿宋_GB2312"/>
          <w:color w:val="auto"/>
          <w:sz w:val="21"/>
          <w:szCs w:val="21"/>
          <w:highlight w:val="none"/>
          <w:lang w:val="zh-CN" w:eastAsia="zh-CN"/>
        </w:rPr>
        <w:t>负责5年内的系统运行维护以及</w:t>
      </w:r>
      <w:r>
        <w:rPr>
          <w:rStyle w:val="217"/>
          <w:rFonts w:hint="eastAsia" w:ascii="宋体" w:hAnsi="宋体" w:eastAsia="宋体" w:cs="仿宋_GB2312"/>
          <w:color w:val="auto"/>
          <w:sz w:val="21"/>
          <w:szCs w:val="21"/>
          <w:highlight w:val="none"/>
          <w:lang w:val="en-US" w:eastAsia="zh-CN"/>
        </w:rPr>
        <w:t>所有</w:t>
      </w:r>
      <w:r>
        <w:rPr>
          <w:rStyle w:val="217"/>
          <w:rFonts w:hint="eastAsia" w:ascii="宋体" w:hAnsi="宋体" w:eastAsia="宋体" w:cs="仿宋_GB2312"/>
          <w:color w:val="auto"/>
          <w:sz w:val="21"/>
          <w:szCs w:val="21"/>
          <w:highlight w:val="none"/>
          <w:lang w:val="zh-CN" w:eastAsia="zh-CN"/>
        </w:rPr>
        <w:t>设备的</w:t>
      </w:r>
      <w:r>
        <w:rPr>
          <w:rStyle w:val="217"/>
          <w:rFonts w:hint="eastAsia" w:ascii="宋体" w:hAnsi="宋体" w:eastAsia="宋体" w:cs="仿宋_GB2312"/>
          <w:color w:val="auto"/>
          <w:sz w:val="21"/>
          <w:szCs w:val="21"/>
          <w:highlight w:val="none"/>
          <w:lang w:val="en-US" w:eastAsia="zh-CN"/>
        </w:rPr>
        <w:t>免费</w:t>
      </w:r>
      <w:r>
        <w:rPr>
          <w:rStyle w:val="217"/>
          <w:rFonts w:hint="eastAsia" w:ascii="宋体" w:hAnsi="宋体" w:eastAsia="宋体" w:cs="仿宋_GB2312"/>
          <w:color w:val="auto"/>
          <w:sz w:val="21"/>
          <w:szCs w:val="21"/>
          <w:highlight w:val="none"/>
          <w:lang w:val="zh-CN" w:eastAsia="zh-CN"/>
        </w:rPr>
        <w:t>更换更新，确保监控图像在线率到达预期要求。运行维护期内中标</w:t>
      </w:r>
      <w:r>
        <w:rPr>
          <w:rStyle w:val="217"/>
          <w:rFonts w:hint="eastAsia" w:ascii="宋体" w:hAnsi="宋体" w:eastAsia="宋体" w:cs="仿宋_GB2312"/>
          <w:color w:val="auto"/>
          <w:sz w:val="21"/>
          <w:szCs w:val="21"/>
          <w:highlight w:val="none"/>
          <w:lang w:val="en-US" w:eastAsia="zh-CN"/>
        </w:rPr>
        <w:t>人</w:t>
      </w:r>
      <w:r>
        <w:rPr>
          <w:rStyle w:val="217"/>
          <w:rFonts w:hint="eastAsia" w:ascii="宋体" w:hAnsi="宋体" w:eastAsia="宋体" w:cs="仿宋_GB2312"/>
          <w:color w:val="auto"/>
          <w:sz w:val="21"/>
          <w:szCs w:val="21"/>
          <w:highlight w:val="none"/>
          <w:lang w:val="zh-CN" w:eastAsia="zh-CN"/>
        </w:rPr>
        <w:t>负责包括设备的质保、系统的巡检、故障的修复、设备的更新更换、重大活动的保障。运维改造总费用包括</w:t>
      </w:r>
      <w:r>
        <w:rPr>
          <w:rStyle w:val="217"/>
          <w:rFonts w:hint="default" w:ascii="宋体" w:hAnsi="宋体" w:eastAsia="宋体" w:cs="仿宋_GB2312"/>
          <w:color w:val="auto"/>
          <w:sz w:val="21"/>
          <w:szCs w:val="21"/>
          <w:highlight w:val="none"/>
          <w:lang w:val="en-US" w:eastAsia="zh-CN"/>
        </w:rPr>
        <w:t>5</w:t>
      </w:r>
      <w:r>
        <w:rPr>
          <w:rStyle w:val="217"/>
          <w:rFonts w:hint="eastAsia" w:ascii="宋体" w:hAnsi="宋体" w:eastAsia="宋体" w:cs="仿宋_GB2312"/>
          <w:color w:val="auto"/>
          <w:sz w:val="21"/>
          <w:szCs w:val="21"/>
          <w:highlight w:val="none"/>
          <w:lang w:val="zh-CN" w:eastAsia="zh-CN"/>
        </w:rPr>
        <w:t>年光纤租赁费用（原有光纤租赁到期</w:t>
      </w:r>
      <w:r>
        <w:rPr>
          <w:rStyle w:val="217"/>
          <w:rFonts w:hint="eastAsia" w:ascii="宋体" w:hAnsi="宋体" w:eastAsia="宋体" w:cs="仿宋_GB2312"/>
          <w:color w:val="auto"/>
          <w:sz w:val="21"/>
          <w:szCs w:val="21"/>
          <w:highlight w:val="none"/>
          <w:lang w:val="en-US" w:eastAsia="zh-CN"/>
        </w:rPr>
        <w:t>后续约</w:t>
      </w:r>
      <w:r>
        <w:rPr>
          <w:rStyle w:val="217"/>
          <w:rFonts w:hint="eastAsia" w:ascii="宋体" w:hAnsi="宋体" w:eastAsia="宋体" w:cs="仿宋_GB2312"/>
          <w:color w:val="auto"/>
          <w:sz w:val="21"/>
          <w:szCs w:val="21"/>
          <w:highlight w:val="none"/>
          <w:lang w:val="zh-CN" w:eastAsia="zh-CN"/>
        </w:rPr>
        <w:t>）、5年设备运行维护费用、</w:t>
      </w:r>
      <w:r>
        <w:rPr>
          <w:rStyle w:val="217"/>
          <w:rFonts w:hint="eastAsia" w:ascii="宋体" w:hAnsi="宋体" w:eastAsia="宋体" w:cs="仿宋_GB2312"/>
          <w:color w:val="auto"/>
          <w:sz w:val="21"/>
          <w:szCs w:val="21"/>
          <w:highlight w:val="none"/>
          <w:lang w:val="en-US" w:eastAsia="zh-CN"/>
        </w:rPr>
        <w:t>超过10%</w:t>
      </w:r>
      <w:r>
        <w:rPr>
          <w:rStyle w:val="217"/>
          <w:rFonts w:hint="eastAsia" w:ascii="宋体" w:hAnsi="宋体" w:eastAsia="宋体" w:cs="仿宋_GB2312"/>
          <w:color w:val="auto"/>
          <w:sz w:val="21"/>
          <w:szCs w:val="21"/>
          <w:highlight w:val="none"/>
          <w:lang w:val="zh-CN" w:eastAsia="zh-CN"/>
        </w:rPr>
        <w:t>点位迁移费用。运维费用按年报价、按年支付。</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47" w:name="_Toc414365393"/>
      <w:bookmarkEnd w:id="47"/>
      <w:bookmarkStart w:id="48" w:name="_Toc414259830"/>
      <w:bookmarkEnd w:id="48"/>
      <w:bookmarkStart w:id="49" w:name="_Toc458435433"/>
      <w:bookmarkStart w:id="50" w:name="_Toc427583175"/>
      <w:bookmarkStart w:id="51" w:name="_Toc458435496"/>
      <w:bookmarkStart w:id="52" w:name="_Toc480197895"/>
      <w:r>
        <w:rPr>
          <w:rFonts w:hint="eastAsia" w:ascii="宋体" w:hAnsi="宋体" w:eastAsia="宋体" w:cs="宋体"/>
          <w:b/>
          <w:bCs/>
          <w:color w:val="auto"/>
          <w:sz w:val="21"/>
          <w:highlight w:val="none"/>
          <w:lang w:val="en-US" w:eastAsia="zh-CN"/>
        </w:rPr>
        <w:t>2.5</w:t>
      </w:r>
      <w:bookmarkEnd w:id="49"/>
      <w:bookmarkEnd w:id="50"/>
      <w:bookmarkEnd w:id="51"/>
      <w:bookmarkEnd w:id="52"/>
      <w:r>
        <w:rPr>
          <w:rFonts w:hint="eastAsia" w:ascii="宋体" w:hAnsi="宋体" w:eastAsia="宋体" w:cs="仿宋_GB2312"/>
          <w:b/>
          <w:bCs/>
          <w:color w:val="auto"/>
          <w:sz w:val="21"/>
          <w:szCs w:val="21"/>
          <w:highlight w:val="none"/>
          <w:lang w:eastAsia="zh-CN"/>
        </w:rPr>
        <w:t>运维范围</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zh-CN" w:eastAsia="zh-CN"/>
        </w:rPr>
      </w:pPr>
      <w:bookmarkStart w:id="53" w:name="_Toc414365403"/>
      <w:bookmarkEnd w:id="53"/>
      <w:bookmarkStart w:id="54" w:name="_Toc414365422"/>
      <w:bookmarkEnd w:id="54"/>
      <w:bookmarkStart w:id="55" w:name="_Toc414259838"/>
      <w:bookmarkEnd w:id="55"/>
      <w:bookmarkStart w:id="56" w:name="_Toc414259860"/>
      <w:bookmarkEnd w:id="56"/>
      <w:bookmarkStart w:id="57" w:name="_Toc414365423"/>
      <w:bookmarkEnd w:id="57"/>
      <w:bookmarkStart w:id="58" w:name="_Toc414365401"/>
      <w:bookmarkEnd w:id="58"/>
      <w:bookmarkStart w:id="59" w:name="_Toc414365399"/>
      <w:bookmarkEnd w:id="59"/>
      <w:bookmarkStart w:id="60" w:name="_Toc414259836"/>
      <w:bookmarkEnd w:id="60"/>
      <w:bookmarkStart w:id="61" w:name="_Toc414365398"/>
      <w:bookmarkEnd w:id="61"/>
      <w:bookmarkStart w:id="62" w:name="_Toc414365424"/>
      <w:bookmarkEnd w:id="62"/>
      <w:bookmarkStart w:id="63" w:name="_Toc414259835"/>
      <w:bookmarkEnd w:id="63"/>
      <w:bookmarkStart w:id="64" w:name="_Toc414259861"/>
      <w:bookmarkEnd w:id="64"/>
      <w:bookmarkStart w:id="65" w:name="_Toc414259859"/>
      <w:bookmarkEnd w:id="65"/>
      <w:bookmarkStart w:id="66" w:name="_Toc414259840"/>
      <w:bookmarkEnd w:id="66"/>
      <w:bookmarkStart w:id="67" w:name="_Toc414365400"/>
      <w:bookmarkEnd w:id="67"/>
      <w:bookmarkStart w:id="68" w:name="_Toc414259837"/>
      <w:bookmarkEnd w:id="68"/>
      <w:r>
        <w:rPr>
          <w:rStyle w:val="217"/>
          <w:rFonts w:hint="eastAsia" w:ascii="宋体" w:hAnsi="宋体" w:eastAsia="宋体" w:cs="仿宋_GB2312"/>
          <w:color w:val="auto"/>
          <w:sz w:val="21"/>
          <w:szCs w:val="21"/>
          <w:highlight w:val="none"/>
          <w:lang w:val="zh-CN" w:eastAsia="zh-CN"/>
        </w:rPr>
        <w:t>本项目运维服务对象包括</w:t>
      </w:r>
      <w:r>
        <w:rPr>
          <w:rStyle w:val="217"/>
          <w:rFonts w:hint="eastAsia" w:ascii="宋体" w:hAnsi="宋体" w:eastAsia="宋体" w:cs="仿宋_GB2312"/>
          <w:color w:val="auto"/>
          <w:sz w:val="21"/>
          <w:szCs w:val="21"/>
          <w:highlight w:val="none"/>
          <w:lang w:val="en-US" w:eastAsia="zh-CN"/>
        </w:rPr>
        <w:t>本项目</w:t>
      </w:r>
      <w:r>
        <w:rPr>
          <w:rStyle w:val="217"/>
          <w:rFonts w:hint="eastAsia" w:ascii="宋体" w:hAnsi="宋体" w:eastAsia="宋体" w:cs="仿宋_GB2312"/>
          <w:color w:val="auto"/>
          <w:sz w:val="21"/>
          <w:szCs w:val="21"/>
          <w:highlight w:val="none"/>
          <w:lang w:val="zh-CN" w:eastAsia="zh-CN"/>
        </w:rPr>
        <w:t>所包含的各项内容，具体包括前端设备、网络平台、硬件平台、软件平台、数据等内容。</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前端设备：是指前端摄像机、护罩、云台、支架及其它相关配套附件、立杆、电源等。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网络平台：是指为应用系统提供安全网络环境相关的网络设备，如光端机、光纤收发器、路由器、交换机、防火墙等。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硬件平台：是指构成应用系统的计算机设备，如服务器、存储设备等。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软件平台：是指安装运行在计算机硬件中，构成应用系统的软件程序，如系统软件、支持性软件、应用软件等。</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数据：是指应用系统支持业务运行过程中产生的数据和信息。</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eastAsia="zh-CN"/>
        </w:rPr>
      </w:pPr>
      <w:r>
        <w:rPr>
          <w:rFonts w:hint="eastAsia" w:ascii="宋体" w:hAnsi="宋体" w:eastAsia="宋体" w:cs="仿宋_GB2312"/>
          <w:b/>
          <w:bCs/>
          <w:color w:val="auto"/>
          <w:sz w:val="21"/>
          <w:szCs w:val="21"/>
          <w:highlight w:val="none"/>
          <w:lang w:val="en-US" w:eastAsia="zh-CN"/>
        </w:rPr>
        <w:t>2</w:t>
      </w:r>
      <w:r>
        <w:rPr>
          <w:rFonts w:hint="eastAsia" w:ascii="宋体" w:hAnsi="宋体" w:eastAsia="宋体" w:cs="仿宋_GB2312"/>
          <w:b/>
          <w:bCs/>
          <w:color w:val="auto"/>
          <w:sz w:val="21"/>
          <w:szCs w:val="21"/>
          <w:highlight w:val="none"/>
          <w:lang w:eastAsia="zh-CN"/>
        </w:rPr>
        <w:t>.6运维考核指标</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eastAsia="zh-CN"/>
        </w:rPr>
      </w:pPr>
      <w:r>
        <w:rPr>
          <w:rFonts w:hint="eastAsia" w:ascii="宋体" w:hAnsi="宋体" w:eastAsia="宋体" w:cs="仿宋_GB2312"/>
          <w:b/>
          <w:bCs/>
          <w:color w:val="auto"/>
          <w:sz w:val="21"/>
          <w:szCs w:val="21"/>
          <w:highlight w:val="none"/>
          <w:lang w:val="en-US" w:eastAsia="zh-CN"/>
        </w:rPr>
        <w:t>2</w:t>
      </w:r>
      <w:r>
        <w:rPr>
          <w:rFonts w:hint="eastAsia" w:ascii="宋体" w:hAnsi="宋体" w:eastAsia="宋体" w:cs="仿宋_GB2312"/>
          <w:b/>
          <w:bCs/>
          <w:color w:val="auto"/>
          <w:sz w:val="21"/>
          <w:szCs w:val="21"/>
          <w:highlight w:val="none"/>
          <w:lang w:eastAsia="zh-CN"/>
        </w:rPr>
        <w:t>.6.1前端运维技术考核指标</w:t>
      </w:r>
    </w:p>
    <w:p>
      <w:pPr>
        <w:widowControl/>
        <w:spacing w:line="360" w:lineRule="auto"/>
        <w:ind w:firstLine="420" w:firstLineChars="200"/>
        <w:jc w:val="left"/>
        <w:rPr>
          <w:rFonts w:hint="eastAsia" w:ascii="宋体" w:hAnsi="宋体" w:cs="仿宋_GB2312"/>
          <w:color w:val="auto"/>
          <w:szCs w:val="21"/>
          <w:highlight w:val="none"/>
        </w:rPr>
      </w:pPr>
      <w:r>
        <w:rPr>
          <w:rFonts w:hint="eastAsia" w:ascii="宋体" w:hAnsi="宋体" w:cs="仿宋_GB2312"/>
          <w:color w:val="auto"/>
          <w:szCs w:val="21"/>
          <w:highlight w:val="none"/>
          <w:lang w:eastAsia="zh-CN"/>
        </w:rPr>
        <w:t>中标人</w:t>
      </w:r>
      <w:r>
        <w:rPr>
          <w:rFonts w:hint="eastAsia" w:ascii="宋体" w:hAnsi="宋体" w:cs="仿宋_GB2312"/>
          <w:color w:val="auto"/>
          <w:szCs w:val="21"/>
          <w:highlight w:val="none"/>
        </w:rPr>
        <w:t>负责维护系统的日常运作，在运行维护期间，前端设备月均完好率需达到当年宁波市公安局下达的最低考核指标（</w:t>
      </w:r>
      <w:r>
        <w:rPr>
          <w:rFonts w:ascii="宋体" w:hAnsi="宋体" w:cs="仿宋_GB2312"/>
          <w:color w:val="auto"/>
          <w:szCs w:val="21"/>
          <w:highlight w:val="none"/>
        </w:rPr>
        <w:t>20</w:t>
      </w:r>
      <w:r>
        <w:rPr>
          <w:rFonts w:hint="eastAsia" w:ascii="宋体" w:hAnsi="宋体" w:cs="仿宋_GB2312"/>
          <w:color w:val="auto"/>
          <w:szCs w:val="21"/>
          <w:highlight w:val="none"/>
          <w:lang w:val="en-US" w:eastAsia="zh-CN"/>
        </w:rPr>
        <w:t>22</w:t>
      </w:r>
      <w:r>
        <w:rPr>
          <w:rFonts w:hint="eastAsia" w:ascii="宋体" w:hAnsi="宋体" w:cs="仿宋_GB2312"/>
          <w:color w:val="auto"/>
          <w:szCs w:val="21"/>
          <w:highlight w:val="none"/>
        </w:rPr>
        <w:t>年为</w:t>
      </w:r>
      <w:r>
        <w:rPr>
          <w:rFonts w:ascii="宋体" w:hAnsi="宋体" w:cs="仿宋_GB2312"/>
          <w:color w:val="auto"/>
          <w:szCs w:val="21"/>
          <w:highlight w:val="none"/>
        </w:rPr>
        <w:t>95%</w:t>
      </w:r>
      <w:r>
        <w:rPr>
          <w:rFonts w:hint="eastAsia" w:ascii="宋体" w:hAnsi="宋体" w:cs="仿宋_GB2312"/>
          <w:color w:val="auto"/>
          <w:szCs w:val="21"/>
          <w:highlight w:val="none"/>
        </w:rPr>
        <w:t>），月均设备完好率</w:t>
      </w:r>
      <w:r>
        <w:rPr>
          <w:rFonts w:ascii="宋体" w:hAnsi="宋体" w:cs="仿宋_GB2312"/>
          <w:color w:val="auto"/>
          <w:szCs w:val="21"/>
          <w:highlight w:val="none"/>
        </w:rPr>
        <w:t>=</w:t>
      </w:r>
      <w:r>
        <w:rPr>
          <w:rFonts w:hint="eastAsia" w:ascii="宋体" w:hAnsi="宋体" w:cs="仿宋_GB2312"/>
          <w:color w:val="auto"/>
          <w:szCs w:val="21"/>
          <w:highlight w:val="none"/>
        </w:rPr>
        <w:t>每月完好设备总台数</w:t>
      </w:r>
      <w:r>
        <w:rPr>
          <w:rFonts w:ascii="宋体" w:hAnsi="宋体" w:cs="仿宋_GB2312"/>
          <w:color w:val="auto"/>
          <w:szCs w:val="21"/>
          <w:highlight w:val="none"/>
        </w:rPr>
        <w:t>/</w:t>
      </w:r>
      <w:r>
        <w:rPr>
          <w:rFonts w:hint="eastAsia" w:ascii="宋体" w:hAnsi="宋体" w:cs="仿宋_GB2312"/>
          <w:color w:val="auto"/>
          <w:szCs w:val="21"/>
          <w:highlight w:val="none"/>
        </w:rPr>
        <w:t>设备总台数×</w:t>
      </w:r>
      <w:r>
        <w:rPr>
          <w:rFonts w:ascii="宋体" w:hAnsi="宋体" w:cs="仿宋_GB2312"/>
          <w:color w:val="auto"/>
          <w:szCs w:val="21"/>
          <w:highlight w:val="none"/>
        </w:rPr>
        <w:t>100</w:t>
      </w:r>
      <w:r>
        <w:rPr>
          <w:rFonts w:hint="eastAsia" w:ascii="宋体" w:hAnsi="宋体" w:cs="仿宋_GB2312"/>
          <w:color w:val="auto"/>
          <w:szCs w:val="21"/>
          <w:highlight w:val="none"/>
        </w:rPr>
        <w:t>％。</w:t>
      </w:r>
    </w:p>
    <w:tbl>
      <w:tblPr>
        <w:tblStyle w:val="47"/>
        <w:tblW w:w="0" w:type="auto"/>
        <w:jc w:val="center"/>
        <w:tblLayout w:type="fixed"/>
        <w:tblCellMar>
          <w:top w:w="0" w:type="dxa"/>
          <w:left w:w="108" w:type="dxa"/>
          <w:bottom w:w="0" w:type="dxa"/>
          <w:right w:w="108" w:type="dxa"/>
        </w:tblCellMar>
      </w:tblPr>
      <w:tblGrid>
        <w:gridCol w:w="703"/>
        <w:gridCol w:w="1734"/>
        <w:gridCol w:w="2205"/>
        <w:gridCol w:w="3737"/>
      </w:tblGrid>
      <w:tr>
        <w:tblPrEx>
          <w:tblCellMar>
            <w:top w:w="0" w:type="dxa"/>
            <w:left w:w="108" w:type="dxa"/>
            <w:bottom w:w="0" w:type="dxa"/>
            <w:right w:w="108" w:type="dxa"/>
          </w:tblCellMar>
        </w:tblPrEx>
        <w:trPr>
          <w:trHeight w:val="412"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考核内容</w:t>
            </w:r>
          </w:p>
        </w:tc>
        <w:tc>
          <w:tcPr>
            <w:tcW w:w="22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3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2042" w:hRule="atLeast"/>
          <w:jc w:val="center"/>
        </w:trPr>
        <w:tc>
          <w:tcPr>
            <w:tcW w:w="7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7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eastAsia="宋体" w:cs="仿宋_GB2312"/>
                <w:color w:val="auto"/>
                <w:szCs w:val="21"/>
                <w:highlight w:val="none"/>
              </w:rPr>
              <w:t>前端设备完好率</w:t>
            </w:r>
          </w:p>
        </w:tc>
        <w:tc>
          <w:tcPr>
            <w:tcW w:w="22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按宁波市公安局当年考核指标，</w:t>
            </w:r>
            <w:r>
              <w:rPr>
                <w:rFonts w:ascii="宋体" w:hAnsi="宋体" w:cs="仿宋_GB2312"/>
                <w:color w:val="auto"/>
                <w:kern w:val="0"/>
                <w:szCs w:val="21"/>
                <w:highlight w:val="none"/>
              </w:rPr>
              <w:t>20</w:t>
            </w:r>
            <w:r>
              <w:rPr>
                <w:rFonts w:hint="eastAsia" w:ascii="宋体" w:hAnsi="宋体" w:cs="仿宋_GB2312"/>
                <w:color w:val="auto"/>
                <w:kern w:val="0"/>
                <w:szCs w:val="21"/>
                <w:highlight w:val="none"/>
                <w:lang w:val="en-US" w:eastAsia="zh-CN"/>
              </w:rPr>
              <w:t>22</w:t>
            </w:r>
            <w:r>
              <w:rPr>
                <w:rFonts w:hint="eastAsia" w:ascii="宋体" w:hAnsi="宋体" w:cs="仿宋_GB2312"/>
                <w:color w:val="auto"/>
                <w:kern w:val="0"/>
                <w:szCs w:val="21"/>
                <w:highlight w:val="none"/>
              </w:rPr>
              <w:t>年为月均需达到</w:t>
            </w:r>
            <w:r>
              <w:rPr>
                <w:rFonts w:ascii="宋体" w:hAnsi="宋体" w:cs="仿宋_GB2312"/>
                <w:color w:val="auto"/>
                <w:kern w:val="0"/>
                <w:szCs w:val="21"/>
                <w:highlight w:val="none"/>
              </w:rPr>
              <w:t>95%</w:t>
            </w:r>
            <w:r>
              <w:rPr>
                <w:rFonts w:hint="eastAsia" w:ascii="宋体" w:hAnsi="宋体" w:cs="仿宋_GB2312"/>
                <w:color w:val="auto"/>
                <w:kern w:val="0"/>
                <w:szCs w:val="21"/>
                <w:highlight w:val="none"/>
              </w:rPr>
              <w:t>以上，包括摄像机、镜头、杆件、防护罩、云台、机箱等的完好</w:t>
            </w:r>
          </w:p>
        </w:tc>
        <w:tc>
          <w:tcPr>
            <w:tcW w:w="37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lang w:val="en-US" w:eastAsia="zh-CN"/>
              </w:rPr>
            </w:pPr>
            <w:r>
              <w:rPr>
                <w:rFonts w:hint="eastAsia" w:ascii="宋体" w:hAnsi="宋体" w:eastAsia="宋体" w:cs="仿宋_GB2312"/>
                <w:color w:val="auto"/>
                <w:kern w:val="0"/>
                <w:szCs w:val="21"/>
                <w:highlight w:val="none"/>
                <w:lang w:val="en-US" w:eastAsia="zh-CN"/>
              </w:rPr>
              <w:t>每下降一个百分点（含不到一个百分点），扣当年运维费1%；若一年中出现三次以上（含三次）达不到考核目标，采购人有权中止与中标人合同。</w:t>
            </w:r>
          </w:p>
        </w:tc>
      </w:tr>
      <w:tr>
        <w:tblPrEx>
          <w:tblCellMar>
            <w:top w:w="0" w:type="dxa"/>
            <w:left w:w="108" w:type="dxa"/>
            <w:bottom w:w="0" w:type="dxa"/>
            <w:right w:w="108" w:type="dxa"/>
          </w:tblCellMar>
        </w:tblPrEx>
        <w:trPr>
          <w:trHeight w:val="755" w:hRule="atLeast"/>
          <w:jc w:val="center"/>
        </w:trPr>
        <w:tc>
          <w:tcPr>
            <w:tcW w:w="7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7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摄像机清晰率</w:t>
            </w:r>
          </w:p>
        </w:tc>
        <w:tc>
          <w:tcPr>
            <w:tcW w:w="22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月均需达到96%以上</w:t>
            </w:r>
          </w:p>
        </w:tc>
        <w:tc>
          <w:tcPr>
            <w:tcW w:w="37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每下降一个百分点（含不到一个百分点）扣1000块</w:t>
            </w: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eastAsia="zh-CN"/>
        </w:rPr>
      </w:pPr>
      <w:r>
        <w:rPr>
          <w:rFonts w:hint="eastAsia" w:ascii="宋体" w:hAnsi="宋体" w:eastAsia="宋体" w:cs="仿宋_GB2312"/>
          <w:b/>
          <w:bCs/>
          <w:color w:val="auto"/>
          <w:sz w:val="21"/>
          <w:szCs w:val="21"/>
          <w:highlight w:val="none"/>
          <w:lang w:val="en-US" w:eastAsia="zh-CN"/>
        </w:rPr>
        <w:t>2</w:t>
      </w:r>
      <w:r>
        <w:rPr>
          <w:rFonts w:hint="eastAsia" w:ascii="宋体" w:hAnsi="宋体" w:eastAsia="宋体" w:cs="仿宋_GB2312"/>
          <w:b/>
          <w:bCs/>
          <w:color w:val="auto"/>
          <w:sz w:val="21"/>
          <w:szCs w:val="21"/>
          <w:highlight w:val="none"/>
          <w:lang w:eastAsia="zh-CN"/>
        </w:rPr>
        <w:t>.6.2后端运维技术考核指标</w:t>
      </w:r>
    </w:p>
    <w:tbl>
      <w:tblPr>
        <w:tblStyle w:val="47"/>
        <w:tblW w:w="0" w:type="auto"/>
        <w:jc w:val="center"/>
        <w:tblLayout w:type="fixed"/>
        <w:tblCellMar>
          <w:top w:w="0" w:type="dxa"/>
          <w:left w:w="108" w:type="dxa"/>
          <w:bottom w:w="0" w:type="dxa"/>
          <w:right w:w="108" w:type="dxa"/>
        </w:tblCellMar>
      </w:tblPr>
      <w:tblGrid>
        <w:gridCol w:w="720"/>
        <w:gridCol w:w="2117"/>
        <w:gridCol w:w="2231"/>
        <w:gridCol w:w="3311"/>
      </w:tblGrid>
      <w:tr>
        <w:tblPrEx>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2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考核内容</w:t>
            </w:r>
          </w:p>
        </w:tc>
        <w:tc>
          <w:tcPr>
            <w:tcW w:w="22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33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447"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后台设备完好率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99%</w:t>
            </w:r>
            <w:r>
              <w:rPr>
                <w:rFonts w:hint="eastAsia" w:ascii="宋体" w:hAnsi="宋体" w:cs="仿宋_GB2312"/>
                <w:color w:val="auto"/>
                <w:kern w:val="0"/>
                <w:szCs w:val="21"/>
                <w:highlight w:val="none"/>
              </w:rPr>
              <w:t>以上</w:t>
            </w:r>
          </w:p>
        </w:tc>
        <w:tc>
          <w:tcPr>
            <w:tcW w:w="3311"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　</w:t>
            </w:r>
            <w:r>
              <w:rPr>
                <w:rFonts w:hint="eastAsia" w:ascii="宋体" w:hAnsi="宋体" w:cs="仿宋_GB2312"/>
                <w:color w:val="auto"/>
                <w:szCs w:val="21"/>
                <w:highlight w:val="none"/>
              </w:rPr>
              <w:t>每下降一个百分点（含不到一个百分点），扣当年运维费</w:t>
            </w:r>
            <w:r>
              <w:rPr>
                <w:rFonts w:hint="eastAsia" w:ascii="宋体" w:hAnsi="宋体" w:cs="仿宋_GB2312"/>
                <w:color w:val="auto"/>
                <w:szCs w:val="21"/>
                <w:highlight w:val="none"/>
                <w:lang w:val="en-US" w:eastAsia="zh-CN"/>
              </w:rPr>
              <w:t>1</w:t>
            </w:r>
            <w:r>
              <w:rPr>
                <w:rFonts w:ascii="宋体" w:hAnsi="宋体" w:cs="仿宋_GB2312"/>
                <w:color w:val="auto"/>
                <w:szCs w:val="21"/>
                <w:highlight w:val="none"/>
              </w:rPr>
              <w:t>%</w:t>
            </w:r>
            <w:r>
              <w:rPr>
                <w:rFonts w:hint="eastAsia" w:ascii="宋体" w:hAnsi="宋体" w:cs="仿宋_GB2312"/>
                <w:color w:val="auto"/>
                <w:szCs w:val="21"/>
                <w:highlight w:val="none"/>
              </w:rPr>
              <w:t>；若一年中出现三次以上（含三次）达不到考核目标，</w:t>
            </w:r>
            <w:r>
              <w:rPr>
                <w:rFonts w:hint="eastAsia" w:ascii="宋体" w:hAnsi="宋体" w:cs="仿宋_GB2312"/>
                <w:color w:val="auto"/>
                <w:szCs w:val="21"/>
                <w:highlight w:val="none"/>
                <w:lang w:eastAsia="zh-CN"/>
              </w:rPr>
              <w:t>采购人</w:t>
            </w:r>
            <w:r>
              <w:rPr>
                <w:rFonts w:hint="eastAsia" w:ascii="宋体" w:hAnsi="宋体" w:cs="仿宋_GB2312"/>
                <w:color w:val="auto"/>
                <w:szCs w:val="21"/>
                <w:highlight w:val="none"/>
              </w:rPr>
              <w:t>有权中止与</w:t>
            </w:r>
            <w:r>
              <w:rPr>
                <w:rFonts w:hint="eastAsia" w:ascii="宋体" w:hAnsi="宋体" w:cs="仿宋_GB2312"/>
                <w:color w:val="auto"/>
                <w:szCs w:val="21"/>
                <w:highlight w:val="none"/>
                <w:lang w:eastAsia="zh-CN"/>
              </w:rPr>
              <w:t>中标人</w:t>
            </w:r>
            <w:r>
              <w:rPr>
                <w:rFonts w:hint="eastAsia" w:ascii="宋体" w:hAnsi="宋体" w:cs="仿宋_GB2312"/>
                <w:color w:val="auto"/>
                <w:szCs w:val="21"/>
                <w:highlight w:val="none"/>
              </w:rPr>
              <w:t>合同。</w:t>
            </w:r>
          </w:p>
        </w:tc>
      </w:tr>
      <w:tr>
        <w:tblPrEx>
          <w:tblCellMar>
            <w:top w:w="0" w:type="dxa"/>
            <w:left w:w="108" w:type="dxa"/>
            <w:bottom w:w="0" w:type="dxa"/>
            <w:right w:w="108" w:type="dxa"/>
          </w:tblCellMar>
        </w:tblPrEx>
        <w:trPr>
          <w:trHeight w:val="457"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视频专网完好率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100%</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503"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软件平台完好率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 xml:space="preserve"> 95%</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275"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4</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视频数据存储完整率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99%</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2.6.3服务报告考核指标</w:t>
      </w:r>
    </w:p>
    <w:tbl>
      <w:tblPr>
        <w:tblStyle w:val="47"/>
        <w:tblpPr w:leftFromText="180" w:rightFromText="180" w:vertAnchor="text" w:horzAnchor="page" w:tblpXSpec="center" w:tblpY="60"/>
        <w:tblW w:w="0" w:type="auto"/>
        <w:jc w:val="center"/>
        <w:tblLayout w:type="fixed"/>
        <w:tblCellMar>
          <w:top w:w="0" w:type="dxa"/>
          <w:left w:w="108" w:type="dxa"/>
          <w:bottom w:w="0" w:type="dxa"/>
          <w:right w:w="108" w:type="dxa"/>
        </w:tblCellMar>
      </w:tblPr>
      <w:tblGrid>
        <w:gridCol w:w="759"/>
        <w:gridCol w:w="1810"/>
        <w:gridCol w:w="4110"/>
        <w:gridCol w:w="1722"/>
      </w:tblGrid>
      <w:tr>
        <w:tblPrEx>
          <w:tblCellMar>
            <w:top w:w="0" w:type="dxa"/>
            <w:left w:w="108" w:type="dxa"/>
            <w:bottom w:w="0" w:type="dxa"/>
            <w:right w:w="108" w:type="dxa"/>
          </w:tblCellMar>
        </w:tblPrEx>
        <w:trPr>
          <w:trHeight w:val="378"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报告内容</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olor w:val="auto"/>
                <w:kern w:val="0"/>
                <w:szCs w:val="21"/>
                <w:highlight w:val="none"/>
                <w:lang w:val="en-US" w:eastAsia="zh-CN"/>
              </w:rPr>
            </w:pPr>
            <w:r>
              <w:rPr>
                <w:rFonts w:hint="eastAsia" w:ascii="宋体" w:hAnsi="宋体" w:cs="仿宋_GB2312"/>
                <w:color w:val="auto"/>
                <w:kern w:val="0"/>
                <w:szCs w:val="21"/>
                <w:highlight w:val="none"/>
              </w:rPr>
              <w:t>一份报告不按时提交或内容不合格，扣罚</w:t>
            </w:r>
            <w:r>
              <w:rPr>
                <w:rFonts w:hint="eastAsia" w:ascii="宋体" w:hAnsi="宋体" w:cs="仿宋_GB2312"/>
                <w:color w:val="auto"/>
                <w:kern w:val="0"/>
                <w:szCs w:val="21"/>
                <w:highlight w:val="none"/>
                <w:lang w:val="en-US" w:eastAsia="zh-CN"/>
              </w:rPr>
              <w:t>2000</w:t>
            </w:r>
            <w:r>
              <w:rPr>
                <w:rFonts w:hint="eastAsia" w:ascii="宋体" w:hAnsi="宋体" w:cs="仿宋_GB2312"/>
                <w:color w:val="auto"/>
                <w:kern w:val="0"/>
                <w:szCs w:val="21"/>
                <w:highlight w:val="none"/>
              </w:rPr>
              <w:t>元</w:t>
            </w:r>
            <w:r>
              <w:rPr>
                <w:rFonts w:hint="eastAsia" w:ascii="宋体" w:hAnsi="宋体" w:cs="仿宋_GB2312"/>
                <w:color w:val="auto"/>
                <w:kern w:val="0"/>
                <w:szCs w:val="21"/>
                <w:highlight w:val="none"/>
                <w:lang w:eastAsia="zh-CN"/>
              </w:rPr>
              <w:t>；</w:t>
            </w:r>
            <w:r>
              <w:rPr>
                <w:rFonts w:hint="eastAsia" w:ascii="宋体" w:hAnsi="宋体" w:cs="仿宋_GB2312"/>
                <w:color w:val="auto"/>
                <w:kern w:val="0"/>
                <w:szCs w:val="21"/>
                <w:highlight w:val="none"/>
                <w:lang w:val="en-US" w:eastAsia="zh-CN"/>
              </w:rPr>
              <w:t>若年度不及时提交完整报告，扣发下年度维护费3%。</w:t>
            </w: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监测报告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预警报告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4</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应急事件报告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308"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5</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预案启动报告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6</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维修报告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2.6.4时间考核指标</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20" w:firstLineChars="200"/>
        <w:textAlignment w:val="auto"/>
        <w:rPr>
          <w:rFonts w:ascii="宋体" w:hAnsi="宋体" w:eastAsia="宋体"/>
          <w:color w:val="auto"/>
          <w:sz w:val="21"/>
          <w:szCs w:val="21"/>
          <w:highlight w:val="none"/>
        </w:rPr>
      </w:pPr>
      <w:r>
        <w:rPr>
          <w:rFonts w:hint="eastAsia" w:ascii="宋体" w:hAnsi="宋体" w:eastAsia="宋体" w:cs="仿宋_GB2312"/>
          <w:color w:val="auto"/>
          <w:sz w:val="21"/>
          <w:szCs w:val="21"/>
          <w:highlight w:val="none"/>
        </w:rPr>
        <w:t>维修保养时间考核</w:t>
      </w:r>
    </w:p>
    <w:tbl>
      <w:tblPr>
        <w:tblStyle w:val="47"/>
        <w:tblW w:w="0" w:type="auto"/>
        <w:jc w:val="center"/>
        <w:tblLayout w:type="fixed"/>
        <w:tblCellMar>
          <w:top w:w="0" w:type="dxa"/>
          <w:left w:w="108" w:type="dxa"/>
          <w:bottom w:w="0" w:type="dxa"/>
          <w:right w:w="108" w:type="dxa"/>
        </w:tblCellMar>
      </w:tblPr>
      <w:tblGrid>
        <w:gridCol w:w="798"/>
        <w:gridCol w:w="1633"/>
        <w:gridCol w:w="4255"/>
        <w:gridCol w:w="1693"/>
      </w:tblGrid>
      <w:tr>
        <w:tblPrEx>
          <w:tblCellMar>
            <w:top w:w="0" w:type="dxa"/>
            <w:left w:w="108" w:type="dxa"/>
            <w:bottom w:w="0" w:type="dxa"/>
            <w:right w:w="108" w:type="dxa"/>
          </w:tblCellMar>
        </w:tblPrEx>
        <w:trPr>
          <w:trHeight w:val="388"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6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维修保养内容</w:t>
            </w:r>
          </w:p>
        </w:tc>
        <w:tc>
          <w:tcPr>
            <w:tcW w:w="4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维保时间标准</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11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前端设备</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前端摄像机和镜头至少每半个月一次，其它设备至少每季度一次</w:t>
            </w:r>
          </w:p>
        </w:tc>
        <w:tc>
          <w:tcPr>
            <w:tcW w:w="169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抽查不按时维保，发现一次扣罚</w:t>
            </w:r>
            <w:r>
              <w:rPr>
                <w:rFonts w:ascii="宋体" w:hAnsi="宋体" w:cs="仿宋_GB2312"/>
                <w:color w:val="auto"/>
                <w:kern w:val="0"/>
                <w:szCs w:val="21"/>
                <w:highlight w:val="none"/>
              </w:rPr>
              <w:t>2000</w:t>
            </w:r>
            <w:r>
              <w:rPr>
                <w:rFonts w:hint="eastAsia" w:ascii="宋体" w:hAnsi="宋体" w:cs="仿宋_GB2312"/>
                <w:color w:val="auto"/>
                <w:kern w:val="0"/>
                <w:szCs w:val="21"/>
                <w:highlight w:val="none"/>
              </w:rPr>
              <w:t>元</w:t>
            </w:r>
          </w:p>
        </w:tc>
      </w:tr>
      <w:tr>
        <w:tblPrEx>
          <w:tblCellMar>
            <w:top w:w="0" w:type="dxa"/>
            <w:left w:w="108" w:type="dxa"/>
            <w:bottom w:w="0" w:type="dxa"/>
            <w:right w:w="108" w:type="dxa"/>
          </w:tblCellMar>
        </w:tblPrEx>
        <w:trPr>
          <w:trHeight w:val="9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传输网络</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至少每个月一次</w:t>
            </w:r>
          </w:p>
        </w:tc>
        <w:tc>
          <w:tcPr>
            <w:tcW w:w="1693"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后端设备</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至少每个月一次</w:t>
            </w:r>
          </w:p>
        </w:tc>
        <w:tc>
          <w:tcPr>
            <w:tcW w:w="169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仿宋_GB2312"/>
          <w:color w:val="auto"/>
          <w:sz w:val="21"/>
          <w:szCs w:val="21"/>
          <w:highlight w:val="none"/>
        </w:rPr>
      </w:pPr>
      <w:r>
        <w:rPr>
          <w:rFonts w:hint="eastAsia" w:ascii="宋体" w:hAnsi="宋体" w:eastAsia="宋体" w:cs="仿宋_GB2312"/>
          <w:color w:val="auto"/>
          <w:sz w:val="21"/>
          <w:szCs w:val="21"/>
          <w:highlight w:val="none"/>
        </w:rPr>
        <w:t>故障响应处理时限考核</w:t>
      </w:r>
    </w:p>
    <w:p>
      <w:pPr>
        <w:adjustRightInd w:val="0"/>
        <w:spacing w:line="360" w:lineRule="auto"/>
        <w:ind w:firstLine="420" w:firstLineChars="200"/>
        <w:textAlignment w:val="baseline"/>
        <w:rPr>
          <w:rFonts w:ascii="宋体" w:hAnsi="宋体"/>
          <w:color w:val="auto"/>
          <w:kern w:val="0"/>
          <w:szCs w:val="21"/>
          <w:highlight w:val="none"/>
          <w:lang w:val="zh-CN"/>
        </w:rPr>
      </w:pPr>
      <w:r>
        <w:rPr>
          <w:rFonts w:hint="eastAsia" w:ascii="宋体" w:hAnsi="宋体" w:cs="仿宋_GB2312"/>
          <w:color w:val="auto"/>
          <w:kern w:val="0"/>
          <w:szCs w:val="21"/>
          <w:highlight w:val="none"/>
          <w:lang w:val="zh-CN"/>
        </w:rPr>
        <w:t>中标人需提供</w:t>
      </w:r>
      <w:r>
        <w:rPr>
          <w:rFonts w:ascii="宋体" w:hAnsi="宋体"/>
          <w:color w:val="auto"/>
          <w:kern w:val="0"/>
          <w:szCs w:val="21"/>
          <w:highlight w:val="none"/>
          <w:lang w:val="zh-CN"/>
        </w:rPr>
        <w:t>7×24</w:t>
      </w:r>
      <w:r>
        <w:rPr>
          <w:rFonts w:hint="eastAsia" w:ascii="宋体" w:hAnsi="宋体" w:cs="仿宋_GB2312"/>
          <w:color w:val="auto"/>
          <w:kern w:val="0"/>
          <w:szCs w:val="21"/>
          <w:highlight w:val="none"/>
          <w:lang w:val="zh-CN"/>
        </w:rPr>
        <w:t>小时响应服务，具体响应方式及响应时间具体内容如下：</w:t>
      </w:r>
    </w:p>
    <w:p>
      <w:pPr>
        <w:spacing w:line="360" w:lineRule="auto"/>
        <w:ind w:firstLine="420" w:firstLineChars="200"/>
        <w:rPr>
          <w:rFonts w:hint="eastAsia" w:ascii="宋体" w:hAnsi="宋体" w:cs="仿宋_GB2312"/>
          <w:color w:val="auto"/>
          <w:kern w:val="0"/>
          <w:szCs w:val="21"/>
          <w:highlight w:val="none"/>
          <w:lang w:val="zh-CN"/>
        </w:rPr>
      </w:pPr>
      <w:r>
        <w:rPr>
          <w:rFonts w:hint="eastAsia" w:ascii="宋体" w:hAnsi="宋体" w:cs="仿宋_GB2312"/>
          <w:color w:val="auto"/>
          <w:kern w:val="0"/>
          <w:szCs w:val="21"/>
          <w:highlight w:val="none"/>
          <w:lang w:val="zh-CN"/>
        </w:rPr>
        <w:t>到达现场后，需</w:t>
      </w:r>
      <w:r>
        <w:rPr>
          <w:rFonts w:ascii="宋体" w:hAnsi="宋体"/>
          <w:color w:val="auto"/>
          <w:kern w:val="0"/>
          <w:szCs w:val="21"/>
          <w:highlight w:val="none"/>
          <w:lang w:val="zh-CN"/>
        </w:rPr>
        <w:t>8</w:t>
      </w:r>
      <w:r>
        <w:rPr>
          <w:rFonts w:hint="eastAsia" w:ascii="宋体" w:hAnsi="宋体" w:cs="仿宋_GB2312"/>
          <w:color w:val="auto"/>
          <w:kern w:val="0"/>
          <w:szCs w:val="21"/>
          <w:highlight w:val="none"/>
          <w:lang w:val="zh-CN"/>
        </w:rPr>
        <w:t>小时内修复，故障修复时间均以</w:t>
      </w:r>
      <w:r>
        <w:rPr>
          <w:rFonts w:hint="eastAsia" w:ascii="宋体" w:hAnsi="宋体" w:cs="仿宋_GB2312"/>
          <w:color w:val="auto"/>
          <w:kern w:val="0"/>
          <w:szCs w:val="21"/>
          <w:highlight w:val="none"/>
          <w:lang w:val="en-US" w:eastAsia="zh-CN"/>
        </w:rPr>
        <w:t>采购人</w:t>
      </w:r>
      <w:r>
        <w:rPr>
          <w:rFonts w:hint="eastAsia" w:ascii="宋体" w:hAnsi="宋体" w:cs="仿宋_GB2312"/>
          <w:color w:val="auto"/>
          <w:kern w:val="0"/>
          <w:szCs w:val="21"/>
          <w:highlight w:val="none"/>
          <w:lang w:val="zh-CN"/>
        </w:rPr>
        <w:t>申报开始计时，若有特殊情况须经</w:t>
      </w:r>
      <w:r>
        <w:rPr>
          <w:rFonts w:hint="eastAsia" w:ascii="宋体" w:hAnsi="宋体" w:cs="仿宋_GB2312"/>
          <w:color w:val="auto"/>
          <w:kern w:val="0"/>
          <w:szCs w:val="21"/>
          <w:highlight w:val="none"/>
          <w:lang w:val="en-US" w:eastAsia="zh-CN"/>
        </w:rPr>
        <w:t>采购人</w:t>
      </w:r>
      <w:r>
        <w:rPr>
          <w:rFonts w:hint="eastAsia" w:ascii="宋体" w:hAnsi="宋体" w:cs="仿宋_GB2312"/>
          <w:color w:val="auto"/>
          <w:kern w:val="0"/>
          <w:szCs w:val="21"/>
          <w:highlight w:val="none"/>
          <w:lang w:val="zh-CN"/>
        </w:rPr>
        <w:t>书面同意方可延长故障排除时间。</w:t>
      </w:r>
    </w:p>
    <w:tbl>
      <w:tblPr>
        <w:tblStyle w:val="47"/>
        <w:tblpPr w:leftFromText="180" w:rightFromText="180" w:vertAnchor="text" w:horzAnchor="page" w:tblpX="1680" w:tblpY="148"/>
        <w:tblOverlap w:val="never"/>
        <w:tblW w:w="87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5"/>
        <w:gridCol w:w="3283"/>
        <w:gridCol w:w="3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故障类型</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故障内容</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响应时间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故障驱动响应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设备出现警告，不影响系统运行</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8</w:t>
            </w:r>
            <w:r>
              <w:rPr>
                <w:rFonts w:hint="eastAsia" w:ascii="宋体" w:hAnsi="宋体" w:cs="仿宋_GB2312"/>
                <w:color w:val="auto"/>
                <w:szCs w:val="21"/>
                <w:highlight w:val="none"/>
              </w:rPr>
              <w:t>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服务请求响应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部分设备损坏，但系统正常运行</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4</w:t>
            </w:r>
            <w:r>
              <w:rPr>
                <w:rFonts w:hint="eastAsia" w:ascii="宋体" w:hAnsi="宋体" w:cs="仿宋_GB2312"/>
                <w:color w:val="auto"/>
                <w:szCs w:val="21"/>
                <w:highlight w:val="none"/>
              </w:rPr>
              <w:t>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应急响应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设备故障</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2</w:t>
            </w:r>
            <w:r>
              <w:rPr>
                <w:rFonts w:hint="eastAsia" w:ascii="宋体" w:hAnsi="宋体" w:cs="仿宋_GB2312"/>
                <w:color w:val="auto"/>
                <w:szCs w:val="21"/>
                <w:highlight w:val="none"/>
              </w:rPr>
              <w:t>小时内到达现场。</w:t>
            </w:r>
          </w:p>
        </w:tc>
      </w:tr>
    </w:tbl>
    <w:p>
      <w:pPr>
        <w:numPr>
          <w:ilvl w:val="0"/>
          <w:numId w:val="13"/>
        </w:numPr>
        <w:spacing w:line="360" w:lineRule="auto"/>
        <w:ind w:left="0" w:leftChars="0" w:firstLine="422" w:firstLineChars="200"/>
        <w:rPr>
          <w:rFonts w:ascii="宋体" w:hAnsi="宋体"/>
          <w:b/>
          <w:bCs/>
          <w:color w:val="auto"/>
          <w:szCs w:val="21"/>
          <w:highlight w:val="none"/>
        </w:rPr>
      </w:pPr>
      <w:r>
        <w:rPr>
          <w:rFonts w:hint="eastAsia" w:ascii="宋体" w:hAnsi="宋体" w:cs="仿宋_GB2312"/>
          <w:b/>
          <w:bCs/>
          <w:color w:val="auto"/>
          <w:szCs w:val="21"/>
          <w:highlight w:val="none"/>
        </w:rPr>
        <w:t>超时处置：</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845" w:leftChars="0" w:hanging="425" w:firstLineChars="0"/>
        <w:jc w:val="left"/>
        <w:textAlignment w:val="auto"/>
        <w:rPr>
          <w:rFonts w:ascii="宋体" w:hAnsi="宋体"/>
          <w:color w:val="auto"/>
          <w:szCs w:val="21"/>
          <w:highlight w:val="none"/>
        </w:rPr>
      </w:pPr>
      <w:r>
        <w:rPr>
          <w:rFonts w:hint="eastAsia" w:ascii="宋体" w:hAnsi="宋体" w:cs="仿宋_GB2312"/>
          <w:color w:val="auto"/>
          <w:szCs w:val="21"/>
          <w:highlight w:val="none"/>
        </w:rPr>
        <w:t>响应时间每超过</w:t>
      </w:r>
      <w:r>
        <w:rPr>
          <w:rFonts w:ascii="宋体" w:hAnsi="宋体" w:cs="仿宋_GB2312"/>
          <w:color w:val="auto"/>
          <w:szCs w:val="21"/>
          <w:highlight w:val="none"/>
        </w:rPr>
        <w:t>1</w:t>
      </w:r>
      <w:r>
        <w:rPr>
          <w:rFonts w:hint="eastAsia" w:ascii="宋体" w:hAnsi="宋体" w:cs="仿宋_GB2312"/>
          <w:color w:val="auto"/>
          <w:szCs w:val="21"/>
          <w:highlight w:val="none"/>
        </w:rPr>
        <w:t>小时，扣罚</w:t>
      </w:r>
      <w:r>
        <w:rPr>
          <w:rFonts w:ascii="宋体" w:hAnsi="宋体" w:cs="仿宋_GB2312"/>
          <w:color w:val="auto"/>
          <w:szCs w:val="21"/>
          <w:highlight w:val="none"/>
        </w:rPr>
        <w:t>200</w:t>
      </w:r>
      <w:r>
        <w:rPr>
          <w:rFonts w:hint="eastAsia" w:ascii="宋体" w:hAnsi="宋体" w:cs="仿宋_GB2312"/>
          <w:color w:val="auto"/>
          <w:szCs w:val="21"/>
          <w:highlight w:val="none"/>
        </w:rPr>
        <w:t>元；</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845" w:leftChars="0" w:hanging="425" w:firstLineChars="0"/>
        <w:jc w:val="left"/>
        <w:textAlignment w:val="auto"/>
        <w:rPr>
          <w:rFonts w:ascii="宋体" w:hAnsi="宋体"/>
          <w:color w:val="auto"/>
          <w:szCs w:val="21"/>
          <w:highlight w:val="none"/>
        </w:rPr>
      </w:pPr>
      <w:r>
        <w:rPr>
          <w:rFonts w:hint="eastAsia" w:ascii="宋体" w:hAnsi="宋体" w:cs="仿宋_GB2312"/>
          <w:color w:val="auto"/>
          <w:szCs w:val="21"/>
          <w:highlight w:val="none"/>
        </w:rPr>
        <w:t>故障处理每超时</w:t>
      </w:r>
      <w:r>
        <w:rPr>
          <w:rFonts w:ascii="宋体" w:hAnsi="宋体" w:cs="仿宋_GB2312"/>
          <w:color w:val="auto"/>
          <w:szCs w:val="21"/>
          <w:highlight w:val="none"/>
        </w:rPr>
        <w:t>1</w:t>
      </w:r>
      <w:r>
        <w:rPr>
          <w:rFonts w:hint="eastAsia" w:ascii="宋体" w:hAnsi="宋体" w:cs="仿宋_GB2312"/>
          <w:color w:val="auto"/>
          <w:szCs w:val="21"/>
          <w:highlight w:val="none"/>
        </w:rPr>
        <w:t>小时未修复，扣罚</w:t>
      </w:r>
      <w:r>
        <w:rPr>
          <w:rFonts w:ascii="宋体" w:hAnsi="宋体" w:cs="仿宋_GB2312"/>
          <w:color w:val="auto"/>
          <w:szCs w:val="21"/>
          <w:highlight w:val="none"/>
        </w:rPr>
        <w:t>200</w:t>
      </w:r>
      <w:r>
        <w:rPr>
          <w:rFonts w:hint="eastAsia" w:ascii="宋体" w:hAnsi="宋体" w:cs="仿宋_GB2312"/>
          <w:color w:val="auto"/>
          <w:szCs w:val="21"/>
          <w:highlight w:val="none"/>
        </w:rPr>
        <w:t>元（特殊情况</w:t>
      </w:r>
      <w:r>
        <w:rPr>
          <w:rFonts w:hint="eastAsia" w:ascii="宋体" w:hAnsi="宋体" w:cs="仿宋_GB2312"/>
          <w:color w:val="auto"/>
          <w:szCs w:val="21"/>
          <w:highlight w:val="none"/>
          <w:lang w:val="en-US" w:eastAsia="zh-CN"/>
        </w:rPr>
        <w:t>采购人</w:t>
      </w:r>
      <w:r>
        <w:rPr>
          <w:rFonts w:hint="eastAsia" w:ascii="宋体" w:hAnsi="宋体" w:cs="仿宋_GB2312"/>
          <w:color w:val="auto"/>
          <w:szCs w:val="21"/>
          <w:highlight w:val="none"/>
        </w:rPr>
        <w:t>书面同意延长排除时间的除外）；</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845" w:leftChars="0" w:hanging="425" w:firstLineChars="0"/>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故障处理严重超时，且无法提供</w:t>
      </w:r>
      <w:r>
        <w:rPr>
          <w:rFonts w:hint="eastAsia" w:ascii="宋体" w:hAnsi="宋体" w:cs="仿宋_GB2312"/>
          <w:color w:val="auto"/>
          <w:kern w:val="0"/>
          <w:szCs w:val="21"/>
          <w:highlight w:val="none"/>
          <w:lang w:val="en-US" w:eastAsia="zh-CN"/>
        </w:rPr>
        <w:t>采购人</w:t>
      </w:r>
      <w:r>
        <w:rPr>
          <w:rFonts w:hint="eastAsia" w:ascii="宋体" w:hAnsi="宋体" w:cs="仿宋_GB2312"/>
          <w:color w:val="auto"/>
          <w:szCs w:val="21"/>
          <w:highlight w:val="none"/>
        </w:rPr>
        <w:t>能认可的原因的，扣罚</w:t>
      </w:r>
      <w:r>
        <w:rPr>
          <w:rFonts w:ascii="宋体" w:hAnsi="宋体" w:cs="仿宋_GB2312"/>
          <w:color w:val="auto"/>
          <w:szCs w:val="21"/>
          <w:highlight w:val="none"/>
        </w:rPr>
        <w:t>1000</w:t>
      </w:r>
      <w:r>
        <w:rPr>
          <w:rFonts w:hint="eastAsia" w:ascii="宋体" w:hAnsi="宋体" w:cs="仿宋_GB2312"/>
          <w:color w:val="auto"/>
          <w:szCs w:val="21"/>
          <w:highlight w:val="none"/>
        </w:rPr>
        <w:t>元</w:t>
      </w:r>
      <w:r>
        <w:rPr>
          <w:rFonts w:ascii="宋体" w:hAnsi="宋体" w:cs="仿宋_GB2312"/>
          <w:color w:val="auto"/>
          <w:szCs w:val="21"/>
          <w:highlight w:val="none"/>
        </w:rPr>
        <w:t>/</w:t>
      </w:r>
      <w:r>
        <w:rPr>
          <w:rFonts w:hint="eastAsia" w:ascii="宋体" w:hAnsi="宋体" w:cs="仿宋_GB2312"/>
          <w:color w:val="auto"/>
          <w:szCs w:val="21"/>
          <w:highlight w:val="none"/>
        </w:rPr>
        <w:t>次。</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2.6.5日常巡检考核指标</w:t>
      </w:r>
    </w:p>
    <w:tbl>
      <w:tblPr>
        <w:tblStyle w:val="47"/>
        <w:tblW w:w="8980" w:type="dxa"/>
        <w:jc w:val="center"/>
        <w:tblLayout w:type="fixed"/>
        <w:tblCellMar>
          <w:top w:w="0" w:type="dxa"/>
          <w:left w:w="108" w:type="dxa"/>
          <w:bottom w:w="0" w:type="dxa"/>
          <w:right w:w="108" w:type="dxa"/>
        </w:tblCellMar>
      </w:tblPr>
      <w:tblGrid>
        <w:gridCol w:w="731"/>
        <w:gridCol w:w="1184"/>
        <w:gridCol w:w="5366"/>
        <w:gridCol w:w="1699"/>
      </w:tblGrid>
      <w:tr>
        <w:tblPrEx>
          <w:tblCellMar>
            <w:top w:w="0" w:type="dxa"/>
            <w:left w:w="108" w:type="dxa"/>
            <w:bottom w:w="0" w:type="dxa"/>
            <w:right w:w="108" w:type="dxa"/>
          </w:tblCellMar>
        </w:tblPrEx>
        <w:trPr>
          <w:trHeight w:val="94"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1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内容</w:t>
            </w:r>
          </w:p>
        </w:tc>
        <w:tc>
          <w:tcPr>
            <w:tcW w:w="5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巡检内容</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前端，线路，机房</w:t>
            </w:r>
          </w:p>
        </w:tc>
        <w:tc>
          <w:tcPr>
            <w:tcW w:w="1699"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抽查巡检不合格，扣罚</w:t>
            </w:r>
            <w:r>
              <w:rPr>
                <w:rFonts w:ascii="宋体" w:hAnsi="宋体" w:cs="仿宋_GB2312"/>
                <w:color w:val="auto"/>
                <w:kern w:val="0"/>
                <w:szCs w:val="21"/>
                <w:highlight w:val="none"/>
              </w:rPr>
              <w:t>1000</w:t>
            </w:r>
            <w:r>
              <w:rPr>
                <w:rFonts w:hint="eastAsia" w:ascii="宋体" w:hAnsi="宋体" w:cs="仿宋_GB2312"/>
                <w:color w:val="auto"/>
                <w:kern w:val="0"/>
                <w:szCs w:val="21"/>
                <w:highlight w:val="none"/>
              </w:rPr>
              <w:t>元</w:t>
            </w:r>
            <w:r>
              <w:rPr>
                <w:rFonts w:ascii="宋体" w:hAnsi="宋体" w:cs="仿宋_GB2312"/>
                <w:color w:val="auto"/>
                <w:kern w:val="0"/>
                <w:szCs w:val="21"/>
                <w:highlight w:val="none"/>
              </w:rPr>
              <w:t>/</w:t>
            </w:r>
            <w:r>
              <w:rPr>
                <w:rFonts w:hint="eastAsia" w:ascii="宋体" w:hAnsi="宋体" w:cs="仿宋_GB2312"/>
                <w:color w:val="auto"/>
                <w:kern w:val="0"/>
                <w:szCs w:val="21"/>
                <w:highlight w:val="none"/>
              </w:rPr>
              <w:t>次</w:t>
            </w: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巡检流程</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是否按照标准流程操作</w:t>
            </w:r>
          </w:p>
        </w:tc>
        <w:tc>
          <w:tcPr>
            <w:tcW w:w="169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巡检频率</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前端设备运行情况每天检查，线路、机房每个月检查一次</w:t>
            </w:r>
          </w:p>
        </w:tc>
        <w:tc>
          <w:tcPr>
            <w:tcW w:w="169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仿宋_GB2312"/>
          <w:b/>
          <w:bCs/>
          <w:color w:val="auto"/>
          <w:sz w:val="21"/>
          <w:szCs w:val="21"/>
          <w:highlight w:val="none"/>
          <w:lang w:val="en-US" w:eastAsia="zh-CN"/>
        </w:rPr>
      </w:pPr>
      <w:bookmarkStart w:id="69" w:name="_Toc480197898"/>
      <w:bookmarkStart w:id="70" w:name="_Toc427583178"/>
      <w:r>
        <w:rPr>
          <w:rFonts w:hint="eastAsia" w:ascii="宋体" w:hAnsi="宋体" w:eastAsia="宋体" w:cs="仿宋_GB2312"/>
          <w:b/>
          <w:bCs/>
          <w:color w:val="auto"/>
          <w:sz w:val="21"/>
          <w:szCs w:val="21"/>
          <w:highlight w:val="none"/>
          <w:lang w:val="en-US" w:eastAsia="zh-CN"/>
        </w:rPr>
        <w:t>2.6.6资源指标</w:t>
      </w:r>
      <w:bookmarkEnd w:id="69"/>
      <w:bookmarkEnd w:id="70"/>
    </w:p>
    <w:tbl>
      <w:tblPr>
        <w:tblStyle w:val="47"/>
        <w:tblW w:w="8911" w:type="dxa"/>
        <w:jc w:val="center"/>
        <w:tblLayout w:type="fixed"/>
        <w:tblCellMar>
          <w:top w:w="0" w:type="dxa"/>
          <w:left w:w="108" w:type="dxa"/>
          <w:bottom w:w="0" w:type="dxa"/>
          <w:right w:w="108" w:type="dxa"/>
        </w:tblCellMar>
      </w:tblPr>
      <w:tblGrid>
        <w:gridCol w:w="681"/>
        <w:gridCol w:w="1084"/>
        <w:gridCol w:w="5409"/>
        <w:gridCol w:w="1737"/>
      </w:tblGrid>
      <w:tr>
        <w:tblPrEx>
          <w:tblCellMar>
            <w:top w:w="0" w:type="dxa"/>
            <w:left w:w="108" w:type="dxa"/>
            <w:bottom w:w="0" w:type="dxa"/>
            <w:right w:w="108" w:type="dxa"/>
          </w:tblCellMar>
        </w:tblPrEx>
        <w:trPr>
          <w:trHeight w:val="595" w:hRule="atLeas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资源内容</w:t>
            </w:r>
          </w:p>
        </w:tc>
        <w:tc>
          <w:tcPr>
            <w:tcW w:w="54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227"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备品备件</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仿宋_GB2312"/>
                <w:color w:val="auto"/>
                <w:kern w:val="0"/>
                <w:szCs w:val="21"/>
                <w:highlight w:val="none"/>
              </w:rPr>
            </w:pPr>
            <w:r>
              <w:rPr>
                <w:rFonts w:hint="eastAsia" w:ascii="宋体" w:hAnsi="宋体" w:cs="仿宋_GB2312"/>
                <w:color w:val="auto"/>
                <w:kern w:val="0"/>
                <w:szCs w:val="21"/>
                <w:highlight w:val="none"/>
                <w:lang w:eastAsia="zh-CN"/>
              </w:rPr>
              <w:t>中标人</w:t>
            </w:r>
            <w:r>
              <w:rPr>
                <w:rFonts w:hint="eastAsia" w:ascii="宋体" w:hAnsi="宋体" w:cs="仿宋_GB2312"/>
                <w:color w:val="auto"/>
                <w:kern w:val="0"/>
                <w:szCs w:val="21"/>
                <w:highlight w:val="none"/>
              </w:rPr>
              <w:t>在保修期内免费提供保证系统运行的全部部件及维护，对于故障件的紧急需求须提供紧急备件支持，备品率是否达到</w:t>
            </w:r>
            <w:r>
              <w:rPr>
                <w:rFonts w:ascii="宋体" w:hAnsi="宋体" w:cs="仿宋_GB2312"/>
                <w:color w:val="auto"/>
                <w:kern w:val="0"/>
                <w:szCs w:val="21"/>
                <w:highlight w:val="none"/>
              </w:rPr>
              <w:t>5%</w:t>
            </w:r>
          </w:p>
        </w:tc>
        <w:tc>
          <w:tcPr>
            <w:tcW w:w="1737"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检查不合格，每次扣罚</w:t>
            </w:r>
            <w:r>
              <w:rPr>
                <w:rFonts w:ascii="宋体" w:hAnsi="宋体" w:cs="仿宋_GB2312"/>
                <w:color w:val="auto"/>
                <w:kern w:val="0"/>
                <w:szCs w:val="21"/>
                <w:highlight w:val="none"/>
              </w:rPr>
              <w:t>1000</w:t>
            </w:r>
            <w:r>
              <w:rPr>
                <w:rFonts w:hint="eastAsia" w:ascii="宋体" w:hAnsi="宋体" w:cs="仿宋_GB2312"/>
                <w:color w:val="auto"/>
                <w:kern w:val="0"/>
                <w:szCs w:val="21"/>
                <w:highlight w:val="none"/>
              </w:rPr>
              <w:t>元</w:t>
            </w:r>
          </w:p>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运维工具</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固定维修车辆</w:t>
            </w:r>
            <w:r>
              <w:rPr>
                <w:rFonts w:ascii="宋体" w:hAnsi="宋体" w:cs="仿宋_GB2312"/>
                <w:color w:val="auto"/>
                <w:kern w:val="0"/>
                <w:szCs w:val="21"/>
                <w:highlight w:val="none"/>
              </w:rPr>
              <w:t>1</w:t>
            </w:r>
            <w:r>
              <w:rPr>
                <w:rFonts w:hint="eastAsia" w:ascii="宋体" w:hAnsi="宋体" w:cs="仿宋_GB2312"/>
                <w:color w:val="auto"/>
                <w:kern w:val="0"/>
                <w:szCs w:val="21"/>
                <w:highlight w:val="none"/>
              </w:rPr>
              <w:t>辆，必备的工器具包括但不限于笔记本电脑、万用表、工程宝、网线钳、光功率计等各种仪器仪表和工器具</w:t>
            </w:r>
          </w:p>
        </w:tc>
        <w:tc>
          <w:tcPr>
            <w:tcW w:w="173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219"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故障件</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lang w:eastAsia="zh-CN"/>
              </w:rPr>
              <w:t>中标人</w:t>
            </w:r>
            <w:r>
              <w:rPr>
                <w:rFonts w:hint="eastAsia" w:ascii="宋体" w:hAnsi="宋体" w:cs="仿宋_GB2312"/>
                <w:color w:val="auto"/>
                <w:kern w:val="0"/>
                <w:szCs w:val="21"/>
                <w:highlight w:val="none"/>
              </w:rPr>
              <w:t>须提供故障件更换、返修服务，保修期内设备发生故障后，通知</w:t>
            </w:r>
            <w:r>
              <w:rPr>
                <w:rFonts w:hint="eastAsia" w:ascii="宋体" w:hAnsi="宋体" w:cs="仿宋_GB2312"/>
                <w:color w:val="auto"/>
                <w:kern w:val="0"/>
                <w:szCs w:val="21"/>
                <w:highlight w:val="none"/>
                <w:lang w:eastAsia="zh-CN"/>
              </w:rPr>
              <w:t>中标人</w:t>
            </w:r>
            <w:r>
              <w:rPr>
                <w:rFonts w:hint="eastAsia" w:ascii="宋体" w:hAnsi="宋体" w:cs="仿宋_GB2312"/>
                <w:color w:val="auto"/>
                <w:kern w:val="0"/>
                <w:szCs w:val="21"/>
                <w:highlight w:val="none"/>
              </w:rPr>
              <w:t>，同时寄返故障件，</w:t>
            </w:r>
            <w:r>
              <w:rPr>
                <w:rFonts w:hint="eastAsia" w:ascii="宋体" w:hAnsi="宋体" w:cs="仿宋_GB2312"/>
                <w:color w:val="auto"/>
                <w:kern w:val="0"/>
                <w:szCs w:val="21"/>
                <w:highlight w:val="none"/>
                <w:lang w:eastAsia="zh-CN"/>
              </w:rPr>
              <w:t>中标人</w:t>
            </w:r>
            <w:r>
              <w:rPr>
                <w:rFonts w:hint="eastAsia" w:ascii="宋体" w:hAnsi="宋体" w:cs="仿宋_GB2312"/>
                <w:color w:val="auto"/>
                <w:kern w:val="0"/>
                <w:szCs w:val="21"/>
                <w:highlight w:val="none"/>
              </w:rPr>
              <w:t>须提供故障件维修服务，承担返修过程中所发生的一切快递或者物流费用</w:t>
            </w:r>
          </w:p>
        </w:tc>
        <w:tc>
          <w:tcPr>
            <w:tcW w:w="1737"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pStyle w:val="6"/>
        <w:keepNext/>
        <w:keepLines/>
        <w:pageBreakBefore w:val="0"/>
        <w:widowControl w:val="0"/>
        <w:numPr>
          <w:ilvl w:val="2"/>
          <w:numId w:val="0"/>
        </w:numPr>
        <w:tabs>
          <w:tab w:val="left" w:pos="425"/>
          <w:tab w:val="left" w:pos="1418"/>
          <w:tab w:val="left" w:pos="1560"/>
        </w:tabs>
        <w:kinsoku/>
        <w:wordWrap/>
        <w:overflowPunct/>
        <w:topLinePunct w:val="0"/>
        <w:autoSpaceDE/>
        <w:autoSpaceDN/>
        <w:bidi w:val="0"/>
        <w:adjustRightInd/>
        <w:snapToGrid/>
        <w:spacing w:before="0" w:after="0" w:line="360" w:lineRule="auto"/>
        <w:ind w:left="709" w:hanging="709"/>
        <w:textAlignment w:val="auto"/>
        <w:rPr>
          <w:rFonts w:hint="default"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2</w:t>
      </w:r>
      <w:r>
        <w:rPr>
          <w:rFonts w:hint="eastAsia" w:ascii="宋体" w:hAnsi="宋体" w:eastAsia="宋体" w:cs="仿宋_GB2312"/>
          <w:b/>
          <w:bCs/>
          <w:color w:val="auto"/>
          <w:sz w:val="21"/>
          <w:szCs w:val="21"/>
          <w:highlight w:val="none"/>
          <w:lang w:eastAsia="zh-CN"/>
        </w:rPr>
        <w:t>.</w:t>
      </w:r>
      <w:r>
        <w:rPr>
          <w:rFonts w:hint="default" w:ascii="宋体" w:hAnsi="宋体" w:eastAsia="宋体" w:cs="仿宋_GB2312"/>
          <w:b/>
          <w:bCs/>
          <w:color w:val="auto"/>
          <w:sz w:val="21"/>
          <w:szCs w:val="21"/>
          <w:highlight w:val="none"/>
          <w:lang w:val="en-US" w:eastAsia="zh-CN"/>
        </w:rPr>
        <w:t>7</w:t>
      </w:r>
      <w:r>
        <w:rPr>
          <w:rFonts w:hint="eastAsia" w:ascii="宋体" w:hAnsi="宋体" w:eastAsia="宋体" w:cs="仿宋_GB2312"/>
          <w:b/>
          <w:bCs/>
          <w:color w:val="auto"/>
          <w:sz w:val="21"/>
          <w:szCs w:val="21"/>
          <w:highlight w:val="none"/>
          <w:lang w:val="en-US" w:eastAsia="zh-CN"/>
        </w:rPr>
        <w:t>承建单位要求</w:t>
      </w:r>
    </w:p>
    <w:p>
      <w:pPr>
        <w:spacing w:line="360" w:lineRule="auto"/>
        <w:ind w:firstLine="420" w:firstLineChars="200"/>
        <w:rPr>
          <w:rFonts w:hint="eastAsia"/>
          <w:color w:val="auto"/>
          <w:highlight w:val="none"/>
          <w:lang w:val="zh-CN" w:eastAsia="zh-CN"/>
        </w:rPr>
      </w:pPr>
      <w:r>
        <w:rPr>
          <w:rFonts w:hint="eastAsia" w:ascii="宋体" w:hAnsi="宋体" w:eastAsia="宋体" w:cs="仿宋_GB2312"/>
          <w:color w:val="auto"/>
          <w:kern w:val="0"/>
          <w:szCs w:val="21"/>
          <w:highlight w:val="none"/>
          <w:lang w:val="en-US" w:eastAsia="zh-CN"/>
        </w:rPr>
        <w:t>因本项目涉及网络割接、云存储升级、系统平台的升级和部署，与上级平台的对接开发，并且视频监控数据需保密，因此要求供应商有完善的质量管理体系、信息技术管理体系、信息安全管理体系、环境管理体系。承建企业负责本项目的技术团队也需具备项目管理认证、网络工程师、信息安全专业人员、软件工程师、通信工程师和数据库工程师等专业人员。</w:t>
      </w:r>
    </w:p>
    <w:p>
      <w:pPr>
        <w:numPr>
          <w:ilvl w:val="0"/>
          <w:numId w:val="7"/>
        </w:numP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运维监控点位清单</w:t>
      </w:r>
    </w:p>
    <w:p>
      <w:pPr>
        <w:pStyle w:val="6"/>
        <w:keepNext/>
        <w:keepLines/>
        <w:pageBreakBefore w:val="0"/>
        <w:widowControl w:val="0"/>
        <w:numPr>
          <w:ilvl w:val="2"/>
          <w:numId w:val="0"/>
        </w:numPr>
        <w:tabs>
          <w:tab w:val="left" w:pos="425"/>
          <w:tab w:val="left" w:pos="1418"/>
          <w:tab w:val="left" w:pos="1560"/>
        </w:tabs>
        <w:kinsoku/>
        <w:wordWrap/>
        <w:overflowPunct/>
        <w:topLinePunct w:val="0"/>
        <w:autoSpaceDE/>
        <w:autoSpaceDN/>
        <w:bidi w:val="0"/>
        <w:adjustRightInd/>
        <w:snapToGrid/>
        <w:spacing w:before="0" w:after="0" w:line="360" w:lineRule="auto"/>
        <w:ind w:left="709" w:hanging="709"/>
        <w:textAlignment w:val="auto"/>
        <w:rPr>
          <w:rFonts w:hint="default"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3</w:t>
      </w:r>
      <w:r>
        <w:rPr>
          <w:rFonts w:hint="default" w:ascii="宋体" w:hAnsi="宋体" w:eastAsia="宋体" w:cs="仿宋_GB2312"/>
          <w:b/>
          <w:bCs/>
          <w:color w:val="auto"/>
          <w:sz w:val="21"/>
          <w:szCs w:val="21"/>
          <w:highlight w:val="none"/>
          <w:lang w:val="en-US" w:eastAsia="zh-CN"/>
        </w:rPr>
        <w:t>.1</w:t>
      </w:r>
      <w:r>
        <w:rPr>
          <w:rFonts w:hint="eastAsia" w:ascii="宋体" w:hAnsi="宋体" w:eastAsia="宋体" w:cs="仿宋_GB2312"/>
          <w:b/>
          <w:bCs/>
          <w:color w:val="auto"/>
          <w:sz w:val="21"/>
          <w:szCs w:val="21"/>
          <w:highlight w:val="none"/>
          <w:lang w:val="en-US" w:eastAsia="zh-CN"/>
        </w:rPr>
        <w:t>一期点位清单</w:t>
      </w:r>
    </w:p>
    <w:tbl>
      <w:tblPr>
        <w:tblStyle w:val="47"/>
        <w:tblW w:w="8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6"/>
        <w:gridCol w:w="2420"/>
        <w:gridCol w:w="4750"/>
        <w:gridCol w:w="992"/>
      </w:tblGrid>
      <w:tr>
        <w:tblPrEx>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点位序号</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点位名称</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点位具体安装位置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摄像机类型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里孙自然村晒场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里孙自然村晒场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东杨村幼儿园门口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东杨村幼儿园，小学门口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东阳村委会</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东阳村村委会旁桥头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大漕桥头进出口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大漕桥头进出口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大漕北边进出口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大漕北边进出口（桥旁）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东杨创峰企业路口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东杨创峰企业与横古公路交叉口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千丈镜村出口桥边</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（千丈镜自然村进出口）桥头南边第一根水泥杆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西杨村委前晒场1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西杨村村委会前晒场总路口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西杨村委前晒场2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西杨村村委会前晒场总路口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西杨村委前晒场3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西杨村村委会前晒场总路口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后岸自然村进出口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后岸自然村进出口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小洞桥村进出口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小洞桥自然村进出口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杜何村与横古公路</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杜何自然村与横古公路交叉口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里仁村与横古公路</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里仁自然村与横古公路交叉口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前顾村进出口1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前顾自然村进出口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前顾村进出口2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前顾自然村进出口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里仁希望小学1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里仁与希望小学进出口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里仁希望小学2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里仁与希望小学进出口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上王村委会路口1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上王村村委会前总路进出口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上王村委会路口2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上王村村委会前总路进出口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上王村公交总站1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上王村公交车总站旁，下王225号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上王村公交总站2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上王村公交车总站旁，下王225号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三眼桥桥头进出口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三眼桥桥头进出口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桃浦桥1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通往桃浦桥与各自然村的进出口（桃浦桥上）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桃浦桥2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通往桃浦桥与各自然村的进出口（桃浦桥上）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上王与西杨连接1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上王村与西杨村的连接口（公园旁）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上王与西杨连接2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上王村与西杨村的连接口（公园旁）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上王与西杨连接3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上王村与西杨村的连接口（公园旁）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轻纺城南侧入口绿化带</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横涨街中心桥头集中路口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横涨街中心桥头集中路口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横涨街中心桥头集中路口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横涨村北出口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横涨村中心北路北出村口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谢家馋老年活动室1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横涨村谢家馋老年活动室人员密集处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谢家馋老年活动室2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横涨村谢家馋老年活动室人员密集处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横涨村东出口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横涨村中心北路东出口与横古公路相连处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横古公路34省道1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横古公路与34省道交叉口东侧绿化带上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横古公路34省道2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横古公路与35省道交叉口东侧绿化带上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横古公路34省道3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横古公路与36省道交叉口东侧绿化带上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横涨村七乡桥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朱韩公园1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朱韩村朱韩公园</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朱韩公园2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朱韩村朱韩公园</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34省道黄</w:t>
            </w:r>
            <w:r>
              <w:rPr>
                <w:rFonts w:hint="eastAsia" w:ascii="宋体" w:hAnsi="宋体" w:eastAsia="宋体" w:cs="宋体"/>
                <w:i w:val="0"/>
                <w:iCs w:val="0"/>
                <w:color w:val="auto"/>
                <w:kern w:val="0"/>
                <w:sz w:val="21"/>
                <w:szCs w:val="21"/>
                <w:highlight w:val="none"/>
                <w:u w:val="none"/>
                <w:lang w:val="en-US" w:eastAsia="zh-CN" w:bidi="ar-SA"/>
              </w:rPr>
              <w:t>碶公交站</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34省道黄</w:t>
            </w:r>
            <w:r>
              <w:rPr>
                <w:rFonts w:hint="eastAsia" w:ascii="宋体" w:hAnsi="宋体" w:eastAsia="宋体" w:cs="宋体"/>
                <w:i w:val="0"/>
                <w:iCs w:val="0"/>
                <w:color w:val="auto"/>
                <w:kern w:val="0"/>
                <w:sz w:val="21"/>
                <w:szCs w:val="21"/>
                <w:highlight w:val="none"/>
                <w:u w:val="none"/>
                <w:lang w:val="en-US" w:eastAsia="zh-CN" w:bidi="ar-SA"/>
              </w:rPr>
              <w:t>碶村公交站</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轻纺城北侧角落垃圾桶旁（内移）</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34省道鄞州大道口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雅戈尔大道与鄞州大道路口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宁缝工业区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宁缝工业区（雅源幼儿园旁）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冯家小学路口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冯家小学路口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冯家村委旁</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冯家冯北明小店门口（冯家村委旁）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冯家徐平毛厂路口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冯家徐平毛厂路口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后仓公交车站对面公共厕所旁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双龙木业门口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双龙木业门口（鄞县大道1399-1号，立翔塑胶旁）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轻纺城内三联家私对面商铺（电梯）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冯家108车站对面</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冯家108车站对面（洪渡新村大门西侧）</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冯家董徐路口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冯家董徐路口（洪渡新村大门对面）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冯家洪渡工业区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冯家洪渡工业区路口，（鲍家9号，机场路往内10米）</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鄞县大道378弄</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鄞县大道378弄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上河头竹木市场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冯家上河头竹木市场路口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冯家村绕湖桥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冯家村绕湖桥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洪渡新村1幢出口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洪渡新村1幢出口（石源路）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洪渡新村12幢出口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洪渡新村（工业区12幢旁，石源路旁）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后仓村菜场东大门</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后仓村菜场东大门口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后仓汤家坟头桥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后仓汤家坟头桥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后仓永峰混泥土</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后仓永峰混泥土三叉口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东升纺织厂大门口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后仓下田庄桥头鄞县大道上（东升纺织厂大门口）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后仓雅田庄三叉口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后仓雅田庄三叉口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后仓永兴印花厂</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后仓永兴印花厂门口（鄞县大道上）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后仓汤家路口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后仓汤家路口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后仓红星小学</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后仓红星小学三叉口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后仓仓前29号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后仓仓前刘学贵门口（仓前29号）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后仓冯沈漕30号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后仓宋高云门口（冯沈漕30号）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后仓露头街</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后仓路头街胡冬芸门口（露头街10号，沸蓝网吧往西的三叉路口）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后仓沈家34号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后仓会计庙边（沈家34号）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后仓西边米厂门口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后仓西边米厂门口（西边5号）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后仓西边61号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后仓西边叶祖光门口（西边61号）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后仓西边太原桥头</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后仓西边太原桥头（西边45号）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后仓工业区路口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后仓工业区路口（与鄞县大道交叉口（亿德家具旁）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后仓仓前98号桥头</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后仓仓前桥头（仓前98号）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姜姓三叉口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汪家姜姓18号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汪家姜姓姜再良门口（姜姓18号）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汪家与横古公路1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汪家村横古公路桥头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汪家与横古公路2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汪家村横古公路桥头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汪家项岳财门口1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汪家项岳财门口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汪家项岳财门口2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汪家项岳财门口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郑森林葡萄园1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汪家郑森林葡萄园路口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郑森林葡萄园2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汪家郑森林葡萄园路口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葡萄园往南绿房子</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汪家郑森林葡萄园路口往南绿色房子三叉口路旁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海军基地门口1（教师公寓2）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汪家长潭王进口与何家交界口（海军基地门口）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海军基地门口2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汪家长潭王进口与何家交界口（海军基地门口）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长潭王与何家方向</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汪家长潭王与何家方向（桥旁）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长潭王157号桥旁</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汪家长潭王进龚林芳桥头路口（长潭王157号旁）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长潭王祠堂（34号）</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汪家进长潭王祠堂门口路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洪渡新村5幢旁1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汪家侯伟塑料厂三叉口与共任交界（洪渡新村5幢旁）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洪渡新村5幢旁2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汪家侯伟塑料厂三叉口与共任交界（洪渡新村6幢旁）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洪渡新村正大门</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洪渡新村正大门</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洪渡新村菜场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洪渡新村菜场内老年协会房子的墙壁上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洪渡新村啊六门口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阿六门口到洪渡新村门口一水果店交界地方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星光村一号路出口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星光村一号路中段往村委会三叉口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星光庙桥头1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星光庙桥头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星光庙桥头2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星光庙桥头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联丰村口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联丰村口（河边）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屠家小路往东出口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黄隘屠家小路往东出口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联丰黄隘三叉口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黄隘村委会附近往联丰三叉口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34省道栎社阀门厂</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34省道栎社阀门厂口（明翔振动棒软轴厂）</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34省道栎社华家新村</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34省道栎社华家新村口(河边）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雅杰商务楼</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鄞县大道雅杰商务楼前桥边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雅杰商务楼（轻纺城南侧路口2）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鄞县大道雅杰商务楼前桥边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元康大酒店右侧</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元康大酒店出门右边（盛丰宾馆旁）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老交警队路口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老交警队路口通往星光移民新村</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绿迪制衣厂路口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绿迪制衣厂路口（34省道上）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34省道赵家路口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34省道栎社村委会马路对面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栎社卫生院路口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34省道往波波幼儿园路口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欣明粉末涂料</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栎社新工业区（老交警对面）34省道欣明粉末涂料</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栎社工业区南路口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栎社工业区南路口（老交警对面）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联丰杨家桥南路口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汪家村委会旁（老机场路）（杨家桥西76号）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栎社车站新村机场路口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栎社车站新村机场路口，中铁一局工地位置（车站新村西六幢）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轻纺城灯具城</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轻纺城内灯具城对面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栎社东庄赵家桥头</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栎社东庄、赵家相连桥头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栎社赵家机场路口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栎社赵家机场路口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东庄机场路口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东庄机场路口(通往机场路的高架桥底下)</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鄞县大道宁波甬城税务</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鄞县大道宁波甬城税务前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后车桥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34省道往后车进去第一座桥，后车桥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后车新桥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后车新桥，后车底老六头晒场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后车走西桥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后车走西桥</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何家菜场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车何渡村新菜场前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车何敬老院</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车何新敬老院斜对面空地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前头门晒场1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前头门四队晒场，靠河边（车何228号）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前头门晒场2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前头门四队晒场，靠河边（车何229号）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前河桥头</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前河桥头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何家祠堂1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何家祠堂靠河边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何家祠堂2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何家祠堂靠河边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车何工业区路</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车何工业区路董家桥头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车何工业区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车何工业区村委会旁边的路中间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北渡新桥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北渡新桥桥头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砖瓦厂小溪桥</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砖瓦厂小溪桥头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北渡菜场</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北渡菜场前空地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周世房</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北渡菜场小路进去周世房</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北渡三眼桥（北渡459号）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三眼桥2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北渡三眼桥（北渡459号）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陈家墙门老街</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陈家墙门老街（北渡335号）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塘西村</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塘西村商贸路通过晨卿小学入口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塘西陈江岸</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汽运小区后门与商贸路交叉口通往陈江岸</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塘西赵家渡</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雅戈尔大道与赵家渡路口（雅戈尔大道82号）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雅戈尔公园宝积庵</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宝积庵牌楼对面（抱杆）</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中华纸业对面</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中华纸业对面通往汽运小区入口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塘西陈江岸</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雅戈尔针织厂东边通往陈江岸的一条小路路口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塘西村</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雅戈尔大道通往工程学院三幢房子路口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塘西村(加油站旁)</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雅戈尔大道加油站旁边通往税务所一条小路路口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雅源南路86弄入口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雅源南路86弄入口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碶教堂路口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碶教堂路口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雅源南路工业区入口东</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雅源南路工业区入口东</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雅源南路工业区入口西</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雅源南路工业区入口西</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雅戈尔公园北边1（雅源路入口江边）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雅源北路228弄</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雅源北路228弄</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雅源北路槐树路入口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雅源北路槐树路入口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鄞县大道大杨家入口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鄞县大道西段大杨家入口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槐树路西入口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槐树路与行春西路交叉口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行春西路汪家入口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行春西路汪家入口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雅源北路沿江公园入口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雅源北路沿江公园入口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雅源北仑江南人家入口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雅源北仑江南人家入口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雅源北仑利群新村入口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雅源北仑利群新村入口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碶社区老年活动室</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碶社区老年活动室，行春东路老年协会入口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碶教堂路口2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碶教堂路口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鄞县大道雅源北路</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鄞县大道雅源北路入口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碶工业区南侧小门</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w:t>
            </w:r>
            <w:r>
              <w:rPr>
                <w:rFonts w:hint="eastAsia" w:ascii="宋体" w:hAnsi="宋体" w:eastAsia="宋体" w:cs="宋体"/>
                <w:i w:val="0"/>
                <w:iCs w:val="0"/>
                <w:color w:val="auto"/>
                <w:kern w:val="0"/>
                <w:sz w:val="21"/>
                <w:szCs w:val="21"/>
                <w:highlight w:val="none"/>
                <w:u w:val="none"/>
                <w:lang w:val="en-US" w:eastAsia="zh-CN" w:bidi="ar-SA"/>
              </w:rPr>
              <w:t>碶工业区南侧小门</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东方桥洞口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小杨家路东方桥洞口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梦江花园河边</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行春东路梦江小区入口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鄞县大桥西边</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鄞县大桥西段往钟公庙方向</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雅戈尔公园（至宝积庵）</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雅戈尔公园南边（鄞江庙不到）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建庄胶丸厂</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建庄胶丸厂旁边30米左右</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机场路福田集团</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机场路双江岸路福田集团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建庄四季春服装厂</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建庄万达路四季春服装厂门口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建庄垃圾场入口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建庄万达路建庄垃圾场入口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建庄下陈路口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建庄大李家下陈路口(桥边)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建庄村委会门口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建庄万兴路村委会门口（国家电业局旁）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雅戈尔公园（宝积庵牌楼）</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雅戈尔公园北边江边小路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雅戈尔公园（雅源路）</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雅戈尔公园北边入口（雅源路）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雅戈尔大道99商务旅店对面</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建庄新村菜场旁</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建庄西零路建庄新村菜场旁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建庄新村南大门口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鄞州大道转进建庄新村南大门口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日中纺公司后门口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日中纺公司后门口靠近沿江公园（鄞江庙旁）</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沿江公园中心点</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建庄垃圾场后门靠近沿江公园（沿江公园中心点）</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雅渡腾家晒场1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雅渡腾家晒场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安讯士枪机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雅渡腾家晒场2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34省道进腾家西进口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腾家南进口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鄞州大道进腾家南进口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34省道与万成路口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34省道与万成路口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肯德基门口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34省道进雅渡肯德基路口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34省道新江夏门口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34省道进雅渡新江夏门口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华美家私石源路口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石源路华美家私路口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163</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34省道万国商城</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34省道进万国商城路口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164</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雅渡教师集资房</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鄞县大道进雅渡教师集资房路口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165</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雅渡新村大门</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鄞县大道进雅渡新村大门口（鄞县大道西段888号）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166</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轻纺城大门南</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轻纺城大门南侧</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恒涛食府路口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鄞县大道进大车头路口，恒涛食府路口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168</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大车头西边路口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34省道进大车头西边路口（汉庭酒店墙壁上）</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169</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雅源老年协会路口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环卫路雅源老年协会路口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雅渡周家西路口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34省道进雅渡周家西路口（雅戈尔大道396-1号）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171</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雅渡临时房路口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34省道进雅渡临时房路口(雅戈尔大道398号)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枪机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172</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雅源幼儿园路口</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万成路雅源幼儿园路口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球机</w:t>
            </w:r>
          </w:p>
        </w:tc>
      </w:tr>
    </w:tbl>
    <w:p>
      <w:pPr>
        <w:pStyle w:val="6"/>
        <w:keepNext/>
        <w:keepLines/>
        <w:pageBreakBefore w:val="0"/>
        <w:widowControl w:val="0"/>
        <w:numPr>
          <w:ilvl w:val="2"/>
          <w:numId w:val="0"/>
        </w:numPr>
        <w:tabs>
          <w:tab w:val="left" w:pos="425"/>
          <w:tab w:val="left" w:pos="1418"/>
          <w:tab w:val="left" w:pos="1560"/>
        </w:tabs>
        <w:kinsoku/>
        <w:wordWrap/>
        <w:overflowPunct/>
        <w:topLinePunct w:val="0"/>
        <w:autoSpaceDE/>
        <w:autoSpaceDN/>
        <w:bidi w:val="0"/>
        <w:adjustRightInd/>
        <w:snapToGrid/>
        <w:spacing w:before="0" w:after="0" w:line="360" w:lineRule="auto"/>
        <w:ind w:left="709" w:hanging="709"/>
        <w:textAlignment w:val="auto"/>
        <w:rPr>
          <w:rFonts w:hint="default" w:ascii="宋体" w:hAnsi="宋体" w:eastAsia="宋体" w:cs="仿宋_GB2312"/>
          <w:b/>
          <w:bCs/>
          <w:color w:val="auto"/>
          <w:sz w:val="21"/>
          <w:szCs w:val="21"/>
          <w:highlight w:val="none"/>
          <w:lang w:val="en-US" w:eastAsia="zh-CN"/>
        </w:rPr>
      </w:pPr>
      <w:r>
        <w:rPr>
          <w:rFonts w:hint="eastAsia" w:ascii="宋体" w:hAnsi="宋体" w:eastAsia="宋体" w:cs="仿宋_GB2312"/>
          <w:b/>
          <w:bCs/>
          <w:color w:val="auto"/>
          <w:sz w:val="21"/>
          <w:szCs w:val="21"/>
          <w:highlight w:val="none"/>
          <w:lang w:val="en-US" w:eastAsia="zh-CN"/>
        </w:rPr>
        <w:t>3</w:t>
      </w:r>
      <w:r>
        <w:rPr>
          <w:rFonts w:hint="default" w:ascii="宋体" w:hAnsi="宋体" w:eastAsia="宋体" w:cs="仿宋_GB2312"/>
          <w:b/>
          <w:bCs/>
          <w:color w:val="auto"/>
          <w:sz w:val="21"/>
          <w:szCs w:val="21"/>
          <w:highlight w:val="none"/>
          <w:lang w:val="en-US" w:eastAsia="zh-CN"/>
        </w:rPr>
        <w:t>.2</w:t>
      </w:r>
      <w:r>
        <w:rPr>
          <w:rFonts w:hint="eastAsia" w:ascii="宋体" w:hAnsi="宋体" w:eastAsia="宋体" w:cs="仿宋_GB2312"/>
          <w:b/>
          <w:bCs/>
          <w:color w:val="auto"/>
          <w:sz w:val="21"/>
          <w:szCs w:val="21"/>
          <w:highlight w:val="none"/>
          <w:lang w:val="en-US" w:eastAsia="zh-CN"/>
        </w:rPr>
        <w:t>二期点位清单</w:t>
      </w:r>
    </w:p>
    <w:tbl>
      <w:tblPr>
        <w:tblStyle w:val="47"/>
        <w:tblW w:w="8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2"/>
        <w:gridCol w:w="4784"/>
        <w:gridCol w:w="1485"/>
        <w:gridCol w:w="877"/>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47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位置</w:t>
            </w:r>
          </w:p>
        </w:tc>
        <w:tc>
          <w:tcPr>
            <w:tcW w:w="324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点位类型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47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枪机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球机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人脸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雍景园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益智新村后明堂交叉口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后明塘</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石泉路桥侧装</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香梅家园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南邦名座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祥逸网吧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雅源北路与梦江花园交叉口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望江花园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江南人家出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雅戈尔职工宿舍进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雅戈尔宿舍后</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江南人家后门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梦江花园河边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雅源北路326号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雅源北路公司弄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槐树路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雅源北路378弄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机场路延申东庄路口到底</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雅渡新村桥头</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黄隘村僵尸停车场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小杨家路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左岸尚苑出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石碶工业园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雅源南路南丽宾馆</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雅源南路86弄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富康超市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万兴路与万利路交叉口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万顺路旺源雅苑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旺源雅苑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雅渡周家巴藤公司门口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友成衣车门口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雅渡村路口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一点缘网吧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汉庭酒店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雅渡村周家桥2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雅渡村11号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建庄胶丸厂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万顺小区门口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雅渡菜场后门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南江绿苑出口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育文学校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雅园南路与万成路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雅源路鄞州大道</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王隘雅苑进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黄隘村口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鄞州大道万金路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万金路建庄安置小区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锦源里正门进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姜沈庭院入口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鄞县大道***桥头</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建庄文化礼堂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万隆花苑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庄湾沁园南门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鄞州大道建庄安置小区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屠家堰碶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万金路到底</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万金路污水处理厂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腾家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富田公寓门口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万成路雅戈尔大道交叉口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前明塘</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七重天</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雅渡新村水塔至高点（城南公馆高空）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如家楼顶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阳光丽园1期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后仓西边1号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新天地网咖</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新龙公寓进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轻纺城家私西进口1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东方城.香梅家园二期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食品街与石碶北路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东方苑出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东方苑进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阿六头</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汽运小区进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雍景苑2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益智新村垃圾站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洪渡新村17幢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北路二村后门人脸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鲍家165号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轻纺城西饮街配电房旁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华润万家地下车库扶梯上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东方城.香梅家园一期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小戴家路口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塘西拆迁小区1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汤家晒场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轻纺城主2主通道进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轻纺城正大门进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后仓双江岸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轻纺城北门进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轻纺城东饮街底</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南城名苑侧门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脉迪商务宾馆</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北路一村北门出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东方物流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国骅聚星文华武术学校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北路二村大门口进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麦迪停车场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洪度幼儿园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地中海进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万国商城中心点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雅戈尔大道梁家路口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文化广场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石碶A地铁口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红星学校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后仓红星小学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华润万家步行街侧门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北路一村南门出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华润万家地下电瓶车停放处进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洛兹品阁进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华润万家员工通道</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艺韵幼儿园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雍景苑1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北路二村后门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雅田庄出口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雅田庄晒场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万成路万顺路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机场路南延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塘西新村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塘西中路石泉路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后仓菜场2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冯家小学后门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轻纺城**站进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商贸街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海曙区田莘耕中学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陈江岸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东方苑门口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阳光丽园幼儿园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华美家私公交车站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华美家私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鲍家机场路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董徐路口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热火篮球</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雅戈尔大道与鄞县大道照银行</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后仓菜场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鄞奉网咖进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石源路南苑e家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地中海出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江南绿洲薪家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塘西拆迁小区2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阳光丽园2期3期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轻纺城水塔进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雅戈尔大道塘西中路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轻纺城食品街进</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石碶街道中心幼儿园（雍景苑园）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石碶北路锦杭百货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辰卿小学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雍景苑古桥侧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后仓双江岸45号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雍景苑3</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轻纺城主1西进口1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后仓西边米厂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后仓西边70号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博聪幼儿园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小戴家转角处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机场路与冯家小学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石碶街道冯家小学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冯家桥东</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北渡垃圾场2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里仁三叉口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横涨高速上</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华家新村栎社小学学校旁</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镜水宏升制刷厂</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马面桥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横涨高速下</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东杨菜场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东杨浴室</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弘特电子公司—黄隘村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西杨小洞桥交界处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长槽四叉口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后岸173号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镜水村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北渡阿军美发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轻纺城地铁口B</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洛兹广场路口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东杨配电室</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东杨与西杨连接处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车何敬老院停车场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鄞州大道与雅戈尔大道交界处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栎社新河</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栎社大兴桥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车站新村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栎社地铁站A出口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栎社街（栎社波波幼儿园）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南江绿苑后门</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金星物流门口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东杨东川桥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杨家桥西</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小洞桥后桥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博娃幼儿园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星光1号桥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朱韩后岸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朱韩后岸晒场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横涨大龄青年房</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机场路高架口（雍景苑）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鄞县大道西段1064-1066号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鄞县大道（左岸尚苑）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机场路延申赵家路口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雅渡新村车站—原鄞县大道大杨家（需移位）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轻纺城丰田4s店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轻纺城地铁口A</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石碶村地铁口靠雅渡新村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奉化江边上保吉安—冯家小学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波波幼儿园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轻纺城停车场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七重天宾馆门口（靠非机动车道）</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机场路延申东庄路口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华家新村河边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西杨玉兰桥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栎社桥三岔口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立星小学停车场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立星小学门口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立星学校</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栎社沈家西</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上王公园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横少线与西杨交界处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机场路南延联丰桥洞</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联丰高架桥边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谢任槽晒场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朱韩高架下</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庆元桥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水凌池凉亭口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车何葡萄园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西杨杜河晒场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朱韩前岸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朱韩前岸晒场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北渡垃圾场1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西杨后岸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星光崇福庙对面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车何渡公交车站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联丰公园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联丰新村卫生服务站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栎社小学门口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栎社华家97号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华家新村晒场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联丰公交车站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联丰田屋新村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朱韩前岸江边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星光村赵家园一号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星光村老年协会</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石碶实验小学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谢家馋村口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横涨中心南路</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上王碧水桥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上王新村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前古四叉路口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前顾公交车站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车何村新增（横涨村委调1枪）</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横涨公园出口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黄隘村委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车何葡萄园2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车何工业园区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小洞桥村口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小洞桥嗮场—黄隘村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石碶北路15号（秋水伊人）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广场墙门里面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东杨村口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车何何国祥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仇家晒场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东杨新江夏</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西杨文化礼堂—黄隘村</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栎社菜场快乐购门口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星光大道机场高架</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仇家停车场（编号重复）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培星幼儿园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华智公寓</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东杨与西杨交界处</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东杨大槽桥边</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新阳幼儿园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东杨村村委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江南绿洲小区内中心幼儿园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东方幼儿园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城南公馆幼儿园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雅戈尔中学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雅戈尔小学</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乐乐幼儿园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石碶街道中心幼儿园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机场路与石碶北路（编号重复）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谢家馋分洪桥出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谢家馋分洪桥</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上王垃圾场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栎社卫生院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横涨菜场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栎社中国石化（移位）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栎社嘉宜宾馆</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方力门口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华润万家地下车库扶梯下</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轻纺城水塔出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轻纺城正大门出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轻纺城主2主通道出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轻纺城主1西进口2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轻纺城食品街出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轻纺城北门出</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车何村村委</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栎社蒋家15号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栎社蒋家路口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雅戈尔1号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横涨大龄青年房二期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214省道谢家馋</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五州星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博聪幼儿园公交车站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福莱顿</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雅悦幼儿园</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324</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雅悦幼儿园门口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325</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214省道横涨加油站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326</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214省道车何渡口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327</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214省道北渡路口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328</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214省道洛兹公司门口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329</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214省道星光路口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330</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214省道广博公司门口</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331</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214省道石油公司加油站</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332</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214省道东杨牌楼</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333</w:t>
            </w:r>
          </w:p>
        </w:tc>
        <w:tc>
          <w:tcPr>
            <w:tcW w:w="4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冯家拆迁增加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bl>
    <w:p>
      <w:pPr>
        <w:numPr>
          <w:ilvl w:val="0"/>
          <w:numId w:val="7"/>
        </w:numPr>
        <w:rPr>
          <w:rFonts w:hint="eastAsia" w:ascii="宋体" w:hAnsi="宋体" w:eastAsia="宋体" w:cs="宋体"/>
          <w:b/>
          <w:color w:val="auto"/>
          <w:kern w:val="0"/>
          <w:szCs w:val="21"/>
          <w:highlight w:val="none"/>
        </w:rPr>
        <w:sectPr>
          <w:footerReference r:id="rId7" w:type="default"/>
          <w:pgSz w:w="11907" w:h="16840"/>
          <w:pgMar w:top="1134" w:right="1531" w:bottom="1134" w:left="1531" w:header="425" w:footer="709" w:gutter="0"/>
          <w:pgBorders>
            <w:top w:val="none" w:sz="0" w:space="0"/>
            <w:left w:val="none" w:sz="0" w:space="0"/>
            <w:bottom w:val="none" w:sz="0" w:space="0"/>
            <w:right w:val="none" w:sz="0" w:space="0"/>
          </w:pgBorders>
          <w:pgNumType w:fmt="decimal" w:start="1"/>
          <w:cols w:space="720" w:num="1"/>
          <w:docGrid w:linePitch="285" w:charSpace="0"/>
        </w:sectPr>
      </w:pPr>
    </w:p>
    <w:p>
      <w:pPr>
        <w:numPr>
          <w:ilvl w:val="0"/>
          <w:numId w:val="7"/>
        </w:numP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设备</w:t>
      </w:r>
      <w:r>
        <w:rPr>
          <w:rFonts w:hint="eastAsia" w:ascii="宋体" w:hAnsi="宋体" w:eastAsia="宋体" w:cs="宋体"/>
          <w:b/>
          <w:color w:val="auto"/>
          <w:kern w:val="0"/>
          <w:szCs w:val="21"/>
          <w:highlight w:val="none"/>
        </w:rPr>
        <w:t>清单</w:t>
      </w:r>
      <w:r>
        <w:rPr>
          <w:rFonts w:hint="eastAsia" w:ascii="宋体" w:hAnsi="宋体" w:eastAsia="宋体" w:cs="宋体"/>
          <w:b/>
          <w:color w:val="auto"/>
          <w:kern w:val="0"/>
          <w:szCs w:val="21"/>
          <w:highlight w:val="none"/>
          <w:lang w:val="en-US" w:eastAsia="zh-CN"/>
        </w:rPr>
        <w:t>及技术参数要求</w:t>
      </w:r>
    </w:p>
    <w:p>
      <w:pPr>
        <w:pStyle w:val="37"/>
        <w:ind w:left="0" w:leftChars="0" w:firstLine="0" w:firstLineChars="0"/>
        <w:rPr>
          <w:rFonts w:hint="default"/>
          <w:color w:val="auto"/>
          <w:highlight w:val="none"/>
          <w:lang w:val="en-US" w:eastAsia="zh-CN"/>
        </w:rPr>
      </w:pPr>
    </w:p>
    <w:tbl>
      <w:tblPr>
        <w:tblStyle w:val="47"/>
        <w:tblW w:w="14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9"/>
        <w:gridCol w:w="1370"/>
        <w:gridCol w:w="9769"/>
        <w:gridCol w:w="745"/>
        <w:gridCol w:w="729"/>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blHeader/>
          <w:jc w:val="center"/>
        </w:trPr>
        <w:tc>
          <w:tcPr>
            <w:tcW w:w="689"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产品名称</w:t>
            </w:r>
          </w:p>
        </w:tc>
        <w:tc>
          <w:tcPr>
            <w:tcW w:w="9769"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性能参数</w:t>
            </w:r>
          </w:p>
        </w:tc>
        <w:tc>
          <w:tcPr>
            <w:tcW w:w="745"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729"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c>
          <w:tcPr>
            <w:tcW w:w="1255" w:type="dxa"/>
            <w:tcBorders>
              <w:top w:val="single" w:color="000000" w:sz="4" w:space="0"/>
              <w:left w:val="single" w:color="000000" w:sz="4" w:space="0"/>
              <w:bottom w:val="single" w:color="000000" w:sz="4" w:space="0"/>
              <w:right w:val="single" w:color="000000" w:sz="4" w:space="0"/>
            </w:tcBorders>
            <w:shd w:val="clear" w:color="auto" w:fill="FFCC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7"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400W监控枪型摄像机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传感器类型：1/1.8英寸CMOS；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像素：400万；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最大分辨率：2688×1520；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最低照度：0.001Lux（彩色模式）0.0001Lux（黑白模式）0Lux（补光灯开启）；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最大补光距离：120m（红外）；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镜头类型：电动变焦；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镜头焦距：2.7mm-12mm，8mm~32mm（可选）；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热度图：支持；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智能编码：H.264:支持; H.265:支持；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宽动态：120dB；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透雾功能：支持；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接入标准：ONVIF（Profile S/Profile G/Profile T）;CGI;GB/T28181;GA/T1400;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最大Micro SD卡：256 GB；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RS-485接口：1个（波特率范围:1200bps~115200bps）；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音频输入：1路（RCA头）；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报警输入：3路（湿节点,支持直流3V~5V电位,5mA电流）；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报警输出：2路（湿节点,支持直流最大12V电位,0.3A电流）；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模拟输出接口：1路（CVBS输出 BNC接口）；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供电方式：DC12V/POE；</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防护等级：IP67</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抓图分辨率2688×1520（投标文件中须提供第三方出具的有效检测报告复印件）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支持人脸区域自动曝光功能，可根据外部不同场景和光照变化自动调节曝光参数（</w:t>
            </w:r>
            <w:r>
              <w:rPr>
                <w:rFonts w:hint="eastAsia" w:ascii="宋体" w:hAnsi="宋体" w:eastAsia="宋体" w:cs="宋体"/>
                <w:i w:val="0"/>
                <w:iCs w:val="0"/>
                <w:color w:val="auto"/>
                <w:kern w:val="0"/>
                <w:sz w:val="21"/>
                <w:szCs w:val="21"/>
                <w:highlight w:val="none"/>
                <w:u w:val="none"/>
                <w:lang w:val="en-US" w:eastAsia="zh-CN" w:bidi="ar"/>
              </w:rPr>
              <w:t>投标文件中须</w:t>
            </w:r>
            <w:r>
              <w:rPr>
                <w:rFonts w:hint="eastAsia" w:ascii="宋体" w:hAnsi="宋体" w:eastAsia="宋体" w:cs="宋体"/>
                <w:i w:val="0"/>
                <w:iCs w:val="0"/>
                <w:color w:val="auto"/>
                <w:kern w:val="0"/>
                <w:sz w:val="21"/>
                <w:szCs w:val="21"/>
                <w:highlight w:val="none"/>
                <w:u w:val="none"/>
                <w:lang w:val="en-US" w:eastAsia="zh-CN" w:bidi="ar"/>
              </w:rPr>
              <w:t>提供</w:t>
            </w:r>
            <w:r>
              <w:rPr>
                <w:rFonts w:hint="eastAsia" w:ascii="宋体" w:hAnsi="宋体" w:eastAsia="宋体" w:cs="宋体"/>
                <w:i w:val="0"/>
                <w:iCs w:val="0"/>
                <w:color w:val="auto"/>
                <w:kern w:val="0"/>
                <w:sz w:val="21"/>
                <w:szCs w:val="21"/>
                <w:highlight w:val="none"/>
                <w:u w:val="none"/>
                <w:lang w:val="en-US" w:eastAsia="zh-CN" w:bidi="ar"/>
              </w:rPr>
              <w:t>第三方出具的</w:t>
            </w:r>
            <w:r>
              <w:rPr>
                <w:rFonts w:hint="eastAsia" w:ascii="宋体" w:hAnsi="宋体" w:eastAsia="宋体" w:cs="宋体"/>
                <w:i w:val="0"/>
                <w:iCs w:val="0"/>
                <w:color w:val="auto"/>
                <w:kern w:val="0"/>
                <w:sz w:val="21"/>
                <w:szCs w:val="21"/>
                <w:highlight w:val="none"/>
                <w:u w:val="none"/>
                <w:lang w:val="en-US" w:eastAsia="zh-CN" w:bidi="ar"/>
              </w:rPr>
              <w:t>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125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更换一期摄像机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尺寸为190.5*88.0*58.0mm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采用铝合金材质，不易生锈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白色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重量为0.38kg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支持最大承重1.0kg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支持壁装安装方式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支持水平：0~360°,竖直：-60°~0°旋转角度范围</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125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DC12V2A电源适配器</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125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2"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SA"/>
              </w:rPr>
              <w:t>400W 25倍网络球型摄像机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传感器类型：1/1.8英寸CMOS；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像素：400万；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最大分辨率：2560×1440；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最低照度：彩色：0.001Lux@F1.6黑白：0.0001Lux@F1.60Lux（红外灯开启）；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最大补光距离：250m（红外）；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镜头焦距：5.4mm~135mm；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光学变倍：25倍；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防抖功能：电子防抖；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透雾功能：电子透雾；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音频输入：1路（LINE IN；裸线）；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音频输出：1路（LINE OUT；裸线）；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语音对讲：支持；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报警输入：2路，开关量输入（0~5V DC）；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供电方式：DC24V /2.5A±30%（标配）；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接口类型：RJ45接口</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25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壁装支架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尺寸为115.0*160.0*270.0mm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采用铝合金材质，不易生锈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白色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重量为1.0kg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支持最大承重9kg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支持壁装安装方式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带检修口</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2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400W人脸抓拍枪型摄像机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传感器类型：1/1.8英寸CMOS；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像素：400万；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最大分辨率：2688×1520；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最低照度：0.001Lux（彩色模式）;0.0001Lux（黑白模式）;0Lux（补光灯开启）；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最大补光距离：15m（人脸检测距离）40m（视频监控距离）；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镜头类型：电动变焦；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镜头焦距：2.7-12mm，8mm-32mm（可选）；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人脸检测：支持人脸检测;支持跟踪;支持优选;支持抓拍;支持人脸增强;支持人脸曝光;支持人脸属性提取，支持6种属性8种表情：性别，年龄，眼镜，表情（愤怒、悲伤、厌恶、害怕、惊讶、平静、高兴、困惑），口罩，胡子;支持人脸抠图区域可设：人脸，单寸照;支持实时抓拍、优选抓拍、质量优先三种抓拍策略;支持人脸角度过滤功能;支持优选时长可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人脸识别：支持人脸检测;支持跟踪;支持优选;支持抓拍;支持上报最优的人脸抓图;支持人脸增强,人脸曝光;支持人脸属性提取,支持6种属性8种表情:性别,年龄,眼镜,表情（愤怒,平静,高兴,悲伤,厌恶,惊讶,困惑,害怕） ;支持人脸抠图区域可设:人脸,单寸照;支持优选抓拍、识别优先2种抓拍策略;支持人脸角度过滤功能; 支持非活体过滤;支持优选时长可设;支持添加5个人脸库;支持单个以及批量人员注册;支持人脸识别相似度设置;支持10万人脸底库的人脸比对；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视频压缩标准：H.265;MJPEG；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智能编码：H.264：支持H.265：支持；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宽动态：120dB；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透雾功能：支持；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接入标准：ONVIF; CGI; GB/T28181;GB35114A;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最大Micro SD卡：256 GB；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RS-485接口：1个（波特率范围:1200bps~115200bps）；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音频输入：1路（RCA头）；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报警输入：3路（湿节点,支持直流3V~5V电位,5mA电流）；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报警输出：2路（干节点,支持直流最大30V电位,1A电流/交流最大50V电位,0.5A电流）；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模拟输出接口：1路（CVBS输出 BNC接口）；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供电方式：DC12V/POE；</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防护等级：IP67</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内置 400 万像素 1/1.8 英寸 CMOS 传感器，像元尺寸 2.9um×2.9um； 内置一颗GPU芯片，算力不小于4Tops（</w:t>
            </w:r>
            <w:r>
              <w:rPr>
                <w:rFonts w:hint="eastAsia" w:ascii="宋体" w:hAnsi="宋体" w:eastAsia="宋体" w:cs="宋体"/>
                <w:i w:val="0"/>
                <w:iCs w:val="0"/>
                <w:color w:val="auto"/>
                <w:kern w:val="0"/>
                <w:sz w:val="21"/>
                <w:szCs w:val="21"/>
                <w:highlight w:val="none"/>
                <w:u w:val="none"/>
                <w:lang w:val="en-US" w:eastAsia="zh-CN" w:bidi="ar"/>
              </w:rPr>
              <w:t>投标文件中须</w:t>
            </w:r>
            <w:r>
              <w:rPr>
                <w:rFonts w:hint="eastAsia" w:ascii="宋体" w:hAnsi="宋体" w:eastAsia="宋体" w:cs="宋体"/>
                <w:i w:val="0"/>
                <w:iCs w:val="0"/>
                <w:color w:val="auto"/>
                <w:kern w:val="0"/>
                <w:sz w:val="21"/>
                <w:szCs w:val="21"/>
                <w:highlight w:val="none"/>
                <w:u w:val="none"/>
                <w:lang w:val="en-US" w:eastAsia="zh-CN" w:bidi="ar"/>
              </w:rPr>
              <w:t>提供</w:t>
            </w:r>
            <w:r>
              <w:rPr>
                <w:rFonts w:hint="eastAsia" w:ascii="宋体" w:hAnsi="宋体" w:eastAsia="宋体" w:cs="宋体"/>
                <w:i w:val="0"/>
                <w:iCs w:val="0"/>
                <w:color w:val="auto"/>
                <w:kern w:val="0"/>
                <w:sz w:val="21"/>
                <w:szCs w:val="21"/>
                <w:highlight w:val="none"/>
                <w:u w:val="none"/>
                <w:lang w:val="en-US" w:eastAsia="zh-CN" w:bidi="ar"/>
              </w:rPr>
              <w:t>第三方出具的</w:t>
            </w:r>
            <w:r>
              <w:rPr>
                <w:rFonts w:hint="eastAsia" w:ascii="宋体" w:hAnsi="宋体" w:eastAsia="宋体" w:cs="宋体"/>
                <w:i w:val="0"/>
                <w:iCs w:val="0"/>
                <w:color w:val="auto"/>
                <w:kern w:val="0"/>
                <w:sz w:val="21"/>
                <w:szCs w:val="21"/>
                <w:highlight w:val="none"/>
                <w:u w:val="none"/>
                <w:lang w:val="en-US" w:eastAsia="zh-CN" w:bidi="ar"/>
              </w:rPr>
              <w:t>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可识别距摄像机40m处人体的体貌特征并截取小图小图中人脸水平像素不小于40个像素（</w:t>
            </w:r>
            <w:r>
              <w:rPr>
                <w:rFonts w:hint="eastAsia" w:ascii="宋体" w:hAnsi="宋体" w:eastAsia="宋体" w:cs="宋体"/>
                <w:i w:val="0"/>
                <w:iCs w:val="0"/>
                <w:color w:val="auto"/>
                <w:kern w:val="0"/>
                <w:sz w:val="21"/>
                <w:szCs w:val="21"/>
                <w:highlight w:val="none"/>
                <w:u w:val="none"/>
                <w:lang w:val="en-US" w:eastAsia="zh-CN" w:bidi="ar"/>
              </w:rPr>
              <w:t>投标文件中须</w:t>
            </w:r>
            <w:r>
              <w:rPr>
                <w:rFonts w:hint="eastAsia" w:ascii="宋体" w:hAnsi="宋体" w:eastAsia="宋体" w:cs="宋体"/>
                <w:i w:val="0"/>
                <w:iCs w:val="0"/>
                <w:color w:val="auto"/>
                <w:kern w:val="0"/>
                <w:sz w:val="21"/>
                <w:szCs w:val="21"/>
                <w:highlight w:val="none"/>
                <w:u w:val="none"/>
                <w:lang w:val="en-US" w:eastAsia="zh-CN" w:bidi="ar"/>
              </w:rPr>
              <w:t>提供</w:t>
            </w:r>
            <w:r>
              <w:rPr>
                <w:rFonts w:hint="eastAsia" w:ascii="宋体" w:hAnsi="宋体" w:eastAsia="宋体" w:cs="宋体"/>
                <w:i w:val="0"/>
                <w:iCs w:val="0"/>
                <w:color w:val="auto"/>
                <w:kern w:val="0"/>
                <w:sz w:val="21"/>
                <w:szCs w:val="21"/>
                <w:highlight w:val="none"/>
                <w:u w:val="none"/>
                <w:lang w:val="en-US" w:eastAsia="zh-CN" w:bidi="ar"/>
              </w:rPr>
              <w:t>第三方出具的</w:t>
            </w:r>
            <w:r>
              <w:rPr>
                <w:rFonts w:hint="eastAsia" w:ascii="宋体" w:hAnsi="宋体" w:eastAsia="宋体" w:cs="宋体"/>
                <w:i w:val="0"/>
                <w:iCs w:val="0"/>
                <w:color w:val="auto"/>
                <w:kern w:val="0"/>
                <w:sz w:val="21"/>
                <w:szCs w:val="21"/>
                <w:highlight w:val="none"/>
                <w:u w:val="none"/>
                <w:lang w:val="en-US" w:eastAsia="zh-CN" w:bidi="ar"/>
              </w:rPr>
              <w:t>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1255"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更换二期摄像机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尺寸为190.5*88.0*58.0mm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采用铝合金材质，不易生锈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白色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重量为0.38kg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支持最大承重1.0kg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支持壁装安装方式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支持水平：0~360°,竖直：-60°~0°旋转角度范围</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DC12V2A电源适配器</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89</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w:t>
            </w:r>
          </w:p>
        </w:tc>
        <w:tc>
          <w:tcPr>
            <w:tcW w:w="1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400W监控枪型摄像机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传感器类型：1/1.8英寸CMOS；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像素：400万；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最大分辨率：2688×1520；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最低照度：0.001Lux（彩色模式）0.0001Lux（黑白模式）0Lux（补光灯开启）；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最大补光距离：120m（红外）；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镜头类型：电动变焦；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镜头焦距：2.7mm-12mm，8mm~32mm（可选）；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热度图：支持；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智能编码：H.264:支持; H.265:支持；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宽动态：120dB；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透雾功能：支持；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接入标准：ONVIF（Profile S/Profile G/Profile T）;CGI;GB/T28181;GA/T1400;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最大Micro SD卡：256 GB；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RS-485接口：1个（波特率范围:1200bps~115200bps）；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音频输入：1路（RCA头）；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音频输出：1路（RCA头）；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报警输入：3路（湿节点,支持直流3V~5V电位,5mA电流）；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报警输出：2路（湿节点,支持直流最大12V电位,0.3A电流）；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模拟输出接口：1路（CVBS输出 BNC接口）；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供电方式：DC12V/POE；</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防护等级：IP67</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抓图分辨率2688×1520（投标文件中须提供第三方出具的有效检测报告复印件）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支持人脸区域自动曝光功能，可根据外部不同场景和光照变化自动调节曝光参数（投标文件中须提供第三方出具的有效检测报告复印件）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344</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尺寸为190.5*88.0*58.0mm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采用铝合金材质，不易生锈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白色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重量为0.38kg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支持最大承重1.0kg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支持壁装安装方式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支持水平：0~360°,竖直：-60°~0°旋转角度范围</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344</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DC12V2A电源适配器</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344</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4"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w:t>
            </w:r>
          </w:p>
        </w:tc>
        <w:tc>
          <w:tcPr>
            <w:tcW w:w="1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400W 25倍网络球型摄像机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传感器类型：1/1.8英寸CMOS；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像素：400万；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最大分辨率：2560×1440；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最低照度：彩色：0.001Lux@F1.6黑白：0.0001Lux@F1.60Lux（红外灯开启）；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最大补光距离：250m（红外）；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镜头焦距：5.4mm~135mm；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光学变倍：25倍；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防抖功能：电子防抖；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透雾功能：电子透雾；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音频输入：1路（LINE IN；裸线）；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音频输出：1路（LINE OUT；裸线）；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语音对讲：支持；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报警输入：2路，开关量输入（0~5V DC）；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供电方式：DC24V /2.5A±30%（标配）；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接口类型：RJ45接口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水平中心分辨力检验：不小于1500TVL(分辨率设置为2560×1440、帧率设置为60fps、码率设置为4Mbps、RJ45输出)（投标文件中须提供第三方出具的有效检测报告复印件）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摄像机靶面尺寸为1/1.8英寸,内置镜头,内置GPU芯片,具有1个RJ45接口、1个音频输入接口、1个音频输出接口、2路报警输入、1路报警输出、1个RS485接口、1个复位按键、1个SD卡插槽。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采用DC24V供电。（投标文件中须提供第三方出具的有效检测报告复印件）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93</w:t>
            </w:r>
          </w:p>
        </w:tc>
        <w:tc>
          <w:tcPr>
            <w:tcW w:w="1255"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13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尺寸为115.0*160.0*270.0mm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采用铝合金材质，不易生锈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白色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重量为1.0kg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支持最大承重9kg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支持壁装安装方式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带检修口</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93</w:t>
            </w:r>
          </w:p>
        </w:tc>
        <w:tc>
          <w:tcPr>
            <w:tcW w:w="125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补光灯</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铝合金材质；进口12颗CREE光源；支持光敏控制方式，启动阈值30Lux；照射距离15米；色温5500-6500K；适应温度-30~70℃； 湿度＜90%的环境应用；支持IP66防护等级；额定功率10W；支持DC12V供电</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251</w:t>
            </w:r>
          </w:p>
        </w:tc>
        <w:tc>
          <w:tcPr>
            <w:tcW w:w="12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更换40个杆件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6米杆</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立杆高度6.3m，管壁厚6mm，挑臂长3m，含立杆基础须做灌筑基础，基础深度约1.5 m，底部边长应≥1m，底部螺栓、螺丝应使用防腐高强度材料，含施工费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4米杆</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立杆高度4.3m，φ140等径杆，管壁厚4mm；挑臂长1米，根据现场情况定制，等径φ60，壁厚4mm；立杆需贴反光膜；含立杆基础须做灌筑基础，基础深度0.8m，底部边长应≥0.6m，底部螺栓、螺丝应使用防腐高强度材料，接地电阻小于10Ω</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更换立杆</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拆除原有报废杆件，安装新杆</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根</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2"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数字智能设备箱</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系统架构 挂式箱体 ；尺寸 ：(宽)400×(深)250×(高)500mm；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箱体空载功率≤11W；输出功率≥6000W；(数字智能设备箱提供第三方出具的检测报告)；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箱体电源适应性：120V-265V，50Hz±5Hz；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箱体抗电强度：≥1.5KV、1min无击穿、飞弧现象；(数字智能设备箱提供第三方出具的检测报告)；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箱体漏电电流：≤1mA(数字智能设备箱提供第三方出具的检测报告)；                     箱体浪涌：浪涌1.2/50μs,脉冲电压±2KV，脉冲数量5个/极性；(数字智能设备箱提供第三方出具的检测报告)；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箱体温度范围：﹣40-﹢85℃；(数字智能设备箱提供第三方出具的检测报告)；                       箱体盐雾：35℃±2℃，PH6.5-7.2，盐雾浓度5％，16h；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电控模块：电源输入端32A；电源输出端≥7端口；(数字智能设备箱提供第三方出具的检测报告)；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箱体支持远程控制输出电源，实现对摄像机等装置的远程控制，包括手动，自动复位等控制；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▲箱体支持当监测到通讯宕机或者数据无法传输时，可自动重启网络输出端口和电控模块的RJ45端口；(数字智能设备箱提供第三方出具的检测报告)；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▲箱体支持远程设置前端设备过载、过压、欠压、过流等电气安全异常保护次数限制和时间限制，异常后应能正常自修复；(数字智能设备箱提供第三方出具的检测报告)；</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7"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19</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智能电控平台</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台支持检测功能：输入电源的电压，电流和功率；输出端网路设备、摄像机、补光灯、风扇等电源电压，电流和功率；箱体门状态；箱体过欠压、过流和漏电状态；补光灯白天异常开启或晚上异常关闭状态，定时误差≤60S;(数字智能设备箱提供第三方出具的检测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平台支持显示功能：根据IP地址设备的经纬度信息；点位安装设备品牌，型号信息；</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平台支持报警功能：箱门状态异常，温度异常，外接设备供电异常，断网、断电；过欠压、过载、漏电；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平台支持数据管理功能：点位勘察数据管理；点位供电电气安全性数据管理；点位设备状态数据管理；箱体周围环境状态数据管理；角色权限区域数据管理；故障设备品牌型号数据管理；(数字智能设备箱提供第三方出具的检测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含100个接入授权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服务器</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4210R*2/64g/600gsas*4/H330/750w冗余/导轨；</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21</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四口单模发射器</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交换机容量：6.8 Gbps； 包转发率：3.57 Mpps； 4个10/100Base-T电口，1个10/100/1000Base-T电口，1个千兆SFP光口； 安装方式:导轨安装； 设备尺寸：150mm*100mm*30mm 雷电防护：共模 4 KV，差模 2 KV； 工作温度：-30 ℃～65 ℃； 供电方式：DC 12 V~36 V； 使用高性能交换机芯片，大缓存，视频无卡顿； 符合IEEE802.3、IEEE802.3u、IEEE802.3x标准； 全金属外壳，全封闭防尘、宽温设计； 即插即用，简化工程施工部署。</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单模单口接收器</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电口速率：1个10/100/1000Mbps Base-TX； 光口速率：1个1000Mbps Base-FX； 光接口类型：FC； 形态：插卡式； 传输距离：20km； 光纤类型：单模单纤； 波长：1550nm 发送,1310nm 接收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23</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16口光端机机箱</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19寸、2U插卡式机箱，16槽，标配单电源，DH-OTEX03系列配套</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1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7"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24</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云存储元数据服务器</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外形规格：2U机架；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主处理器：双路64位多核处理器；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操作系统：LINUX系统；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高速缓存：64GB DDR4，可扩展至512GB, ECC内存；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电源冗余：1+1冗余电源；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供电方式：550W，CRPS白金级能效；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网络接口：8个千兆数据电口；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硬盘个数：标配：2块 3.5英寸 SATA 2TB 企业级机械硬盘2块 2.5英寸 SATA 800GB 数据中心级固态硬盘；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功耗：满负荷小于450W；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产品尺寸：带挂耳：660mm*482mm*88mm（长*宽*高）；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软件模块：支持主流的对象存储架构、容错算法、智能化的资源调度技术，提供了基于分布式文件系统的数据存储能力，具备大容量、高可靠、高性能、使用简单、自动化管理等特点，保障数据的电信级安全可靠，支持集群横向扩展，满足海量大数据、云计算业务的庞大需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文件生命周期管理模块：支持对文件生命周期管理，会自动感知云存储的状态，包括用户空间使用情况以及用户/bucket的生命周期/文件信息，根据生命周期策略对需要删除的文件进行删除支持安防行业特点的生命周期的紧急覆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智能恢复模块：文件数据恢复速率可控制，可以指定文件进行恢复，可选自动恢复和手动恢复支持文件恢复优先级控制，设置高中低不同的数据恢复速度；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图片处理模块：支持对已存储的图片在下载过程中自动进行图片缩略，抠图等特性；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视频设备接入模块：支持国标、Onvif，大华协议、海康协议等接入各类型的前端设备.；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卡口设备接入模块：支持人脸、车辆卡口设备接入以及结构化数据接入；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视频图片存储模块：支持视频和图片的基础存储业务，包括录像计划，图片计划配置管理，包括视频流按通道和类型进行分类，并进行相应的索引创建等；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流媒体转发模块：支持流媒体动态负载均衡，弹性扩容，具备快速故障接管能力支持RTSP,HLS,FLV等流媒体协议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支持全局一片云架构和运行管理。支持异地分布式一朵云统一架构部署，支持多地多机房部署，主中心和多个子中心之间紧密配合，对数据进行分层汇聚、逻辑统一、以及进行数据融合。支持各个中心之间互为备份和业务灾备、故障恢复自动进行数据回拷。支持基于“云+边+端”架构进行就近存储、智能分析、以及将非结构化数据统一汇总到中心云。通过一片云架构，做到统一异构硬件，分层解耦，实现对各类资源进行统一管理、监控和分析、调度。（投标文件中须提供第三方出具的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在支持存储池、机架、节点、硬盘四级容错前提下，针对同一个用户下的不同存储池，支持配置存储池级的特定用户EC数据分片写入策略。同一个文件中的不同对象可以分布在该用户下的不同存储池中，并且采用不同的EC冗余存储模式。并且不同存储池内部的机架、数据节点同时支持N+M:b动态分片存储。（投标文件中须提供第三方出具的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25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25</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云存储数据存储节点</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外形规格：4U机架；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主处理器：高性能六核处理器；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操作系统：嵌入式LINUX系统；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高速缓存：16GB DDR4 主频2666MHz；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电源冗余：1+1冗余电源；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供电方式：800W；100V~240V，50/60Hz，支持热插拔；</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网络接口：8个千兆数据电口；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硬盘个数：标配内置 1块 2.5英寸 SATA 240G 企业级固态硬盘最大支持36个2.5"或3.5"的SATA硬盘或者SAS硬盘；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功耗：不大于600W（含硬盘）；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产品尺寸：带挂耳：737mm*483mm*175mm（长*宽*高）；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净重：26kg（不含外包装，不含硬盘）；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最大接入：视频512路，图片300路；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视频最大存储：300路或800Mbps；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图片最大存储：200条记录/3秒，每条记录1张500KB大图+1张50KB小图；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视频设备接入模块：支持国标、Onvif，大华协议、海康协议等接入各类型的前端设备.；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卡口设备接入模块：支持人脸、车辆卡口设备接入以及结构化数据接入；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视频图片存储模块：支持视频和图片的基础存储业务，包括录像计划，图片计划配置管理，包括视频流按通道和类型进行分类，并进行相应的索引创建等；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流媒体转发模块：支持流媒体动态负载均衡，弹性扩容，具备快速故障接管能力支持RTSP,HLS,FLV等流媒体协议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支持全局一片云架构和运行管理。支持异地分布式一朵云统一架构部署，支持多地多机房部署，主中心和多个子中心之间紧密配合，对数据进行分层汇聚、逻辑统一、以及进行数据融合。支持各个中心之间互为备份和业务灾备、故障恢复自动进行数据回拷。支持基于“云+边+端”架构进行就近存储、智能分析、以及将非结构化数据统一汇总到中心云。通过一片云架构，做到统一异构硬件，分层解耦，实现对各类资源进行统一管理、监控和分析、调度。（投标文件中须提供第三方出具的有效检测报告复印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在支持存储池、机架、节点、硬盘四级容错前提下，针对同一个用户下的不同存储池，支持配置存储池级的特定用户EC数据分片写入策略。同一个文件中的不同对象可以分布在该用户下的不同存储池中，并且采用不同的EC冗余存储模式。并且不同存储池内部的机架、数据节点同时支持N+M:b动态分片存储。（投标文件中须提供第三方出具的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26</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机械硬盘</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6000G；7200RPM；256M；SATA</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144</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27</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标准云数据存储节点升级</w:t>
            </w:r>
          </w:p>
        </w:tc>
        <w:tc>
          <w:tcPr>
            <w:tcW w:w="9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标准云数据存储节点软件升级到视频云存储版本</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云存储软件模块：支持主流的对象存储架构、容错算法、智能化的资源调度技术，提供了基于分布式文件系统的数据存储能力，具备大容量、高可靠、高性能、使用简单、自动化管理等特点，保障数据的电信级安全可靠，支持集群横向扩展，满足海量大数据、云计算业务的庞大需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文件生命周期管理模块：支持对文件生命周期管理，会自动感知云存储的状态，包括用户空间使用情况以及用户/bucket的生命周期/文件信息，根据生命周期策略对需要删除的文件进行删除支持安防行业特点的生命周期的紧急覆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智能恢复模块：文件数据恢复速率可控制，可以指定文件进行恢复，可选自动恢复和手动恢复支持文件恢复优先级控制，设置高中低不同的数据恢复速度；</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图片处理模块：支持对已存储的图片在下载过程中自动进行图片缩略，抠图等特性；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视频设备接入模块：支持国标、Onvif，大华协议、海康协议等接入各类型的前端设备.；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卡口设备接入模块：支持人脸、车辆卡口设备接入以及结构化数据接入；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视频图片存储模块：支持视频和图片的基础存储业务，包括录像计划，图片计划配置管理，包括视频流按通道和类型进行分类，并进行相应的索引创建等；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流媒体转发模块：支持流媒体动态负载均衡，弹性扩容，具备快速故障接管能力支持RTSP,HLS,FLV等流媒体协议</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视频云综合应用平台</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系统功能 完全自主产品，采用 Linux存储专用操作系统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单机部署 可以支持单机部署环境，满足小型化业务场景；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集群部署 支持业务节点通过集群部署提高性能；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访问方式 支持B端和C端统一云账户访问，B端作为平台的管理员端，C端作为平台的客户端；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网卡 支持千兆网络绑定，实现业务网络和存储网络分离，充分利用网口资源；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基本功能 支持基本的视频能力、录像回放能力、视频实时上墙和任务上墙；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集群汇总 支持不同选型的中心管理平台（1W\3W\10W）来管理设备做集群汇聚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支持管理云存储 支持对接智能云存储的管理节点双机热备，数据节点集群实现动态负载扩展，满足不同路数的接入、转发、存储；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支持管理Node节点 支持一个中型管理平台配套C9100的Node节点做集群满足不同路数的接入、转发、存储；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构架模型 采用分布式非对称式架构，元数据处理与数据存储的松耦合分析架构。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服务双机热备 接入集群，存储集群，转发集群，智能集群，鉴权服务管理节点双机热备；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服务集群 接入集群，存储集群，转发集群，智能集群数据节点采用全集群模式;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服务可扩展 接入集群，存储集群，转发集群数据节点支持接入、存储、转发能力分期扩展；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集群能力 一套系统，集成了设备接入管理，录像存储能力，媒体转发能力，智能调度能力</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集成能力 智能云存储的集成了接入集群，存储集群，转发集群的能力；</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双机热备 智能云存储的元数据管理节点支持主备双机热备功能；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负载均衡 智能云存储的数据节点支持接入、存储、转发能力动态负载均衡方式的线性扩展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分片存储 智能云存储支持将视频数据分片后存储在多台数据节点中</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资源管理 智能云存储将所有的存储数据节点融合成一个存储池，完成存储资源的整理和分配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存储模式 录像文件以切片形式分别存储在不同节点，依靠云存储对文件进行快速的修复和容错，保证录像不丢失</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故障容错 当存储集群数据节点故障后，通道的录像自动由其他正常数据节点接管继续执行录像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状态监控 元数据和数据节点服务状态实时监控，发现异常及时恢复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弹性扩容 "平台配套智能云存储，按需弹性扩容，仅需添加新增存储节点IP地址。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节点扩容后，无须任何配置，新写入数据便可自动被分配到新节点上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节点扩容，无需数据迁移，容量变可用。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支持单集群的数据节点弹性扩容，当一个集群的性能不够的时候，可以单独扩容一个集群的节点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支持减容 支持集群所在的数据节点在线增加和移除</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减容自适应 当数据节点动态的增加或者减少时，通道可以进行数据节点间的迁移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扩容性能 随数据节点增加系统性能近线性增加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mysql存储功能 平台集成的Mysql数据库，对用用户的基本信息、设备通道的基本信息、录像计划、报警预案进行存储；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mysql存储类型 仅视频、录像、上墙、通用行为分析报警、设备内部、外部报警、无需配置其他数据库，利用Mysql集成数据库；</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mysql备份功能 平台集成的Mysql数据库支持自动备份，对关键数据进行保护；</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MPP数据库支持 平台在进行海量数据存储时，例如人量、人体、车辆、非机动车、车底、MAC、RFID等海量数据存储时，必须用MPP云数据库</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并行处理技术 云数据库采用分布式多节点并行处理技术的集群架构，支持海量结构化数据存储，海量数据快速检索、分析能力，高效生成透明、多维的检索结果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硬件情况：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处理器：1颗Hygon,3185,3.0G,16M,8C,95W,CPU</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内存：32GB内存，配置4根内存插槽,最大可扩展至256B内存，支持Non ECC UDIMM/ECC UDIMM/RDIMM。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硬盘:2块,2TB,3.5吋,企业级机械硬盘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SSD盘:1块480G固态硬盘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嵌入式网卡:4个千兆网口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单节点多千兆网口绑定:码流转发不小于2Gbps、存储不小于2Gbps（投标文件中须提供第三方出具的有效检测报告复印件）</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集群负载功能：支持不少于50W设备接入，支持单域256个数据节点（投标文件中须提供第三方出具的有效检测报告复印件）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2"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29</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网络管理平台</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分布式部署：要求资源拓扑、告警、性能等功能模块支持多服务器分布式虚拟化部署，可实现负载分担，满足大规模网络环境的统一管理。单套软件可管理的节点数可达15000个。故障管理：支持对全网设备告警的实时监控和统一浏览；支持多种提醒方式，如告警实时提醒（告警板）、告警音响提示；支持多种转发方式，比如转E-mail，转短信，转上级网管或其它网管等。支持告警分析，可以屏蔽重复告警、闪断告警，支持告警自动确认功能。端点识别：能够自动识别接入网络所有IP端点，识别信息包括端点IP、MAC、端点类型、操作系统、厂商信息，在线状态、合规状态等；能够识别出至少10家主流摄像头信息，（提供截图）；能够识别出至少10家主流网络设备厂家及类型，（提供截图）；能够发现和识别网络中的NAT设备（包括双网卡代理、浏览器代理、软件代理等）及下挂终端。能够识别出NAT设备的IP、MAC、设备类型、操作系统、厂商信息，能够识别出NAT下挂终端的数量及终端类型、操作系统；能够主动判断和识别网络中是否存在HUB。能够识别出HUB下接入终端的IP、MAC、设备类型、操作系统、厂商信息，并通过端点拓扑进行展示，（提供截图）；能够自动识别非法私接、仿冒的设备，并实时告警，告警方式包括但不限于：大屏、短信、邮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30</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平台服务器</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1、配置≥2* Intel® Xeon® Silver 4210 (10 core 2.4Ghz)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2、配置≥24个内存插槽，官方支持最大内存容量不小于3.0TB。实配128GB Memory。</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3、硬盘配置：≥2块 1.8TB 固态硬盘；最多可扩展至最高支持前部24SFF，后部扩展3LFF加4SFF。提供对外官网截图说明。</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4、配置独立的磁盘阵列卡(带1GB缓存，掉电保护)，支持RAID 0/1/10。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5、最多提供≥10个PCIE3.0插槽，支持3块双宽GPU卡或8块单宽GPU卡。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6、配置≥4端口千兆电口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7、满配冗余热插拔电源，并提供配套的电源连接线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8、满配6个冗余风扇。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9、最高支持5℃～50℃。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10、配置≥1Gb独立的远程管理控制端口。</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11、支持3D海洋图形化的机箱内部温度显示图；支持联合管理，对周边伙伴设备的直接管理，简化了小规模服务器的统一管理；支持外接USB WIFI模块，提供无线热点，用户可使用手机或便携机直接登录管理模块；支持短信、微信、语音告警，提供官方说明文档。上述功能需提供官方技术白皮书或用户使用手册说明。</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12、支持OTP(One Time Password一次性密码)方案的双因素认证方案，提高系统安全性；用户(本地、远程)统一配置到不同的角色组，用户的权限由角色组定义，提高系统安全性。上述功能需提供官方技术白皮书或用户使用手册说明。</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13、支持PCIE安全网卡，支持IPS/AV/URL/App特征库升级，提供官网截图说明。</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核心交换机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交换容量≥35Tbps，包转发率≥7200Mpps，官网有两个指标的，以小的为准, 提供官网截图和链接；</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业务插槽数≥3个，单槽位支持100G接口≥4个，支持40G接口≥24个，支持万兆电口≥24；</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color w:val="auto"/>
                <w:highlight w:val="none"/>
              </w:rPr>
              <w:t>▲</w:t>
            </w:r>
            <w:r>
              <w:rPr>
                <w:rFonts w:hint="eastAsia" w:ascii="宋体" w:hAnsi="宋体" w:eastAsia="宋体" w:cs="宋体"/>
                <w:i w:val="0"/>
                <w:iCs w:val="0"/>
                <w:color w:val="auto"/>
                <w:kern w:val="0"/>
                <w:sz w:val="21"/>
                <w:szCs w:val="21"/>
                <w:highlight w:val="none"/>
                <w:u w:val="none"/>
                <w:lang w:val="en-US" w:eastAsia="zh-CN" w:bidi="ar"/>
              </w:rPr>
              <w:t>1U槽位最大带宽≥480Gbps，可满足单块12端口40G业务板卡线速转发。（投标文件中须提供第三方机构出具的检测报告）</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color w:val="auto"/>
                <w:highlight w:val="none"/>
              </w:rPr>
              <w:t>▲</w:t>
            </w:r>
            <w:r>
              <w:rPr>
                <w:rFonts w:hint="eastAsia" w:ascii="宋体" w:hAnsi="宋体" w:eastAsia="宋体" w:cs="宋体"/>
                <w:i w:val="0"/>
                <w:iCs w:val="0"/>
                <w:color w:val="auto"/>
                <w:kern w:val="0"/>
                <w:sz w:val="21"/>
                <w:szCs w:val="21"/>
                <w:highlight w:val="none"/>
                <w:u w:val="none"/>
                <w:lang w:val="en-US" w:eastAsia="zh-CN" w:bidi="ar"/>
              </w:rPr>
              <w:t>考虑未来安全扩展性，可配置下一代防火墙插卡，提供官网配置信息截图；</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支持最多4台核心设备虚拟为一台；</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支持Telemetry流量可视化功能；</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MAC表≥1M，学习速率≥128K/S，IPv4 FIB表项≥3M，IPv6 FIB表项≥1M；</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支持多业务融合板卡，与设备紧耦合无需外部连线，支持部署Windows Server及SDN软件，实现方案与设备一体化部署；</w:t>
            </w:r>
          </w:p>
          <w:p>
            <w:pPr>
              <w:rPr>
                <w:color w:val="auto"/>
                <w:highlight w:val="none"/>
              </w:rPr>
            </w:pPr>
            <w:r>
              <w:rPr>
                <w:rFonts w:hint="eastAsia"/>
                <w:color w:val="auto"/>
                <w:highlight w:val="none"/>
              </w:rPr>
              <w:t>内置智能管理功能，支持通过图形化界面设备配置及命令一键下发和版本智能升级，提供工信部权威第三方测试报告；支持IEEE 802.1ae（Macsec）介质访问控制安全技术；</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本次单台设备配置双引擎，双电源，千兆电口≥48个，千兆光口≥40个，万兆光口≥8个</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32</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接入交换机</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为保证系统兼容性，所投产品必须与核心交换机属于同一品牌；</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交换容量 ≥432Gbps，转发性能 ≥85Mpps，官网双指标的以最小的为准；</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固化Console管理端口≥1个，千兆电口≥48个，千兆非复用光口≥4个；</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支持横向虚拟化，可通过千兆光口及千兆电口进行虚拟化，最多9台设备虚成一台逻辑设备，提供官网截图和链接证明；</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支持纵向虚拟化技术；支持静态路由、RIP、OSPF；</w:t>
            </w:r>
          </w:p>
          <w:p>
            <w:pPr>
              <w:rPr>
                <w:rFonts w:hint="eastAsia" w:ascii="宋体" w:hAnsi="宋体" w:eastAsia="宋体" w:cs="宋体"/>
                <w:i w:val="0"/>
                <w:iCs w:val="0"/>
                <w:color w:val="auto"/>
                <w:kern w:val="0"/>
                <w:sz w:val="21"/>
                <w:szCs w:val="21"/>
                <w:highlight w:val="none"/>
                <w:u w:val="none"/>
                <w:lang w:val="en-US" w:eastAsia="zh-CN" w:bidi="ar"/>
              </w:rPr>
            </w:pPr>
            <w:r>
              <w:rPr>
                <w:rFonts w:hint="eastAsia"/>
                <w:color w:val="auto"/>
                <w:highlight w:val="none"/>
              </w:rPr>
              <w:t>内置网络运维软件，无需额外网管软件，与上行设备互联实现统一界面管理、整网拓扑可视，提供官网截图说明；支持10KV防雷，提供官网截图。</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33</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下一代防火墙</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非X86架构；</w:t>
            </w:r>
          </w:p>
          <w:p>
            <w:pPr>
              <w:keepNext w:val="0"/>
              <w:keepLines w:val="0"/>
              <w:widowControl/>
              <w:suppressLineNumbers w:val="0"/>
              <w:jc w:val="left"/>
              <w:textAlignment w:val="top"/>
              <w:rPr>
                <w:rFonts w:hint="eastAsia"/>
                <w:color w:val="auto"/>
                <w:highlight w:val="none"/>
              </w:rPr>
            </w:pPr>
            <w:r>
              <w:rPr>
                <w:rFonts w:hint="eastAsia"/>
                <w:color w:val="auto"/>
                <w:highlight w:val="none"/>
              </w:rPr>
              <w:t>提供端口配置14GE+12SFP+4SFP+，≥2个扩展槽位，可扩展4端口万兆板卡；</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最大并发连接数≥500万，整机最大吞吐量≥9Gbps，每秒新建连接数≥80K；</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可基于每个SSL VPN用户的会话连接数、连接时间和流量阀值进行细颗粒度的管控；</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当终端流量流经设备时，设备可以分析并提取出终端信息，例如终端的厂商、型号等，并支持在终端信息发生变更时向用户发送日志，提示用户；实配交流双电；支持统一管理软件。</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配置3年IPS、AV特征库授权。</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sql注入、跨站脚本、远程代码执行、字符编码等攻击的防护，支持对网络设备、网页服务器、数据库等设备的专属特征分类，支持CC攻击防护，可基于检测请求报文头的X-forward-for字段，以获取真正的源IP地址。</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支持基于对包括但不限于操作系统、网络设备、办公软件、网页服务等保护对象的入侵防御策略，支持基于对漏洞、恶意文件、信息收集类攻击等的攻击分类的防护策略，支持基于服务器、客户端的防护策略。</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且缺省动作支持黑名单。支持服务器负载均衡支持基于HTTP RADIUS MYSQL等应用类型的匹配，支持基于IP流量特征、ISP 、用户、入接口、tcp载荷等类型的匹配规则。</w:t>
            </w:r>
          </w:p>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支持国密SM1/2/3/4算法。</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34</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扩容原有刀片服务器</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扩容部分存储容量至少2T</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集成安装费</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包含摄像头的更换和机房内设备软件的集成安装</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36</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维护费</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5年维护费，10%的迁移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年</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37</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链路租赁</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5年链路租赁费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507</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jc w:val="center"/>
        </w:trPr>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38</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其他设备材料及费用</w:t>
            </w:r>
          </w:p>
        </w:tc>
        <w:tc>
          <w:tcPr>
            <w:tcW w:w="97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完成本项目所需的其他设备、材料及相关费用</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项</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auto"/>
                <w:sz w:val="21"/>
                <w:szCs w:val="21"/>
                <w:highlight w:val="none"/>
                <w:u w:val="none"/>
              </w:rPr>
            </w:pPr>
          </w:p>
        </w:tc>
      </w:tr>
    </w:tbl>
    <w:p>
      <w:pPr>
        <w:keepNext w:val="0"/>
        <w:keepLines w:val="0"/>
        <w:pageBreakBefore w:val="0"/>
        <w:wordWrap/>
        <w:topLinePunct w:val="0"/>
        <w:bidi w:val="0"/>
        <w:spacing w:beforeLines="0" w:afterLines="0" w:line="360" w:lineRule="auto"/>
        <w:ind w:firstLine="392" w:firstLineChars="187"/>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说明：以上清单为完成本项目所需更换的基本设备、材料及费用要求，供应商需在此基础上按实响应。</w:t>
      </w:r>
    </w:p>
    <w:p>
      <w:pPr>
        <w:pStyle w:val="37"/>
        <w:ind w:left="0" w:leftChars="0" w:firstLine="0" w:firstLineChars="0"/>
        <w:rPr>
          <w:rFonts w:hint="default"/>
          <w:color w:val="auto"/>
          <w:highlight w:val="none"/>
          <w:lang w:val="en-US" w:eastAsia="zh-CN"/>
        </w:rPr>
      </w:pPr>
    </w:p>
    <w:p>
      <w:pPr>
        <w:pStyle w:val="37"/>
        <w:ind w:left="0" w:leftChars="0" w:firstLine="0" w:firstLineChars="0"/>
        <w:rPr>
          <w:rFonts w:hint="default"/>
          <w:color w:val="auto"/>
          <w:highlight w:val="none"/>
          <w:lang w:val="en-US" w:eastAsia="zh-CN"/>
        </w:rPr>
        <w:sectPr>
          <w:pgSz w:w="16840" w:h="11907" w:orient="landscape"/>
          <w:pgMar w:top="1531" w:right="1134" w:bottom="1531" w:left="1134" w:header="425" w:footer="709" w:gutter="0"/>
          <w:pgBorders>
            <w:top w:val="none" w:sz="0" w:space="0"/>
            <w:left w:val="none" w:sz="0" w:space="0"/>
            <w:bottom w:val="none" w:sz="0" w:space="0"/>
            <w:right w:val="none" w:sz="0" w:space="0"/>
          </w:pgBorders>
          <w:pgNumType w:fmt="decimal" w:start="1"/>
          <w:cols w:space="720" w:num="1"/>
          <w:docGrid w:linePitch="285" w:charSpace="0"/>
        </w:sectPr>
      </w:pPr>
    </w:p>
    <w:p>
      <w:pPr>
        <w:autoSpaceDE w:val="0"/>
        <w:autoSpaceDN w:val="0"/>
        <w:spacing w:line="360" w:lineRule="auto"/>
        <w:jc w:val="center"/>
        <w:outlineLvl w:val="0"/>
        <w:rPr>
          <w:rFonts w:hint="eastAsia" w:ascii="宋体" w:hAnsi="宋体" w:cs="宋体"/>
          <w:b/>
          <w:bCs/>
          <w:color w:val="auto"/>
          <w:sz w:val="32"/>
          <w:szCs w:val="32"/>
          <w:highlight w:val="none"/>
        </w:rPr>
      </w:pPr>
      <w:bookmarkStart w:id="71" w:name="_Toc19030"/>
      <w:r>
        <w:rPr>
          <w:rFonts w:hint="eastAsia" w:ascii="宋体" w:hAnsi="宋体" w:cs="宋体"/>
          <w:b/>
          <w:color w:val="auto"/>
          <w:sz w:val="32"/>
          <w:szCs w:val="32"/>
          <w:highlight w:val="none"/>
        </w:rPr>
        <w:t>第三章  供应商须知</w:t>
      </w:r>
      <w:bookmarkEnd w:id="71"/>
    </w:p>
    <w:p>
      <w:pPr>
        <w:snapToGrid w:val="0"/>
        <w:ind w:left="238"/>
        <w:jc w:val="center"/>
        <w:rPr>
          <w:rFonts w:hint="eastAsia" w:ascii="宋体" w:hAnsi="宋体" w:cs="宋体"/>
          <w:b/>
          <w:bCs/>
          <w:color w:val="auto"/>
          <w:sz w:val="44"/>
          <w:szCs w:val="32"/>
          <w:highlight w:val="none"/>
        </w:rPr>
      </w:pPr>
      <w:bookmarkStart w:id="72" w:name="_Toc1665"/>
      <w:r>
        <w:rPr>
          <w:rFonts w:hint="eastAsia" w:ascii="宋体" w:hAnsi="宋体" w:cs="宋体"/>
          <w:b/>
          <w:color w:val="auto"/>
          <w:sz w:val="28"/>
          <w:szCs w:val="28"/>
          <w:highlight w:val="none"/>
        </w:rPr>
        <w:t>前 附 表</w:t>
      </w:r>
      <w:bookmarkEnd w:id="72"/>
    </w:p>
    <w:tbl>
      <w:tblPr>
        <w:tblStyle w:val="47"/>
        <w:tblW w:w="0" w:type="auto"/>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7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8"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b/>
                <w:bCs/>
                <w:color w:val="auto"/>
                <w:szCs w:val="21"/>
                <w:highlight w:val="none"/>
              </w:rPr>
            </w:pPr>
            <w:r>
              <w:rPr>
                <w:rFonts w:hint="eastAsia" w:ascii="宋体" w:hAnsi="宋体" w:cs="宋体"/>
                <w:b/>
                <w:bCs/>
                <w:color w:val="auto"/>
                <w:szCs w:val="21"/>
                <w:highlight w:val="none"/>
              </w:rPr>
              <w:t>投标报价及费用：</w:t>
            </w:r>
          </w:p>
          <w:p>
            <w:pPr>
              <w:numPr>
                <w:ilvl w:val="0"/>
                <w:numId w:val="15"/>
              </w:numPr>
              <w:spacing w:line="336"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本项目投标应采用人民币报价。</w:t>
            </w:r>
          </w:p>
          <w:p>
            <w:pPr>
              <w:pStyle w:val="18"/>
              <w:keepNext w:val="0"/>
              <w:keepLines w:val="0"/>
              <w:pageBreakBefore w:val="0"/>
              <w:widowControl w:val="0"/>
              <w:kinsoku/>
              <w:wordWrap/>
              <w:overflowPunct/>
              <w:topLinePunct w:val="0"/>
              <w:bidi w:val="0"/>
              <w:adjustRightInd/>
              <w:snapToGrid/>
              <w:spacing w:before="0" w:beforeLines="0" w:after="0" w:afterLines="0"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报价包括整个系统五年运维服务（包含设备及零部件更换费用）、系统管理、系统正常运行、人工、机械、光缆租赁、电力、税金、利润等完成本项目的所有费用。供应商须填报每年服务费用及五年服务总费用。项目实施时按具体运维时间按实计算。</w:t>
            </w:r>
          </w:p>
          <w:p>
            <w:pPr>
              <w:spacing w:line="336" w:lineRule="auto"/>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最高限价详见《第一章  公开招标公告》 ，超出最高限价的投标将作为无效标处理。</w:t>
            </w:r>
            <w:r>
              <w:rPr>
                <w:rFonts w:hint="eastAsia" w:ascii="宋体" w:hAnsi="宋体" w:cs="宋体"/>
                <w:b/>
                <w:bCs/>
                <w:color w:val="auto"/>
                <w:szCs w:val="21"/>
                <w:highlight w:val="none"/>
                <w:lang w:val="en-US" w:eastAsia="zh-CN"/>
              </w:rPr>
              <w:t>(本项目最高限价为五年运维服务总限价。)</w:t>
            </w:r>
          </w:p>
          <w:p>
            <w:pPr>
              <w:numPr>
                <w:ilvl w:val="0"/>
                <w:numId w:val="0"/>
              </w:numPr>
              <w:spacing w:line="336"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4）不论投标结果如何，供应商均应自行承担应承担的全部费用。</w:t>
            </w:r>
          </w:p>
          <w:p>
            <w:pPr>
              <w:pStyle w:val="18"/>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5）招标代</w:t>
            </w:r>
            <w:r>
              <w:rPr>
                <w:rFonts w:hint="eastAsia" w:ascii="宋体" w:hAnsi="宋体" w:cs="宋体"/>
                <w:color w:val="auto"/>
                <w:szCs w:val="21"/>
                <w:highlight w:val="none"/>
              </w:rPr>
              <w:t>理服务费的收取标准：</w:t>
            </w:r>
            <w:r>
              <w:rPr>
                <w:rFonts w:hint="eastAsia" w:ascii="宋体" w:hAnsi="宋体" w:eastAsia="宋体" w:cs="宋体"/>
                <w:color w:val="auto"/>
                <w:sz w:val="21"/>
                <w:szCs w:val="21"/>
                <w:highlight w:val="none"/>
                <w:lang w:val="en-US" w:eastAsia="zh-CN"/>
              </w:rPr>
              <w:t>招标公司按下表中</w:t>
            </w: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lang w:val="en-US" w:eastAsia="zh-CN"/>
              </w:rPr>
              <w:t>招标的标准（按差额定率累进法计算），根据采购预算，向中标人收取中标服务费。</w:t>
            </w:r>
          </w:p>
          <w:tbl>
            <w:tblPr>
              <w:tblStyle w:val="47"/>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89"/>
              <w:gridCol w:w="862"/>
              <w:gridCol w:w="9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7" w:hRule="atLeast"/>
                <w:jc w:val="center"/>
              </w:trPr>
              <w:tc>
                <w:tcPr>
                  <w:tcW w:w="4489"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16200" to="300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bidi w:val="0"/>
                    <w:adjustRightInd/>
                    <w:snapToGrid/>
                    <w:spacing w:beforeLines="0" w:afterLines="0" w:line="360" w:lineRule="auto"/>
                    <w:jc w:val="right"/>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adjustRightInd/>
                    <w:snapToGrid w:val="0"/>
                    <w:spacing w:beforeLines="0" w:afterLines="0" w:line="240" w:lineRule="auto"/>
                    <mc:AlternateContent>
                      <mc:Choice Requires="wpsCustomData">
                        <wpsCustomData:diagonalParaType/>
                      </mc:Choice>
                    </mc:AlternateConten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金额（万元）</w:t>
                  </w:r>
                </w:p>
                <w:p>
                  <w:pPr>
                    <w:keepNext w:val="0"/>
                    <w:keepLines w:val="0"/>
                    <w:pageBreakBefore w:val="0"/>
                    <w:widowControl w:val="0"/>
                    <w:kinsoku/>
                    <w:wordWrap/>
                    <w:overflowPunct/>
                    <w:topLinePunct w:val="0"/>
                    <w:bidi w:val="0"/>
                    <w:adjustRightInd/>
                    <w:snapToGrid w:val="0"/>
                    <w:spacing w:beforeLines="0" w:afterLines="0" w:line="240" w:lineRule="auto"/>
                    <mc:AlternateContent>
                      <mc:Choice Requires="wpsCustomData">
                        <wpsCustomData:diagonalParaType/>
                      </mc:Choice>
                    </mc:AlternateConten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费率</w:t>
                  </w:r>
                </w:p>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服务类型</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货物招标</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服务招标</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5000-10000</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1亿～5亿</w:t>
                  </w:r>
                </w:p>
              </w:tc>
              <w:tc>
                <w:tcPr>
                  <w:tcW w:w="862"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r>
          </w:tbl>
          <w:p>
            <w:pPr>
              <w:spacing w:line="336"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中标</w:t>
            </w:r>
            <w:r>
              <w:rPr>
                <w:rFonts w:hint="eastAsia" w:ascii="宋体" w:hAnsi="宋体" w:cs="宋体"/>
                <w:color w:val="auto"/>
                <w:szCs w:val="21"/>
                <w:highlight w:val="none"/>
              </w:rPr>
              <w:t>服务费只收现金、银行票汇款、电汇款。</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关于本次采购的服务费汇入以下</w:t>
            </w:r>
            <w:r>
              <w:rPr>
                <w:rFonts w:hint="eastAsia" w:ascii="宋体" w:hAnsi="宋体" w:cs="宋体"/>
                <w:color w:val="auto"/>
                <w:szCs w:val="21"/>
                <w:highlight w:val="none"/>
                <w:lang w:eastAsia="zh-CN"/>
              </w:rPr>
              <w:t>账户</w:t>
            </w:r>
            <w:r>
              <w:rPr>
                <w:rFonts w:hint="eastAsia" w:ascii="宋体" w:hAnsi="宋体" w:cs="宋体"/>
                <w:color w:val="auto"/>
                <w:szCs w:val="21"/>
                <w:highlight w:val="none"/>
              </w:rPr>
              <w:t>：</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开户银行： 宁波银行科技支行</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帐    号： 31010122000005488</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户    名： 宁波中基国际招标有限公司</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中标人接到本公司通知后5个工作日内向本采购代理机构领取中标通知书（根据中标人需求可采用邮寄或到采购代理机构现场领取）。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16"/>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16"/>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numPr>
                <w:ilvl w:val="0"/>
                <w:numId w:val="16"/>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评标结果公示：评标结束后，评标结果公示网站详见《第一章 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65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jc w:val="left"/>
              <w:textAlignment w:val="bottom"/>
              <w:rPr>
                <w:rFonts w:hint="eastAsia" w:ascii="宋体" w:hAnsi="宋体" w:cs="宋体"/>
                <w:b/>
                <w:bCs/>
                <w:color w:val="auto"/>
                <w:szCs w:val="21"/>
                <w:highlight w:val="none"/>
              </w:rPr>
            </w:pPr>
            <w:r>
              <w:rPr>
                <w:rFonts w:hint="eastAsia" w:ascii="宋体" w:hAnsi="宋体" w:cs="宋体"/>
                <w:b/>
                <w:bCs/>
                <w:color w:val="auto"/>
                <w:szCs w:val="21"/>
                <w:highlight w:val="none"/>
              </w:rPr>
              <w:t>解释：本</w:t>
            </w:r>
            <w:r>
              <w:rPr>
                <w:rFonts w:hint="eastAsia" w:ascii="宋体" w:hAnsi="宋体" w:cs="宋体"/>
                <w:b/>
                <w:bCs/>
                <w:color w:val="auto"/>
                <w:szCs w:val="21"/>
                <w:highlight w:val="none"/>
                <w:lang w:eastAsia="zh-CN"/>
              </w:rPr>
              <w:t>招标文件</w:t>
            </w:r>
            <w:r>
              <w:rPr>
                <w:rFonts w:hint="eastAsia" w:ascii="宋体" w:hAnsi="宋体" w:cs="宋体"/>
                <w:b/>
                <w:bCs/>
                <w:color w:val="auto"/>
                <w:szCs w:val="21"/>
                <w:highlight w:val="none"/>
              </w:rPr>
              <w:t>的解释权属于招标采购单位。</w:t>
            </w:r>
          </w:p>
        </w:tc>
      </w:tr>
    </w:tbl>
    <w:p>
      <w:pPr>
        <w:pStyle w:val="25"/>
        <w:snapToGrid w:val="0"/>
        <w:spacing w:before="0" w:beforeLines="0" w:after="0" w:afterLines="0" w:line="360" w:lineRule="auto"/>
        <w:rPr>
          <w:rFonts w:hAnsi="宋体" w:cs="宋体"/>
          <w:b/>
          <w:color w:val="auto"/>
          <w:highlight w:val="none"/>
        </w:rPr>
      </w:pPr>
      <w:r>
        <w:rPr>
          <w:rFonts w:hAnsi="宋体" w:cs="宋体"/>
          <w:b/>
          <w:color w:val="auto"/>
          <w:highlight w:val="none"/>
        </w:rPr>
        <w:t>一   总  则</w:t>
      </w:r>
    </w:p>
    <w:p>
      <w:pPr>
        <w:snapToGrid w:val="0"/>
        <w:spacing w:line="360" w:lineRule="auto"/>
        <w:ind w:firstLine="413" w:firstLineChars="196"/>
        <w:jc w:val="left"/>
        <w:rPr>
          <w:rFonts w:hint="eastAsia" w:ascii="宋体" w:hAnsi="宋体" w:cs="宋体"/>
          <w:b/>
          <w:color w:val="auto"/>
          <w:szCs w:val="21"/>
          <w:highlight w:val="none"/>
        </w:rPr>
      </w:pPr>
      <w:bookmarkStart w:id="73" w:name="_Toc1476"/>
      <w:r>
        <w:rPr>
          <w:rFonts w:hint="eastAsia" w:ascii="宋体" w:hAnsi="宋体" w:cs="宋体"/>
          <w:b/>
          <w:color w:val="auto"/>
          <w:szCs w:val="21"/>
          <w:highlight w:val="none"/>
        </w:rPr>
        <w:t>（一） 适用范围</w:t>
      </w:r>
      <w:bookmarkEnd w:id="73"/>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适用于本项目的招标、投标、评标、定标、验收、合同履约、付款等行为（法律、法规另有规定的，从其规定）。</w:t>
      </w:r>
    </w:p>
    <w:p>
      <w:pPr>
        <w:snapToGrid w:val="0"/>
        <w:spacing w:line="360" w:lineRule="auto"/>
        <w:ind w:firstLine="310" w:firstLineChars="147"/>
        <w:jc w:val="left"/>
        <w:rPr>
          <w:rFonts w:hint="eastAsia" w:ascii="宋体" w:hAnsi="宋体" w:cs="宋体"/>
          <w:b/>
          <w:color w:val="auto"/>
          <w:szCs w:val="21"/>
          <w:highlight w:val="none"/>
        </w:rPr>
      </w:pPr>
      <w:bookmarkStart w:id="74" w:name="_Toc7571"/>
      <w:r>
        <w:rPr>
          <w:rFonts w:hint="eastAsia" w:ascii="宋体" w:hAnsi="宋体" w:cs="宋体"/>
          <w:b/>
          <w:color w:val="auto"/>
          <w:szCs w:val="21"/>
          <w:highlight w:val="none"/>
        </w:rPr>
        <w:t>（二）定义</w:t>
      </w:r>
      <w:bookmarkEnd w:id="74"/>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3.“产品”系指供应商按</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4.“服务”系指</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规定供应商须承担的安装、调试、技术协助、校准、培训、技术指导以及其他类似的义务。</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5.“项目”系指供应商按</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规定向采购人提供的产品和服务。</w:t>
      </w:r>
    </w:p>
    <w:p>
      <w:pPr>
        <w:snapToGrid w:val="0"/>
        <w:spacing w:line="360" w:lineRule="auto"/>
        <w:ind w:firstLine="420" w:firstLineChars="200"/>
        <w:jc w:val="left"/>
        <w:rPr>
          <w:rFonts w:hint="eastAsia" w:ascii="宋体" w:hAnsi="宋体" w:cs="宋体"/>
          <w:color w:val="auto"/>
          <w:szCs w:val="21"/>
          <w:highlight w:val="none"/>
        </w:rPr>
      </w:pPr>
      <w:bookmarkStart w:id="75" w:name="_Toc20685"/>
      <w:r>
        <w:rPr>
          <w:rFonts w:hint="eastAsia" w:ascii="宋体" w:hAnsi="宋体" w:cs="宋体"/>
          <w:color w:val="auto"/>
          <w:szCs w:val="21"/>
          <w:highlight w:val="none"/>
        </w:rPr>
        <w:t>6、“书面形式”包括信函、传真、电函等。</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（三）招标方式</w:t>
      </w:r>
      <w:bookmarkEnd w:id="75"/>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line="360" w:lineRule="auto"/>
        <w:ind w:firstLine="413" w:firstLineChars="196"/>
        <w:jc w:val="left"/>
        <w:rPr>
          <w:rFonts w:hint="eastAsia" w:ascii="宋体" w:hAnsi="宋体" w:cs="宋体"/>
          <w:b/>
          <w:color w:val="auto"/>
          <w:szCs w:val="21"/>
          <w:highlight w:val="none"/>
        </w:rPr>
      </w:pPr>
      <w:bookmarkStart w:id="76" w:name="_Toc21721"/>
      <w:bookmarkStart w:id="77" w:name="_Toc1659"/>
      <w:r>
        <w:rPr>
          <w:rFonts w:hint="eastAsia" w:ascii="宋体" w:hAnsi="宋体" w:cs="宋体"/>
          <w:b/>
          <w:color w:val="auto"/>
          <w:szCs w:val="21"/>
          <w:highlight w:val="none"/>
        </w:rPr>
        <w:t>（四）投标委托</w:t>
      </w:r>
      <w:bookmarkEnd w:id="76"/>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出具的授权委托书（正本用原件，副本用复印件，格式见第六章）。</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（五）投标费用</w:t>
      </w:r>
      <w:bookmarkEnd w:id="77"/>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有其他规定除外）。</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（六）联合体投标</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本项目不允许联合体投标。</w:t>
      </w:r>
    </w:p>
    <w:p>
      <w:pPr>
        <w:snapToGrid w:val="0"/>
        <w:spacing w:line="360" w:lineRule="auto"/>
        <w:ind w:firstLine="413" w:firstLineChars="196"/>
        <w:rPr>
          <w:rFonts w:hint="eastAsia"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line="360" w:lineRule="auto"/>
        <w:ind w:firstLine="411" w:firstLineChars="196"/>
        <w:rPr>
          <w:rFonts w:hint="eastAsia" w:ascii="宋体" w:hAnsi="宋体" w:cs="宋体"/>
          <w:b/>
          <w:color w:val="auto"/>
          <w:kern w:val="0"/>
          <w:szCs w:val="21"/>
          <w:highlight w:val="none"/>
        </w:rPr>
      </w:pPr>
      <w:r>
        <w:rPr>
          <w:rFonts w:hint="eastAsia" w:ascii="宋体" w:hAnsi="宋体" w:cs="宋体"/>
          <w:bCs/>
          <w:color w:val="auto"/>
          <w:highlight w:val="none"/>
        </w:rPr>
        <w:t>本项目不允许转包；</w:t>
      </w:r>
      <w:r>
        <w:rPr>
          <w:rFonts w:hint="eastAsia" w:ascii="宋体" w:hAnsi="宋体" w:eastAsia="宋体" w:cs="宋体"/>
          <w:color w:val="auto"/>
          <w:szCs w:val="21"/>
          <w:highlight w:val="none"/>
          <w:lang w:val="en-US" w:eastAsia="zh-CN"/>
        </w:rPr>
        <w:t>未经采购人同意，</w:t>
      </w:r>
      <w:r>
        <w:rPr>
          <w:rFonts w:hint="eastAsia" w:ascii="宋体" w:hAnsi="宋体" w:cs="宋体"/>
          <w:color w:val="auto"/>
          <w:szCs w:val="21"/>
          <w:highlight w:val="none"/>
        </w:rPr>
        <w:t>不允许分包。</w:t>
      </w:r>
    </w:p>
    <w:p>
      <w:pPr>
        <w:snapToGrid w:val="0"/>
        <w:spacing w:line="360" w:lineRule="auto"/>
        <w:ind w:firstLine="413" w:firstLineChars="196"/>
        <w:jc w:val="left"/>
        <w:rPr>
          <w:rFonts w:hint="eastAsia" w:ascii="宋体" w:hAnsi="宋体" w:cs="宋体"/>
          <w:b/>
          <w:color w:val="auto"/>
          <w:szCs w:val="21"/>
          <w:highlight w:val="none"/>
        </w:rPr>
      </w:pPr>
      <w:bookmarkStart w:id="78" w:name="_Toc13174"/>
      <w:r>
        <w:rPr>
          <w:rFonts w:hint="eastAsia" w:ascii="宋体" w:hAnsi="宋体" w:cs="宋体"/>
          <w:b/>
          <w:color w:val="auto"/>
          <w:szCs w:val="21"/>
          <w:highlight w:val="none"/>
        </w:rPr>
        <w:t>（八）特别说明：</w:t>
      </w:r>
      <w:bookmarkEnd w:id="78"/>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w:t>
      </w:r>
      <w:r>
        <w:rPr>
          <w:rFonts w:hint="eastAsia" w:hAnsi="宋体" w:cs="宋体"/>
          <w:bCs/>
          <w:color w:val="auto"/>
          <w:highlight w:val="none"/>
          <w:lang w:eastAsia="zh-CN"/>
        </w:rPr>
        <w:t>招标文件</w:t>
      </w:r>
      <w:r>
        <w:rPr>
          <w:rFonts w:hAnsi="宋体" w:cs="宋体"/>
          <w:bCs/>
          <w:color w:val="auto"/>
          <w:highlight w:val="none"/>
        </w:rPr>
        <w:t>规定的方式确定一个供应商获得中标人的推荐资格，</w:t>
      </w:r>
      <w:r>
        <w:rPr>
          <w:rFonts w:hint="eastAsia" w:hAnsi="宋体" w:cs="宋体"/>
          <w:bCs/>
          <w:color w:val="auto"/>
          <w:highlight w:val="none"/>
          <w:lang w:eastAsia="zh-CN"/>
        </w:rPr>
        <w:t>招标文件</w:t>
      </w:r>
      <w:r>
        <w:rPr>
          <w:rFonts w:hAnsi="宋体" w:cs="宋体"/>
          <w:bCs/>
          <w:color w:val="auto"/>
          <w:highlight w:val="none"/>
        </w:rPr>
        <w:t>未规定的采取随机抽取的方式确定，其他同品牌供应商不作为中标候选人。</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 xml:space="preserve"> 非单一产品采购项目，供应商使用相同制造产品（相同制造产品是指</w:t>
      </w:r>
      <w:r>
        <w:rPr>
          <w:rFonts w:hint="eastAsia" w:hAnsi="宋体" w:cs="宋体"/>
          <w:bCs/>
          <w:color w:val="auto"/>
          <w:highlight w:val="none"/>
          <w:lang w:eastAsia="zh-CN"/>
        </w:rPr>
        <w:t>招标文件</w:t>
      </w:r>
      <w:r>
        <w:rPr>
          <w:rFonts w:hAnsi="宋体" w:cs="宋体"/>
          <w:bCs/>
          <w:color w:val="auto"/>
          <w:highlight w:val="none"/>
        </w:rPr>
        <w:t>中指定的“核心产品”）作为其项目的一部分，按一家供应商认定。</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w:t>
      </w:r>
      <w:r>
        <w:rPr>
          <w:rFonts w:hint="eastAsia" w:hAnsi="宋体" w:cs="宋体"/>
          <w:bCs/>
          <w:color w:val="auto"/>
          <w:highlight w:val="none"/>
          <w:lang w:eastAsia="zh-CN"/>
        </w:rPr>
        <w:t>招标文件</w:t>
      </w:r>
      <w:r>
        <w:rPr>
          <w:rFonts w:hAnsi="宋体" w:cs="宋体"/>
          <w:bCs/>
          <w:color w:val="auto"/>
          <w:highlight w:val="none"/>
        </w:rPr>
        <w:t xml:space="preserve">的澄清与修改 </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（1）采购人或者采购代理机构对</w:t>
      </w:r>
      <w:r>
        <w:rPr>
          <w:rFonts w:hint="eastAsia" w:hAnsi="宋体" w:cs="宋体"/>
          <w:bCs/>
          <w:color w:val="auto"/>
          <w:highlight w:val="none"/>
          <w:lang w:eastAsia="zh-CN"/>
        </w:rPr>
        <w:t>招标文件</w:t>
      </w:r>
      <w:r>
        <w:rPr>
          <w:rFonts w:hAnsi="宋体" w:cs="宋体"/>
          <w:bCs/>
          <w:color w:val="auto"/>
          <w:highlight w:val="none"/>
        </w:rPr>
        <w:t>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（2）澄清公告为</w:t>
      </w:r>
      <w:r>
        <w:rPr>
          <w:rFonts w:hint="eastAsia" w:hAnsi="宋体" w:cs="宋体"/>
          <w:bCs/>
          <w:color w:val="auto"/>
          <w:highlight w:val="none"/>
          <w:lang w:eastAsia="zh-CN"/>
        </w:rPr>
        <w:t>招标文件</w:t>
      </w:r>
      <w:r>
        <w:rPr>
          <w:rFonts w:hAnsi="宋体" w:cs="宋体"/>
          <w:bCs/>
          <w:color w:val="auto"/>
          <w:highlight w:val="none"/>
        </w:rPr>
        <w:t>的组成部分，一经在网站发布，视同已通知所有</w:t>
      </w:r>
      <w:r>
        <w:rPr>
          <w:rFonts w:hint="eastAsia" w:hAnsi="宋体" w:cs="宋体"/>
          <w:bCs/>
          <w:color w:val="auto"/>
          <w:highlight w:val="none"/>
          <w:lang w:eastAsia="zh-CN"/>
        </w:rPr>
        <w:t>招标文件</w:t>
      </w:r>
      <w:r>
        <w:rPr>
          <w:rFonts w:hAnsi="宋体" w:cs="宋体"/>
          <w:bCs/>
          <w:color w:val="auto"/>
          <w:highlight w:val="none"/>
        </w:rPr>
        <w:t>的收受人，不再采用其它方式传达相关信息, 若因未能及时了解到上述网站上发布的相关信息而导致的一切后果自行承担。</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w:t>
      </w:r>
      <w:r>
        <w:rPr>
          <w:rFonts w:hint="eastAsia" w:hAnsi="宋体" w:cs="宋体"/>
          <w:bCs/>
          <w:color w:val="auto"/>
          <w:highlight w:val="none"/>
          <w:lang w:eastAsia="zh-CN"/>
        </w:rPr>
        <w:t>招标文件</w:t>
      </w:r>
      <w:r>
        <w:rPr>
          <w:rFonts w:hAnsi="宋体" w:cs="宋体"/>
          <w:bCs/>
          <w:color w:val="auto"/>
          <w:highlight w:val="none"/>
        </w:rPr>
        <w:t>澄清、答复、修改、补充的内容为</w:t>
      </w:r>
      <w:r>
        <w:rPr>
          <w:rFonts w:hint="eastAsia" w:hAnsi="宋体" w:cs="宋体"/>
          <w:bCs/>
          <w:color w:val="auto"/>
          <w:highlight w:val="none"/>
          <w:lang w:eastAsia="zh-CN"/>
        </w:rPr>
        <w:t>招标文件</w:t>
      </w:r>
      <w:r>
        <w:rPr>
          <w:rFonts w:hAnsi="宋体" w:cs="宋体"/>
          <w:bCs/>
          <w:color w:val="auto"/>
          <w:highlight w:val="none"/>
        </w:rPr>
        <w:t>的组成部分。当</w:t>
      </w:r>
      <w:r>
        <w:rPr>
          <w:rFonts w:hint="eastAsia" w:hAnsi="宋体" w:cs="宋体"/>
          <w:bCs/>
          <w:color w:val="auto"/>
          <w:highlight w:val="none"/>
          <w:lang w:eastAsia="zh-CN"/>
        </w:rPr>
        <w:t>招标文件</w:t>
      </w:r>
      <w:r>
        <w:rPr>
          <w:rFonts w:hAnsi="宋体" w:cs="宋体"/>
          <w:bCs/>
          <w:color w:val="auto"/>
          <w:highlight w:val="none"/>
        </w:rPr>
        <w:t>与</w:t>
      </w:r>
      <w:r>
        <w:rPr>
          <w:rFonts w:hint="eastAsia" w:hAnsi="宋体" w:cs="宋体"/>
          <w:bCs/>
          <w:color w:val="auto"/>
          <w:highlight w:val="none"/>
          <w:lang w:eastAsia="zh-CN"/>
        </w:rPr>
        <w:t>招标文件</w:t>
      </w:r>
      <w:r>
        <w:rPr>
          <w:rFonts w:hAnsi="宋体" w:cs="宋体"/>
          <w:bCs/>
          <w:color w:val="auto"/>
          <w:highlight w:val="none"/>
        </w:rPr>
        <w:t>的答复、澄清、修改、补充通知就同一内容的表述不一致时，以最后发出的澄清公告为准。</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（4）</w:t>
      </w:r>
      <w:r>
        <w:rPr>
          <w:rFonts w:hint="eastAsia" w:hAnsi="宋体" w:cs="宋体"/>
          <w:bCs/>
          <w:color w:val="auto"/>
          <w:highlight w:val="none"/>
          <w:lang w:eastAsia="zh-CN"/>
        </w:rPr>
        <w:t>招标文件</w:t>
      </w:r>
      <w:r>
        <w:rPr>
          <w:rFonts w:hAnsi="宋体" w:cs="宋体"/>
          <w:bCs/>
          <w:color w:val="auto"/>
          <w:highlight w:val="none"/>
        </w:rPr>
        <w:t>的澄清、答复、修改或补充都应该通过本代理机构以法定形式发布，采购人非通过本机构，不得擅自澄清、答复、修改或补充</w:t>
      </w:r>
      <w:r>
        <w:rPr>
          <w:rFonts w:hint="eastAsia" w:hAnsi="宋体" w:cs="宋体"/>
          <w:bCs/>
          <w:color w:val="auto"/>
          <w:highlight w:val="none"/>
          <w:lang w:eastAsia="zh-CN"/>
        </w:rPr>
        <w:t>招标文件</w:t>
      </w:r>
      <w:r>
        <w:rPr>
          <w:rFonts w:hAnsi="宋体" w:cs="宋体"/>
          <w:bCs/>
          <w:color w:val="auto"/>
          <w:highlight w:val="none"/>
        </w:rPr>
        <w:t>。</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4、关于分公司投标</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5、关于知识产权</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6、供应商的风险</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（1）供应商应详细阅读</w:t>
      </w:r>
      <w:r>
        <w:rPr>
          <w:rFonts w:hint="eastAsia" w:hAnsi="宋体" w:cs="宋体"/>
          <w:bCs/>
          <w:color w:val="auto"/>
          <w:highlight w:val="none"/>
          <w:lang w:eastAsia="zh-CN"/>
        </w:rPr>
        <w:t>招标文件</w:t>
      </w:r>
      <w:r>
        <w:rPr>
          <w:rFonts w:hAnsi="宋体" w:cs="宋体"/>
          <w:bCs/>
          <w:color w:val="auto"/>
          <w:highlight w:val="none"/>
        </w:rPr>
        <w:t>中的全部内容和要求，按照</w:t>
      </w:r>
      <w:r>
        <w:rPr>
          <w:rFonts w:hint="eastAsia" w:hAnsi="宋体" w:cs="宋体"/>
          <w:bCs/>
          <w:color w:val="auto"/>
          <w:highlight w:val="none"/>
          <w:lang w:eastAsia="zh-CN"/>
        </w:rPr>
        <w:t>招标文件</w:t>
      </w:r>
      <w:r>
        <w:rPr>
          <w:rFonts w:hAnsi="宋体" w:cs="宋体"/>
          <w:bCs/>
          <w:color w:val="auto"/>
          <w:highlight w:val="none"/>
        </w:rPr>
        <w:t>的要求提交投标文件，没有按照</w:t>
      </w:r>
      <w:r>
        <w:rPr>
          <w:rFonts w:hint="eastAsia" w:hAnsi="宋体" w:cs="宋体"/>
          <w:bCs/>
          <w:color w:val="auto"/>
          <w:highlight w:val="none"/>
          <w:lang w:eastAsia="zh-CN"/>
        </w:rPr>
        <w:t>招标文件</w:t>
      </w:r>
      <w:r>
        <w:rPr>
          <w:rFonts w:hAnsi="宋体" w:cs="宋体"/>
          <w:bCs/>
          <w:color w:val="auto"/>
          <w:highlight w:val="none"/>
        </w:rPr>
        <w:t>要求提供投标文件和资料导致的风险由供应商承担,并对所提供的全部资料的真实性承担法律责任。</w:t>
      </w:r>
    </w:p>
    <w:p>
      <w:pPr>
        <w:pStyle w:val="25"/>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25"/>
        <w:snapToGrid w:val="0"/>
        <w:spacing w:before="0" w:beforeLines="0" w:after="0" w:afterLines="0" w:line="360" w:lineRule="auto"/>
        <w:ind w:left="2" w:leftChars="1" w:firstLine="420" w:firstLineChars="200"/>
        <w:rPr>
          <w:rFonts w:hAnsi="宋体" w:cs="宋体"/>
          <w:b/>
          <w:color w:val="auto"/>
          <w:highlight w:val="none"/>
        </w:rPr>
      </w:pPr>
      <w:r>
        <w:rPr>
          <w:rFonts w:hAnsi="宋体" w:cs="宋体"/>
          <w:bCs/>
          <w:color w:val="auto"/>
          <w:highlight w:val="none"/>
        </w:rPr>
        <w:t>7、解释：本</w:t>
      </w:r>
      <w:r>
        <w:rPr>
          <w:rFonts w:hint="eastAsia" w:hAnsi="宋体" w:cs="宋体"/>
          <w:bCs/>
          <w:color w:val="auto"/>
          <w:highlight w:val="none"/>
          <w:lang w:eastAsia="zh-CN"/>
        </w:rPr>
        <w:t>招标文件</w:t>
      </w:r>
      <w:r>
        <w:rPr>
          <w:rFonts w:hAnsi="宋体" w:cs="宋体"/>
          <w:bCs/>
          <w:color w:val="auto"/>
          <w:highlight w:val="none"/>
        </w:rPr>
        <w:t>的解释权属于采购人。</w:t>
      </w:r>
    </w:p>
    <w:p>
      <w:pPr>
        <w:pStyle w:val="25"/>
        <w:snapToGrid w:val="0"/>
        <w:spacing w:before="0" w:beforeLines="0" w:after="0" w:afterLines="0" w:line="360" w:lineRule="auto"/>
        <w:ind w:firstLine="413" w:firstLineChars="196"/>
        <w:rPr>
          <w:rFonts w:hAnsi="宋体" w:cs="宋体"/>
          <w:b/>
          <w:bCs/>
          <w:color w:val="auto"/>
          <w:highlight w:val="none"/>
        </w:rPr>
      </w:pPr>
      <w:bookmarkStart w:id="79" w:name="_Toc13650"/>
      <w:r>
        <w:rPr>
          <w:rFonts w:hAnsi="宋体" w:cs="宋体"/>
          <w:b/>
          <w:bCs/>
          <w:color w:val="auto"/>
          <w:highlight w:val="none"/>
        </w:rPr>
        <w:t>（九）质疑和投诉</w:t>
      </w:r>
      <w:bookmarkEnd w:id="79"/>
    </w:p>
    <w:p>
      <w:pPr>
        <w:spacing w:line="360" w:lineRule="auto"/>
        <w:ind w:firstLine="420" w:firstLineChars="200"/>
        <w:rPr>
          <w:rFonts w:hint="eastAsia" w:ascii="宋体" w:hAnsi="宋体" w:cs="宋体"/>
          <w:color w:val="auto"/>
          <w:highlight w:val="none"/>
        </w:rPr>
      </w:pPr>
      <w:bookmarkStart w:id="80" w:name="_Toc27142"/>
      <w:r>
        <w:rPr>
          <w:rFonts w:hint="eastAsia" w:ascii="宋体" w:hAnsi="宋体" w:cs="宋体"/>
          <w:color w:val="auto"/>
          <w:highlight w:val="none"/>
        </w:rPr>
        <w:t>1. 供应商认为</w:t>
      </w:r>
      <w:r>
        <w:rPr>
          <w:rFonts w:hint="eastAsia" w:ascii="宋体" w:hAnsi="宋体" w:cs="宋体"/>
          <w:color w:val="auto"/>
          <w:highlight w:val="none"/>
          <w:lang w:eastAsia="zh-CN"/>
        </w:rPr>
        <w:t>招标文件</w:t>
      </w:r>
      <w:r>
        <w:rPr>
          <w:rFonts w:hint="eastAsia" w:ascii="宋体" w:hAnsi="宋体" w:cs="宋体"/>
          <w:color w:val="auto"/>
          <w:highlight w:val="none"/>
        </w:rPr>
        <w:t>、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 提出质疑的供应商应当是参与所质疑项目采购活动的供应商。未依法获取</w:t>
      </w:r>
      <w:r>
        <w:rPr>
          <w:rFonts w:hint="eastAsia" w:ascii="宋体" w:hAnsi="宋体" w:cs="宋体"/>
          <w:color w:val="auto"/>
          <w:highlight w:val="none"/>
          <w:lang w:eastAsia="zh-CN"/>
        </w:rPr>
        <w:t>招标文件</w:t>
      </w:r>
      <w:r>
        <w:rPr>
          <w:rFonts w:hint="eastAsia" w:ascii="宋体" w:hAnsi="宋体" w:cs="宋体"/>
          <w:color w:val="auto"/>
          <w:highlight w:val="none"/>
        </w:rPr>
        <w:t>的，不得就</w:t>
      </w:r>
      <w:r>
        <w:rPr>
          <w:rFonts w:hint="eastAsia" w:ascii="宋体" w:hAnsi="宋体" w:cs="宋体"/>
          <w:color w:val="auto"/>
          <w:highlight w:val="none"/>
          <w:lang w:eastAsia="zh-CN"/>
        </w:rPr>
        <w:t>招标文件</w:t>
      </w:r>
      <w:r>
        <w:rPr>
          <w:rFonts w:hint="eastAsia" w:ascii="宋体" w:hAnsi="宋体" w:cs="宋体"/>
          <w:color w:val="auto"/>
          <w:highlight w:val="none"/>
        </w:rPr>
        <w:t>提出质疑；未提交投标文件的供应商，视为与采购结果没有利害关系，不得就采购响应截止时间后的采购过程、采购结果提出质疑。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eastAsia" w:ascii="宋体" w:hAnsi="宋体" w:cs="宋体"/>
          <w:color w:val="auto"/>
          <w:highlight w:val="none"/>
          <w:lang w:eastAsia="zh-CN"/>
        </w:rPr>
        <w:t>招标文件</w:t>
      </w:r>
      <w:r>
        <w:rPr>
          <w:rFonts w:hint="eastAsia" w:ascii="宋体" w:hAnsi="宋体" w:cs="宋体"/>
          <w:color w:val="auto"/>
          <w:highlight w:val="none"/>
        </w:rPr>
        <w:t>第一章有关联系方式。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 供应商对采购人或采购代理机构的质疑答复不满意或者采购人或采购代理机构未在规定时间内作出答复的，可以在答复期满后十五个工作日内向同级采购监管部门投诉。投诉书范本请到浙江政府采购网下载专区下载。</w:t>
      </w:r>
    </w:p>
    <w:p>
      <w:pPr>
        <w:pStyle w:val="25"/>
        <w:snapToGrid w:val="0"/>
        <w:spacing w:before="0" w:beforeLines="0" w:after="0" w:afterLines="0" w:line="360" w:lineRule="auto"/>
        <w:ind w:firstLine="413" w:firstLineChars="196"/>
        <w:rPr>
          <w:rFonts w:hint="eastAsia" w:hAnsi="宋体" w:eastAsia="宋体" w:cs="宋体"/>
          <w:b/>
          <w:color w:val="auto"/>
          <w:highlight w:val="none"/>
          <w:lang w:eastAsia="zh-CN"/>
        </w:rPr>
      </w:pPr>
      <w:r>
        <w:rPr>
          <w:rFonts w:hAnsi="宋体" w:cs="宋体"/>
          <w:b/>
          <w:color w:val="auto"/>
          <w:highlight w:val="none"/>
        </w:rPr>
        <w:t xml:space="preserve">二  </w:t>
      </w:r>
      <w:bookmarkEnd w:id="80"/>
      <w:r>
        <w:rPr>
          <w:rFonts w:hint="eastAsia" w:hAnsi="宋体" w:cs="宋体"/>
          <w:b/>
          <w:color w:val="auto"/>
          <w:highlight w:val="none"/>
          <w:lang w:eastAsia="zh-CN"/>
        </w:rPr>
        <w:t>招标文件</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b/>
          <w:color w:val="auto"/>
          <w:szCs w:val="21"/>
          <w:highlight w:val="none"/>
          <w:lang w:eastAsia="zh-CN"/>
        </w:rPr>
        <w:t>招标文件</w:t>
      </w:r>
      <w:r>
        <w:rPr>
          <w:rFonts w:hint="eastAsia" w:ascii="宋体" w:hAnsi="宋体" w:cs="宋体"/>
          <w:b/>
          <w:color w:val="auto"/>
          <w:szCs w:val="21"/>
          <w:highlight w:val="none"/>
        </w:rPr>
        <w:t>的构成。本</w:t>
      </w:r>
      <w:r>
        <w:rPr>
          <w:rFonts w:hint="eastAsia" w:ascii="宋体" w:hAnsi="宋体" w:cs="宋体"/>
          <w:b/>
          <w:color w:val="auto"/>
          <w:szCs w:val="21"/>
          <w:highlight w:val="none"/>
          <w:lang w:eastAsia="zh-CN"/>
        </w:rPr>
        <w:t>招标文件</w:t>
      </w:r>
      <w:r>
        <w:rPr>
          <w:rFonts w:hint="eastAsia" w:ascii="宋体" w:hAnsi="宋体" w:cs="宋体"/>
          <w:b/>
          <w:color w:val="auto"/>
          <w:szCs w:val="21"/>
          <w:highlight w:val="none"/>
        </w:rPr>
        <w:t>由以下</w:t>
      </w:r>
      <w:r>
        <w:rPr>
          <w:rFonts w:hint="eastAsia" w:ascii="宋体" w:hAnsi="宋体" w:cs="宋体"/>
          <w:b/>
          <w:color w:val="auto"/>
          <w:szCs w:val="21"/>
          <w:highlight w:val="none"/>
          <w:lang w:val="en-US" w:eastAsia="zh-CN"/>
        </w:rPr>
        <w:t>部分</w:t>
      </w:r>
      <w:r>
        <w:rPr>
          <w:rFonts w:hint="eastAsia" w:ascii="宋体" w:hAnsi="宋体" w:cs="宋体"/>
          <w:b/>
          <w:color w:val="auto"/>
          <w:szCs w:val="21"/>
          <w:highlight w:val="none"/>
        </w:rPr>
        <w:t>组成：</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1.公开招标公告</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3.供应商须知</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7.本项目</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的澄清、答复、修改、补充的内容</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（二）供应商的风险</w:t>
      </w:r>
    </w:p>
    <w:p>
      <w:pPr>
        <w:pStyle w:val="37"/>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供应商没有按照</w:t>
      </w:r>
      <w:r>
        <w:rPr>
          <w:rFonts w:hint="eastAsia" w:ascii="宋体" w:hAnsi="宋体" w:cs="宋体"/>
          <w:color w:val="auto"/>
          <w:sz w:val="21"/>
          <w:szCs w:val="21"/>
          <w:highlight w:val="none"/>
          <w:lang w:eastAsia="zh-CN"/>
        </w:rPr>
        <w:t>招标文件</w:t>
      </w:r>
      <w:r>
        <w:rPr>
          <w:rFonts w:hint="eastAsia" w:ascii="宋体" w:hAnsi="宋体" w:cs="宋体"/>
          <w:color w:val="auto"/>
          <w:sz w:val="21"/>
          <w:szCs w:val="21"/>
          <w:highlight w:val="none"/>
        </w:rPr>
        <w:t>要求提供全部资料，或者供应商没有对</w:t>
      </w:r>
      <w:r>
        <w:rPr>
          <w:rFonts w:hint="eastAsia" w:ascii="宋体" w:hAnsi="宋体" w:cs="宋体"/>
          <w:color w:val="auto"/>
          <w:sz w:val="21"/>
          <w:szCs w:val="21"/>
          <w:highlight w:val="none"/>
          <w:lang w:eastAsia="zh-CN"/>
        </w:rPr>
        <w:t>招标文件</w:t>
      </w:r>
      <w:r>
        <w:rPr>
          <w:rFonts w:hint="eastAsia" w:ascii="宋体" w:hAnsi="宋体" w:cs="宋体"/>
          <w:color w:val="auto"/>
          <w:sz w:val="21"/>
          <w:szCs w:val="21"/>
          <w:highlight w:val="none"/>
        </w:rPr>
        <w:t>在各方面作出实质性响应是供应商的风险，并可能导致其投标被拒绝。</w:t>
      </w:r>
    </w:p>
    <w:p>
      <w:pPr>
        <w:pStyle w:val="25"/>
        <w:snapToGrid w:val="0"/>
        <w:spacing w:before="0" w:beforeLines="0" w:after="0" w:afterLines="0" w:line="360" w:lineRule="auto"/>
        <w:ind w:firstLine="413" w:firstLineChars="196"/>
        <w:rPr>
          <w:rFonts w:hAnsi="宋体" w:cs="宋体"/>
          <w:b/>
          <w:color w:val="auto"/>
          <w:highlight w:val="none"/>
        </w:rPr>
      </w:pPr>
      <w:bookmarkStart w:id="81" w:name="_Toc24324"/>
      <w:r>
        <w:rPr>
          <w:rFonts w:hAnsi="宋体" w:cs="宋体"/>
          <w:b/>
          <w:color w:val="auto"/>
          <w:highlight w:val="none"/>
        </w:rPr>
        <w:t>三、投标文件的编制</w:t>
      </w:r>
      <w:bookmarkEnd w:id="81"/>
    </w:p>
    <w:p>
      <w:pPr>
        <w:snapToGrid w:val="0"/>
        <w:spacing w:line="360" w:lineRule="auto"/>
        <w:ind w:firstLine="413" w:firstLineChars="196"/>
        <w:jc w:val="left"/>
        <w:rPr>
          <w:rFonts w:hint="eastAsia" w:ascii="宋体" w:hAnsi="宋体" w:cs="宋体"/>
          <w:b/>
          <w:color w:val="auto"/>
          <w:szCs w:val="21"/>
          <w:highlight w:val="none"/>
        </w:rPr>
      </w:pPr>
      <w:bookmarkStart w:id="82" w:name="_Toc16622"/>
      <w:r>
        <w:rPr>
          <w:rFonts w:hint="eastAsia" w:ascii="宋体" w:hAnsi="宋体" w:cs="宋体"/>
          <w:b/>
          <w:color w:val="auto"/>
          <w:szCs w:val="21"/>
          <w:highlight w:val="none"/>
        </w:rPr>
        <w:t>（一）投标文件的组成</w:t>
      </w:r>
      <w:bookmarkEnd w:id="82"/>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投标文件由资格文件、商务技术文件和报价文件三部分组成。</w:t>
      </w:r>
      <w:r>
        <w:rPr>
          <w:rFonts w:hint="eastAsia" w:ascii="宋体" w:hAnsi="宋体" w:cs="宋体"/>
          <w:b/>
          <w:bCs/>
          <w:color w:val="auto"/>
          <w:szCs w:val="21"/>
          <w:highlight w:val="none"/>
        </w:rPr>
        <w:t>（纸质备份投标文件：</w:t>
      </w:r>
      <w:r>
        <w:rPr>
          <w:rFonts w:hint="eastAsia" w:ascii="宋体" w:hAnsi="宋体" w:cs="宋体"/>
          <w:b/>
          <w:bCs/>
          <w:color w:val="auto"/>
          <w:highlight w:val="none"/>
        </w:rPr>
        <w:t>资格文件、商务技术文件二部分可一起装订成册，报价文件须单独装订成册）</w:t>
      </w:r>
    </w:p>
    <w:p>
      <w:pPr>
        <w:numPr>
          <w:ilvl w:val="0"/>
          <w:numId w:val="17"/>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资格文件：</w:t>
      </w:r>
    </w:p>
    <w:p>
      <w:pPr>
        <w:numPr>
          <w:ilvl w:val="0"/>
          <w:numId w:val="18"/>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供应商资格声明函（格式见附件）；</w:t>
      </w:r>
    </w:p>
    <w:p>
      <w:pPr>
        <w:numPr>
          <w:ilvl w:val="0"/>
          <w:numId w:val="18"/>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18"/>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18"/>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szCs w:val="22"/>
          <w:highlight w:val="none"/>
          <w:lang w:eastAsia="zh-CN"/>
        </w:rPr>
        <w:t>招标文件</w:t>
      </w:r>
      <w:r>
        <w:rPr>
          <w:rFonts w:hint="eastAsia" w:ascii="宋体" w:hAnsi="宋体" w:cs="宋体"/>
          <w:color w:val="auto"/>
          <w:szCs w:val="21"/>
          <w:highlight w:val="none"/>
        </w:rPr>
        <w:t>要求的其他资格条件证明材料（如有）；</w:t>
      </w:r>
    </w:p>
    <w:p>
      <w:pPr>
        <w:numPr>
          <w:ilvl w:val="0"/>
          <w:numId w:val="17"/>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商务技术文件内容包括：</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身份证明或</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授权委托书（格式见附件）；</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企业业绩表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第四章评标办法及评分标准中需提供的其他相关资质证书及合同复印件加盖公章；</w:t>
      </w:r>
    </w:p>
    <w:p>
      <w:pPr>
        <w:snapToGrid w:val="0"/>
        <w:spacing w:line="360" w:lineRule="auto"/>
        <w:jc w:val="left"/>
        <w:rPr>
          <w:rFonts w:hint="eastAsia" w:ascii="宋体" w:hAnsi="宋体" w:cs="宋体"/>
          <w:color w:val="auto"/>
          <w:highlight w:val="none"/>
        </w:rPr>
      </w:pPr>
      <w:r>
        <w:rPr>
          <w:rFonts w:hint="eastAsia" w:ascii="宋体" w:hAnsi="宋体" w:cs="宋体"/>
          <w:color w:val="auto"/>
          <w:kern w:val="0"/>
          <w:szCs w:val="21"/>
          <w:highlight w:val="none"/>
        </w:rPr>
        <w:t>供应商认为有需要提供的其它证明资料。</w:t>
      </w:r>
    </w:p>
    <w:p>
      <w:pPr>
        <w:numPr>
          <w:ilvl w:val="0"/>
          <w:numId w:val="17"/>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报价文件内容包括：</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（1）开标一览表（格式见附件）；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eastAsia="宋体" w:cs="宋体"/>
          <w:color w:val="auto"/>
          <w:highlight w:val="none"/>
        </w:rPr>
        <w:t>投标报价明细表（格式见附件）</w:t>
      </w:r>
      <w:r>
        <w:rPr>
          <w:rFonts w:hint="eastAsia" w:ascii="宋体" w:hAnsi="宋体" w:eastAsia="宋体" w:cs="宋体"/>
          <w:color w:val="auto"/>
          <w:highlight w:val="none"/>
          <w:lang w:eastAsia="zh-CN"/>
        </w:rPr>
        <w:t>；</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cs="宋体"/>
          <w:color w:val="auto"/>
          <w:highlight w:val="none"/>
        </w:rPr>
        <w:t>中小企业声明函（如有)（格式见附件）；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4</w:t>
      </w:r>
      <w:r>
        <w:rPr>
          <w:rFonts w:hint="eastAsia" w:ascii="宋体" w:hAnsi="宋体" w:cs="宋体"/>
          <w:color w:val="auto"/>
          <w:highlight w:val="none"/>
        </w:rPr>
        <w:t>）残疾人福利性单位声明函（非残疾人福利性单位无需提供本函)（格式见附件）；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5</w:t>
      </w:r>
      <w:r>
        <w:rPr>
          <w:rFonts w:hint="eastAsia" w:ascii="宋体" w:hAnsi="宋体" w:cs="宋体"/>
          <w:color w:val="auto"/>
          <w:highlight w:val="none"/>
        </w:rPr>
        <w:t>）供应商针对报价需要说明的其他文件和说明（格式自拟）；</w:t>
      </w:r>
    </w:p>
    <w:p>
      <w:pPr>
        <w:snapToGrid w:val="0"/>
        <w:spacing w:line="360" w:lineRule="auto"/>
        <w:ind w:firstLine="413" w:firstLineChars="196"/>
        <w:jc w:val="left"/>
        <w:rPr>
          <w:rFonts w:hint="eastAsia" w:ascii="宋体" w:hAnsi="宋体" w:cs="宋体"/>
          <w:b/>
          <w:color w:val="auto"/>
          <w:szCs w:val="21"/>
          <w:highlight w:val="none"/>
        </w:rPr>
      </w:pPr>
      <w:bookmarkStart w:id="83" w:name="_Toc10734"/>
      <w:r>
        <w:rPr>
          <w:rFonts w:hint="eastAsia" w:ascii="宋体" w:hAnsi="宋体" w:cs="宋体"/>
          <w:b/>
          <w:color w:val="auto"/>
          <w:szCs w:val="21"/>
          <w:highlight w:val="none"/>
        </w:rPr>
        <w:t>★ 注：</w:t>
      </w:r>
      <w:r>
        <w:rPr>
          <w:rFonts w:hint="eastAsia" w:ascii="宋体" w:hAnsi="宋体" w:cs="宋体"/>
          <w:b/>
          <w:color w:val="auto"/>
          <w:szCs w:val="21"/>
          <w:highlight w:val="none"/>
          <w:lang w:eastAsia="zh-CN"/>
        </w:rPr>
        <w:t>法定代表人（或企业负责人）</w:t>
      </w:r>
      <w:r>
        <w:rPr>
          <w:rFonts w:hint="eastAsia" w:ascii="宋体" w:hAnsi="宋体" w:cs="宋体"/>
          <w:b/>
          <w:color w:val="auto"/>
          <w:szCs w:val="21"/>
          <w:highlight w:val="none"/>
        </w:rPr>
        <w:t>授权委托书必须由</w:t>
      </w:r>
      <w:r>
        <w:rPr>
          <w:rFonts w:hint="eastAsia" w:ascii="宋体" w:hAnsi="宋体" w:cs="宋体"/>
          <w:b/>
          <w:color w:val="auto"/>
          <w:szCs w:val="21"/>
          <w:highlight w:val="none"/>
          <w:lang w:eastAsia="zh-CN"/>
        </w:rPr>
        <w:t>法定代表人（或企业负责人）</w:t>
      </w:r>
      <w:r>
        <w:rPr>
          <w:rFonts w:hint="eastAsia" w:ascii="宋体" w:hAnsi="宋体" w:cs="宋体"/>
          <w:b/>
          <w:color w:val="auto"/>
          <w:szCs w:val="21"/>
          <w:highlight w:val="none"/>
        </w:rPr>
        <w:t>签署（签名或印章）并加盖单位公章；供应商资格声明函、投标函、开标一览表必须由</w:t>
      </w:r>
      <w:r>
        <w:rPr>
          <w:rFonts w:hint="eastAsia" w:ascii="宋体" w:hAnsi="宋体" w:cs="宋体"/>
          <w:b/>
          <w:color w:val="auto"/>
          <w:szCs w:val="21"/>
          <w:highlight w:val="none"/>
          <w:lang w:eastAsia="zh-CN"/>
        </w:rPr>
        <w:t>法定代表人（或企业负责人）</w:t>
      </w:r>
      <w:r>
        <w:rPr>
          <w:rFonts w:hint="eastAsia" w:ascii="宋体" w:hAnsi="宋体" w:cs="宋体"/>
          <w:b/>
          <w:color w:val="auto"/>
          <w:szCs w:val="21"/>
          <w:highlight w:val="none"/>
        </w:rPr>
        <w:t>或授权代表签署（签名或印章）并加盖单位公章。</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★（二）投标文件的语言及计量</w:t>
      </w:r>
      <w:bookmarkEnd w:id="83"/>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投标计量单位，</w:t>
      </w:r>
      <w:r>
        <w:rPr>
          <w:rFonts w:hint="eastAsia" w:ascii="宋体" w:hAnsi="宋体" w:cs="宋体"/>
          <w:b/>
          <w:color w:val="auto"/>
          <w:szCs w:val="21"/>
          <w:highlight w:val="none"/>
          <w:lang w:eastAsia="zh-CN"/>
        </w:rPr>
        <w:t>招标文件</w:t>
      </w:r>
      <w:r>
        <w:rPr>
          <w:rFonts w:hint="eastAsia" w:ascii="宋体" w:hAnsi="宋体" w:cs="宋体"/>
          <w:b/>
          <w:color w:val="auto"/>
          <w:szCs w:val="21"/>
          <w:highlight w:val="none"/>
        </w:rPr>
        <w:t>已有明确规定的，使用</w:t>
      </w:r>
      <w:r>
        <w:rPr>
          <w:rFonts w:hint="eastAsia" w:ascii="宋体" w:hAnsi="宋体" w:cs="宋体"/>
          <w:b/>
          <w:color w:val="auto"/>
          <w:szCs w:val="21"/>
          <w:highlight w:val="none"/>
          <w:lang w:eastAsia="zh-CN"/>
        </w:rPr>
        <w:t>招标文件</w:t>
      </w:r>
      <w:r>
        <w:rPr>
          <w:rFonts w:hint="eastAsia" w:ascii="宋体" w:hAnsi="宋体" w:cs="宋体"/>
          <w:b/>
          <w:color w:val="auto"/>
          <w:szCs w:val="21"/>
          <w:highlight w:val="none"/>
        </w:rPr>
        <w:t>规定的计量单位；</w:t>
      </w:r>
      <w:r>
        <w:rPr>
          <w:rFonts w:hint="eastAsia" w:ascii="宋体" w:hAnsi="宋体" w:cs="宋体"/>
          <w:b/>
          <w:color w:val="auto"/>
          <w:szCs w:val="21"/>
          <w:highlight w:val="none"/>
          <w:lang w:eastAsia="zh-CN"/>
        </w:rPr>
        <w:t>招标文件</w:t>
      </w:r>
      <w:r>
        <w:rPr>
          <w:rFonts w:hint="eastAsia" w:ascii="宋体" w:hAnsi="宋体" w:cs="宋体"/>
          <w:b/>
          <w:color w:val="auto"/>
          <w:szCs w:val="21"/>
          <w:highlight w:val="none"/>
        </w:rPr>
        <w:t>没有规定的，应采用中华人民共和国法定计量单位（货币单位：人民币元），否则视同未响应。</w:t>
      </w:r>
    </w:p>
    <w:p>
      <w:pPr>
        <w:snapToGrid w:val="0"/>
        <w:spacing w:line="360" w:lineRule="auto"/>
        <w:ind w:firstLine="413" w:firstLineChars="196"/>
        <w:jc w:val="left"/>
        <w:rPr>
          <w:rFonts w:hint="eastAsia" w:ascii="宋体" w:hAnsi="宋体" w:cs="宋体"/>
          <w:b/>
          <w:color w:val="auto"/>
          <w:szCs w:val="21"/>
          <w:highlight w:val="none"/>
        </w:rPr>
      </w:pPr>
      <w:bookmarkStart w:id="84" w:name="_Toc3681"/>
      <w:r>
        <w:rPr>
          <w:rFonts w:hint="eastAsia" w:ascii="宋体" w:hAnsi="宋体" w:cs="宋体"/>
          <w:b/>
          <w:color w:val="auto"/>
          <w:szCs w:val="21"/>
          <w:highlight w:val="none"/>
        </w:rPr>
        <w:t>（三）投标报价</w:t>
      </w:r>
      <w:bookmarkEnd w:id="84"/>
    </w:p>
    <w:p>
      <w:pPr>
        <w:pStyle w:val="25"/>
        <w:snapToGrid w:val="0"/>
        <w:spacing w:before="0" w:beforeLines="0" w:after="0" w:afterLines="0" w:line="360" w:lineRule="auto"/>
        <w:ind w:firstLine="420" w:firstLineChars="200"/>
        <w:jc w:val="left"/>
        <w:rPr>
          <w:rFonts w:hAnsi="宋体" w:cs="宋体"/>
          <w:color w:val="auto"/>
          <w:highlight w:val="none"/>
        </w:rPr>
      </w:pPr>
      <w:r>
        <w:rPr>
          <w:rFonts w:hAnsi="宋体" w:cs="宋体"/>
          <w:color w:val="auto"/>
          <w:highlight w:val="none"/>
        </w:rPr>
        <w:t>1.投标报价应按</w:t>
      </w:r>
      <w:r>
        <w:rPr>
          <w:rFonts w:hint="eastAsia" w:hAnsi="宋体" w:cs="宋体"/>
          <w:color w:val="auto"/>
          <w:highlight w:val="none"/>
          <w:lang w:eastAsia="zh-CN"/>
        </w:rPr>
        <w:t>招标文件</w:t>
      </w:r>
      <w:r>
        <w:rPr>
          <w:rFonts w:hAnsi="宋体" w:cs="宋体"/>
          <w:color w:val="auto"/>
          <w:highlight w:val="none"/>
        </w:rPr>
        <w:t>中相关附表格式填写。</w:t>
      </w:r>
    </w:p>
    <w:p>
      <w:pPr>
        <w:pStyle w:val="25"/>
        <w:snapToGrid w:val="0"/>
        <w:spacing w:before="0" w:beforeLines="0" w:after="0" w:afterLines="0" w:line="360" w:lineRule="auto"/>
        <w:ind w:firstLine="420" w:firstLineChars="200"/>
        <w:jc w:val="left"/>
        <w:rPr>
          <w:rFonts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25"/>
        <w:snapToGrid w:val="0"/>
        <w:spacing w:before="0" w:beforeLines="0" w:after="0" w:afterLines="0" w:line="360" w:lineRule="auto"/>
        <w:ind w:firstLine="420" w:firstLineChars="200"/>
        <w:jc w:val="left"/>
        <w:rPr>
          <w:rFonts w:hAnsi="宋体" w:cs="宋体"/>
          <w:color w:val="auto"/>
          <w:highlight w:val="none"/>
        </w:rPr>
      </w:pPr>
      <w:r>
        <w:rPr>
          <w:rFonts w:hAnsi="宋体" w:cs="宋体"/>
          <w:color w:val="auto"/>
          <w:highlight w:val="none"/>
        </w:rPr>
        <w:t>★3.投标文件只允许有一个报价，有选择的或有条件的报价将不予接受。</w:t>
      </w:r>
    </w:p>
    <w:p>
      <w:pPr>
        <w:pStyle w:val="15"/>
        <w:widowControl w:val="0"/>
        <w:tabs>
          <w:tab w:val="clear" w:pos="454"/>
        </w:tabs>
        <w:snapToGrid w:val="0"/>
        <w:spacing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（四）投标文件的有效期</w:t>
      </w:r>
    </w:p>
    <w:p>
      <w:pPr>
        <w:pStyle w:val="15"/>
        <w:widowControl w:val="0"/>
        <w:tabs>
          <w:tab w:val="clear" w:pos="454"/>
        </w:tabs>
        <w:snapToGrid w:val="0"/>
        <w:spacing w:after="0" w:afterLines="0" w:line="360" w:lineRule="auto"/>
        <w:ind w:left="0"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★1.自投标截止日起</w:t>
      </w:r>
      <w:r>
        <w:rPr>
          <w:rFonts w:hint="eastAsia" w:ascii="宋体" w:hAnsi="宋体" w:cs="宋体"/>
          <w:b/>
          <w:color w:val="auto"/>
          <w:sz w:val="21"/>
          <w:szCs w:val="21"/>
          <w:highlight w:val="none"/>
          <w:u w:val="single"/>
        </w:rPr>
        <w:t>90</w:t>
      </w:r>
      <w:r>
        <w:rPr>
          <w:rFonts w:hint="eastAsia" w:ascii="宋体" w:hAnsi="宋体" w:cs="宋体"/>
          <w:b/>
          <w:color w:val="auto"/>
          <w:sz w:val="21"/>
          <w:szCs w:val="21"/>
          <w:highlight w:val="none"/>
        </w:rPr>
        <w:t>天投标文件应保持有效。</w:t>
      </w:r>
    </w:p>
    <w:p>
      <w:pPr>
        <w:pStyle w:val="15"/>
        <w:widowControl w:val="0"/>
        <w:tabs>
          <w:tab w:val="clear" w:pos="454"/>
        </w:tabs>
        <w:snapToGrid w:val="0"/>
        <w:spacing w:after="0" w:afterLines="0" w:line="360" w:lineRule="auto"/>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hint="eastAsia" w:ascii="宋体" w:hAnsi="宋体" w:cs="宋体"/>
          <w:b/>
          <w:color w:val="auto"/>
          <w:szCs w:val="21"/>
          <w:highlight w:val="none"/>
        </w:rPr>
      </w:pPr>
      <w:bookmarkStart w:id="85" w:name="_Toc24481"/>
      <w:r>
        <w:rPr>
          <w:rFonts w:hint="eastAsia" w:ascii="宋体" w:hAnsi="宋体" w:cs="宋体"/>
          <w:color w:val="auto"/>
          <w:szCs w:val="21"/>
          <w:highlight w:val="none"/>
        </w:rPr>
        <w:t>3.同意延长有效期的供应商不能修改投标文件。</w:t>
      </w:r>
      <w:bookmarkEnd w:id="85"/>
      <w:r>
        <w:rPr>
          <w:rFonts w:hint="eastAsia" w:ascii="宋体" w:hAnsi="宋体" w:cs="宋体"/>
          <w:b/>
          <w:color w:val="auto"/>
          <w:szCs w:val="21"/>
          <w:highlight w:val="none"/>
        </w:rPr>
        <w:t xml:space="preserve"> </w:t>
      </w:r>
    </w:p>
    <w:p>
      <w:pPr>
        <w:snapToGrid w:val="0"/>
        <w:spacing w:line="360" w:lineRule="auto"/>
        <w:ind w:firstLine="420" w:firstLineChars="200"/>
        <w:jc w:val="left"/>
        <w:rPr>
          <w:rFonts w:hint="eastAsia" w:ascii="宋体" w:hAnsi="宋体" w:cs="宋体"/>
          <w:b/>
          <w:color w:val="auto"/>
          <w:szCs w:val="21"/>
          <w:highlight w:val="none"/>
        </w:rPr>
      </w:pPr>
      <w:bookmarkStart w:id="86" w:name="_Toc6471"/>
      <w:r>
        <w:rPr>
          <w:rFonts w:hint="eastAsia" w:ascii="宋体" w:hAnsi="宋体" w:cs="宋体"/>
          <w:color w:val="auto"/>
          <w:szCs w:val="21"/>
          <w:highlight w:val="none"/>
        </w:rPr>
        <w:t>4.中标人的投标文件自开标之日起至合同履行完毕止均应保持有效。</w:t>
      </w:r>
      <w:bookmarkEnd w:id="86"/>
    </w:p>
    <w:p>
      <w:pPr>
        <w:snapToGrid w:val="0"/>
        <w:spacing w:line="360" w:lineRule="auto"/>
        <w:ind w:firstLine="413" w:firstLineChars="196"/>
        <w:jc w:val="left"/>
        <w:rPr>
          <w:rFonts w:hint="eastAsia" w:ascii="宋体" w:hAnsi="宋体" w:cs="宋体"/>
          <w:b/>
          <w:color w:val="auto"/>
          <w:szCs w:val="21"/>
          <w:highlight w:val="none"/>
        </w:rPr>
      </w:pPr>
      <w:bookmarkStart w:id="87" w:name="_Toc14508"/>
      <w:r>
        <w:rPr>
          <w:rFonts w:hint="eastAsia" w:ascii="宋体" w:hAnsi="宋体" w:cs="宋体"/>
          <w:b/>
          <w:color w:val="auto"/>
          <w:szCs w:val="21"/>
          <w:highlight w:val="none"/>
        </w:rPr>
        <w:t>（五）投标文件的签署和份数</w:t>
      </w:r>
      <w:bookmarkEnd w:id="87"/>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w:t>
      </w:r>
      <w:r>
        <w:rPr>
          <w:rFonts w:hint="eastAsia" w:ascii="宋体" w:hAnsi="宋体" w:cs="宋体"/>
          <w:color w:val="auto"/>
          <w:highlight w:val="none"/>
          <w:lang w:eastAsia="zh-CN"/>
        </w:rPr>
        <w:t>招标文件</w:t>
      </w:r>
      <w:r>
        <w:rPr>
          <w:rFonts w:hint="eastAsia" w:ascii="宋体" w:hAnsi="宋体" w:cs="宋体"/>
          <w:color w:val="auto"/>
          <w:highlight w:val="none"/>
        </w:rPr>
        <w:t>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 xml:space="preserve">（3）纸质备份投标文件：资格、商务技术文件（正本1份，副本4份）、报价文件（正本1份，副本4份）。 </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w:t>
      </w:r>
      <w:r>
        <w:rPr>
          <w:rFonts w:hint="eastAsia" w:ascii="宋体" w:hAnsi="宋体" w:cs="宋体"/>
          <w:color w:val="auto"/>
          <w:highlight w:val="none"/>
          <w:lang w:eastAsia="zh-CN"/>
        </w:rPr>
        <w:t>招标文件</w:t>
      </w:r>
      <w:r>
        <w:rPr>
          <w:rFonts w:hint="eastAsia" w:ascii="宋体" w:hAnsi="宋体" w:cs="宋体"/>
          <w:color w:val="auto"/>
          <w:highlight w:val="none"/>
        </w:rPr>
        <w:t>规定的格式和顺序编制电子投标文件并进行关联定位。</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4、纸质备份投标文件：</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4.1投标文件应按招标文件要求由资格文件、商务技术文件和报价文件三部分组成。资格文件、商务技术文件二部分可一起装订成册，报价文件须单独装订成册。投标文件的封面应注明“正本”、“副本”字样。</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4.2若有多个标项，资格文件、商务技术文件二部分可装订成一册，报价文件应按标项分别装订、密封、包装，未按规定装订、密封、包装的投标文件将被拒绝。</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4.4投标文件不得涂改，若有修改错漏处，须加盖单位公章或者</w:t>
      </w:r>
      <w:r>
        <w:rPr>
          <w:rFonts w:hint="eastAsia" w:ascii="宋体" w:hAnsi="宋体" w:cs="宋体"/>
          <w:color w:val="auto"/>
          <w:highlight w:val="none"/>
          <w:lang w:eastAsia="zh-CN"/>
        </w:rPr>
        <w:t>法定代表人（或企业负责人）</w:t>
      </w:r>
      <w:r>
        <w:rPr>
          <w:rFonts w:hint="eastAsia" w:ascii="宋体" w:hAnsi="宋体" w:cs="宋体"/>
          <w:color w:val="auto"/>
          <w:highlight w:val="none"/>
        </w:rPr>
        <w:t>或授权委托人签名或盖章。投标文件因字迹潦草或表达不清所引起的后果由供应商负责。</w:t>
      </w:r>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4.5投标文件须由供应商在规定位置盖章并由</w:t>
      </w:r>
      <w:r>
        <w:rPr>
          <w:rFonts w:hint="eastAsia" w:ascii="宋体" w:hAnsi="宋体" w:cs="宋体"/>
          <w:color w:val="auto"/>
          <w:highlight w:val="none"/>
          <w:lang w:eastAsia="zh-CN"/>
        </w:rPr>
        <w:t>法定代表人（或企业负责人）</w:t>
      </w:r>
      <w:r>
        <w:rPr>
          <w:rFonts w:hint="eastAsia" w:ascii="宋体" w:hAnsi="宋体" w:cs="宋体"/>
          <w:color w:val="auto"/>
          <w:highlight w:val="none"/>
        </w:rPr>
        <w:t>或</w:t>
      </w:r>
      <w:r>
        <w:rPr>
          <w:rFonts w:hint="eastAsia" w:ascii="宋体" w:hAnsi="宋体" w:cs="宋体"/>
          <w:color w:val="auto"/>
          <w:highlight w:val="none"/>
          <w:lang w:eastAsia="zh-CN"/>
        </w:rPr>
        <w:t>法定代表人（或企业负责人）</w:t>
      </w:r>
      <w:r>
        <w:rPr>
          <w:rFonts w:hint="eastAsia" w:ascii="宋体" w:hAnsi="宋体" w:cs="宋体"/>
          <w:color w:val="auto"/>
          <w:highlight w:val="none"/>
        </w:rPr>
        <w:t>的授权委托人签署，供应商应写全称。</w:t>
      </w:r>
    </w:p>
    <w:p>
      <w:pPr>
        <w:snapToGrid w:val="0"/>
        <w:spacing w:line="360" w:lineRule="auto"/>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snapToGrid w:val="0"/>
        <w:spacing w:line="360" w:lineRule="auto"/>
        <w:ind w:firstLine="420"/>
        <w:jc w:val="left"/>
        <w:rPr>
          <w:rFonts w:hint="eastAsia" w:ascii="宋体" w:hAnsi="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用封袋密封后递交。</w:t>
      </w:r>
    </w:p>
    <w:p>
      <w:pPr>
        <w:snapToGrid w:val="0"/>
        <w:spacing w:line="360" w:lineRule="auto"/>
        <w:ind w:firstLine="420"/>
        <w:jc w:val="left"/>
        <w:rPr>
          <w:rFonts w:hint="eastAsia" w:ascii="宋体" w:hAnsi="宋体" w:cs="宋体"/>
          <w:bCs/>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纸质备份投标文件，要求分别按资格、商务技术文件和报价文件二部分分开包装。</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投标文件的包装封面上应注明供应商名称、供应商地址、投标文件名称(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资格文件/商务技术文件/报价文件/资格、商务技术文件)、投标项目名称、项目编号、标项号，并加盖供应商公章。</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4、未按规定密封或标记的投标文件将被拒绝，由此造成投标文件被误投或提前拆封的风险由供应商承担。</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5、供应商在投标截止时间之前，可以对已提交的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应当按本</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的要求签署、盖章和密封。</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5"/>
        <w:snapToGrid w:val="0"/>
        <w:spacing w:before="0" w:beforeLines="0" w:after="0" w:afterLines="0" w:line="360" w:lineRule="auto"/>
        <w:ind w:left="772" w:leftChars="267" w:hanging="211" w:hangingChars="100"/>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val="en-US" w:eastAsia="zh-CN"/>
        </w:rPr>
        <w:t>（七）投标文件的形式和效力</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1、投标文件分为：“电子投标文件”、“电子备份投标文件”、“</w:t>
      </w:r>
      <w:r>
        <w:rPr>
          <w:rFonts w:hint="eastAsia" w:ascii="宋体" w:hAnsi="宋体" w:cs="宋体"/>
          <w:color w:val="auto"/>
          <w:highlight w:val="none"/>
        </w:rPr>
        <w:t>纸质备份投标文件</w:t>
      </w:r>
      <w:r>
        <w:rPr>
          <w:rFonts w:hint="eastAsia" w:ascii="宋体" w:hAnsi="宋体" w:eastAsia="宋体" w:cs="宋体"/>
          <w:color w:val="auto"/>
          <w:kern w:val="0"/>
          <w:szCs w:val="21"/>
          <w:highlight w:val="none"/>
          <w:lang w:val="en-US" w:eastAsia="zh-CN"/>
        </w:rPr>
        <w:t>”。</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2、“电子投标文件”是指通过“政采云电子交易客户端”完成投标文件编制后生成并加密的数据电文形式的投标文件（文件后缀为：jmbs）。</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3、“电子备份投标文件”是指与“电子投标文件”同时生成的数据电文形式的电子文件文件后缀为：bfbs（备份标书），其他方式编制的备份投标文件视为无效备份投标文件。</w:t>
      </w:r>
    </w:p>
    <w:p>
      <w:pPr>
        <w:snapToGrid w:val="0"/>
        <w:spacing w:line="360" w:lineRule="auto"/>
        <w:ind w:firstLine="42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r>
        <w:rPr>
          <w:rFonts w:hint="eastAsia" w:ascii="宋体" w:hAnsi="宋体" w:cs="宋体"/>
          <w:color w:val="auto"/>
          <w:highlight w:val="none"/>
        </w:rPr>
        <w:t>纸质备份投标文件</w:t>
      </w:r>
      <w:r>
        <w:rPr>
          <w:rFonts w:hint="eastAsia" w:ascii="宋体" w:hAnsi="宋体" w:cs="宋体"/>
          <w:color w:val="auto"/>
          <w:highlight w:val="none"/>
          <w:lang w:eastAsia="zh-CN"/>
        </w:rPr>
        <w:t>”</w:t>
      </w:r>
      <w:r>
        <w:rPr>
          <w:rFonts w:hint="eastAsia" w:ascii="宋体" w:hAnsi="宋体" w:eastAsia="宋体" w:cs="宋体"/>
          <w:color w:val="auto"/>
          <w:kern w:val="0"/>
          <w:szCs w:val="21"/>
          <w:highlight w:val="none"/>
          <w:lang w:val="en-US" w:eastAsia="zh-CN"/>
        </w:rPr>
        <w:t>是指</w:t>
      </w:r>
      <w:r>
        <w:rPr>
          <w:rFonts w:hint="eastAsia" w:ascii="宋体" w:hAnsi="宋体" w:cs="宋体"/>
          <w:color w:val="auto"/>
          <w:highlight w:val="none"/>
        </w:rPr>
        <w:t>按招标文件要求</w:t>
      </w:r>
      <w:r>
        <w:rPr>
          <w:rFonts w:hint="eastAsia" w:ascii="宋体" w:hAnsi="宋体" w:cs="宋体"/>
          <w:color w:val="auto"/>
          <w:highlight w:val="none"/>
          <w:lang w:val="en-US" w:eastAsia="zh-CN"/>
        </w:rPr>
        <w:t>编制的纸质投标文件。</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5、投标文件的效力：投标文件的启用，按先后顺位分别为“电子投标文件”、“电子备份投标文件”、“</w:t>
      </w:r>
      <w:r>
        <w:rPr>
          <w:rFonts w:hint="eastAsia" w:ascii="宋体" w:hAnsi="宋体" w:cs="宋体"/>
          <w:color w:val="auto"/>
          <w:highlight w:val="none"/>
        </w:rPr>
        <w:t>纸质备份投标文件</w:t>
      </w:r>
      <w:r>
        <w:rPr>
          <w:rFonts w:hint="eastAsia" w:ascii="宋体" w:hAnsi="宋体" w:cs="宋体"/>
          <w:color w:val="auto"/>
          <w:highlight w:val="none"/>
          <w:lang w:eastAsia="zh-CN"/>
        </w:rPr>
        <w:t>”</w:t>
      </w:r>
      <w:r>
        <w:rPr>
          <w:rFonts w:hint="eastAsia" w:ascii="宋体" w:hAnsi="宋体" w:eastAsia="宋体" w:cs="宋体"/>
          <w:color w:val="auto"/>
          <w:kern w:val="0"/>
          <w:szCs w:val="21"/>
          <w:highlight w:val="none"/>
          <w:lang w:val="en-US" w:eastAsia="zh-CN"/>
        </w:rPr>
        <w:t>。</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snapToGrid w:val="0"/>
        <w:spacing w:line="36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在“</w:t>
      </w:r>
      <w:r>
        <w:rPr>
          <w:rFonts w:hint="eastAsia" w:ascii="宋体" w:hAnsi="宋体" w:cs="宋体"/>
          <w:color w:val="auto"/>
          <w:highlight w:val="none"/>
        </w:rPr>
        <w:t>纸质备份投标文件</w:t>
      </w:r>
      <w:r>
        <w:rPr>
          <w:rFonts w:hint="eastAsia" w:ascii="宋体" w:hAnsi="宋体" w:eastAsia="宋体" w:cs="宋体"/>
          <w:color w:val="auto"/>
          <w:kern w:val="0"/>
          <w:szCs w:val="21"/>
          <w:highlight w:val="none"/>
          <w:lang w:val="en-US" w:eastAsia="zh-CN"/>
        </w:rPr>
        <w:t>”启用时，“电子投标文件”、“电子备份投标文件”自动失效。“电子投标文件”、“电子备份投标文件”在规定解密时间内无法解密时，供应商若在投标截止时间之前递交了“</w:t>
      </w:r>
      <w:r>
        <w:rPr>
          <w:rFonts w:hint="eastAsia" w:ascii="宋体" w:hAnsi="宋体" w:cs="宋体"/>
          <w:color w:val="auto"/>
          <w:highlight w:val="none"/>
        </w:rPr>
        <w:t>纸质备份投标文件</w:t>
      </w:r>
      <w:r>
        <w:rPr>
          <w:rFonts w:hint="eastAsia" w:ascii="宋体" w:hAnsi="宋体" w:eastAsia="宋体" w:cs="宋体"/>
          <w:color w:val="auto"/>
          <w:kern w:val="0"/>
          <w:szCs w:val="21"/>
          <w:highlight w:val="none"/>
          <w:lang w:val="en-US" w:eastAsia="zh-CN"/>
        </w:rPr>
        <w:t>”的，由采购代理机构采用线下开标程序，未在投标截止时间之前递交“</w:t>
      </w:r>
      <w:r>
        <w:rPr>
          <w:rFonts w:hint="eastAsia" w:ascii="宋体" w:hAnsi="宋体" w:cs="宋体"/>
          <w:color w:val="auto"/>
          <w:highlight w:val="none"/>
        </w:rPr>
        <w:t>纸质备份投标文件</w:t>
      </w:r>
      <w:r>
        <w:rPr>
          <w:rFonts w:hint="eastAsia" w:ascii="宋体" w:hAnsi="宋体" w:eastAsia="宋体" w:cs="宋体"/>
          <w:color w:val="auto"/>
          <w:kern w:val="0"/>
          <w:szCs w:val="21"/>
          <w:highlight w:val="none"/>
          <w:lang w:val="en-US" w:eastAsia="zh-CN"/>
        </w:rPr>
        <w:t>”的视为放弃投标。所有供应商通过“政府采购云平台”上传递交的已按时解密的“电子投标文件”自动失效。</w:t>
      </w:r>
    </w:p>
    <w:p>
      <w:pPr>
        <w:pStyle w:val="25"/>
        <w:snapToGrid w:val="0"/>
        <w:spacing w:before="0" w:beforeLines="0" w:after="0" w:afterLines="0" w:line="360" w:lineRule="auto"/>
        <w:ind w:left="772" w:leftChars="267" w:hanging="211" w:hangingChars="100"/>
        <w:rPr>
          <w:rFonts w:hAnsi="宋体" w:cs="宋体"/>
          <w:b/>
          <w:color w:val="auto"/>
          <w:highlight w:val="none"/>
        </w:rPr>
      </w:pPr>
      <w:bookmarkStart w:id="88" w:name="_Toc2054"/>
      <w:r>
        <w:rPr>
          <w:rFonts w:hAnsi="宋体" w:cs="宋体"/>
          <w:b/>
          <w:color w:val="auto"/>
          <w:highlight w:val="none"/>
        </w:rPr>
        <w:t>四、特别说明</w:t>
      </w:r>
      <w:bookmarkEnd w:id="88"/>
    </w:p>
    <w:p>
      <w:pPr>
        <w:pStyle w:val="2"/>
        <w:numPr>
          <w:ilvl w:val="0"/>
          <w:numId w:val="20"/>
        </w:numPr>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本项目 </w:t>
      </w:r>
      <w:r>
        <w:rPr>
          <w:rFonts w:hint="eastAsia" w:ascii="宋体" w:hAnsi="宋体" w:cs="宋体"/>
          <w:b/>
          <w:bCs/>
          <w:color w:val="auto"/>
          <w:sz w:val="21"/>
          <w:szCs w:val="21"/>
          <w:highlight w:val="none"/>
          <w:u w:val="single"/>
        </w:rPr>
        <w:t xml:space="preserve"> 非 </w:t>
      </w:r>
      <w:r>
        <w:rPr>
          <w:rFonts w:hint="eastAsia" w:ascii="宋体" w:hAnsi="宋体" w:cs="宋体"/>
          <w:color w:val="auto"/>
          <w:sz w:val="21"/>
          <w:szCs w:val="21"/>
          <w:highlight w:val="none"/>
        </w:rPr>
        <w:t>专门面向中小企业采购。</w:t>
      </w:r>
    </w:p>
    <w:p>
      <w:pPr>
        <w:pStyle w:val="2"/>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2、本项目对应的中小企业划分标准所属行业：</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软件和信息技术服务业</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国务院批准的中小企业划分标准：具体见工信部联企业[2011]300号。</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4、在政府采购活动中，供应商提供的货物、工程或者服务符合下列情形的，可享受小型、微型企业（以下简称小微企业）的价格扣除：</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（1）在货物采购项目中，货物由小微企业制造，即货物由小微企业生产且使用该小微企业商号或者注册商标；</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（2）在工程采购项目中，工程由小微企业承建，即工程施工单位为小微企业；</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（3）在服务采购项目中，服务由小微企业承接，即提供服务的人员为小微企业依照《中华人民共和国劳动合同法》订立劳动合同的从业人员。</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以联合体形式参加政府采购活动，联合体各方均为小微企业的，联合体视同小微企业。</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5、在货物采购项目中，供应商提供的货物既有中小企业制造货物，也有大型企业制造货物的，不享受的小微企业价格扣除。</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6、本项目对符合《政府采购促进中小企业发展管理办法》（财库﹝2020﹞46号）规定的小微企业报价给予</w:t>
      </w:r>
      <w:r>
        <w:rPr>
          <w:rFonts w:hint="eastAsia" w:ascii="宋体" w:hAnsi="宋体" w:cs="宋体"/>
          <w:b/>
          <w:bCs/>
          <w:color w:val="auto"/>
          <w:kern w:val="2"/>
          <w:sz w:val="21"/>
          <w:szCs w:val="21"/>
          <w:highlight w:val="none"/>
          <w:lang w:bidi="ar"/>
        </w:rPr>
        <w:t>10%（工程项目为5%）</w:t>
      </w:r>
      <w:r>
        <w:rPr>
          <w:rFonts w:hint="eastAsia" w:ascii="宋体" w:hAnsi="宋体" w:cs="宋体"/>
          <w:color w:val="auto"/>
          <w:kern w:val="2"/>
          <w:sz w:val="21"/>
          <w:szCs w:val="21"/>
          <w:highlight w:val="none"/>
          <w:lang w:bidi="ar"/>
        </w:rPr>
        <w:t>的扣除，用扣除后的价格参加评审。</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b/>
          <w:bCs/>
          <w:color w:val="auto"/>
          <w:kern w:val="2"/>
          <w:sz w:val="21"/>
          <w:szCs w:val="21"/>
          <w:highlight w:val="none"/>
          <w:lang w:bidi="ar"/>
        </w:rPr>
        <w:t xml:space="preserve"> 3%（工程项目为 2%）</w:t>
      </w:r>
      <w:r>
        <w:rPr>
          <w:rFonts w:hint="eastAsia" w:ascii="宋体" w:hAnsi="宋体" w:cs="宋体"/>
          <w:color w:val="auto"/>
          <w:kern w:val="2"/>
          <w:sz w:val="21"/>
          <w:szCs w:val="21"/>
          <w:highlight w:val="none"/>
          <w:lang w:bidi="ar"/>
        </w:rPr>
        <w:t>的扣除，用扣除后的价格参加评审。组成联合体或者接受分包的小微企业与联合体内其他企业、分包企业之间存在直接控股、管理关系的，不享受价格扣除优惠政策。</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7、小微企业应按照招标文件格式要求提供《中小企业声明函》。</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9、根据《关于促进残疾人就业政府采购政策的通知》（财库[2017]141号）规定，在政府采购活动中，残疾人福利性单位视同小型、微型企业。残疾人福利性单位参加政府采购活动时，提供《残疾人福利性单位声明函》。</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10、按规定享受扶持政策获得政府采购合同的，小微企业不得将合同分包给大中型企业，中型企业不得将合同分包给大型企业。</w:t>
      </w:r>
    </w:p>
    <w:p>
      <w:pPr>
        <w:pStyle w:val="42"/>
        <w:widowControl w:val="0"/>
        <w:snapToGrid w:val="0"/>
        <w:spacing w:before="0" w:beforeAutospacing="0" w:after="0" w:afterAutospacing="0" w:line="400" w:lineRule="exact"/>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11、供应商按照《政府采购促进中小企业发展管理办法》（财库﹝2020﹞46号）规定提供声明函内容不实的，属于提供虚假材料谋取中标、成交，依照《中华人民共和国政府采购法》等国家有关规定追究相应责任。</w:t>
      </w:r>
    </w:p>
    <w:p>
      <w:pPr>
        <w:pStyle w:val="42"/>
        <w:widowControl w:val="0"/>
        <w:snapToGrid w:val="0"/>
        <w:spacing w:before="0" w:beforeAutospacing="0" w:after="0" w:afterAutospacing="0" w:line="360" w:lineRule="auto"/>
        <w:jc w:val="center"/>
        <w:outlineLvl w:val="0"/>
        <w:rPr>
          <w:rFonts w:hint="eastAsia" w:ascii="宋体" w:hAnsi="宋体" w:cs="宋体"/>
          <w:color w:val="auto"/>
          <w:highlight w:val="none"/>
        </w:rPr>
      </w:pPr>
      <w:r>
        <w:rPr>
          <w:rFonts w:hint="eastAsia" w:ascii="宋体" w:hAnsi="宋体" w:cs="宋体"/>
          <w:color w:val="auto"/>
          <w:kern w:val="2"/>
          <w:sz w:val="21"/>
          <w:szCs w:val="21"/>
          <w:highlight w:val="none"/>
          <w:lang w:bidi="ar"/>
        </w:rPr>
        <w:br w:type="page"/>
      </w:r>
      <w:bookmarkStart w:id="89" w:name="_Toc28333"/>
      <w:r>
        <w:rPr>
          <w:rFonts w:hint="eastAsia" w:ascii="宋体" w:hAnsi="宋体" w:cs="宋体"/>
          <w:b/>
          <w:bCs/>
          <w:color w:val="auto"/>
          <w:sz w:val="32"/>
          <w:szCs w:val="32"/>
          <w:highlight w:val="none"/>
        </w:rPr>
        <w:t>第四章  评标办法及评分标准</w:t>
      </w:r>
      <w:bookmarkEnd w:id="89"/>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一、开标准备</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采购代理机构将在规定的时间和地点进行开标，供应商的</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或其授权代表可参加开标会。供应商的</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或其授权代表未参加开标会的，视同放弃开标监督权利、认可开标结果。</w:t>
      </w:r>
    </w:p>
    <w:p>
      <w:pPr>
        <w:spacing w:line="360" w:lineRule="auto"/>
        <w:rPr>
          <w:rFonts w:ascii="宋体" w:hAnsi="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1、电子招投标开标程序：</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第一阶段：</w:t>
      </w:r>
    </w:p>
    <w:p>
      <w:pPr>
        <w:numPr>
          <w:ilvl w:val="0"/>
          <w:numId w:val="21"/>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投标截止时间后，供应商登录政府采购云平台，用“项目采购-开标评标”功能对电子投标文件进行在线解密，在线解密电子投标文件时间为开标时间后</w:t>
      </w:r>
      <w:r>
        <w:rPr>
          <w:rFonts w:hint="eastAsia" w:ascii="宋体" w:hAnsi="宋体"/>
          <w:color w:val="auto"/>
          <w:szCs w:val="21"/>
          <w:highlight w:val="none"/>
          <w:lang w:val="en-US" w:eastAsia="zh-CN"/>
        </w:rPr>
        <w:t>3</w:t>
      </w:r>
      <w:r>
        <w:rPr>
          <w:rFonts w:hint="eastAsia" w:ascii="宋体" w:hAnsi="宋体"/>
          <w:color w:val="auto"/>
          <w:szCs w:val="21"/>
          <w:highlight w:val="none"/>
        </w:rPr>
        <w:t>0分钟内。</w:t>
      </w:r>
    </w:p>
    <w:p>
      <w:pPr>
        <w:numPr>
          <w:ilvl w:val="0"/>
          <w:numId w:val="21"/>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在政府采购云平台开启已解密供应商的“资格文件、商务技术文件”，并做开标记录；</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第二阶段：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宣告第一阶段评审无效供应商名单及理由；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w:t>
      </w:r>
      <w:r>
        <w:rPr>
          <w:rFonts w:hint="eastAsia" w:ascii="宋体" w:hAnsi="宋体"/>
          <w:color w:val="auto"/>
          <w:szCs w:val="21"/>
          <w:highlight w:val="none"/>
          <w:lang w:eastAsia="zh-CN"/>
        </w:rPr>
        <w:t>招标文件</w:t>
      </w:r>
      <w:r>
        <w:rPr>
          <w:rFonts w:hint="eastAsia" w:ascii="宋体" w:hAnsi="宋体"/>
          <w:color w:val="auto"/>
          <w:szCs w:val="21"/>
          <w:highlight w:val="none"/>
        </w:rPr>
        <w:t>要求的供应商的商务技术得分情况；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开启除第一阶段无效标外的供应商的“报价文件”，并做开标记录；</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公布评审结果。</w:t>
      </w:r>
    </w:p>
    <w:p>
      <w:pPr>
        <w:spacing w:line="400" w:lineRule="exact"/>
        <w:ind w:firstLine="420" w:firstLineChars="200"/>
        <w:jc w:val="left"/>
        <w:rPr>
          <w:rFonts w:hint="eastAsia"/>
          <w:color w:val="auto"/>
          <w:highlight w:val="none"/>
        </w:rPr>
      </w:pPr>
      <w:r>
        <w:rPr>
          <w:rFonts w:hint="eastAsia" w:ascii="宋体" w:hAnsi="宋体"/>
          <w:color w:val="auto"/>
          <w:szCs w:val="21"/>
          <w:highlight w:val="none"/>
        </w:rPr>
        <w:t>（5）开标会议结束。</w:t>
      </w:r>
    </w:p>
    <w:p>
      <w:pPr>
        <w:numPr>
          <w:ilvl w:val="0"/>
          <w:numId w:val="22"/>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线下开标程序：</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第一阶段：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（1）开标会由采购代理机构主持，主持人宣布开标会议开始；</w:t>
      </w:r>
    </w:p>
    <w:p>
      <w:pPr>
        <w:spacing w:line="400" w:lineRule="exact"/>
        <w:ind w:firstLine="420" w:firstLineChars="200"/>
        <w:jc w:val="left"/>
        <w:rPr>
          <w:rFonts w:hint="eastAsia" w:ascii="宋体" w:hAnsi="宋体"/>
          <w:color w:val="auto"/>
          <w:szCs w:val="21"/>
          <w:highlight w:val="none"/>
        </w:rPr>
      </w:pPr>
      <w:bookmarkStart w:id="90" w:name="_Toc396115155"/>
      <w:r>
        <w:rPr>
          <w:rFonts w:hint="eastAsia" w:ascii="宋体" w:hAnsi="宋体"/>
          <w:color w:val="auto"/>
          <w:szCs w:val="21"/>
          <w:highlight w:val="none"/>
        </w:rPr>
        <w:t>（2）主持人介绍参加开标会的人员名单；</w:t>
      </w:r>
      <w:bookmarkEnd w:id="90"/>
      <w:r>
        <w:rPr>
          <w:rFonts w:hint="eastAsia" w:ascii="宋体" w:hAnsi="宋体"/>
          <w:color w:val="auto"/>
          <w:szCs w:val="21"/>
          <w:highlight w:val="none"/>
        </w:rPr>
        <w:t xml:space="preserve"> </w:t>
      </w:r>
    </w:p>
    <w:p>
      <w:pPr>
        <w:spacing w:line="400" w:lineRule="exact"/>
        <w:ind w:firstLine="420" w:firstLineChars="200"/>
        <w:jc w:val="left"/>
        <w:rPr>
          <w:rFonts w:hint="eastAsia" w:ascii="宋体" w:hAnsi="宋体"/>
          <w:color w:val="auto"/>
          <w:szCs w:val="21"/>
          <w:highlight w:val="none"/>
        </w:rPr>
      </w:pPr>
      <w:bookmarkStart w:id="91" w:name="_Toc396115156"/>
      <w:r>
        <w:rPr>
          <w:rFonts w:hint="eastAsia" w:ascii="宋体" w:hAnsi="宋体"/>
          <w:color w:val="auto"/>
          <w:szCs w:val="21"/>
          <w:highlight w:val="none"/>
        </w:rPr>
        <w:t>（3）主持人宣布评标期间的有关事项，告知应当回避的情形,提请有关人员回避；</w:t>
      </w:r>
      <w:bookmarkEnd w:id="91"/>
    </w:p>
    <w:p>
      <w:pPr>
        <w:spacing w:line="400" w:lineRule="exact"/>
        <w:ind w:firstLine="420" w:firstLineChars="200"/>
        <w:jc w:val="left"/>
        <w:rPr>
          <w:rFonts w:hint="eastAsia" w:ascii="宋体" w:hAnsi="宋体"/>
          <w:color w:val="auto"/>
          <w:szCs w:val="21"/>
          <w:highlight w:val="none"/>
        </w:rPr>
      </w:pPr>
      <w:bookmarkStart w:id="92" w:name="_Toc396115157"/>
      <w:r>
        <w:rPr>
          <w:rFonts w:hint="eastAsia" w:ascii="宋体" w:hAnsi="宋体"/>
          <w:color w:val="auto"/>
          <w:szCs w:val="21"/>
          <w:highlight w:val="none"/>
        </w:rPr>
        <w:t>（4）由供应商或其当场推荐的代表检查</w:t>
      </w:r>
      <w:r>
        <w:rPr>
          <w:rFonts w:hint="eastAsia" w:ascii="宋体" w:hAnsi="宋体"/>
          <w:color w:val="auto"/>
          <w:szCs w:val="21"/>
          <w:highlight w:val="none"/>
          <w:lang w:val="en-US" w:eastAsia="zh-CN"/>
        </w:rPr>
        <w:t>所有</w:t>
      </w:r>
      <w:r>
        <w:rPr>
          <w:rFonts w:hint="eastAsia" w:ascii="宋体" w:hAnsi="宋体"/>
          <w:color w:val="auto"/>
          <w:szCs w:val="21"/>
          <w:highlight w:val="none"/>
        </w:rPr>
        <w:t>资格、商务技术文件密封的完整性；</w:t>
      </w:r>
      <w:bookmarkEnd w:id="92"/>
      <w:bookmarkStart w:id="93" w:name="_Toc396115158"/>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（5）按各供应商提交投标文件时间的先后顺序打开</w:t>
      </w:r>
      <w:r>
        <w:rPr>
          <w:rFonts w:hint="eastAsia" w:ascii="宋体" w:hAnsi="宋体"/>
          <w:color w:val="auto"/>
          <w:szCs w:val="21"/>
          <w:highlight w:val="none"/>
          <w:lang w:val="en-US" w:eastAsia="zh-CN"/>
        </w:rPr>
        <w:t>所有</w:t>
      </w:r>
      <w:r>
        <w:rPr>
          <w:rFonts w:hint="eastAsia" w:ascii="宋体" w:hAnsi="宋体"/>
          <w:color w:val="auto"/>
          <w:szCs w:val="21"/>
          <w:highlight w:val="none"/>
        </w:rPr>
        <w:t>投标文件的资格、商务技术文件外包装，清点资格、商务技术文件正本、副本数量</w:t>
      </w:r>
      <w:bookmarkEnd w:id="93"/>
      <w:r>
        <w:rPr>
          <w:rFonts w:hint="eastAsia" w:ascii="宋体" w:hAnsi="宋体"/>
          <w:color w:val="auto"/>
          <w:szCs w:val="21"/>
          <w:highlight w:val="none"/>
        </w:rPr>
        <w:t>，并做开标记录；</w:t>
      </w:r>
    </w:p>
    <w:p>
      <w:pPr>
        <w:spacing w:line="400" w:lineRule="exact"/>
        <w:ind w:firstLine="420" w:firstLineChars="200"/>
        <w:jc w:val="left"/>
        <w:rPr>
          <w:rFonts w:hint="eastAsia" w:ascii="宋体" w:hAnsi="宋体"/>
          <w:color w:val="auto"/>
          <w:szCs w:val="21"/>
          <w:highlight w:val="none"/>
        </w:rPr>
      </w:pPr>
      <w:bookmarkStart w:id="94" w:name="_Toc396115159"/>
      <w:r>
        <w:rPr>
          <w:rFonts w:hint="eastAsia" w:ascii="宋体" w:hAnsi="宋体"/>
          <w:color w:val="auto"/>
          <w:szCs w:val="21"/>
          <w:highlight w:val="none"/>
        </w:rPr>
        <w:t>第二阶段：</w:t>
      </w:r>
    </w:p>
    <w:bookmarkEnd w:id="94"/>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）由主持人公布第一阶段评审无效供应商名单及理由；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w:t>
      </w:r>
      <w:r>
        <w:rPr>
          <w:rFonts w:hint="eastAsia" w:ascii="宋体" w:hAnsi="宋体"/>
          <w:color w:val="auto"/>
          <w:szCs w:val="21"/>
          <w:highlight w:val="none"/>
          <w:lang w:eastAsia="zh-CN"/>
        </w:rPr>
        <w:t>招标文件</w:t>
      </w:r>
      <w:r>
        <w:rPr>
          <w:rFonts w:hint="eastAsia" w:ascii="宋体" w:hAnsi="宋体"/>
          <w:color w:val="auto"/>
          <w:szCs w:val="21"/>
          <w:highlight w:val="none"/>
        </w:rPr>
        <w:t>要求的供应商的商务技术得分情况；</w:t>
      </w:r>
    </w:p>
    <w:p>
      <w:pPr>
        <w:spacing w:line="400" w:lineRule="exact"/>
        <w:ind w:firstLine="420" w:firstLineChars="200"/>
        <w:jc w:val="left"/>
        <w:rPr>
          <w:rFonts w:hint="eastAsia" w:ascii="宋体" w:hAnsi="宋体"/>
          <w:color w:val="auto"/>
          <w:szCs w:val="21"/>
          <w:highlight w:val="none"/>
        </w:rPr>
      </w:pPr>
      <w:bookmarkStart w:id="95" w:name="_Toc396115160"/>
      <w:r>
        <w:rPr>
          <w:rFonts w:hint="eastAsia" w:ascii="宋体" w:hAnsi="宋体"/>
          <w:color w:val="auto"/>
          <w:szCs w:val="21"/>
          <w:highlight w:val="none"/>
        </w:rPr>
        <w:t>（3）由供应商或其当场推荐的代表检查报价文件密封的完整性；</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（4）再开启报价文件，由主持人宣读《开标一览表》中的供应商名称及在其投标文件中承诺的投标报价、交货期（服务期限）等投标内容，以及采购代理机构认为有必要宣读的其他内容；</w:t>
      </w:r>
      <w:bookmarkEnd w:id="95"/>
    </w:p>
    <w:p>
      <w:pPr>
        <w:spacing w:line="400" w:lineRule="exact"/>
        <w:ind w:firstLine="420" w:firstLineChars="200"/>
        <w:jc w:val="left"/>
        <w:rPr>
          <w:rFonts w:hint="eastAsia" w:ascii="宋体" w:hAnsi="宋体"/>
          <w:color w:val="auto"/>
          <w:szCs w:val="21"/>
          <w:highlight w:val="none"/>
        </w:rPr>
      </w:pPr>
      <w:bookmarkStart w:id="96" w:name="_Toc396115161"/>
      <w:r>
        <w:rPr>
          <w:rFonts w:hint="eastAsia" w:ascii="宋体" w:hAnsi="宋体"/>
          <w:color w:val="auto"/>
          <w:szCs w:val="21"/>
          <w:highlight w:val="none"/>
        </w:rPr>
        <w:t>（5）采购代理机构做开标记录, 同时由记录人、监督人当场签字确认；</w:t>
      </w:r>
      <w:bookmarkEnd w:id="96"/>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（6）主持人公布评审结果。</w:t>
      </w:r>
    </w:p>
    <w:p>
      <w:pPr>
        <w:spacing w:line="400" w:lineRule="exact"/>
        <w:ind w:firstLine="420" w:firstLineChars="200"/>
        <w:jc w:val="left"/>
        <w:rPr>
          <w:rFonts w:ascii="宋体" w:hAnsi="宋体"/>
          <w:color w:val="auto"/>
          <w:szCs w:val="21"/>
          <w:highlight w:val="none"/>
        </w:rPr>
      </w:pPr>
      <w:bookmarkStart w:id="97" w:name="_Toc396115163"/>
      <w:r>
        <w:rPr>
          <w:rFonts w:hint="eastAsia" w:ascii="宋体" w:hAnsi="宋体"/>
          <w:color w:val="auto"/>
          <w:szCs w:val="21"/>
          <w:highlight w:val="none"/>
        </w:rPr>
        <w:t>（7）开标会议结束。</w:t>
      </w:r>
      <w:bookmarkEnd w:id="97"/>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如对电子化开标及评审程序有调整的，按调整后的程序操作。</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本项目原则上采用政采云</w:t>
      </w:r>
      <w:r>
        <w:rPr>
          <w:rFonts w:hint="eastAsia" w:ascii="宋体" w:hAnsi="宋体" w:cs="宋体"/>
          <w:bCs/>
          <w:color w:val="auto"/>
          <w:szCs w:val="21"/>
          <w:highlight w:val="none"/>
          <w:lang w:bidi="ar"/>
        </w:rPr>
        <w:t>电子招投标开标程序</w:t>
      </w:r>
      <w:r>
        <w:rPr>
          <w:rFonts w:hint="eastAsia" w:ascii="宋体" w:hAnsi="宋体"/>
          <w:color w:val="auto"/>
          <w:szCs w:val="21"/>
          <w:highlight w:val="none"/>
        </w:rPr>
        <w:t>，但有</w:t>
      </w:r>
      <w:r>
        <w:rPr>
          <w:rFonts w:hint="eastAsia" w:ascii="宋体" w:hAnsi="宋体"/>
          <w:color w:val="auto"/>
          <w:szCs w:val="21"/>
          <w:highlight w:val="none"/>
          <w:lang w:val="en-US" w:eastAsia="zh-CN"/>
        </w:rPr>
        <w:t>以</w:t>
      </w:r>
      <w:r>
        <w:rPr>
          <w:rFonts w:hint="eastAsia" w:ascii="宋体" w:hAnsi="宋体"/>
          <w:color w:val="auto"/>
          <w:szCs w:val="21"/>
          <w:highlight w:val="none"/>
        </w:rPr>
        <w:t>下情形之一的，按以下情况处理：</w:t>
      </w:r>
    </w:p>
    <w:p>
      <w:pPr>
        <w:spacing w:line="400" w:lineRule="exact"/>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1</w:t>
      </w:r>
      <w:r>
        <w:rPr>
          <w:rFonts w:hint="eastAsia" w:ascii="宋体" w:hAnsi="宋体"/>
          <w:b/>
          <w:bCs/>
          <w:color w:val="auto"/>
          <w:szCs w:val="21"/>
          <w:highlight w:val="none"/>
        </w:rPr>
        <w:t>）若有供应商在规定时间内无法解密或解密失败，代理机构将开启该供应商递交的</w:t>
      </w:r>
      <w:r>
        <w:rPr>
          <w:rFonts w:hint="eastAsia" w:ascii="宋体" w:hAnsi="宋体" w:cs="宋体"/>
          <w:b/>
          <w:bCs/>
          <w:color w:val="auto"/>
          <w:kern w:val="0"/>
          <w:szCs w:val="21"/>
          <w:highlight w:val="none"/>
        </w:rPr>
        <w:t>以U盘存储的电子备份投标文件</w:t>
      </w:r>
      <w:r>
        <w:rPr>
          <w:rFonts w:hint="eastAsia" w:ascii="宋体" w:hAnsi="宋体"/>
          <w:b/>
          <w:bCs/>
          <w:color w:val="auto"/>
          <w:szCs w:val="21"/>
          <w:highlight w:val="none"/>
        </w:rPr>
        <w:t>，上传至政采云平台项目采购模块，以完成开标，电子投标文件自动失效。</w:t>
      </w:r>
    </w:p>
    <w:p>
      <w:pPr>
        <w:spacing w:line="400" w:lineRule="exact"/>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w:t>
      </w:r>
      <w:r>
        <w:rPr>
          <w:rFonts w:ascii="宋体" w:hAnsi="宋体"/>
          <w:b/>
          <w:bCs/>
          <w:color w:val="auto"/>
          <w:szCs w:val="21"/>
          <w:highlight w:val="none"/>
        </w:rPr>
        <w:t>2</w:t>
      </w:r>
      <w:r>
        <w:rPr>
          <w:rFonts w:hint="eastAsia" w:ascii="宋体" w:hAnsi="宋体"/>
          <w:b/>
          <w:bCs/>
          <w:color w:val="auto"/>
          <w:szCs w:val="21"/>
          <w:highlight w:val="none"/>
        </w:rPr>
        <w:t>）若因</w:t>
      </w:r>
      <w:r>
        <w:rPr>
          <w:rFonts w:hint="eastAsia" w:ascii="宋体" w:hAnsi="宋体" w:cs="宋体"/>
          <w:b/>
          <w:bCs/>
          <w:color w:val="auto"/>
          <w:kern w:val="0"/>
          <w:szCs w:val="21"/>
          <w:highlight w:val="none"/>
        </w:rPr>
        <w:t>政府采购云平台</w:t>
      </w:r>
      <w:r>
        <w:rPr>
          <w:rFonts w:hint="eastAsia" w:ascii="宋体" w:hAnsi="宋体"/>
          <w:b/>
          <w:bCs/>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b/>
          <w:bCs/>
          <w:color w:val="auto"/>
          <w:kern w:val="0"/>
          <w:szCs w:val="21"/>
          <w:highlight w:val="none"/>
        </w:rPr>
        <w:t>以U盘存储的电子备份投标文件</w:t>
      </w:r>
      <w:r>
        <w:rPr>
          <w:rFonts w:hint="eastAsia" w:ascii="宋体" w:hAnsi="宋体"/>
          <w:b/>
          <w:bCs/>
          <w:color w:val="auto"/>
          <w:szCs w:val="21"/>
          <w:highlight w:val="none"/>
        </w:rPr>
        <w:t>自动失效。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 xml:space="preserve">3.1电子交易平台发生故障而无法登录访问的； </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3.2电子交易平台应用或数据库出现错误，不能进行正常操作的；</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3.3电子交易平台发现严重安全漏洞，有潜在泄密危险的；</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 xml:space="preserve">3.4病毒发作导致不能进行正常操作的； </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3.5其他无法保证电子交易的公平、公正和安全的情况。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hint="eastAsia" w:ascii="宋体" w:hAnsi="宋体" w:cs="宋体"/>
          <w:color w:val="auto"/>
          <w:szCs w:val="21"/>
          <w:highlight w:val="none"/>
        </w:rPr>
      </w:pPr>
      <w:r>
        <w:rPr>
          <w:rFonts w:hint="eastAsia" w:ascii="宋体" w:hAnsi="宋体"/>
          <w:color w:val="auto"/>
          <w:szCs w:val="21"/>
          <w:highlight w:val="none"/>
        </w:rPr>
        <w:t>（4）未开启的备份投标文件现场予以退还。</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三、评标委员会</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（一）本次招标依法组建评标委员会。</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1、本人、配偶或直系亲属3年内曾在参加该采购项目的供应商中任职（包括一般工作）或担任顾问，或与参加该采购项目的供应商发生过法律纠纷；</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2、任职单位与采购人或参加该采购项目供应商存在行政隶属关系；</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3、曾经参加过该采购项目的进口产品或</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、采购需求、采购方式的论证和咨询服务工作；</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4、是参加该采购项目供应商的上级主管部门、控股或参股单位的工作人员，或与该供应商存在其他经济利益关系；</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5、评审委员会成员之间具有配偶、近亲属关系；</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28"/>
        <w:spacing w:line="360" w:lineRule="auto"/>
        <w:ind w:firstLine="417" w:firstLineChars="19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具体评定原则如下：</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评标结果按评审后得分由高到低顺序</w:t>
      </w:r>
      <w:r>
        <w:rPr>
          <w:rFonts w:hint="eastAsia" w:ascii="宋体" w:hAnsi="宋体" w:eastAsia="宋体" w:cs="宋体"/>
          <w:bCs/>
          <w:color w:val="auto"/>
          <w:highlight w:val="none"/>
        </w:rPr>
        <w:t>推荐3名及以上</w:t>
      </w:r>
      <w:r>
        <w:rPr>
          <w:rFonts w:hint="eastAsia" w:ascii="宋体" w:hAnsi="宋体" w:eastAsia="宋体" w:cs="宋体"/>
          <w:color w:val="auto"/>
          <w:szCs w:val="21"/>
          <w:highlight w:val="none"/>
        </w:rPr>
        <w:t>中标</w:t>
      </w:r>
      <w:r>
        <w:rPr>
          <w:rFonts w:hint="eastAsia" w:ascii="宋体" w:hAnsi="宋体" w:eastAsia="宋体" w:cs="宋体"/>
          <w:bCs/>
          <w:color w:val="auto"/>
          <w:highlight w:val="none"/>
        </w:rPr>
        <w:t>候选人</w:t>
      </w:r>
      <w:r>
        <w:rPr>
          <w:rFonts w:hint="eastAsia" w:ascii="宋体" w:hAnsi="宋体" w:eastAsia="宋体" w:cs="宋体"/>
          <w:color w:val="auto"/>
          <w:szCs w:val="21"/>
          <w:highlight w:val="none"/>
        </w:rPr>
        <w:t>。得分相同的，按投标报价由低到高顺序排列。得分且投标报价相同的并列，则抽签决定。</w:t>
      </w:r>
    </w:p>
    <w:p>
      <w:pPr>
        <w:pStyle w:val="28"/>
        <w:spacing w:line="360" w:lineRule="auto"/>
        <w:ind w:firstLine="417" w:firstLineChars="19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若出现参与的供应商或者对招标文件作出实质性响应的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不足3家的情况，本</w:t>
      </w:r>
      <w:r>
        <w:rPr>
          <w:rFonts w:hint="eastAsia" w:ascii="宋体" w:hAnsi="宋体" w:cs="宋体"/>
          <w:color w:val="auto"/>
          <w:szCs w:val="21"/>
          <w:highlight w:val="none"/>
          <w:lang w:eastAsia="zh-CN"/>
        </w:rPr>
        <w:t>项目作废标处理</w:t>
      </w:r>
      <w:r>
        <w:rPr>
          <w:rFonts w:hint="eastAsia" w:ascii="宋体" w:hAnsi="宋体" w:cs="宋体"/>
          <w:color w:val="auto"/>
          <w:szCs w:val="21"/>
          <w:highlight w:val="none"/>
        </w:rPr>
        <w:t>。</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（二）投标文件的澄清</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供应商的澄清、说明或者补正应当采用书面形式（或扫描件上传政采云平台），并加盖公章，或者由</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或其授权的代表签名或盖章。供应商的澄清、说明或者补正不得超出投标文件的范围或者改变投标文件的实质性内容。</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（三）投标文件错误修正原则</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5、政采云平台填报的开标一览表中的价格与上传的报价文件中开标一览表的报价不一致的，以上传的报价文件为准。</w:t>
      </w:r>
    </w:p>
    <w:p>
      <w:pPr>
        <w:pStyle w:val="28"/>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23"/>
        </w:numPr>
        <w:spacing w:line="360" w:lineRule="auto"/>
        <w:rPr>
          <w:rFonts w:hint="eastAsia" w:ascii="宋体" w:hAnsi="宋体" w:cs="宋体"/>
          <w:b/>
          <w:bCs/>
          <w:color w:val="auto"/>
          <w:szCs w:val="21"/>
          <w:highlight w:val="none"/>
        </w:rPr>
      </w:pPr>
      <w:bookmarkStart w:id="98" w:name="_Toc481567077"/>
      <w:bookmarkStart w:id="99" w:name="_Toc493058318"/>
      <w:r>
        <w:rPr>
          <w:rFonts w:hint="eastAsia" w:ascii="宋体" w:hAnsi="宋体" w:cs="宋体"/>
          <w:b/>
          <w:bCs/>
          <w:color w:val="auto"/>
          <w:szCs w:val="21"/>
          <w:highlight w:val="none"/>
        </w:rPr>
        <w:t>评标</w:t>
      </w:r>
      <w:bookmarkEnd w:id="98"/>
      <w:r>
        <w:rPr>
          <w:rFonts w:hint="eastAsia" w:ascii="宋体" w:hAnsi="宋体" w:cs="宋体"/>
          <w:b/>
          <w:bCs/>
          <w:color w:val="auto"/>
          <w:szCs w:val="21"/>
          <w:highlight w:val="none"/>
        </w:rPr>
        <w:t>程序</w:t>
      </w:r>
      <w:bookmarkEnd w:id="99"/>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hint="eastAsia"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noWrap w:val="0"/>
            <w:vAlign w:val="top"/>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noWrap w:val="0"/>
            <w:vAlign w:val="top"/>
          </w:tcPr>
          <w:p>
            <w:pPr>
              <w:numPr>
                <w:ilvl w:val="0"/>
                <w:numId w:val="24"/>
              </w:numPr>
              <w:spacing w:line="336" w:lineRule="auto"/>
              <w:rPr>
                <w:rFonts w:hint="eastAsia" w:ascii="宋体" w:hAnsi="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spacing w:line="336" w:lineRule="auto"/>
              <w:jc w:val="center"/>
              <w:rPr>
                <w:rFonts w:hint="eastAsia" w:ascii="宋体" w:hAnsi="宋体" w:cs="宋体"/>
                <w:color w:val="auto"/>
                <w:szCs w:val="21"/>
                <w:highlight w:val="none"/>
              </w:rPr>
            </w:pPr>
          </w:p>
        </w:tc>
        <w:tc>
          <w:tcPr>
            <w:tcW w:w="6794" w:type="dxa"/>
            <w:noWrap w:val="0"/>
            <w:vAlign w:val="top"/>
          </w:tcPr>
          <w:p>
            <w:pPr>
              <w:numPr>
                <w:ilvl w:val="0"/>
                <w:numId w:val="24"/>
              </w:numPr>
              <w:spacing w:line="336" w:lineRule="auto"/>
              <w:rPr>
                <w:rFonts w:hint="eastAsia" w:ascii="宋体" w:hAnsi="宋体" w:cs="宋体"/>
                <w:color w:val="auto"/>
                <w:szCs w:val="21"/>
                <w:highlight w:val="none"/>
              </w:rPr>
            </w:pPr>
            <w:r>
              <w:rPr>
                <w:rFonts w:hint="eastAsia" w:ascii="宋体" w:hAnsi="宋体" w:cs="宋体"/>
                <w:color w:val="auto"/>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szCs w:val="21"/>
                <w:highlight w:val="none"/>
              </w:rPr>
              <w:t>（五）</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要求的其他资格条件（如有）。</w:t>
            </w:r>
          </w:p>
        </w:tc>
      </w:tr>
    </w:tbl>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的实质性要求。</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3" w:type="dxa"/>
            <w:noWrap w:val="0"/>
            <w:vAlign w:val="top"/>
          </w:tcPr>
          <w:p>
            <w:pPr>
              <w:widowControl/>
              <w:spacing w:line="360" w:lineRule="auto"/>
              <w:jc w:val="center"/>
              <w:rPr>
                <w:rFonts w:hint="eastAsia" w:ascii="宋体" w:hAnsi="宋体" w:cs="宋体"/>
                <w:b/>
                <w:color w:val="auto"/>
                <w:kern w:val="0"/>
                <w:szCs w:val="21"/>
                <w:highlight w:val="none"/>
              </w:rPr>
            </w:pPr>
            <w:bookmarkStart w:id="100" w:name="_Toc259108323"/>
            <w:bookmarkStart w:id="101" w:name="_Toc249866767"/>
            <w:r>
              <w:rPr>
                <w:rFonts w:hint="eastAsia" w:ascii="宋体" w:hAnsi="宋体" w:cs="宋体"/>
                <w:b/>
                <w:color w:val="auto"/>
                <w:kern w:val="0"/>
                <w:szCs w:val="21"/>
                <w:highlight w:val="none"/>
              </w:rPr>
              <w:t>审查类别</w:t>
            </w:r>
          </w:p>
        </w:tc>
        <w:tc>
          <w:tcPr>
            <w:tcW w:w="6792" w:type="dxa"/>
            <w:noWrap w:val="0"/>
            <w:vAlign w:val="top"/>
          </w:tcPr>
          <w:p>
            <w:pPr>
              <w:widowControl/>
              <w:spacing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（商务技术文件）</w:t>
            </w: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（三）投标文件有</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签署本人姓名（或印盖本人姓名章），或签署人提供有效的</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（四）</w:t>
            </w:r>
            <w:r>
              <w:rPr>
                <w:rFonts w:hint="eastAsia" w:ascii="宋体" w:hAnsi="宋体" w:cs="宋体"/>
                <w:color w:val="auto"/>
                <w:kern w:val="0"/>
                <w:szCs w:val="20"/>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（五）</w:t>
            </w:r>
            <w:r>
              <w:rPr>
                <w:rFonts w:hint="eastAsia" w:ascii="宋体" w:hAnsi="宋体" w:cs="宋体"/>
                <w:color w:val="auto"/>
                <w:kern w:val="0"/>
                <w:szCs w:val="20"/>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（七）</w:t>
            </w:r>
            <w:r>
              <w:rPr>
                <w:rFonts w:hint="eastAsia" w:ascii="宋体" w:hAnsi="宋体" w:cs="宋体"/>
                <w:color w:val="auto"/>
                <w:kern w:val="0"/>
                <w:szCs w:val="20"/>
                <w:highlight w:val="none"/>
              </w:rPr>
              <w:t>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允许偏离的技术、性能指标或者辅助功能项目发生负偏离未达</w:t>
            </w:r>
            <w:r>
              <w:rPr>
                <w:rFonts w:hint="eastAsia" w:ascii="宋体" w:hAnsi="宋体" w:cs="宋体"/>
                <w:color w:val="auto"/>
                <w:kern w:val="0"/>
                <w:szCs w:val="20"/>
                <w:highlight w:val="none"/>
                <w:lang w:val="en-US" w:eastAsia="zh-CN"/>
              </w:rPr>
              <w:t>4</w:t>
            </w:r>
            <w:r>
              <w:rPr>
                <w:rFonts w:hint="eastAsia" w:ascii="宋体" w:hAnsi="宋体" w:cs="宋体"/>
                <w:color w:val="auto"/>
                <w:kern w:val="0"/>
                <w:szCs w:val="20"/>
                <w:highlight w:val="none"/>
              </w:rPr>
              <w:t>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w:t>
            </w:r>
            <w:r>
              <w:rPr>
                <w:rFonts w:hint="eastAsia" w:ascii="宋体" w:hAnsi="宋体" w:cs="宋体"/>
                <w:color w:val="auto"/>
                <w:kern w:val="0"/>
                <w:szCs w:val="20"/>
                <w:highlight w:val="none"/>
              </w:rPr>
              <w:t>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（十一）</w:t>
            </w:r>
            <w:r>
              <w:rPr>
                <w:rFonts w:hint="eastAsia" w:ascii="宋体" w:hAnsi="宋体" w:cs="宋体"/>
                <w:color w:val="auto"/>
                <w:kern w:val="0"/>
                <w:szCs w:val="20"/>
                <w:highlight w:val="none"/>
              </w:rPr>
              <w:t>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（十二）</w:t>
            </w:r>
            <w:r>
              <w:rPr>
                <w:rFonts w:hint="eastAsia" w:ascii="宋体" w:hAnsi="宋体" w:cs="宋体"/>
                <w:color w:val="auto"/>
                <w:kern w:val="0"/>
                <w:szCs w:val="20"/>
                <w:highlight w:val="none"/>
              </w:rPr>
              <w:t>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60" w:lineRule="auto"/>
              <w:ind w:firstLine="210" w:firstLineChars="10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（报价文件）</w:t>
            </w:r>
          </w:p>
        </w:tc>
        <w:tc>
          <w:tcPr>
            <w:tcW w:w="6792" w:type="dxa"/>
            <w:noWrap w:val="0"/>
            <w:vAlign w:val="center"/>
          </w:tcPr>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w:t>
            </w:r>
            <w:r>
              <w:rPr>
                <w:rFonts w:hint="eastAsia" w:ascii="宋体" w:hAnsi="宋体" w:cs="宋体"/>
                <w:color w:val="auto"/>
                <w:kern w:val="0"/>
                <w:szCs w:val="20"/>
                <w:highlight w:val="none"/>
              </w:rPr>
              <w:t>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（四）不存在报价超出最高限价，或者超出采购预算金额，采购人不能支付</w:t>
            </w:r>
            <w:r>
              <w:rPr>
                <w:rFonts w:hint="eastAsia" w:ascii="宋体" w:hAnsi="宋体" w:cs="宋体"/>
                <w:color w:val="auto"/>
                <w:kern w:val="0"/>
                <w:szCs w:val="20"/>
                <w:highlight w:val="none"/>
              </w:rPr>
              <w:t>的情形</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（五）不存在</w:t>
            </w:r>
            <w:r>
              <w:rPr>
                <w:rFonts w:hint="eastAsia" w:ascii="宋体" w:hAnsi="宋体" w:cs="宋体"/>
                <w:color w:val="auto"/>
                <w:kern w:val="0"/>
                <w:szCs w:val="20"/>
                <w:highlight w:val="none"/>
              </w:rPr>
              <w:t>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（七）不存在</w:t>
            </w:r>
            <w:r>
              <w:rPr>
                <w:rFonts w:hint="eastAsia" w:ascii="宋体" w:hAnsi="宋体" w:cs="宋体"/>
                <w:color w:val="auto"/>
                <w:kern w:val="0"/>
                <w:szCs w:val="20"/>
                <w:highlight w:val="none"/>
              </w:rPr>
              <w:t>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不存在法律、法规和招标文件规定的其他无效情形；</w:t>
            </w:r>
          </w:p>
        </w:tc>
      </w:tr>
    </w:tbl>
    <w:p>
      <w:pPr>
        <w:spacing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（三）投标无效的情形</w:t>
      </w:r>
      <w:bookmarkEnd w:id="100"/>
      <w:bookmarkEnd w:id="101"/>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没有响应</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要求的，应认定其投标无效。供应商修改、补正投标文件后，不影响评标委员会对其投标文件所作的评价和评分结果。</w:t>
      </w:r>
    </w:p>
    <w:p>
      <w:pPr>
        <w:widowControl/>
        <w:spacing w:after="120"/>
        <w:ind w:firstLine="422" w:firstLineChars="200"/>
        <w:rPr>
          <w:rFonts w:hint="eastAsia"/>
          <w:color w:val="auto"/>
          <w:highlight w:val="none"/>
        </w:rPr>
      </w:pPr>
      <w:r>
        <w:rPr>
          <w:rFonts w:hint="eastAsia" w:ascii="宋体" w:hAnsi="宋体" w:cs="宋体"/>
          <w:b/>
          <w:bCs/>
          <w:color w:val="auto"/>
          <w:szCs w:val="21"/>
          <w:highlight w:val="none"/>
        </w:rPr>
        <w:t>★上传投标文件同一网卡地址、同一IP地址的为无效标。</w:t>
      </w:r>
    </w:p>
    <w:p>
      <w:pPr>
        <w:widowControl/>
        <w:numPr>
          <w:ilvl w:val="0"/>
          <w:numId w:val="25"/>
        </w:numPr>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在资格审查时，如发现下列情形之一的，将被视为无效投标文件：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1、资格证明文件不全的或者不符合招标文件标明的资格要求的；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2、供应商资格声明函无</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或授权代表签名或盖章；</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B、在符合性审查（商务技术文件）时，如发现下列情形之一的，将被视为无效投标文件：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1、未</w:t>
      </w:r>
      <w:r>
        <w:rPr>
          <w:rFonts w:hint="eastAsia" w:ascii="宋体" w:hAnsi="宋体" w:cs="宋体"/>
          <w:color w:val="auto"/>
          <w:kern w:val="0"/>
          <w:szCs w:val="20"/>
          <w:highlight w:val="none"/>
        </w:rPr>
        <w:t>提交投标函或投标函内容不符合招标文件要求；</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2、未按照招标文件规定要求签署或盖章；</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3、投标文件无</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签署本人姓名（或印盖本人姓名章），或签署人未提供有效的</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 xml:space="preserve">授权委托书或授权委托书填写项目不齐全的； </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4、投标文件项目不齐全；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5、投标文件标明的响应或偏离与事实不符或虚假投标的；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6、投标文件的实质性内容未使用中文表述、意思表述不明确、前后矛盾或者使用计量单位不符合招标文件要求的（经评标委员会认定并允许其当场更正的笔误除外）；</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7、带“★”的条款不能满足招标文件要求、未实质性响应招标文件要求或者投标文件有采购人不能接受的附加条件的；</w:t>
      </w:r>
    </w:p>
    <w:p>
      <w:pPr>
        <w:widowControl/>
        <w:spacing w:line="360" w:lineRule="auto"/>
        <w:ind w:firstLine="420" w:firstLineChars="200"/>
        <w:jc w:val="left"/>
        <w:rPr>
          <w:rFonts w:hint="eastAsia" w:ascii="宋体" w:hAnsi="宋体" w:cs="宋体"/>
          <w:color w:val="auto"/>
          <w:kern w:val="1"/>
          <w:szCs w:val="21"/>
          <w:highlight w:val="none"/>
        </w:rPr>
      </w:pPr>
      <w:r>
        <w:rPr>
          <w:rFonts w:hint="eastAsia" w:ascii="宋体" w:hAnsi="宋体" w:cs="宋体"/>
          <w:color w:val="auto"/>
          <w:kern w:val="0"/>
          <w:szCs w:val="21"/>
          <w:highlight w:val="none"/>
        </w:rPr>
        <w:t>8、</w:t>
      </w:r>
      <w:r>
        <w:rPr>
          <w:rFonts w:hint="eastAsia" w:ascii="宋体" w:hAnsi="宋体" w:cs="宋体"/>
          <w:color w:val="auto"/>
          <w:kern w:val="1"/>
          <w:szCs w:val="21"/>
          <w:highlight w:val="none"/>
        </w:rPr>
        <w:t>允许偏离的技术、性能指标或者辅助功能项目发生负偏离达</w:t>
      </w:r>
      <w:r>
        <w:rPr>
          <w:rFonts w:hint="eastAsia" w:ascii="宋体" w:hAnsi="宋体" w:cs="宋体"/>
          <w:b/>
          <w:bCs/>
          <w:color w:val="auto"/>
          <w:kern w:val="1"/>
          <w:szCs w:val="21"/>
          <w:highlight w:val="none"/>
          <w:lang w:val="en-US" w:eastAsia="zh-CN"/>
        </w:rPr>
        <w:t>4</w:t>
      </w:r>
      <w:r>
        <w:rPr>
          <w:rFonts w:hint="eastAsia" w:ascii="宋体" w:hAnsi="宋体" w:cs="宋体"/>
          <w:b/>
          <w:bCs/>
          <w:color w:val="auto"/>
          <w:kern w:val="1"/>
          <w:szCs w:val="21"/>
          <w:highlight w:val="none"/>
        </w:rPr>
        <w:t>0</w:t>
      </w:r>
      <w:r>
        <w:rPr>
          <w:rFonts w:hint="eastAsia" w:ascii="宋体" w:hAnsi="宋体" w:cs="宋体"/>
          <w:color w:val="auto"/>
          <w:kern w:val="1"/>
          <w:szCs w:val="21"/>
          <w:highlight w:val="none"/>
        </w:rPr>
        <w:t>项（含）以上的；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9、投标技术方案不明确，存在一个或一个以上备选（替代）投标方案的；</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10、商务技术文件中出现报价或单价的；</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11、法律、法规和招标文件规定的其他无效情形；</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12、投标文件的有效期不满足招标文件要求。</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C、在符合性审查（报价文件）时，如发现下列情形之一的，将被视为无效投标文件：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1、未按照招标文件规定要求签署或盖章；</w:t>
      </w:r>
    </w:p>
    <w:p>
      <w:pPr>
        <w:widowControl/>
        <w:spacing w:line="360" w:lineRule="auto"/>
        <w:ind w:firstLine="420" w:firstLineChars="200"/>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2、投标文件项目不齐全；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3、未采用人民币报价或者未按照招标文件标明的币种报价的；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4、报价超出最高限价，或者超出采购预算金额，采购人不能支付的；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5、投标报价具有选择性的；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6、投标报价中出现重大缺项、漏项；</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8、投标文件（报价文件）内容与投标文件（商务技术文件）内容有重大差异的；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9、法律、法规和招标文件规定的其他无效情形</w:t>
      </w:r>
      <w:r>
        <w:rPr>
          <w:rFonts w:hint="eastAsia" w:ascii="宋体" w:hAnsi="宋体" w:cs="宋体"/>
          <w:color w:val="auto"/>
          <w:kern w:val="1"/>
          <w:szCs w:val="21"/>
          <w:highlight w:val="none"/>
        </w:rPr>
        <w:t>。</w:t>
      </w:r>
    </w:p>
    <w:p>
      <w:pPr>
        <w:spacing w:line="360" w:lineRule="exact"/>
        <w:rPr>
          <w:rFonts w:hint="eastAsia" w:ascii="宋体" w:hAnsi="宋体" w:cs="宋体"/>
          <w:b/>
          <w:color w:val="auto"/>
          <w:szCs w:val="21"/>
          <w:highlight w:val="none"/>
        </w:rPr>
      </w:pPr>
      <w:r>
        <w:rPr>
          <w:rFonts w:hint="eastAsia" w:ascii="宋体" w:hAnsi="宋体" w:cs="宋体"/>
          <w:b/>
          <w:color w:val="auto"/>
          <w:szCs w:val="21"/>
          <w:highlight w:val="none"/>
        </w:rPr>
        <w:t>（四）评分标准</w:t>
      </w:r>
    </w:p>
    <w:tbl>
      <w:tblPr>
        <w:tblStyle w:val="47"/>
        <w:tblW w:w="894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55"/>
        <w:gridCol w:w="1225"/>
        <w:gridCol w:w="5567"/>
        <w:gridCol w:w="5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398" w:type="dxa"/>
            <w:gridSpan w:val="4"/>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内      容</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restart"/>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商务技术分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8</w:t>
            </w:r>
            <w:r>
              <w:rPr>
                <w:rFonts w:hint="eastAsia" w:ascii="宋体" w:hAnsi="宋体" w:eastAsia="宋体" w:cs="Times New Roman"/>
                <w:bCs/>
                <w:color w:val="auto"/>
                <w:kern w:val="0"/>
                <w:sz w:val="21"/>
                <w:szCs w:val="21"/>
                <w:highlight w:val="none"/>
                <w:lang w:val="en-US" w:eastAsia="zh-CN" w:bidi="ar-SA"/>
              </w:rPr>
              <w:t>5分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1、供应商提供的针对本项目的熟悉情况以及重点难点分析是否清晰合理进行综合评议（5分）。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2、根据供应商提供的实施方案的合理性、完整性、先进性、科学性进行综合评议（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restart"/>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3、投标设备的性能（</w:t>
            </w:r>
            <w:r>
              <w:rPr>
                <w:rFonts w:hint="eastAsia" w:ascii="宋体" w:hAnsi="宋体" w:cs="Times New Roman"/>
                <w:bCs/>
                <w:color w:val="auto"/>
                <w:kern w:val="0"/>
                <w:sz w:val="21"/>
                <w:szCs w:val="21"/>
                <w:highlight w:val="none"/>
                <w:lang w:val="en-US" w:eastAsia="zh-CN" w:bidi="ar-SA"/>
              </w:rPr>
              <w:t>30</w:t>
            </w:r>
            <w:r>
              <w:rPr>
                <w:rFonts w:hint="eastAsia" w:ascii="宋体" w:hAnsi="宋体" w:eastAsia="宋体" w:cs="Times New Roman"/>
                <w:bCs/>
                <w:color w:val="auto"/>
                <w:kern w:val="0"/>
                <w:sz w:val="21"/>
                <w:szCs w:val="21"/>
                <w:highlight w:val="none"/>
                <w:lang w:val="en-US" w:eastAsia="zh-CN" w:bidi="ar-SA"/>
              </w:rPr>
              <w:t>分）</w:t>
            </w:r>
          </w:p>
        </w:tc>
        <w:tc>
          <w:tcPr>
            <w:tcW w:w="1225" w:type="dxa"/>
            <w:noWrap w:val="0"/>
            <w:vAlign w:val="center"/>
          </w:tcPr>
          <w:p>
            <w:pPr>
              <w:widowControl/>
              <w:spacing w:line="240" w:lineRule="auto"/>
              <w:ind w:firstLine="0" w:firstLineChars="0"/>
              <w:jc w:val="left"/>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3.1主要技术参数响应（10分）</w:t>
            </w:r>
          </w:p>
        </w:tc>
        <w:tc>
          <w:tcPr>
            <w:tcW w:w="5567"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3.1根据供应商所投产品与招标文件第二章 采购需求四、设备清单及技术参数要求中</w:t>
            </w:r>
            <w:r>
              <w:rPr>
                <w:rFonts w:hint="eastAsia" w:ascii="宋体" w:hAnsi="宋体"/>
                <w:color w:val="auto"/>
                <w:szCs w:val="21"/>
                <w:highlight w:val="none"/>
              </w:rPr>
              <w:t>打“▲”号的</w:t>
            </w:r>
            <w:r>
              <w:rPr>
                <w:rFonts w:hint="eastAsia" w:ascii="宋体" w:hAnsi="宋体"/>
                <w:color w:val="auto"/>
                <w:szCs w:val="21"/>
                <w:highlight w:val="none"/>
                <w:lang w:val="en-US" w:eastAsia="zh-CN"/>
              </w:rPr>
              <w:t>主要</w:t>
            </w:r>
            <w:r>
              <w:rPr>
                <w:rFonts w:hint="eastAsia" w:ascii="宋体" w:hAnsi="宋体"/>
                <w:color w:val="auto"/>
                <w:szCs w:val="21"/>
                <w:highlight w:val="none"/>
              </w:rPr>
              <w:t>技术指标</w:t>
            </w:r>
            <w:r>
              <w:rPr>
                <w:rFonts w:hint="eastAsia" w:ascii="宋体" w:hAnsi="宋体" w:eastAsia="宋体" w:cs="Times New Roman"/>
                <w:bCs/>
                <w:color w:val="auto"/>
                <w:kern w:val="0"/>
                <w:sz w:val="21"/>
                <w:szCs w:val="21"/>
                <w:highlight w:val="none"/>
                <w:lang w:val="en-US" w:eastAsia="zh-CN" w:bidi="ar-SA"/>
              </w:rPr>
              <w:t>的响应情况进行评议：</w:t>
            </w:r>
            <w:r>
              <w:rPr>
                <w:rFonts w:hint="eastAsia" w:ascii="宋体" w:hAnsi="宋体"/>
                <w:color w:val="auto"/>
                <w:szCs w:val="21"/>
                <w:highlight w:val="none"/>
              </w:rPr>
              <w:t>每负偏离一条打“▲”号的技术指标扣</w:t>
            </w:r>
            <w:r>
              <w:rPr>
                <w:rFonts w:hint="eastAsia" w:ascii="宋体" w:hAnsi="宋体"/>
                <w:color w:val="auto"/>
                <w:szCs w:val="21"/>
                <w:highlight w:val="none"/>
                <w:lang w:val="en-US" w:eastAsia="zh-CN"/>
              </w:rPr>
              <w:t>2</w:t>
            </w:r>
            <w:r>
              <w:rPr>
                <w:rFonts w:hint="eastAsia" w:ascii="宋体" w:hAnsi="宋体"/>
                <w:color w:val="auto"/>
                <w:szCs w:val="21"/>
                <w:highlight w:val="none"/>
              </w:rPr>
              <w:t>分，</w:t>
            </w:r>
            <w:r>
              <w:rPr>
                <w:rFonts w:hint="eastAsia" w:ascii="宋体" w:hAnsi="宋体"/>
                <w:color w:val="auto"/>
                <w:szCs w:val="21"/>
                <w:highlight w:val="none"/>
                <w:lang w:val="en-US" w:eastAsia="zh-CN"/>
              </w:rPr>
              <w:t>扣完为止</w:t>
            </w:r>
            <w:r>
              <w:rPr>
                <w:rFonts w:hint="eastAsia" w:ascii="宋体" w:hAnsi="宋体"/>
                <w:color w:val="auto"/>
                <w:szCs w:val="21"/>
                <w:highlight w:val="none"/>
              </w:rPr>
              <w:t>。</w:t>
            </w:r>
            <w:r>
              <w:rPr>
                <w:rFonts w:hint="eastAsia" w:ascii="宋体" w:hAnsi="宋体" w:eastAsia="宋体" w:cs="Times New Roman"/>
                <w:bCs/>
                <w:color w:val="auto"/>
                <w:kern w:val="0"/>
                <w:sz w:val="21"/>
                <w:szCs w:val="21"/>
                <w:highlight w:val="none"/>
                <w:lang w:val="en-US" w:eastAsia="zh-CN" w:bidi="ar-SA"/>
              </w:rPr>
              <w:t>（</w:t>
            </w:r>
            <w:r>
              <w:rPr>
                <w:rFonts w:hint="eastAsia" w:ascii="宋体" w:hAnsi="宋体" w:cs="Times New Roman"/>
                <w:bCs/>
                <w:color w:val="auto"/>
                <w:kern w:val="0"/>
                <w:sz w:val="21"/>
                <w:szCs w:val="21"/>
                <w:highlight w:val="none"/>
                <w:lang w:val="en-US" w:eastAsia="zh-CN" w:bidi="ar-SA"/>
              </w:rPr>
              <w:t>10</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225" w:type="dxa"/>
            <w:vMerge w:val="restart"/>
            <w:noWrap w:val="0"/>
            <w:vAlign w:val="center"/>
          </w:tcPr>
          <w:p>
            <w:pPr>
              <w:widowControl/>
              <w:spacing w:line="240" w:lineRule="auto"/>
              <w:ind w:firstLine="0" w:firstLineChars="0"/>
              <w:jc w:val="left"/>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3.2一般技术参数响应（20分）</w:t>
            </w:r>
          </w:p>
        </w:tc>
        <w:tc>
          <w:tcPr>
            <w:tcW w:w="5567"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3.2.1根据供应商所投视频监控设备与招标文件第二章 采购需求四、设备清单及技术参数要求中视频监控设备（序号1-13）</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22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5567" w:type="dxa"/>
            <w:noWrap w:val="0"/>
            <w:vAlign w:val="center"/>
          </w:tcPr>
          <w:p>
            <w:pPr>
              <w:widowControl/>
              <w:spacing w:line="240" w:lineRule="auto"/>
              <w:ind w:firstLine="0" w:firstLineChars="0"/>
              <w:jc w:val="left"/>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3.2.2根据供应商所投智能控制设备与招标文件第二章 采购需求四、设备清单及技术参数要求中智能控制设备（序号18-19）</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22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5567"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3.2.3根据供应商所投交换机与招标文件第二章 采购需求四、设备清单及技术参数要求中交换机设备（序号31-32）</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22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5567"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3.2.4根据供应商所投其他设备</w:t>
            </w:r>
            <w:r>
              <w:rPr>
                <w:rFonts w:hint="eastAsia" w:ascii="宋体" w:hAnsi="宋体" w:eastAsia="宋体" w:cs="宋体"/>
                <w:bCs/>
                <w:color w:val="auto"/>
                <w:kern w:val="0"/>
                <w:sz w:val="21"/>
                <w:szCs w:val="21"/>
                <w:highlight w:val="none"/>
                <w:lang w:val="en-US" w:eastAsia="zh-CN" w:bidi="ar-SA"/>
              </w:rPr>
              <w:t>（除3.2.1</w:t>
            </w:r>
            <w:r>
              <w:rPr>
                <w:rFonts w:hint="eastAsia" w:ascii="宋体" w:hAnsi="宋体" w:eastAsia="宋体" w:cs="Times New Roman"/>
                <w:bCs/>
                <w:color w:val="auto"/>
                <w:kern w:val="0"/>
                <w:sz w:val="21"/>
                <w:szCs w:val="21"/>
                <w:highlight w:val="none"/>
                <w:lang w:val="en-US" w:eastAsia="zh-CN" w:bidi="ar-SA"/>
              </w:rPr>
              <w:t>-3.2.3以外的其他设备</w:t>
            </w:r>
            <w:r>
              <w:rPr>
                <w:rFonts w:hint="eastAsia" w:ascii="宋体" w:hAnsi="宋体" w:eastAsia="宋体" w:cs="宋体"/>
                <w:bCs/>
                <w:color w:val="auto"/>
                <w:kern w:val="0"/>
                <w:sz w:val="21"/>
                <w:szCs w:val="21"/>
                <w:highlight w:val="none"/>
                <w:lang w:val="en-US" w:eastAsia="zh-CN" w:bidi="ar-SA"/>
              </w:rPr>
              <w:t>）</w:t>
            </w:r>
            <w:r>
              <w:rPr>
                <w:rFonts w:hint="eastAsia" w:ascii="宋体" w:hAnsi="宋体" w:eastAsia="宋体" w:cs="Times New Roman"/>
                <w:bCs/>
                <w:color w:val="auto"/>
                <w:kern w:val="0"/>
                <w:sz w:val="21"/>
                <w:szCs w:val="21"/>
                <w:highlight w:val="none"/>
                <w:lang w:val="en-US" w:eastAsia="zh-CN" w:bidi="ar-SA"/>
              </w:rPr>
              <w:t>与招标文件第二章 采购需求四、设备清单及技术参数要求</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restart"/>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4、售后服务方案（1</w:t>
            </w:r>
            <w:r>
              <w:rPr>
                <w:rFonts w:hint="eastAsia" w:ascii="宋体" w:hAnsi="宋体" w:cs="Times New Roman"/>
                <w:bCs/>
                <w:color w:val="auto"/>
                <w:kern w:val="0"/>
                <w:sz w:val="21"/>
                <w:szCs w:val="21"/>
                <w:highlight w:val="none"/>
                <w:lang w:val="en-US" w:eastAsia="zh-CN" w:bidi="ar-SA"/>
              </w:rPr>
              <w:t>4.5</w:t>
            </w:r>
            <w:r>
              <w:rPr>
                <w:rFonts w:hint="eastAsia" w:ascii="宋体" w:hAnsi="宋体" w:eastAsia="宋体" w:cs="Times New Roman"/>
                <w:bCs/>
                <w:color w:val="auto"/>
                <w:kern w:val="0"/>
                <w:sz w:val="21"/>
                <w:szCs w:val="21"/>
                <w:highlight w:val="none"/>
                <w:lang w:val="en-US" w:eastAsia="zh-CN" w:bidi="ar-SA"/>
              </w:rPr>
              <w:t>分）</w:t>
            </w:r>
          </w:p>
        </w:tc>
        <w:tc>
          <w:tcPr>
            <w:tcW w:w="6792"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4.1根据供应商提供的质保期承诺、免费保修及售后服务措施的可操作性等进行综合评议（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p>
        </w:tc>
        <w:tc>
          <w:tcPr>
            <w:tcW w:w="6792"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4.2根据供应商的培训计划的合理性、完整性进行综合评议（</w:t>
            </w:r>
            <w:r>
              <w:rPr>
                <w:rFonts w:hint="eastAsia" w:ascii="宋体" w:hAnsi="宋体" w:cs="Times New Roman"/>
                <w:bCs/>
                <w:color w:val="auto"/>
                <w:kern w:val="0"/>
                <w:sz w:val="21"/>
                <w:szCs w:val="21"/>
                <w:highlight w:val="none"/>
                <w:lang w:val="en-US" w:eastAsia="zh-CN" w:bidi="ar-SA"/>
              </w:rPr>
              <w:t>4.5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4.5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6792"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4.3根据供应商提供的备品备件、故障恢复时间、维修服务、保障措施等进行综合评议（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5、根据供应商为保证工期进度制定的进度计划及工期保障措施、质量控制措施是否科学合理等情况进行综合评议（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numPr>
                <w:ilvl w:val="0"/>
                <w:numId w:val="0"/>
              </w:numPr>
              <w:spacing w:line="240" w:lineRule="auto"/>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6、项目负责人具备信息系统项目管理师、网络工程师、CISP证书的，每提供1个得1分，最高得3分。</w:t>
            </w:r>
          </w:p>
          <w:p>
            <w:pPr>
              <w:widowControl/>
              <w:numPr>
                <w:ilvl w:val="0"/>
                <w:numId w:val="0"/>
              </w:numPr>
              <w:spacing w:line="240" w:lineRule="auto"/>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注：项目负责人必须为供应商公司人员，必须提供社保部门出具的开标日前近三个月的社会保险缴费证明复印件加盖公章。</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7、</w:t>
            </w:r>
            <w:r>
              <w:rPr>
                <w:rFonts w:hint="eastAsia" w:ascii="宋体" w:hAnsi="宋体" w:cs="宋体"/>
                <w:color w:val="auto"/>
                <w:szCs w:val="21"/>
                <w:highlight w:val="none"/>
              </w:rPr>
              <w:t>技术及实施人员</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除项目负责人外</w:t>
            </w:r>
            <w:r>
              <w:rPr>
                <w:rFonts w:hint="eastAsia" w:ascii="宋体" w:hAnsi="宋体" w:cs="宋体"/>
                <w:color w:val="auto"/>
                <w:szCs w:val="21"/>
                <w:highlight w:val="none"/>
                <w:lang w:eastAsia="zh-CN"/>
              </w:rPr>
              <w:t>）：</w:t>
            </w:r>
            <w:r>
              <w:rPr>
                <w:rFonts w:hint="eastAsia" w:ascii="宋体" w:hAnsi="宋体" w:eastAsia="宋体" w:cs="宋体"/>
                <w:i w:val="0"/>
                <w:iCs w:val="0"/>
                <w:color w:val="auto"/>
                <w:kern w:val="0"/>
                <w:sz w:val="21"/>
                <w:szCs w:val="21"/>
                <w:highlight w:val="none"/>
                <w:u w:val="none"/>
                <w:lang w:val="en-US" w:eastAsia="zh-CN" w:bidi="ar"/>
              </w:rPr>
              <w:t>具备“信息系统项目管理师、软件设计师、网络规划设计师、通信工程师、数据库系统工程师、CISP”其中任一类证书的，每提供1类得1分，最高得6分。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Times New Roman"/>
                <w:bCs/>
                <w:color w:val="auto"/>
                <w:kern w:val="0"/>
                <w:sz w:val="21"/>
                <w:szCs w:val="21"/>
                <w:highlight w:val="none"/>
                <w:lang w:val="en-US" w:eastAsia="zh-CN" w:bidi="ar-SA"/>
              </w:rPr>
              <w:t>注：</w:t>
            </w:r>
            <w:r>
              <w:rPr>
                <w:rFonts w:hint="eastAsia" w:ascii="宋体" w:hAnsi="宋体" w:cs="宋体"/>
                <w:color w:val="auto"/>
                <w:szCs w:val="21"/>
                <w:highlight w:val="none"/>
              </w:rPr>
              <w:t>技术及实施人员</w:t>
            </w:r>
            <w:r>
              <w:rPr>
                <w:rFonts w:hint="eastAsia" w:ascii="宋体" w:hAnsi="宋体" w:eastAsia="宋体" w:cs="Times New Roman"/>
                <w:bCs/>
                <w:color w:val="auto"/>
                <w:kern w:val="0"/>
                <w:sz w:val="21"/>
                <w:szCs w:val="21"/>
                <w:highlight w:val="none"/>
                <w:lang w:val="en-US" w:eastAsia="zh-CN" w:bidi="ar-SA"/>
              </w:rPr>
              <w:t>必须为供应商公司人员，必须提供社保部门出具的开标日前近三个月的社会保险缴费证明复印件加盖公章。</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8、合理化建议：根据供应商提供的合理化建议的可行性进行综合评议（5分）。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9、其他优惠承诺：根据供应商提供的其他优惠承诺的合理性进行综合评议（5分）。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10、业绩分：自2018年1月1日以来（以合同签订时间为准），供应商承担过类似</w:t>
            </w:r>
            <w:r>
              <w:rPr>
                <w:rFonts w:hint="eastAsia" w:ascii="宋体" w:hAnsi="宋体" w:cs="宋体"/>
                <w:color w:val="auto"/>
                <w:szCs w:val="21"/>
                <w:highlight w:val="none"/>
              </w:rPr>
              <w:t>治安监控</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项目</w:t>
            </w:r>
            <w:r>
              <w:rPr>
                <w:rFonts w:hint="eastAsia" w:ascii="宋体" w:hAnsi="宋体" w:eastAsia="宋体" w:cs="Times New Roman"/>
                <w:bCs/>
                <w:color w:val="auto"/>
                <w:kern w:val="0"/>
                <w:sz w:val="21"/>
                <w:szCs w:val="21"/>
                <w:highlight w:val="none"/>
                <w:lang w:val="en-US" w:eastAsia="zh-CN" w:bidi="ar-SA"/>
              </w:rPr>
              <w:t>，每个案例得0.5分，最多得1.5分。</w:t>
            </w:r>
            <w:r>
              <w:rPr>
                <w:rFonts w:hint="eastAsia" w:ascii="宋体" w:hAnsi="宋体" w:eastAsia="宋体" w:cs="宋体"/>
                <w:i w:val="0"/>
                <w:iCs w:val="0"/>
                <w:color w:val="auto"/>
                <w:kern w:val="0"/>
                <w:sz w:val="21"/>
                <w:szCs w:val="21"/>
                <w:highlight w:val="none"/>
                <w:u w:val="none"/>
                <w:lang w:val="en-US" w:eastAsia="zh-CN" w:bidi="ar"/>
              </w:rPr>
              <w:t>同一业主不累计得分。</w:t>
            </w:r>
            <w:r>
              <w:rPr>
                <w:rFonts w:hint="eastAsia" w:ascii="宋体" w:hAnsi="宋体" w:eastAsia="宋体" w:cs="Times New Roman"/>
                <w:bCs/>
                <w:color w:val="auto"/>
                <w:kern w:val="0"/>
                <w:sz w:val="21"/>
                <w:szCs w:val="21"/>
                <w:highlight w:val="none"/>
                <w:lang w:val="en-US" w:eastAsia="zh-CN" w:bidi="ar-SA"/>
              </w:rPr>
              <w:t>（投标文件中须附加盖公章的</w:t>
            </w:r>
            <w:r>
              <w:rPr>
                <w:rFonts w:hint="eastAsia" w:ascii="宋体" w:hAnsi="宋体" w:eastAsia="宋体" w:cs="宋体"/>
                <w:i w:val="0"/>
                <w:iCs w:val="0"/>
                <w:color w:val="auto"/>
                <w:kern w:val="0"/>
                <w:sz w:val="21"/>
                <w:szCs w:val="21"/>
                <w:highlight w:val="none"/>
                <w:u w:val="none"/>
                <w:lang w:val="en-US" w:eastAsia="zh-CN" w:bidi="ar"/>
              </w:rPr>
              <w:t>合同复印件及项目验收报告</w:t>
            </w:r>
            <w:r>
              <w:rPr>
                <w:rFonts w:hint="eastAsia" w:ascii="宋体" w:hAnsi="宋体" w:eastAsia="宋体" w:cs="Times New Roman"/>
                <w:bCs/>
                <w:color w:val="auto"/>
                <w:kern w:val="0"/>
                <w:sz w:val="21"/>
                <w:szCs w:val="21"/>
                <w:highlight w:val="none"/>
                <w:lang w:val="en-US" w:eastAsia="zh-CN" w:bidi="ar-SA"/>
              </w:rPr>
              <w:t>）</w:t>
            </w:r>
          </w:p>
        </w:tc>
        <w:tc>
          <w:tcPr>
            <w:tcW w:w="549" w:type="dxa"/>
            <w:noWrap w:val="0"/>
            <w:vAlign w:val="center"/>
          </w:tcPr>
          <w:p>
            <w:pPr>
              <w:widowControl/>
              <w:spacing w:line="240" w:lineRule="auto"/>
              <w:ind w:firstLine="0" w:firstLineChars="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restart"/>
            <w:noWrap w:val="0"/>
            <w:vAlign w:val="center"/>
          </w:tcPr>
          <w:p>
            <w:pPr>
              <w:widowControl/>
              <w:spacing w:line="240" w:lineRule="auto"/>
              <w:ind w:firstLine="0" w:firstLineChars="0"/>
              <w:jc w:val="both"/>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11、履约能力（4分）</w:t>
            </w:r>
          </w:p>
        </w:tc>
        <w:tc>
          <w:tcPr>
            <w:tcW w:w="6792" w:type="dxa"/>
            <w:gridSpan w:val="2"/>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r>
              <w:rPr>
                <w:rFonts w:hint="eastAsia" w:ascii="宋体" w:hAnsi="宋体" w:cs="宋体"/>
                <w:color w:val="auto"/>
                <w:szCs w:val="21"/>
                <w:highlight w:val="none"/>
                <w:lang w:val="en-US" w:eastAsia="zh-CN"/>
              </w:rPr>
              <w:t>11.1供应商</w:t>
            </w:r>
            <w:r>
              <w:rPr>
                <w:rFonts w:hint="eastAsia" w:ascii="宋体" w:hAnsi="宋体" w:cs="宋体"/>
                <w:color w:val="auto"/>
                <w:szCs w:val="21"/>
                <w:highlight w:val="none"/>
              </w:rPr>
              <w:t>具有</w:t>
            </w:r>
            <w:r>
              <w:rPr>
                <w:rFonts w:hint="eastAsia" w:ascii="宋体" w:hAnsi="宋体" w:eastAsia="宋体" w:cs="宋体"/>
                <w:i w:val="0"/>
                <w:iCs w:val="0"/>
                <w:color w:val="auto"/>
                <w:kern w:val="0"/>
                <w:sz w:val="21"/>
                <w:szCs w:val="21"/>
                <w:highlight w:val="none"/>
                <w:u w:val="none"/>
                <w:lang w:val="en-US" w:eastAsia="zh-CN" w:bidi="ar-SA"/>
              </w:rPr>
              <w:t>有效期内的质量管理体系认证证书</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Times New Roman"/>
                <w:bCs/>
                <w:color w:val="auto"/>
                <w:kern w:val="0"/>
                <w:sz w:val="21"/>
                <w:szCs w:val="21"/>
                <w:highlight w:val="none"/>
                <w:lang w:val="en-US" w:eastAsia="zh-CN" w:bidi="ar-SA"/>
              </w:rPr>
              <w:t>（投标文件中须附加盖公章的证书复印件）</w:t>
            </w:r>
          </w:p>
        </w:tc>
        <w:tc>
          <w:tcPr>
            <w:tcW w:w="549" w:type="dxa"/>
            <w:noWrap w:val="0"/>
            <w:vAlign w:val="center"/>
          </w:tcPr>
          <w:p>
            <w:pPr>
              <w:widowControl/>
              <w:spacing w:line="240" w:lineRule="auto"/>
              <w:ind w:firstLine="0" w:firstLineChars="0"/>
              <w:jc w:val="center"/>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p>
        </w:tc>
        <w:tc>
          <w:tcPr>
            <w:tcW w:w="6792" w:type="dxa"/>
            <w:gridSpan w:val="2"/>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r>
              <w:rPr>
                <w:rFonts w:hint="eastAsia" w:ascii="宋体" w:hAnsi="宋体" w:cs="宋体"/>
                <w:color w:val="auto"/>
                <w:szCs w:val="21"/>
                <w:highlight w:val="none"/>
                <w:lang w:val="en-US" w:eastAsia="zh-CN"/>
              </w:rPr>
              <w:t>11.2供应商</w:t>
            </w:r>
            <w:r>
              <w:rPr>
                <w:rFonts w:hint="eastAsia" w:ascii="宋体" w:hAnsi="宋体" w:cs="宋体"/>
                <w:color w:val="auto"/>
                <w:szCs w:val="21"/>
                <w:highlight w:val="none"/>
              </w:rPr>
              <w:t>具有</w:t>
            </w:r>
            <w:r>
              <w:rPr>
                <w:rFonts w:hint="eastAsia" w:ascii="宋体" w:hAnsi="宋体" w:eastAsia="宋体" w:cs="宋体"/>
                <w:i w:val="0"/>
                <w:iCs w:val="0"/>
                <w:color w:val="auto"/>
                <w:kern w:val="0"/>
                <w:sz w:val="21"/>
                <w:szCs w:val="21"/>
                <w:highlight w:val="none"/>
                <w:u w:val="none"/>
                <w:lang w:val="en-US" w:eastAsia="zh-CN" w:bidi="ar-SA"/>
              </w:rPr>
              <w:t>有效期内的信息技术服务管理体系认证证书</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Times New Roman"/>
                <w:bCs/>
                <w:color w:val="auto"/>
                <w:kern w:val="0"/>
                <w:sz w:val="21"/>
                <w:szCs w:val="21"/>
                <w:highlight w:val="none"/>
                <w:lang w:val="en-US" w:eastAsia="zh-CN" w:bidi="ar-SA"/>
              </w:rPr>
              <w:t>（投标文件中须附加盖公章的证书复印件）</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p>
        </w:tc>
        <w:tc>
          <w:tcPr>
            <w:tcW w:w="6792" w:type="dxa"/>
            <w:gridSpan w:val="2"/>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r>
              <w:rPr>
                <w:rFonts w:hint="eastAsia" w:ascii="宋体" w:hAnsi="宋体" w:cs="宋体"/>
                <w:color w:val="auto"/>
                <w:szCs w:val="21"/>
                <w:highlight w:val="none"/>
                <w:lang w:val="en-US" w:eastAsia="zh-CN"/>
              </w:rPr>
              <w:t>11.3供应商具有</w:t>
            </w:r>
            <w:r>
              <w:rPr>
                <w:rFonts w:hint="eastAsia" w:ascii="宋体" w:hAnsi="宋体" w:eastAsia="宋体" w:cs="宋体"/>
                <w:i w:val="0"/>
                <w:iCs w:val="0"/>
                <w:color w:val="auto"/>
                <w:kern w:val="0"/>
                <w:sz w:val="21"/>
                <w:szCs w:val="21"/>
                <w:highlight w:val="none"/>
                <w:u w:val="none"/>
                <w:lang w:val="en-US" w:eastAsia="zh-CN" w:bidi="ar-SA"/>
              </w:rPr>
              <w:t>有效期内的信息安全管理体系认证证书</w:t>
            </w:r>
            <w:r>
              <w:rPr>
                <w:rFonts w:hint="eastAsia" w:ascii="宋体" w:hAnsi="宋体" w:cs="宋体"/>
                <w:color w:val="auto"/>
                <w:szCs w:val="21"/>
                <w:highlight w:val="none"/>
              </w:rPr>
              <w:t>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Times New Roman"/>
                <w:bCs/>
                <w:color w:val="auto"/>
                <w:kern w:val="0"/>
                <w:sz w:val="21"/>
                <w:szCs w:val="21"/>
                <w:highlight w:val="none"/>
                <w:lang w:val="en-US" w:eastAsia="zh-CN" w:bidi="ar-SA"/>
              </w:rPr>
              <w:t>（投标文件中须附加盖公章的证书复印件）</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855" w:type="dxa"/>
            <w:vMerge w:val="continue"/>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p>
        </w:tc>
        <w:tc>
          <w:tcPr>
            <w:tcW w:w="6792" w:type="dxa"/>
            <w:gridSpan w:val="2"/>
            <w:noWrap w:val="0"/>
            <w:vAlign w:val="center"/>
          </w:tcPr>
          <w:p>
            <w:pPr>
              <w:widowControl/>
              <w:spacing w:line="240" w:lineRule="auto"/>
              <w:ind w:firstLine="0" w:firstLineChars="0"/>
              <w:jc w:val="both"/>
              <w:rPr>
                <w:rFonts w:hint="eastAsia" w:ascii="宋体" w:hAnsi="宋体" w:eastAsia="宋体" w:cs="Times New Roman"/>
                <w:bCs/>
                <w:color w:val="auto"/>
                <w:kern w:val="0"/>
                <w:sz w:val="21"/>
                <w:szCs w:val="21"/>
                <w:highlight w:val="none"/>
                <w:lang w:val="en-US" w:eastAsia="zh-CN" w:bidi="ar-SA"/>
              </w:rPr>
            </w:pPr>
            <w:r>
              <w:rPr>
                <w:rFonts w:hint="eastAsia" w:ascii="宋体" w:hAnsi="宋体" w:cs="宋体"/>
                <w:color w:val="auto"/>
                <w:szCs w:val="21"/>
                <w:highlight w:val="none"/>
                <w:lang w:val="en-US" w:eastAsia="zh-CN"/>
              </w:rPr>
              <w:t>11.4供应商</w:t>
            </w:r>
            <w:r>
              <w:rPr>
                <w:rFonts w:hint="eastAsia" w:ascii="宋体" w:hAnsi="宋体" w:cs="宋体"/>
                <w:color w:val="auto"/>
                <w:szCs w:val="21"/>
                <w:highlight w:val="none"/>
              </w:rPr>
              <w:t>具有</w:t>
            </w:r>
            <w:r>
              <w:rPr>
                <w:rFonts w:hint="eastAsia" w:ascii="宋体" w:hAnsi="宋体" w:eastAsia="宋体" w:cs="宋体"/>
                <w:i w:val="0"/>
                <w:iCs w:val="0"/>
                <w:color w:val="auto"/>
                <w:kern w:val="0"/>
                <w:sz w:val="21"/>
                <w:szCs w:val="21"/>
                <w:highlight w:val="none"/>
                <w:u w:val="none"/>
                <w:lang w:val="en-US" w:eastAsia="zh-CN" w:bidi="ar-SA"/>
              </w:rPr>
              <w:t>有效期内的环境管理体系认证证书</w:t>
            </w:r>
            <w:r>
              <w:rPr>
                <w:rFonts w:hint="eastAsia" w:ascii="宋体" w:hAnsi="宋体" w:cs="宋体"/>
                <w:color w:val="auto"/>
                <w:szCs w:val="21"/>
                <w:highlight w:val="none"/>
              </w:rPr>
              <w:t>的</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eastAsia="宋体" w:cs="Times New Roman"/>
                <w:bCs/>
                <w:color w:val="auto"/>
                <w:kern w:val="0"/>
                <w:sz w:val="21"/>
                <w:szCs w:val="21"/>
                <w:highlight w:val="none"/>
                <w:lang w:val="en-US" w:eastAsia="zh-CN" w:bidi="ar-SA"/>
              </w:rPr>
              <w:t>（投标文件中须附加盖公章的证书复印件）</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1"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647" w:type="dxa"/>
            <w:gridSpan w:val="3"/>
            <w:noWrap w:val="0"/>
            <w:vAlign w:val="center"/>
          </w:tcPr>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12、供应商是国家认定的不发达地区或少数民族地区企业的得1分。</w:t>
            </w:r>
          </w:p>
        </w:tc>
        <w:tc>
          <w:tcPr>
            <w:tcW w:w="549" w:type="dxa"/>
            <w:noWrap w:val="0"/>
            <w:vAlign w:val="center"/>
          </w:tcPr>
          <w:p>
            <w:pPr>
              <w:jc w:val="center"/>
              <w:textAlignment w:val="center"/>
              <w:rPr>
                <w:rFonts w:hint="default" w:ascii="宋体" w:hAnsi="宋体" w:eastAsia="宋体" w:cs="宋体"/>
                <w:color w:val="auto"/>
                <w:kern w:val="2"/>
                <w:sz w:val="21"/>
                <w:szCs w:val="21"/>
                <w:highlight w:val="none"/>
                <w:lang w:val="en-US" w:eastAsia="zh-CN" w:bidi="ar"/>
              </w:rPr>
            </w:pPr>
            <w:r>
              <w:rPr>
                <w:rFonts w:hint="eastAsia" w:ascii="宋体" w:hAnsi="宋体" w:eastAsia="宋体" w:cs="宋体"/>
                <w:color w:val="auto"/>
                <w:szCs w:val="21"/>
                <w:highlight w:val="none"/>
                <w:lang w:val="en-US" w:eastAsia="zh-CN" w:bidi="ar"/>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价格分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15</w:t>
            </w:r>
            <w:r>
              <w:rPr>
                <w:rFonts w:hint="eastAsia" w:ascii="宋体" w:hAnsi="宋体" w:eastAsia="宋体" w:cs="Times New Roman"/>
                <w:bCs/>
                <w:color w:val="auto"/>
                <w:kern w:val="0"/>
                <w:sz w:val="21"/>
                <w:szCs w:val="21"/>
                <w:highlight w:val="none"/>
                <w:lang w:val="en-US" w:eastAsia="zh-CN" w:bidi="ar-SA"/>
              </w:rPr>
              <w:t>分</w:t>
            </w:r>
          </w:p>
        </w:tc>
        <w:tc>
          <w:tcPr>
            <w:tcW w:w="8196" w:type="dxa"/>
            <w:gridSpan w:val="4"/>
            <w:noWrap w:val="0"/>
            <w:vAlign w:val="top"/>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参与评审的价格=投标报价-小微企业优惠（如有）；</w:t>
            </w:r>
          </w:p>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满足采购要求的有效投标且参与评审的价格最低的参与评审的价格为评标基准价，得</w:t>
            </w:r>
            <w:r>
              <w:rPr>
                <w:rFonts w:hint="eastAsia" w:ascii="宋体" w:hAnsi="宋体" w:cs="Times New Roman"/>
                <w:bCs/>
                <w:color w:val="auto"/>
                <w:kern w:val="0"/>
                <w:sz w:val="21"/>
                <w:szCs w:val="21"/>
                <w:highlight w:val="none"/>
                <w:lang w:val="en-US" w:eastAsia="zh-CN" w:bidi="ar-SA"/>
              </w:rPr>
              <w:t>15</w:t>
            </w:r>
            <w:r>
              <w:rPr>
                <w:rFonts w:hint="eastAsia" w:ascii="宋体" w:hAnsi="宋体" w:eastAsia="宋体" w:cs="Times New Roman"/>
                <w:bCs/>
                <w:color w:val="auto"/>
                <w:kern w:val="0"/>
                <w:sz w:val="21"/>
                <w:szCs w:val="21"/>
                <w:highlight w:val="none"/>
                <w:lang w:val="en-US" w:eastAsia="zh-CN" w:bidi="ar-SA"/>
              </w:rPr>
              <w:t>分；</w:t>
            </w:r>
          </w:p>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其他投标报价得分计算公式如下：投标报价得分=（评标基准价/参与评审的价格）×</w:t>
            </w:r>
            <w:r>
              <w:rPr>
                <w:rFonts w:hint="eastAsia" w:ascii="宋体" w:hAnsi="宋体" w:cs="Times New Roman"/>
                <w:bCs/>
                <w:color w:val="auto"/>
                <w:kern w:val="0"/>
                <w:sz w:val="21"/>
                <w:szCs w:val="21"/>
                <w:highlight w:val="none"/>
                <w:lang w:val="en-US" w:eastAsia="zh-CN" w:bidi="ar-SA"/>
              </w:rPr>
              <w:t>15</w:t>
            </w:r>
            <w:r>
              <w:rPr>
                <w:rFonts w:hint="eastAsia" w:ascii="宋体" w:hAnsi="宋体" w:eastAsia="宋体" w:cs="Times New Roman"/>
                <w:bCs/>
                <w:color w:val="auto"/>
                <w:kern w:val="0"/>
                <w:sz w:val="21"/>
                <w:szCs w:val="21"/>
                <w:highlight w:val="none"/>
                <w:lang w:val="en-US" w:eastAsia="zh-CN" w:bidi="ar-SA"/>
              </w:rPr>
              <w:t>%×100。</w:t>
            </w:r>
          </w:p>
        </w:tc>
      </w:tr>
    </w:tbl>
    <w:p>
      <w:pPr>
        <w:snapToGrid w:val="0"/>
        <w:spacing w:line="360" w:lineRule="auto"/>
        <w:rPr>
          <w:rFonts w:hint="eastAsia" w:ascii="宋体" w:hAnsi="宋体" w:cs="宋体"/>
          <w:b/>
          <w:color w:val="auto"/>
          <w:szCs w:val="21"/>
          <w:highlight w:val="none"/>
        </w:rPr>
      </w:pPr>
      <w:r>
        <w:rPr>
          <w:rFonts w:hint="eastAsia" w:ascii="宋体" w:hAnsi="宋体" w:cs="宋体"/>
          <w:color w:val="auto"/>
          <w:szCs w:val="21"/>
          <w:highlight w:val="none"/>
        </w:rPr>
        <w:t>注：1、小数点后保留</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位数。2、各评标委员会成员自行按以上参考分值评分。3、重大事件由评标委员会集体讨论</w:t>
      </w:r>
      <w:r>
        <w:rPr>
          <w:rFonts w:hint="eastAsia" w:ascii="宋体" w:hAnsi="宋体" w:cs="宋体"/>
          <w:bCs/>
          <w:color w:val="auto"/>
          <w:highlight w:val="none"/>
        </w:rPr>
        <w:t>，以少数服从多数原则决定。</w:t>
      </w:r>
    </w:p>
    <w:p>
      <w:pPr>
        <w:snapToGrid w:val="0"/>
        <w:spacing w:line="360" w:lineRule="auto"/>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评委签字：                                            年  月   日</w:t>
      </w:r>
    </w:p>
    <w:p>
      <w:pPr>
        <w:pStyle w:val="25"/>
        <w:snapToGrid w:val="0"/>
        <w:spacing w:before="0" w:beforeLines="0" w:after="0" w:afterLines="0" w:line="360" w:lineRule="auto"/>
        <w:rPr>
          <w:rFonts w:hAnsi="宋体" w:cs="宋体"/>
          <w:b/>
          <w:color w:val="auto"/>
          <w:highlight w:val="none"/>
        </w:rPr>
      </w:pPr>
      <w:bookmarkStart w:id="102" w:name="_Toc9029"/>
      <w:bookmarkStart w:id="103" w:name="_Toc14242"/>
      <w:r>
        <w:rPr>
          <w:rFonts w:hAnsi="宋体" w:cs="宋体"/>
          <w:b/>
          <w:color w:val="auto"/>
          <w:highlight w:val="none"/>
        </w:rPr>
        <w:t>六、定标</w:t>
      </w:r>
      <w:bookmarkEnd w:id="102"/>
    </w:p>
    <w:p>
      <w:pPr>
        <w:pStyle w:val="25"/>
        <w:snapToGrid w:val="0"/>
        <w:spacing w:before="0" w:beforeLines="0" w:after="0" w:afterLines="0" w:line="360" w:lineRule="auto"/>
        <w:ind w:firstLine="413" w:firstLineChars="196"/>
        <w:rPr>
          <w:rFonts w:hAnsi="宋体" w:cs="宋体"/>
          <w:b/>
          <w:bCs/>
          <w:color w:val="auto"/>
          <w:highlight w:val="none"/>
        </w:rPr>
      </w:pPr>
      <w:r>
        <w:rPr>
          <w:rFonts w:hAnsi="宋体" w:cs="宋体"/>
          <w:b/>
          <w:bCs/>
          <w:color w:val="auto"/>
          <w:highlight w:val="none"/>
        </w:rPr>
        <w:t>（一）确定</w:t>
      </w:r>
      <w:r>
        <w:rPr>
          <w:rFonts w:hint="eastAsia" w:hAnsi="宋体" w:cs="宋体"/>
          <w:b/>
          <w:bCs/>
          <w:color w:val="auto"/>
          <w:highlight w:val="none"/>
          <w:lang w:eastAsia="zh-CN"/>
        </w:rPr>
        <w:t>中标人</w:t>
      </w:r>
      <w:r>
        <w:rPr>
          <w:rFonts w:hAnsi="宋体" w:cs="宋体"/>
          <w:b/>
          <w:bCs/>
          <w:color w:val="auto"/>
          <w:highlight w:val="none"/>
        </w:rPr>
        <w:t>。本项目由采购人（或采购人事先授权评标委员会）确定</w:t>
      </w:r>
      <w:r>
        <w:rPr>
          <w:rFonts w:hint="eastAsia" w:hAnsi="宋体" w:cs="宋体"/>
          <w:b/>
          <w:bCs/>
          <w:color w:val="auto"/>
          <w:highlight w:val="none"/>
          <w:lang w:eastAsia="zh-CN"/>
        </w:rPr>
        <w:t>中标人</w:t>
      </w:r>
      <w:r>
        <w:rPr>
          <w:rFonts w:hAnsi="宋体" w:cs="宋体"/>
          <w:b/>
          <w:bCs/>
          <w:color w:val="auto"/>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2.供应商对评标结果无异议的，采购人应在收到评标报告后5个工作日内对评标结果进行确认，按评标报告推荐的顺序确定排名</w:t>
      </w:r>
      <w:r>
        <w:rPr>
          <w:rFonts w:hint="eastAsia" w:ascii="宋体" w:hAnsi="宋体" w:cs="宋体"/>
          <w:color w:val="auto"/>
          <w:szCs w:val="21"/>
          <w:highlight w:val="none"/>
          <w:lang w:val="en-US" w:eastAsia="zh-CN"/>
        </w:rPr>
        <w:t>第一</w:t>
      </w:r>
      <w:r>
        <w:rPr>
          <w:rFonts w:hint="eastAsia" w:ascii="宋体" w:hAnsi="宋体" w:cs="宋体"/>
          <w:color w:val="auto"/>
          <w:szCs w:val="21"/>
          <w:highlight w:val="none"/>
        </w:rPr>
        <w:t>的中标候选人为中标人。如有供应商对评标结果提出质疑的，采购人可在质疑处理完毕后确定</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3.采购人依法确定</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后2个工作日内，采购代理机构以书面形式发出《中标通知书》,并同时在相关网站上发布中标公告。</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rPr>
        <w:t>4.</w:t>
      </w:r>
      <w:r>
        <w:rPr>
          <w:rFonts w:hint="eastAsia" w:ascii="宋体" w:hAnsi="宋体" w:cs="宋体"/>
          <w:color w:val="auto"/>
          <w:szCs w:val="21"/>
          <w:highlight w:val="none"/>
          <w:lang w:bidi="ar"/>
        </w:rPr>
        <w:t>若</w:t>
      </w:r>
      <w:r>
        <w:rPr>
          <w:rFonts w:hint="eastAsia" w:ascii="宋体" w:hAnsi="宋体" w:cs="宋体"/>
          <w:color w:val="auto"/>
          <w:szCs w:val="21"/>
          <w:highlight w:val="none"/>
          <w:lang w:eastAsia="zh-CN" w:bidi="ar"/>
        </w:rPr>
        <w:t>中标人</w:t>
      </w:r>
      <w:r>
        <w:rPr>
          <w:rFonts w:hint="eastAsia" w:ascii="宋体" w:hAnsi="宋体" w:cs="宋体"/>
          <w:color w:val="auto"/>
          <w:szCs w:val="21"/>
          <w:highlight w:val="none"/>
          <w:lang w:bidi="ar"/>
        </w:rPr>
        <w:t>放弃中标，或因不可抗力提出不能履行合同，或不按</w:t>
      </w:r>
      <w:r>
        <w:rPr>
          <w:rFonts w:hint="eastAsia" w:ascii="宋体" w:hAnsi="宋体" w:cs="宋体"/>
          <w:color w:val="auto"/>
          <w:szCs w:val="21"/>
          <w:highlight w:val="none"/>
          <w:lang w:eastAsia="zh-CN" w:bidi="ar"/>
        </w:rPr>
        <w:t>招标文件</w:t>
      </w:r>
      <w:r>
        <w:rPr>
          <w:rFonts w:hint="eastAsia" w:ascii="宋体" w:hAnsi="宋体" w:cs="宋体"/>
          <w:color w:val="auto"/>
          <w:szCs w:val="21"/>
          <w:highlight w:val="none"/>
          <w:lang w:bidi="ar"/>
        </w:rPr>
        <w:t>规定提交履约担保，或其它原因被依法撤销中标资格，则采购人可确定排名</w:t>
      </w:r>
      <w:r>
        <w:rPr>
          <w:rFonts w:hint="eastAsia" w:ascii="宋体" w:hAnsi="宋体" w:cs="宋体"/>
          <w:color w:val="auto"/>
          <w:szCs w:val="21"/>
          <w:highlight w:val="none"/>
          <w:lang w:val="en-US" w:eastAsia="zh-CN" w:bidi="ar"/>
        </w:rPr>
        <w:t>次之</w:t>
      </w:r>
      <w:r>
        <w:rPr>
          <w:rFonts w:hint="eastAsia" w:ascii="宋体" w:hAnsi="宋体" w:cs="宋体"/>
          <w:color w:val="auto"/>
          <w:szCs w:val="21"/>
          <w:highlight w:val="none"/>
          <w:lang w:bidi="ar"/>
        </w:rPr>
        <w:t>的中标候选人为中标人或重新组织招标。</w:t>
      </w:r>
    </w:p>
    <w:p>
      <w:pPr>
        <w:snapToGrid w:val="0"/>
        <w:spacing w:line="360" w:lineRule="auto"/>
        <w:ind w:firstLine="422" w:firstLineChars="200"/>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hint="eastAsia" w:ascii="宋体" w:hAnsi="宋体" w:cs="宋体"/>
          <w:b/>
          <w:bCs/>
          <w:color w:val="auto"/>
          <w:szCs w:val="21"/>
          <w:highlight w:val="none"/>
        </w:rPr>
      </w:pPr>
      <w:bookmarkStart w:id="104" w:name="_Toc17747"/>
      <w:r>
        <w:rPr>
          <w:rFonts w:hint="eastAsia" w:ascii="宋体" w:hAnsi="宋体" w:cs="宋体"/>
          <w:b/>
          <w:color w:val="auto"/>
          <w:szCs w:val="21"/>
          <w:highlight w:val="none"/>
        </w:rPr>
        <w:t>八、合同授予</w:t>
      </w:r>
      <w:bookmarkEnd w:id="104"/>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和中标人投标文件的规定，与中标人签订书面合同。所签订的合同不得对</w:t>
      </w:r>
      <w:r>
        <w:rPr>
          <w:rFonts w:hint="eastAsia" w:ascii="宋体" w:hAnsi="宋体" w:cs="宋体"/>
          <w:color w:val="auto"/>
          <w:kern w:val="0"/>
          <w:szCs w:val="21"/>
          <w:highlight w:val="none"/>
          <w:lang w:eastAsia="zh-CN"/>
        </w:rPr>
        <w:t>招标文件</w:t>
      </w:r>
      <w:r>
        <w:rPr>
          <w:rFonts w:hint="eastAsia" w:ascii="宋体" w:hAnsi="宋体" w:cs="宋体"/>
          <w:color w:val="auto"/>
          <w:kern w:val="0"/>
          <w:szCs w:val="21"/>
          <w:highlight w:val="none"/>
        </w:rPr>
        <w:t>确定的事项和中标人投标文件作实质性修改。</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25"/>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5"/>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3</w:t>
      </w:r>
      <w:r>
        <w:rPr>
          <w:rFonts w:hAnsi="宋体" w:cs="宋体"/>
          <w:color w:val="auto"/>
          <w:highlight w:val="none"/>
        </w:rPr>
        <w:t>.</w:t>
      </w:r>
      <w:r>
        <w:rPr>
          <w:rFonts w:hint="eastAsia" w:hAnsi="宋体" w:cs="宋体"/>
          <w:bCs/>
          <w:color w:val="auto"/>
          <w:highlight w:val="none"/>
          <w:lang w:eastAsia="zh-CN"/>
        </w:rPr>
        <w:t>招标文件</w:t>
      </w:r>
      <w:r>
        <w:rPr>
          <w:rFonts w:hAnsi="宋体" w:cs="宋体"/>
          <w:bCs/>
          <w:color w:val="auto"/>
          <w:highlight w:val="none"/>
        </w:rPr>
        <w:t>、</w:t>
      </w:r>
      <w:r>
        <w:rPr>
          <w:rFonts w:hint="eastAsia" w:hAnsi="宋体" w:cs="宋体"/>
          <w:bCs/>
          <w:color w:val="auto"/>
          <w:highlight w:val="none"/>
          <w:lang w:eastAsia="zh-CN"/>
        </w:rPr>
        <w:t>中标人</w:t>
      </w:r>
      <w:r>
        <w:rPr>
          <w:rFonts w:hAnsi="宋体" w:cs="宋体"/>
          <w:bCs/>
          <w:color w:val="auto"/>
          <w:highlight w:val="none"/>
        </w:rPr>
        <w:t>的投标文件及评标过程中有关的澄清文件均应作为合同签订的附件。</w:t>
      </w:r>
    </w:p>
    <w:p>
      <w:pPr>
        <w:pStyle w:val="25"/>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4</w:t>
      </w:r>
      <w:r>
        <w:rPr>
          <w:rFonts w:hAnsi="宋体" w:cs="宋体"/>
          <w:color w:val="auto"/>
          <w:highlight w:val="none"/>
        </w:rPr>
        <w:t>.</w:t>
      </w:r>
      <w:r>
        <w:rPr>
          <w:rFonts w:hAnsi="宋体" w:cs="宋体"/>
          <w:bCs/>
          <w:color w:val="auto"/>
          <w:highlight w:val="none"/>
        </w:rPr>
        <w:t>中标或者成交供应商拒绝与采购人签订合同的，采购人应重新招标。</w:t>
      </w:r>
    </w:p>
    <w:p>
      <w:pPr>
        <w:pStyle w:val="25"/>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5.中标人如不遵守</w:t>
      </w:r>
      <w:r>
        <w:rPr>
          <w:rFonts w:hint="eastAsia" w:hAnsi="宋体" w:cs="宋体"/>
          <w:bCs/>
          <w:color w:val="auto"/>
          <w:highlight w:val="none"/>
          <w:lang w:eastAsia="zh-CN"/>
        </w:rPr>
        <w:t>招标文件</w:t>
      </w:r>
      <w:r>
        <w:rPr>
          <w:rFonts w:hAnsi="宋体" w:cs="宋体"/>
          <w:bCs/>
          <w:color w:val="auto"/>
          <w:highlight w:val="none"/>
        </w:rPr>
        <w:t>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九、履约验收：</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采购人负责对</w:t>
      </w:r>
      <w:r>
        <w:rPr>
          <w:rFonts w:hint="eastAsia" w:ascii="宋体" w:hAnsi="宋体" w:cs="宋体"/>
          <w:bCs/>
          <w:color w:val="auto"/>
          <w:szCs w:val="21"/>
          <w:highlight w:val="none"/>
          <w:lang w:eastAsia="zh-CN"/>
        </w:rPr>
        <w:t>中标人</w:t>
      </w:r>
      <w:r>
        <w:rPr>
          <w:rFonts w:hint="eastAsia" w:ascii="宋体" w:hAnsi="宋体" w:cs="宋体"/>
          <w:bCs/>
          <w:color w:val="auto"/>
          <w:szCs w:val="21"/>
          <w:highlight w:val="none"/>
        </w:rPr>
        <w:t>的履约行为进行验收。政府向社会公众提供的公共服务项目，验收时应当邀请服务对象参与并出具意见，验收结果应当向社会公告。</w:t>
      </w:r>
    </w:p>
    <w:p>
      <w:pPr>
        <w:pStyle w:val="189"/>
        <w:spacing w:line="700" w:lineRule="exact"/>
        <w:ind w:firstLine="0" w:firstLineChars="0"/>
        <w:jc w:val="center"/>
        <w:outlineLvl w:val="0"/>
        <w:rPr>
          <w:rFonts w:hint="eastAsia" w:ascii="宋体" w:hAnsi="宋体" w:cs="宋体"/>
          <w:b/>
          <w:bCs/>
          <w:color w:val="auto"/>
          <w:sz w:val="32"/>
          <w:szCs w:val="32"/>
          <w:highlight w:val="none"/>
        </w:rPr>
      </w:pPr>
      <w:r>
        <w:rPr>
          <w:rFonts w:hint="eastAsia" w:ascii="宋体" w:hAnsi="宋体" w:cs="宋体"/>
          <w:bCs/>
          <w:color w:val="auto"/>
          <w:highlight w:val="none"/>
        </w:rPr>
        <w:br w:type="page"/>
      </w:r>
      <w:bookmarkStart w:id="105" w:name="_Toc21974"/>
      <w:r>
        <w:rPr>
          <w:rFonts w:hint="eastAsia" w:ascii="宋体" w:hAnsi="宋体" w:cs="宋体"/>
          <w:b/>
          <w:color w:val="auto"/>
          <w:sz w:val="32"/>
          <w:szCs w:val="32"/>
          <w:highlight w:val="none"/>
        </w:rPr>
        <w:t>第五章  政府采购合同主要条款</w:t>
      </w:r>
      <w:bookmarkEnd w:id="103"/>
      <w:bookmarkEnd w:id="105"/>
    </w:p>
    <w:p>
      <w:pPr>
        <w:widowControl w:val="0"/>
        <w:snapToGrid w:val="0"/>
        <w:spacing w:before="120" w:beforeLines="50" w:after="120" w:afterLines="50"/>
        <w:jc w:val="center"/>
        <w:rPr>
          <w:rFonts w:hint="eastAsia" w:ascii="宋体" w:hAnsi="宋体" w:eastAsia="宋体" w:cs="宋体"/>
          <w:b/>
          <w:bCs/>
          <w:color w:val="auto"/>
          <w:kern w:val="2"/>
          <w:sz w:val="30"/>
          <w:szCs w:val="32"/>
          <w:highlight w:val="none"/>
        </w:rPr>
      </w:pPr>
      <w:r>
        <w:rPr>
          <w:rFonts w:hint="eastAsia" w:ascii="宋体" w:hAnsi="宋体" w:eastAsia="宋体" w:cs="宋体"/>
          <w:b/>
          <w:color w:val="auto"/>
          <w:kern w:val="2"/>
          <w:sz w:val="30"/>
          <w:szCs w:val="32"/>
          <w:highlight w:val="none"/>
        </w:rPr>
        <w:t>采购合同（供参考）</w:t>
      </w:r>
    </w:p>
    <w:p>
      <w:pPr>
        <w:widowControl/>
        <w:spacing w:before="0" w:beforeLines="0" w:after="0" w:afterLines="0" w:line="360" w:lineRule="auto"/>
        <w:contextualSpacing/>
        <w:jc w:val="lef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（本合同条款为参考格式，具体由甲乙双方协商签订，与前款冲突之处以前款约定为准）</w:t>
      </w:r>
    </w:p>
    <w:p>
      <w:pPr>
        <w:widowControl/>
        <w:spacing w:before="0" w:beforeLines="0" w:after="0" w:afterLines="0" w:line="360" w:lineRule="auto"/>
        <w:contextualSpacing/>
        <w:jc w:val="left"/>
        <w:rPr>
          <w:rFonts w:hint="eastAsia" w:ascii="宋体" w:hAnsi="宋体" w:eastAsia="宋体" w:cs="宋体"/>
          <w:color w:val="auto"/>
          <w:kern w:val="2"/>
          <w:sz w:val="21"/>
          <w:szCs w:val="21"/>
          <w:highlight w:val="none"/>
          <w:lang w:val="en-US" w:eastAsia="zh-CN" w:bidi="ar-SA"/>
        </w:rPr>
      </w:pPr>
    </w:p>
    <w:p>
      <w:pPr>
        <w:widowControl w:val="0"/>
        <w:spacing w:line="360" w:lineRule="atLeas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甲方：</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（以下简称甲方）</w:t>
      </w:r>
    </w:p>
    <w:p>
      <w:pPr>
        <w:widowControl w:val="0"/>
        <w:spacing w:line="360" w:lineRule="atLeas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乙方：</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（以下简称乙方）</w:t>
      </w:r>
    </w:p>
    <w:p>
      <w:pPr>
        <w:widowControl w:val="0"/>
        <w:spacing w:line="360" w:lineRule="atLeast"/>
        <w:jc w:val="both"/>
        <w:rPr>
          <w:rFonts w:hint="eastAsia" w:ascii="宋体" w:hAnsi="宋体" w:eastAsia="宋体" w:cs="宋体"/>
          <w:color w:val="auto"/>
          <w:kern w:val="2"/>
          <w:szCs w:val="21"/>
          <w:highlight w:val="none"/>
        </w:rPr>
      </w:pPr>
    </w:p>
    <w:p>
      <w:pPr>
        <w:widowControl w:val="0"/>
        <w:spacing w:line="360" w:lineRule="auto"/>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kern w:val="2"/>
          <w:szCs w:val="21"/>
          <w:highlight w:val="none"/>
          <w:u w:val="single"/>
        </w:rPr>
        <w:t>项目名称（项目编号：   ）</w:t>
      </w:r>
      <w:r>
        <w:rPr>
          <w:rFonts w:hint="eastAsia" w:ascii="宋体" w:hAnsi="宋体" w:eastAsia="宋体" w:cs="宋体"/>
          <w:color w:val="auto"/>
          <w:kern w:val="2"/>
          <w:szCs w:val="21"/>
          <w:highlight w:val="none"/>
        </w:rPr>
        <w:t xml:space="preserve">于 </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年</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月</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日，在</w:t>
      </w:r>
      <w:r>
        <w:rPr>
          <w:rFonts w:hint="eastAsia" w:ascii="宋体" w:hAnsi="宋体" w:eastAsia="宋体" w:cs="宋体"/>
          <w:color w:val="auto"/>
          <w:kern w:val="2"/>
          <w:szCs w:val="21"/>
          <w:highlight w:val="none"/>
          <w:lang w:val="en-US" w:eastAsia="zh-CN"/>
        </w:rPr>
        <w:t>海曙区</w:t>
      </w:r>
      <w:r>
        <w:rPr>
          <w:rFonts w:hint="eastAsia" w:ascii="宋体" w:hAnsi="宋体" w:eastAsia="宋体" w:cs="宋体"/>
          <w:color w:val="auto"/>
          <w:kern w:val="2"/>
          <w:szCs w:val="21"/>
          <w:highlight w:val="none"/>
        </w:rPr>
        <w:t>公共资源交易中心进行公开招标，确定由乙方中标。按照《中华人民共和国</w:t>
      </w:r>
      <w:r>
        <w:rPr>
          <w:rFonts w:hint="eastAsia" w:ascii="宋体" w:hAnsi="宋体" w:cs="宋体"/>
          <w:color w:val="auto"/>
          <w:kern w:val="2"/>
          <w:szCs w:val="21"/>
          <w:highlight w:val="none"/>
          <w:lang w:val="en-US" w:eastAsia="zh-CN"/>
        </w:rPr>
        <w:t>民法典</w:t>
      </w:r>
      <w:r>
        <w:rPr>
          <w:rFonts w:hint="eastAsia" w:ascii="宋体" w:hAnsi="宋体" w:eastAsia="宋体" w:cs="宋体"/>
          <w:color w:val="auto"/>
          <w:kern w:val="2"/>
          <w:szCs w:val="21"/>
          <w:highlight w:val="none"/>
        </w:rPr>
        <w:t>》的有关规定，在自愿、平等、公平、诚信的基础上，经双方协商一致，签订本合同。</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下述文件作为附件，是合同的一部分，并与本合同一起阅读和解释：</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a.招标文件；</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b.投标文件及澄清文件；</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c.中标通知书；</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上述文件与合同若有不一致之处，优先次序第一应为合同、第二应为附件(附件的优先次序为 c,b,a)。</w:t>
      </w:r>
    </w:p>
    <w:p>
      <w:pPr>
        <w:widowControl w:val="0"/>
        <w:snapToGrid w:val="0"/>
        <w:spacing w:before="120" w:beforeLines="50" w:after="120" w:afterLines="50" w:line="400" w:lineRule="exact"/>
        <w:jc w:val="both"/>
        <w:rPr>
          <w:rFonts w:hint="default"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一、合同履行期限、服务内容、运维范围</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 合同履行期限：合同签订之日起至五年，合同一年一签。甲方根据乙方在合同履约期内的履约情况及财政资金审批情况决定是否续签。本合同自2022年  月  日至2023年  月  日。</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服务内容：乙方负责5年内的系统运行维护以及相关设备的更换更新，确保监控图像在线率到达预期要求。运行维护期内乙方负责包括设备的质保、系统的巡检、故障的修复、设备的更新更换、重大活动的保障。</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1.3运维范围</w:t>
      </w:r>
    </w:p>
    <w:p>
      <w:pPr>
        <w:keepNext w:val="0"/>
        <w:keepLines w:val="0"/>
        <w:pageBreakBefore w:val="0"/>
        <w:wordWrap/>
        <w:topLinePunct w:val="0"/>
        <w:bidi w:val="0"/>
        <w:spacing w:beforeLines="0" w:afterLines="0" w:line="360" w:lineRule="auto"/>
        <w:ind w:firstLine="392" w:firstLineChars="187"/>
        <w:rPr>
          <w:rStyle w:val="217"/>
          <w:rFonts w:hint="eastAsia" w:ascii="宋体" w:hAnsi="宋体" w:eastAsia="宋体" w:cs="仿宋_GB2312"/>
          <w:color w:val="auto"/>
          <w:sz w:val="21"/>
          <w:szCs w:val="21"/>
          <w:highlight w:val="none"/>
          <w:lang w:val="zh-CN" w:eastAsia="zh-CN"/>
        </w:rPr>
      </w:pPr>
      <w:r>
        <w:rPr>
          <w:rStyle w:val="217"/>
          <w:rFonts w:hint="eastAsia" w:ascii="宋体" w:hAnsi="宋体" w:eastAsia="宋体" w:cs="仿宋_GB2312"/>
          <w:color w:val="auto"/>
          <w:sz w:val="21"/>
          <w:szCs w:val="21"/>
          <w:highlight w:val="none"/>
          <w:lang w:val="zh-CN" w:eastAsia="zh-CN"/>
        </w:rPr>
        <w:t>本项目运维服务对象包括</w:t>
      </w:r>
      <w:r>
        <w:rPr>
          <w:rStyle w:val="217"/>
          <w:rFonts w:hint="eastAsia" w:ascii="宋体" w:hAnsi="宋体" w:eastAsia="宋体" w:cs="仿宋_GB2312"/>
          <w:color w:val="auto"/>
          <w:sz w:val="21"/>
          <w:szCs w:val="21"/>
          <w:highlight w:val="none"/>
          <w:lang w:val="en-US" w:eastAsia="zh-CN"/>
        </w:rPr>
        <w:t>本项目</w:t>
      </w:r>
      <w:r>
        <w:rPr>
          <w:rStyle w:val="217"/>
          <w:rFonts w:hint="eastAsia" w:ascii="宋体" w:hAnsi="宋体" w:eastAsia="宋体" w:cs="仿宋_GB2312"/>
          <w:color w:val="auto"/>
          <w:sz w:val="21"/>
          <w:szCs w:val="21"/>
          <w:highlight w:val="none"/>
          <w:lang w:val="zh-CN" w:eastAsia="zh-CN"/>
        </w:rPr>
        <w:t>所包含的各项内容，具体包括前端设备、网络平台、硬件平台、软件平台、数据等内容。</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前端设备：是指前端摄像机、护罩、云台、支架及其它相关配套附件、立杆、电源等。</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网络平台：是指为应用系统提供安全网络环境相关的网络设备，如光端机、光纤收发器、路由器、交换机、防火墙等。</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硬件平台：是指构成应用系统的计算机设备，如服务器、存储设备等。</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软件平台：是指安装运行在计算机硬件中，构成应用系统的软件程序，如系统软件、支持性软件、应用软件等。</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Times New Roman"/>
          <w:color w:val="auto"/>
          <w:szCs w:val="21"/>
          <w:highlight w:val="none"/>
          <w:lang w:val="zh-CN" w:eastAsia="zh-CN"/>
        </w:rPr>
      </w:pPr>
      <w:r>
        <w:rPr>
          <w:rFonts w:hint="eastAsia" w:ascii="宋体" w:hAnsi="宋体" w:eastAsia="宋体" w:cs="Times New Roman"/>
          <w:color w:val="auto"/>
          <w:szCs w:val="21"/>
          <w:highlight w:val="none"/>
          <w:lang w:val="zh-CN" w:eastAsia="zh-CN"/>
        </w:rPr>
        <w:t>数据：是指应用系统支持业务运行过程中产生的数据和信息。</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二、合同金额</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 本合同金额为（大写）：_______________________元（￥_______________元）人民币。</w:t>
      </w:r>
    </w:p>
    <w:p>
      <w:pPr>
        <w:widowControl w:val="0"/>
        <w:snapToGrid w:val="0"/>
        <w:spacing w:before="120" w:beforeLines="50" w:after="120" w:afterLines="50" w:line="400" w:lineRule="exact"/>
        <w:ind w:left="358" w:hanging="358" w:hangingChars="170"/>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三、履约保证金</w:t>
      </w:r>
    </w:p>
    <w:p>
      <w:pPr>
        <w:widowControl w:val="0"/>
        <w:snapToGrid w:val="0"/>
        <w:spacing w:before="120" w:beforeLines="50" w:after="120" w:afterLines="50" w:line="400" w:lineRule="exact"/>
        <w:ind w:left="357" w:hanging="357" w:hangingChars="17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 乙方交纳人民币</w:t>
      </w:r>
      <w:r>
        <w:rPr>
          <w:rFonts w:hint="eastAsia" w:ascii="宋体" w:hAnsi="宋体" w:eastAsia="宋体" w:cs="宋体"/>
          <w:b/>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元作为本合同的履约保证金。</w:t>
      </w:r>
    </w:p>
    <w:p>
      <w:pPr>
        <w:widowControl w:val="0"/>
        <w:snapToGrid w:val="0"/>
        <w:spacing w:before="120" w:beforeLines="50" w:after="120" w:afterLines="50"/>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lang w:val="en-US" w:eastAsia="zh-CN"/>
        </w:rPr>
        <w:t>四</w:t>
      </w:r>
      <w:r>
        <w:rPr>
          <w:rFonts w:hint="eastAsia" w:ascii="宋体" w:hAnsi="宋体" w:eastAsia="宋体" w:cs="宋体"/>
          <w:b/>
          <w:bCs/>
          <w:color w:val="auto"/>
          <w:kern w:val="2"/>
          <w:szCs w:val="21"/>
          <w:highlight w:val="none"/>
        </w:rPr>
        <w:t>、转包或分包</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.1本合同范围的</w:t>
      </w:r>
      <w:r>
        <w:rPr>
          <w:rFonts w:hint="eastAsia" w:ascii="宋体" w:hAnsi="宋体" w:eastAsia="宋体" w:cs="宋体"/>
          <w:color w:val="auto"/>
          <w:kern w:val="2"/>
          <w:szCs w:val="21"/>
          <w:highlight w:val="none"/>
          <w:lang w:val="en-US" w:eastAsia="zh-CN"/>
        </w:rPr>
        <w:t>服务</w:t>
      </w:r>
      <w:r>
        <w:rPr>
          <w:rFonts w:hint="eastAsia" w:ascii="宋体" w:hAnsi="宋体" w:eastAsia="宋体" w:cs="宋体"/>
          <w:color w:val="auto"/>
          <w:kern w:val="2"/>
          <w:szCs w:val="21"/>
          <w:highlight w:val="none"/>
        </w:rPr>
        <w:t>，应由乙方直接</w:t>
      </w:r>
      <w:r>
        <w:rPr>
          <w:rFonts w:hint="eastAsia" w:ascii="宋体" w:hAnsi="宋体" w:eastAsia="宋体" w:cs="宋体"/>
          <w:color w:val="auto"/>
          <w:kern w:val="2"/>
          <w:szCs w:val="21"/>
          <w:highlight w:val="none"/>
          <w:lang w:val="en-US" w:eastAsia="zh-CN"/>
        </w:rPr>
        <w:t>提供</w:t>
      </w:r>
      <w:r>
        <w:rPr>
          <w:rFonts w:hint="eastAsia" w:ascii="宋体" w:hAnsi="宋体" w:eastAsia="宋体" w:cs="宋体"/>
          <w:color w:val="auto"/>
          <w:kern w:val="2"/>
          <w:szCs w:val="21"/>
          <w:highlight w:val="none"/>
        </w:rPr>
        <w:t>，不得转让他人；</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.2 除非得到甲方的书面同意，乙方不得部分分包给他人。</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.3如有转让和未经甲方同意的分包行为，甲方有权给予终止合同。</w:t>
      </w:r>
    </w:p>
    <w:p>
      <w:pPr>
        <w:widowControl w:val="0"/>
        <w:snapToGrid w:val="0"/>
        <w:spacing w:before="120" w:beforeLines="50" w:after="120" w:afterLines="50" w:line="400" w:lineRule="exact"/>
        <w:jc w:val="both"/>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五、税</w:t>
      </w:r>
    </w:p>
    <w:p>
      <w:pPr>
        <w:widowControl w:val="0"/>
        <w:snapToGrid w:val="0"/>
        <w:spacing w:before="120" w:beforeLines="50" w:after="120" w:afterLines="50"/>
        <w:jc w:val="both"/>
        <w:rPr>
          <w:rFonts w:hint="default" w:ascii="宋体" w:hAnsi="宋体" w:eastAsia="宋体" w:cs="宋体"/>
          <w:color w:val="auto"/>
          <w:kern w:val="2"/>
          <w:szCs w:val="21"/>
          <w:highlight w:val="none"/>
          <w:lang w:val="en-US" w:eastAsia="zh-CN"/>
        </w:rPr>
      </w:pPr>
      <w:r>
        <w:rPr>
          <w:rFonts w:hint="eastAsia" w:ascii="宋体" w:hAnsi="宋体" w:eastAsia="宋体" w:cs="宋体"/>
          <w:color w:val="auto"/>
          <w:kern w:val="2"/>
          <w:sz w:val="21"/>
          <w:szCs w:val="21"/>
          <w:highlight w:val="none"/>
          <w:lang w:val="en-US" w:eastAsia="zh-CN" w:bidi="ar-SA"/>
        </w:rPr>
        <w:t>5.1 本合同执行中相关的一切税费均由乙方负担。</w:t>
      </w:r>
    </w:p>
    <w:p>
      <w:pPr>
        <w:widowControl w:val="0"/>
        <w:snapToGrid w:val="0"/>
        <w:spacing w:before="120" w:beforeLines="50" w:after="120" w:afterLines="50" w:line="400" w:lineRule="exact"/>
        <w:jc w:val="both"/>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六、</w:t>
      </w:r>
      <w:r>
        <w:rPr>
          <w:rFonts w:hint="eastAsia" w:ascii="宋体" w:hAnsi="宋体" w:eastAsia="宋体" w:cs="仿宋_GB2312"/>
          <w:b/>
          <w:bCs/>
          <w:color w:val="auto"/>
          <w:sz w:val="21"/>
          <w:szCs w:val="21"/>
          <w:highlight w:val="none"/>
          <w:lang w:eastAsia="zh-CN"/>
        </w:rPr>
        <w:t>运维考核指标</w:t>
      </w:r>
    </w:p>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6.1 前端运维技术考核指标</w:t>
      </w:r>
    </w:p>
    <w:p>
      <w:pPr>
        <w:widowControl/>
        <w:spacing w:line="360" w:lineRule="auto"/>
        <w:ind w:firstLine="420" w:firstLineChars="200"/>
        <w:jc w:val="left"/>
        <w:rPr>
          <w:rFonts w:hint="eastAsia" w:ascii="宋体" w:hAnsi="宋体" w:cs="仿宋_GB2312"/>
          <w:color w:val="auto"/>
          <w:szCs w:val="21"/>
          <w:highlight w:val="none"/>
        </w:rPr>
      </w:pPr>
      <w:r>
        <w:rPr>
          <w:rFonts w:hint="eastAsia" w:ascii="宋体" w:hAnsi="宋体" w:cs="仿宋_GB2312"/>
          <w:color w:val="auto"/>
          <w:szCs w:val="21"/>
          <w:highlight w:val="none"/>
          <w:lang w:val="en-US" w:eastAsia="zh-CN"/>
        </w:rPr>
        <w:t>乙方</w:t>
      </w:r>
      <w:r>
        <w:rPr>
          <w:rFonts w:hint="eastAsia" w:ascii="宋体" w:hAnsi="宋体" w:cs="仿宋_GB2312"/>
          <w:color w:val="auto"/>
          <w:szCs w:val="21"/>
          <w:highlight w:val="none"/>
        </w:rPr>
        <w:t>负责维护系统的日常运作，在运行维护期间，前端设备月均完好率需达到当年宁波市公安局下达的最低考核指标（</w:t>
      </w:r>
      <w:r>
        <w:rPr>
          <w:rFonts w:ascii="宋体" w:hAnsi="宋体" w:cs="仿宋_GB2312"/>
          <w:color w:val="auto"/>
          <w:szCs w:val="21"/>
          <w:highlight w:val="none"/>
        </w:rPr>
        <w:t>20</w:t>
      </w:r>
      <w:r>
        <w:rPr>
          <w:rFonts w:hint="eastAsia" w:ascii="宋体" w:hAnsi="宋体" w:cs="仿宋_GB2312"/>
          <w:color w:val="auto"/>
          <w:szCs w:val="21"/>
          <w:highlight w:val="none"/>
          <w:lang w:val="en-US" w:eastAsia="zh-CN"/>
        </w:rPr>
        <w:t>22</w:t>
      </w:r>
      <w:r>
        <w:rPr>
          <w:rFonts w:hint="eastAsia" w:ascii="宋体" w:hAnsi="宋体" w:cs="仿宋_GB2312"/>
          <w:color w:val="auto"/>
          <w:szCs w:val="21"/>
          <w:highlight w:val="none"/>
        </w:rPr>
        <w:t>年为</w:t>
      </w:r>
      <w:r>
        <w:rPr>
          <w:rFonts w:ascii="宋体" w:hAnsi="宋体" w:cs="仿宋_GB2312"/>
          <w:color w:val="auto"/>
          <w:szCs w:val="21"/>
          <w:highlight w:val="none"/>
        </w:rPr>
        <w:t>95%</w:t>
      </w:r>
      <w:r>
        <w:rPr>
          <w:rFonts w:hint="eastAsia" w:ascii="宋体" w:hAnsi="宋体" w:cs="仿宋_GB2312"/>
          <w:color w:val="auto"/>
          <w:szCs w:val="21"/>
          <w:highlight w:val="none"/>
        </w:rPr>
        <w:t>），月均设备完好率</w:t>
      </w:r>
      <w:r>
        <w:rPr>
          <w:rFonts w:ascii="宋体" w:hAnsi="宋体" w:cs="仿宋_GB2312"/>
          <w:color w:val="auto"/>
          <w:szCs w:val="21"/>
          <w:highlight w:val="none"/>
        </w:rPr>
        <w:t>=</w:t>
      </w:r>
      <w:r>
        <w:rPr>
          <w:rFonts w:hint="eastAsia" w:ascii="宋体" w:hAnsi="宋体" w:cs="仿宋_GB2312"/>
          <w:color w:val="auto"/>
          <w:szCs w:val="21"/>
          <w:highlight w:val="none"/>
        </w:rPr>
        <w:t>每月完好设备总台数</w:t>
      </w:r>
      <w:r>
        <w:rPr>
          <w:rFonts w:ascii="宋体" w:hAnsi="宋体" w:cs="仿宋_GB2312"/>
          <w:color w:val="auto"/>
          <w:szCs w:val="21"/>
          <w:highlight w:val="none"/>
        </w:rPr>
        <w:t>/</w:t>
      </w:r>
      <w:r>
        <w:rPr>
          <w:rFonts w:hint="eastAsia" w:ascii="宋体" w:hAnsi="宋体" w:cs="仿宋_GB2312"/>
          <w:color w:val="auto"/>
          <w:szCs w:val="21"/>
          <w:highlight w:val="none"/>
        </w:rPr>
        <w:t>设备总台数×</w:t>
      </w:r>
      <w:r>
        <w:rPr>
          <w:rFonts w:ascii="宋体" w:hAnsi="宋体" w:cs="仿宋_GB2312"/>
          <w:color w:val="auto"/>
          <w:szCs w:val="21"/>
          <w:highlight w:val="none"/>
        </w:rPr>
        <w:t>100</w:t>
      </w:r>
      <w:r>
        <w:rPr>
          <w:rFonts w:hint="eastAsia" w:ascii="宋体" w:hAnsi="宋体" w:cs="仿宋_GB2312"/>
          <w:color w:val="auto"/>
          <w:szCs w:val="21"/>
          <w:highlight w:val="none"/>
        </w:rPr>
        <w:t>％。</w:t>
      </w:r>
    </w:p>
    <w:tbl>
      <w:tblPr>
        <w:tblStyle w:val="47"/>
        <w:tblW w:w="0" w:type="auto"/>
        <w:jc w:val="center"/>
        <w:tblLayout w:type="fixed"/>
        <w:tblCellMar>
          <w:top w:w="0" w:type="dxa"/>
          <w:left w:w="108" w:type="dxa"/>
          <w:bottom w:w="0" w:type="dxa"/>
          <w:right w:w="108" w:type="dxa"/>
        </w:tblCellMar>
      </w:tblPr>
      <w:tblGrid>
        <w:gridCol w:w="703"/>
        <w:gridCol w:w="1734"/>
        <w:gridCol w:w="2205"/>
        <w:gridCol w:w="3737"/>
      </w:tblGrid>
      <w:tr>
        <w:tblPrEx>
          <w:tblCellMar>
            <w:top w:w="0" w:type="dxa"/>
            <w:left w:w="108" w:type="dxa"/>
            <w:bottom w:w="0" w:type="dxa"/>
            <w:right w:w="108" w:type="dxa"/>
          </w:tblCellMar>
        </w:tblPrEx>
        <w:trPr>
          <w:trHeight w:val="412"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考核内容</w:t>
            </w:r>
          </w:p>
        </w:tc>
        <w:tc>
          <w:tcPr>
            <w:tcW w:w="22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3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2042" w:hRule="atLeast"/>
          <w:jc w:val="center"/>
        </w:trPr>
        <w:tc>
          <w:tcPr>
            <w:tcW w:w="7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7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eastAsia="宋体" w:cs="仿宋_GB2312"/>
                <w:color w:val="auto"/>
                <w:szCs w:val="21"/>
                <w:highlight w:val="none"/>
              </w:rPr>
              <w:t>前端设备完好率</w:t>
            </w:r>
          </w:p>
        </w:tc>
        <w:tc>
          <w:tcPr>
            <w:tcW w:w="22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按宁波市公安局当年考核指标，</w:t>
            </w:r>
            <w:r>
              <w:rPr>
                <w:rFonts w:ascii="宋体" w:hAnsi="宋体" w:cs="仿宋_GB2312"/>
                <w:color w:val="auto"/>
                <w:kern w:val="0"/>
                <w:szCs w:val="21"/>
                <w:highlight w:val="none"/>
              </w:rPr>
              <w:t>20</w:t>
            </w:r>
            <w:r>
              <w:rPr>
                <w:rFonts w:hint="eastAsia" w:ascii="宋体" w:hAnsi="宋体" w:cs="仿宋_GB2312"/>
                <w:color w:val="auto"/>
                <w:kern w:val="0"/>
                <w:szCs w:val="21"/>
                <w:highlight w:val="none"/>
                <w:lang w:val="en-US" w:eastAsia="zh-CN"/>
              </w:rPr>
              <w:t>22</w:t>
            </w:r>
            <w:r>
              <w:rPr>
                <w:rFonts w:hint="eastAsia" w:ascii="宋体" w:hAnsi="宋体" w:cs="仿宋_GB2312"/>
                <w:color w:val="auto"/>
                <w:kern w:val="0"/>
                <w:szCs w:val="21"/>
                <w:highlight w:val="none"/>
              </w:rPr>
              <w:t>年为月均需达到</w:t>
            </w:r>
            <w:r>
              <w:rPr>
                <w:rFonts w:ascii="宋体" w:hAnsi="宋体" w:cs="仿宋_GB2312"/>
                <w:color w:val="auto"/>
                <w:kern w:val="0"/>
                <w:szCs w:val="21"/>
                <w:highlight w:val="none"/>
              </w:rPr>
              <w:t>95%</w:t>
            </w:r>
            <w:r>
              <w:rPr>
                <w:rFonts w:hint="eastAsia" w:ascii="宋体" w:hAnsi="宋体" w:cs="仿宋_GB2312"/>
                <w:color w:val="auto"/>
                <w:kern w:val="0"/>
                <w:szCs w:val="21"/>
                <w:highlight w:val="none"/>
              </w:rPr>
              <w:t>以上，包括摄像机、镜头、杆件、防护罩、云台、机箱等的完好</w:t>
            </w:r>
          </w:p>
        </w:tc>
        <w:tc>
          <w:tcPr>
            <w:tcW w:w="37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lang w:val="en-US" w:eastAsia="zh-CN"/>
              </w:rPr>
            </w:pPr>
            <w:r>
              <w:rPr>
                <w:rFonts w:hint="eastAsia" w:ascii="宋体" w:hAnsi="宋体" w:eastAsia="宋体" w:cs="仿宋_GB2312"/>
                <w:color w:val="auto"/>
                <w:kern w:val="0"/>
                <w:szCs w:val="21"/>
                <w:highlight w:val="none"/>
                <w:lang w:val="en-US" w:eastAsia="zh-CN"/>
              </w:rPr>
              <w:t>每下降一个百分点（含不到一个百分点），扣当年运维费1%；若一年中出现三次以上（含三次）达不到考核目标，甲方有权中止与乙方合同。</w:t>
            </w:r>
          </w:p>
        </w:tc>
      </w:tr>
      <w:tr>
        <w:tblPrEx>
          <w:tblCellMar>
            <w:top w:w="0" w:type="dxa"/>
            <w:left w:w="108" w:type="dxa"/>
            <w:bottom w:w="0" w:type="dxa"/>
            <w:right w:w="108" w:type="dxa"/>
          </w:tblCellMar>
        </w:tblPrEx>
        <w:trPr>
          <w:trHeight w:val="755" w:hRule="atLeast"/>
          <w:jc w:val="center"/>
        </w:trPr>
        <w:tc>
          <w:tcPr>
            <w:tcW w:w="7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7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摄像机清晰率</w:t>
            </w:r>
          </w:p>
        </w:tc>
        <w:tc>
          <w:tcPr>
            <w:tcW w:w="22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月均需达到96%以上</w:t>
            </w:r>
          </w:p>
        </w:tc>
        <w:tc>
          <w:tcPr>
            <w:tcW w:w="37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每下降一个百分点（含不到一个百分点）扣1000块</w:t>
            </w:r>
          </w:p>
        </w:tc>
      </w:tr>
    </w:tbl>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6.2后端运维技术考核指标</w:t>
      </w:r>
    </w:p>
    <w:tbl>
      <w:tblPr>
        <w:tblStyle w:val="47"/>
        <w:tblW w:w="0" w:type="auto"/>
        <w:jc w:val="center"/>
        <w:tblLayout w:type="fixed"/>
        <w:tblCellMar>
          <w:top w:w="0" w:type="dxa"/>
          <w:left w:w="108" w:type="dxa"/>
          <w:bottom w:w="0" w:type="dxa"/>
          <w:right w:w="108" w:type="dxa"/>
        </w:tblCellMar>
      </w:tblPr>
      <w:tblGrid>
        <w:gridCol w:w="720"/>
        <w:gridCol w:w="2117"/>
        <w:gridCol w:w="2231"/>
        <w:gridCol w:w="3311"/>
      </w:tblGrid>
      <w:tr>
        <w:tblPrEx>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2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考核内容</w:t>
            </w:r>
          </w:p>
        </w:tc>
        <w:tc>
          <w:tcPr>
            <w:tcW w:w="22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33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447"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后台设备完好率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99%</w:t>
            </w:r>
            <w:r>
              <w:rPr>
                <w:rFonts w:hint="eastAsia" w:ascii="宋体" w:hAnsi="宋体" w:cs="仿宋_GB2312"/>
                <w:color w:val="auto"/>
                <w:kern w:val="0"/>
                <w:szCs w:val="21"/>
                <w:highlight w:val="none"/>
              </w:rPr>
              <w:t>以上</w:t>
            </w:r>
          </w:p>
        </w:tc>
        <w:tc>
          <w:tcPr>
            <w:tcW w:w="3311"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每下降一个百分点（含不到一个百分点），扣当年运维费</w:t>
            </w:r>
            <w:r>
              <w:rPr>
                <w:rFonts w:hint="eastAsia" w:ascii="宋体" w:hAnsi="宋体" w:cs="仿宋_GB2312"/>
                <w:color w:val="auto"/>
                <w:kern w:val="0"/>
                <w:szCs w:val="21"/>
                <w:highlight w:val="none"/>
                <w:lang w:val="en-US" w:eastAsia="zh-CN"/>
              </w:rPr>
              <w:t>1</w:t>
            </w:r>
            <w:r>
              <w:rPr>
                <w:rFonts w:hint="eastAsia" w:ascii="宋体" w:hAnsi="宋体" w:cs="仿宋_GB2312"/>
                <w:color w:val="auto"/>
                <w:kern w:val="0"/>
                <w:szCs w:val="21"/>
                <w:highlight w:val="none"/>
              </w:rPr>
              <w:t>%；若一年中出现三次以上（含三次）达不到考核目标，</w:t>
            </w:r>
            <w:r>
              <w:rPr>
                <w:rFonts w:hint="eastAsia" w:ascii="宋体" w:hAnsi="宋体" w:cs="仿宋_GB2312"/>
                <w:color w:val="auto"/>
                <w:kern w:val="0"/>
                <w:szCs w:val="21"/>
                <w:highlight w:val="none"/>
                <w:lang w:val="en-US" w:eastAsia="zh-CN"/>
              </w:rPr>
              <w:t>甲方</w:t>
            </w:r>
            <w:r>
              <w:rPr>
                <w:rFonts w:hint="eastAsia" w:ascii="宋体" w:hAnsi="宋体" w:cs="仿宋_GB2312"/>
                <w:color w:val="auto"/>
                <w:kern w:val="0"/>
                <w:szCs w:val="21"/>
                <w:highlight w:val="none"/>
              </w:rPr>
              <w:t>有权中止与</w:t>
            </w: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rPr>
              <w:t>合同。</w:t>
            </w:r>
          </w:p>
        </w:tc>
      </w:tr>
      <w:tr>
        <w:tblPrEx>
          <w:tblCellMar>
            <w:top w:w="0" w:type="dxa"/>
            <w:left w:w="108" w:type="dxa"/>
            <w:bottom w:w="0" w:type="dxa"/>
            <w:right w:w="108" w:type="dxa"/>
          </w:tblCellMar>
        </w:tblPrEx>
        <w:trPr>
          <w:trHeight w:val="457"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视频专网完好率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100%</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503"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软件平台完好率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 xml:space="preserve"> 95%</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275" w:hRule="atLeast"/>
          <w:jc w:val="center"/>
        </w:trPr>
        <w:tc>
          <w:tcPr>
            <w:tcW w:w="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4</w:t>
            </w:r>
          </w:p>
        </w:tc>
        <w:tc>
          <w:tcPr>
            <w:tcW w:w="2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视频数据存储完整率</w:t>
            </w:r>
          </w:p>
        </w:tc>
        <w:tc>
          <w:tcPr>
            <w:tcW w:w="22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月均需达到</w:t>
            </w:r>
            <w:r>
              <w:rPr>
                <w:rFonts w:ascii="宋体" w:hAnsi="宋体" w:cs="仿宋_GB2312"/>
                <w:color w:val="auto"/>
                <w:kern w:val="0"/>
                <w:szCs w:val="21"/>
                <w:highlight w:val="none"/>
              </w:rPr>
              <w:t>99%</w:t>
            </w:r>
            <w:r>
              <w:rPr>
                <w:rFonts w:hint="eastAsia" w:ascii="宋体" w:hAnsi="宋体" w:cs="仿宋_GB2312"/>
                <w:color w:val="auto"/>
                <w:kern w:val="0"/>
                <w:szCs w:val="21"/>
                <w:highlight w:val="none"/>
              </w:rPr>
              <w:t>以上</w:t>
            </w:r>
          </w:p>
        </w:tc>
        <w:tc>
          <w:tcPr>
            <w:tcW w:w="33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6.3服务报告考核指标</w:t>
      </w:r>
    </w:p>
    <w:tbl>
      <w:tblPr>
        <w:tblStyle w:val="47"/>
        <w:tblpPr w:leftFromText="180" w:rightFromText="180" w:vertAnchor="text" w:horzAnchor="page" w:tblpXSpec="center" w:tblpY="60"/>
        <w:tblW w:w="0" w:type="auto"/>
        <w:jc w:val="center"/>
        <w:tblLayout w:type="fixed"/>
        <w:tblCellMar>
          <w:top w:w="0" w:type="dxa"/>
          <w:left w:w="108" w:type="dxa"/>
          <w:bottom w:w="0" w:type="dxa"/>
          <w:right w:w="108" w:type="dxa"/>
        </w:tblCellMar>
      </w:tblPr>
      <w:tblGrid>
        <w:gridCol w:w="759"/>
        <w:gridCol w:w="1810"/>
        <w:gridCol w:w="4110"/>
        <w:gridCol w:w="1722"/>
      </w:tblGrid>
      <w:tr>
        <w:tblPrEx>
          <w:tblCellMar>
            <w:top w:w="0" w:type="dxa"/>
            <w:left w:w="108" w:type="dxa"/>
            <w:bottom w:w="0" w:type="dxa"/>
            <w:right w:w="108" w:type="dxa"/>
          </w:tblCellMar>
        </w:tblPrEx>
        <w:trPr>
          <w:trHeight w:val="378"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报告内容</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7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一份报告不按时提交或内容不合格，扣罚</w:t>
            </w:r>
            <w:r>
              <w:rPr>
                <w:rFonts w:hint="eastAsia" w:ascii="宋体" w:hAnsi="宋体" w:cs="仿宋_GB2312"/>
                <w:color w:val="auto"/>
                <w:kern w:val="0"/>
                <w:szCs w:val="21"/>
                <w:highlight w:val="none"/>
                <w:lang w:val="en-US" w:eastAsia="zh-CN"/>
              </w:rPr>
              <w:t>2000</w:t>
            </w:r>
            <w:r>
              <w:rPr>
                <w:rFonts w:hint="eastAsia" w:ascii="宋体" w:hAnsi="宋体" w:cs="仿宋_GB2312"/>
                <w:color w:val="auto"/>
                <w:kern w:val="0"/>
                <w:szCs w:val="21"/>
                <w:highlight w:val="none"/>
              </w:rPr>
              <w:t>元</w:t>
            </w:r>
            <w:r>
              <w:rPr>
                <w:rFonts w:hint="eastAsia" w:ascii="宋体" w:hAnsi="宋体" w:cs="仿宋_GB2312"/>
                <w:color w:val="auto"/>
                <w:kern w:val="0"/>
                <w:szCs w:val="21"/>
                <w:highlight w:val="none"/>
                <w:lang w:eastAsia="zh-CN"/>
              </w:rPr>
              <w:t>；</w:t>
            </w:r>
            <w:r>
              <w:rPr>
                <w:rFonts w:hint="eastAsia" w:ascii="宋体" w:hAnsi="宋体" w:cs="仿宋_GB2312"/>
                <w:color w:val="auto"/>
                <w:kern w:val="0"/>
                <w:szCs w:val="21"/>
                <w:highlight w:val="none"/>
                <w:lang w:val="en-US" w:eastAsia="zh-CN"/>
              </w:rPr>
              <w:t>若年度不及时提交完整报告，扣发下年度维护费3%。</w:t>
            </w: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监测报告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预警报告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4</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应急事件报告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308"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5</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预案启动报告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6</w:t>
            </w:r>
          </w:p>
        </w:tc>
        <w:tc>
          <w:tcPr>
            <w:tcW w:w="1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维修报告</w:t>
            </w:r>
          </w:p>
        </w:tc>
        <w:tc>
          <w:tcPr>
            <w:tcW w:w="4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仿宋_GB2312"/>
                <w:color w:val="auto"/>
                <w:kern w:val="0"/>
                <w:szCs w:val="21"/>
                <w:highlight w:val="none"/>
              </w:rPr>
            </w:pPr>
            <w:r>
              <w:rPr>
                <w:rFonts w:hint="eastAsia" w:ascii="宋体" w:hAnsi="宋体" w:eastAsia="宋体" w:cs="仿宋_GB2312"/>
                <w:color w:val="auto"/>
                <w:kern w:val="0"/>
                <w:szCs w:val="21"/>
                <w:highlight w:val="none"/>
              </w:rPr>
              <w:t>内容是否完整，日报表月报表是否按时提交</w:t>
            </w:r>
          </w:p>
        </w:tc>
        <w:tc>
          <w:tcPr>
            <w:tcW w:w="172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6.4时间考核指标</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firstLine="420" w:firstLineChars="200"/>
        <w:textAlignment w:val="auto"/>
        <w:rPr>
          <w:rFonts w:ascii="宋体" w:hAnsi="宋体" w:eastAsia="宋体"/>
          <w:color w:val="auto"/>
          <w:sz w:val="21"/>
          <w:szCs w:val="21"/>
          <w:highlight w:val="none"/>
        </w:rPr>
      </w:pPr>
      <w:r>
        <w:rPr>
          <w:rFonts w:hint="eastAsia" w:ascii="宋体" w:hAnsi="宋体" w:eastAsia="宋体" w:cs="仿宋_GB2312"/>
          <w:color w:val="auto"/>
          <w:sz w:val="21"/>
          <w:szCs w:val="21"/>
          <w:highlight w:val="none"/>
        </w:rPr>
        <w:t>维修保养时间考核</w:t>
      </w:r>
    </w:p>
    <w:tbl>
      <w:tblPr>
        <w:tblStyle w:val="47"/>
        <w:tblW w:w="0" w:type="auto"/>
        <w:jc w:val="center"/>
        <w:tblLayout w:type="fixed"/>
        <w:tblCellMar>
          <w:top w:w="0" w:type="dxa"/>
          <w:left w:w="108" w:type="dxa"/>
          <w:bottom w:w="0" w:type="dxa"/>
          <w:right w:w="108" w:type="dxa"/>
        </w:tblCellMar>
      </w:tblPr>
      <w:tblGrid>
        <w:gridCol w:w="798"/>
        <w:gridCol w:w="1633"/>
        <w:gridCol w:w="4255"/>
        <w:gridCol w:w="1693"/>
      </w:tblGrid>
      <w:tr>
        <w:tblPrEx>
          <w:tblCellMar>
            <w:top w:w="0" w:type="dxa"/>
            <w:left w:w="108" w:type="dxa"/>
            <w:bottom w:w="0" w:type="dxa"/>
            <w:right w:w="108" w:type="dxa"/>
          </w:tblCellMar>
        </w:tblPrEx>
        <w:trPr>
          <w:trHeight w:val="388"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6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维修保养内容</w:t>
            </w:r>
          </w:p>
        </w:tc>
        <w:tc>
          <w:tcPr>
            <w:tcW w:w="42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维保时间标准</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11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前端设备</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前端摄像机和镜头至少每半个月一次，其它设备至少每季度一次</w:t>
            </w:r>
          </w:p>
        </w:tc>
        <w:tc>
          <w:tcPr>
            <w:tcW w:w="169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抽查不按时维保，发现一次扣罚</w:t>
            </w:r>
            <w:r>
              <w:rPr>
                <w:rFonts w:ascii="宋体" w:hAnsi="宋体" w:cs="仿宋_GB2312"/>
                <w:color w:val="auto"/>
                <w:kern w:val="0"/>
                <w:szCs w:val="21"/>
                <w:highlight w:val="none"/>
              </w:rPr>
              <w:t>2000</w:t>
            </w:r>
            <w:r>
              <w:rPr>
                <w:rFonts w:hint="eastAsia" w:ascii="宋体" w:hAnsi="宋体" w:cs="仿宋_GB2312"/>
                <w:color w:val="auto"/>
                <w:kern w:val="0"/>
                <w:szCs w:val="21"/>
                <w:highlight w:val="none"/>
              </w:rPr>
              <w:t>元</w:t>
            </w:r>
          </w:p>
        </w:tc>
      </w:tr>
      <w:tr>
        <w:tblPrEx>
          <w:tblCellMar>
            <w:top w:w="0" w:type="dxa"/>
            <w:left w:w="108" w:type="dxa"/>
            <w:bottom w:w="0" w:type="dxa"/>
            <w:right w:w="108" w:type="dxa"/>
          </w:tblCellMar>
        </w:tblPrEx>
        <w:trPr>
          <w:trHeight w:val="9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传输网络</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至少每个月一次</w:t>
            </w:r>
          </w:p>
        </w:tc>
        <w:tc>
          <w:tcPr>
            <w:tcW w:w="1693"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9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63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后端设备</w:t>
            </w:r>
          </w:p>
        </w:tc>
        <w:tc>
          <w:tcPr>
            <w:tcW w:w="42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至少每个月一次</w:t>
            </w:r>
          </w:p>
        </w:tc>
        <w:tc>
          <w:tcPr>
            <w:tcW w:w="169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仿宋_GB2312"/>
          <w:color w:val="auto"/>
          <w:sz w:val="21"/>
          <w:szCs w:val="21"/>
          <w:highlight w:val="none"/>
        </w:rPr>
      </w:pPr>
      <w:r>
        <w:rPr>
          <w:rFonts w:hint="eastAsia" w:ascii="宋体" w:hAnsi="宋体" w:eastAsia="宋体" w:cs="仿宋_GB2312"/>
          <w:color w:val="auto"/>
          <w:sz w:val="21"/>
          <w:szCs w:val="21"/>
          <w:highlight w:val="none"/>
        </w:rPr>
        <w:t>故障响应处理时限考核</w:t>
      </w:r>
    </w:p>
    <w:p>
      <w:pPr>
        <w:adjustRightInd w:val="0"/>
        <w:spacing w:line="360" w:lineRule="auto"/>
        <w:ind w:firstLine="420" w:firstLineChars="200"/>
        <w:textAlignment w:val="baseline"/>
        <w:rPr>
          <w:rFonts w:ascii="宋体" w:hAnsi="宋体"/>
          <w:color w:val="auto"/>
          <w:kern w:val="0"/>
          <w:szCs w:val="21"/>
          <w:highlight w:val="none"/>
          <w:lang w:val="zh-CN"/>
        </w:rPr>
      </w:pP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lang w:val="zh-CN"/>
        </w:rPr>
        <w:t>需提供</w:t>
      </w:r>
      <w:r>
        <w:rPr>
          <w:rFonts w:ascii="宋体" w:hAnsi="宋体"/>
          <w:color w:val="auto"/>
          <w:kern w:val="0"/>
          <w:szCs w:val="21"/>
          <w:highlight w:val="none"/>
          <w:lang w:val="zh-CN"/>
        </w:rPr>
        <w:t>7×24</w:t>
      </w:r>
      <w:r>
        <w:rPr>
          <w:rFonts w:hint="eastAsia" w:ascii="宋体" w:hAnsi="宋体" w:cs="仿宋_GB2312"/>
          <w:color w:val="auto"/>
          <w:kern w:val="0"/>
          <w:szCs w:val="21"/>
          <w:highlight w:val="none"/>
          <w:lang w:val="zh-CN"/>
        </w:rPr>
        <w:t>小时响应服务，具体响应方式及响应时间具体内容如下：</w:t>
      </w:r>
    </w:p>
    <w:p>
      <w:pPr>
        <w:spacing w:line="360" w:lineRule="auto"/>
        <w:ind w:firstLine="420" w:firstLineChars="200"/>
        <w:rPr>
          <w:rFonts w:hint="eastAsia" w:ascii="宋体" w:hAnsi="宋体" w:cs="仿宋_GB2312"/>
          <w:color w:val="auto"/>
          <w:kern w:val="0"/>
          <w:szCs w:val="21"/>
          <w:highlight w:val="none"/>
          <w:lang w:val="zh-CN"/>
        </w:rPr>
      </w:pPr>
      <w:r>
        <w:rPr>
          <w:rFonts w:hint="eastAsia" w:ascii="宋体" w:hAnsi="宋体" w:cs="仿宋_GB2312"/>
          <w:color w:val="auto"/>
          <w:kern w:val="0"/>
          <w:szCs w:val="21"/>
          <w:highlight w:val="none"/>
          <w:lang w:val="zh-CN"/>
        </w:rPr>
        <w:t>到达现场后，需</w:t>
      </w:r>
      <w:r>
        <w:rPr>
          <w:rFonts w:ascii="宋体" w:hAnsi="宋体"/>
          <w:color w:val="auto"/>
          <w:kern w:val="0"/>
          <w:szCs w:val="21"/>
          <w:highlight w:val="none"/>
          <w:lang w:val="zh-CN"/>
        </w:rPr>
        <w:t>8</w:t>
      </w:r>
      <w:r>
        <w:rPr>
          <w:rFonts w:hint="eastAsia" w:ascii="宋体" w:hAnsi="宋体" w:cs="仿宋_GB2312"/>
          <w:color w:val="auto"/>
          <w:kern w:val="0"/>
          <w:szCs w:val="21"/>
          <w:highlight w:val="none"/>
          <w:lang w:val="zh-CN"/>
        </w:rPr>
        <w:t>小时内修复，故障修复时间均以</w:t>
      </w:r>
      <w:r>
        <w:rPr>
          <w:rFonts w:hint="eastAsia" w:ascii="宋体" w:hAnsi="宋体" w:cs="仿宋_GB2312"/>
          <w:color w:val="auto"/>
          <w:kern w:val="0"/>
          <w:szCs w:val="21"/>
          <w:highlight w:val="none"/>
          <w:lang w:val="en-US" w:eastAsia="zh-CN"/>
        </w:rPr>
        <w:t>甲方</w:t>
      </w:r>
      <w:r>
        <w:rPr>
          <w:rFonts w:hint="eastAsia" w:ascii="宋体" w:hAnsi="宋体" w:cs="仿宋_GB2312"/>
          <w:color w:val="auto"/>
          <w:kern w:val="0"/>
          <w:szCs w:val="21"/>
          <w:highlight w:val="none"/>
          <w:lang w:val="zh-CN"/>
        </w:rPr>
        <w:t>申报开始计时，若有特殊情况须经</w:t>
      </w:r>
      <w:r>
        <w:rPr>
          <w:rFonts w:hint="eastAsia" w:ascii="宋体" w:hAnsi="宋体" w:cs="仿宋_GB2312"/>
          <w:color w:val="auto"/>
          <w:kern w:val="0"/>
          <w:szCs w:val="21"/>
          <w:highlight w:val="none"/>
          <w:lang w:val="en-US" w:eastAsia="zh-CN"/>
        </w:rPr>
        <w:t>甲方</w:t>
      </w:r>
      <w:r>
        <w:rPr>
          <w:rFonts w:hint="eastAsia" w:ascii="宋体" w:hAnsi="宋体" w:cs="仿宋_GB2312"/>
          <w:color w:val="auto"/>
          <w:kern w:val="0"/>
          <w:szCs w:val="21"/>
          <w:highlight w:val="none"/>
          <w:lang w:val="zh-CN"/>
        </w:rPr>
        <w:t>书面同意方可延长故障排除时间。</w:t>
      </w:r>
    </w:p>
    <w:tbl>
      <w:tblPr>
        <w:tblStyle w:val="47"/>
        <w:tblpPr w:leftFromText="180" w:rightFromText="180" w:vertAnchor="text" w:horzAnchor="page" w:tblpX="1680" w:tblpY="148"/>
        <w:tblOverlap w:val="never"/>
        <w:tblW w:w="87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5"/>
        <w:gridCol w:w="3283"/>
        <w:gridCol w:w="3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故障类型</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故障内容</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b/>
                <w:bCs/>
                <w:color w:val="auto"/>
                <w:szCs w:val="21"/>
                <w:highlight w:val="none"/>
              </w:rPr>
            </w:pPr>
            <w:r>
              <w:rPr>
                <w:rFonts w:hint="eastAsia" w:ascii="宋体" w:hAnsi="宋体" w:cs="仿宋_GB2312"/>
                <w:b/>
                <w:bCs/>
                <w:color w:val="auto"/>
                <w:szCs w:val="21"/>
                <w:highlight w:val="none"/>
              </w:rPr>
              <w:t>响应时间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故障驱动响应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设备出现警告，不影响系统运行</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8</w:t>
            </w:r>
            <w:r>
              <w:rPr>
                <w:rFonts w:hint="eastAsia" w:ascii="宋体" w:hAnsi="宋体" w:cs="仿宋_GB2312"/>
                <w:color w:val="auto"/>
                <w:szCs w:val="21"/>
                <w:highlight w:val="none"/>
              </w:rPr>
              <w:t>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服务请求响应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部分设备损坏，但系统正常运行</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4</w:t>
            </w:r>
            <w:r>
              <w:rPr>
                <w:rFonts w:hint="eastAsia" w:ascii="宋体" w:hAnsi="宋体" w:cs="仿宋_GB2312"/>
                <w:color w:val="auto"/>
                <w:szCs w:val="21"/>
                <w:highlight w:val="none"/>
              </w:rPr>
              <w:t>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6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应急响应</w:t>
            </w:r>
          </w:p>
        </w:tc>
        <w:tc>
          <w:tcPr>
            <w:tcW w:w="3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hint="eastAsia" w:ascii="宋体" w:hAnsi="宋体" w:cs="仿宋_GB2312"/>
                <w:color w:val="auto"/>
                <w:szCs w:val="21"/>
                <w:highlight w:val="none"/>
              </w:rPr>
              <w:t>设备故障</w:t>
            </w:r>
          </w:p>
        </w:tc>
        <w:tc>
          <w:tcPr>
            <w:tcW w:w="390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宋体" w:hAnsi="宋体"/>
                <w:color w:val="auto"/>
                <w:szCs w:val="21"/>
                <w:highlight w:val="none"/>
              </w:rPr>
            </w:pPr>
            <w:r>
              <w:rPr>
                <w:rFonts w:ascii="宋体" w:hAnsi="宋体" w:cs="仿宋_GB2312"/>
                <w:color w:val="auto"/>
                <w:szCs w:val="21"/>
                <w:highlight w:val="none"/>
              </w:rPr>
              <w:t>7</w:t>
            </w:r>
            <w:r>
              <w:rPr>
                <w:rFonts w:hint="eastAsia" w:ascii="宋体" w:hAnsi="宋体" w:cs="仿宋_GB2312"/>
                <w:color w:val="auto"/>
                <w:szCs w:val="21"/>
                <w:highlight w:val="none"/>
              </w:rPr>
              <w:t>×</w:t>
            </w:r>
            <w:r>
              <w:rPr>
                <w:rFonts w:ascii="宋体" w:hAnsi="宋体" w:cs="仿宋_GB2312"/>
                <w:color w:val="auto"/>
                <w:szCs w:val="21"/>
                <w:highlight w:val="none"/>
              </w:rPr>
              <w:t>24</w:t>
            </w:r>
            <w:r>
              <w:rPr>
                <w:rFonts w:hint="eastAsia" w:ascii="宋体" w:hAnsi="宋体" w:cs="仿宋_GB2312"/>
                <w:color w:val="auto"/>
                <w:szCs w:val="21"/>
                <w:highlight w:val="none"/>
              </w:rPr>
              <w:t>小时电话咨询，</w:t>
            </w:r>
            <w:r>
              <w:rPr>
                <w:rFonts w:ascii="宋体" w:hAnsi="宋体" w:cs="仿宋_GB2312"/>
                <w:color w:val="auto"/>
                <w:szCs w:val="21"/>
                <w:highlight w:val="none"/>
              </w:rPr>
              <w:t>2</w:t>
            </w:r>
            <w:r>
              <w:rPr>
                <w:rFonts w:hint="eastAsia" w:ascii="宋体" w:hAnsi="宋体" w:cs="仿宋_GB2312"/>
                <w:color w:val="auto"/>
                <w:szCs w:val="21"/>
                <w:highlight w:val="none"/>
              </w:rPr>
              <w:t>小时内到达现场。</w:t>
            </w:r>
          </w:p>
        </w:tc>
      </w:tr>
    </w:tbl>
    <w:p>
      <w:pPr>
        <w:numPr>
          <w:ilvl w:val="0"/>
          <w:numId w:val="28"/>
        </w:numPr>
        <w:spacing w:line="360" w:lineRule="auto"/>
        <w:ind w:left="0" w:leftChars="0" w:firstLine="422" w:firstLineChars="200"/>
        <w:rPr>
          <w:rFonts w:ascii="宋体" w:hAnsi="宋体"/>
          <w:b/>
          <w:bCs/>
          <w:color w:val="auto"/>
          <w:szCs w:val="21"/>
          <w:highlight w:val="none"/>
        </w:rPr>
      </w:pPr>
      <w:r>
        <w:rPr>
          <w:rFonts w:hint="eastAsia" w:ascii="宋体" w:hAnsi="宋体" w:cs="仿宋_GB2312"/>
          <w:b/>
          <w:bCs/>
          <w:color w:val="auto"/>
          <w:szCs w:val="21"/>
          <w:highlight w:val="none"/>
        </w:rPr>
        <w:t>超时处置：</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845" w:leftChars="0" w:hanging="425" w:firstLineChars="0"/>
        <w:jc w:val="left"/>
        <w:textAlignment w:val="auto"/>
        <w:rPr>
          <w:rFonts w:ascii="宋体" w:hAnsi="宋体"/>
          <w:color w:val="auto"/>
          <w:szCs w:val="21"/>
          <w:highlight w:val="none"/>
        </w:rPr>
      </w:pPr>
      <w:r>
        <w:rPr>
          <w:rFonts w:hint="eastAsia" w:ascii="宋体" w:hAnsi="宋体" w:cs="仿宋_GB2312"/>
          <w:color w:val="auto"/>
          <w:szCs w:val="21"/>
          <w:highlight w:val="none"/>
        </w:rPr>
        <w:t>响应时间每超过</w:t>
      </w:r>
      <w:r>
        <w:rPr>
          <w:rFonts w:ascii="宋体" w:hAnsi="宋体" w:cs="仿宋_GB2312"/>
          <w:color w:val="auto"/>
          <w:szCs w:val="21"/>
          <w:highlight w:val="none"/>
        </w:rPr>
        <w:t>1</w:t>
      </w:r>
      <w:r>
        <w:rPr>
          <w:rFonts w:hint="eastAsia" w:ascii="宋体" w:hAnsi="宋体" w:cs="仿宋_GB2312"/>
          <w:color w:val="auto"/>
          <w:szCs w:val="21"/>
          <w:highlight w:val="none"/>
        </w:rPr>
        <w:t>小时，扣罚</w:t>
      </w:r>
      <w:r>
        <w:rPr>
          <w:rFonts w:ascii="宋体" w:hAnsi="宋体" w:cs="仿宋_GB2312"/>
          <w:color w:val="auto"/>
          <w:szCs w:val="21"/>
          <w:highlight w:val="none"/>
        </w:rPr>
        <w:t>200</w:t>
      </w:r>
      <w:r>
        <w:rPr>
          <w:rFonts w:hint="eastAsia" w:ascii="宋体" w:hAnsi="宋体" w:cs="仿宋_GB2312"/>
          <w:color w:val="auto"/>
          <w:szCs w:val="21"/>
          <w:highlight w:val="none"/>
        </w:rPr>
        <w:t>元；</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845" w:leftChars="0" w:hanging="425" w:firstLineChars="0"/>
        <w:jc w:val="left"/>
        <w:textAlignment w:val="auto"/>
        <w:rPr>
          <w:rFonts w:ascii="宋体" w:hAnsi="宋体"/>
          <w:color w:val="auto"/>
          <w:szCs w:val="21"/>
          <w:highlight w:val="none"/>
        </w:rPr>
      </w:pPr>
      <w:r>
        <w:rPr>
          <w:rFonts w:hint="eastAsia" w:ascii="宋体" w:hAnsi="宋体" w:cs="仿宋_GB2312"/>
          <w:color w:val="auto"/>
          <w:szCs w:val="21"/>
          <w:highlight w:val="none"/>
        </w:rPr>
        <w:t>故障处理每超时</w:t>
      </w:r>
      <w:r>
        <w:rPr>
          <w:rFonts w:ascii="宋体" w:hAnsi="宋体" w:cs="仿宋_GB2312"/>
          <w:color w:val="auto"/>
          <w:szCs w:val="21"/>
          <w:highlight w:val="none"/>
        </w:rPr>
        <w:t>1</w:t>
      </w:r>
      <w:r>
        <w:rPr>
          <w:rFonts w:hint="eastAsia" w:ascii="宋体" w:hAnsi="宋体" w:cs="仿宋_GB2312"/>
          <w:color w:val="auto"/>
          <w:szCs w:val="21"/>
          <w:highlight w:val="none"/>
        </w:rPr>
        <w:t>小时未修复，扣罚</w:t>
      </w:r>
      <w:r>
        <w:rPr>
          <w:rFonts w:ascii="宋体" w:hAnsi="宋体" w:cs="仿宋_GB2312"/>
          <w:color w:val="auto"/>
          <w:szCs w:val="21"/>
          <w:highlight w:val="none"/>
        </w:rPr>
        <w:t>200</w:t>
      </w:r>
      <w:r>
        <w:rPr>
          <w:rFonts w:hint="eastAsia" w:ascii="宋体" w:hAnsi="宋体" w:cs="仿宋_GB2312"/>
          <w:color w:val="auto"/>
          <w:szCs w:val="21"/>
          <w:highlight w:val="none"/>
        </w:rPr>
        <w:t>元（特殊情况</w:t>
      </w:r>
      <w:r>
        <w:rPr>
          <w:rFonts w:hint="eastAsia" w:ascii="宋体" w:hAnsi="宋体" w:cs="仿宋_GB2312"/>
          <w:color w:val="auto"/>
          <w:szCs w:val="21"/>
          <w:highlight w:val="none"/>
          <w:lang w:val="en-US" w:eastAsia="zh-CN"/>
        </w:rPr>
        <w:t>甲方</w:t>
      </w:r>
      <w:r>
        <w:rPr>
          <w:rFonts w:hint="eastAsia" w:ascii="宋体" w:hAnsi="宋体" w:cs="仿宋_GB2312"/>
          <w:color w:val="auto"/>
          <w:szCs w:val="21"/>
          <w:highlight w:val="none"/>
        </w:rPr>
        <w:t>书面同意延长排除时间的除外）；</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845" w:leftChars="0" w:hanging="425" w:firstLineChars="0"/>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故障处理严重超时，且无法提供</w:t>
      </w:r>
      <w:r>
        <w:rPr>
          <w:rFonts w:hint="eastAsia" w:ascii="宋体" w:hAnsi="宋体" w:cs="仿宋_GB2312"/>
          <w:color w:val="auto"/>
          <w:kern w:val="0"/>
          <w:szCs w:val="21"/>
          <w:highlight w:val="none"/>
          <w:lang w:val="en-US" w:eastAsia="zh-CN"/>
        </w:rPr>
        <w:t>甲方</w:t>
      </w:r>
      <w:r>
        <w:rPr>
          <w:rFonts w:hint="eastAsia" w:ascii="宋体" w:hAnsi="宋体" w:cs="仿宋_GB2312"/>
          <w:color w:val="auto"/>
          <w:szCs w:val="21"/>
          <w:highlight w:val="none"/>
        </w:rPr>
        <w:t>能认可的原因的，扣罚</w:t>
      </w:r>
      <w:r>
        <w:rPr>
          <w:rFonts w:ascii="宋体" w:hAnsi="宋体" w:cs="仿宋_GB2312"/>
          <w:color w:val="auto"/>
          <w:szCs w:val="21"/>
          <w:highlight w:val="none"/>
        </w:rPr>
        <w:t>1000</w:t>
      </w:r>
      <w:r>
        <w:rPr>
          <w:rFonts w:hint="eastAsia" w:ascii="宋体" w:hAnsi="宋体" w:cs="仿宋_GB2312"/>
          <w:color w:val="auto"/>
          <w:szCs w:val="21"/>
          <w:highlight w:val="none"/>
        </w:rPr>
        <w:t>元</w:t>
      </w:r>
      <w:r>
        <w:rPr>
          <w:rFonts w:ascii="宋体" w:hAnsi="宋体" w:cs="仿宋_GB2312"/>
          <w:color w:val="auto"/>
          <w:szCs w:val="21"/>
          <w:highlight w:val="none"/>
        </w:rPr>
        <w:t>/</w:t>
      </w:r>
      <w:r>
        <w:rPr>
          <w:rFonts w:hint="eastAsia" w:ascii="宋体" w:hAnsi="宋体" w:cs="仿宋_GB2312"/>
          <w:color w:val="auto"/>
          <w:szCs w:val="21"/>
          <w:highlight w:val="none"/>
        </w:rPr>
        <w:t>次。</w:t>
      </w:r>
    </w:p>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6.5日常巡检考核指标</w:t>
      </w:r>
    </w:p>
    <w:tbl>
      <w:tblPr>
        <w:tblStyle w:val="47"/>
        <w:tblW w:w="8980" w:type="dxa"/>
        <w:jc w:val="center"/>
        <w:tblLayout w:type="fixed"/>
        <w:tblCellMar>
          <w:top w:w="0" w:type="dxa"/>
          <w:left w:w="108" w:type="dxa"/>
          <w:bottom w:w="0" w:type="dxa"/>
          <w:right w:w="108" w:type="dxa"/>
        </w:tblCellMar>
      </w:tblPr>
      <w:tblGrid>
        <w:gridCol w:w="731"/>
        <w:gridCol w:w="1184"/>
        <w:gridCol w:w="5366"/>
        <w:gridCol w:w="1699"/>
      </w:tblGrid>
      <w:tr>
        <w:tblPrEx>
          <w:tblCellMar>
            <w:top w:w="0" w:type="dxa"/>
            <w:left w:w="108" w:type="dxa"/>
            <w:bottom w:w="0" w:type="dxa"/>
            <w:right w:w="108" w:type="dxa"/>
          </w:tblCellMar>
        </w:tblPrEx>
        <w:trPr>
          <w:trHeight w:val="94"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1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内容</w:t>
            </w:r>
          </w:p>
        </w:tc>
        <w:tc>
          <w:tcPr>
            <w:tcW w:w="53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巡检内容</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前端，线路，机房</w:t>
            </w:r>
          </w:p>
        </w:tc>
        <w:tc>
          <w:tcPr>
            <w:tcW w:w="1699"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抽查巡检不合格，扣罚</w:t>
            </w:r>
            <w:r>
              <w:rPr>
                <w:rFonts w:ascii="宋体" w:hAnsi="宋体" w:cs="仿宋_GB2312"/>
                <w:color w:val="auto"/>
                <w:kern w:val="0"/>
                <w:szCs w:val="21"/>
                <w:highlight w:val="none"/>
              </w:rPr>
              <w:t>1000</w:t>
            </w:r>
            <w:r>
              <w:rPr>
                <w:rFonts w:hint="eastAsia" w:ascii="宋体" w:hAnsi="宋体" w:cs="仿宋_GB2312"/>
                <w:color w:val="auto"/>
                <w:kern w:val="0"/>
                <w:szCs w:val="21"/>
                <w:highlight w:val="none"/>
              </w:rPr>
              <w:t>元</w:t>
            </w:r>
            <w:r>
              <w:rPr>
                <w:rFonts w:ascii="宋体" w:hAnsi="宋体" w:cs="仿宋_GB2312"/>
                <w:color w:val="auto"/>
                <w:kern w:val="0"/>
                <w:szCs w:val="21"/>
                <w:highlight w:val="none"/>
              </w:rPr>
              <w:t>/</w:t>
            </w:r>
            <w:r>
              <w:rPr>
                <w:rFonts w:hint="eastAsia" w:ascii="宋体" w:hAnsi="宋体" w:cs="仿宋_GB2312"/>
                <w:color w:val="auto"/>
                <w:kern w:val="0"/>
                <w:szCs w:val="21"/>
                <w:highlight w:val="none"/>
              </w:rPr>
              <w:t>次</w:t>
            </w: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巡检流程</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是否按照标准流程操作</w:t>
            </w:r>
          </w:p>
        </w:tc>
        <w:tc>
          <w:tcPr>
            <w:tcW w:w="169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73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1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巡检频率</w:t>
            </w:r>
          </w:p>
        </w:tc>
        <w:tc>
          <w:tcPr>
            <w:tcW w:w="53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前端设备运行情况每天检查，线路、机房每个月检查一次</w:t>
            </w:r>
          </w:p>
        </w:tc>
        <w:tc>
          <w:tcPr>
            <w:tcW w:w="169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widowControl w:val="0"/>
        <w:snapToGrid w:val="0"/>
        <w:spacing w:before="120" w:beforeLines="50" w:after="120" w:afterLines="5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6.6资源指标</w:t>
      </w:r>
    </w:p>
    <w:tbl>
      <w:tblPr>
        <w:tblStyle w:val="47"/>
        <w:tblW w:w="8911" w:type="dxa"/>
        <w:jc w:val="center"/>
        <w:tblLayout w:type="fixed"/>
        <w:tblCellMar>
          <w:top w:w="0" w:type="dxa"/>
          <w:left w:w="108" w:type="dxa"/>
          <w:bottom w:w="0" w:type="dxa"/>
          <w:right w:w="108" w:type="dxa"/>
        </w:tblCellMar>
      </w:tblPr>
      <w:tblGrid>
        <w:gridCol w:w="681"/>
        <w:gridCol w:w="1084"/>
        <w:gridCol w:w="5409"/>
        <w:gridCol w:w="1737"/>
      </w:tblGrid>
      <w:tr>
        <w:tblPrEx>
          <w:tblCellMar>
            <w:top w:w="0" w:type="dxa"/>
            <w:left w:w="108" w:type="dxa"/>
            <w:bottom w:w="0" w:type="dxa"/>
            <w:right w:w="108" w:type="dxa"/>
          </w:tblCellMar>
        </w:tblPrEx>
        <w:trPr>
          <w:trHeight w:val="595" w:hRule="atLeast"/>
          <w:jc w:val="center"/>
        </w:trPr>
        <w:tc>
          <w:tcPr>
            <w:tcW w:w="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序号</w:t>
            </w:r>
          </w:p>
        </w:tc>
        <w:tc>
          <w:tcPr>
            <w:tcW w:w="10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资源内容</w:t>
            </w:r>
          </w:p>
        </w:tc>
        <w:tc>
          <w:tcPr>
            <w:tcW w:w="54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考核标准</w:t>
            </w:r>
          </w:p>
        </w:tc>
        <w:tc>
          <w:tcPr>
            <w:tcW w:w="1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b/>
                <w:bCs/>
                <w:color w:val="auto"/>
                <w:kern w:val="0"/>
                <w:szCs w:val="21"/>
                <w:highlight w:val="none"/>
              </w:rPr>
            </w:pPr>
            <w:r>
              <w:rPr>
                <w:rFonts w:hint="eastAsia" w:ascii="宋体" w:hAnsi="宋体" w:cs="仿宋_GB2312"/>
                <w:b/>
                <w:bCs/>
                <w:color w:val="auto"/>
                <w:kern w:val="0"/>
                <w:szCs w:val="21"/>
                <w:highlight w:val="none"/>
              </w:rPr>
              <w:t>不合格处理方式</w:t>
            </w:r>
          </w:p>
        </w:tc>
      </w:tr>
      <w:tr>
        <w:tblPrEx>
          <w:tblCellMar>
            <w:top w:w="0" w:type="dxa"/>
            <w:left w:w="108" w:type="dxa"/>
            <w:bottom w:w="0" w:type="dxa"/>
            <w:right w:w="108" w:type="dxa"/>
          </w:tblCellMar>
        </w:tblPrEx>
        <w:trPr>
          <w:trHeight w:val="227"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1</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备品备件</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仿宋_GB2312"/>
                <w:color w:val="auto"/>
                <w:kern w:val="0"/>
                <w:szCs w:val="21"/>
                <w:highlight w:val="none"/>
              </w:rPr>
            </w:pP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rPr>
              <w:t>在保修期内免费提供保证系统运行的全部部件及维护，对于故障件的紧急需求须提供紧急备件支持，备品率是否达到</w:t>
            </w:r>
            <w:r>
              <w:rPr>
                <w:rFonts w:ascii="宋体" w:hAnsi="宋体" w:cs="仿宋_GB2312"/>
                <w:color w:val="auto"/>
                <w:kern w:val="0"/>
                <w:szCs w:val="21"/>
                <w:highlight w:val="none"/>
              </w:rPr>
              <w:t>5%</w:t>
            </w:r>
          </w:p>
        </w:tc>
        <w:tc>
          <w:tcPr>
            <w:tcW w:w="1737"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检查不合格，每次扣罚</w:t>
            </w:r>
            <w:r>
              <w:rPr>
                <w:rFonts w:ascii="宋体" w:hAnsi="宋体" w:cs="仿宋_GB2312"/>
                <w:color w:val="auto"/>
                <w:kern w:val="0"/>
                <w:szCs w:val="21"/>
                <w:highlight w:val="none"/>
              </w:rPr>
              <w:t>1000</w:t>
            </w:r>
            <w:r>
              <w:rPr>
                <w:rFonts w:hint="eastAsia" w:ascii="宋体" w:hAnsi="宋体" w:cs="仿宋_GB2312"/>
                <w:color w:val="auto"/>
                <w:kern w:val="0"/>
                <w:szCs w:val="21"/>
                <w:highlight w:val="none"/>
              </w:rPr>
              <w:t>元</w:t>
            </w:r>
          </w:p>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90"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2</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运维工具</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rPr>
              <w:t>固定维修车辆</w:t>
            </w:r>
            <w:r>
              <w:rPr>
                <w:rFonts w:ascii="宋体" w:hAnsi="宋体" w:cs="仿宋_GB2312"/>
                <w:color w:val="auto"/>
                <w:kern w:val="0"/>
                <w:szCs w:val="21"/>
                <w:highlight w:val="none"/>
              </w:rPr>
              <w:t>1</w:t>
            </w:r>
            <w:r>
              <w:rPr>
                <w:rFonts w:hint="eastAsia" w:ascii="宋体" w:hAnsi="宋体" w:cs="仿宋_GB2312"/>
                <w:color w:val="auto"/>
                <w:kern w:val="0"/>
                <w:szCs w:val="21"/>
                <w:highlight w:val="none"/>
              </w:rPr>
              <w:t>辆，必备的工器具包括但不限于笔记本电脑、万用表、工程宝、网线钳、光功率计等各种仪器仪表和工器具</w:t>
            </w:r>
          </w:p>
        </w:tc>
        <w:tc>
          <w:tcPr>
            <w:tcW w:w="1737"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r>
        <w:tblPrEx>
          <w:tblCellMar>
            <w:top w:w="0" w:type="dxa"/>
            <w:left w:w="108" w:type="dxa"/>
            <w:bottom w:w="0" w:type="dxa"/>
            <w:right w:w="108" w:type="dxa"/>
          </w:tblCellMar>
        </w:tblPrEx>
        <w:trPr>
          <w:trHeight w:val="219" w:hRule="atLeast"/>
          <w:jc w:val="center"/>
        </w:trPr>
        <w:tc>
          <w:tcPr>
            <w:tcW w:w="6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仿宋_GB2312"/>
                <w:color w:val="auto"/>
                <w:kern w:val="0"/>
                <w:szCs w:val="21"/>
                <w:highlight w:val="none"/>
              </w:rPr>
            </w:pPr>
            <w:r>
              <w:rPr>
                <w:rFonts w:ascii="宋体" w:hAnsi="宋体" w:cs="仿宋_GB2312"/>
                <w:color w:val="auto"/>
                <w:kern w:val="0"/>
                <w:szCs w:val="21"/>
                <w:highlight w:val="none"/>
              </w:rPr>
              <w:t>3</w:t>
            </w:r>
          </w:p>
        </w:tc>
        <w:tc>
          <w:tcPr>
            <w:tcW w:w="108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highlight w:val="none"/>
              </w:rPr>
            </w:pPr>
            <w:r>
              <w:rPr>
                <w:rFonts w:hint="eastAsia" w:ascii="宋体" w:hAnsi="宋体" w:cs="仿宋_GB2312"/>
                <w:color w:val="auto"/>
                <w:kern w:val="0"/>
                <w:szCs w:val="21"/>
                <w:highlight w:val="none"/>
              </w:rPr>
              <w:t>故障件</w:t>
            </w:r>
          </w:p>
        </w:tc>
        <w:tc>
          <w:tcPr>
            <w:tcW w:w="5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rPr>
              <w:t>须提供故障件更换、返修服务，保修期内设备发生故障后，通知</w:t>
            </w: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rPr>
              <w:t>，同时寄返故障件，</w:t>
            </w:r>
            <w:r>
              <w:rPr>
                <w:rFonts w:hint="eastAsia" w:ascii="宋体" w:hAnsi="宋体" w:cs="仿宋_GB2312"/>
                <w:color w:val="auto"/>
                <w:kern w:val="0"/>
                <w:szCs w:val="21"/>
                <w:highlight w:val="none"/>
                <w:lang w:val="en-US" w:eastAsia="zh-CN"/>
              </w:rPr>
              <w:t>乙方</w:t>
            </w:r>
            <w:r>
              <w:rPr>
                <w:rFonts w:hint="eastAsia" w:ascii="宋体" w:hAnsi="宋体" w:cs="仿宋_GB2312"/>
                <w:color w:val="auto"/>
                <w:kern w:val="0"/>
                <w:szCs w:val="21"/>
                <w:highlight w:val="none"/>
              </w:rPr>
              <w:t>须提供故障件维修服务，承担返修过程中所发生的一切快递或者物流费用</w:t>
            </w:r>
          </w:p>
        </w:tc>
        <w:tc>
          <w:tcPr>
            <w:tcW w:w="1737"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auto"/>
                <w:kern w:val="0"/>
                <w:szCs w:val="21"/>
                <w:highlight w:val="none"/>
              </w:rPr>
            </w:pPr>
          </w:p>
        </w:tc>
      </w:tr>
    </w:tbl>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七、</w:t>
      </w:r>
      <w:r>
        <w:rPr>
          <w:rFonts w:hint="eastAsia" w:ascii="宋体" w:hAnsi="宋体" w:cs="宋体"/>
          <w:b/>
          <w:color w:val="auto"/>
          <w:kern w:val="2"/>
          <w:sz w:val="21"/>
          <w:szCs w:val="21"/>
          <w:highlight w:val="none"/>
          <w:lang w:val="en-US" w:eastAsia="zh-CN" w:bidi="ar-SA"/>
        </w:rPr>
        <w:t>款项</w:t>
      </w:r>
      <w:r>
        <w:rPr>
          <w:rFonts w:hint="eastAsia" w:ascii="宋体" w:hAnsi="宋体" w:eastAsia="宋体" w:cs="宋体"/>
          <w:b/>
          <w:color w:val="auto"/>
          <w:kern w:val="2"/>
          <w:sz w:val="21"/>
          <w:szCs w:val="21"/>
          <w:highlight w:val="none"/>
          <w:lang w:val="en-US" w:eastAsia="zh-CN" w:bidi="ar-SA"/>
        </w:rPr>
        <w:t>支付</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7.1</w:t>
      </w:r>
      <w:r>
        <w:rPr>
          <w:rFonts w:hint="eastAsia" w:ascii="宋体" w:hAnsi="宋体" w:eastAsia="宋体" w:cs="宋体"/>
          <w:color w:val="auto"/>
          <w:kern w:val="2"/>
          <w:sz w:val="21"/>
          <w:szCs w:val="21"/>
          <w:highlight w:val="none"/>
          <w:lang w:val="en-US" w:eastAsia="zh-CN" w:bidi="ar-SA"/>
        </w:rPr>
        <w:t>付款方式：</w:t>
      </w:r>
      <w:r>
        <w:rPr>
          <w:rFonts w:hint="eastAsia" w:ascii="宋体" w:hAnsi="宋体" w:eastAsia="宋体" w:cs="宋体"/>
          <w:color w:val="auto"/>
          <w:sz w:val="21"/>
          <w:szCs w:val="21"/>
          <w:highlight w:val="none"/>
          <w:lang w:val="en-US" w:eastAsia="zh-CN"/>
        </w:rPr>
        <w:t>本项目分5年支付，每年服务期开始后7个工作日内，支付该年度服务费（5年运维改造总费用的20%）。</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八、违约责任</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8.1 甲方无故逾期</w:t>
      </w:r>
      <w:r>
        <w:rPr>
          <w:rFonts w:hint="eastAsia"/>
          <w:color w:val="auto"/>
          <w:highlight w:val="none"/>
          <w:lang w:eastAsia="zh-CN"/>
        </w:rPr>
        <w:t>支付合同款项的</w:t>
      </w:r>
      <w:r>
        <w:rPr>
          <w:rFonts w:hint="eastAsia" w:ascii="宋体" w:hAnsi="宋体" w:eastAsia="宋体" w:cs="宋体"/>
          <w:color w:val="auto"/>
          <w:kern w:val="2"/>
          <w:sz w:val="21"/>
          <w:szCs w:val="21"/>
          <w:highlight w:val="none"/>
          <w:lang w:val="en-US" w:eastAsia="zh-CN" w:bidi="ar-SA"/>
        </w:rPr>
        <w:t>,甲方应按逾期付款总额每日万分之五向乙方支付违约金。</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8.2 </w:t>
      </w:r>
      <w:r>
        <w:rPr>
          <w:rFonts w:hint="eastAsia"/>
          <w:color w:val="auto"/>
          <w:highlight w:val="none"/>
          <w:lang w:eastAsia="zh-CN"/>
        </w:rPr>
        <w:t>乙方逾期</w:t>
      </w:r>
      <w:r>
        <w:rPr>
          <w:rFonts w:hint="eastAsia"/>
          <w:color w:val="auto"/>
          <w:highlight w:val="none"/>
          <w:lang w:val="en-US" w:eastAsia="zh-CN"/>
        </w:rPr>
        <w:t>按要求实施服务</w:t>
      </w:r>
      <w:r>
        <w:rPr>
          <w:rFonts w:hint="eastAsia"/>
          <w:color w:val="auto"/>
          <w:highlight w:val="none"/>
          <w:lang w:eastAsia="zh-CN"/>
        </w:rPr>
        <w:t>的，每逾期一日，应按本合同总额的千分之一向甲方支付违约金，逾期超过十个工作日的，甲方可单方面解除本合同。乙方应按合同总额的</w:t>
      </w:r>
      <w:r>
        <w:rPr>
          <w:rFonts w:hint="eastAsia"/>
          <w:color w:val="auto"/>
          <w:highlight w:val="none"/>
          <w:lang w:val="en-US" w:eastAsia="zh-CN"/>
        </w:rPr>
        <w:t>20%向甲方支付违约金，违约金不足以弥补甲方损失的，乙方还应赔偿甲方由此造成的所有损失。</w:t>
      </w:r>
      <w:r>
        <w:rPr>
          <w:rFonts w:hint="eastAsia" w:ascii="宋体" w:hAnsi="宋体" w:eastAsia="宋体" w:cs="宋体"/>
          <w:color w:val="auto"/>
          <w:kern w:val="2"/>
          <w:sz w:val="21"/>
          <w:szCs w:val="21"/>
          <w:highlight w:val="none"/>
          <w:lang w:val="en-US" w:eastAsia="zh-CN" w:bidi="ar-SA"/>
        </w:rPr>
        <w:t xml:space="preserve"> </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九、不可抗力事件处理</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9.1 在合同有效期内，任何一方因不可抗力事件导致不能履行合同，则合同履行期可延长，其延长期与不可抗力影响期相同。</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9.2 不可抗力事件发生后，应立即通知对方，并寄送有关权威机构出具的证明。</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9.3 不可抗力事件延续120天以上，双方应通过友好协商，确定是否继续履行合同。</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十、诉讼</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10.1 双方在执行合同中所发生的一切争议，应通过协商解决。如协商不成，可向</w:t>
      </w:r>
      <w:r>
        <w:rPr>
          <w:rFonts w:hint="eastAsia"/>
          <w:color w:val="auto"/>
          <w:highlight w:val="none"/>
          <w:u w:val="single"/>
          <w:lang w:val="en-US" w:eastAsia="zh-CN"/>
        </w:rPr>
        <w:t xml:space="preserve">    </w:t>
      </w:r>
      <w:r>
        <w:rPr>
          <w:rFonts w:hint="eastAsia"/>
          <w:color w:val="auto"/>
          <w:highlight w:val="none"/>
          <w:lang w:eastAsia="zh-CN"/>
        </w:rPr>
        <w:t>人民法院提起诉讼</w:t>
      </w:r>
      <w:r>
        <w:rPr>
          <w:rFonts w:hint="eastAsia" w:ascii="宋体" w:hAnsi="宋体" w:eastAsia="宋体" w:cs="宋体"/>
          <w:color w:val="auto"/>
          <w:kern w:val="2"/>
          <w:sz w:val="21"/>
          <w:szCs w:val="21"/>
          <w:highlight w:val="none"/>
          <w:lang w:val="en-US" w:eastAsia="zh-CN" w:bidi="ar-SA"/>
        </w:rPr>
        <w:t>。</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十一、合同生效及其它</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11.1 合同经双方法定代表人（或企业负责人）或授权委托代理人签字并加盖单位公章后生效。</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11.2合同执行中涉及采购资金和采购内容修改或补充的，须经甲方审批，并签书面补充协议并报相关部门备案，方可作为主合同不可分割的一部分。</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11.3 招标书和乙方的应标文件、及应标承诺等作为本次合同不可分割的一部分，乙方必须严格遵守执行。</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11.4本合同未尽事宜，遵照《民法典》</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Cs w:val="21"/>
          <w:highlight w:val="none"/>
        </w:rPr>
        <w:t>《中华人民共和国政府采购法》、《中华人民共和国政府采购法实施条例》</w:t>
      </w:r>
      <w:r>
        <w:rPr>
          <w:rFonts w:hint="eastAsia" w:ascii="宋体" w:hAnsi="宋体" w:cs="宋体"/>
          <w:color w:val="auto"/>
          <w:kern w:val="2"/>
          <w:szCs w:val="21"/>
          <w:highlight w:val="none"/>
          <w:lang w:eastAsia="zh-CN"/>
        </w:rPr>
        <w:t>等法律法规</w:t>
      </w:r>
      <w:r>
        <w:rPr>
          <w:rFonts w:hint="eastAsia" w:ascii="宋体" w:hAnsi="宋体" w:eastAsia="宋体" w:cs="宋体"/>
          <w:color w:val="auto"/>
          <w:kern w:val="2"/>
          <w:sz w:val="21"/>
          <w:szCs w:val="21"/>
          <w:highlight w:val="none"/>
          <w:lang w:val="en-US" w:eastAsia="zh-CN" w:bidi="ar-SA"/>
        </w:rPr>
        <w:t>有关条文执行。</w:t>
      </w:r>
    </w:p>
    <w:p>
      <w:pPr>
        <w:widowControl w:val="0"/>
        <w:spacing w:line="360" w:lineRule="auto"/>
        <w:jc w:val="both"/>
        <w:rPr>
          <w:rFonts w:hint="eastAsia" w:ascii="宋体" w:hAnsi="宋体" w:eastAsia="宋体" w:cs="宋体"/>
          <w:color w:val="auto"/>
          <w:kern w:val="1"/>
          <w:szCs w:val="21"/>
          <w:highlight w:val="none"/>
        </w:rPr>
      </w:pPr>
      <w:r>
        <w:rPr>
          <w:rFonts w:hint="eastAsia" w:ascii="Times New Roman" w:hAnsi="宋体" w:eastAsia="宋体" w:cs="宋体"/>
          <w:color w:val="auto"/>
          <w:kern w:val="2"/>
          <w:szCs w:val="21"/>
          <w:highlight w:val="none"/>
        </w:rPr>
        <w:t>1</w:t>
      </w:r>
      <w:r>
        <w:rPr>
          <w:rFonts w:hint="eastAsia" w:ascii="Times New Roman" w:hAnsi="宋体" w:eastAsia="宋体" w:cs="宋体"/>
          <w:color w:val="auto"/>
          <w:kern w:val="2"/>
          <w:szCs w:val="21"/>
          <w:highlight w:val="none"/>
          <w:lang w:val="en-US" w:eastAsia="zh-CN"/>
        </w:rPr>
        <w:t>1</w:t>
      </w:r>
      <w:r>
        <w:rPr>
          <w:rFonts w:hint="eastAsia" w:ascii="Times New Roman" w:hAnsi="宋体" w:eastAsia="宋体" w:cs="宋体"/>
          <w:color w:val="auto"/>
          <w:kern w:val="2"/>
          <w:szCs w:val="21"/>
          <w:highlight w:val="none"/>
        </w:rPr>
        <w:t>.5 本合同正本一式两份，具有同等法律效力，甲乙双方各执一份；副本</w:t>
      </w:r>
      <w:r>
        <w:rPr>
          <w:rFonts w:hint="eastAsia" w:ascii="Times New Roman" w:hAnsi="宋体" w:eastAsia="宋体" w:cs="宋体"/>
          <w:b/>
          <w:color w:val="auto"/>
          <w:kern w:val="2"/>
          <w:szCs w:val="21"/>
          <w:highlight w:val="none"/>
        </w:rPr>
        <w:t xml:space="preserve"> </w:t>
      </w:r>
      <w:r>
        <w:rPr>
          <w:rFonts w:hint="eastAsia" w:ascii="Times New Roman" w:hAnsi="宋体" w:eastAsia="宋体" w:cs="宋体"/>
          <w:b/>
          <w:color w:val="auto"/>
          <w:kern w:val="2"/>
          <w:szCs w:val="21"/>
          <w:highlight w:val="none"/>
          <w:u w:val="single"/>
        </w:rPr>
        <w:t xml:space="preserve">    </w:t>
      </w:r>
      <w:r>
        <w:rPr>
          <w:rFonts w:hint="eastAsia" w:ascii="Times New Roman" w:hAnsi="宋体" w:eastAsia="宋体" w:cs="宋体"/>
          <w:color w:val="auto"/>
          <w:kern w:val="2"/>
          <w:szCs w:val="21"/>
          <w:highlight w:val="none"/>
        </w:rPr>
        <w:t>份，(用途)。</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甲方：                                   乙方：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地址：                                   地址：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法定（授权）代表人：                     法定（授权）代表人：</w:t>
      </w:r>
    </w:p>
    <w:p>
      <w:pPr>
        <w:pStyle w:val="25"/>
        <w:widowControl/>
        <w:spacing w:before="0" w:beforeLines="0" w:after="0" w:afterLines="0" w:line="360" w:lineRule="auto"/>
        <w:ind w:left="420" w:leftChars="100" w:hanging="210" w:hangingChars="100"/>
        <w:jc w:val="left"/>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签字日期：      年  月  日          </w:t>
      </w:r>
      <w:r>
        <w:rPr>
          <w:rFonts w:hint="eastAsia" w:hAnsi="宋体" w:eastAsia="宋体" w:cs="宋体"/>
          <w:color w:val="auto"/>
          <w:kern w:val="1"/>
          <w:szCs w:val="21"/>
          <w:highlight w:val="none"/>
          <w:lang w:val="en-US" w:eastAsia="zh-CN"/>
        </w:rPr>
        <w:t xml:space="preserve">    </w:t>
      </w:r>
      <w:r>
        <w:rPr>
          <w:rFonts w:hint="eastAsia" w:ascii="宋体" w:hAnsi="宋体" w:eastAsia="宋体" w:cs="宋体"/>
          <w:color w:val="auto"/>
          <w:kern w:val="1"/>
          <w:szCs w:val="21"/>
          <w:highlight w:val="none"/>
        </w:rPr>
        <w:t xml:space="preserve"> 签字日期：      年  月  日</w:t>
      </w:r>
    </w:p>
    <w:p>
      <w:pPr>
        <w:pStyle w:val="46"/>
        <w:spacing w:line="360" w:lineRule="auto"/>
        <w:ind w:firstLine="0" w:firstLineChars="0"/>
        <w:rPr>
          <w:rFonts w:ascii="宋体" w:hAnsi="宋体" w:cs="宋体"/>
          <w:color w:val="auto"/>
          <w:sz w:val="21"/>
          <w:szCs w:val="21"/>
          <w:highlight w:val="none"/>
        </w:rPr>
      </w:pPr>
    </w:p>
    <w:p>
      <w:pPr>
        <w:pStyle w:val="46"/>
        <w:spacing w:line="360" w:lineRule="auto"/>
        <w:ind w:firstLine="0" w:firstLineChars="0"/>
        <w:rPr>
          <w:rFonts w:ascii="宋体" w:hAnsi="宋体" w:cs="宋体"/>
          <w:color w:val="auto"/>
          <w:sz w:val="21"/>
          <w:szCs w:val="21"/>
          <w:highlight w:val="none"/>
        </w:rPr>
      </w:pPr>
    </w:p>
    <w:p>
      <w:pPr>
        <w:spacing w:line="360" w:lineRule="auto"/>
        <w:ind w:firstLine="413" w:firstLineChars="196"/>
        <w:rPr>
          <w:rFonts w:hint="eastAsia" w:ascii="宋体" w:hAnsi="宋体" w:cs="宋体"/>
          <w:b/>
          <w:color w:val="auto"/>
          <w:highlight w:val="none"/>
        </w:rPr>
        <w:sectPr>
          <w:headerReference r:id="rId8" w:type="default"/>
          <w:footerReference r:id="rId9" w:type="default"/>
          <w:pgSz w:w="11906" w:h="16838"/>
          <w:pgMar w:top="1474" w:right="1797" w:bottom="1247" w:left="1797" w:header="851" w:footer="851" w:gutter="0"/>
          <w:pgNumType w:fmt="decimal"/>
          <w:cols w:space="720" w:num="1"/>
          <w:docGrid w:linePitch="312" w:charSpace="0"/>
        </w:sectPr>
      </w:pPr>
    </w:p>
    <w:p>
      <w:pPr>
        <w:pStyle w:val="25"/>
        <w:widowControl/>
        <w:spacing w:before="0" w:beforeLines="0" w:after="0" w:afterLines="0" w:line="360" w:lineRule="auto"/>
        <w:ind w:left="643" w:hanging="643" w:hangingChars="200"/>
        <w:jc w:val="center"/>
        <w:outlineLvl w:val="0"/>
        <w:rPr>
          <w:rFonts w:hAnsi="宋体" w:cs="宋体"/>
          <w:b/>
          <w:bCs/>
          <w:color w:val="auto"/>
          <w:sz w:val="32"/>
          <w:szCs w:val="20"/>
          <w:highlight w:val="none"/>
        </w:rPr>
      </w:pPr>
      <w:bookmarkStart w:id="106" w:name="_Toc24192"/>
      <w:bookmarkStart w:id="107" w:name="_Toc8300"/>
      <w:r>
        <w:rPr>
          <w:rFonts w:hAnsi="宋体" w:cs="宋体"/>
          <w:b/>
          <w:bCs/>
          <w:color w:val="auto"/>
          <w:sz w:val="32"/>
          <w:szCs w:val="20"/>
          <w:highlight w:val="none"/>
        </w:rPr>
        <w:t>第六章 投标文件格式</w:t>
      </w:r>
      <w:bookmarkEnd w:id="106"/>
      <w:bookmarkEnd w:id="107"/>
    </w:p>
    <w:p>
      <w:pPr>
        <w:widowControl/>
        <w:numPr>
          <w:ilvl w:val="0"/>
          <w:numId w:val="30"/>
        </w:numPr>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资格文件、商务技术文件格式</w:t>
      </w:r>
    </w:p>
    <w:p>
      <w:pPr>
        <w:widowControl/>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1.资格、商务技术文件的外包装封面格式：</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标项号:</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供应商地址：</w:t>
      </w:r>
    </w:p>
    <w:p>
      <w:pPr>
        <w:snapToGrid w:val="0"/>
        <w:spacing w:before="50" w:after="50"/>
        <w:ind w:firstLine="932" w:firstLineChars="444"/>
        <w:jc w:val="center"/>
        <w:rPr>
          <w:rFonts w:hint="eastAsia" w:ascii="宋体" w:hAnsi="宋体" w:cs="宋体"/>
          <w:bCs/>
          <w:color w:val="auto"/>
          <w:szCs w:val="21"/>
          <w:highlight w:val="none"/>
        </w:rPr>
      </w:pPr>
      <w:r>
        <w:rPr>
          <w:rFonts w:hint="eastAsia" w:ascii="宋体" w:hAnsi="宋体" w:cs="宋体"/>
          <w:color w:val="auto"/>
          <w:highlight w:val="none"/>
        </w:rPr>
        <w:t>开标时启封</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2.资格、商务技术文件封面格式： </w:t>
      </w: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正本/或副本</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标项号:</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供应商地址：</w:t>
      </w:r>
    </w:p>
    <w:p>
      <w:pPr>
        <w:widowControl/>
        <w:spacing w:line="360" w:lineRule="auto"/>
        <w:jc w:val="left"/>
        <w:rPr>
          <w:rFonts w:hint="eastAsia" w:ascii="宋体" w:hAnsi="宋体" w:cs="宋体"/>
          <w:color w:val="auto"/>
          <w:kern w:val="0"/>
          <w:szCs w:val="20"/>
          <w:highlight w:val="none"/>
        </w:rPr>
      </w:pPr>
    </w:p>
    <w:p>
      <w:pPr>
        <w:widowControl/>
        <w:spacing w:line="360" w:lineRule="auto"/>
        <w:ind w:firstLine="5355" w:firstLineChars="255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center"/>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0"/>
          <w:highlight w:val="none"/>
        </w:rPr>
        <w:t>3.资格文件：</w:t>
      </w:r>
    </w:p>
    <w:p>
      <w:pPr>
        <w:widowControl/>
        <w:numPr>
          <w:ilvl w:val="0"/>
          <w:numId w:val="31"/>
        </w:numPr>
        <w:snapToGrid w:val="0"/>
        <w:spacing w:line="360" w:lineRule="auto"/>
        <w:ind w:left="210" w:leftChars="1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供应商资格声明函（格式见附件）；</w:t>
      </w:r>
    </w:p>
    <w:p>
      <w:pPr>
        <w:widowControl/>
        <w:numPr>
          <w:ilvl w:val="0"/>
          <w:numId w:val="31"/>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有效的企业法人营业执照（或事业法人登记证）、其他组织（个体工商户）的营业执照或者民办非企业单位登记证书复印件；</w:t>
      </w:r>
      <w:r>
        <w:rPr>
          <w:rFonts w:hint="eastAsia" w:ascii="宋体" w:hAnsi="宋体" w:cs="宋体"/>
          <w:color w:val="auto"/>
          <w:kern w:val="0"/>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numPr>
          <w:ilvl w:val="0"/>
          <w:numId w:val="31"/>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供应商特定资格条件的证明文件：详见“第一章  公开招标公告 二、申请人的资格要求：3.本项目的特定资格要求”；</w:t>
      </w:r>
    </w:p>
    <w:p>
      <w:pPr>
        <w:widowControl/>
        <w:numPr>
          <w:ilvl w:val="0"/>
          <w:numId w:val="31"/>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2"/>
          <w:highlight w:val="none"/>
        </w:rPr>
        <w:t>招标文件</w:t>
      </w:r>
      <w:r>
        <w:rPr>
          <w:rFonts w:hint="eastAsia" w:ascii="宋体" w:hAnsi="宋体" w:cs="宋体"/>
          <w:color w:val="auto"/>
          <w:kern w:val="0"/>
          <w:szCs w:val="21"/>
          <w:highlight w:val="none"/>
        </w:rPr>
        <w:t>要求的其他资格条件证明材料（如有）；</w:t>
      </w:r>
    </w:p>
    <w:p>
      <w:pPr>
        <w:widowControl/>
        <w:spacing w:line="360" w:lineRule="auto"/>
        <w:ind w:left="403"/>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4.供应商资格声明函</w:t>
      </w:r>
    </w:p>
    <w:p>
      <w:pPr>
        <w:widowControl/>
        <w:jc w:val="center"/>
        <w:rPr>
          <w:rFonts w:hint="eastAsia" w:ascii="宋体" w:hAnsi="宋体" w:cs="宋体"/>
          <w:b/>
          <w:color w:val="auto"/>
          <w:kern w:val="0"/>
          <w:sz w:val="28"/>
          <w:szCs w:val="28"/>
          <w:highlight w:val="none"/>
        </w:rPr>
      </w:pPr>
      <w:bookmarkStart w:id="108" w:name="_Toc275865606"/>
    </w:p>
    <w:bookmarkEnd w:id="108"/>
    <w:p>
      <w:pPr>
        <w:jc w:val="center"/>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rPr>
        <w:t>供应商资格声明函</w:t>
      </w:r>
    </w:p>
    <w:p>
      <w:pPr>
        <w:widowControl/>
        <w:jc w:val="left"/>
        <w:rPr>
          <w:rFonts w:hint="eastAsia" w:ascii="宋体" w:hAnsi="宋体" w:cs="宋体"/>
          <w:b/>
          <w:color w:val="auto"/>
          <w:kern w:val="0"/>
          <w:szCs w:val="20"/>
          <w:highlight w:val="none"/>
        </w:rPr>
      </w:pPr>
    </w:p>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宁波中基国际招标有限公司：</w:t>
      </w:r>
    </w:p>
    <w:p>
      <w:pPr>
        <w:widowControl/>
        <w:snapToGrid w:val="0"/>
        <w:spacing w:before="120" w:beforeLines="50"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关于贵司</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年</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月</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日发布</w:t>
      </w:r>
      <w:r>
        <w:rPr>
          <w:rFonts w:hint="eastAsia" w:ascii="宋体" w:hAnsi="宋体" w:cs="宋体"/>
          <w:color w:val="auto"/>
          <w:kern w:val="0"/>
          <w:szCs w:val="20"/>
          <w:highlight w:val="none"/>
          <w:u w:val="single"/>
        </w:rPr>
        <w:t xml:space="preserve">  </w:t>
      </w:r>
      <w:r>
        <w:rPr>
          <w:rFonts w:hint="eastAsia" w:ascii="宋体" w:hAnsi="宋体" w:cs="宋体"/>
          <w:color w:val="auto"/>
          <w:kern w:val="28"/>
          <w:szCs w:val="20"/>
          <w:highlight w:val="none"/>
          <w:u w:val="single"/>
        </w:rPr>
        <w:t>XXXXXXXXXXXXXXXXXXXXXXXXXXXX</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项目（项目编号：　　　）的公开招标公告，本公司（企业）愿意参加投标，并声明：</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1、本公司（企业）具备《中华人民共和国政府采购法》第二十二条资格条件：</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1.1、具有独立承担民事责任的能力；</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1.2、具有良好的商业信誉和健全的财务会计制度；</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1.3、具有履行合同所必需的设备和专业技术能力；</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1.4、有依法缴纳税收和社会保障资金的良好记录；</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1.5、参加政府采购活动前三年内，在经营活动中没有重大违法记录；</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1.6、法律、行政法规规定的其他条件。</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2、本公司（企业）的</w:t>
      </w:r>
      <w:r>
        <w:rPr>
          <w:rFonts w:hint="eastAsia" w:ascii="宋体" w:hAnsi="宋体" w:cs="宋体"/>
          <w:color w:val="auto"/>
          <w:kern w:val="0"/>
          <w:szCs w:val="20"/>
          <w:highlight w:val="none"/>
          <w:lang w:eastAsia="zh-CN"/>
        </w:rPr>
        <w:t>法定代表人（或企业负责人）</w:t>
      </w:r>
      <w:r>
        <w:rPr>
          <w:rFonts w:hint="eastAsia" w:ascii="宋体" w:hAnsi="宋体" w:cs="宋体"/>
          <w:color w:val="auto"/>
          <w:kern w:val="0"/>
          <w:szCs w:val="20"/>
          <w:highlight w:val="none"/>
        </w:rPr>
        <w:t>或单位负责人与所参投的本招标项目的其他供应商的</w:t>
      </w:r>
      <w:r>
        <w:rPr>
          <w:rFonts w:hint="eastAsia" w:ascii="宋体" w:hAnsi="宋体" w:cs="宋体"/>
          <w:color w:val="auto"/>
          <w:kern w:val="0"/>
          <w:szCs w:val="20"/>
          <w:highlight w:val="none"/>
          <w:lang w:eastAsia="zh-CN"/>
        </w:rPr>
        <w:t>法定代表人（或企业负责人）</w:t>
      </w:r>
      <w:r>
        <w:rPr>
          <w:rFonts w:hint="eastAsia" w:ascii="宋体" w:hAnsi="宋体" w:cs="宋体"/>
          <w:color w:val="auto"/>
          <w:kern w:val="0"/>
          <w:szCs w:val="20"/>
          <w:highlight w:val="none"/>
        </w:rPr>
        <w:t>或单位负责人不为同一人且与其他供应商之间不存在直接控股、管理关系。</w:t>
      </w:r>
    </w:p>
    <w:p>
      <w:pPr>
        <w:widowControl/>
        <w:snapToGrid w:val="0"/>
        <w:spacing w:line="380" w:lineRule="exact"/>
        <w:ind w:firstLine="420" w:firstLineChars="2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3、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widowControl/>
        <w:snapToGrid w:val="0"/>
        <w:spacing w:line="360" w:lineRule="auto"/>
        <w:ind w:firstLine="426" w:firstLineChars="202"/>
        <w:jc w:val="left"/>
        <w:rPr>
          <w:rFonts w:hint="eastAsia" w:ascii="宋体" w:hAnsi="宋体" w:cs="宋体"/>
          <w:b/>
          <w:bCs/>
          <w:color w:val="auto"/>
          <w:kern w:val="0"/>
          <w:szCs w:val="20"/>
          <w:highlight w:val="none"/>
        </w:rPr>
      </w:pPr>
      <w:r>
        <w:rPr>
          <w:rFonts w:hint="eastAsia" w:ascii="宋体" w:hAnsi="宋体"/>
          <w:b/>
          <w:bCs/>
          <w:color w:val="auto"/>
          <w:kern w:val="0"/>
          <w:szCs w:val="20"/>
          <w:highlight w:val="none"/>
        </w:rPr>
        <w:t>4、本公司（企业）</w:t>
      </w:r>
      <w:r>
        <w:rPr>
          <w:rFonts w:hint="eastAsia" w:ascii="宋体" w:hAnsi="宋体"/>
          <w:b/>
          <w:bCs/>
          <w:color w:val="auto"/>
          <w:kern w:val="0"/>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b/>
          <w:bCs/>
          <w:color w:val="auto"/>
          <w:kern w:val="0"/>
          <w:szCs w:val="22"/>
          <w:highlight w:val="none"/>
        </w:rPr>
        <w:t>中的禁止参加政府采购活</w:t>
      </w:r>
      <w:r>
        <w:rPr>
          <w:rFonts w:hint="eastAsia" w:ascii="宋体" w:hAnsi="宋体" w:cs="宋体"/>
          <w:b/>
          <w:bCs/>
          <w:color w:val="auto"/>
          <w:kern w:val="0"/>
          <w:szCs w:val="20"/>
          <w:highlight w:val="none"/>
        </w:rPr>
        <w:t>动期间。否则，由此所造成的损失、不良后果及法律责任，一律由我公司（企业）承担。</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highlight w:val="none"/>
        </w:rPr>
        <w:t>我公司已清楚招标文件的要求及有关文件规定。</w:t>
      </w:r>
      <w:r>
        <w:rPr>
          <w:rFonts w:hint="eastAsia" w:ascii="宋体" w:hAnsi="宋体" w:cs="宋体"/>
          <w:color w:val="auto"/>
          <w:kern w:val="0"/>
          <w:szCs w:val="20"/>
          <w:highlight w:val="none"/>
        </w:rPr>
        <w:t>本次招标采购活动中，如有违法、违规、弄虚作假行为，所造成的损失、不良后果及法律责任，一律由我公司（企业）承担。</w:t>
      </w:r>
    </w:p>
    <w:p>
      <w:pPr>
        <w:widowControl/>
        <w:spacing w:line="360" w:lineRule="auto"/>
        <w:ind w:firstLine="420"/>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特此声明！</w:t>
      </w:r>
    </w:p>
    <w:p>
      <w:pPr>
        <w:widowControl/>
        <w:adjustRightInd w:val="0"/>
        <w:snapToGrid w:val="0"/>
        <w:spacing w:line="360" w:lineRule="auto"/>
        <w:ind w:left="425"/>
        <w:jc w:val="left"/>
        <w:rPr>
          <w:rFonts w:hint="eastAsia" w:ascii="宋体" w:hAnsi="宋体" w:cs="宋体"/>
          <w:color w:val="auto"/>
          <w:spacing w:val="4"/>
          <w:kern w:val="0"/>
          <w:szCs w:val="20"/>
          <w:highlight w:val="none"/>
        </w:rPr>
      </w:pP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lang w:eastAsia="zh-CN"/>
        </w:rPr>
        <w:t>法定代表人（或企业负责人）</w:t>
      </w:r>
      <w:r>
        <w:rPr>
          <w:rFonts w:hint="eastAsia" w:ascii="宋体" w:hAnsi="宋体" w:cs="宋体"/>
          <w:color w:val="auto"/>
          <w:kern w:val="0"/>
          <w:szCs w:val="20"/>
          <w:highlight w:val="none"/>
        </w:rPr>
        <w:t>或授权代表（签名或盖章）：</w:t>
      </w: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供应商公章：                               </w:t>
      </w: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年    月    日</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5</w:t>
      </w:r>
      <w:r>
        <w:rPr>
          <w:rFonts w:hint="eastAsia" w:ascii="宋体" w:hAnsi="宋体" w:cs="宋体"/>
          <w:b/>
          <w:bCs/>
          <w:color w:val="auto"/>
          <w:kern w:val="0"/>
          <w:szCs w:val="21"/>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spacing w:line="360" w:lineRule="auto"/>
        <w:jc w:val="left"/>
        <w:rPr>
          <w:rFonts w:hint="eastAsia"/>
          <w:b/>
          <w:color w:val="auto"/>
          <w:kern w:val="0"/>
          <w:szCs w:val="20"/>
          <w:highlight w:val="none"/>
        </w:rPr>
      </w:pPr>
    </w:p>
    <w:p>
      <w:pPr>
        <w:widowControl/>
        <w:spacing w:line="360" w:lineRule="auto"/>
        <w:jc w:val="left"/>
        <w:rPr>
          <w:rFonts w:hint="eastAsia" w:ascii="宋体" w:hAnsi="宋体" w:cs="宋体"/>
          <w:b/>
          <w:bCs/>
          <w:color w:val="auto"/>
          <w:kern w:val="0"/>
          <w:szCs w:val="21"/>
          <w:highlight w:val="none"/>
        </w:rPr>
      </w:pPr>
      <w:r>
        <w:rPr>
          <w:rFonts w:hint="eastAsia" w:ascii="宋体" w:hAnsi="宋体" w:eastAsia="宋体" w:cs="宋体"/>
          <w:b/>
          <w:bCs/>
          <w:color w:val="auto"/>
          <w:kern w:val="0"/>
          <w:szCs w:val="21"/>
          <w:highlight w:val="none"/>
        </w:rPr>
        <w:t>6.供应商的特定条件的证明文件：</w:t>
      </w:r>
      <w:r>
        <w:rPr>
          <w:rFonts w:hint="eastAsia" w:ascii="宋体" w:hAnsi="宋体" w:cs="宋体"/>
          <w:color w:val="auto"/>
          <w:kern w:val="0"/>
          <w:szCs w:val="20"/>
          <w:highlight w:val="none"/>
        </w:rPr>
        <w:t>详见“第一章  公开招标公告 二、申请人的资格要求：3.本项目的特定资格要求”</w:t>
      </w:r>
      <w:r>
        <w:rPr>
          <w:rFonts w:hint="eastAsia" w:ascii="宋体" w:hAnsi="宋体" w:cs="宋体"/>
          <w:color w:val="auto"/>
          <w:kern w:val="0"/>
          <w:szCs w:val="21"/>
          <w:highlight w:val="none"/>
        </w:rPr>
        <w:t>；</w:t>
      </w:r>
    </w:p>
    <w:p>
      <w:pPr>
        <w:widowControl/>
        <w:spacing w:line="480" w:lineRule="exact"/>
        <w:jc w:val="cente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政府采购领域商业贿赂行为承诺书</w:t>
      </w:r>
    </w:p>
    <w:p>
      <w:pPr>
        <w:widowControl/>
        <w:spacing w:after="120" w:afterLines="50" w:line="320" w:lineRule="exact"/>
        <w:jc w:val="left"/>
        <w:rPr>
          <w:rFonts w:hint="eastAsia" w:ascii="宋体" w:hAnsi="宋体" w:cs="宋体"/>
          <w:color w:val="auto"/>
          <w:kern w:val="0"/>
          <w:sz w:val="24"/>
          <w:highlight w:val="none"/>
        </w:rPr>
      </w:pPr>
    </w:p>
    <w:p>
      <w:pPr>
        <w:widowControl/>
        <w:spacing w:after="120" w:afterLines="50" w:line="320" w:lineRule="exact"/>
        <w:jc w:val="left"/>
        <w:rPr>
          <w:rFonts w:hint="eastAsia" w:ascii="宋体" w:hAnsi="宋体" w:cs="宋体"/>
          <w:b/>
          <w:bCs/>
          <w:color w:val="auto"/>
          <w:kern w:val="0"/>
          <w:szCs w:val="21"/>
          <w:highlight w:val="none"/>
        </w:rPr>
      </w:pPr>
      <w:r>
        <w:rPr>
          <w:rFonts w:hint="eastAsia" w:ascii="宋体" w:hAnsi="宋体" w:cs="宋体"/>
          <w:b/>
          <w:color w:val="auto"/>
          <w:kern w:val="0"/>
          <w:szCs w:val="21"/>
          <w:highlight w:val="none"/>
        </w:rPr>
        <w:t>致：宁波中基国际招标有限公司</w:t>
      </w:r>
    </w:p>
    <w:p>
      <w:pPr>
        <w:widowControl/>
        <w:spacing w:after="120" w:afterLines="50" w:line="320" w:lineRule="exact"/>
        <w:ind w:firstLine="420" w:firstLineChars="200"/>
        <w:jc w:val="left"/>
        <w:rPr>
          <w:rFonts w:hint="eastAsia" w:ascii="宋体" w:hAnsi="宋体" w:cs="宋体"/>
          <w:color w:val="auto"/>
          <w:kern w:val="0"/>
          <w:szCs w:val="21"/>
          <w:highlight w:val="none"/>
          <w:lang w:eastAsia="zh-TW"/>
        </w:rPr>
      </w:pPr>
      <w:r>
        <w:rPr>
          <w:rFonts w:hint="eastAsia" w:ascii="宋体" w:hAnsi="宋体" w:cs="宋体"/>
          <w:color w:val="auto"/>
          <w:kern w:val="0"/>
          <w:szCs w:val="21"/>
          <w:highlight w:val="none"/>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一、依法参与政府采购活动，遵纪守法，诚信经营，公平竞争。</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二、不向采购单位、采购代理机构和政府采购评审专家提供任何形式的商业贿赂；对索取或接受商业贿赂的单位和个人，及时向财政部门和纪检监察机关举报。</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三、不以提供虚假资质文件等形式参与政府采购活动，不以虚假材料谋取中标。</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四、不采取不正当手段诋毁、排挤其他供应商，与其他参与政府采购活动供应商保持良性的竞争关系。</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五、不与采购单位、采购代理机构和政府采购评审专家恶意串通，自觉维护政府采购公平竞争的市场秩序。</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六、不与其他供应商串通采取围标、陪标等商业欺诈手段谋取中标，积极维护国家利益、社会公共利益和采购单位的合法权益。</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七、严格履行政府采购合同约定义务，不在政府采购合同执行过程中采取降低质量或标准、减少数量、拖延交付时间等方式损害采购单位的利益，并自觉承担违约责任。</w:t>
      </w:r>
    </w:p>
    <w:p>
      <w:pPr>
        <w:widowControl/>
        <w:spacing w:after="120" w:afterLines="50" w:line="32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八、自觉接受并积极配合财政部门和纪检监察机关依法实施的监督检查，如实反映情况，及时提供有关证明材料。</w:t>
      </w:r>
    </w:p>
    <w:p>
      <w:pPr>
        <w:widowControl/>
        <w:spacing w:after="120" w:afterLines="50" w:line="320" w:lineRule="exact"/>
        <w:jc w:val="left"/>
        <w:rPr>
          <w:rFonts w:hint="eastAsia" w:ascii="宋体" w:hAnsi="宋体" w:cs="宋体"/>
          <w:color w:val="auto"/>
          <w:kern w:val="0"/>
          <w:szCs w:val="21"/>
          <w:highlight w:val="none"/>
        </w:rPr>
      </w:pPr>
    </w:p>
    <w:p>
      <w:pPr>
        <w:widowControl/>
        <w:spacing w:after="120" w:afterLines="50" w:line="320" w:lineRule="exact"/>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供应商名称（并加盖公章）：</w:t>
      </w:r>
      <w:r>
        <w:rPr>
          <w:rFonts w:hint="eastAsia" w:ascii="宋体" w:hAnsi="宋体" w:cs="宋体"/>
          <w:color w:val="auto"/>
          <w:kern w:val="0"/>
          <w:szCs w:val="21"/>
          <w:highlight w:val="none"/>
          <w:u w:val="single"/>
        </w:rPr>
        <w:t xml:space="preserve">                             </w:t>
      </w:r>
    </w:p>
    <w:p>
      <w:pPr>
        <w:spacing w:before="60" w:after="120" w:afterLines="50" w:line="320" w:lineRule="exact"/>
        <w:rPr>
          <w:rFonts w:hint="eastAsia" w:ascii="宋体" w:hAnsi="宋体" w:cs="宋体"/>
          <w:color w:val="auto"/>
          <w:szCs w:val="21"/>
          <w:highlight w:val="none"/>
        </w:rPr>
      </w:pP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 xml:space="preserve">或其授权委托人（签名或印章）： </w:t>
      </w:r>
      <w:r>
        <w:rPr>
          <w:rFonts w:hint="eastAsia" w:ascii="宋体" w:hAnsi="宋体" w:cs="宋体"/>
          <w:color w:val="auto"/>
          <w:szCs w:val="21"/>
          <w:highlight w:val="none"/>
          <w:u w:val="single"/>
        </w:rPr>
        <w:t xml:space="preserve">                    </w:t>
      </w:r>
    </w:p>
    <w:p>
      <w:pPr>
        <w:spacing w:before="60" w:after="120" w:afterLines="50" w:line="320" w:lineRule="exact"/>
        <w:rPr>
          <w:rFonts w:hint="eastAsia" w:ascii="宋体" w:hAnsi="宋体" w:cs="宋体"/>
          <w:color w:val="auto"/>
          <w:szCs w:val="21"/>
          <w:highlight w:val="none"/>
        </w:rPr>
      </w:pPr>
      <w:r>
        <w:rPr>
          <w:rFonts w:hint="eastAsia" w:ascii="宋体" w:hAnsi="宋体" w:cs="宋体"/>
          <w:color w:val="auto"/>
          <w:szCs w:val="21"/>
          <w:highlight w:val="none"/>
        </w:rPr>
        <w:t>签署日期：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idowControl/>
        <w:snapToGrid w:val="0"/>
        <w:spacing w:before="50" w:after="120" w:afterLines="50"/>
        <w:jc w:val="left"/>
        <w:rPr>
          <w:rFonts w:hint="eastAsia" w:ascii="宋体" w:hAnsi="宋体" w:cs="宋体"/>
          <w:b/>
          <w:color w:val="auto"/>
          <w:kern w:val="0"/>
          <w:sz w:val="24"/>
          <w:szCs w:val="20"/>
          <w:highlight w:val="none"/>
        </w:rPr>
      </w:pPr>
    </w:p>
    <w:p>
      <w:pPr>
        <w:widowControl/>
        <w:spacing w:line="500" w:lineRule="exact"/>
        <w:jc w:val="left"/>
        <w:rPr>
          <w:rFonts w:hint="eastAsia" w:ascii="宋体" w:hAnsi="宋体" w:cs="宋体"/>
          <w:color w:val="auto"/>
          <w:kern w:val="0"/>
          <w:szCs w:val="20"/>
          <w:highlight w:val="none"/>
        </w:rPr>
      </w:pPr>
      <w:r>
        <w:rPr>
          <w:rFonts w:hint="eastAsia" w:ascii="宋体" w:hAnsi="宋体" w:cs="宋体"/>
          <w:b/>
          <w:color w:val="auto"/>
          <w:kern w:val="0"/>
          <w:szCs w:val="20"/>
          <w:highlight w:val="none"/>
        </w:rPr>
        <w:t>7.招标文件要求的其他资格条件证明材料（如有）；</w:t>
      </w:r>
    </w:p>
    <w:p>
      <w:pPr>
        <w:widowControl/>
        <w:spacing w:line="500" w:lineRule="exact"/>
        <w:ind w:firstLine="420" w:firstLineChars="200"/>
        <w:jc w:val="left"/>
        <w:rPr>
          <w:rFonts w:hint="eastAsia" w:ascii="宋体" w:hAnsi="宋体" w:cs="宋体"/>
          <w:color w:val="auto"/>
          <w:kern w:val="0"/>
          <w:szCs w:val="20"/>
          <w:highlight w:val="none"/>
        </w:rPr>
      </w:pP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color w:val="auto"/>
          <w:kern w:val="0"/>
          <w:szCs w:val="22"/>
          <w:highlight w:val="none"/>
        </w:rPr>
        <w:t>8.商务技术文件目录</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身份证明或</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授权委托书（格式见附件）；</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企业业绩表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32"/>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第四章评标办法及评分标准中需提供的其他相关资质证书及合同复印件加盖公章；</w:t>
      </w:r>
    </w:p>
    <w:p>
      <w:pPr>
        <w:widowControl/>
        <w:numPr>
          <w:ilvl w:val="0"/>
          <w:numId w:val="32"/>
        </w:numPr>
        <w:snapToGrid w:val="0"/>
        <w:spacing w:line="360" w:lineRule="auto"/>
        <w:ind w:left="210" w:leftChars="100"/>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供应商认为有需要提供的其它证明资料。</w:t>
      </w:r>
    </w:p>
    <w:p>
      <w:pPr>
        <w:widowControl/>
        <w:ind w:firstLine="105" w:firstLineChars="50"/>
        <w:jc w:val="left"/>
        <w:rPr>
          <w:rFonts w:hint="eastAsia" w:ascii="宋体" w:hAnsi="宋体" w:cs="宋体"/>
          <w:b/>
          <w:color w:val="auto"/>
          <w:kern w:val="0"/>
          <w:szCs w:val="20"/>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9.符合性自查表</w:t>
      </w: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符合性自查表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233"/>
        <w:gridCol w:w="3679"/>
        <w:gridCol w:w="147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评审内容</w:t>
            </w:r>
          </w:p>
        </w:tc>
        <w:tc>
          <w:tcPr>
            <w:tcW w:w="3679"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招标文件要求</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自查结论</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restart"/>
            <w:noWrap w:val="0"/>
            <w:vAlign w:val="center"/>
          </w:tcPr>
          <w:p>
            <w:pPr>
              <w:spacing w:line="220" w:lineRule="exact"/>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符合性审</w:t>
            </w:r>
          </w:p>
          <w:p>
            <w:pPr>
              <w:spacing w:line="220" w:lineRule="exact"/>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查（商务技术文件）</w:t>
            </w: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投标函已提交并符合招标文件要求；</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按照招标文件规定要求签署或盖章；</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（三）投标文件有</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签署本人姓名（或印盖本人姓名章），或签署人提供有效的</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授权委托书且授权委托书填写项目齐全的；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（四）</w:t>
            </w:r>
            <w:r>
              <w:rPr>
                <w:rFonts w:hint="eastAsia" w:ascii="宋体" w:hAnsi="宋体" w:cs="宋体"/>
                <w:color w:val="auto"/>
                <w:kern w:val="0"/>
                <w:szCs w:val="20"/>
                <w:highlight w:val="none"/>
              </w:rPr>
              <w:t>投标文件项目齐全；</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kern w:val="0"/>
                <w:highlight w:val="none"/>
              </w:rPr>
            </w:pPr>
            <w:r>
              <w:rPr>
                <w:rFonts w:hint="eastAsia" w:ascii="宋体" w:hAnsi="宋体" w:cs="宋体"/>
                <w:color w:val="auto"/>
                <w:kern w:val="0"/>
                <w:szCs w:val="21"/>
                <w:highlight w:val="none"/>
              </w:rPr>
              <w:t>（五）</w:t>
            </w:r>
            <w:r>
              <w:rPr>
                <w:rFonts w:hint="eastAsia" w:ascii="宋体" w:hAnsi="宋体" w:cs="宋体"/>
                <w:color w:val="auto"/>
                <w:kern w:val="0"/>
                <w:szCs w:val="20"/>
                <w:highlight w:val="none"/>
              </w:rPr>
              <w:t>投标文件标明的响应或偏离与事实相符且无虚假投标的；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投标文件的实质性内容使用中文表述且意思表述明确，前后无矛盾且使用计量单位符合招标文件要求的；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（七）</w:t>
            </w:r>
            <w:r>
              <w:rPr>
                <w:rFonts w:hint="eastAsia" w:ascii="宋体" w:hAnsi="宋体" w:cs="宋体"/>
                <w:color w:val="auto"/>
                <w:kern w:val="0"/>
                <w:szCs w:val="20"/>
                <w:highlight w:val="none"/>
              </w:rPr>
              <w:t>带“★”的条款满足招标文件要求、已实质性响应招标文件要求且投标文件无采购人不能接受的附加条件的；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允许偏离的技术、性能指标或者辅助功能项目发生负偏离未达</w:t>
            </w:r>
            <w:r>
              <w:rPr>
                <w:rFonts w:hint="eastAsia" w:ascii="宋体" w:hAnsi="宋体" w:cs="宋体"/>
                <w:color w:val="auto"/>
                <w:kern w:val="0"/>
                <w:szCs w:val="20"/>
                <w:highlight w:val="none"/>
                <w:lang w:val="en-US" w:eastAsia="zh-CN"/>
              </w:rPr>
              <w:t>4</w:t>
            </w:r>
            <w:r>
              <w:rPr>
                <w:rFonts w:hint="eastAsia" w:ascii="宋体" w:hAnsi="宋体" w:cs="宋体"/>
                <w:color w:val="auto"/>
                <w:kern w:val="0"/>
                <w:szCs w:val="20"/>
                <w:highlight w:val="none"/>
              </w:rPr>
              <w:t>0项（含）以上的；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投标技术方案明确，不存在一个或一个以上备选（替代）投标方案的；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w:t>
            </w:r>
            <w:r>
              <w:rPr>
                <w:rFonts w:hint="eastAsia" w:ascii="宋体" w:hAnsi="宋体" w:cs="宋体"/>
                <w:color w:val="auto"/>
                <w:kern w:val="0"/>
                <w:szCs w:val="20"/>
                <w:highlight w:val="none"/>
              </w:rPr>
              <w:t>商务技术文件中未出现报价或单价的；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（十一）</w:t>
            </w:r>
            <w:r>
              <w:rPr>
                <w:rFonts w:hint="eastAsia" w:ascii="宋体" w:hAnsi="宋体" w:cs="宋体"/>
                <w:color w:val="auto"/>
                <w:kern w:val="0"/>
                <w:szCs w:val="20"/>
                <w:highlight w:val="none"/>
              </w:rPr>
              <w:t>不存在法律、法规和招标文件规定的其他无效情形；</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（十二）</w:t>
            </w:r>
            <w:r>
              <w:rPr>
                <w:rFonts w:hint="eastAsia" w:ascii="宋体" w:hAnsi="宋体" w:cs="宋体"/>
                <w:color w:val="auto"/>
                <w:kern w:val="0"/>
                <w:szCs w:val="20"/>
                <w:highlight w:val="none"/>
              </w:rPr>
              <w:t>不存在投标文件的有效期不满足招标文件要求情形；</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bl>
    <w:p>
      <w:pPr>
        <w:widowControl/>
        <w:adjustRightInd w:val="0"/>
        <w:snapToGrid w:val="0"/>
        <w:spacing w:line="440" w:lineRule="exact"/>
        <w:jc w:val="left"/>
        <w:rPr>
          <w:rFonts w:hint="eastAsia" w:ascii="宋体" w:hAnsi="宋体" w:cs="宋体"/>
          <w:color w:val="auto"/>
          <w:kern w:val="0"/>
          <w:szCs w:val="20"/>
          <w:highlight w:val="none"/>
        </w:rPr>
      </w:pPr>
      <w:r>
        <w:rPr>
          <w:rFonts w:hint="eastAsia" w:ascii="宋体" w:hAnsi="宋体" w:cs="宋体"/>
          <w:b/>
          <w:color w:val="auto"/>
          <w:kern w:val="0"/>
          <w:szCs w:val="21"/>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jc w:val="left"/>
        <w:rPr>
          <w:rFonts w:hint="eastAsia" w:ascii="宋体" w:hAnsi="宋体" w:cs="宋体"/>
          <w:b/>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10.供应商响应表：</w:t>
      </w:r>
    </w:p>
    <w:p>
      <w:pPr>
        <w:widowControl/>
        <w:jc w:val="left"/>
        <w:rPr>
          <w:rFonts w:hint="eastAsia" w:ascii="宋体" w:hAnsi="宋体" w:cs="宋体"/>
          <w:color w:val="auto"/>
          <w:kern w:val="0"/>
          <w:szCs w:val="20"/>
          <w:highlight w:val="none"/>
        </w:rPr>
      </w:pP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供应商响应表</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招标项目编号                      标项号                 </w:t>
      </w:r>
    </w:p>
    <w:tbl>
      <w:tblPr>
        <w:tblStyle w:val="47"/>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证明文件</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bl>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注：1）根据评分标准中技术内容逐条填写，并针对客观分部分进行自评。</w:t>
      </w:r>
    </w:p>
    <w:p>
      <w:pPr>
        <w:widowControl/>
        <w:numPr>
          <w:ilvl w:val="0"/>
          <w:numId w:val="33"/>
        </w:numPr>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请将此表编制在目录页前。</w:t>
      </w:r>
    </w:p>
    <w:p>
      <w:pPr>
        <w:widowControl/>
        <w:jc w:val="left"/>
        <w:rPr>
          <w:rFonts w:hint="eastAsia" w:ascii="宋体" w:hAnsi="宋体" w:cs="宋体"/>
          <w:b/>
          <w:color w:val="auto"/>
          <w:kern w:val="0"/>
          <w:szCs w:val="20"/>
          <w:highlight w:val="none"/>
        </w:rPr>
      </w:pPr>
    </w:p>
    <w:p>
      <w:pPr>
        <w:widowControl/>
        <w:jc w:val="left"/>
        <w:rPr>
          <w:rFonts w:hint="eastAsia" w:ascii="宋体" w:hAnsi="宋体" w:cs="宋体"/>
          <w:color w:val="auto"/>
          <w:kern w:val="0"/>
          <w:szCs w:val="20"/>
          <w:highlight w:val="none"/>
        </w:rPr>
      </w:pPr>
    </w:p>
    <w:p>
      <w:pPr>
        <w:widowControl/>
        <w:ind w:firstLine="6090" w:firstLineChars="29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供应商名称（盖章）：</w:t>
      </w:r>
    </w:p>
    <w:p>
      <w:pPr>
        <w:widowControl/>
        <w:jc w:val="left"/>
        <w:rPr>
          <w:rFonts w:hint="eastAsia" w:ascii="宋体" w:hAnsi="宋体" w:cs="宋体"/>
          <w:color w:val="auto"/>
          <w:kern w:val="0"/>
          <w:szCs w:val="20"/>
          <w:highlight w:val="none"/>
        </w:rPr>
      </w:pPr>
    </w:p>
    <w:p>
      <w:pPr>
        <w:widowControl/>
        <w:ind w:firstLine="6090" w:firstLineChars="29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w:t>
      </w:r>
    </w:p>
    <w:p>
      <w:pPr>
        <w:widowControl/>
        <w:snapToGrid w:val="0"/>
        <w:spacing w:before="50" w:after="50"/>
        <w:jc w:val="left"/>
        <w:rPr>
          <w:rFonts w:hint="eastAsia" w:ascii="宋体" w:hAnsi="宋体" w:cs="宋体"/>
          <w:b/>
          <w:bCs/>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11.技术部分：针对本项目第二章采购需求及第四章评分标准中的条款拟定各种方案，格式自拟；</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12. 投标函</w:t>
      </w: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投 标 函</w:t>
      </w:r>
    </w:p>
    <w:p>
      <w:pPr>
        <w:widowControl/>
        <w:snapToGrid w:val="0"/>
        <w:spacing w:before="120" w:beforeLines="50" w:after="50"/>
        <w:jc w:val="center"/>
        <w:rPr>
          <w:rFonts w:hint="eastAsia" w:ascii="宋体" w:hAnsi="宋体" w:cs="宋体"/>
          <w:b/>
          <w:color w:val="auto"/>
          <w:kern w:val="0"/>
          <w:szCs w:val="21"/>
          <w:highlight w:val="none"/>
        </w:rPr>
      </w:pP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（招标采购单位名称）：</w:t>
      </w:r>
    </w:p>
    <w:p>
      <w:pPr>
        <w:widowControl/>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根据贵方为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项目的</w:t>
      </w:r>
      <w:r>
        <w:rPr>
          <w:rFonts w:hint="eastAsia" w:ascii="宋体" w:hAnsi="宋体" w:cs="宋体"/>
          <w:color w:val="auto"/>
          <w:kern w:val="0"/>
          <w:szCs w:val="21"/>
          <w:highlight w:val="none"/>
          <w:lang w:val="en-US" w:eastAsia="zh-CN"/>
        </w:rPr>
        <w:t>公开招标</w:t>
      </w:r>
      <w:r>
        <w:rPr>
          <w:rFonts w:hint="eastAsia" w:ascii="宋体" w:hAnsi="宋体" w:cs="宋体"/>
          <w:color w:val="auto"/>
          <w:kern w:val="0"/>
          <w:szCs w:val="21"/>
          <w:highlight w:val="none"/>
        </w:rPr>
        <w:t>公告/投标邀请书（项目编号：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，标项号：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），签字代表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（全名）经正式授权并代表供应商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（供应商名称）提交投标文件。</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据此函，签字代表宣布同意如下：</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2.供应商在投标之前已经与贵方进行了充分的沟通，完全理解并接受招标文件的各项规定和要求，对招标文件的合理性、合法性不再有异议。</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3.本投标有效期自开标日起______</w:t>
      </w:r>
      <w:r>
        <w:rPr>
          <w:rFonts w:hint="eastAsia" w:ascii="宋体" w:hAnsi="宋体" w:cs="宋体"/>
          <w:color w:val="auto"/>
          <w:kern w:val="0"/>
          <w:szCs w:val="21"/>
          <w:highlight w:val="none"/>
          <w:lang w:val="en-US" w:eastAsia="zh-CN"/>
        </w:rPr>
        <w:t>天</w:t>
      </w:r>
      <w:r>
        <w:rPr>
          <w:rFonts w:hint="eastAsia" w:ascii="宋体" w:hAnsi="宋体" w:cs="宋体"/>
          <w:color w:val="auto"/>
          <w:kern w:val="0"/>
          <w:szCs w:val="21"/>
          <w:highlight w:val="none"/>
        </w:rPr>
        <w:t>。</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4.如中标，本投标文件至本项目合同履行完毕止均保持有效，本供应商将按“招标文件”及政府采购法律、法规的规定履行合同责任和义务。</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5.供应商同意按照贵方要求提供与投标有关的一切数据或资料。</w:t>
      </w:r>
    </w:p>
    <w:p>
      <w:pPr>
        <w:widowControl/>
        <w:snapToGrid w:val="0"/>
        <w:spacing w:line="360" w:lineRule="auto"/>
        <w:ind w:firstLine="420" w:firstLineChars="200"/>
        <w:jc w:val="left"/>
        <w:rPr>
          <w:rFonts w:hint="eastAsia" w:ascii="宋体" w:hAnsi="宋体" w:cs="宋体"/>
          <w:color w:val="auto"/>
          <w:kern w:val="0"/>
          <w:szCs w:val="20"/>
          <w:highlight w:val="none"/>
          <w:lang w:val="zh-CN"/>
        </w:rPr>
      </w:pPr>
      <w:r>
        <w:rPr>
          <w:rFonts w:hint="eastAsia" w:ascii="宋体" w:hAnsi="宋体" w:cs="宋体"/>
          <w:color w:val="auto"/>
          <w:kern w:val="0"/>
          <w:szCs w:val="21"/>
          <w:highlight w:val="none"/>
        </w:rPr>
        <w:t>6.</w:t>
      </w:r>
      <w:r>
        <w:rPr>
          <w:rFonts w:hint="eastAsia" w:ascii="宋体" w:hAnsi="宋体" w:cs="宋体"/>
          <w:color w:val="auto"/>
          <w:kern w:val="0"/>
          <w:szCs w:val="20"/>
          <w:highlight w:val="none"/>
          <w:lang w:val="zh-CN"/>
        </w:rPr>
        <w:t>我们郑重声明：本投标文件提供的情况和文件完全是真实的。</w:t>
      </w:r>
    </w:p>
    <w:p>
      <w:pPr>
        <w:widowControl/>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zh-CN"/>
        </w:rPr>
        <w:t>按照</w:t>
      </w:r>
      <w:r>
        <w:rPr>
          <w:rFonts w:hint="eastAsia" w:ascii="宋体" w:hAnsi="宋体" w:cs="宋体"/>
          <w:color w:val="auto"/>
          <w:kern w:val="0"/>
          <w:szCs w:val="21"/>
          <w:highlight w:val="none"/>
        </w:rPr>
        <w:t>招标文件</w:t>
      </w:r>
      <w:r>
        <w:rPr>
          <w:rFonts w:hint="eastAsia" w:ascii="宋体" w:hAnsi="宋体" w:cs="宋体"/>
          <w:color w:val="auto"/>
          <w:kern w:val="0"/>
          <w:szCs w:val="21"/>
          <w:highlight w:val="none"/>
          <w:lang w:val="zh-CN"/>
        </w:rPr>
        <w:t>的规定，在中标后向</w:t>
      </w:r>
      <w:r>
        <w:rPr>
          <w:rFonts w:hint="eastAsia" w:ascii="宋体" w:hAnsi="宋体" w:cs="宋体"/>
          <w:color w:val="auto"/>
          <w:kern w:val="0"/>
          <w:szCs w:val="21"/>
          <w:highlight w:val="none"/>
        </w:rPr>
        <w:t>采购代理机构</w:t>
      </w:r>
      <w:r>
        <w:rPr>
          <w:rFonts w:hint="eastAsia" w:ascii="宋体" w:hAnsi="宋体" w:cs="宋体"/>
          <w:color w:val="auto"/>
          <w:kern w:val="0"/>
          <w:szCs w:val="21"/>
          <w:highlight w:val="none"/>
          <w:lang w:val="zh-CN"/>
        </w:rPr>
        <w:t>一次性支付招标代理费。</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8.与本投标有关的一切正式往来信函请寄：</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邮编：__________   电话：______________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传真：______________供应商代表姓名 ___________  职务：______</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供应商名称(公章):___________________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银行</w:t>
      </w:r>
      <w:r>
        <w:rPr>
          <w:rFonts w:hint="eastAsia" w:ascii="宋体" w:hAnsi="宋体" w:cs="宋体"/>
          <w:color w:val="auto"/>
          <w:kern w:val="0"/>
          <w:szCs w:val="21"/>
          <w:highlight w:val="none"/>
          <w:lang w:val="en-US" w:eastAsia="zh-CN"/>
        </w:rPr>
        <w:t>账</w:t>
      </w:r>
      <w:r>
        <w:rPr>
          <w:rFonts w:hint="eastAsia" w:ascii="宋体" w:hAnsi="宋体" w:cs="宋体"/>
          <w:color w:val="auto"/>
          <w:kern w:val="0"/>
          <w:szCs w:val="21"/>
          <w:highlight w:val="none"/>
        </w:rPr>
        <w:t>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napToGrid w:val="0"/>
        <w:spacing w:before="50" w:after="120"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 xml:space="preserve">或授权代表（签名或印章）:___________          </w:t>
      </w:r>
    </w:p>
    <w:p>
      <w:pPr>
        <w:widowControl/>
        <w:snapToGrid w:val="0"/>
        <w:spacing w:before="50" w:after="120"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日期:_____年___月___日</w:t>
      </w:r>
    </w:p>
    <w:p>
      <w:pPr>
        <w:widowControl/>
        <w:jc w:val="left"/>
        <w:rPr>
          <w:rFonts w:hint="eastAsia" w:ascii="宋体" w:hAnsi="宋体" w:cs="宋体"/>
          <w:b/>
          <w:color w:val="auto"/>
          <w:kern w:val="0"/>
          <w:szCs w:val="20"/>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eastAsia="zh-CN"/>
        </w:rPr>
        <w:t>法定代表人（或企业负责人）</w:t>
      </w:r>
      <w:r>
        <w:rPr>
          <w:rFonts w:hint="eastAsia" w:ascii="宋体" w:hAnsi="宋体" w:cs="宋体"/>
          <w:b/>
          <w:color w:val="auto"/>
          <w:kern w:val="0"/>
          <w:szCs w:val="20"/>
          <w:highlight w:val="none"/>
        </w:rPr>
        <w:t>身份证明及授权委托书格式：</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eastAsia="zh-CN"/>
        </w:rPr>
        <w:t>法定代表人（或企业负责人）</w:t>
      </w:r>
      <w:r>
        <w:rPr>
          <w:rFonts w:hint="eastAsia" w:ascii="宋体" w:hAnsi="宋体" w:cs="宋体"/>
          <w:b/>
          <w:color w:val="auto"/>
          <w:kern w:val="0"/>
          <w:szCs w:val="21"/>
          <w:highlight w:val="none"/>
        </w:rPr>
        <w:t>身份证明</w:t>
      </w:r>
    </w:p>
    <w:p>
      <w:pPr>
        <w:widowControl/>
        <w:spacing w:line="480" w:lineRule="auto"/>
        <w:jc w:val="center"/>
        <w:rPr>
          <w:rFonts w:hint="eastAsia" w:ascii="宋体" w:hAnsi="宋体" w:cs="宋体"/>
          <w:b/>
          <w:color w:val="auto"/>
          <w:kern w:val="0"/>
          <w:sz w:val="24"/>
          <w:szCs w:val="20"/>
          <w:highlight w:val="none"/>
        </w:rPr>
      </w:pPr>
      <w:r>
        <w:rPr>
          <w:rFonts w:hint="eastAsia" w:ascii="宋体" w:hAnsi="宋体" w:cs="宋体"/>
          <w:bCs/>
          <w:color w:val="auto"/>
          <w:kern w:val="0"/>
          <w:sz w:val="24"/>
          <w:szCs w:val="20"/>
          <w:highlight w:val="none"/>
        </w:rPr>
        <w:t>（</w:t>
      </w:r>
      <w:r>
        <w:rPr>
          <w:rFonts w:hint="eastAsia" w:ascii="宋体" w:hAnsi="宋体" w:cs="宋体"/>
          <w:bCs/>
          <w:color w:val="auto"/>
          <w:kern w:val="0"/>
          <w:sz w:val="24"/>
          <w:szCs w:val="20"/>
          <w:highlight w:val="none"/>
          <w:lang w:eastAsia="zh-CN"/>
        </w:rPr>
        <w:t>法定代表人（或企业负责人）</w:t>
      </w:r>
      <w:r>
        <w:rPr>
          <w:rFonts w:hint="eastAsia" w:ascii="宋体" w:hAnsi="宋体" w:cs="宋体"/>
          <w:bCs/>
          <w:color w:val="auto"/>
          <w:kern w:val="0"/>
          <w:sz w:val="24"/>
          <w:szCs w:val="20"/>
          <w:highlight w:val="none"/>
        </w:rPr>
        <w:t>不来投标的，此表不用）</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单位性质：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经营期限：</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年龄：</w:t>
      </w:r>
      <w:r>
        <w:rPr>
          <w:rFonts w:hint="eastAsia" w:ascii="宋体" w:hAnsi="宋体" w:cs="宋体"/>
          <w:color w:val="auto"/>
          <w:kern w:val="0"/>
          <w:szCs w:val="21"/>
          <w:highlight w:val="none"/>
          <w:u w:val="single"/>
        </w:rPr>
        <w:t xml:space="preserve">    周岁  </w:t>
      </w:r>
      <w:r>
        <w:rPr>
          <w:rFonts w:hint="eastAsia" w:ascii="宋体" w:hAnsi="宋体" w:cs="宋体"/>
          <w:color w:val="auto"/>
          <w:kern w:val="0"/>
          <w:szCs w:val="21"/>
          <w:highlight w:val="none"/>
        </w:rPr>
        <w:t>职务：</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_</w:t>
      </w:r>
    </w:p>
    <w:p>
      <w:pPr>
        <w:widowControl/>
        <w:spacing w:line="48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（供应商名称）的</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w:t>
      </w:r>
    </w:p>
    <w:p>
      <w:pPr>
        <w:widowControl/>
        <w:spacing w:line="480" w:lineRule="auto"/>
        <w:ind w:firstLine="840" w:firstLineChars="4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特此证明。</w:t>
      </w:r>
    </w:p>
    <w:p>
      <w:pPr>
        <w:widowControl/>
        <w:spacing w:line="360" w:lineRule="auto"/>
        <w:ind w:firstLine="420" w:firstLineChars="200"/>
        <w:jc w:val="left"/>
        <w:rPr>
          <w:rFonts w:hint="eastAsia" w:ascii="宋体" w:hAnsi="宋体" w:cs="宋体"/>
          <w:color w:val="auto"/>
          <w:kern w:val="0"/>
          <w:szCs w:val="21"/>
          <w:highlight w:val="none"/>
        </w:rPr>
      </w:pPr>
    </w:p>
    <w:p>
      <w:pPr>
        <w:widowControl/>
        <w:spacing w:line="360" w:lineRule="auto"/>
        <w:ind w:firstLine="420" w:firstLineChars="200"/>
        <w:jc w:val="left"/>
        <w:rPr>
          <w:rFonts w:hint="eastAsia" w:ascii="宋体" w:hAnsi="宋体" w:cs="宋体"/>
          <w:color w:val="auto"/>
          <w:kern w:val="0"/>
          <w:szCs w:val="21"/>
          <w:highlight w:val="none"/>
        </w:rPr>
      </w:pPr>
    </w:p>
    <w:p>
      <w:pPr>
        <w:widowControl/>
        <w:wordWrap w:val="0"/>
        <w:spacing w:line="360" w:lineRule="auto"/>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（盖单位公章）</w:t>
      </w:r>
    </w:p>
    <w:p>
      <w:pPr>
        <w:widowControl/>
        <w:spacing w:line="360" w:lineRule="auto"/>
        <w:ind w:firstLine="4515" w:firstLineChars="2150"/>
        <w:jc w:val="left"/>
        <w:rPr>
          <w:rFonts w:hint="eastAsia" w:ascii="宋体" w:hAnsi="宋体" w:cs="宋体"/>
          <w:color w:val="auto"/>
          <w:kern w:val="0"/>
          <w:szCs w:val="21"/>
          <w:highlight w:val="none"/>
          <w:u w:val="single"/>
        </w:rPr>
      </w:pPr>
    </w:p>
    <w:p>
      <w:pPr>
        <w:widowControl/>
        <w:spacing w:line="360" w:lineRule="auto"/>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widowControl/>
        <w:spacing w:line="360" w:lineRule="auto"/>
        <w:jc w:val="left"/>
        <w:rPr>
          <w:rFonts w:hint="eastAsia" w:ascii="宋体" w:hAnsi="宋体" w:cs="宋体"/>
          <w:color w:val="auto"/>
          <w:kern w:val="0"/>
          <w:sz w:val="24"/>
          <w:szCs w:val="20"/>
          <w:highlight w:val="none"/>
        </w:rPr>
      </w:pPr>
    </w:p>
    <w:p>
      <w:pPr>
        <w:widowControl/>
        <w:spacing w:line="360" w:lineRule="auto"/>
        <w:jc w:val="left"/>
        <w:rPr>
          <w:rFonts w:hint="eastAsia" w:ascii="宋体" w:hAnsi="宋体" w:cs="宋体"/>
          <w:b/>
          <w:color w:val="auto"/>
          <w:kern w:val="0"/>
          <w:szCs w:val="21"/>
          <w:highlight w:val="none"/>
        </w:rPr>
      </w:pPr>
    </w:p>
    <w:p>
      <w:pPr>
        <w:widowControl/>
        <w:spacing w:line="360" w:lineRule="auto"/>
        <w:jc w:val="left"/>
        <w:rPr>
          <w:rFonts w:hint="eastAsia" w:ascii="宋体" w:hAnsi="宋体" w:cs="宋体"/>
          <w:b/>
          <w:color w:val="auto"/>
          <w:kern w:val="0"/>
          <w:szCs w:val="21"/>
          <w:highlight w:val="none"/>
        </w:rPr>
      </w:pP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附</w:t>
      </w:r>
      <w:r>
        <w:rPr>
          <w:rFonts w:hint="eastAsia" w:ascii="宋体" w:hAnsi="宋体" w:cs="宋体"/>
          <w:b/>
          <w:color w:val="auto"/>
          <w:kern w:val="0"/>
          <w:szCs w:val="21"/>
          <w:highlight w:val="none"/>
          <w:lang w:eastAsia="zh-CN"/>
        </w:rPr>
        <w:t>法定代表人（或企业负责人）</w:t>
      </w:r>
      <w:r>
        <w:rPr>
          <w:rFonts w:hint="eastAsia" w:ascii="宋体" w:hAnsi="宋体" w:cs="宋体"/>
          <w:b/>
          <w:color w:val="auto"/>
          <w:kern w:val="0"/>
          <w:szCs w:val="21"/>
          <w:highlight w:val="none"/>
        </w:rPr>
        <w:t>身份证复印件（正反面）：</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b/>
          <w:color w:val="auto"/>
          <w:kern w:val="0"/>
          <w:sz w:val="32"/>
          <w:szCs w:val="32"/>
          <w:highlight w:val="none"/>
        </w:rPr>
      </w:pPr>
    </w:p>
    <w:p>
      <w:pPr>
        <w:widowControl/>
        <w:jc w:val="left"/>
        <w:rPr>
          <w:rFonts w:hint="eastAsia" w:ascii="宋体" w:hAnsi="宋体" w:cs="宋体"/>
          <w:b/>
          <w:color w:val="auto"/>
          <w:kern w:val="0"/>
          <w:sz w:val="32"/>
          <w:szCs w:val="32"/>
          <w:highlight w:val="none"/>
        </w:rPr>
      </w:pPr>
    </w:p>
    <w:p>
      <w:pPr>
        <w:widowControl/>
        <w:jc w:val="left"/>
        <w:rPr>
          <w:rFonts w:hint="eastAsia" w:ascii="宋体" w:hAnsi="宋体" w:cs="宋体"/>
          <w:b/>
          <w:color w:val="auto"/>
          <w:kern w:val="0"/>
          <w:sz w:val="32"/>
          <w:szCs w:val="32"/>
          <w:highlight w:val="none"/>
        </w:rPr>
      </w:pPr>
    </w:p>
    <w:p>
      <w:pPr>
        <w:jc w:val="center"/>
        <w:rPr>
          <w:rFonts w:hint="eastAsia" w:ascii="宋体" w:hAnsi="宋体" w:cs="宋体"/>
          <w:b/>
          <w:color w:val="auto"/>
          <w:sz w:val="32"/>
          <w:szCs w:val="32"/>
          <w:highlight w:val="none"/>
        </w:rPr>
      </w:pPr>
      <w:r>
        <w:rPr>
          <w:rFonts w:hint="eastAsia" w:ascii="宋体" w:hAnsi="宋体" w:cs="宋体"/>
          <w:b/>
          <w:bCs/>
          <w:color w:val="auto"/>
          <w:kern w:val="0"/>
          <w:sz w:val="28"/>
          <w:szCs w:val="28"/>
          <w:highlight w:val="none"/>
        </w:rPr>
        <w:br w:type="page"/>
      </w:r>
      <w:r>
        <w:rPr>
          <w:rFonts w:hint="eastAsia" w:ascii="宋体" w:hAnsi="宋体" w:cs="宋体"/>
          <w:b/>
          <w:color w:val="auto"/>
          <w:szCs w:val="21"/>
          <w:highlight w:val="none"/>
          <w:lang w:eastAsia="zh-CN"/>
        </w:rPr>
        <w:t>法定代表人（或企业负责人）</w:t>
      </w:r>
      <w:r>
        <w:rPr>
          <w:rFonts w:hint="eastAsia" w:ascii="宋体" w:hAnsi="宋体" w:cs="宋体"/>
          <w:b/>
          <w:color w:val="auto"/>
          <w:szCs w:val="21"/>
          <w:highlight w:val="none"/>
        </w:rPr>
        <w:t>授权委托书</w:t>
      </w:r>
    </w:p>
    <w:p>
      <w:pPr>
        <w:jc w:val="center"/>
        <w:rPr>
          <w:rFonts w:hint="eastAsia" w:ascii="宋体" w:hAnsi="宋体" w:cs="宋体"/>
          <w:b/>
          <w:color w:val="auto"/>
          <w:sz w:val="32"/>
          <w:szCs w:val="32"/>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法定代表人（或企业负责人）</w:t>
      </w:r>
      <w:r>
        <w:rPr>
          <w:rFonts w:hint="eastAsia" w:ascii="宋体" w:hAnsi="宋体" w:cs="宋体"/>
          <w:bCs/>
          <w:color w:val="auto"/>
          <w:sz w:val="24"/>
          <w:highlight w:val="none"/>
        </w:rPr>
        <w:t>来投标的，此表不用）</w:t>
      </w:r>
    </w:p>
    <w:p>
      <w:pPr>
        <w:snapToGrid w:val="0"/>
        <w:spacing w:line="360" w:lineRule="auto"/>
        <w:rPr>
          <w:rFonts w:hint="eastAsia" w:ascii="宋体" w:hAnsi="宋体" w:cs="宋体"/>
          <w:bCs/>
          <w:color w:val="auto"/>
          <w:sz w:val="24"/>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 xml:space="preserve">，现授权委托本单位在职职工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被授权人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法定代表人（或企业负责人）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p>
    <w:p>
      <w:pPr>
        <w:snapToGrid w:val="0"/>
        <w:spacing w:line="360" w:lineRule="auto"/>
        <w:ind w:firstLine="4830" w:firstLineChars="2300"/>
        <w:rPr>
          <w:rFonts w:hint="eastAsia" w:ascii="宋体" w:hAnsi="宋体" w:cs="宋体"/>
          <w:color w:val="auto"/>
          <w:szCs w:val="21"/>
          <w:highlight w:val="none"/>
        </w:rPr>
      </w:pPr>
      <w:r>
        <w:rPr>
          <w:rFonts w:hint="eastAsia" w:ascii="宋体" w:hAnsi="宋体" w:cs="宋体"/>
          <w:color w:val="auto"/>
          <w:szCs w:val="21"/>
          <w:highlight w:val="none"/>
        </w:rPr>
        <w:t>供应商公章：</w:t>
      </w:r>
    </w:p>
    <w:p>
      <w:pPr>
        <w:snapToGrid w:val="0"/>
        <w:spacing w:line="360" w:lineRule="auto"/>
        <w:ind w:firstLine="4830" w:firstLineChars="2300"/>
        <w:rPr>
          <w:rFonts w:hint="eastAsia" w:ascii="宋体" w:hAnsi="宋体" w:cs="宋体"/>
          <w:color w:val="auto"/>
          <w:szCs w:val="21"/>
          <w:highlight w:val="none"/>
        </w:rPr>
      </w:pPr>
    </w:p>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hint="eastAsia" w:ascii="宋体" w:hAnsi="宋体" w:cs="宋体"/>
          <w:b/>
          <w:color w:val="auto"/>
          <w:szCs w:val="21"/>
          <w:highlight w:val="none"/>
        </w:rPr>
      </w:pPr>
    </w:p>
    <w:p>
      <w:pPr>
        <w:spacing w:line="360" w:lineRule="auto"/>
        <w:rPr>
          <w:rFonts w:hint="eastAsia" w:ascii="宋体" w:hAnsi="宋体" w:cs="宋体"/>
          <w:b/>
          <w:color w:val="auto"/>
          <w:szCs w:val="21"/>
          <w:highlight w:val="none"/>
        </w:rPr>
      </w:pPr>
    </w:p>
    <w:p>
      <w:pPr>
        <w:widowControl/>
        <w:snapToGrid w:val="0"/>
        <w:spacing w:before="50" w:after="50"/>
        <w:jc w:val="left"/>
        <w:rPr>
          <w:rFonts w:hint="eastAsia" w:ascii="宋体" w:hAnsi="宋体" w:cs="宋体"/>
          <w:b/>
          <w:color w:val="auto"/>
          <w:kern w:val="0"/>
          <w:szCs w:val="21"/>
          <w:highlight w:val="none"/>
        </w:rPr>
      </w:pPr>
      <w:r>
        <w:rPr>
          <w:rFonts w:hint="eastAsia" w:ascii="宋体" w:hAnsi="宋体" w:cs="宋体"/>
          <w:b/>
          <w:color w:val="auto"/>
          <w:szCs w:val="21"/>
          <w:highlight w:val="none"/>
        </w:rPr>
        <w:t>附：</w:t>
      </w:r>
      <w:r>
        <w:rPr>
          <w:rFonts w:hint="eastAsia" w:ascii="宋体" w:hAnsi="宋体" w:cs="宋体"/>
          <w:b/>
          <w:color w:val="auto"/>
          <w:szCs w:val="21"/>
          <w:highlight w:val="none"/>
          <w:lang w:eastAsia="zh-CN"/>
        </w:rPr>
        <w:t>法定代表人（或企业负责人）</w:t>
      </w:r>
      <w:r>
        <w:rPr>
          <w:rFonts w:hint="eastAsia" w:ascii="宋体" w:hAnsi="宋体" w:cs="宋体"/>
          <w:b/>
          <w:color w:val="auto"/>
          <w:szCs w:val="21"/>
          <w:highlight w:val="none"/>
        </w:rPr>
        <w:t>身份证复印件（正反面）、授权代表身份证复印件（正反面）及开标日前近三个月</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2021年11月、12月和2022年1月</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当地相关部门出具的社保证明。</w:t>
      </w: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Cs w:val="21"/>
          <w:highlight w:val="none"/>
        </w:rPr>
        <w:t>14.技术（服务）条款偏离表</w:t>
      </w: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技术（服务）条款偏离表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5110"/>
        <w:gridCol w:w="158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5110"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招标文件的技术（服务）条款</w:t>
            </w:r>
          </w:p>
        </w:tc>
        <w:tc>
          <w:tcPr>
            <w:tcW w:w="1582"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29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bl>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15. 商务条款偏离表</w:t>
      </w: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商务条款偏离表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4926"/>
        <w:gridCol w:w="166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492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招标文件的商务条款</w:t>
            </w:r>
          </w:p>
        </w:tc>
        <w:tc>
          <w:tcPr>
            <w:tcW w:w="1669"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25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bl>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供应商须按第二章《采购需求》</w:t>
      </w:r>
      <w:r>
        <w:rPr>
          <w:rFonts w:hint="eastAsia" w:ascii="宋体" w:hAnsi="宋体" w:cs="宋体"/>
          <w:color w:val="auto"/>
          <w:kern w:val="0"/>
          <w:szCs w:val="21"/>
          <w:highlight w:val="none"/>
        </w:rPr>
        <w:t>“</w:t>
      </w:r>
      <w:r>
        <w:rPr>
          <w:rFonts w:hint="eastAsia" w:ascii="宋体" w:hAnsi="宋体" w:cs="宋体"/>
          <w:color w:val="auto"/>
          <w:kern w:val="0"/>
          <w:szCs w:val="20"/>
          <w:highlight w:val="none"/>
        </w:rPr>
        <w:t>一、重要商务要求一览表”逐项填写，并根据“第五章 政府采购合同主要条款”内容自行补充。</w:t>
      </w:r>
    </w:p>
    <w:p>
      <w:pPr>
        <w:widowControl/>
        <w:snapToGrid w:val="0"/>
        <w:spacing w:before="50"/>
        <w:jc w:val="left"/>
        <w:rPr>
          <w:rFonts w:hint="eastAsia" w:ascii="宋体" w:hAnsi="宋体" w:cs="宋体"/>
          <w:color w:val="auto"/>
          <w:kern w:val="0"/>
          <w:szCs w:val="20"/>
          <w:highlight w:val="none"/>
        </w:rPr>
      </w:pPr>
    </w:p>
    <w:p>
      <w:pPr>
        <w:widowControl/>
        <w:snapToGrid w:val="0"/>
        <w:spacing w:before="50"/>
        <w:jc w:val="left"/>
        <w:rPr>
          <w:rFonts w:hint="eastAsia" w:ascii="宋体" w:hAnsi="宋体" w:cs="宋体"/>
          <w:color w:val="auto"/>
          <w:kern w:val="0"/>
          <w:szCs w:val="20"/>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16.供应商情况一览表</w:t>
      </w:r>
    </w:p>
    <w:p>
      <w:pPr>
        <w:widowControl/>
        <w:snapToGrid w:val="0"/>
        <w:spacing w:before="120" w:beforeLines="50" w:after="50"/>
        <w:jc w:val="left"/>
        <w:rPr>
          <w:rFonts w:hint="eastAsia" w:ascii="宋体" w:hAnsi="宋体" w:cs="宋体"/>
          <w:color w:val="auto"/>
          <w:kern w:val="0"/>
          <w:szCs w:val="21"/>
          <w:highlight w:val="none"/>
        </w:rPr>
      </w:pP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供应商情况一览表</w:t>
      </w:r>
    </w:p>
    <w:tbl>
      <w:tblPr>
        <w:tblStyle w:val="47"/>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单位名称</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地  址</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法定代表人（或企业负责人）</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注册资本</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p>
        </w:tc>
        <w:tc>
          <w:tcPr>
            <w:tcW w:w="25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67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帐  号</w:t>
            </w:r>
          </w:p>
        </w:tc>
        <w:tc>
          <w:tcPr>
            <w:tcW w:w="26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联系电话</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企业总人数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管理</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技术</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职工</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经营范围</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bl>
    <w:p>
      <w:pPr>
        <w:widowControl/>
        <w:snapToGrid w:val="0"/>
        <w:spacing w:before="50" w:after="120" w:afterLines="50"/>
        <w:jc w:val="left"/>
        <w:rPr>
          <w:rFonts w:hint="eastAsia" w:ascii="宋体" w:hAnsi="宋体" w:cs="宋体"/>
          <w:color w:val="auto"/>
          <w:kern w:val="0"/>
          <w:szCs w:val="21"/>
          <w:highlight w:val="none"/>
        </w:rPr>
      </w:pPr>
    </w:p>
    <w:p>
      <w:pPr>
        <w:widowControl/>
        <w:snapToGrid w:val="0"/>
        <w:spacing w:before="50" w:after="120" w:afterLines="50"/>
        <w:jc w:val="left"/>
        <w:rPr>
          <w:rFonts w:hint="eastAsia" w:ascii="宋体" w:hAnsi="宋体" w:cs="宋体"/>
          <w:color w:val="auto"/>
          <w:kern w:val="0"/>
          <w:szCs w:val="21"/>
          <w:highlight w:val="none"/>
        </w:rPr>
      </w:pPr>
    </w:p>
    <w:p>
      <w:pPr>
        <w:snapToGrid w:val="0"/>
        <w:spacing w:before="50" w:after="120" w:afterLines="50"/>
        <w:rPr>
          <w:rFonts w:hint="eastAsia" w:ascii="宋体" w:hAnsi="宋体" w:cs="宋体"/>
          <w:color w:val="auto"/>
          <w:szCs w:val="21"/>
          <w:highlight w:val="none"/>
        </w:rPr>
        <w:sectPr>
          <w:pgSz w:w="11906" w:h="16838"/>
          <w:pgMar w:top="1440" w:right="1417" w:bottom="1247" w:left="1474" w:header="851" w:footer="851" w:gutter="0"/>
          <w:pgNumType w:fmt="decimal"/>
          <w:cols w:space="720" w:num="1"/>
          <w:titlePg/>
          <w:docGrid w:linePitch="312" w:charSpace="0"/>
        </w:sect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17.企业业绩表：</w:t>
      </w:r>
    </w:p>
    <w:p>
      <w:pPr>
        <w:widowControl/>
        <w:jc w:val="center"/>
        <w:rPr>
          <w:rFonts w:hint="eastAsia" w:ascii="宋体" w:hAnsi="宋体" w:cs="宋体"/>
          <w:color w:val="auto"/>
          <w:kern w:val="0"/>
          <w:szCs w:val="21"/>
          <w:highlight w:val="none"/>
        </w:rPr>
      </w:pPr>
    </w:p>
    <w:p>
      <w:pPr>
        <w:widowControl/>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企业业绩表</w:t>
      </w:r>
    </w:p>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项目编号：                   项目名称：                       标项号：</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序号</w:t>
            </w:r>
          </w:p>
        </w:tc>
        <w:tc>
          <w:tcPr>
            <w:tcW w:w="1783" w:type="dxa"/>
            <w:noWrap w:val="0"/>
            <w:vAlign w:val="center"/>
          </w:tcPr>
          <w:p>
            <w:pPr>
              <w:widowControl/>
              <w:tabs>
                <w:tab w:val="left" w:pos="3165"/>
              </w:tabs>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1192"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业主单位</w:t>
            </w:r>
          </w:p>
        </w:tc>
        <w:tc>
          <w:tcPr>
            <w:tcW w:w="1192"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合同金额</w:t>
            </w:r>
          </w:p>
        </w:tc>
        <w:tc>
          <w:tcPr>
            <w:tcW w:w="1638"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合同签订日期</w:t>
            </w:r>
          </w:p>
        </w:tc>
        <w:tc>
          <w:tcPr>
            <w:tcW w:w="1869" w:type="dxa"/>
            <w:noWrap w:val="0"/>
            <w:vAlign w:val="center"/>
          </w:tcPr>
          <w:p>
            <w:pPr>
              <w:widowControl/>
              <w:tabs>
                <w:tab w:val="left" w:pos="3165"/>
              </w:tabs>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bl>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注：</w:t>
      </w:r>
    </w:p>
    <w:p>
      <w:pPr>
        <w:widowControl/>
        <w:autoSpaceDE w:val="0"/>
        <w:autoSpaceDN w:val="0"/>
        <w:spacing w:line="386" w:lineRule="exact"/>
        <w:jc w:val="left"/>
        <w:rPr>
          <w:rFonts w:hint="eastAsia" w:ascii="宋体" w:hAnsi="宋体" w:cs="宋体"/>
          <w:bCs/>
          <w:color w:val="auto"/>
          <w:kern w:val="0"/>
          <w:szCs w:val="21"/>
          <w:highlight w:val="none"/>
        </w:rPr>
      </w:pPr>
      <w:r>
        <w:rPr>
          <w:rFonts w:hint="eastAsia" w:ascii="宋体" w:hAnsi="宋体" w:cs="宋体"/>
          <w:color w:val="auto"/>
          <w:kern w:val="0"/>
          <w:szCs w:val="21"/>
          <w:highlight w:val="none"/>
        </w:rPr>
        <w:t>1．供应商所提供合同必须是真实有效的。在合同签订前，如采购人经核实后发现与实际情况不符，取消其中标资格，并按有关规定处理。</w:t>
      </w:r>
    </w:p>
    <w:p>
      <w:pPr>
        <w:widowControl/>
        <w:autoSpaceDE w:val="0"/>
        <w:autoSpaceDN w:val="0"/>
        <w:spacing w:line="386"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2．此表在不改变表式的情况下，可自行制作。</w:t>
      </w:r>
    </w:p>
    <w:p>
      <w:pPr>
        <w:widowControl/>
        <w:autoSpaceDE w:val="0"/>
        <w:autoSpaceDN w:val="0"/>
        <w:spacing w:line="426" w:lineRule="exact"/>
        <w:ind w:left="5280"/>
        <w:jc w:val="left"/>
        <w:rPr>
          <w:rFonts w:hint="eastAsia" w:ascii="宋体" w:hAnsi="宋体" w:cs="宋体"/>
          <w:color w:val="auto"/>
          <w:kern w:val="0"/>
          <w:szCs w:val="21"/>
          <w:highlight w:val="none"/>
        </w:rPr>
      </w:pPr>
    </w:p>
    <w:p>
      <w:pPr>
        <w:widowControl/>
        <w:autoSpaceDE w:val="0"/>
        <w:autoSpaceDN w:val="0"/>
        <w:spacing w:line="426" w:lineRule="exact"/>
        <w:ind w:left="5280"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供应商名称（盖章）：</w:t>
      </w:r>
    </w:p>
    <w:p>
      <w:pPr>
        <w:widowControl/>
        <w:autoSpaceDE w:val="0"/>
        <w:autoSpaceDN w:val="0"/>
        <w:spacing w:line="426" w:lineRule="exact"/>
        <w:ind w:left="5280"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或授权代表（签名或印章）：</w:t>
      </w:r>
    </w:p>
    <w:p>
      <w:pPr>
        <w:widowControl/>
        <w:tabs>
          <w:tab w:val="left" w:pos="3165"/>
        </w:tabs>
        <w:jc w:val="center"/>
        <w:rPr>
          <w:rFonts w:hint="eastAsia" w:ascii="宋体" w:hAnsi="宋体" w:cs="宋体"/>
          <w:color w:val="auto"/>
          <w:kern w:val="0"/>
          <w:szCs w:val="21"/>
          <w:highlight w:val="none"/>
        </w:rPr>
      </w:pPr>
    </w:p>
    <w:p>
      <w:pPr>
        <w:widowControl/>
        <w:tabs>
          <w:tab w:val="left" w:pos="3165"/>
        </w:tabs>
        <w:ind w:right="1080"/>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202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  月  日</w:t>
      </w: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18.第四章评标办法及评分标准中需提供的其他相关资质证书及合同复印件加盖公章；</w:t>
      </w: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19.供应商认为有需要提供的其它有关证明资料。</w:t>
      </w:r>
    </w:p>
    <w:p>
      <w:pPr>
        <w:widowControl/>
        <w:snapToGrid w:val="0"/>
        <w:spacing w:before="50" w:after="120" w:afterLines="50"/>
        <w:jc w:val="center"/>
        <w:rPr>
          <w:rFonts w:hint="eastAsia" w:ascii="宋体" w:hAnsi="宋体" w:cs="宋体"/>
          <w:color w:val="auto"/>
          <w:kern w:val="0"/>
          <w:szCs w:val="21"/>
          <w:highlight w:val="none"/>
        </w:rPr>
      </w:pPr>
    </w:p>
    <w:p>
      <w:pPr>
        <w:widowControl/>
        <w:snapToGrid w:val="0"/>
        <w:spacing w:before="50" w:after="120" w:afterLines="50"/>
        <w:jc w:val="center"/>
        <w:rPr>
          <w:rFonts w:hint="eastAsia" w:ascii="宋体" w:hAnsi="宋体" w:cs="宋体"/>
          <w:color w:val="auto"/>
          <w:kern w:val="0"/>
          <w:szCs w:val="21"/>
          <w:highlight w:val="none"/>
        </w:rPr>
      </w:pPr>
    </w:p>
    <w:p>
      <w:pPr>
        <w:widowControl/>
        <w:snapToGrid w:val="0"/>
        <w:spacing w:before="50" w:after="120" w:afterLine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二、报价文件格式</w:t>
      </w: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color w:val="auto"/>
          <w:kern w:val="0"/>
          <w:szCs w:val="21"/>
          <w:highlight w:val="none"/>
        </w:rPr>
        <w:t>1.</w:t>
      </w:r>
      <w:r>
        <w:rPr>
          <w:rFonts w:hint="eastAsia" w:ascii="宋体" w:hAnsi="宋体" w:cs="宋体"/>
          <w:b/>
          <w:bCs/>
          <w:color w:val="auto"/>
          <w:kern w:val="0"/>
          <w:szCs w:val="21"/>
          <w:highlight w:val="none"/>
        </w:rPr>
        <w:t>报价文件的外包装封面格式（不可缺）：</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ind w:firstLine="932" w:firstLineChars="444"/>
        <w:jc w:val="left"/>
        <w:rPr>
          <w:rFonts w:hint="eastAsia" w:ascii="宋体" w:hAnsi="宋体" w:cs="宋体"/>
          <w:color w:val="auto"/>
          <w:kern w:val="0"/>
          <w:szCs w:val="20"/>
          <w:highlight w:val="none"/>
        </w:rPr>
      </w:pPr>
      <w:r>
        <w:rPr>
          <w:rFonts w:hint="eastAsia" w:ascii="宋体" w:hAnsi="宋体" w:cs="宋体"/>
          <w:bCs/>
          <w:color w:val="auto"/>
          <w:kern w:val="0"/>
          <w:szCs w:val="21"/>
          <w:highlight w:val="none"/>
        </w:rPr>
        <w:t>项目名称：</w:t>
      </w:r>
    </w:p>
    <w:p>
      <w:pPr>
        <w:widowControl/>
        <w:snapToGrid w:val="0"/>
        <w:spacing w:before="120" w:beforeLines="50" w:after="50"/>
        <w:ind w:firstLine="932" w:firstLineChars="444"/>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120" w:beforeLines="50" w:after="50"/>
        <w:ind w:firstLine="932" w:firstLineChars="444"/>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标项号：</w:t>
      </w:r>
    </w:p>
    <w:p>
      <w:pPr>
        <w:widowControl/>
        <w:snapToGrid w:val="0"/>
        <w:spacing w:before="120" w:beforeLines="50" w:after="50"/>
        <w:ind w:firstLine="932" w:firstLineChars="444"/>
        <w:jc w:val="left"/>
        <w:rPr>
          <w:rFonts w:hint="eastAsia" w:ascii="宋体" w:hAnsi="宋体" w:cs="宋体"/>
          <w:bCs/>
          <w:color w:val="auto"/>
          <w:kern w:val="0"/>
          <w:szCs w:val="21"/>
          <w:highlight w:val="none"/>
        </w:rPr>
      </w:pPr>
    </w:p>
    <w:p>
      <w:pPr>
        <w:snapToGrid w:val="0"/>
        <w:spacing w:before="50" w:after="50"/>
        <w:ind w:firstLine="932" w:firstLineChars="444"/>
        <w:rPr>
          <w:rFonts w:hint="eastAsia" w:ascii="宋体" w:hAnsi="宋体" w:cs="宋体"/>
          <w:bCs/>
          <w:color w:val="auto"/>
          <w:szCs w:val="21"/>
          <w:highlight w:val="none"/>
        </w:rPr>
      </w:pPr>
      <w:r>
        <w:rPr>
          <w:rFonts w:hint="eastAsia" w:ascii="宋体" w:hAnsi="宋体" w:cs="宋体"/>
          <w:bCs/>
          <w:color w:val="auto"/>
          <w:szCs w:val="21"/>
          <w:highlight w:val="none"/>
        </w:rPr>
        <w:t>供应商名称：</w:t>
      </w:r>
    </w:p>
    <w:p>
      <w:pPr>
        <w:snapToGrid w:val="0"/>
        <w:spacing w:before="50" w:after="50"/>
        <w:ind w:firstLine="932" w:firstLineChars="444"/>
        <w:rPr>
          <w:rFonts w:hint="eastAsia" w:ascii="宋体" w:hAnsi="宋体" w:cs="宋体"/>
          <w:bCs/>
          <w:color w:val="auto"/>
          <w:szCs w:val="21"/>
          <w:highlight w:val="none"/>
        </w:rPr>
      </w:pPr>
      <w:r>
        <w:rPr>
          <w:rFonts w:hint="eastAsia" w:ascii="宋体" w:hAnsi="宋体" w:cs="宋体"/>
          <w:bCs/>
          <w:color w:val="auto"/>
          <w:szCs w:val="21"/>
          <w:highlight w:val="none"/>
        </w:rPr>
        <w:t>供应商地址：</w:t>
      </w:r>
    </w:p>
    <w:p>
      <w:pPr>
        <w:snapToGrid w:val="0"/>
        <w:spacing w:before="50" w:after="50"/>
        <w:ind w:firstLine="932" w:firstLineChars="444"/>
        <w:jc w:val="center"/>
        <w:rPr>
          <w:rFonts w:hint="eastAsia" w:ascii="宋体" w:hAnsi="宋体" w:cs="宋体"/>
          <w:bCs/>
          <w:color w:val="auto"/>
          <w:szCs w:val="21"/>
          <w:highlight w:val="none"/>
        </w:rPr>
      </w:pPr>
      <w:r>
        <w:rPr>
          <w:rFonts w:hint="eastAsia" w:ascii="宋体" w:hAnsi="宋体" w:cs="宋体"/>
          <w:bCs/>
          <w:color w:val="auto"/>
          <w:szCs w:val="21"/>
          <w:highlight w:val="none"/>
        </w:rPr>
        <w:t>开标时启封</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b/>
          <w:bCs/>
          <w:color w:val="auto"/>
          <w:kern w:val="0"/>
          <w:szCs w:val="21"/>
          <w:highlight w:val="none"/>
        </w:rPr>
        <w:t>2.报价文件封面格式：</w:t>
      </w:r>
      <w:r>
        <w:rPr>
          <w:rFonts w:hint="eastAsia" w:ascii="宋体" w:hAnsi="宋体" w:cs="宋体"/>
          <w:color w:val="auto"/>
          <w:kern w:val="0"/>
          <w:szCs w:val="21"/>
          <w:highlight w:val="none"/>
        </w:rPr>
        <w:t xml:space="preserve"> </w:t>
      </w: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b/>
          <w:bCs/>
          <w:color w:val="auto"/>
          <w:kern w:val="0"/>
          <w:szCs w:val="21"/>
          <w:highlight w:val="none"/>
        </w:rPr>
        <w:t>正本/或副本</w:t>
      </w:r>
    </w:p>
    <w:p>
      <w:pPr>
        <w:widowControl/>
        <w:snapToGrid w:val="0"/>
        <w:spacing w:before="120" w:beforeLines="50" w:after="50"/>
        <w:jc w:val="left"/>
        <w:rPr>
          <w:rFonts w:hint="eastAsia" w:ascii="宋体" w:hAnsi="宋体" w:cs="宋体"/>
          <w:color w:val="auto"/>
          <w:kern w:val="0"/>
          <w:szCs w:val="21"/>
          <w:highlight w:val="none"/>
        </w:rPr>
      </w:pPr>
    </w:p>
    <w:p>
      <w:pPr>
        <w:widowControl/>
        <w:snapToGrid w:val="0"/>
        <w:spacing w:before="120" w:beforeLines="50" w:after="5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     项目名称：</w:t>
      </w:r>
      <w:r>
        <w:rPr>
          <w:rFonts w:hint="eastAsia" w:ascii="宋体" w:hAnsi="宋体" w:cs="宋体"/>
          <w:color w:val="auto"/>
          <w:kern w:val="0"/>
          <w:szCs w:val="20"/>
          <w:highlight w:val="none"/>
        </w:rPr>
        <w:t xml:space="preserve"> </w:t>
      </w:r>
    </w:p>
    <w:p>
      <w:pPr>
        <w:widowControl/>
        <w:snapToGrid w:val="0"/>
        <w:spacing w:before="120" w:beforeLines="50" w:after="50"/>
        <w:ind w:firstLine="504" w:firstLineChars="24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120" w:beforeLines="50" w:after="50"/>
        <w:ind w:firstLine="525" w:firstLineChars="25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标项号：</w:t>
      </w:r>
    </w:p>
    <w:p>
      <w:pPr>
        <w:widowControl/>
        <w:snapToGrid w:val="0"/>
        <w:spacing w:before="120" w:beforeLines="50" w:after="50"/>
        <w:ind w:firstLine="525" w:firstLineChars="250"/>
        <w:jc w:val="left"/>
        <w:rPr>
          <w:rFonts w:hint="eastAsia" w:ascii="宋体" w:hAnsi="宋体" w:cs="宋体"/>
          <w:bCs/>
          <w:color w:val="auto"/>
          <w:kern w:val="0"/>
          <w:szCs w:val="21"/>
          <w:highlight w:val="none"/>
        </w:rPr>
      </w:pPr>
    </w:p>
    <w:p>
      <w:pPr>
        <w:widowControl/>
        <w:snapToGrid w:val="0"/>
        <w:spacing w:before="120" w:beforeLines="50" w:after="50"/>
        <w:ind w:firstLine="504" w:firstLineChars="24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供应商名称：</w:t>
      </w:r>
    </w:p>
    <w:p>
      <w:pPr>
        <w:snapToGrid w:val="0"/>
        <w:spacing w:before="50" w:after="50"/>
        <w:ind w:firstLine="504" w:firstLineChars="240"/>
        <w:rPr>
          <w:rFonts w:hint="eastAsia" w:ascii="宋体" w:hAnsi="宋体" w:cs="宋体"/>
          <w:bCs/>
          <w:color w:val="auto"/>
          <w:szCs w:val="21"/>
          <w:highlight w:val="none"/>
        </w:rPr>
      </w:pPr>
      <w:r>
        <w:rPr>
          <w:rFonts w:hint="eastAsia" w:ascii="宋体" w:hAnsi="宋体" w:cs="宋体"/>
          <w:bCs/>
          <w:color w:val="auto"/>
          <w:szCs w:val="21"/>
          <w:highlight w:val="none"/>
        </w:rPr>
        <w:t>供应商地址：</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pStyle w:val="25"/>
        <w:widowControl/>
        <w:snapToGrid w:val="0"/>
        <w:spacing w:before="295" w:beforeLines="0" w:after="295" w:afterLines="0" w:line="240" w:lineRule="auto"/>
        <w:jc w:val="center"/>
        <w:rPr>
          <w:rFonts w:hAnsi="宋体" w:cs="宋体"/>
          <w:color w:val="auto"/>
          <w:highlight w:val="none"/>
        </w:rPr>
      </w:pP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3.</w:t>
      </w:r>
      <w:r>
        <w:rPr>
          <w:rFonts w:hint="eastAsia" w:ascii="宋体" w:hAnsi="宋体" w:cs="宋体"/>
          <w:b/>
          <w:bCs/>
          <w:color w:val="auto"/>
          <w:kern w:val="0"/>
          <w:szCs w:val="21"/>
          <w:highlight w:val="none"/>
        </w:rPr>
        <w:t xml:space="preserve"> 报价文件目录</w:t>
      </w:r>
    </w:p>
    <w:p>
      <w:pPr>
        <w:widowControl/>
        <w:spacing w:line="360" w:lineRule="auto"/>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（1）开标一览表（格式见附件）；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color w:val="auto"/>
          <w:highlight w:val="none"/>
        </w:rPr>
        <w:t>投标报价明细表（格式见附件）</w:t>
      </w:r>
      <w:r>
        <w:rPr>
          <w:rFonts w:hint="eastAsia" w:ascii="宋体" w:hAnsi="宋体" w:eastAsia="宋体" w:cs="宋体"/>
          <w:color w:val="auto"/>
          <w:highlight w:val="none"/>
          <w:lang w:eastAsia="zh-CN"/>
        </w:rPr>
        <w:t>；</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）中小企业声明函（如有)（格式见附件）；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）残疾人福利性单位声明函（非残疾人福利性单位无需提供本函)（格式见附件）；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）供应商针对报价需要说明的其他文件和说明（格式自拟）；</w:t>
      </w:r>
    </w:p>
    <w:p>
      <w:pPr>
        <w:rPr>
          <w:rFonts w:hint="eastAsia"/>
          <w:color w:val="auto"/>
          <w:highlight w:val="none"/>
        </w:rPr>
        <w:sectPr>
          <w:headerReference r:id="rId10" w:type="default"/>
          <w:footerReference r:id="rId11" w:type="default"/>
          <w:pgSz w:w="11906" w:h="16838"/>
          <w:pgMar w:top="1304" w:right="1797" w:bottom="1247" w:left="1797" w:header="720" w:footer="720" w:gutter="0"/>
          <w:pgNumType w:fmt="decimal"/>
          <w:cols w:space="720" w:num="1"/>
          <w:titlePg/>
          <w:docGrid w:linePitch="285" w:charSpace="0"/>
        </w:sectPr>
      </w:pPr>
    </w:p>
    <w:p>
      <w:pPr>
        <w:widowControl/>
        <w:snapToGrid w:val="0"/>
        <w:spacing w:before="120" w:beforeLines="50" w:after="50"/>
        <w:jc w:val="left"/>
        <w:rPr>
          <w:rFonts w:hint="eastAsia" w:ascii="宋体" w:hAnsi="宋体" w:cs="宋体"/>
          <w:color w:val="auto"/>
          <w:kern w:val="0"/>
          <w:szCs w:val="21"/>
          <w:highlight w:val="none"/>
          <w:u w:val="single"/>
        </w:rPr>
      </w:pPr>
      <w:r>
        <w:rPr>
          <w:rFonts w:hint="eastAsia" w:ascii="宋体" w:hAnsi="宋体" w:cs="宋体"/>
          <w:b/>
          <w:bCs/>
          <w:color w:val="auto"/>
          <w:kern w:val="0"/>
          <w:szCs w:val="21"/>
          <w:highlight w:val="none"/>
        </w:rPr>
        <w:t>4. 开标一览表</w:t>
      </w: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开标一览表</w:t>
      </w:r>
    </w:p>
    <w:p>
      <w:pPr>
        <w:widowControl/>
        <w:snapToGrid w:val="0"/>
        <w:spacing w:before="50" w:after="50"/>
        <w:jc w:val="center"/>
        <w:rPr>
          <w:rFonts w:hint="eastAsia" w:ascii="宋体" w:hAnsi="宋体" w:cs="宋体"/>
          <w:b/>
          <w:color w:val="auto"/>
          <w:kern w:val="0"/>
          <w:szCs w:val="21"/>
          <w:highlight w:val="none"/>
        </w:rPr>
      </w:pPr>
    </w:p>
    <w:p>
      <w:pPr>
        <w:widowControl/>
        <w:snapToGrid w:val="0"/>
        <w:spacing w:before="50" w:after="50"/>
        <w:ind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项目编号：                   项目名称：         </w:t>
      </w:r>
    </w:p>
    <w:tbl>
      <w:tblPr>
        <w:tblStyle w:val="47"/>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101"/>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60"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标项</w:t>
            </w:r>
            <w:r>
              <w:rPr>
                <w:rFonts w:hint="eastAsia" w:ascii="宋体" w:hAnsi="宋体" w:eastAsia="宋体" w:cs="宋体"/>
                <w:b/>
                <w:bCs/>
                <w:color w:val="auto"/>
                <w:szCs w:val="21"/>
                <w:highlight w:val="none"/>
              </w:rPr>
              <w:t>号</w:t>
            </w:r>
          </w:p>
        </w:tc>
        <w:tc>
          <w:tcPr>
            <w:tcW w:w="2101"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采购</w:t>
            </w:r>
            <w:r>
              <w:rPr>
                <w:rFonts w:hint="eastAsia" w:ascii="宋体" w:hAnsi="宋体" w:eastAsia="宋体" w:cs="宋体"/>
                <w:b/>
                <w:bCs/>
                <w:color w:val="auto"/>
                <w:szCs w:val="21"/>
                <w:highlight w:val="none"/>
              </w:rPr>
              <w:t>内容</w:t>
            </w:r>
          </w:p>
        </w:tc>
        <w:tc>
          <w:tcPr>
            <w:tcW w:w="1718" w:type="dxa"/>
            <w:noWrap w:val="0"/>
            <w:vAlign w:val="center"/>
          </w:tcPr>
          <w:p>
            <w:pPr>
              <w:snapToGrid w:val="0"/>
              <w:spacing w:line="360"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数量</w:t>
            </w:r>
          </w:p>
        </w:tc>
        <w:tc>
          <w:tcPr>
            <w:tcW w:w="3382" w:type="dxa"/>
            <w:noWrap w:val="0"/>
            <w:vAlign w:val="center"/>
          </w:tcPr>
          <w:p>
            <w:pPr>
              <w:snapToGrid w:val="0"/>
              <w:spacing w:line="360" w:lineRule="auto"/>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2060"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2101" w:type="dxa"/>
            <w:noWrap w:val="0"/>
            <w:vAlign w:val="center"/>
          </w:tcPr>
          <w:p>
            <w:pPr>
              <w:snapToGrid w:val="0"/>
              <w:spacing w:line="360" w:lineRule="auto"/>
              <w:jc w:val="center"/>
              <w:rPr>
                <w:rFonts w:hint="eastAsia" w:ascii="宋体" w:hAnsi="宋体" w:eastAsia="宋体" w:cs="宋体"/>
                <w:color w:val="auto"/>
                <w:szCs w:val="21"/>
                <w:highlight w:val="none"/>
              </w:rPr>
            </w:pPr>
          </w:p>
        </w:tc>
        <w:tc>
          <w:tcPr>
            <w:tcW w:w="1718" w:type="dxa"/>
            <w:noWrap w:val="0"/>
            <w:vAlign w:val="center"/>
          </w:tcPr>
          <w:p>
            <w:pPr>
              <w:snapToGrid w:val="0"/>
              <w:spacing w:line="360" w:lineRule="auto"/>
              <w:rPr>
                <w:rFonts w:hint="eastAsia" w:ascii="宋体" w:hAnsi="宋体" w:eastAsia="宋体" w:cs="宋体"/>
                <w:color w:val="auto"/>
                <w:szCs w:val="21"/>
                <w:highlight w:val="none"/>
              </w:rPr>
            </w:pPr>
          </w:p>
        </w:tc>
        <w:tc>
          <w:tcPr>
            <w:tcW w:w="3382" w:type="dxa"/>
            <w:noWrap w:val="0"/>
            <w:vAlign w:val="center"/>
          </w:tcPr>
          <w:p>
            <w:pPr>
              <w:snapToGrid w:val="0"/>
              <w:spacing w:line="360" w:lineRule="auto"/>
              <w:jc w:val="cente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每年服务费</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元</w:t>
            </w:r>
            <w:r>
              <w:rPr>
                <w:rFonts w:hint="eastAsia" w:ascii="宋体" w:hAnsi="宋体" w:eastAsia="宋体" w:cs="宋体"/>
                <w:color w:val="auto"/>
                <w:szCs w:val="21"/>
                <w:highlight w:val="none"/>
                <w:lang w:eastAsia="zh-CN"/>
              </w:rPr>
              <w:t>）</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投标总价（</w:t>
            </w:r>
            <w:r>
              <w:rPr>
                <w:rFonts w:hint="eastAsia" w:ascii="宋体" w:hAnsi="宋体" w:eastAsia="宋体" w:cs="宋体"/>
                <w:color w:val="auto"/>
                <w:sz w:val="21"/>
                <w:szCs w:val="21"/>
                <w:highlight w:val="none"/>
                <w:lang w:val="en-US" w:eastAsia="zh-CN"/>
              </w:rPr>
              <w:t>五年服务总费用</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元</w:t>
            </w:r>
            <w:r>
              <w:rPr>
                <w:rFonts w:hint="eastAsia" w:ascii="宋体" w:hAnsi="宋体" w:eastAsia="宋体" w:cs="宋体"/>
                <w:color w:val="auto"/>
                <w:szCs w:val="21"/>
                <w:highlight w:val="none"/>
                <w:lang w:eastAsia="zh-CN"/>
              </w:rPr>
              <w:t>）</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2060" w:type="dxa"/>
            <w:noWrap w:val="0"/>
            <w:vAlign w:val="center"/>
          </w:tcPr>
          <w:p>
            <w:pPr>
              <w:snapToGrid w:val="0"/>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投标声明</w:t>
            </w:r>
          </w:p>
        </w:tc>
        <w:tc>
          <w:tcPr>
            <w:tcW w:w="7201" w:type="dxa"/>
            <w:gridSpan w:val="3"/>
            <w:noWrap w:val="0"/>
            <w:vAlign w:val="center"/>
          </w:tcPr>
          <w:p>
            <w:pPr>
              <w:snapToGrid w:val="0"/>
              <w:spacing w:line="360" w:lineRule="auto"/>
              <w:jc w:val="center"/>
              <w:rPr>
                <w:rFonts w:hint="eastAsia" w:ascii="宋体" w:hAnsi="宋体" w:eastAsia="宋体" w:cs="宋体"/>
                <w:color w:val="auto"/>
                <w:szCs w:val="21"/>
                <w:highlight w:val="none"/>
              </w:rPr>
            </w:pPr>
          </w:p>
        </w:tc>
      </w:tr>
    </w:tbl>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1、报价一经涂改，应在涂改处加盖单位公章或者由</w:t>
      </w: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或授权委托人签字或盖章，否则其投标作无效标处理。</w:t>
      </w:r>
    </w:p>
    <w:p>
      <w:pPr>
        <w:widowControl/>
        <w:spacing w:line="360" w:lineRule="auto"/>
        <w:jc w:val="left"/>
        <w:rPr>
          <w:rFonts w:hint="eastAsia" w:ascii="宋体" w:hAnsi="宋体" w:cs="宋体"/>
          <w:color w:val="auto"/>
          <w:kern w:val="0"/>
          <w:szCs w:val="21"/>
          <w:highlight w:val="none"/>
        </w:rPr>
      </w:pPr>
    </w:p>
    <w:p>
      <w:pPr>
        <w:widowControl/>
        <w:snapToGrid w:val="0"/>
        <w:spacing w:before="50" w:after="50" w:line="360" w:lineRule="auto"/>
        <w:ind w:right="-817" w:rightChars="-389"/>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法定代表人（或企业负责人）</w:t>
      </w:r>
      <w:r>
        <w:rPr>
          <w:rFonts w:hint="eastAsia" w:ascii="宋体" w:hAnsi="宋体" w:cs="宋体"/>
          <w:color w:val="auto"/>
          <w:kern w:val="0"/>
          <w:szCs w:val="21"/>
          <w:highlight w:val="none"/>
        </w:rPr>
        <w:t xml:space="preserve">或授权代表（签名或印章）：                    </w:t>
      </w:r>
    </w:p>
    <w:p>
      <w:pPr>
        <w:widowControl/>
        <w:snapToGrid w:val="0"/>
        <w:spacing w:before="50" w:after="50" w:line="360" w:lineRule="auto"/>
        <w:ind w:right="-817" w:rightChars="-389"/>
        <w:jc w:val="left"/>
        <w:rPr>
          <w:rFonts w:hint="eastAsia" w:ascii="宋体" w:hAnsi="宋体" w:cs="宋体"/>
          <w:b/>
          <w:bCs/>
          <w:color w:val="auto"/>
          <w:szCs w:val="21"/>
          <w:highlight w:val="none"/>
        </w:rPr>
      </w:pPr>
      <w:r>
        <w:rPr>
          <w:rFonts w:hint="eastAsia" w:ascii="宋体" w:hAnsi="宋体" w:cs="宋体"/>
          <w:color w:val="auto"/>
          <w:kern w:val="0"/>
          <w:szCs w:val="21"/>
          <w:highlight w:val="none"/>
        </w:rPr>
        <w:t>供应商名称（盖章）：                                     日期：    年   月   日</w:t>
      </w:r>
    </w:p>
    <w:p>
      <w:pPr>
        <w:snapToGrid w:val="0"/>
        <w:spacing w:before="50" w:beforeLines="0" w:after="50" w:afterLines="0"/>
        <w:ind w:right="-817" w:rightChars="-389"/>
        <w:rPr>
          <w:rFonts w:hint="eastAsia" w:hAnsi="宋体"/>
          <w:b/>
          <w:color w:val="auto"/>
          <w:sz w:val="21"/>
          <w:szCs w:val="21"/>
          <w:highlight w:val="none"/>
          <w:lang w:val="en-US" w:eastAsia="zh-CN"/>
        </w:rPr>
        <w:sectPr>
          <w:footerReference r:id="rId12" w:type="default"/>
          <w:footerReference r:id="rId13" w:type="even"/>
          <w:pgSz w:w="11906" w:h="16838"/>
          <w:pgMar w:top="1474" w:right="1797" w:bottom="1247" w:left="1800"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val="0"/>
        <w:ind w:right="0"/>
        <w:textAlignment w:val="auto"/>
        <w:rPr>
          <w:rFonts w:hint="eastAsia" w:ascii="宋体" w:hAnsi="宋体" w:eastAsia="宋体" w:cs="宋体"/>
          <w:b/>
          <w:bCs/>
          <w:color w:val="auto"/>
          <w:highlight w:val="none"/>
          <w:lang w:bidi="ar"/>
        </w:rPr>
      </w:pP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w:t>
      </w:r>
      <w:r>
        <w:rPr>
          <w:rFonts w:hint="eastAsia" w:ascii="宋体" w:hAnsi="宋体" w:eastAsia="宋体" w:cs="宋体"/>
          <w:b/>
          <w:bCs/>
          <w:color w:val="auto"/>
          <w:highlight w:val="none"/>
          <w:lang w:bidi="ar"/>
        </w:rPr>
        <w:t>投标报价明细表</w:t>
      </w:r>
    </w:p>
    <w:p>
      <w:pPr>
        <w:keepNext w:val="0"/>
        <w:keepLines w:val="0"/>
        <w:pageBreakBefore w:val="0"/>
        <w:widowControl w:val="0"/>
        <w:kinsoku/>
        <w:wordWrap/>
        <w:overflowPunct/>
        <w:topLinePunct w:val="0"/>
        <w:autoSpaceDE/>
        <w:autoSpaceDN/>
        <w:bidi w:val="0"/>
        <w:adjustRightInd/>
        <w:snapToGrid w:val="0"/>
        <w:ind w:right="0"/>
        <w:textAlignment w:val="auto"/>
        <w:rPr>
          <w:rFonts w:hint="eastAsia" w:ascii="宋体" w:hAnsi="宋体" w:eastAsia="宋体" w:cs="宋体"/>
          <w:b/>
          <w:bCs/>
          <w:color w:val="auto"/>
          <w:highlight w:val="none"/>
          <w:lang w:bidi="ar"/>
        </w:rPr>
      </w:pPr>
    </w:p>
    <w:p>
      <w:pPr>
        <w:spacing w:after="120" w:line="520" w:lineRule="exact"/>
        <w:ind w:left="420" w:left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投标报价明细表</w:t>
      </w:r>
    </w:p>
    <w:tbl>
      <w:tblPr>
        <w:tblStyle w:val="47"/>
        <w:tblW w:w="8898" w:type="dxa"/>
        <w:jc w:val="center"/>
        <w:tblLayout w:type="fixed"/>
        <w:tblCellMar>
          <w:top w:w="0" w:type="dxa"/>
          <w:left w:w="108" w:type="dxa"/>
          <w:bottom w:w="0" w:type="dxa"/>
          <w:right w:w="108" w:type="dxa"/>
        </w:tblCellMar>
      </w:tblPr>
      <w:tblGrid>
        <w:gridCol w:w="615"/>
        <w:gridCol w:w="2889"/>
        <w:gridCol w:w="1213"/>
        <w:gridCol w:w="1256"/>
        <w:gridCol w:w="944"/>
        <w:gridCol w:w="902"/>
        <w:gridCol w:w="1079"/>
      </w:tblGrid>
      <w:tr>
        <w:tblPrEx>
          <w:tblCellMar>
            <w:top w:w="0" w:type="dxa"/>
            <w:left w:w="108" w:type="dxa"/>
            <w:bottom w:w="0" w:type="dxa"/>
            <w:right w:w="108" w:type="dxa"/>
          </w:tblCellMar>
        </w:tblPrEx>
        <w:trPr>
          <w:trHeight w:val="654"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序号</w:t>
            </w:r>
          </w:p>
        </w:tc>
        <w:tc>
          <w:tcPr>
            <w:tcW w:w="2889"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bidi="ar"/>
              </w:rPr>
              <w:t>项目内容</w:t>
            </w:r>
          </w:p>
        </w:tc>
        <w:tc>
          <w:tcPr>
            <w:tcW w:w="1213"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lang w:val="en-US" w:eastAsia="zh-CN"/>
              </w:rPr>
            </w:pPr>
            <w:r>
              <w:rPr>
                <w:rFonts w:hint="eastAsia" w:ascii="宋体" w:hAnsi="宋体" w:eastAsia="宋体" w:cs="宋体"/>
                <w:color w:val="auto"/>
                <w:spacing w:val="20"/>
                <w:szCs w:val="21"/>
                <w:highlight w:val="none"/>
                <w:lang w:val="en-US" w:eastAsia="zh-CN"/>
              </w:rPr>
              <w:t>品牌</w:t>
            </w:r>
          </w:p>
        </w:tc>
        <w:tc>
          <w:tcPr>
            <w:tcW w:w="1256"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default" w:ascii="宋体" w:hAnsi="宋体" w:eastAsia="宋体" w:cs="宋体"/>
                <w:color w:val="auto"/>
                <w:spacing w:val="20"/>
                <w:szCs w:val="21"/>
                <w:highlight w:val="none"/>
                <w:lang w:val="en-US" w:eastAsia="zh-CN"/>
              </w:rPr>
            </w:pPr>
            <w:r>
              <w:rPr>
                <w:rFonts w:hint="eastAsia" w:ascii="宋体" w:hAnsi="宋体" w:eastAsia="宋体" w:cs="宋体"/>
                <w:color w:val="auto"/>
                <w:spacing w:val="20"/>
                <w:szCs w:val="21"/>
                <w:highlight w:val="none"/>
                <w:lang w:val="en-US" w:eastAsia="zh-CN"/>
              </w:rPr>
              <w:t>规格型号</w:t>
            </w:r>
          </w:p>
        </w:tc>
        <w:tc>
          <w:tcPr>
            <w:tcW w:w="944"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Cs w:val="21"/>
                <w:highlight w:val="none"/>
                <w:lang w:bidi="ar"/>
              </w:rPr>
              <w:t>单位及数量</w:t>
            </w:r>
          </w:p>
        </w:tc>
        <w:tc>
          <w:tcPr>
            <w:tcW w:w="902"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eastAsia="宋体" w:cs="宋体"/>
                <w:color w:val="auto"/>
                <w:szCs w:val="21"/>
                <w:highlight w:val="none"/>
                <w:lang w:bidi="ar"/>
              </w:rPr>
              <w:t>单价</w:t>
            </w:r>
          </w:p>
        </w:tc>
        <w:tc>
          <w:tcPr>
            <w:tcW w:w="1079"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kern w:val="2"/>
                <w:sz w:val="21"/>
                <w:szCs w:val="21"/>
                <w:highlight w:val="none"/>
                <w:lang w:val="en-US" w:eastAsia="zh-CN" w:bidi="ar-SA"/>
              </w:rPr>
            </w:pPr>
            <w:r>
              <w:rPr>
                <w:rFonts w:hint="eastAsia" w:ascii="宋体" w:hAnsi="宋体" w:cs="宋体"/>
                <w:color w:val="auto"/>
                <w:szCs w:val="21"/>
                <w:highlight w:val="none"/>
                <w:lang w:val="en-US" w:eastAsia="zh-CN" w:bidi="ar"/>
              </w:rPr>
              <w:t>合计</w:t>
            </w:r>
            <w:r>
              <w:rPr>
                <w:rFonts w:hint="eastAsia" w:ascii="宋体" w:hAnsi="宋体" w:eastAsia="宋体" w:cs="宋体"/>
                <w:color w:val="auto"/>
                <w:szCs w:val="21"/>
                <w:highlight w:val="none"/>
                <w:lang w:bidi="ar"/>
              </w:rPr>
              <w:t>（元）</w:t>
            </w: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val="en-US" w:eastAsia="zh-CN"/>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val="en-US" w:eastAsia="zh-CN"/>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eastAsia="zh-CN"/>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96"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508" w:hRule="atLeast"/>
          <w:jc w:val="center"/>
        </w:trPr>
        <w:tc>
          <w:tcPr>
            <w:tcW w:w="61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288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21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6"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44"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90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635" w:hRule="atLeast"/>
          <w:jc w:val="center"/>
        </w:trPr>
        <w:tc>
          <w:tcPr>
            <w:tcW w:w="7819"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bidi="ar"/>
              </w:rPr>
              <w:t>投标</w:t>
            </w:r>
            <w:r>
              <w:rPr>
                <w:rFonts w:hint="eastAsia" w:ascii="宋体" w:hAnsi="宋体" w:eastAsia="宋体" w:cs="宋体"/>
                <w:color w:val="auto"/>
                <w:spacing w:val="20"/>
                <w:szCs w:val="21"/>
                <w:highlight w:val="none"/>
                <w:lang w:eastAsia="zh-CN" w:bidi="ar"/>
              </w:rPr>
              <w:t>总价（元）</w:t>
            </w:r>
          </w:p>
        </w:tc>
        <w:tc>
          <w:tcPr>
            <w:tcW w:w="1079"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bl>
    <w:p>
      <w:pPr>
        <w:rPr>
          <w:rFonts w:hint="eastAsia" w:ascii="宋体" w:hAnsi="宋体" w:eastAsia="宋体" w:cs="宋体"/>
          <w:color w:val="auto"/>
          <w:highlight w:val="none"/>
          <w:lang w:val="en-US" w:eastAsia="zh-CN"/>
        </w:rPr>
      </w:pPr>
      <w:r>
        <w:rPr>
          <w:rFonts w:hint="eastAsia" w:ascii="宋体" w:hAnsi="宋体" w:eastAsia="宋体" w:cs="宋体"/>
          <w:b w:val="0"/>
          <w:bCs/>
          <w:color w:val="auto"/>
          <w:szCs w:val="21"/>
          <w:highlight w:val="none"/>
        </w:rPr>
        <w:t>注：</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rPr>
        <w:t>投标单位可根据实际情况自行调整表格</w:t>
      </w:r>
      <w:r>
        <w:rPr>
          <w:rFonts w:hint="eastAsia" w:ascii="宋体" w:hAnsi="宋体" w:eastAsia="宋体" w:cs="宋体"/>
          <w:b w:val="0"/>
          <w:bCs/>
          <w:color w:val="auto"/>
          <w:szCs w:val="21"/>
          <w:highlight w:val="none"/>
          <w:lang w:val="en-US" w:eastAsia="zh-CN"/>
        </w:rPr>
        <w:t>。</w:t>
      </w: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法定代表人（或企业负责人）</w:t>
      </w:r>
      <w:r>
        <w:rPr>
          <w:rFonts w:hint="eastAsia" w:ascii="宋体" w:hAnsi="宋体" w:eastAsia="宋体" w:cs="宋体"/>
          <w:color w:val="auto"/>
          <w:highlight w:val="none"/>
        </w:rPr>
        <w:t xml:space="preserve">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 xml:space="preserve">盖章：         </w:t>
      </w:r>
    </w:p>
    <w:p>
      <w:pPr>
        <w:spacing w:line="360" w:lineRule="auto"/>
        <w:ind w:firstLine="5460" w:firstLineChars="2600"/>
        <w:rPr>
          <w:rFonts w:hint="eastAsia" w:ascii="宋体" w:hAnsi="宋体" w:eastAsia="宋体" w:cs="宋体"/>
          <w:b/>
          <w:bCs/>
          <w:color w:val="auto"/>
          <w:highlight w:val="none"/>
          <w:lang w:eastAsia="zh-CN" w:bidi="ar"/>
        </w:rPr>
      </w:pPr>
      <w:r>
        <w:rPr>
          <w:rFonts w:hint="eastAsia" w:ascii="宋体" w:hAnsi="宋体" w:eastAsia="宋体" w:cs="宋体"/>
          <w:color w:val="auto"/>
          <w:highlight w:val="none"/>
        </w:rPr>
        <w:t xml:space="preserve">日  期：  </w:t>
      </w:r>
    </w:p>
    <w:p>
      <w:pPr>
        <w:snapToGrid w:val="0"/>
        <w:ind w:right="840"/>
        <w:rPr>
          <w:rFonts w:hint="eastAsia" w:ascii="宋体" w:hAnsi="宋体" w:eastAsia="宋体" w:cs="宋体"/>
          <w:b/>
          <w:bCs/>
          <w:color w:val="auto"/>
          <w:highlight w:val="none"/>
          <w:lang w:eastAsia="zh-CN" w:bidi="ar"/>
        </w:rPr>
      </w:pPr>
    </w:p>
    <w:p>
      <w:pPr>
        <w:spacing w:after="120"/>
        <w:rPr>
          <w:rFonts w:hint="eastAsia" w:ascii="宋体" w:hAnsi="宋体" w:cs="宋体"/>
          <w:b/>
          <w:bCs/>
          <w:color w:val="auto"/>
          <w:szCs w:val="21"/>
          <w:highlight w:val="none"/>
        </w:rPr>
      </w:pPr>
    </w:p>
    <w:p>
      <w:pPr>
        <w:spacing w:after="120"/>
        <w:rPr>
          <w:rFonts w:hint="eastAsia" w:ascii="宋体" w:hAnsi="宋体" w:cs="宋体"/>
          <w:color w:val="auto"/>
          <w:szCs w:val="21"/>
          <w:highlight w:val="none"/>
        </w:rPr>
      </w:pPr>
      <w:r>
        <w:rPr>
          <w:rFonts w:hint="eastAsia" w:ascii="宋体" w:hAnsi="宋体" w:cs="宋体"/>
          <w:b/>
          <w:bCs/>
          <w:color w:val="auto"/>
          <w:szCs w:val="21"/>
          <w:highlight w:val="none"/>
          <w:lang w:val="en-US" w:eastAsia="zh-CN"/>
        </w:rPr>
        <w:br w:type="page"/>
      </w:r>
      <w:r>
        <w:rPr>
          <w:rFonts w:hint="eastAsia" w:ascii="宋体" w:hAnsi="宋体" w:cs="宋体"/>
          <w:b/>
          <w:bCs/>
          <w:color w:val="auto"/>
          <w:szCs w:val="21"/>
          <w:highlight w:val="none"/>
          <w:lang w:val="en-US" w:eastAsia="zh-CN"/>
        </w:rPr>
        <w:t>6.</w:t>
      </w:r>
      <w:r>
        <w:rPr>
          <w:rFonts w:hint="eastAsia" w:ascii="宋体" w:hAnsi="宋体" w:cs="宋体"/>
          <w:b/>
          <w:bCs/>
          <w:color w:val="auto"/>
          <w:szCs w:val="21"/>
          <w:highlight w:val="none"/>
        </w:rPr>
        <w:t>中小企业声明函</w:t>
      </w:r>
    </w:p>
    <w:p>
      <w:pPr>
        <w:spacing w:after="120" w:line="520" w:lineRule="exact"/>
        <w:ind w:left="420" w:leftChars="200"/>
        <w:jc w:val="center"/>
        <w:rPr>
          <w:rFonts w:hint="eastAsia" w:ascii="宋体" w:hAnsi="宋体" w:cs="宋体"/>
          <w:b/>
          <w:color w:val="auto"/>
          <w:sz w:val="28"/>
          <w:highlight w:val="none"/>
        </w:rPr>
      </w:pPr>
      <w:r>
        <w:rPr>
          <w:rFonts w:hint="eastAsia" w:ascii="宋体" w:hAnsi="宋体" w:cs="宋体"/>
          <w:b/>
          <w:color w:val="auto"/>
          <w:sz w:val="28"/>
          <w:szCs w:val="28"/>
          <w:highlight w:val="none"/>
        </w:rPr>
        <w:t>中小企业声明函</w:t>
      </w:r>
    </w:p>
    <w:p>
      <w:pPr>
        <w:widowControl/>
        <w:spacing w:line="588" w:lineRule="exact"/>
        <w:jc w:val="left"/>
        <w:rPr>
          <w:rFonts w:hint="eastAsia" w:ascii="宋体" w:hAnsi="宋体" w:cs="宋体"/>
          <w:b/>
          <w:color w:val="auto"/>
          <w:spacing w:val="6"/>
          <w:kern w:val="0"/>
          <w:sz w:val="30"/>
          <w:szCs w:val="30"/>
          <w:highlight w:val="none"/>
        </w:rPr>
      </w:pP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kern w:val="0"/>
          <w:sz w:val="21"/>
          <w:szCs w:val="21"/>
          <w:highlight w:val="none"/>
          <w:u w:val="single"/>
        </w:rPr>
        <w:t>（单位名称）</w:t>
      </w:r>
      <w:r>
        <w:rPr>
          <w:rFonts w:hint="eastAsia" w:ascii="宋体" w:hAnsi="宋体" w:eastAsia="宋体" w:cs="宋体"/>
          <w:color w:val="auto"/>
          <w:kern w:val="0"/>
          <w:sz w:val="21"/>
          <w:szCs w:val="21"/>
          <w:highlight w:val="none"/>
        </w:rPr>
        <w:t>的</w:t>
      </w:r>
      <w:r>
        <w:rPr>
          <w:rFonts w:hint="eastAsia" w:ascii="宋体" w:hAnsi="宋体" w:eastAsia="宋体" w:cs="宋体"/>
          <w:color w:val="auto"/>
          <w:kern w:val="0"/>
          <w:sz w:val="21"/>
          <w:szCs w:val="21"/>
          <w:highlight w:val="none"/>
          <w:u w:val="single"/>
        </w:rPr>
        <w:t>（项目名称）</w:t>
      </w:r>
      <w:r>
        <w:rPr>
          <w:rFonts w:hint="eastAsia" w:ascii="宋体" w:hAnsi="宋体" w:eastAsia="宋体" w:cs="宋体"/>
          <w:color w:val="auto"/>
          <w:kern w:val="0"/>
          <w:sz w:val="21"/>
          <w:szCs w:val="21"/>
          <w:highlight w:val="none"/>
        </w:rPr>
        <w:t>采购活动，</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全部由符合政策要求的中小企业</w:t>
      </w:r>
      <w:r>
        <w:rPr>
          <w:rFonts w:hint="eastAsia" w:ascii="宋体" w:hAnsi="宋体" w:eastAsia="宋体" w:cs="宋体"/>
          <w:color w:val="auto"/>
          <w:kern w:val="0"/>
          <w:sz w:val="21"/>
          <w:szCs w:val="21"/>
          <w:highlight w:val="none"/>
          <w:lang w:val="en-US" w:eastAsia="zh-CN"/>
        </w:rPr>
        <w:t>承接</w:t>
      </w:r>
      <w:r>
        <w:rPr>
          <w:rFonts w:hint="eastAsia" w:ascii="宋体" w:hAnsi="宋体" w:eastAsia="宋体" w:cs="宋体"/>
          <w:color w:val="auto"/>
          <w:kern w:val="0"/>
          <w:sz w:val="21"/>
          <w:szCs w:val="21"/>
          <w:highlight w:val="none"/>
        </w:rPr>
        <w:t>。相关企业（含联合体中的中小企业、签订分包意向协议的中小企业）的具体情况如下：</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i/>
          <w:color w:val="auto"/>
          <w:kern w:val="0"/>
          <w:sz w:val="21"/>
          <w:szCs w:val="21"/>
          <w:highlight w:val="none"/>
          <w:u w:val="single"/>
        </w:rPr>
        <w:t xml:space="preserve"> （标的名称） </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（软件和信息技术服务业）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承接企业</w:t>
      </w:r>
      <w:r>
        <w:rPr>
          <w:rFonts w:hint="eastAsia" w:ascii="宋体" w:hAnsi="宋体" w:eastAsia="宋体" w:cs="宋体"/>
          <w:color w:val="auto"/>
          <w:kern w:val="0"/>
          <w:sz w:val="21"/>
          <w:szCs w:val="21"/>
          <w:highlight w:val="none"/>
        </w:rPr>
        <w:t>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i/>
          <w:color w:val="auto"/>
          <w:kern w:val="0"/>
          <w:sz w:val="21"/>
          <w:szCs w:val="21"/>
          <w:highlight w:val="none"/>
          <w:u w:val="single"/>
        </w:rPr>
        <w:t xml:space="preserve"> （标的名称） </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（软件和信息技术服务业）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承接企业</w:t>
      </w:r>
      <w:r>
        <w:rPr>
          <w:rFonts w:hint="eastAsia" w:ascii="宋体" w:hAnsi="宋体" w:eastAsia="宋体" w:cs="宋体"/>
          <w:color w:val="auto"/>
          <w:kern w:val="0"/>
          <w:sz w:val="21"/>
          <w:szCs w:val="21"/>
          <w:highlight w:val="none"/>
        </w:rPr>
        <w:t>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以上企业，不属于大企业的分支机构，不存在控股股东为大企业的情形，也不存在与大企业的负责人为同一人的情形。</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本企业对上述声明内容的真实性负责。如有虚假，将依法承担相应责任。</w:t>
      </w:r>
    </w:p>
    <w:p>
      <w:pPr>
        <w:adjustRightInd w:val="0"/>
        <w:spacing w:line="500" w:lineRule="exac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企业名称（盖章）：</w:t>
      </w:r>
    </w:p>
    <w:p>
      <w:pPr>
        <w:widowControl/>
        <w:adjustRightInd w:val="0"/>
        <w:spacing w:line="360" w:lineRule="auto"/>
        <w:jc w:val="left"/>
        <w:textAlignment w:val="auto"/>
        <w:rPr>
          <w:rFonts w:hint="eastAsia" w:ascii="Times New Roman" w:hAnsi="宋体" w:eastAsia="宋体" w:cs="宋体"/>
          <w:color w:val="auto"/>
          <w:kern w:val="0"/>
          <w:sz w:val="21"/>
          <w:szCs w:val="20"/>
          <w:highlight w:val="none"/>
          <w:lang w:bidi="ar"/>
        </w:rPr>
      </w:pPr>
      <w:r>
        <w:rPr>
          <w:rFonts w:hint="eastAsia" w:ascii="宋体" w:hAnsi="宋体" w:eastAsia="宋体" w:cs="宋体"/>
          <w:color w:val="auto"/>
          <w:kern w:val="0"/>
          <w:sz w:val="21"/>
          <w:szCs w:val="21"/>
          <w:highlight w:val="none"/>
        </w:rPr>
        <w:t xml:space="preserve">                        日期：</w:t>
      </w:r>
    </w:p>
    <w:p>
      <w:pPr>
        <w:widowControl/>
        <w:adjustRightInd w:val="0"/>
        <w:spacing w:before="240" w:line="360" w:lineRule="auto"/>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注：1.从业人员、营业收入、资产总额填报上一年度数据，无上一年度数据的新成立企业可不填报。</w:t>
      </w:r>
    </w:p>
    <w:p>
      <w:pPr>
        <w:pStyle w:val="20"/>
        <w:spacing w:line="520" w:lineRule="exact"/>
        <w:ind w:left="0" w:leftChars="0" w:firstLine="0" w:firstLineChars="0"/>
        <w:rPr>
          <w:rFonts w:hint="eastAsia" w:ascii="宋体" w:hAnsi="宋体" w:eastAsia="宋体" w:cs="宋体"/>
          <w:i w:val="0"/>
          <w:iCs w:val="0"/>
          <w:color w:val="auto"/>
          <w:sz w:val="21"/>
          <w:szCs w:val="24"/>
          <w:highlight w:val="none"/>
          <w:lang w:val="en-US" w:eastAsia="zh-CN"/>
        </w:rPr>
      </w:pPr>
      <w:r>
        <w:rPr>
          <w:rFonts w:hint="eastAsia" w:ascii="宋体" w:hAnsi="宋体" w:eastAsia="仿宋" w:cs="宋体"/>
          <w:color w:val="auto"/>
          <w:kern w:val="0"/>
          <w:sz w:val="21"/>
          <w:szCs w:val="22"/>
          <w:highlight w:val="none"/>
        </w:rPr>
        <w:t>2.</w:t>
      </w:r>
      <w:r>
        <w:rPr>
          <w:rFonts w:hint="eastAsia" w:ascii="宋体" w:hAnsi="宋体" w:eastAsia="宋体" w:cs="宋体"/>
          <w:color w:val="auto"/>
          <w:kern w:val="0"/>
          <w:sz w:val="21"/>
          <w:szCs w:val="21"/>
          <w:highlight w:val="none"/>
        </w:rPr>
        <w:t>根据工信部联企业[2011]300号规定。</w:t>
      </w:r>
      <w:r>
        <w:rPr>
          <w:rFonts w:hint="eastAsia" w:ascii="宋体" w:hAnsi="宋体" w:eastAsia="宋体" w:cs="宋体"/>
          <w:color w:val="auto"/>
          <w:kern w:val="0"/>
          <w:sz w:val="21"/>
          <w:szCs w:val="22"/>
          <w:highlight w:val="none"/>
        </w:rPr>
        <w:t>软件和信息技术服务业</w:t>
      </w:r>
      <w:r>
        <w:rPr>
          <w:rFonts w:hint="eastAsia" w:hAnsi="宋体" w:cs="宋体"/>
          <w:color w:val="auto"/>
          <w:kern w:val="0"/>
          <w:sz w:val="21"/>
          <w:szCs w:val="22"/>
          <w:highlight w:val="none"/>
          <w:lang w:eastAsia="zh-CN"/>
        </w:rPr>
        <w:t>：</w:t>
      </w:r>
      <w:r>
        <w:rPr>
          <w:rFonts w:hint="eastAsia" w:ascii="宋体" w:hAnsi="宋体" w:eastAsia="宋体" w:cs="宋体"/>
          <w:color w:val="auto"/>
          <w:kern w:val="0"/>
          <w:sz w:val="21"/>
          <w:szCs w:val="22"/>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0"/>
        <w:spacing w:line="520" w:lineRule="exact"/>
        <w:ind w:firstLine="0"/>
        <w:rPr>
          <w:rFonts w:hint="eastAsia" w:hAnsi="宋体" w:eastAsia="宋体" w:cs="宋体"/>
          <w:color w:val="auto"/>
          <w:szCs w:val="21"/>
          <w:highlight w:val="none"/>
          <w:lang w:val="en-US" w:eastAsia="zh-CN"/>
        </w:rPr>
      </w:pPr>
    </w:p>
    <w:p>
      <w:pPr>
        <w:widowControl/>
        <w:spacing w:line="360" w:lineRule="auto"/>
        <w:jc w:val="left"/>
        <w:rPr>
          <w:rFonts w:hint="eastAsia" w:ascii="宋体" w:hAnsi="宋体" w:cs="宋体"/>
          <w:b/>
          <w:bCs/>
          <w:color w:val="auto"/>
          <w:kern w:val="0"/>
          <w:szCs w:val="20"/>
          <w:highlight w:val="none"/>
          <w:lang w:bidi="ar"/>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.残疾人福利性单位声明函</w:t>
      </w:r>
    </w:p>
    <w:p>
      <w:pPr>
        <w:widowControl/>
        <w:spacing w:line="588" w:lineRule="exact"/>
        <w:jc w:val="center"/>
        <w:rPr>
          <w:rFonts w:hint="eastAsia" w:ascii="宋体" w:hAnsi="宋体" w:cs="宋体"/>
          <w:b/>
          <w:color w:val="auto"/>
          <w:spacing w:val="6"/>
          <w:kern w:val="0"/>
          <w:szCs w:val="21"/>
          <w:highlight w:val="none"/>
        </w:rPr>
      </w:pPr>
      <w:r>
        <w:rPr>
          <w:rFonts w:hint="eastAsia" w:ascii="宋体" w:hAnsi="宋体" w:cs="宋体"/>
          <w:b/>
          <w:color w:val="auto"/>
          <w:spacing w:val="6"/>
          <w:kern w:val="0"/>
          <w:szCs w:val="21"/>
          <w:highlight w:val="none"/>
        </w:rPr>
        <w:t>残疾人福利性单位声明函</w:t>
      </w:r>
    </w:p>
    <w:p>
      <w:pPr>
        <w:widowControl/>
        <w:spacing w:line="588" w:lineRule="exact"/>
        <w:jc w:val="left"/>
        <w:rPr>
          <w:rFonts w:hint="eastAsia" w:ascii="宋体" w:hAnsi="宋体" w:cs="宋体"/>
          <w:b/>
          <w:color w:val="auto"/>
          <w:spacing w:val="6"/>
          <w:kern w:val="0"/>
          <w:szCs w:val="21"/>
          <w:highlight w:val="none"/>
        </w:rPr>
      </w:pP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rPr>
        <w:t>〔2017〕 141</w:t>
      </w:r>
      <w:r>
        <w:rPr>
          <w:rFonts w:hint="eastAsia" w:ascii="宋体" w:hAnsi="宋体" w:cs="宋体"/>
          <w:color w:val="auto"/>
          <w:spacing w:val="6"/>
          <w:kern w:val="0"/>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本单位对上述声明的真实性负责。如有虚假，将依法承担相应责任。</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单位名称（盖章）：</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日  期：</w:t>
      </w:r>
    </w:p>
    <w:p>
      <w:pPr>
        <w:widowControl/>
        <w:spacing w:line="360" w:lineRule="auto"/>
        <w:jc w:val="left"/>
        <w:rPr>
          <w:rFonts w:hint="eastAsia" w:ascii="宋体" w:hAnsi="宋体" w:cs="宋体"/>
          <w:b/>
          <w:bCs/>
          <w:color w:val="auto"/>
          <w:kern w:val="0"/>
          <w:szCs w:val="21"/>
          <w:highlight w:val="none"/>
          <w:lang w:bidi="ar"/>
        </w:rPr>
      </w:pPr>
    </w:p>
    <w:p>
      <w:pPr>
        <w:widowControl/>
        <w:tabs>
          <w:tab w:val="left" w:pos="4860"/>
        </w:tabs>
        <w:spacing w:line="360" w:lineRule="auto"/>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注：1、如供应商为非残疾人福利性单位的可不提供本声明函。</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2、享受政府采购支持政策的残疾人福利性单位应当同时满足以下条件：</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（1）安置的残疾人占本单位在职职工人数的比例不低于25%（含25%），并且安置的残疾人人数不少于10人（含10人）；</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（2）依法与安置的每位残疾人签订了一年以上（含一年）的劳动合同或服务协议；</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（3）为安置的每位残疾人按月足额缴纳了基本养老保险、基本医疗保险、失业保险、工伤保险和生育保险等社会保险费；</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（4）通过银行等金融机构向安置的每位残疾人，按月支付了不低于单位所在区县适用的经省级人民政府批准的月最低工资标准的工资；</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（5）提供本单位制造的货物、承担的工程或者服务（以下简称产品），或者提供其他残疾人福利性单位制造的货物（不包括使用非残疾人福利性单位注册商标的货物）。</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hint="eastAsia" w:ascii="宋体" w:hAnsi="宋体" w:cs="宋体"/>
          <w:b/>
          <w:bCs/>
          <w:color w:val="auto"/>
          <w:kern w:val="0"/>
          <w:szCs w:val="21"/>
          <w:highlight w:val="none"/>
          <w:lang w:bidi="ar"/>
        </w:rPr>
      </w:pPr>
    </w:p>
    <w:p>
      <w:pPr>
        <w:widowControl/>
        <w:spacing w:line="360" w:lineRule="auto"/>
        <w:jc w:val="left"/>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br w:type="page"/>
      </w:r>
      <w:r>
        <w:rPr>
          <w:rFonts w:hint="eastAsia" w:ascii="宋体" w:hAnsi="宋体" w:cs="宋体"/>
          <w:b/>
          <w:bCs/>
          <w:color w:val="auto"/>
          <w:kern w:val="0"/>
          <w:szCs w:val="21"/>
          <w:highlight w:val="none"/>
          <w:lang w:val="en-US" w:eastAsia="zh-CN" w:bidi="ar"/>
        </w:rPr>
        <w:t>8</w:t>
      </w:r>
      <w:r>
        <w:rPr>
          <w:rFonts w:hint="eastAsia" w:ascii="宋体" w:hAnsi="宋体" w:cs="宋体"/>
          <w:b/>
          <w:bCs/>
          <w:color w:val="auto"/>
          <w:kern w:val="0"/>
          <w:szCs w:val="21"/>
          <w:highlight w:val="none"/>
          <w:lang w:bidi="ar"/>
        </w:rPr>
        <w:t>.供应商针对报价需要说明的其他文件和说明（格式自拟）。</w:t>
      </w:r>
    </w:p>
    <w:p>
      <w:pPr>
        <w:spacing w:after="120" w:line="520" w:lineRule="exact"/>
        <w:ind w:left="420" w:leftChars="200"/>
        <w:rPr>
          <w:rFonts w:hint="eastAsia" w:ascii="宋体" w:hAnsi="宋体" w:cs="宋体"/>
          <w:color w:val="auto"/>
          <w:szCs w:val="21"/>
          <w:highlight w:val="none"/>
        </w:rPr>
      </w:pPr>
    </w:p>
    <w:p>
      <w:pPr>
        <w:widowControl/>
        <w:spacing w:line="480" w:lineRule="exact"/>
        <w:jc w:val="left"/>
        <w:rPr>
          <w:rFonts w:hint="eastAsia" w:ascii="宋体" w:hAnsi="宋体" w:cs="宋体"/>
          <w:b/>
          <w:color w:val="auto"/>
          <w:kern w:val="0"/>
          <w:szCs w:val="21"/>
          <w:highlight w:val="none"/>
        </w:rPr>
      </w:pPr>
    </w:p>
    <w:p>
      <w:pPr>
        <w:widowControl/>
        <w:snapToGrid w:val="0"/>
        <w:spacing w:line="360" w:lineRule="auto"/>
        <w:jc w:val="center"/>
        <w:rPr>
          <w:rFonts w:hint="eastAsia" w:ascii="宋体" w:hAnsi="宋体" w:cs="宋体"/>
          <w:b/>
          <w:bCs/>
          <w:color w:val="auto"/>
          <w:kern w:val="0"/>
          <w:sz w:val="28"/>
          <w:szCs w:val="28"/>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 w:val="28"/>
          <w:szCs w:val="28"/>
          <w:highlight w:val="none"/>
        </w:rPr>
        <w:t>三、电子备份投标文件</w:t>
      </w:r>
    </w:p>
    <w:p>
      <w:pPr>
        <w:widowControl/>
        <w:snapToGrid w:val="0"/>
        <w:spacing w:line="360" w:lineRule="auto"/>
        <w:jc w:val="left"/>
        <w:rPr>
          <w:rFonts w:hint="eastAsia" w:ascii="宋体" w:hAnsi="宋体" w:cs="宋体"/>
          <w:b/>
          <w:color w:val="auto"/>
          <w:kern w:val="0"/>
          <w:sz w:val="28"/>
          <w:szCs w:val="28"/>
          <w:highlight w:val="none"/>
          <w:lang w:bidi="ar"/>
        </w:rPr>
      </w:pPr>
      <w:r>
        <w:rPr>
          <w:rFonts w:hint="eastAsia" w:ascii="宋体" w:hAnsi="宋体" w:cs="宋体"/>
          <w:color w:val="auto"/>
          <w:kern w:val="0"/>
          <w:szCs w:val="20"/>
          <w:highlight w:val="none"/>
        </w:rPr>
        <w:t>（一）</w:t>
      </w:r>
      <w:r>
        <w:rPr>
          <w:rFonts w:hint="eastAsia" w:ascii="宋体" w:hAnsi="宋体" w:cs="宋体"/>
          <w:color w:val="auto"/>
          <w:kern w:val="0"/>
          <w:szCs w:val="21"/>
          <w:highlight w:val="none"/>
        </w:rPr>
        <w:t>电子备份投标文件</w:t>
      </w:r>
      <w:r>
        <w:rPr>
          <w:rFonts w:hint="eastAsia" w:ascii="宋体" w:hAnsi="宋体" w:cs="宋体"/>
          <w:color w:val="auto"/>
          <w:kern w:val="0"/>
          <w:szCs w:val="20"/>
          <w:highlight w:val="none"/>
        </w:rPr>
        <w:t>的外包装封面格式：</w:t>
      </w:r>
    </w:p>
    <w:p>
      <w:pPr>
        <w:widowControl/>
        <w:snapToGrid w:val="0"/>
        <w:spacing w:line="360" w:lineRule="auto"/>
        <w:ind w:firstLine="275" w:firstLineChars="98"/>
        <w:jc w:val="left"/>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bidi="ar"/>
        </w:rPr>
        <w:t>外包装格式：</w:t>
      </w:r>
    </w:p>
    <w:p>
      <w:pPr>
        <w:widowControl/>
        <w:spacing w:line="360" w:lineRule="auto"/>
        <w:jc w:val="center"/>
        <w:rPr>
          <w:rFonts w:hint="eastAsia" w:ascii="宋体" w:hAnsi="宋体" w:cs="宋体"/>
          <w:color w:val="auto"/>
          <w:kern w:val="0"/>
          <w:sz w:val="40"/>
          <w:szCs w:val="40"/>
          <w:highlight w:val="none"/>
        </w:rPr>
      </w:pPr>
      <w:r>
        <w:rPr>
          <w:rFonts w:hint="eastAsia" w:ascii="宋体" w:hAnsi="宋体" w:cs="宋体"/>
          <w:color w:val="auto"/>
          <w:kern w:val="0"/>
          <w:sz w:val="40"/>
          <w:szCs w:val="40"/>
          <w:highlight w:val="none"/>
        </w:rPr>
        <w:t>电子备份投标文件</w:t>
      </w:r>
    </w:p>
    <w:p>
      <w:pPr>
        <w:widowControl/>
        <w:spacing w:line="360" w:lineRule="auto"/>
        <w:ind w:firstLine="1080" w:firstLineChars="450"/>
        <w:jc w:val="left"/>
        <w:rPr>
          <w:rFonts w:hint="eastAsia"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 xml:space="preserve">项目名称： </w:t>
      </w:r>
    </w:p>
    <w:p>
      <w:pPr>
        <w:widowControl/>
        <w:spacing w:line="360" w:lineRule="auto"/>
        <w:ind w:firstLine="1080" w:firstLineChars="450"/>
        <w:jc w:val="left"/>
        <w:rPr>
          <w:rFonts w:hint="eastAsia" w:ascii="宋体" w:hAnsi="宋体" w:cs="宋体"/>
          <w:bCs/>
          <w:color w:val="auto"/>
          <w:kern w:val="0"/>
          <w:sz w:val="24"/>
          <w:szCs w:val="20"/>
          <w:highlight w:val="none"/>
          <w:lang w:bidi="ar"/>
        </w:rPr>
      </w:pPr>
      <w:r>
        <w:rPr>
          <w:rFonts w:hint="eastAsia" w:ascii="宋体" w:hAnsi="宋体" w:cs="宋体"/>
          <w:bCs/>
          <w:color w:val="auto"/>
          <w:kern w:val="0"/>
          <w:sz w:val="24"/>
          <w:szCs w:val="20"/>
          <w:highlight w:val="none"/>
          <w:lang w:bidi="ar"/>
        </w:rPr>
        <w:t>项目编号：</w:t>
      </w:r>
    </w:p>
    <w:p>
      <w:pPr>
        <w:widowControl/>
        <w:spacing w:line="360" w:lineRule="auto"/>
        <w:ind w:firstLine="1080" w:firstLineChars="450"/>
        <w:jc w:val="left"/>
        <w:rPr>
          <w:rFonts w:hint="eastAsia" w:ascii="宋体" w:hAnsi="宋体" w:cs="宋体"/>
          <w:bCs/>
          <w:color w:val="auto"/>
          <w:kern w:val="0"/>
          <w:sz w:val="24"/>
          <w:szCs w:val="20"/>
          <w:highlight w:val="none"/>
          <w:lang w:bidi="ar"/>
        </w:rPr>
      </w:pPr>
      <w:r>
        <w:rPr>
          <w:rFonts w:hint="eastAsia" w:ascii="宋体" w:hAnsi="宋体" w:cs="宋体"/>
          <w:bCs/>
          <w:color w:val="auto"/>
          <w:kern w:val="0"/>
          <w:sz w:val="24"/>
          <w:szCs w:val="20"/>
          <w:highlight w:val="none"/>
          <w:lang w:bidi="ar"/>
        </w:rPr>
        <w:t>标项号：</w:t>
      </w:r>
    </w:p>
    <w:p>
      <w:pPr>
        <w:widowControl/>
        <w:spacing w:line="360" w:lineRule="auto"/>
        <w:ind w:firstLine="1080" w:firstLineChars="450"/>
        <w:jc w:val="left"/>
        <w:rPr>
          <w:rFonts w:hint="eastAsia"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供应商名称（加盖公章）：</w:t>
      </w:r>
    </w:p>
    <w:p>
      <w:pPr>
        <w:widowControl/>
        <w:spacing w:line="360" w:lineRule="auto"/>
        <w:ind w:firstLine="1080" w:firstLineChars="450"/>
        <w:jc w:val="left"/>
        <w:rPr>
          <w:rFonts w:hint="eastAsia"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供应商地址：</w:t>
      </w:r>
    </w:p>
    <w:p>
      <w:pPr>
        <w:widowControl/>
        <w:spacing w:line="360" w:lineRule="auto"/>
        <w:jc w:val="left"/>
        <w:rPr>
          <w:rFonts w:hint="eastAsia" w:ascii="宋体" w:hAnsi="宋体" w:cs="宋体"/>
          <w:color w:val="auto"/>
          <w:kern w:val="0"/>
          <w:szCs w:val="20"/>
          <w:highlight w:val="none"/>
        </w:rPr>
      </w:pPr>
      <w:r>
        <w:rPr>
          <w:rFonts w:hint="eastAsia" w:ascii="宋体" w:hAnsi="宋体" w:cs="宋体"/>
          <w:bCs/>
          <w:color w:val="auto"/>
          <w:kern w:val="0"/>
          <w:sz w:val="24"/>
          <w:szCs w:val="20"/>
          <w:highlight w:val="none"/>
          <w:lang w:bidi="ar"/>
        </w:rPr>
        <w:t xml:space="preserve">                        年  月  日</w:t>
      </w:r>
    </w:p>
    <w:p>
      <w:pPr>
        <w:spacing w:line="360" w:lineRule="auto"/>
        <w:rPr>
          <w:rFonts w:hint="eastAsia" w:ascii="宋体" w:hAnsi="宋体" w:cs="宋体"/>
          <w:bCs/>
          <w:color w:val="auto"/>
          <w:sz w:val="24"/>
          <w:highlight w:val="none"/>
          <w:lang w:bidi="ar"/>
        </w:rPr>
      </w:pPr>
    </w:p>
    <w:p>
      <w:pPr>
        <w:pStyle w:val="201"/>
        <w:widowControl w:val="0"/>
        <w:snapToGrid w:val="0"/>
        <w:spacing w:line="500" w:lineRule="exact"/>
        <w:jc w:val="both"/>
        <w:rPr>
          <w:rFonts w:hAnsi="宋体"/>
          <w:color w:val="auto"/>
          <w:highlight w:val="none"/>
        </w:rPr>
      </w:pPr>
      <w:r>
        <w:rPr>
          <w:rFonts w:hint="eastAsia" w:hAnsi="宋体"/>
          <w:bCs/>
          <w:color w:val="auto"/>
          <w:sz w:val="24"/>
          <w:highlight w:val="none"/>
          <w:lang w:bidi="ar"/>
        </w:rPr>
        <w:br w:type="page"/>
      </w:r>
      <w:r>
        <w:rPr>
          <w:rFonts w:hint="eastAsia" w:hAnsi="宋体"/>
          <w:color w:val="auto"/>
          <w:highlight w:val="none"/>
        </w:rPr>
        <w:t>附件：</w:t>
      </w:r>
      <w:r>
        <w:rPr>
          <w:rFonts w:hint="eastAsia"/>
          <w:color w:val="auto"/>
          <w:highlight w:val="none"/>
        </w:rPr>
        <w:t>请各位供应商认真填写下表，于投标截止时间后按采购代理公司规定要求单独递交。</w:t>
      </w:r>
    </w:p>
    <w:p>
      <w:pPr>
        <w:pStyle w:val="201"/>
        <w:widowControl w:val="0"/>
        <w:snapToGrid w:val="0"/>
        <w:jc w:val="center"/>
        <w:rPr>
          <w:rFonts w:hAnsi="宋体" w:cs="Times New Roman"/>
          <w:color w:val="auto"/>
          <w:sz w:val="32"/>
          <w:szCs w:val="32"/>
          <w:highlight w:val="none"/>
        </w:rPr>
      </w:pPr>
      <w:r>
        <w:rPr>
          <w:rFonts w:hint="eastAsia" w:hAnsi="宋体" w:cs="方正小标宋简体"/>
          <w:color w:val="auto"/>
          <w:sz w:val="28"/>
          <w:szCs w:val="28"/>
          <w:highlight w:val="none"/>
        </w:rPr>
        <w:t>政府采购活动现场确认声明书</w:t>
      </w:r>
    </w:p>
    <w:p>
      <w:pPr>
        <w:pStyle w:val="201"/>
        <w:widowControl w:val="0"/>
        <w:snapToGrid w:val="0"/>
        <w:spacing w:line="336" w:lineRule="auto"/>
        <w:jc w:val="both"/>
        <w:rPr>
          <w:rFonts w:hAnsi="宋体" w:cs="Times New Roman"/>
          <w:bCs/>
          <w:color w:val="auto"/>
          <w:sz w:val="24"/>
          <w:szCs w:val="24"/>
          <w:highlight w:val="none"/>
        </w:rPr>
      </w:pPr>
      <w:r>
        <w:rPr>
          <w:rFonts w:hAnsi="宋体"/>
          <w:color w:val="auto"/>
          <w:kern w:val="0"/>
          <w:sz w:val="24"/>
          <w:szCs w:val="24"/>
          <w:highlight w:val="none"/>
        </w:rPr>
        <w:t xml:space="preserve"> </w:t>
      </w:r>
      <w:r>
        <w:rPr>
          <w:rFonts w:hint="eastAsia" w:hAnsi="宋体"/>
          <w:color w:val="auto"/>
          <w:kern w:val="0"/>
          <w:sz w:val="24"/>
          <w:szCs w:val="24"/>
          <w:highlight w:val="none"/>
        </w:rPr>
        <w:t>宁波中基国际招标有限公司：</w:t>
      </w:r>
    </w:p>
    <w:p>
      <w:pPr>
        <w:pStyle w:val="201"/>
        <w:widowControl w:val="0"/>
        <w:snapToGrid w:val="0"/>
        <w:spacing w:line="336" w:lineRule="auto"/>
        <w:ind w:firstLine="504" w:firstLineChars="200"/>
        <w:jc w:val="both"/>
        <w:rPr>
          <w:rFonts w:hAnsi="宋体"/>
          <w:color w:val="auto"/>
          <w:spacing w:val="6"/>
          <w:sz w:val="24"/>
          <w:szCs w:val="24"/>
          <w:highlight w:val="none"/>
        </w:rPr>
      </w:pPr>
      <w:r>
        <w:rPr>
          <w:rFonts w:hint="eastAsia" w:hAnsi="宋体"/>
          <w:color w:val="auto"/>
          <w:spacing w:val="6"/>
          <w:sz w:val="24"/>
          <w:szCs w:val="24"/>
          <w:highlight w:val="none"/>
        </w:rPr>
        <w:t>本人</w:t>
      </w:r>
      <w:r>
        <w:rPr>
          <w:rFonts w:hAnsi="宋体"/>
          <w:color w:val="auto"/>
          <w:spacing w:val="6"/>
          <w:sz w:val="24"/>
          <w:szCs w:val="24"/>
          <w:highlight w:val="none"/>
          <w:u w:val="single"/>
        </w:rPr>
        <w:t xml:space="preserve">        </w:t>
      </w:r>
      <w:r>
        <w:rPr>
          <w:rFonts w:hint="eastAsia" w:hAnsi="宋体"/>
          <w:color w:val="auto"/>
          <w:spacing w:val="6"/>
          <w:sz w:val="24"/>
          <w:szCs w:val="24"/>
          <w:highlight w:val="none"/>
        </w:rPr>
        <w:t>（授权代表姓名），经由</w:t>
      </w:r>
      <w:r>
        <w:rPr>
          <w:rFonts w:hAnsi="宋体"/>
          <w:color w:val="auto"/>
          <w:spacing w:val="6"/>
          <w:sz w:val="24"/>
          <w:szCs w:val="24"/>
          <w:highlight w:val="none"/>
          <w:u w:val="single"/>
        </w:rPr>
        <w:t xml:space="preserve">           </w:t>
      </w:r>
      <w:r>
        <w:rPr>
          <w:rFonts w:hint="eastAsia" w:hAnsi="宋体"/>
          <w:color w:val="auto"/>
          <w:spacing w:val="6"/>
          <w:sz w:val="24"/>
          <w:szCs w:val="24"/>
          <w:highlight w:val="none"/>
        </w:rPr>
        <w:t>（单位）</w:t>
      </w:r>
      <w:r>
        <w:rPr>
          <w:rFonts w:hAnsi="宋体"/>
          <w:color w:val="auto"/>
          <w:spacing w:val="6"/>
          <w:sz w:val="24"/>
          <w:szCs w:val="24"/>
          <w:highlight w:val="none"/>
          <w:u w:val="single"/>
        </w:rPr>
        <w:t xml:space="preserve">         </w:t>
      </w:r>
      <w:r>
        <w:rPr>
          <w:rFonts w:hint="eastAsia" w:hAnsi="宋体"/>
          <w:color w:val="auto"/>
          <w:spacing w:val="6"/>
          <w:sz w:val="24"/>
          <w:szCs w:val="24"/>
          <w:highlight w:val="none"/>
        </w:rPr>
        <w:t>（</w:t>
      </w:r>
      <w:r>
        <w:rPr>
          <w:rFonts w:hint="eastAsia" w:hAnsi="宋体"/>
          <w:color w:val="auto"/>
          <w:spacing w:val="6"/>
          <w:sz w:val="24"/>
          <w:szCs w:val="24"/>
          <w:highlight w:val="none"/>
          <w:lang w:eastAsia="zh-CN"/>
        </w:rPr>
        <w:t>法定代表人（或企业负责人）</w:t>
      </w:r>
      <w:r>
        <w:rPr>
          <w:rFonts w:hint="eastAsia" w:hAnsi="宋体"/>
          <w:color w:val="auto"/>
          <w:spacing w:val="6"/>
          <w:sz w:val="24"/>
          <w:szCs w:val="24"/>
          <w:highlight w:val="none"/>
        </w:rPr>
        <w:t>姓名）合法授权参加</w:t>
      </w:r>
      <w:r>
        <w:rPr>
          <w:rFonts w:hint="eastAsia" w:hAnsi="宋体"/>
          <w:color w:val="auto"/>
          <w:spacing w:val="6"/>
          <w:sz w:val="24"/>
          <w:szCs w:val="24"/>
          <w:highlight w:val="none"/>
          <w:u w:val="single"/>
          <w:lang w:val="en-US" w:eastAsia="zh-CN"/>
        </w:rPr>
        <w:t xml:space="preserve">                    </w:t>
      </w:r>
      <w:r>
        <w:rPr>
          <w:rFonts w:hint="eastAsia" w:hAnsi="宋体"/>
          <w:color w:val="auto"/>
          <w:spacing w:val="6"/>
          <w:sz w:val="24"/>
          <w:szCs w:val="24"/>
          <w:highlight w:val="none"/>
          <w:u w:val="single"/>
        </w:rPr>
        <w:t xml:space="preserve"> </w:t>
      </w:r>
      <w:r>
        <w:rPr>
          <w:rFonts w:hint="eastAsia" w:hAnsi="宋体"/>
          <w:color w:val="auto"/>
          <w:spacing w:val="6"/>
          <w:sz w:val="24"/>
          <w:szCs w:val="24"/>
          <w:highlight w:val="none"/>
        </w:rPr>
        <w:t>（编号：</w:t>
      </w:r>
      <w:r>
        <w:rPr>
          <w:rFonts w:hint="eastAsia" w:hAnsi="宋体"/>
          <w:color w:val="auto"/>
          <w:sz w:val="24"/>
          <w:szCs w:val="24"/>
          <w:highlight w:val="none"/>
          <w:u w:val="single"/>
        </w:rPr>
        <w:t xml:space="preserve">          </w:t>
      </w:r>
      <w:r>
        <w:rPr>
          <w:rFonts w:hint="eastAsia" w:hAnsi="宋体"/>
          <w:color w:val="auto"/>
          <w:spacing w:val="6"/>
          <w:sz w:val="24"/>
          <w:szCs w:val="24"/>
          <w:highlight w:val="none"/>
          <w:u w:val="single"/>
        </w:rPr>
        <w:t>）</w:t>
      </w:r>
      <w:r>
        <w:rPr>
          <w:rFonts w:hint="eastAsia" w:hAnsi="宋体"/>
          <w:color w:val="auto"/>
          <w:spacing w:val="6"/>
          <w:sz w:val="24"/>
          <w:szCs w:val="24"/>
          <w:highlight w:val="none"/>
        </w:rPr>
        <w:t>政府采购活动，经与本单位法人代表（负责人）联系确认，现就有关公平竞争事项郑重声明如下：</w:t>
      </w:r>
      <w:r>
        <w:rPr>
          <w:rFonts w:hAnsi="宋体"/>
          <w:color w:val="auto"/>
          <w:spacing w:val="6"/>
          <w:sz w:val="24"/>
          <w:szCs w:val="24"/>
          <w:highlight w:val="none"/>
        </w:rPr>
        <w:t xml:space="preserve"> </w:t>
      </w:r>
    </w:p>
    <w:p>
      <w:pPr>
        <w:pStyle w:val="188"/>
        <w:widowControl/>
        <w:numPr>
          <w:ilvl w:val="0"/>
          <w:numId w:val="34"/>
        </w:numPr>
        <w:snapToGrid w:val="0"/>
        <w:spacing w:line="336" w:lineRule="auto"/>
        <w:ind w:firstLine="453" w:firstLineChars="189"/>
        <w:rPr>
          <w:rFonts w:ascii="宋体" w:hAnsi="宋体" w:cs="Times New Roman"/>
          <w:color w:val="auto"/>
          <w:kern w:val="0"/>
          <w:sz w:val="24"/>
          <w:szCs w:val="24"/>
          <w:highlight w:val="none"/>
        </w:rPr>
      </w:pPr>
      <w:r>
        <w:rPr>
          <w:rFonts w:hint="eastAsia" w:ascii="宋体" w:hAnsi="宋体" w:cs="宋体"/>
          <w:color w:val="auto"/>
          <w:kern w:val="0"/>
          <w:sz w:val="24"/>
          <w:szCs w:val="24"/>
          <w:highlight w:val="none"/>
        </w:rPr>
        <w:t>本单位与采购人之间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□不存在利害关系</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□存在下列利害关系</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88"/>
        <w:widowControl/>
        <w:snapToGrid w:val="0"/>
        <w:spacing w:line="336" w:lineRule="auto"/>
        <w:rPr>
          <w:rFonts w:ascii="宋体" w:hAnsi="宋体" w:cs="Times New Roman"/>
          <w:color w:val="auto"/>
          <w:kern w:val="0"/>
          <w:sz w:val="24"/>
          <w:szCs w:val="24"/>
          <w:highlight w:val="none"/>
        </w:rPr>
      </w:pPr>
      <w:r>
        <w:rPr>
          <w:rFonts w:ascii="宋体" w:hAnsi="宋体" w:cs="宋体"/>
          <w:color w:val="auto"/>
          <w:kern w:val="0"/>
          <w:sz w:val="24"/>
          <w:szCs w:val="24"/>
          <w:highlight w:val="none"/>
        </w:rPr>
        <w:t xml:space="preserve">  A.</w:t>
      </w:r>
      <w:r>
        <w:rPr>
          <w:rFonts w:hint="eastAsia" w:ascii="宋体" w:hAnsi="宋体" w:cs="宋体"/>
          <w:color w:val="auto"/>
          <w:kern w:val="0"/>
          <w:sz w:val="24"/>
          <w:szCs w:val="24"/>
          <w:highlight w:val="none"/>
        </w:rPr>
        <w:t>投资关系</w:t>
      </w:r>
      <w:r>
        <w:rPr>
          <w:rFonts w:ascii="宋体" w:hAnsi="宋体" w:cs="宋体"/>
          <w:color w:val="auto"/>
          <w:kern w:val="0"/>
          <w:sz w:val="24"/>
          <w:szCs w:val="24"/>
          <w:highlight w:val="none"/>
        </w:rPr>
        <w:t xml:space="preserve">    B.</w:t>
      </w:r>
      <w:r>
        <w:rPr>
          <w:rFonts w:hint="eastAsia" w:ascii="宋体" w:hAnsi="宋体" w:cs="宋体"/>
          <w:color w:val="auto"/>
          <w:kern w:val="0"/>
          <w:sz w:val="24"/>
          <w:szCs w:val="24"/>
          <w:highlight w:val="none"/>
        </w:rPr>
        <w:t>行政隶属关系</w:t>
      </w:r>
      <w:r>
        <w:rPr>
          <w:rFonts w:ascii="宋体" w:hAnsi="宋体" w:cs="宋体"/>
          <w:color w:val="auto"/>
          <w:kern w:val="0"/>
          <w:sz w:val="24"/>
          <w:szCs w:val="24"/>
          <w:highlight w:val="none"/>
        </w:rPr>
        <w:t xml:space="preserve">    C.</w:t>
      </w:r>
      <w:r>
        <w:rPr>
          <w:rFonts w:hint="eastAsia" w:ascii="宋体" w:hAnsi="宋体" w:cs="宋体"/>
          <w:color w:val="auto"/>
          <w:kern w:val="0"/>
          <w:sz w:val="24"/>
          <w:szCs w:val="24"/>
          <w:highlight w:val="none"/>
        </w:rPr>
        <w:t>业务指导关系</w:t>
      </w:r>
    </w:p>
    <w:p>
      <w:pPr>
        <w:pStyle w:val="188"/>
        <w:widowControl/>
        <w:snapToGrid w:val="0"/>
        <w:spacing w:line="336" w:lineRule="auto"/>
        <w:rPr>
          <w:rFonts w:ascii="宋体" w:hAnsi="宋体" w:cs="Times New Roman"/>
          <w:color w:val="auto"/>
          <w:kern w:val="0"/>
          <w:sz w:val="24"/>
          <w:szCs w:val="24"/>
          <w:highlight w:val="none"/>
        </w:rPr>
      </w:pPr>
      <w:r>
        <w:rPr>
          <w:rFonts w:ascii="宋体" w:hAnsi="宋体" w:cs="宋体"/>
          <w:color w:val="auto"/>
          <w:kern w:val="0"/>
          <w:sz w:val="24"/>
          <w:szCs w:val="24"/>
          <w:highlight w:val="none"/>
        </w:rPr>
        <w:t xml:space="preserve">  D.</w:t>
      </w:r>
      <w:r>
        <w:rPr>
          <w:rFonts w:hint="eastAsia" w:ascii="宋体" w:hAnsi="宋体" w:cs="宋体"/>
          <w:color w:val="auto"/>
          <w:kern w:val="0"/>
          <w:sz w:val="24"/>
          <w:szCs w:val="24"/>
          <w:highlight w:val="none"/>
        </w:rPr>
        <w:t>其他可能</w:t>
      </w:r>
      <w:r>
        <w:rPr>
          <w:rFonts w:hint="eastAsia" w:ascii="宋体" w:hAnsi="宋体" w:cs="宋体"/>
          <w:color w:val="auto"/>
          <w:sz w:val="24"/>
          <w:szCs w:val="24"/>
          <w:highlight w:val="none"/>
        </w:rPr>
        <w:t>影响采购公正的</w:t>
      </w:r>
      <w:r>
        <w:rPr>
          <w:rFonts w:hint="eastAsia" w:ascii="宋体" w:hAnsi="宋体" w:cs="宋体"/>
          <w:color w:val="auto"/>
          <w:kern w:val="0"/>
          <w:sz w:val="24"/>
          <w:szCs w:val="24"/>
          <w:highlight w:val="none"/>
        </w:rPr>
        <w:t>利害关系（如有，请如实说明）</w:t>
      </w:r>
      <w:r>
        <w:rPr>
          <w:rFonts w:ascii="宋体" w:hAnsi="宋体" w:cs="宋体"/>
          <w:color w:val="auto"/>
          <w:kern w:val="0"/>
          <w:sz w:val="24"/>
          <w:szCs w:val="24"/>
          <w:highlight w:val="none"/>
        </w:rPr>
        <w:t xml:space="preserve"> </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88"/>
        <w:widowControl/>
        <w:numPr>
          <w:ilvl w:val="0"/>
          <w:numId w:val="34"/>
        </w:numPr>
        <w:snapToGrid w:val="0"/>
        <w:spacing w:line="336" w:lineRule="auto"/>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现已清楚知道参加本项目采购活动的其他所有供应商名称，本单位</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□与其他所有供应商之间均不存在利害关系</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□与</w:t>
      </w:r>
      <w:r>
        <w:rPr>
          <w:rFonts w:ascii="宋体" w:hAnsi="宋体" w:cs="宋体"/>
          <w:color w:val="auto"/>
          <w:kern w:val="0"/>
          <w:sz w:val="24"/>
          <w:szCs w:val="24"/>
          <w:highlight w:val="none"/>
        </w:rPr>
        <w:t xml:space="preserve"> </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（供应商名称）之间存在下列利害关系</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201"/>
        <w:widowControl w:val="0"/>
        <w:snapToGrid w:val="0"/>
        <w:spacing w:line="336" w:lineRule="auto"/>
        <w:jc w:val="both"/>
        <w:rPr>
          <w:rFonts w:hAnsi="宋体" w:cs="Times New Roman"/>
          <w:color w:val="auto"/>
          <w:kern w:val="0"/>
          <w:sz w:val="24"/>
          <w:szCs w:val="24"/>
          <w:highlight w:val="none"/>
        </w:rPr>
      </w:pPr>
      <w:r>
        <w:rPr>
          <w:rFonts w:hAnsi="宋体"/>
          <w:color w:val="auto"/>
          <w:kern w:val="0"/>
          <w:sz w:val="24"/>
          <w:szCs w:val="24"/>
          <w:highlight w:val="none"/>
        </w:rPr>
        <w:t xml:space="preserve">  A.</w:t>
      </w:r>
      <w:r>
        <w:rPr>
          <w:rFonts w:hint="eastAsia" w:hAnsi="宋体"/>
          <w:color w:val="auto"/>
          <w:kern w:val="0"/>
          <w:sz w:val="24"/>
          <w:szCs w:val="24"/>
          <w:highlight w:val="none"/>
        </w:rPr>
        <w:t>法定代表人或负责人或实际控制人是同一人</w:t>
      </w:r>
    </w:p>
    <w:p>
      <w:pPr>
        <w:pStyle w:val="201"/>
        <w:widowControl w:val="0"/>
        <w:snapToGrid w:val="0"/>
        <w:spacing w:line="336" w:lineRule="auto"/>
        <w:jc w:val="both"/>
        <w:rPr>
          <w:rFonts w:hAnsi="宋体" w:cs="Times New Roman"/>
          <w:color w:val="auto"/>
          <w:spacing w:val="6"/>
          <w:sz w:val="24"/>
          <w:szCs w:val="24"/>
          <w:highlight w:val="none"/>
        </w:rPr>
      </w:pPr>
      <w:r>
        <w:rPr>
          <w:rFonts w:hAnsi="宋体"/>
          <w:color w:val="auto"/>
          <w:kern w:val="0"/>
          <w:sz w:val="24"/>
          <w:szCs w:val="24"/>
          <w:highlight w:val="none"/>
        </w:rPr>
        <w:t xml:space="preserve">  B.</w:t>
      </w:r>
      <w:r>
        <w:rPr>
          <w:rFonts w:hint="eastAsia" w:hAnsi="宋体"/>
          <w:color w:val="auto"/>
          <w:kern w:val="0"/>
          <w:sz w:val="24"/>
          <w:szCs w:val="24"/>
          <w:highlight w:val="none"/>
        </w:rPr>
        <w:t>法定代表人或负责人或实际控制人是夫妻关系</w:t>
      </w:r>
    </w:p>
    <w:p>
      <w:pPr>
        <w:pStyle w:val="201"/>
        <w:widowControl w:val="0"/>
        <w:snapToGrid w:val="0"/>
        <w:spacing w:line="336" w:lineRule="auto"/>
        <w:jc w:val="both"/>
        <w:rPr>
          <w:rFonts w:hAnsi="宋体" w:cs="Times New Roman"/>
          <w:color w:val="auto"/>
          <w:spacing w:val="6"/>
          <w:sz w:val="24"/>
          <w:szCs w:val="24"/>
          <w:highlight w:val="none"/>
        </w:rPr>
      </w:pPr>
      <w:r>
        <w:rPr>
          <w:rFonts w:hAnsi="宋体"/>
          <w:color w:val="auto"/>
          <w:kern w:val="0"/>
          <w:sz w:val="24"/>
          <w:szCs w:val="24"/>
          <w:highlight w:val="none"/>
        </w:rPr>
        <w:t xml:space="preserve">  C.</w:t>
      </w:r>
      <w:r>
        <w:rPr>
          <w:rFonts w:hint="eastAsia" w:hAnsi="宋体"/>
          <w:color w:val="auto"/>
          <w:kern w:val="0"/>
          <w:sz w:val="24"/>
          <w:szCs w:val="24"/>
          <w:highlight w:val="none"/>
        </w:rPr>
        <w:t>法定代表人或负责人或实际控制人是直系血亲关系</w:t>
      </w:r>
    </w:p>
    <w:p>
      <w:pPr>
        <w:pStyle w:val="201"/>
        <w:widowControl w:val="0"/>
        <w:snapToGrid w:val="0"/>
        <w:spacing w:line="336" w:lineRule="auto"/>
        <w:jc w:val="both"/>
        <w:rPr>
          <w:rFonts w:hAnsi="宋体" w:cs="Times New Roman"/>
          <w:color w:val="auto"/>
          <w:spacing w:val="6"/>
          <w:sz w:val="24"/>
          <w:szCs w:val="24"/>
          <w:highlight w:val="none"/>
        </w:rPr>
      </w:pPr>
      <w:r>
        <w:rPr>
          <w:rFonts w:hAnsi="宋体"/>
          <w:color w:val="auto"/>
          <w:kern w:val="0"/>
          <w:sz w:val="24"/>
          <w:szCs w:val="24"/>
          <w:highlight w:val="none"/>
        </w:rPr>
        <w:t xml:space="preserve">  D.</w:t>
      </w:r>
      <w:r>
        <w:rPr>
          <w:rFonts w:hint="eastAsia" w:hAnsi="宋体"/>
          <w:color w:val="auto"/>
          <w:kern w:val="0"/>
          <w:sz w:val="24"/>
          <w:szCs w:val="24"/>
          <w:highlight w:val="none"/>
        </w:rPr>
        <w:t>法定代表人或负责人或实际控制人存在三代以内旁系血亲关系</w:t>
      </w:r>
    </w:p>
    <w:p>
      <w:pPr>
        <w:pStyle w:val="201"/>
        <w:widowControl w:val="0"/>
        <w:snapToGrid w:val="0"/>
        <w:spacing w:line="336" w:lineRule="auto"/>
        <w:jc w:val="both"/>
        <w:rPr>
          <w:rFonts w:hAnsi="宋体" w:cs="Times New Roman"/>
          <w:color w:val="auto"/>
          <w:kern w:val="0"/>
          <w:sz w:val="24"/>
          <w:szCs w:val="24"/>
          <w:highlight w:val="none"/>
        </w:rPr>
      </w:pPr>
      <w:r>
        <w:rPr>
          <w:rFonts w:hAnsi="宋体"/>
          <w:color w:val="auto"/>
          <w:kern w:val="0"/>
          <w:sz w:val="24"/>
          <w:szCs w:val="24"/>
          <w:highlight w:val="none"/>
        </w:rPr>
        <w:t xml:space="preserve">  E.</w:t>
      </w:r>
      <w:r>
        <w:rPr>
          <w:rFonts w:hint="eastAsia" w:hAnsi="宋体"/>
          <w:color w:val="auto"/>
          <w:kern w:val="0"/>
          <w:sz w:val="24"/>
          <w:szCs w:val="24"/>
          <w:highlight w:val="none"/>
        </w:rPr>
        <w:t>法定代表人或负责人或实际控制人存在近姻亲关系</w:t>
      </w:r>
    </w:p>
    <w:p>
      <w:pPr>
        <w:pStyle w:val="201"/>
        <w:widowControl w:val="0"/>
        <w:snapToGrid w:val="0"/>
        <w:spacing w:line="336" w:lineRule="auto"/>
        <w:jc w:val="both"/>
        <w:rPr>
          <w:rFonts w:hAnsi="宋体" w:cs="Times New Roman"/>
          <w:color w:val="auto"/>
          <w:kern w:val="0"/>
          <w:sz w:val="24"/>
          <w:szCs w:val="24"/>
          <w:highlight w:val="none"/>
        </w:rPr>
      </w:pPr>
      <w:r>
        <w:rPr>
          <w:rFonts w:hAnsi="宋体"/>
          <w:color w:val="auto"/>
          <w:kern w:val="0"/>
          <w:sz w:val="24"/>
          <w:szCs w:val="24"/>
          <w:highlight w:val="none"/>
        </w:rPr>
        <w:t xml:space="preserve">  F.</w:t>
      </w:r>
      <w:r>
        <w:rPr>
          <w:rFonts w:hint="eastAsia" w:hAnsi="宋体"/>
          <w:color w:val="auto"/>
          <w:kern w:val="0"/>
          <w:sz w:val="24"/>
          <w:szCs w:val="24"/>
          <w:highlight w:val="none"/>
        </w:rPr>
        <w:t>法定代表人或负责人或实际控制人存在股份控制或实际控制关系</w:t>
      </w:r>
    </w:p>
    <w:p>
      <w:pPr>
        <w:pStyle w:val="201"/>
        <w:widowControl w:val="0"/>
        <w:snapToGrid w:val="0"/>
        <w:spacing w:line="336" w:lineRule="auto"/>
        <w:jc w:val="both"/>
        <w:rPr>
          <w:rFonts w:hAnsi="宋体" w:cs="Times New Roman"/>
          <w:color w:val="auto"/>
          <w:kern w:val="0"/>
          <w:sz w:val="24"/>
          <w:szCs w:val="24"/>
          <w:highlight w:val="none"/>
        </w:rPr>
      </w:pPr>
      <w:r>
        <w:rPr>
          <w:rFonts w:hAnsi="宋体"/>
          <w:color w:val="auto"/>
          <w:kern w:val="0"/>
          <w:sz w:val="24"/>
          <w:szCs w:val="24"/>
          <w:highlight w:val="none"/>
        </w:rPr>
        <w:t xml:space="preserve">  G.</w:t>
      </w:r>
      <w:r>
        <w:rPr>
          <w:rFonts w:hint="eastAsia" w:hAnsi="宋体"/>
          <w:color w:val="auto"/>
          <w:kern w:val="0"/>
          <w:sz w:val="24"/>
          <w:szCs w:val="24"/>
          <w:highlight w:val="none"/>
        </w:rPr>
        <w:t>存在共同直接或间接投资设立子公司、联营企业和合营企业情况</w:t>
      </w:r>
    </w:p>
    <w:p>
      <w:pPr>
        <w:pStyle w:val="201"/>
        <w:widowControl w:val="0"/>
        <w:snapToGrid w:val="0"/>
        <w:spacing w:line="336" w:lineRule="auto"/>
        <w:jc w:val="both"/>
        <w:rPr>
          <w:rFonts w:hAnsi="宋体" w:cs="Times New Roman"/>
          <w:color w:val="auto"/>
          <w:sz w:val="24"/>
          <w:szCs w:val="24"/>
          <w:highlight w:val="none"/>
        </w:rPr>
      </w:pPr>
      <w:r>
        <w:rPr>
          <w:rFonts w:hAnsi="宋体"/>
          <w:color w:val="auto"/>
          <w:kern w:val="0"/>
          <w:sz w:val="24"/>
          <w:szCs w:val="24"/>
          <w:highlight w:val="none"/>
        </w:rPr>
        <w:t xml:space="preserve">  H.</w:t>
      </w:r>
      <w:r>
        <w:rPr>
          <w:rFonts w:hint="eastAsia" w:hAnsi="宋体"/>
          <w:color w:val="auto"/>
          <w:kern w:val="0"/>
          <w:sz w:val="24"/>
          <w:szCs w:val="24"/>
          <w:highlight w:val="none"/>
        </w:rPr>
        <w:t>存在分级代理或代销关系、同一生产制造商关系、</w:t>
      </w:r>
      <w:r>
        <w:rPr>
          <w:rFonts w:hint="eastAsia" w:hAnsi="宋体"/>
          <w:color w:val="auto"/>
          <w:sz w:val="24"/>
          <w:szCs w:val="24"/>
          <w:highlight w:val="none"/>
        </w:rPr>
        <w:t>管理关系、重要业务（占主营业务收入</w:t>
      </w:r>
      <w:r>
        <w:rPr>
          <w:rFonts w:hAnsi="宋体"/>
          <w:color w:val="auto"/>
          <w:sz w:val="24"/>
          <w:szCs w:val="24"/>
          <w:highlight w:val="none"/>
        </w:rPr>
        <w:t>50%</w:t>
      </w:r>
      <w:r>
        <w:rPr>
          <w:rFonts w:hint="eastAsia" w:hAnsi="宋体"/>
          <w:color w:val="auto"/>
          <w:sz w:val="24"/>
          <w:szCs w:val="24"/>
          <w:highlight w:val="none"/>
        </w:rPr>
        <w:t>以上）或重要财务往来关系（如融资）等其他实质性控制关系</w:t>
      </w:r>
    </w:p>
    <w:p>
      <w:pPr>
        <w:pStyle w:val="201"/>
        <w:widowControl w:val="0"/>
        <w:snapToGrid w:val="0"/>
        <w:spacing w:line="336" w:lineRule="auto"/>
        <w:jc w:val="both"/>
        <w:rPr>
          <w:rFonts w:hAnsi="宋体" w:cs="Times New Roman"/>
          <w:color w:val="auto"/>
          <w:spacing w:val="6"/>
          <w:sz w:val="24"/>
          <w:szCs w:val="24"/>
          <w:highlight w:val="none"/>
        </w:rPr>
      </w:pPr>
      <w:r>
        <w:rPr>
          <w:rFonts w:hAnsi="宋体"/>
          <w:color w:val="auto"/>
          <w:sz w:val="24"/>
          <w:szCs w:val="24"/>
          <w:highlight w:val="none"/>
        </w:rPr>
        <w:t xml:space="preserve">  I</w:t>
      </w:r>
      <w:r>
        <w:rPr>
          <w:rFonts w:hAnsi="宋体"/>
          <w:color w:val="auto"/>
          <w:kern w:val="0"/>
          <w:sz w:val="24"/>
          <w:szCs w:val="24"/>
          <w:highlight w:val="none"/>
        </w:rPr>
        <w:t>.</w:t>
      </w:r>
      <w:r>
        <w:rPr>
          <w:rFonts w:hint="eastAsia" w:hAnsi="宋体"/>
          <w:color w:val="auto"/>
          <w:sz w:val="24"/>
          <w:szCs w:val="24"/>
          <w:highlight w:val="none"/>
        </w:rPr>
        <w:t>其他利害关系情况</w:t>
      </w:r>
      <w:r>
        <w:rPr>
          <w:rFonts w:hAnsi="宋体"/>
          <w:color w:val="auto"/>
          <w:sz w:val="24"/>
          <w:szCs w:val="24"/>
          <w:highlight w:val="none"/>
          <w:u w:val="single"/>
        </w:rPr>
        <w:t xml:space="preserve">                              </w:t>
      </w:r>
      <w:r>
        <w:rPr>
          <w:rFonts w:hint="eastAsia" w:hAnsi="宋体"/>
          <w:color w:val="auto"/>
          <w:kern w:val="0"/>
          <w:sz w:val="24"/>
          <w:szCs w:val="24"/>
          <w:highlight w:val="none"/>
        </w:rPr>
        <w:t>。</w:t>
      </w:r>
    </w:p>
    <w:p>
      <w:pPr>
        <w:pStyle w:val="188"/>
        <w:widowControl/>
        <w:numPr>
          <w:ilvl w:val="0"/>
          <w:numId w:val="35"/>
        </w:numPr>
        <w:snapToGrid w:val="0"/>
        <w:spacing w:line="336" w:lineRule="auto"/>
        <w:ind w:firstLine="453" w:firstLineChars="189"/>
        <w:rPr>
          <w:rFonts w:ascii="宋体" w:hAnsi="宋体" w:cs="Times New Roman"/>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188"/>
        <w:widowControl/>
        <w:numPr>
          <w:ilvl w:val="0"/>
          <w:numId w:val="35"/>
        </w:numPr>
        <w:snapToGrid w:val="0"/>
        <w:spacing w:line="336" w:lineRule="auto"/>
        <w:ind w:firstLine="453" w:firstLineChars="189"/>
        <w:rPr>
          <w:rFonts w:ascii="宋体" w:hAnsi="宋体" w:cs="Times New Roman"/>
          <w:color w:val="auto"/>
          <w:kern w:val="0"/>
          <w:sz w:val="24"/>
          <w:szCs w:val="24"/>
          <w:highlight w:val="none"/>
        </w:rPr>
      </w:pPr>
      <w:r>
        <w:rPr>
          <w:rFonts w:hint="eastAsia" w:ascii="宋体" w:hAnsi="宋体" w:cs="宋体"/>
          <w:color w:val="auto"/>
          <w:kern w:val="0"/>
          <w:sz w:val="24"/>
          <w:szCs w:val="24"/>
          <w:highlight w:val="none"/>
        </w:rPr>
        <w:t>我发现</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供应商之间存在或可能存在上述第二条第</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项利害关系。</w:t>
      </w:r>
    </w:p>
    <w:p>
      <w:pPr>
        <w:pStyle w:val="201"/>
        <w:widowControl w:val="0"/>
        <w:snapToGrid w:val="0"/>
        <w:spacing w:line="336" w:lineRule="auto"/>
        <w:ind w:firstLine="480" w:firstLineChars="200"/>
        <w:jc w:val="both"/>
        <w:rPr>
          <w:rFonts w:hAnsi="宋体"/>
          <w:color w:val="auto"/>
          <w:sz w:val="24"/>
          <w:szCs w:val="24"/>
          <w:highlight w:val="none"/>
        </w:rPr>
      </w:pPr>
    </w:p>
    <w:p>
      <w:pPr>
        <w:pStyle w:val="201"/>
        <w:widowControl w:val="0"/>
        <w:snapToGrid w:val="0"/>
        <w:spacing w:line="336" w:lineRule="auto"/>
        <w:ind w:firstLine="480" w:firstLineChars="200"/>
        <w:jc w:val="both"/>
        <w:rPr>
          <w:rFonts w:hAnsi="宋体" w:cs="Times New Roman"/>
          <w:color w:val="auto"/>
          <w:sz w:val="24"/>
          <w:szCs w:val="24"/>
          <w:highlight w:val="none"/>
        </w:rPr>
      </w:pPr>
      <w:r>
        <w:rPr>
          <w:rFonts w:hAnsi="宋体"/>
          <w:color w:val="auto"/>
          <w:sz w:val="24"/>
          <w:szCs w:val="24"/>
          <w:highlight w:val="none"/>
        </w:rPr>
        <w:t xml:space="preserve">                                    </w:t>
      </w:r>
      <w:r>
        <w:rPr>
          <w:rFonts w:hint="eastAsia" w:hAnsi="宋体"/>
          <w:color w:val="auto"/>
          <w:sz w:val="24"/>
          <w:szCs w:val="24"/>
          <w:highlight w:val="none"/>
        </w:rPr>
        <w:t>（供应商代表签名）：</w:t>
      </w:r>
    </w:p>
    <w:p>
      <w:pPr>
        <w:pStyle w:val="201"/>
        <w:widowControl w:val="0"/>
        <w:snapToGrid w:val="0"/>
        <w:spacing w:line="336" w:lineRule="auto"/>
        <w:ind w:firstLine="480" w:firstLineChars="200"/>
        <w:jc w:val="both"/>
        <w:rPr>
          <w:rFonts w:hint="eastAsia" w:hAnsi="宋体"/>
          <w:color w:val="auto"/>
          <w:highlight w:val="none"/>
        </w:rPr>
      </w:pPr>
      <w:r>
        <w:rPr>
          <w:rFonts w:hAnsi="宋体"/>
          <w:color w:val="auto"/>
          <w:sz w:val="24"/>
          <w:szCs w:val="24"/>
          <w:highlight w:val="none"/>
        </w:rPr>
        <w:t xml:space="preserve">                                      </w:t>
      </w:r>
      <w:r>
        <w:rPr>
          <w:rFonts w:hint="eastAsia" w:hAnsi="宋体"/>
          <w:color w:val="auto"/>
          <w:sz w:val="24"/>
          <w:szCs w:val="24"/>
          <w:highlight w:val="none"/>
        </w:rPr>
        <w:t>202</w:t>
      </w:r>
      <w:r>
        <w:rPr>
          <w:rFonts w:hint="eastAsia" w:hAnsi="宋体"/>
          <w:color w:val="auto"/>
          <w:sz w:val="24"/>
          <w:szCs w:val="24"/>
          <w:highlight w:val="none"/>
          <w:lang w:val="en-US" w:eastAsia="zh-CN"/>
        </w:rPr>
        <w:t>2</w:t>
      </w:r>
      <w:r>
        <w:rPr>
          <w:rFonts w:hint="eastAsia" w:hAnsi="宋体"/>
          <w:color w:val="auto"/>
          <w:sz w:val="24"/>
          <w:szCs w:val="24"/>
          <w:highlight w:val="none"/>
        </w:rPr>
        <w:t xml:space="preserve"> 年  月  日</w:t>
      </w:r>
    </w:p>
    <w:p>
      <w:pPr>
        <w:rPr>
          <w:color w:val="auto"/>
          <w:highlight w:val="none"/>
        </w:rPr>
      </w:pPr>
    </w:p>
    <w:sectPr>
      <w:headerReference r:id="rId14" w:type="default"/>
      <w:footerReference r:id="rId15" w:type="default"/>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065DBACA-7FE9-4200-8271-7DC6A5064624}"/>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embedRegular r:id="rId2" w:fontKey="{60A09894-A047-46B4-9E1D-D7D053E30366}"/>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embedRegular r:id="rId3" w:fontKey="{F5634041-8B0C-40DC-879E-1454A6B7592C}"/>
  </w:font>
  <w:font w:name="Courier New">
    <w:panose1 w:val="02070309020205020404"/>
    <w:charset w:val="00"/>
    <w:family w:val="modern"/>
    <w:pitch w:val="default"/>
    <w:sig w:usb0="E0002EFF" w:usb1="C0007843"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4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MS UI Gothic"/>
    <w:panose1 w:val="020B0300000000000000"/>
    <w:charset w:val="80"/>
    <w:family w:val="swiss"/>
    <w:pitch w:val="default"/>
    <w:sig w:usb0="E00002FF" w:usb1="7AC7FFFF" w:usb2="00000012" w:usb3="00000000" w:csb0="0002000D"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4" w:fontKey="{1640A7E6-9B8E-4996-9CB1-F937F8D93F6C}"/>
  </w:font>
  <w:font w:name="方正小标宋简体">
    <w:panose1 w:val="02000000000000000000"/>
    <w:charset w:val="86"/>
    <w:family w:val="script"/>
    <w:pitch w:val="default"/>
    <w:sig w:usb0="00000001" w:usb1="08000000" w:usb2="00000000" w:usb3="00000000" w:csb0="00040000" w:csb1="00000000"/>
    <w:embedRegular r:id="rId5" w:fontKey="{7FFF02C0-5BE4-4DD7-875B-EADFB18AB843}"/>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E/n1JjmAQAAyAMAAA4AAABkcnMvZTJvRG9jLnhtbK1TzY7TMBC+ I/EOlu802UqFKGq6WqgWISFAWngA17EbS/7T2G1SHgDegBMX7jxXn2PHTtJFy2UPe0nGnplv5vtm vL4ejCZHAUE529CrRUmJsNy1yu4b+u3r7auKkhCZbZl2VjT0JAK93rx8se59LZauc7oVQBDEhrr3 De1i9HVRBN4Jw8LCeWHRKR0YFvEI+6IF1iO60cWyLF8XvYPWg+MiBLzdjk46IcJTAJ2Uiout4wcj bBxRQWgWkVLolA90k7uVUvD4WcogItENRaYxf7EI2rv0LTZrVu+B+U7xqQX2lBYecTJMWSx6gdqy yMgB1H9QRnFwwcm44M4UI5GsCLK4Kh9pc9cxLzIXlDr4i+jh+WD5p+MXIKpt6IoSywwO/Pzr5/n3 3/OfH2SV5Ol9qDHqzmNcHN66AZdmvg94mVgPEkz6Ix+CfhT3dBFXDJHwlFQtq6pEF0fffED84iHd Q4jvhTMkGQ0FnF4WlR0/hjiGziGpmnW3Sus8QW1Jj6ir6s0qZ1xciK4tFkksxm6TFYfdMFHbufaE zPBBYMXOwXdKelyHhlrcfkr0B4tqp82ZDZiN3WwwyzGxoZGS0XwXxw07eFD7Lu9c6jf4m0PEnjOV 1MZYe+oOB5zFmJYxbdC/5xz18AA39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P59SY5gEA AMgDAAAOAAAAAAAAAAEAIAAAACIBAABkcnMvZTJvRG9jLnhtbFBLBQYAAAAABgAGAFkBAAB6BQAA AAA= ">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15875">
                        <a:noFill/>
                      </a:ln>
                    </wps:spPr>
                    <wps:txbx>
                      <w:txbxContent>
                        <w:p>
                          <w:pPr>
                            <w:pStyle w:val="30"/>
                            <w:rPr>
                              <w:rFonts w:eastAsia="宋体"/>
                            </w:rPr>
                          </w:pPr>
                          <w:r>
                            <w:fldChar w:fldCharType="begin"/>
                          </w:r>
                          <w:r>
                            <w:instrText xml:space="preserve"> PAGE  \* MERGEFORMAT </w:instrText>
                          </w:r>
                          <w:r>
                            <w:fldChar w:fldCharType="separate"/>
                          </w:r>
                          <w:r>
                            <w:rPr>
                              <w:rFonts w:hint="default"/>
                              <w:lang/>
                            </w:rPr>
                            <w:t>51</w:t>
                          </w:r>
                          <w: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EwGxtQAAAAD AQAADwAAAGRycy9kb3ducmV2LnhtbE2PQUvDQBCF74L/YRnBS2l304qkMZuCQm8Ktgpep9kxSc3O ht1tWv31br3Uy8DjPd77plydbC9G8qFzrCGbKRDEtTMdNxre39bTHESIyAZ7x6ThmwKsquurEgvj jryhcRsbkUo4FKihjXEopAx1SxbDzA3Eyft03mJM0jfSeDymctvLuVL30mLHaaHFgZ5aqr+2B6vh 4/mHaJM/Tibj3X7v1Xr5WssXrW9vMvUAItIpXsJwxk/oUCWmnTuwCaLXkB6Jf/fs5RmInYb5YgGy KuV/9uoXUEsDBBQAAAAIAIdO4kCcDI3I7gEAAMkDAAAOAAAAZHJzL2Uyb0RvYy54bWytU0tu2zAQ 3RfIHQjuY0lulI9gOWhipChQtAXSHoCmKIsAf+DQltwDtDfoqpvuey6fo0NKdop0k0U30nA+b+Y9 Dhe3g1ZkJzxIa2pazHJKhOG2kWZT0y+fH86vKYHATMOUNaKmewH0dnn2atG7SsxtZ1UjPEEQA1Xv atqF4KosA94JzWBmnTAYbK3XLODRb7LGsx7RtcrmeX6Z9dY3zlsuANC7GoN0QvQvAbRtK7lYWb7V woQR1QvFAlKCTjqgyzRt2woePrYtiEBUTZFpSF9sgvY6frPlglUbz1wn+TQCe8kIzzhpJg02PUGt WGBk6+U/UFpyb8G2YcatzkYiSRFkUeTPtHnsmBOJC0oN7iQ6/D9Y/mH3yRPZ4CZQYpjGCz/8+H74 +fvw6xsp8vllVKh3UGHio8PUMNzZIWZPfkBnJD60Xsc/UiIYR333J33FEAiPRcXFzeuSEo6h4uLq piwjSvZU7DyEt8JqEo2aery+pCrbvYcwph5TYi9jH6RS6GeVMqRH0PL6qkwVpxCiK4NNIodx1miF YT1MBNa22SMvfBHYsbP+KyU97kNNDa4/JeqdQbnj6hwNfzTWR4MZjoU1DZSM5n0YV2zrvNx0aeni kODebAPOnKjEMcbe03R4w0mMaRvjCv19TllPL3D5B1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GhM BsbUAAAAAwEAAA8AAAAAAAAAAQAgAAAAIgAAAGRycy9kb3ducmV2LnhtbFBLAQIUABQAAAAIAIdO 4kCcDI3I7gEAAMkDAAAOAAAAAAAAAAEAIAAAACMBAABkcnMvZTJvRG9jLnhtbFBLBQYAAAAABgAG AFkBAACDBQAAAAA= ">
              <v:fill on="f" focussize="0,0"/>
              <v:stroke on="f" weight="1.25pt"/>
              <v:imagedata o:title=""/>
              <o:lock v:ext="edit" aspectratio="f"/>
              <v:textbox inset="0mm,0mm,0mm,0mm" style="mso-fit-shape-to-text:t;">
                <w:txbxContent>
                  <w:p>
                    <w:pPr>
                      <w:pStyle w:val="30"/>
                      <w:rPr>
                        <w:rFonts w:eastAsia="宋体"/>
                      </w:rPr>
                    </w:pPr>
                    <w:r>
                      <w:fldChar w:fldCharType="begin"/>
                    </w:r>
                    <w:r>
                      <w:instrText xml:space="preserve"> PAGE  \* MERGEFORMAT </w:instrText>
                    </w:r>
                    <w:r>
                      <w:fldChar w:fldCharType="separate"/>
                    </w:r>
                    <w:r>
                      <w:rPr>
                        <w:rFonts w:hint="default"/>
                        <w:lang/>
                      </w:rP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rPr>
                            <w:t>55</w:t>
                          </w:r>
                          <w:r>
                            <w:rPr>
                              <w:sz w:val="1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cjyZbmAQAAyAMAAA4AAABkcnMvZTJvRG9jLnhtbK1TzY7TMBC+ I/EOlu802aKFKmq6AqpFSAiQFh7AdZzGkv/kmTYpDwBvwIkLd56rz8HYSbpoueyBSzL2zHwz3zfj 9c1gDTuqCNq7ml8tSs6Uk77Rbl/zL59vn604AxSuEcY7VfOTAn6zefpk3YdKLX3nTaMiIxAHVR9q 3iGGqihAdsoKWPigHDlbH61AOsZ90UTRE7o1xbIsXxS9j02IXioAut2OTj4hxscA+rbVUm29PFjl cESNyggkStDpAHyTu21bJfFj24JCZmpOTDF/qQjZu/QtNmtR7aMInZZTC+IxLTzgZIV2VPQCtRUo 2CHqf6CsltGDb3EhvS1GIlkRYnFVPtDmrhNBZS4kNYSL6PD/YOWH46fIdFPzJWdOWBr4+cf388/f 51/f2PMkTx+goqi7QHE4vPYDLc18D3SZWA9ttOlPfBj5SdzTRVw1IJMpabVcrUpySfLNB8Iv7tND BHyrvGXJqHmk6WVRxfE94Bg6h6Rqzt9qY/IEjWM9oV6vXl7njIuL0I2jIonF2G2ycNgNE7Wdb07E jB4EVex8/MpZT+tQc0fbz5l550jttDmzEWdjNxvCSUqsOXI2mm9w3LBDiHrf5Z1L/UJ4dUDqOVNJ bYy1p+5owFmMaRnTBv19zlH3D3DzB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AHI8mW5gEA AMgDAAAOAAAAAAAAAAEAIAAAACIBAABkcnMvZTJvRG9jLnhtbFBLBQYAAAAABgAGAFkBAAB6BQAA AAA= ">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rPr>
                      <w:t>55</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Calibri" w:hAnsi="Calibri" w:eastAsia="宋体" w:cs="Times New Roman"/>
        <w:kern w:val="2"/>
        <w:sz w:val="18"/>
        <w:lang w:val="en-US" w:eastAsia="zh-CN" w:bidi="ar-SA"/>
      </w:rPr>
    </w:pPr>
    <w:r>
      <w:rPr>
        <w:rFonts w:ascii="Calibri" w:hAnsi="Calibri" w:eastAsia="宋体" w:cs="Times New Roman"/>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ascii="Calibri" w:hAnsi="Calibri" w:eastAsia="宋体" w:cs="Times New Roman"/>
                              <w:kern w:val="2"/>
                              <w:sz w:val="18"/>
                              <w:lang w:val="en-US" w:eastAsia="zh-CN" w:bidi="ar-SA"/>
                            </w:rPr>
                          </w:pPr>
                          <w:r>
                            <w:rPr>
                              <w:rFonts w:ascii="Calibri" w:hAnsi="Calibri" w:eastAsia="宋体" w:cs="Times New Roman"/>
                              <w:kern w:val="2"/>
                              <w:sz w:val="18"/>
                              <w:lang w:val="en-US" w:eastAsia="zh-CN" w:bidi="ar-SA"/>
                            </w:rPr>
                            <w:fldChar w:fldCharType="begin"/>
                          </w:r>
                          <w:r>
                            <w:rPr>
                              <w:rFonts w:ascii="Calibri" w:hAnsi="Calibri" w:eastAsia="宋体" w:cs="Times New Roman"/>
                              <w:kern w:val="2"/>
                              <w:sz w:val="18"/>
                              <w:lang w:val="en-US" w:eastAsia="zh-CN" w:bidi="ar-SA"/>
                            </w:rPr>
                            <w:instrText xml:space="preserve">PAGE  </w:instrText>
                          </w:r>
                          <w:r>
                            <w:rPr>
                              <w:rFonts w:ascii="Calibri" w:hAnsi="Calibri" w:eastAsia="宋体" w:cs="Times New Roman"/>
                              <w:kern w:val="2"/>
                              <w:sz w:val="18"/>
                              <w:lang w:val="en-US" w:eastAsia="zh-CN" w:bidi="ar-SA"/>
                            </w:rPr>
                            <w:fldChar w:fldCharType="separate"/>
                          </w:r>
                          <w:r>
                            <w:rPr>
                              <w:rFonts w:ascii="Calibri" w:hAnsi="Calibri" w:eastAsia="宋体" w:cs="Times New Roman"/>
                              <w:kern w:val="2"/>
                              <w:sz w:val="18"/>
                              <w:lang w:val="en-US" w:eastAsia="zh-CN" w:bidi="ar-SA"/>
                            </w:rPr>
                            <w:t>45</w:t>
                          </w:r>
                          <w:r>
                            <w:rPr>
                              <w:rFonts w:ascii="Calibri" w:hAnsi="Calibri" w:eastAsia="宋体" w:cs="Times New Roman"/>
                              <w:kern w:val="2"/>
                              <w:sz w:val="1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LQ5sd4BAAC+AwAADgAAAGRycy9lMm9Eb2MueG1srVPBjtMwEL0j8Q+W 7zTZglAVNV0B1SIkBEgLH+A6TmPJ9lget0n5APgDTly48139jh07SReWyx64JOOZ8Zt5b8br68Ea dlQBNbiaXy1KzpST0Gi3r/mXzzfPVpxhFK4RBpyq+Ukhv948fbLufaWW0IFpVGAE4rDqfc27GH1V FCg7ZQUuwCtHwRaCFZGOYV80QfSEbk2xLMuXRQ+h8QGkQiTvdgzyCTE8BhDaVku1BXmwysURNSgj IlHCTnvkm9xt2yoZP7YtqshMzYlpzF8qQvYufYvNWlT7IHyn5dSCeEwLDzhZoR0VvUBtRRTsEPQ/ UFbLAAhtXEiwxUgkK0IsrsoH2tx2wqvMhaRGfxEd/x+s/HD8FJhuav6CMycsDfz84/v55+/zr2/s eZKn91hR1q2nvDi8hoGWZvYjORProQ02/YkPoziJe7qIq4bIZLq0Wq5WJYUkxeYD4Rf3133A+FaB ZcmoeaDpZVHF8T3GMXVOSdUc3Ghj8gSN+8tBmMlTpN7HHpMVh90wEdpBcyI+9AyoTgfhK2c9LUHN He08Z+adI43TvsxGmI3dbAgn6WLNI2ej+SaOe3XwQe+7vGmpKfSvDpE6zQRSG2PtqTsaa5ZgWsG0 N3+ec9b9s9vc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DEtDmx3gEAAL4DAAAOAAAAAAAA AAEAIAAAAB4BAABkcnMvZTJvRG9jLnhtbFBLBQYAAAAABgAGAFkBAABuBQAAAAA= ">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lang w:val="en-US" w:eastAsia="zh-CN" w:bidi="ar-SA"/>
                      </w:rPr>
                    </w:pPr>
                    <w:r>
                      <w:rPr>
                        <w:rFonts w:ascii="Calibri" w:hAnsi="Calibri" w:eastAsia="宋体" w:cs="Times New Roman"/>
                        <w:kern w:val="2"/>
                        <w:sz w:val="18"/>
                        <w:lang w:val="en-US" w:eastAsia="zh-CN" w:bidi="ar-SA"/>
                      </w:rPr>
                      <w:fldChar w:fldCharType="begin"/>
                    </w:r>
                    <w:r>
                      <w:rPr>
                        <w:rFonts w:ascii="Calibri" w:hAnsi="Calibri" w:eastAsia="宋体" w:cs="Times New Roman"/>
                        <w:kern w:val="2"/>
                        <w:sz w:val="18"/>
                        <w:lang w:val="en-US" w:eastAsia="zh-CN" w:bidi="ar-SA"/>
                      </w:rPr>
                      <w:instrText xml:space="preserve">PAGE  </w:instrText>
                    </w:r>
                    <w:r>
                      <w:rPr>
                        <w:rFonts w:ascii="Calibri" w:hAnsi="Calibri" w:eastAsia="宋体" w:cs="Times New Roman"/>
                        <w:kern w:val="2"/>
                        <w:sz w:val="18"/>
                        <w:lang w:val="en-US" w:eastAsia="zh-CN" w:bidi="ar-SA"/>
                      </w:rPr>
                      <w:fldChar w:fldCharType="separate"/>
                    </w:r>
                    <w:r>
                      <w:rPr>
                        <w:rFonts w:ascii="Calibri" w:hAnsi="Calibri" w:eastAsia="宋体" w:cs="Times New Roman"/>
                        <w:kern w:val="2"/>
                        <w:sz w:val="18"/>
                        <w:lang w:val="en-US" w:eastAsia="zh-CN" w:bidi="ar-SA"/>
                      </w:rPr>
                      <w:t>45</w:t>
                    </w:r>
                    <w:r>
                      <w:rPr>
                        <w:rFonts w:ascii="Calibri" w:hAnsi="Calibri" w:eastAsia="宋体" w:cs="Times New Roman"/>
                        <w:kern w:val="2"/>
                        <w:sz w:val="18"/>
                        <w:lang w:val="en-US" w:eastAsia="zh-CN" w:bidi="ar-S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Calibri" w:hAnsi="Calibri" w:eastAsia="宋体" w:cs="Times New Roman"/>
        <w:kern w:val="2"/>
        <w:sz w:val="18"/>
        <w:lang w:val="en-US" w:eastAsia="zh-CN" w:bidi="ar-SA"/>
      </w:rPr>
    </w:pPr>
    <w:r>
      <w:rPr>
        <w:rFonts w:ascii="Calibri" w:hAnsi="Calibri" w:eastAsia="宋体" w:cs="Times New Roman"/>
        <w:kern w:val="2"/>
        <w:sz w:val="18"/>
        <w:lang w:val="en-US" w:eastAsia="zh-CN" w:bidi="ar-SA"/>
      </w:rPr>
      <w:fldChar w:fldCharType="begin"/>
    </w:r>
    <w:r>
      <w:rPr>
        <w:rFonts w:ascii="Calibri" w:hAnsi="Calibri" w:eastAsia="宋体" w:cs="Times New Roman"/>
        <w:kern w:val="2"/>
        <w:sz w:val="18"/>
        <w:lang w:val="en-US" w:eastAsia="zh-CN" w:bidi="ar-SA"/>
      </w:rPr>
      <w:instrText xml:space="preserve">PAGE  </w:instrText>
    </w:r>
    <w:r>
      <w:rPr>
        <w:rFonts w:ascii="Calibri" w:hAnsi="Calibri" w:eastAsia="宋体" w:cs="Times New Roman"/>
        <w:kern w:val="2"/>
        <w:sz w:val="18"/>
        <w:lang w:val="en-US" w:eastAsia="zh-CN" w:bidi="ar-SA"/>
      </w:rPr>
      <w:fldChar w:fldCharType="separate"/>
    </w:r>
    <w:r>
      <w:rPr>
        <w:rFonts w:ascii="Calibri" w:hAnsi="Calibri" w:eastAsia="宋体" w:cs="Times New Roman"/>
        <w:kern w:val="2"/>
        <w:sz w:val="18"/>
        <w:lang w:val="en-US" w:eastAsia="zh-CN" w:bidi="ar-SA"/>
      </w:rPr>
      <w:t>3</w:t>
    </w:r>
    <w:r>
      <w:rPr>
        <w:rFonts w:ascii="Calibri" w:hAnsi="Calibri" w:eastAsia="宋体" w:cs="Times New Roman"/>
        <w:kern w:val="2"/>
        <w:sz w:val="18"/>
        <w:lang w:val="en-US" w:eastAsia="zh-CN" w:bidi="ar-SA"/>
      </w:rPr>
      <w:fldChar w:fldCharType="end"/>
    </w:r>
  </w:p>
  <w:p>
    <w:pPr>
      <w:widowControl w:val="0"/>
      <w:tabs>
        <w:tab w:val="center" w:pos="4153"/>
        <w:tab w:val="right" w:pos="8306"/>
      </w:tabs>
      <w:snapToGrid w:val="0"/>
      <w:ind w:right="360" w:firstLine="360"/>
      <w:jc w:val="left"/>
      <w:rPr>
        <w:rFonts w:ascii="Calibri" w:hAnsi="Calibri" w:eastAsia="宋体" w:cs="Times New Roman"/>
        <w:kern w:val="2"/>
        <w:sz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rPr>
                              <w:rFonts w:hint="default"/>
                              <w:lang/>
                            </w:rPr>
                            <w:t>62</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u3X3bmAQAAyAMAAA4AAABkcnMvZTJvRG9jLnhtbK1TzY7TMBC+ I/EOlu802aKFKmq6AqpFSAiQFh7AdZzGkv/kmTYpDwBvwIkLd56rz8HYSbpoueyBSzL2zHwz3zfj 9c1gDTuqCNq7ml8tSs6Uk77Rbl/zL59vn604AxSuEcY7VfOTAn6zefpk3YdKLX3nTaMiIxAHVR9q 3iGGqihAdsoKWPigHDlbH61AOsZ90UTRE7o1xbIsXxS9j02IXioAut2OTj4hxscA+rbVUm29PFjl cESNyggkStDpAHyTu21bJfFj24JCZmpOTDF/qQjZu/QtNmtR7aMInZZTC+IxLTzgZIV2VPQCtRUo 2CHqf6CsltGDb3EhvS1GIlkRYnFVPtDmrhNBZS4kNYSL6PD/YOWH46fIdFPz55w5YWng5x/fzz9/ n399Y8skTx+goqi7QHE4vPYDLc18D3SZWA9ttOlPfBj5SdzTRVw1IJMpabVcrUpySfLNB8Iv7tND BHyrvGXJqHmk6WVRxfE94Bg6h6Rqzt9qY/IEjWM9oV6vXl7njIuL0I2jIonF2G2ycNgNE7Wdb07E jB4EVex8/MpZT+tQc0fbz5l550jttDmzEWdjNxvCSUqsOXI2mm9w3LBDiHrf5Z1L/UJ4dUDqOVNJ bYy1p+5owFmMaRnTBv19zlH3D3DzB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bt1925gEA AMgDAAAOAAAAAAAAAAEAIAAAACIBAABkcnMvZTJvRG9jLnhtbFBLBQYAAAAABgAGAFkBAAB6BQAA AAA= ">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rPr>
                        <w:rFonts w:hint="default"/>
                        <w:lang/>
                      </w:rP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left"/>
      <w:rPr>
        <w:rFonts w:hint="eastAsi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820C9"/>
    <w:multiLevelType w:val="singleLevel"/>
    <w:tmpl w:val="8CF820C9"/>
    <w:lvl w:ilvl="0" w:tentative="0">
      <w:start w:val="1"/>
      <w:numFmt w:val="lowerLetter"/>
      <w:lvlText w:val="%1."/>
      <w:lvlJc w:val="left"/>
      <w:pPr>
        <w:tabs>
          <w:tab w:val="left" w:pos="420"/>
        </w:tabs>
        <w:ind w:left="845" w:hanging="425"/>
      </w:pPr>
      <w:rPr>
        <w:rFonts w:hint="default"/>
      </w:rPr>
    </w:lvl>
  </w:abstractNum>
  <w:abstractNum w:abstractNumId="1">
    <w:nsid w:val="956BA0E5"/>
    <w:multiLevelType w:val="multilevel"/>
    <w:tmpl w:val="956BA0E5"/>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
    <w:nsid w:val="97F823DE"/>
    <w:multiLevelType w:val="multilevel"/>
    <w:tmpl w:val="97F823DE"/>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
    <w:nsid w:val="A72C2B90"/>
    <w:multiLevelType w:val="singleLevel"/>
    <w:tmpl w:val="A72C2B90"/>
    <w:lvl w:ilvl="0" w:tentative="0">
      <w:start w:val="1"/>
      <w:numFmt w:val="decimalEnclosedCircleChinese"/>
      <w:suff w:val="nothing"/>
      <w:lvlText w:val="%1　"/>
      <w:lvlJc w:val="left"/>
      <w:pPr>
        <w:ind w:left="0" w:firstLine="400"/>
      </w:pPr>
      <w:rPr>
        <w:rFonts w:hint="eastAsia"/>
      </w:rPr>
    </w:lvl>
  </w:abstractNum>
  <w:abstractNum w:abstractNumId="4">
    <w:nsid w:val="AB0C7EED"/>
    <w:multiLevelType w:val="singleLevel"/>
    <w:tmpl w:val="AB0C7EED"/>
    <w:lvl w:ilvl="0" w:tentative="0">
      <w:start w:val="1"/>
      <w:numFmt w:val="decimalEnclosedCircleChinese"/>
      <w:suff w:val="nothing"/>
      <w:lvlText w:val="%1　"/>
      <w:lvlJc w:val="left"/>
      <w:pPr>
        <w:ind w:left="0" w:firstLine="400"/>
      </w:pPr>
      <w:rPr>
        <w:rFonts w:hint="eastAsia"/>
      </w:rPr>
    </w:lvl>
  </w:abstractNum>
  <w:abstractNum w:abstractNumId="5">
    <w:nsid w:val="C30E2CEF"/>
    <w:multiLevelType w:val="multilevel"/>
    <w:tmpl w:val="C30E2CEF"/>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
    <w:nsid w:val="E1AC6CE4"/>
    <w:multiLevelType w:val="singleLevel"/>
    <w:tmpl w:val="E1AC6CE4"/>
    <w:lvl w:ilvl="0" w:tentative="0">
      <w:start w:val="1"/>
      <w:numFmt w:val="decimal"/>
      <w:suff w:val="nothing"/>
      <w:lvlText w:val="（%1）"/>
      <w:lvlJc w:val="left"/>
    </w:lvl>
  </w:abstractNum>
  <w:abstractNum w:abstractNumId="7">
    <w:nsid w:val="E7FD68C5"/>
    <w:multiLevelType w:val="singleLevel"/>
    <w:tmpl w:val="E7FD68C5"/>
    <w:lvl w:ilvl="0" w:tentative="0">
      <w:start w:val="2"/>
      <w:numFmt w:val="chineseCounting"/>
      <w:suff w:val="nothing"/>
      <w:lvlText w:val="%1、"/>
      <w:lvlJc w:val="left"/>
      <w:rPr>
        <w:rFonts w:hint="eastAsia"/>
      </w:rPr>
    </w:lvl>
  </w:abstractNum>
  <w:abstractNum w:abstractNumId="8">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B"/>
    <w:multiLevelType w:val="multilevel"/>
    <w:tmpl w:val="0000000B"/>
    <w:lvl w:ilvl="0" w:tentative="0">
      <w:start w:val="1"/>
      <w:numFmt w:val="upperLetter"/>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1"/>
    <w:multiLevelType w:val="multilevel"/>
    <w:tmpl w:val="00000011"/>
    <w:lvl w:ilvl="0" w:tentative="0">
      <w:start w:val="1"/>
      <w:numFmt w:val="decimal"/>
      <w:pStyle w:val="2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4"/>
    <w:multiLevelType w:val="singleLevel"/>
    <w:tmpl w:val="00000014"/>
    <w:lvl w:ilvl="0" w:tentative="0">
      <w:start w:val="5"/>
      <w:numFmt w:val="chineseCounting"/>
      <w:suff w:val="nothing"/>
      <w:lvlText w:val="%1、"/>
      <w:lvlJc w:val="left"/>
    </w:lvl>
  </w:abstractNum>
  <w:abstractNum w:abstractNumId="12">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54"/>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13">
    <w:nsid w:val="0000001C"/>
    <w:multiLevelType w:val="singleLevel"/>
    <w:tmpl w:val="0000001C"/>
    <w:lvl w:ilvl="0" w:tentative="0">
      <w:start w:val="1"/>
      <w:numFmt w:val="chineseCounting"/>
      <w:suff w:val="nothing"/>
      <w:lvlText w:val="%1、"/>
      <w:lvlJc w:val="left"/>
    </w:lvl>
  </w:abstractNum>
  <w:abstractNum w:abstractNumId="14">
    <w:nsid w:val="00000020"/>
    <w:multiLevelType w:val="singleLevel"/>
    <w:tmpl w:val="00000020"/>
    <w:lvl w:ilvl="0" w:tentative="0">
      <w:start w:val="1"/>
      <w:numFmt w:val="chineseCounting"/>
      <w:suff w:val="nothing"/>
      <w:lvlText w:val="（%1）"/>
      <w:lvlJc w:val="left"/>
    </w:lvl>
  </w:abstractNum>
  <w:abstractNum w:abstractNumId="15">
    <w:nsid w:val="00000022"/>
    <w:multiLevelType w:val="multilevel"/>
    <w:tmpl w:val="00000022"/>
    <w:lvl w:ilvl="0" w:tentative="0">
      <w:start w:val="1"/>
      <w:numFmt w:val="decimal"/>
      <w:pStyle w:val="21"/>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6">
    <w:nsid w:val="00000023"/>
    <w:multiLevelType w:val="singleLevel"/>
    <w:tmpl w:val="00000023"/>
    <w:lvl w:ilvl="0" w:tentative="0">
      <w:start w:val="1"/>
      <w:numFmt w:val="decimal"/>
      <w:lvlText w:val="%1."/>
      <w:lvlJc w:val="left"/>
      <w:pPr>
        <w:tabs>
          <w:tab w:val="left" w:pos="312"/>
        </w:tabs>
      </w:pPr>
    </w:lvl>
  </w:abstractNum>
  <w:abstractNum w:abstractNumId="17">
    <w:nsid w:val="00000024"/>
    <w:multiLevelType w:val="multilevel"/>
    <w:tmpl w:val="00000024"/>
    <w:lvl w:ilvl="0" w:tentative="0">
      <w:start w:val="1"/>
      <w:numFmt w:val="decimal"/>
      <w:pStyle w:val="212"/>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8">
    <w:nsid w:val="00000025"/>
    <w:multiLevelType w:val="singleLevel"/>
    <w:tmpl w:val="00000025"/>
    <w:lvl w:ilvl="0" w:tentative="0">
      <w:start w:val="1"/>
      <w:numFmt w:val="decimal"/>
      <w:suff w:val="nothing"/>
      <w:lvlText w:val="（%1）"/>
      <w:lvlJc w:val="left"/>
    </w:lvl>
  </w:abstractNum>
  <w:abstractNum w:abstractNumId="19">
    <w:nsid w:val="14229906"/>
    <w:multiLevelType w:val="multilevel"/>
    <w:tmpl w:val="14229906"/>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0">
    <w:nsid w:val="18E11E98"/>
    <w:multiLevelType w:val="singleLevel"/>
    <w:tmpl w:val="18E11E98"/>
    <w:lvl w:ilvl="0" w:tentative="0">
      <w:start w:val="2"/>
      <w:numFmt w:val="decimal"/>
      <w:suff w:val="nothing"/>
      <w:lvlText w:val="%1）"/>
      <w:lvlJc w:val="left"/>
    </w:lvl>
  </w:abstractNum>
  <w:abstractNum w:abstractNumId="21">
    <w:nsid w:val="29477719"/>
    <w:multiLevelType w:val="singleLevel"/>
    <w:tmpl w:val="29477719"/>
    <w:lvl w:ilvl="0" w:tentative="0">
      <w:start w:val="1"/>
      <w:numFmt w:val="decimal"/>
      <w:suff w:val="nothing"/>
      <w:lvlText w:val="%1）"/>
      <w:lvlJc w:val="left"/>
    </w:lvl>
  </w:abstractNum>
  <w:abstractNum w:abstractNumId="22">
    <w:nsid w:val="29A03D88"/>
    <w:multiLevelType w:val="singleLevel"/>
    <w:tmpl w:val="29A03D88"/>
    <w:lvl w:ilvl="0" w:tentative="0">
      <w:start w:val="1"/>
      <w:numFmt w:val="decimalEnclosedCircleChinese"/>
      <w:suff w:val="nothing"/>
      <w:lvlText w:val="%1　"/>
      <w:lvlJc w:val="left"/>
      <w:pPr>
        <w:ind w:left="0" w:firstLine="400"/>
      </w:pPr>
      <w:rPr>
        <w:rFonts w:hint="eastAsia"/>
      </w:rPr>
    </w:lvl>
  </w:abstractNum>
  <w:abstractNum w:abstractNumId="23">
    <w:nsid w:val="29D120CC"/>
    <w:multiLevelType w:val="singleLevel"/>
    <w:tmpl w:val="29D120CC"/>
    <w:lvl w:ilvl="0" w:tentative="0">
      <w:start w:val="1"/>
      <w:numFmt w:val="decimal"/>
      <w:suff w:val="nothing"/>
      <w:lvlText w:val="（%1）"/>
      <w:lvlJc w:val="left"/>
    </w:lvl>
  </w:abstractNum>
  <w:abstractNum w:abstractNumId="24">
    <w:nsid w:val="3292B99A"/>
    <w:multiLevelType w:val="singleLevel"/>
    <w:tmpl w:val="3292B99A"/>
    <w:lvl w:ilvl="0" w:tentative="0">
      <w:start w:val="1"/>
      <w:numFmt w:val="decimal"/>
      <w:suff w:val="nothing"/>
      <w:lvlText w:val="（%1）"/>
      <w:lvlJc w:val="left"/>
    </w:lvl>
  </w:abstractNum>
  <w:abstractNum w:abstractNumId="25">
    <w:nsid w:val="3F2A1A31"/>
    <w:multiLevelType w:val="multilevel"/>
    <w:tmpl w:val="3F2A1A31"/>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6">
    <w:nsid w:val="53F7068D"/>
    <w:multiLevelType w:val="singleLevel"/>
    <w:tmpl w:val="53F7068D"/>
    <w:lvl w:ilvl="0" w:tentative="0">
      <w:start w:val="1"/>
      <w:numFmt w:val="decimal"/>
      <w:suff w:val="nothing"/>
      <w:lvlText w:val="（%1）"/>
      <w:lvlJc w:val="left"/>
      <w:pPr>
        <w:ind w:left="-70"/>
      </w:pPr>
    </w:lvl>
  </w:abstractNum>
  <w:abstractNum w:abstractNumId="27">
    <w:nsid w:val="54F403B5"/>
    <w:multiLevelType w:val="singleLevel"/>
    <w:tmpl w:val="54F403B5"/>
    <w:lvl w:ilvl="0" w:tentative="0">
      <w:start w:val="1"/>
      <w:numFmt w:val="chineseCounting"/>
      <w:suff w:val="nothing"/>
      <w:lvlText w:val="%1、"/>
      <w:lvlJc w:val="left"/>
    </w:lvl>
  </w:abstractNum>
  <w:abstractNum w:abstractNumId="28">
    <w:nsid w:val="557FD3DA"/>
    <w:multiLevelType w:val="singleLevel"/>
    <w:tmpl w:val="557FD3DA"/>
    <w:lvl w:ilvl="0" w:tentative="0">
      <w:start w:val="3"/>
      <w:numFmt w:val="chineseCounting"/>
      <w:suff w:val="nothing"/>
      <w:lvlText w:val="%1、"/>
      <w:lvlJc w:val="left"/>
    </w:lvl>
  </w:abstractNum>
  <w:abstractNum w:abstractNumId="29">
    <w:nsid w:val="589A2FD8"/>
    <w:multiLevelType w:val="singleLevel"/>
    <w:tmpl w:val="589A2FD8"/>
    <w:lvl w:ilvl="0" w:tentative="0">
      <w:start w:val="1"/>
      <w:numFmt w:val="decimal"/>
      <w:suff w:val="nothing"/>
      <w:lvlText w:val="（%1）"/>
      <w:lvlJc w:val="left"/>
    </w:lvl>
  </w:abstractNum>
  <w:abstractNum w:abstractNumId="30">
    <w:nsid w:val="5950E9B0"/>
    <w:multiLevelType w:val="singleLevel"/>
    <w:tmpl w:val="5950E9B0"/>
    <w:lvl w:ilvl="0" w:tentative="0">
      <w:start w:val="2"/>
      <w:numFmt w:val="decimal"/>
      <w:suff w:val="nothing"/>
      <w:lvlText w:val="%1、"/>
      <w:lvlJc w:val="left"/>
    </w:lvl>
  </w:abstractNum>
  <w:abstractNum w:abstractNumId="31">
    <w:nsid w:val="59F56D91"/>
    <w:multiLevelType w:val="singleLevel"/>
    <w:tmpl w:val="59F56D91"/>
    <w:lvl w:ilvl="0" w:tentative="0">
      <w:start w:val="1"/>
      <w:numFmt w:val="decimal"/>
      <w:suff w:val="nothing"/>
      <w:lvlText w:val="（%1）"/>
      <w:lvlJc w:val="left"/>
    </w:lvl>
  </w:abstractNum>
  <w:abstractNum w:abstractNumId="32">
    <w:nsid w:val="5E5C43F4"/>
    <w:multiLevelType w:val="multilevel"/>
    <w:tmpl w:val="5E5C43F4"/>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3">
    <w:nsid w:val="68D9B95F"/>
    <w:multiLevelType w:val="singleLevel"/>
    <w:tmpl w:val="68D9B95F"/>
    <w:lvl w:ilvl="0" w:tentative="0">
      <w:start w:val="1"/>
      <w:numFmt w:val="lowerLetter"/>
      <w:lvlText w:val="%1."/>
      <w:lvlJc w:val="left"/>
      <w:pPr>
        <w:tabs>
          <w:tab w:val="left" w:pos="420"/>
        </w:tabs>
        <w:ind w:left="845" w:hanging="425"/>
      </w:pPr>
      <w:rPr>
        <w:rFonts w:hint="default"/>
      </w:rPr>
    </w:lvl>
  </w:abstractNum>
  <w:abstractNum w:abstractNumId="34">
    <w:nsid w:val="7B5FFEA9"/>
    <w:multiLevelType w:val="singleLevel"/>
    <w:tmpl w:val="7B5FFEA9"/>
    <w:lvl w:ilvl="0" w:tentative="0">
      <w:start w:val="1"/>
      <w:numFmt w:val="decimal"/>
      <w:suff w:val="nothing"/>
      <w:lvlText w:val="%1、"/>
      <w:lvlJc w:val="left"/>
    </w:lvl>
  </w:abstractNum>
  <w:num w:numId="1">
    <w:abstractNumId w:val="15"/>
  </w:num>
  <w:num w:numId="2">
    <w:abstractNumId w:val="12"/>
  </w:num>
  <w:num w:numId="3">
    <w:abstractNumId w:val="8"/>
  </w:num>
  <w:num w:numId="4">
    <w:abstractNumId w:val="10"/>
  </w:num>
  <w:num w:numId="5">
    <w:abstractNumId w:val="17"/>
  </w:num>
  <w:num w:numId="6">
    <w:abstractNumId w:val="18"/>
  </w:num>
  <w:num w:numId="7">
    <w:abstractNumId w:val="7"/>
  </w:num>
  <w:num w:numId="8">
    <w:abstractNumId w:val="32"/>
  </w:num>
  <w:num w:numId="9">
    <w:abstractNumId w:val="2"/>
  </w:num>
  <w:num w:numId="10">
    <w:abstractNumId w:val="4"/>
  </w:num>
  <w:num w:numId="11">
    <w:abstractNumId w:val="19"/>
  </w:num>
  <w:num w:numId="12">
    <w:abstractNumId w:val="5"/>
  </w:num>
  <w:num w:numId="13">
    <w:abstractNumId w:val="3"/>
  </w:num>
  <w:num w:numId="14">
    <w:abstractNumId w:val="0"/>
  </w:num>
  <w:num w:numId="15">
    <w:abstractNumId w:val="21"/>
  </w:num>
  <w:num w:numId="16">
    <w:abstractNumId w:val="29"/>
  </w:num>
  <w:num w:numId="17">
    <w:abstractNumId w:val="16"/>
  </w:num>
  <w:num w:numId="18">
    <w:abstractNumId w:val="31"/>
  </w:num>
  <w:num w:numId="19">
    <w:abstractNumId w:val="26"/>
  </w:num>
  <w:num w:numId="20">
    <w:abstractNumId w:val="34"/>
  </w:num>
  <w:num w:numId="21">
    <w:abstractNumId w:val="23"/>
  </w:num>
  <w:num w:numId="22">
    <w:abstractNumId w:val="30"/>
  </w:num>
  <w:num w:numId="23">
    <w:abstractNumId w:val="11"/>
  </w:num>
  <w:num w:numId="24">
    <w:abstractNumId w:val="14"/>
  </w:num>
  <w:num w:numId="25">
    <w:abstractNumId w:val="9"/>
  </w:num>
  <w:num w:numId="26">
    <w:abstractNumId w:val="1"/>
  </w:num>
  <w:num w:numId="27">
    <w:abstractNumId w:val="25"/>
  </w:num>
  <w:num w:numId="28">
    <w:abstractNumId w:val="22"/>
  </w:num>
  <w:num w:numId="29">
    <w:abstractNumId w:val="33"/>
  </w:num>
  <w:num w:numId="30">
    <w:abstractNumId w:val="13"/>
  </w:num>
  <w:num w:numId="31">
    <w:abstractNumId w:val="6"/>
  </w:num>
  <w:num w:numId="32">
    <w:abstractNumId w:val="24"/>
  </w:num>
  <w:num w:numId="33">
    <w:abstractNumId w:val="20"/>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20D1D"/>
    <w:rsid w:val="00043C49"/>
    <w:rsid w:val="00043E46"/>
    <w:rsid w:val="00046D02"/>
    <w:rsid w:val="00076568"/>
    <w:rsid w:val="0007724A"/>
    <w:rsid w:val="0008353B"/>
    <w:rsid w:val="000A2780"/>
    <w:rsid w:val="000A6300"/>
    <w:rsid w:val="000A6B65"/>
    <w:rsid w:val="000B4944"/>
    <w:rsid w:val="000C44A5"/>
    <w:rsid w:val="000E10E7"/>
    <w:rsid w:val="000E34C5"/>
    <w:rsid w:val="000E6B30"/>
    <w:rsid w:val="000E7E2D"/>
    <w:rsid w:val="000F000F"/>
    <w:rsid w:val="00103884"/>
    <w:rsid w:val="00106F98"/>
    <w:rsid w:val="00112ECA"/>
    <w:rsid w:val="00114E64"/>
    <w:rsid w:val="001214D8"/>
    <w:rsid w:val="00122DA1"/>
    <w:rsid w:val="001330A1"/>
    <w:rsid w:val="001355D8"/>
    <w:rsid w:val="001356C6"/>
    <w:rsid w:val="001437E8"/>
    <w:rsid w:val="00143E60"/>
    <w:rsid w:val="001512F0"/>
    <w:rsid w:val="001541A3"/>
    <w:rsid w:val="00167E95"/>
    <w:rsid w:val="00173C4C"/>
    <w:rsid w:val="00173CBF"/>
    <w:rsid w:val="001758AD"/>
    <w:rsid w:val="001905D8"/>
    <w:rsid w:val="001A0375"/>
    <w:rsid w:val="001A5C76"/>
    <w:rsid w:val="001B0785"/>
    <w:rsid w:val="001B2E7F"/>
    <w:rsid w:val="001B521D"/>
    <w:rsid w:val="001B7905"/>
    <w:rsid w:val="001C11AA"/>
    <w:rsid w:val="001C6605"/>
    <w:rsid w:val="001C70B5"/>
    <w:rsid w:val="001E3E44"/>
    <w:rsid w:val="001E64DA"/>
    <w:rsid w:val="00210449"/>
    <w:rsid w:val="00215A54"/>
    <w:rsid w:val="00223AFA"/>
    <w:rsid w:val="00243730"/>
    <w:rsid w:val="00245817"/>
    <w:rsid w:val="00255A5F"/>
    <w:rsid w:val="0025694B"/>
    <w:rsid w:val="00274BF9"/>
    <w:rsid w:val="00280CAB"/>
    <w:rsid w:val="002839CD"/>
    <w:rsid w:val="002925B0"/>
    <w:rsid w:val="002C755B"/>
    <w:rsid w:val="002F2031"/>
    <w:rsid w:val="002F3B87"/>
    <w:rsid w:val="0030510F"/>
    <w:rsid w:val="00314C94"/>
    <w:rsid w:val="00321A6A"/>
    <w:rsid w:val="003223FC"/>
    <w:rsid w:val="0033238B"/>
    <w:rsid w:val="00342694"/>
    <w:rsid w:val="00347105"/>
    <w:rsid w:val="00366FCF"/>
    <w:rsid w:val="00367914"/>
    <w:rsid w:val="00382EE0"/>
    <w:rsid w:val="0038578D"/>
    <w:rsid w:val="003A1876"/>
    <w:rsid w:val="003B39BC"/>
    <w:rsid w:val="003B615D"/>
    <w:rsid w:val="003B66A3"/>
    <w:rsid w:val="003C0AF4"/>
    <w:rsid w:val="003C1CF4"/>
    <w:rsid w:val="003C63AB"/>
    <w:rsid w:val="003C7FA7"/>
    <w:rsid w:val="003D3F33"/>
    <w:rsid w:val="00400F93"/>
    <w:rsid w:val="004105DA"/>
    <w:rsid w:val="004200E3"/>
    <w:rsid w:val="0042033A"/>
    <w:rsid w:val="00445EAF"/>
    <w:rsid w:val="00473112"/>
    <w:rsid w:val="00485360"/>
    <w:rsid w:val="00487A88"/>
    <w:rsid w:val="00493874"/>
    <w:rsid w:val="004A3785"/>
    <w:rsid w:val="004A45A9"/>
    <w:rsid w:val="004A6162"/>
    <w:rsid w:val="004B40AA"/>
    <w:rsid w:val="004C1A6A"/>
    <w:rsid w:val="004C1FEF"/>
    <w:rsid w:val="004D2BAC"/>
    <w:rsid w:val="004E1C49"/>
    <w:rsid w:val="004E4692"/>
    <w:rsid w:val="00503350"/>
    <w:rsid w:val="0051122C"/>
    <w:rsid w:val="00541A53"/>
    <w:rsid w:val="00544F38"/>
    <w:rsid w:val="00574888"/>
    <w:rsid w:val="005801B8"/>
    <w:rsid w:val="005B1DCD"/>
    <w:rsid w:val="005B4C1A"/>
    <w:rsid w:val="005B578C"/>
    <w:rsid w:val="005C18F9"/>
    <w:rsid w:val="005C5E32"/>
    <w:rsid w:val="005F5FF4"/>
    <w:rsid w:val="0060060A"/>
    <w:rsid w:val="00611B90"/>
    <w:rsid w:val="00620B78"/>
    <w:rsid w:val="00640E10"/>
    <w:rsid w:val="00645646"/>
    <w:rsid w:val="00645695"/>
    <w:rsid w:val="006521F0"/>
    <w:rsid w:val="00665A31"/>
    <w:rsid w:val="00674F90"/>
    <w:rsid w:val="00683347"/>
    <w:rsid w:val="00687F7C"/>
    <w:rsid w:val="00691BB2"/>
    <w:rsid w:val="00696AB7"/>
    <w:rsid w:val="006B24E5"/>
    <w:rsid w:val="006D12DA"/>
    <w:rsid w:val="006D2B52"/>
    <w:rsid w:val="006E3201"/>
    <w:rsid w:val="0070033A"/>
    <w:rsid w:val="00706ED8"/>
    <w:rsid w:val="00712DDA"/>
    <w:rsid w:val="0071693A"/>
    <w:rsid w:val="00716A2F"/>
    <w:rsid w:val="00726C60"/>
    <w:rsid w:val="007501E1"/>
    <w:rsid w:val="007546C9"/>
    <w:rsid w:val="00760015"/>
    <w:rsid w:val="007852CF"/>
    <w:rsid w:val="007A0097"/>
    <w:rsid w:val="007A218D"/>
    <w:rsid w:val="007A2F69"/>
    <w:rsid w:val="007A3668"/>
    <w:rsid w:val="007B26AA"/>
    <w:rsid w:val="007B5E19"/>
    <w:rsid w:val="007C5698"/>
    <w:rsid w:val="007E46F3"/>
    <w:rsid w:val="007E7997"/>
    <w:rsid w:val="008008E2"/>
    <w:rsid w:val="008013B2"/>
    <w:rsid w:val="00801C61"/>
    <w:rsid w:val="00805004"/>
    <w:rsid w:val="008116ED"/>
    <w:rsid w:val="0083101D"/>
    <w:rsid w:val="008315A1"/>
    <w:rsid w:val="00863D5D"/>
    <w:rsid w:val="008676E9"/>
    <w:rsid w:val="00873860"/>
    <w:rsid w:val="00875E0B"/>
    <w:rsid w:val="00877C50"/>
    <w:rsid w:val="008939BB"/>
    <w:rsid w:val="00895E29"/>
    <w:rsid w:val="008A17C8"/>
    <w:rsid w:val="008B3EAF"/>
    <w:rsid w:val="008B5158"/>
    <w:rsid w:val="008D04C4"/>
    <w:rsid w:val="008D7C97"/>
    <w:rsid w:val="008E3289"/>
    <w:rsid w:val="008E6F9C"/>
    <w:rsid w:val="00903054"/>
    <w:rsid w:val="00913682"/>
    <w:rsid w:val="00923892"/>
    <w:rsid w:val="00927078"/>
    <w:rsid w:val="00942C1A"/>
    <w:rsid w:val="00943A1E"/>
    <w:rsid w:val="009452FA"/>
    <w:rsid w:val="009467E3"/>
    <w:rsid w:val="009625B4"/>
    <w:rsid w:val="00966B99"/>
    <w:rsid w:val="00986118"/>
    <w:rsid w:val="009901B5"/>
    <w:rsid w:val="009A73BE"/>
    <w:rsid w:val="009C66F4"/>
    <w:rsid w:val="009C7F34"/>
    <w:rsid w:val="009D5B2C"/>
    <w:rsid w:val="009D6C21"/>
    <w:rsid w:val="009E0CB8"/>
    <w:rsid w:val="009E39FD"/>
    <w:rsid w:val="009E6102"/>
    <w:rsid w:val="009F4379"/>
    <w:rsid w:val="00A20E0A"/>
    <w:rsid w:val="00A4023F"/>
    <w:rsid w:val="00A735DA"/>
    <w:rsid w:val="00A758AE"/>
    <w:rsid w:val="00A870B5"/>
    <w:rsid w:val="00A87D04"/>
    <w:rsid w:val="00AA375A"/>
    <w:rsid w:val="00AB06EA"/>
    <w:rsid w:val="00AE1B7B"/>
    <w:rsid w:val="00AE3382"/>
    <w:rsid w:val="00B20AE6"/>
    <w:rsid w:val="00B26DF6"/>
    <w:rsid w:val="00B34B71"/>
    <w:rsid w:val="00B41730"/>
    <w:rsid w:val="00B47693"/>
    <w:rsid w:val="00B562C2"/>
    <w:rsid w:val="00B60CEA"/>
    <w:rsid w:val="00B6106B"/>
    <w:rsid w:val="00B76AA1"/>
    <w:rsid w:val="00BC08EC"/>
    <w:rsid w:val="00BC203A"/>
    <w:rsid w:val="00BD13A9"/>
    <w:rsid w:val="00BD4120"/>
    <w:rsid w:val="00BF7353"/>
    <w:rsid w:val="00C00639"/>
    <w:rsid w:val="00C10A97"/>
    <w:rsid w:val="00C14EFF"/>
    <w:rsid w:val="00C31180"/>
    <w:rsid w:val="00C31C52"/>
    <w:rsid w:val="00C51A3A"/>
    <w:rsid w:val="00C52CF8"/>
    <w:rsid w:val="00C55D6C"/>
    <w:rsid w:val="00C6715C"/>
    <w:rsid w:val="00C675CF"/>
    <w:rsid w:val="00C82084"/>
    <w:rsid w:val="00C9038E"/>
    <w:rsid w:val="00CA13A3"/>
    <w:rsid w:val="00CA4088"/>
    <w:rsid w:val="00CB2CDC"/>
    <w:rsid w:val="00CE1180"/>
    <w:rsid w:val="00CE5C1A"/>
    <w:rsid w:val="00CF4173"/>
    <w:rsid w:val="00CF554F"/>
    <w:rsid w:val="00D22078"/>
    <w:rsid w:val="00D34207"/>
    <w:rsid w:val="00D57DCD"/>
    <w:rsid w:val="00D62FA5"/>
    <w:rsid w:val="00D866B8"/>
    <w:rsid w:val="00D944CE"/>
    <w:rsid w:val="00D96667"/>
    <w:rsid w:val="00DD23CC"/>
    <w:rsid w:val="00DE4F4F"/>
    <w:rsid w:val="00DF509C"/>
    <w:rsid w:val="00E022F1"/>
    <w:rsid w:val="00E1120F"/>
    <w:rsid w:val="00E26F60"/>
    <w:rsid w:val="00E36D72"/>
    <w:rsid w:val="00E44F15"/>
    <w:rsid w:val="00E56199"/>
    <w:rsid w:val="00E61B6D"/>
    <w:rsid w:val="00E63694"/>
    <w:rsid w:val="00E70021"/>
    <w:rsid w:val="00E709C6"/>
    <w:rsid w:val="00E87478"/>
    <w:rsid w:val="00E87AF1"/>
    <w:rsid w:val="00E90FD0"/>
    <w:rsid w:val="00EA463E"/>
    <w:rsid w:val="00EB35E1"/>
    <w:rsid w:val="00EB6490"/>
    <w:rsid w:val="00EB678F"/>
    <w:rsid w:val="00EE4998"/>
    <w:rsid w:val="00EE4F9C"/>
    <w:rsid w:val="00EF2DF5"/>
    <w:rsid w:val="00F0044B"/>
    <w:rsid w:val="00F02EAE"/>
    <w:rsid w:val="00F07786"/>
    <w:rsid w:val="00F27203"/>
    <w:rsid w:val="00F326DB"/>
    <w:rsid w:val="00F416F4"/>
    <w:rsid w:val="00F47FE2"/>
    <w:rsid w:val="00F51466"/>
    <w:rsid w:val="00F71A3E"/>
    <w:rsid w:val="00F7388F"/>
    <w:rsid w:val="00FE35DC"/>
    <w:rsid w:val="00FE57DA"/>
    <w:rsid w:val="00FF1B26"/>
    <w:rsid w:val="01114B8F"/>
    <w:rsid w:val="01324854"/>
    <w:rsid w:val="01426E05"/>
    <w:rsid w:val="01541287"/>
    <w:rsid w:val="0188648C"/>
    <w:rsid w:val="018F52CB"/>
    <w:rsid w:val="01960839"/>
    <w:rsid w:val="01BC7C0E"/>
    <w:rsid w:val="01CA1CDE"/>
    <w:rsid w:val="01E56646"/>
    <w:rsid w:val="01FB5357"/>
    <w:rsid w:val="02162EC2"/>
    <w:rsid w:val="021F6629"/>
    <w:rsid w:val="022B55EB"/>
    <w:rsid w:val="023A2572"/>
    <w:rsid w:val="024A38C0"/>
    <w:rsid w:val="024F68D8"/>
    <w:rsid w:val="026704F1"/>
    <w:rsid w:val="028824E8"/>
    <w:rsid w:val="02AA01DC"/>
    <w:rsid w:val="02D53A9D"/>
    <w:rsid w:val="031646D2"/>
    <w:rsid w:val="03220A8A"/>
    <w:rsid w:val="034118EB"/>
    <w:rsid w:val="03433F57"/>
    <w:rsid w:val="034C6E41"/>
    <w:rsid w:val="03886A90"/>
    <w:rsid w:val="03B96C55"/>
    <w:rsid w:val="03C647A7"/>
    <w:rsid w:val="03C66D3A"/>
    <w:rsid w:val="03D84CEA"/>
    <w:rsid w:val="03F5271A"/>
    <w:rsid w:val="03FE5904"/>
    <w:rsid w:val="041D268E"/>
    <w:rsid w:val="042A13CF"/>
    <w:rsid w:val="04844EE9"/>
    <w:rsid w:val="04BA1FC1"/>
    <w:rsid w:val="04C91DED"/>
    <w:rsid w:val="04F14DB6"/>
    <w:rsid w:val="051870C5"/>
    <w:rsid w:val="053158C8"/>
    <w:rsid w:val="05387ECA"/>
    <w:rsid w:val="057738A2"/>
    <w:rsid w:val="058202DC"/>
    <w:rsid w:val="05B469AA"/>
    <w:rsid w:val="05C8356B"/>
    <w:rsid w:val="05DC5310"/>
    <w:rsid w:val="06030AF8"/>
    <w:rsid w:val="0612610E"/>
    <w:rsid w:val="063F4B76"/>
    <w:rsid w:val="064420F4"/>
    <w:rsid w:val="066A2D8B"/>
    <w:rsid w:val="068259CE"/>
    <w:rsid w:val="06AE1539"/>
    <w:rsid w:val="06CD5210"/>
    <w:rsid w:val="06D17D4E"/>
    <w:rsid w:val="06E1269F"/>
    <w:rsid w:val="06F41689"/>
    <w:rsid w:val="07140325"/>
    <w:rsid w:val="073D6E08"/>
    <w:rsid w:val="07673187"/>
    <w:rsid w:val="077D0341"/>
    <w:rsid w:val="077D46B4"/>
    <w:rsid w:val="07831916"/>
    <w:rsid w:val="07AC0B58"/>
    <w:rsid w:val="07C96FE6"/>
    <w:rsid w:val="08006815"/>
    <w:rsid w:val="080A3E1C"/>
    <w:rsid w:val="081C7D29"/>
    <w:rsid w:val="084C7109"/>
    <w:rsid w:val="089D63E7"/>
    <w:rsid w:val="08BB6C88"/>
    <w:rsid w:val="08D244A8"/>
    <w:rsid w:val="090B21AC"/>
    <w:rsid w:val="09263087"/>
    <w:rsid w:val="093C424D"/>
    <w:rsid w:val="094E0D20"/>
    <w:rsid w:val="09920DB0"/>
    <w:rsid w:val="09A5445D"/>
    <w:rsid w:val="09B1420E"/>
    <w:rsid w:val="09B950D4"/>
    <w:rsid w:val="09CE67F0"/>
    <w:rsid w:val="09EE642B"/>
    <w:rsid w:val="0A011FE7"/>
    <w:rsid w:val="0A026AE6"/>
    <w:rsid w:val="0A411552"/>
    <w:rsid w:val="0A5E1A14"/>
    <w:rsid w:val="0A8D3FA1"/>
    <w:rsid w:val="0A8E73F1"/>
    <w:rsid w:val="0A935DB0"/>
    <w:rsid w:val="0AB82632"/>
    <w:rsid w:val="0ABA3A59"/>
    <w:rsid w:val="0AE8785D"/>
    <w:rsid w:val="0B1D27B6"/>
    <w:rsid w:val="0B3A50E9"/>
    <w:rsid w:val="0B43606F"/>
    <w:rsid w:val="0B6F5DB2"/>
    <w:rsid w:val="0B7863DB"/>
    <w:rsid w:val="0B8F3A0C"/>
    <w:rsid w:val="0B9D355B"/>
    <w:rsid w:val="0BA01F3A"/>
    <w:rsid w:val="0BCE7DAA"/>
    <w:rsid w:val="0C1119BD"/>
    <w:rsid w:val="0C142450"/>
    <w:rsid w:val="0C570C5F"/>
    <w:rsid w:val="0C747B49"/>
    <w:rsid w:val="0C9C4B44"/>
    <w:rsid w:val="0CBD68DF"/>
    <w:rsid w:val="0CC12870"/>
    <w:rsid w:val="0CDF7BB4"/>
    <w:rsid w:val="0D160EAF"/>
    <w:rsid w:val="0D1E3E98"/>
    <w:rsid w:val="0D245CFE"/>
    <w:rsid w:val="0D25762A"/>
    <w:rsid w:val="0D45530B"/>
    <w:rsid w:val="0D650680"/>
    <w:rsid w:val="0D76571A"/>
    <w:rsid w:val="0D781272"/>
    <w:rsid w:val="0D824F03"/>
    <w:rsid w:val="0DB51C6D"/>
    <w:rsid w:val="0DC21F49"/>
    <w:rsid w:val="0DC50425"/>
    <w:rsid w:val="0E145E8E"/>
    <w:rsid w:val="0E400E48"/>
    <w:rsid w:val="0E9450A5"/>
    <w:rsid w:val="0EA42543"/>
    <w:rsid w:val="0EC73CBB"/>
    <w:rsid w:val="0ED434F5"/>
    <w:rsid w:val="0EE53B0D"/>
    <w:rsid w:val="0F200666"/>
    <w:rsid w:val="0F2575D3"/>
    <w:rsid w:val="0F4A612D"/>
    <w:rsid w:val="0F5F43BC"/>
    <w:rsid w:val="0F757CEC"/>
    <w:rsid w:val="0F847C30"/>
    <w:rsid w:val="0F95263D"/>
    <w:rsid w:val="0F9A2890"/>
    <w:rsid w:val="0FC01BBA"/>
    <w:rsid w:val="0FC42AB2"/>
    <w:rsid w:val="0FCA16C2"/>
    <w:rsid w:val="0FE61592"/>
    <w:rsid w:val="1026481C"/>
    <w:rsid w:val="10416A24"/>
    <w:rsid w:val="104957CA"/>
    <w:rsid w:val="10877A4C"/>
    <w:rsid w:val="10D54448"/>
    <w:rsid w:val="10DD1069"/>
    <w:rsid w:val="110A3425"/>
    <w:rsid w:val="11366CE3"/>
    <w:rsid w:val="113D4D5F"/>
    <w:rsid w:val="11564743"/>
    <w:rsid w:val="117A4938"/>
    <w:rsid w:val="118D3E1B"/>
    <w:rsid w:val="11B806F5"/>
    <w:rsid w:val="11D1448A"/>
    <w:rsid w:val="11D80BFA"/>
    <w:rsid w:val="120F7CB7"/>
    <w:rsid w:val="123B4782"/>
    <w:rsid w:val="12441A7C"/>
    <w:rsid w:val="12547A1D"/>
    <w:rsid w:val="12630CAF"/>
    <w:rsid w:val="126338E8"/>
    <w:rsid w:val="12793292"/>
    <w:rsid w:val="129C6943"/>
    <w:rsid w:val="12A66820"/>
    <w:rsid w:val="12B332CD"/>
    <w:rsid w:val="12C82534"/>
    <w:rsid w:val="12C9042C"/>
    <w:rsid w:val="12F71501"/>
    <w:rsid w:val="130E3A09"/>
    <w:rsid w:val="13104DF0"/>
    <w:rsid w:val="131778C3"/>
    <w:rsid w:val="133203CD"/>
    <w:rsid w:val="133D69DB"/>
    <w:rsid w:val="135065A0"/>
    <w:rsid w:val="135D14D3"/>
    <w:rsid w:val="13802077"/>
    <w:rsid w:val="13A9115B"/>
    <w:rsid w:val="13E018E4"/>
    <w:rsid w:val="13E25B79"/>
    <w:rsid w:val="14190998"/>
    <w:rsid w:val="14197EEC"/>
    <w:rsid w:val="141D3733"/>
    <w:rsid w:val="144569B0"/>
    <w:rsid w:val="147869F3"/>
    <w:rsid w:val="148256C6"/>
    <w:rsid w:val="14931E55"/>
    <w:rsid w:val="14AC34C4"/>
    <w:rsid w:val="14AE7E8C"/>
    <w:rsid w:val="14B05FC8"/>
    <w:rsid w:val="14CB4227"/>
    <w:rsid w:val="14D04729"/>
    <w:rsid w:val="14D22406"/>
    <w:rsid w:val="14F767DE"/>
    <w:rsid w:val="152902FA"/>
    <w:rsid w:val="156D1AE3"/>
    <w:rsid w:val="15AC15B0"/>
    <w:rsid w:val="15B94777"/>
    <w:rsid w:val="15BD4C71"/>
    <w:rsid w:val="15CB2510"/>
    <w:rsid w:val="15D46F90"/>
    <w:rsid w:val="160D099B"/>
    <w:rsid w:val="162E130A"/>
    <w:rsid w:val="165E4538"/>
    <w:rsid w:val="1669478E"/>
    <w:rsid w:val="168A20AD"/>
    <w:rsid w:val="16A37905"/>
    <w:rsid w:val="16A45B9C"/>
    <w:rsid w:val="16EE0B33"/>
    <w:rsid w:val="16F27608"/>
    <w:rsid w:val="16F3507B"/>
    <w:rsid w:val="16FB792E"/>
    <w:rsid w:val="16FF66F5"/>
    <w:rsid w:val="170D7152"/>
    <w:rsid w:val="17233804"/>
    <w:rsid w:val="17472692"/>
    <w:rsid w:val="17A24FD4"/>
    <w:rsid w:val="17F46A26"/>
    <w:rsid w:val="1802514D"/>
    <w:rsid w:val="180513A4"/>
    <w:rsid w:val="181C3669"/>
    <w:rsid w:val="182075E9"/>
    <w:rsid w:val="182940D0"/>
    <w:rsid w:val="18351DF5"/>
    <w:rsid w:val="18366DBB"/>
    <w:rsid w:val="18553091"/>
    <w:rsid w:val="185C54ED"/>
    <w:rsid w:val="18763B01"/>
    <w:rsid w:val="188071EB"/>
    <w:rsid w:val="18900A1F"/>
    <w:rsid w:val="189A1D2D"/>
    <w:rsid w:val="18B004D2"/>
    <w:rsid w:val="18D77B2C"/>
    <w:rsid w:val="18EF6DE4"/>
    <w:rsid w:val="190D5B11"/>
    <w:rsid w:val="19197A55"/>
    <w:rsid w:val="191C7B6F"/>
    <w:rsid w:val="193627CE"/>
    <w:rsid w:val="193D2486"/>
    <w:rsid w:val="19A44CF9"/>
    <w:rsid w:val="19A622A9"/>
    <w:rsid w:val="19B62055"/>
    <w:rsid w:val="19BA38BC"/>
    <w:rsid w:val="19CE3F37"/>
    <w:rsid w:val="1A145DAD"/>
    <w:rsid w:val="1A427151"/>
    <w:rsid w:val="1A4F53CE"/>
    <w:rsid w:val="1A63253D"/>
    <w:rsid w:val="1A6C302F"/>
    <w:rsid w:val="1A9E5F0A"/>
    <w:rsid w:val="1AA61C07"/>
    <w:rsid w:val="1AB15758"/>
    <w:rsid w:val="1AC35DCB"/>
    <w:rsid w:val="1AE80251"/>
    <w:rsid w:val="1AF554C1"/>
    <w:rsid w:val="1B0A685C"/>
    <w:rsid w:val="1B2D0D80"/>
    <w:rsid w:val="1B481E69"/>
    <w:rsid w:val="1B9204B8"/>
    <w:rsid w:val="1B9B6681"/>
    <w:rsid w:val="1BAD70CA"/>
    <w:rsid w:val="1BBE2E6C"/>
    <w:rsid w:val="1BEB45CE"/>
    <w:rsid w:val="1C115E31"/>
    <w:rsid w:val="1C144907"/>
    <w:rsid w:val="1C287B68"/>
    <w:rsid w:val="1C6C6B9D"/>
    <w:rsid w:val="1C8A0D07"/>
    <w:rsid w:val="1C920D26"/>
    <w:rsid w:val="1CB0614A"/>
    <w:rsid w:val="1CB27CF7"/>
    <w:rsid w:val="1CC5072A"/>
    <w:rsid w:val="1CC86CD8"/>
    <w:rsid w:val="1CFC62AA"/>
    <w:rsid w:val="1D085AC3"/>
    <w:rsid w:val="1DBE407B"/>
    <w:rsid w:val="1DE10F22"/>
    <w:rsid w:val="1DE60A06"/>
    <w:rsid w:val="1E0A6632"/>
    <w:rsid w:val="1E173B9E"/>
    <w:rsid w:val="1E4A47B4"/>
    <w:rsid w:val="1EAA4905"/>
    <w:rsid w:val="1EAE1D8B"/>
    <w:rsid w:val="1EDF26D8"/>
    <w:rsid w:val="1EF4161A"/>
    <w:rsid w:val="1F073057"/>
    <w:rsid w:val="1F370175"/>
    <w:rsid w:val="1F692DA0"/>
    <w:rsid w:val="1F6E4595"/>
    <w:rsid w:val="1F8938D2"/>
    <w:rsid w:val="1F8F2B02"/>
    <w:rsid w:val="1FC71EC7"/>
    <w:rsid w:val="1FD74EE6"/>
    <w:rsid w:val="1FED3477"/>
    <w:rsid w:val="1FEF54D4"/>
    <w:rsid w:val="1FF041B3"/>
    <w:rsid w:val="20107346"/>
    <w:rsid w:val="201C60D1"/>
    <w:rsid w:val="20215BEB"/>
    <w:rsid w:val="20287B58"/>
    <w:rsid w:val="20400F2A"/>
    <w:rsid w:val="2050604D"/>
    <w:rsid w:val="20765EAF"/>
    <w:rsid w:val="2086408C"/>
    <w:rsid w:val="20CB60E5"/>
    <w:rsid w:val="20F02804"/>
    <w:rsid w:val="21003389"/>
    <w:rsid w:val="21234012"/>
    <w:rsid w:val="21443153"/>
    <w:rsid w:val="215A1290"/>
    <w:rsid w:val="219E341D"/>
    <w:rsid w:val="21A1511C"/>
    <w:rsid w:val="21B01C18"/>
    <w:rsid w:val="21D17878"/>
    <w:rsid w:val="21EA0D88"/>
    <w:rsid w:val="221A1718"/>
    <w:rsid w:val="223650FE"/>
    <w:rsid w:val="224829EC"/>
    <w:rsid w:val="22D563FC"/>
    <w:rsid w:val="22E920A8"/>
    <w:rsid w:val="22F8341B"/>
    <w:rsid w:val="230F6E96"/>
    <w:rsid w:val="234C2C81"/>
    <w:rsid w:val="237C69FF"/>
    <w:rsid w:val="23876C36"/>
    <w:rsid w:val="238A7D90"/>
    <w:rsid w:val="23A216A4"/>
    <w:rsid w:val="23AC7DBD"/>
    <w:rsid w:val="23B62477"/>
    <w:rsid w:val="23C93668"/>
    <w:rsid w:val="23D07366"/>
    <w:rsid w:val="23F65ABA"/>
    <w:rsid w:val="240B5385"/>
    <w:rsid w:val="242F51F8"/>
    <w:rsid w:val="24506C75"/>
    <w:rsid w:val="246F4A4D"/>
    <w:rsid w:val="249238A8"/>
    <w:rsid w:val="24D45D46"/>
    <w:rsid w:val="24EF2796"/>
    <w:rsid w:val="2501693D"/>
    <w:rsid w:val="252A598D"/>
    <w:rsid w:val="25964253"/>
    <w:rsid w:val="25A53FB8"/>
    <w:rsid w:val="25C342E0"/>
    <w:rsid w:val="25CB3A91"/>
    <w:rsid w:val="2613381C"/>
    <w:rsid w:val="264B40A8"/>
    <w:rsid w:val="265D2225"/>
    <w:rsid w:val="266E4103"/>
    <w:rsid w:val="26986224"/>
    <w:rsid w:val="26C35542"/>
    <w:rsid w:val="26CE10F9"/>
    <w:rsid w:val="27223F6F"/>
    <w:rsid w:val="276A69F2"/>
    <w:rsid w:val="27B61629"/>
    <w:rsid w:val="27B73E5C"/>
    <w:rsid w:val="27D65E71"/>
    <w:rsid w:val="27DA374F"/>
    <w:rsid w:val="27E240BC"/>
    <w:rsid w:val="28375B92"/>
    <w:rsid w:val="28423E59"/>
    <w:rsid w:val="286A0245"/>
    <w:rsid w:val="28841280"/>
    <w:rsid w:val="288E7478"/>
    <w:rsid w:val="28905C5E"/>
    <w:rsid w:val="28C8622D"/>
    <w:rsid w:val="290D104D"/>
    <w:rsid w:val="292F7B3E"/>
    <w:rsid w:val="297063C8"/>
    <w:rsid w:val="297835DF"/>
    <w:rsid w:val="29A11B13"/>
    <w:rsid w:val="29BF6037"/>
    <w:rsid w:val="29E63173"/>
    <w:rsid w:val="29FE48A2"/>
    <w:rsid w:val="2A174A41"/>
    <w:rsid w:val="2A193C1E"/>
    <w:rsid w:val="2A3322EC"/>
    <w:rsid w:val="2A4E2046"/>
    <w:rsid w:val="2A507555"/>
    <w:rsid w:val="2AA055DC"/>
    <w:rsid w:val="2AD85B57"/>
    <w:rsid w:val="2AE11DEA"/>
    <w:rsid w:val="2AEE7170"/>
    <w:rsid w:val="2B597049"/>
    <w:rsid w:val="2B6F0B2B"/>
    <w:rsid w:val="2B801BF0"/>
    <w:rsid w:val="2BA151BE"/>
    <w:rsid w:val="2BB6106A"/>
    <w:rsid w:val="2BE16647"/>
    <w:rsid w:val="2C1B7FB3"/>
    <w:rsid w:val="2C497A9A"/>
    <w:rsid w:val="2C8213ED"/>
    <w:rsid w:val="2C9E7996"/>
    <w:rsid w:val="2CC87CCD"/>
    <w:rsid w:val="2CD22B99"/>
    <w:rsid w:val="2CD44ED2"/>
    <w:rsid w:val="2CED099D"/>
    <w:rsid w:val="2D117637"/>
    <w:rsid w:val="2D7E2021"/>
    <w:rsid w:val="2DA73530"/>
    <w:rsid w:val="2DB23AC9"/>
    <w:rsid w:val="2DCD54E3"/>
    <w:rsid w:val="2E6F3616"/>
    <w:rsid w:val="2E8D6C16"/>
    <w:rsid w:val="2E97180F"/>
    <w:rsid w:val="2E994A7C"/>
    <w:rsid w:val="2ECF30F7"/>
    <w:rsid w:val="2ED0007E"/>
    <w:rsid w:val="2ED539BC"/>
    <w:rsid w:val="2EE84CD3"/>
    <w:rsid w:val="2EF47A18"/>
    <w:rsid w:val="2F1754DB"/>
    <w:rsid w:val="2F272596"/>
    <w:rsid w:val="2F517FE7"/>
    <w:rsid w:val="2F66505B"/>
    <w:rsid w:val="2F666602"/>
    <w:rsid w:val="2F70746A"/>
    <w:rsid w:val="2F931AF8"/>
    <w:rsid w:val="2FA40A66"/>
    <w:rsid w:val="2FB63051"/>
    <w:rsid w:val="2FBC4467"/>
    <w:rsid w:val="2FCC3933"/>
    <w:rsid w:val="2FD03A0D"/>
    <w:rsid w:val="30085D5E"/>
    <w:rsid w:val="301E5F88"/>
    <w:rsid w:val="303C569A"/>
    <w:rsid w:val="30444410"/>
    <w:rsid w:val="305157F1"/>
    <w:rsid w:val="305542E1"/>
    <w:rsid w:val="307F174A"/>
    <w:rsid w:val="309A3846"/>
    <w:rsid w:val="30AB16C4"/>
    <w:rsid w:val="30B314C5"/>
    <w:rsid w:val="30C34F1A"/>
    <w:rsid w:val="30CD1ECF"/>
    <w:rsid w:val="30E93409"/>
    <w:rsid w:val="30FC62D2"/>
    <w:rsid w:val="313F63BC"/>
    <w:rsid w:val="31462D01"/>
    <w:rsid w:val="31646687"/>
    <w:rsid w:val="3186527A"/>
    <w:rsid w:val="31BE6BB0"/>
    <w:rsid w:val="32183AE6"/>
    <w:rsid w:val="323205BB"/>
    <w:rsid w:val="32A3057E"/>
    <w:rsid w:val="32F6035D"/>
    <w:rsid w:val="331A2E4C"/>
    <w:rsid w:val="334A7C75"/>
    <w:rsid w:val="338776A9"/>
    <w:rsid w:val="33971D3F"/>
    <w:rsid w:val="34086582"/>
    <w:rsid w:val="340B4A9F"/>
    <w:rsid w:val="34534DD2"/>
    <w:rsid w:val="347A6CDA"/>
    <w:rsid w:val="34AC40BF"/>
    <w:rsid w:val="34BE1741"/>
    <w:rsid w:val="34F74ED3"/>
    <w:rsid w:val="34F777FE"/>
    <w:rsid w:val="351A797A"/>
    <w:rsid w:val="351F61B6"/>
    <w:rsid w:val="352617E5"/>
    <w:rsid w:val="35483A7C"/>
    <w:rsid w:val="358801C8"/>
    <w:rsid w:val="358D569A"/>
    <w:rsid w:val="35A6648F"/>
    <w:rsid w:val="35CA4433"/>
    <w:rsid w:val="35D012EB"/>
    <w:rsid w:val="35D31CC0"/>
    <w:rsid w:val="35D93DE0"/>
    <w:rsid w:val="35E70196"/>
    <w:rsid w:val="360B7885"/>
    <w:rsid w:val="361E469E"/>
    <w:rsid w:val="3621534E"/>
    <w:rsid w:val="3627342B"/>
    <w:rsid w:val="363A5360"/>
    <w:rsid w:val="363C0A89"/>
    <w:rsid w:val="36402AD5"/>
    <w:rsid w:val="364F00D0"/>
    <w:rsid w:val="367D1777"/>
    <w:rsid w:val="369040B0"/>
    <w:rsid w:val="36927FE6"/>
    <w:rsid w:val="36AA67E5"/>
    <w:rsid w:val="36FD552A"/>
    <w:rsid w:val="370B7E09"/>
    <w:rsid w:val="371D132A"/>
    <w:rsid w:val="37243875"/>
    <w:rsid w:val="373C75EC"/>
    <w:rsid w:val="375249C3"/>
    <w:rsid w:val="379B6AD7"/>
    <w:rsid w:val="37A53BB2"/>
    <w:rsid w:val="37A548EB"/>
    <w:rsid w:val="37A857AC"/>
    <w:rsid w:val="37CB1850"/>
    <w:rsid w:val="3812032D"/>
    <w:rsid w:val="3816529E"/>
    <w:rsid w:val="3818493A"/>
    <w:rsid w:val="381C3B8F"/>
    <w:rsid w:val="384C71EC"/>
    <w:rsid w:val="38623084"/>
    <w:rsid w:val="388A72CA"/>
    <w:rsid w:val="389D17EE"/>
    <w:rsid w:val="38A6111B"/>
    <w:rsid w:val="38D978EA"/>
    <w:rsid w:val="38DC4346"/>
    <w:rsid w:val="39037CD8"/>
    <w:rsid w:val="39213B81"/>
    <w:rsid w:val="392C1B16"/>
    <w:rsid w:val="394A1CC0"/>
    <w:rsid w:val="39730A58"/>
    <w:rsid w:val="398712D6"/>
    <w:rsid w:val="398F5CF6"/>
    <w:rsid w:val="39994163"/>
    <w:rsid w:val="39AE3C5B"/>
    <w:rsid w:val="39AF79B8"/>
    <w:rsid w:val="39BF1D2F"/>
    <w:rsid w:val="39E87141"/>
    <w:rsid w:val="39F3271A"/>
    <w:rsid w:val="3A0C509A"/>
    <w:rsid w:val="3A10090B"/>
    <w:rsid w:val="3A106AEE"/>
    <w:rsid w:val="3A1367E2"/>
    <w:rsid w:val="3A4234A1"/>
    <w:rsid w:val="3AA01FFE"/>
    <w:rsid w:val="3B066C27"/>
    <w:rsid w:val="3B142F73"/>
    <w:rsid w:val="3B2052E5"/>
    <w:rsid w:val="3B38152F"/>
    <w:rsid w:val="3B403995"/>
    <w:rsid w:val="3B6F290B"/>
    <w:rsid w:val="3B6F5473"/>
    <w:rsid w:val="3B882AAB"/>
    <w:rsid w:val="3BB45E33"/>
    <w:rsid w:val="3BC10822"/>
    <w:rsid w:val="3BEA42EB"/>
    <w:rsid w:val="3C0B1FE7"/>
    <w:rsid w:val="3C0F3C95"/>
    <w:rsid w:val="3C470FEC"/>
    <w:rsid w:val="3C76224C"/>
    <w:rsid w:val="3CB35362"/>
    <w:rsid w:val="3CBC5414"/>
    <w:rsid w:val="3CBF055D"/>
    <w:rsid w:val="3CD03C43"/>
    <w:rsid w:val="3D012FF0"/>
    <w:rsid w:val="3D080697"/>
    <w:rsid w:val="3D171DBE"/>
    <w:rsid w:val="3D524C71"/>
    <w:rsid w:val="3D566B14"/>
    <w:rsid w:val="3D7755B8"/>
    <w:rsid w:val="3D98307D"/>
    <w:rsid w:val="3D986515"/>
    <w:rsid w:val="3DBB36F6"/>
    <w:rsid w:val="3DCC0CF2"/>
    <w:rsid w:val="3DD01806"/>
    <w:rsid w:val="3DE51648"/>
    <w:rsid w:val="3E3C56F0"/>
    <w:rsid w:val="3EAF27F0"/>
    <w:rsid w:val="3ED74C37"/>
    <w:rsid w:val="3EF455DD"/>
    <w:rsid w:val="3F1E1D95"/>
    <w:rsid w:val="3F41510C"/>
    <w:rsid w:val="3F503049"/>
    <w:rsid w:val="3F5E73DB"/>
    <w:rsid w:val="3F7C7853"/>
    <w:rsid w:val="3F8D1E0C"/>
    <w:rsid w:val="3FB360A5"/>
    <w:rsid w:val="401954D3"/>
    <w:rsid w:val="401D0250"/>
    <w:rsid w:val="40266227"/>
    <w:rsid w:val="403D39E7"/>
    <w:rsid w:val="40605751"/>
    <w:rsid w:val="40A650D2"/>
    <w:rsid w:val="40E86291"/>
    <w:rsid w:val="410615B5"/>
    <w:rsid w:val="4117092B"/>
    <w:rsid w:val="414F0756"/>
    <w:rsid w:val="418A0ECA"/>
    <w:rsid w:val="41A07E33"/>
    <w:rsid w:val="41CC3423"/>
    <w:rsid w:val="41E10404"/>
    <w:rsid w:val="42273128"/>
    <w:rsid w:val="423A128D"/>
    <w:rsid w:val="428C17B7"/>
    <w:rsid w:val="429029E8"/>
    <w:rsid w:val="42DA265C"/>
    <w:rsid w:val="42F06533"/>
    <w:rsid w:val="430E1757"/>
    <w:rsid w:val="434421E6"/>
    <w:rsid w:val="4345394E"/>
    <w:rsid w:val="435D1F13"/>
    <w:rsid w:val="43720F75"/>
    <w:rsid w:val="4379421C"/>
    <w:rsid w:val="43794748"/>
    <w:rsid w:val="437A12E7"/>
    <w:rsid w:val="438C73C5"/>
    <w:rsid w:val="43AD6DA0"/>
    <w:rsid w:val="43C86B08"/>
    <w:rsid w:val="43E51F25"/>
    <w:rsid w:val="44133F84"/>
    <w:rsid w:val="445115AC"/>
    <w:rsid w:val="447E1A08"/>
    <w:rsid w:val="448C43BF"/>
    <w:rsid w:val="44AE3BD0"/>
    <w:rsid w:val="44C6031F"/>
    <w:rsid w:val="45163CE2"/>
    <w:rsid w:val="452F42D4"/>
    <w:rsid w:val="45364D97"/>
    <w:rsid w:val="457263CD"/>
    <w:rsid w:val="4575780E"/>
    <w:rsid w:val="45826795"/>
    <w:rsid w:val="45A5250D"/>
    <w:rsid w:val="45B5389A"/>
    <w:rsid w:val="45C061D6"/>
    <w:rsid w:val="45D524CA"/>
    <w:rsid w:val="45FD78C7"/>
    <w:rsid w:val="4628541D"/>
    <w:rsid w:val="46CA39F9"/>
    <w:rsid w:val="46D104BC"/>
    <w:rsid w:val="46E26B11"/>
    <w:rsid w:val="46E61B61"/>
    <w:rsid w:val="470716F0"/>
    <w:rsid w:val="47097F61"/>
    <w:rsid w:val="470F0F68"/>
    <w:rsid w:val="47402699"/>
    <w:rsid w:val="4767675E"/>
    <w:rsid w:val="476F1912"/>
    <w:rsid w:val="47C8757B"/>
    <w:rsid w:val="47EC1A5D"/>
    <w:rsid w:val="48004F22"/>
    <w:rsid w:val="480C06F6"/>
    <w:rsid w:val="48325E3A"/>
    <w:rsid w:val="486340DC"/>
    <w:rsid w:val="48685A07"/>
    <w:rsid w:val="48727FD3"/>
    <w:rsid w:val="487A113F"/>
    <w:rsid w:val="48851A5F"/>
    <w:rsid w:val="48922A69"/>
    <w:rsid w:val="48B210C5"/>
    <w:rsid w:val="48C04F71"/>
    <w:rsid w:val="491D261D"/>
    <w:rsid w:val="496B1F84"/>
    <w:rsid w:val="49767FF3"/>
    <w:rsid w:val="499003F2"/>
    <w:rsid w:val="499261A9"/>
    <w:rsid w:val="49A84AD7"/>
    <w:rsid w:val="49C61B90"/>
    <w:rsid w:val="49F27976"/>
    <w:rsid w:val="4A151485"/>
    <w:rsid w:val="4A182A00"/>
    <w:rsid w:val="4A4A6CD1"/>
    <w:rsid w:val="4AA37D17"/>
    <w:rsid w:val="4AD1133C"/>
    <w:rsid w:val="4AD36C66"/>
    <w:rsid w:val="4AED0613"/>
    <w:rsid w:val="4B0B3AC9"/>
    <w:rsid w:val="4B21187A"/>
    <w:rsid w:val="4B272CF2"/>
    <w:rsid w:val="4B630C74"/>
    <w:rsid w:val="4B9B041C"/>
    <w:rsid w:val="4BDD029D"/>
    <w:rsid w:val="4C0940B0"/>
    <w:rsid w:val="4C11719B"/>
    <w:rsid w:val="4C291480"/>
    <w:rsid w:val="4C406AA1"/>
    <w:rsid w:val="4C815633"/>
    <w:rsid w:val="4C9E1C5B"/>
    <w:rsid w:val="4CA42B81"/>
    <w:rsid w:val="4CBB2CCE"/>
    <w:rsid w:val="4CFF27E8"/>
    <w:rsid w:val="4D167014"/>
    <w:rsid w:val="4D211BBF"/>
    <w:rsid w:val="4D403BC4"/>
    <w:rsid w:val="4D553942"/>
    <w:rsid w:val="4DA949BA"/>
    <w:rsid w:val="4DC41B49"/>
    <w:rsid w:val="4DDD58E5"/>
    <w:rsid w:val="4DE20BC3"/>
    <w:rsid w:val="4E3A54D8"/>
    <w:rsid w:val="4E42531F"/>
    <w:rsid w:val="4E5C3DB1"/>
    <w:rsid w:val="4E655605"/>
    <w:rsid w:val="4E664F60"/>
    <w:rsid w:val="4E6D6388"/>
    <w:rsid w:val="4E6E0585"/>
    <w:rsid w:val="4E8C4BD2"/>
    <w:rsid w:val="4E9D6D35"/>
    <w:rsid w:val="4EA327D7"/>
    <w:rsid w:val="4F0F747D"/>
    <w:rsid w:val="4F120D1E"/>
    <w:rsid w:val="4F2C7A9E"/>
    <w:rsid w:val="4F5C4DD0"/>
    <w:rsid w:val="4F70201B"/>
    <w:rsid w:val="4FAD19AB"/>
    <w:rsid w:val="4FBE2C03"/>
    <w:rsid w:val="4FCD0D2A"/>
    <w:rsid w:val="4FD231EC"/>
    <w:rsid w:val="50062C34"/>
    <w:rsid w:val="501931EB"/>
    <w:rsid w:val="501F5E35"/>
    <w:rsid w:val="50203D29"/>
    <w:rsid w:val="50403DC2"/>
    <w:rsid w:val="508563EE"/>
    <w:rsid w:val="50B14DE8"/>
    <w:rsid w:val="50D22F32"/>
    <w:rsid w:val="50F422EF"/>
    <w:rsid w:val="50FE043E"/>
    <w:rsid w:val="510C7055"/>
    <w:rsid w:val="5112731B"/>
    <w:rsid w:val="51241FA1"/>
    <w:rsid w:val="51446F15"/>
    <w:rsid w:val="51534663"/>
    <w:rsid w:val="516809B2"/>
    <w:rsid w:val="516904FA"/>
    <w:rsid w:val="51736A67"/>
    <w:rsid w:val="51955A4F"/>
    <w:rsid w:val="51BD354A"/>
    <w:rsid w:val="51BD46A1"/>
    <w:rsid w:val="51FE434F"/>
    <w:rsid w:val="520843D2"/>
    <w:rsid w:val="52316BEF"/>
    <w:rsid w:val="52325304"/>
    <w:rsid w:val="523470CD"/>
    <w:rsid w:val="529C1D3A"/>
    <w:rsid w:val="52B44A82"/>
    <w:rsid w:val="52C3059D"/>
    <w:rsid w:val="52F2656B"/>
    <w:rsid w:val="53023764"/>
    <w:rsid w:val="53081882"/>
    <w:rsid w:val="53252D68"/>
    <w:rsid w:val="53446F7F"/>
    <w:rsid w:val="53451F77"/>
    <w:rsid w:val="53510C30"/>
    <w:rsid w:val="53651C45"/>
    <w:rsid w:val="5374606B"/>
    <w:rsid w:val="5381416F"/>
    <w:rsid w:val="53C307BF"/>
    <w:rsid w:val="54613FD7"/>
    <w:rsid w:val="54790CE9"/>
    <w:rsid w:val="548A578D"/>
    <w:rsid w:val="54B809E6"/>
    <w:rsid w:val="550117B4"/>
    <w:rsid w:val="55772F7D"/>
    <w:rsid w:val="55961D0E"/>
    <w:rsid w:val="559659E4"/>
    <w:rsid w:val="559E7EC8"/>
    <w:rsid w:val="55D31B7D"/>
    <w:rsid w:val="55D77231"/>
    <w:rsid w:val="55DE72E8"/>
    <w:rsid w:val="55E501B3"/>
    <w:rsid w:val="55FC04A7"/>
    <w:rsid w:val="56381EF6"/>
    <w:rsid w:val="56444C51"/>
    <w:rsid w:val="56A53918"/>
    <w:rsid w:val="56C740B3"/>
    <w:rsid w:val="56E21403"/>
    <w:rsid w:val="570F3752"/>
    <w:rsid w:val="57222B83"/>
    <w:rsid w:val="57340D3D"/>
    <w:rsid w:val="573861DD"/>
    <w:rsid w:val="57523927"/>
    <w:rsid w:val="57650FD3"/>
    <w:rsid w:val="578E1A22"/>
    <w:rsid w:val="57AC7B7D"/>
    <w:rsid w:val="57C81B2F"/>
    <w:rsid w:val="57F12BEF"/>
    <w:rsid w:val="58810EAC"/>
    <w:rsid w:val="588F1BBE"/>
    <w:rsid w:val="58A108EC"/>
    <w:rsid w:val="58B764A3"/>
    <w:rsid w:val="58D47E0A"/>
    <w:rsid w:val="58DC65F8"/>
    <w:rsid w:val="590A0EB7"/>
    <w:rsid w:val="591257CE"/>
    <w:rsid w:val="592C6DC9"/>
    <w:rsid w:val="593340F4"/>
    <w:rsid w:val="593341DD"/>
    <w:rsid w:val="597B17CE"/>
    <w:rsid w:val="597D301C"/>
    <w:rsid w:val="59A0446A"/>
    <w:rsid w:val="59B231EB"/>
    <w:rsid w:val="59B501F6"/>
    <w:rsid w:val="59B63F00"/>
    <w:rsid w:val="5A290D26"/>
    <w:rsid w:val="5A3426E8"/>
    <w:rsid w:val="5A43094D"/>
    <w:rsid w:val="5A585C40"/>
    <w:rsid w:val="5A852ED6"/>
    <w:rsid w:val="5A8F645E"/>
    <w:rsid w:val="5A947FA8"/>
    <w:rsid w:val="5ABD490E"/>
    <w:rsid w:val="5AD23DF5"/>
    <w:rsid w:val="5ADA403E"/>
    <w:rsid w:val="5AEB7A5E"/>
    <w:rsid w:val="5AFE0486"/>
    <w:rsid w:val="5B1344F7"/>
    <w:rsid w:val="5B3218D4"/>
    <w:rsid w:val="5B357636"/>
    <w:rsid w:val="5B4F666F"/>
    <w:rsid w:val="5B717F77"/>
    <w:rsid w:val="5B7A10F7"/>
    <w:rsid w:val="5B881AE0"/>
    <w:rsid w:val="5B8E2B97"/>
    <w:rsid w:val="5B9A4D41"/>
    <w:rsid w:val="5BD021AA"/>
    <w:rsid w:val="5BF02F59"/>
    <w:rsid w:val="5BF6657A"/>
    <w:rsid w:val="5C0461B5"/>
    <w:rsid w:val="5C151F37"/>
    <w:rsid w:val="5C1904FE"/>
    <w:rsid w:val="5C1D315F"/>
    <w:rsid w:val="5C3754AC"/>
    <w:rsid w:val="5C3B239C"/>
    <w:rsid w:val="5C3E446F"/>
    <w:rsid w:val="5CA01D73"/>
    <w:rsid w:val="5CAC5490"/>
    <w:rsid w:val="5CD17C2A"/>
    <w:rsid w:val="5CF52F29"/>
    <w:rsid w:val="5D2C16C1"/>
    <w:rsid w:val="5D39096A"/>
    <w:rsid w:val="5D487BDE"/>
    <w:rsid w:val="5D4B6C16"/>
    <w:rsid w:val="5DAD29AF"/>
    <w:rsid w:val="5DDD0920"/>
    <w:rsid w:val="5DE6709D"/>
    <w:rsid w:val="5DEC3CC9"/>
    <w:rsid w:val="5E066FF5"/>
    <w:rsid w:val="5E15030B"/>
    <w:rsid w:val="5E191EEB"/>
    <w:rsid w:val="5E3636C9"/>
    <w:rsid w:val="5E51337F"/>
    <w:rsid w:val="5E5E2A02"/>
    <w:rsid w:val="5E936069"/>
    <w:rsid w:val="5EA707EA"/>
    <w:rsid w:val="5EF51DED"/>
    <w:rsid w:val="5F083260"/>
    <w:rsid w:val="5F093FB7"/>
    <w:rsid w:val="5F1F3CF6"/>
    <w:rsid w:val="5F2C6A42"/>
    <w:rsid w:val="5F366428"/>
    <w:rsid w:val="5F37676C"/>
    <w:rsid w:val="5F4167F1"/>
    <w:rsid w:val="5F47763D"/>
    <w:rsid w:val="5F4A0DFD"/>
    <w:rsid w:val="5F565D68"/>
    <w:rsid w:val="5F6C607A"/>
    <w:rsid w:val="5FB65171"/>
    <w:rsid w:val="60414EAB"/>
    <w:rsid w:val="604424CC"/>
    <w:rsid w:val="60626BC9"/>
    <w:rsid w:val="606B0FE6"/>
    <w:rsid w:val="608F4184"/>
    <w:rsid w:val="60AF4273"/>
    <w:rsid w:val="60D86A6F"/>
    <w:rsid w:val="60EA1779"/>
    <w:rsid w:val="619064C0"/>
    <w:rsid w:val="61A15ED8"/>
    <w:rsid w:val="61C55E6C"/>
    <w:rsid w:val="61C715A9"/>
    <w:rsid w:val="61EB0D3C"/>
    <w:rsid w:val="62247174"/>
    <w:rsid w:val="629B4164"/>
    <w:rsid w:val="62A0654F"/>
    <w:rsid w:val="62A83415"/>
    <w:rsid w:val="62D41756"/>
    <w:rsid w:val="62EB00D8"/>
    <w:rsid w:val="62F16E70"/>
    <w:rsid w:val="63271A84"/>
    <w:rsid w:val="63716E76"/>
    <w:rsid w:val="637570E5"/>
    <w:rsid w:val="639C35CC"/>
    <w:rsid w:val="63D67FF5"/>
    <w:rsid w:val="641B49B5"/>
    <w:rsid w:val="641C629E"/>
    <w:rsid w:val="643A5B47"/>
    <w:rsid w:val="645A1DBD"/>
    <w:rsid w:val="648C30B6"/>
    <w:rsid w:val="64907893"/>
    <w:rsid w:val="64CD15EE"/>
    <w:rsid w:val="64CF1DA3"/>
    <w:rsid w:val="64DE0BBD"/>
    <w:rsid w:val="64ED67B6"/>
    <w:rsid w:val="65101E77"/>
    <w:rsid w:val="65443991"/>
    <w:rsid w:val="65727F63"/>
    <w:rsid w:val="658F1276"/>
    <w:rsid w:val="65C74701"/>
    <w:rsid w:val="65C8092B"/>
    <w:rsid w:val="65CF6E8D"/>
    <w:rsid w:val="65F26CF1"/>
    <w:rsid w:val="66216AD9"/>
    <w:rsid w:val="665F3AC1"/>
    <w:rsid w:val="66CF66FE"/>
    <w:rsid w:val="66E24EEC"/>
    <w:rsid w:val="670C14FF"/>
    <w:rsid w:val="67126344"/>
    <w:rsid w:val="6715798F"/>
    <w:rsid w:val="674630D3"/>
    <w:rsid w:val="67646F99"/>
    <w:rsid w:val="679715AA"/>
    <w:rsid w:val="67EE6878"/>
    <w:rsid w:val="68093B71"/>
    <w:rsid w:val="681749C3"/>
    <w:rsid w:val="681F120D"/>
    <w:rsid w:val="68442DC9"/>
    <w:rsid w:val="684575DA"/>
    <w:rsid w:val="684E499C"/>
    <w:rsid w:val="68522937"/>
    <w:rsid w:val="685C03EA"/>
    <w:rsid w:val="6875256E"/>
    <w:rsid w:val="688110E3"/>
    <w:rsid w:val="688C49F5"/>
    <w:rsid w:val="68926C88"/>
    <w:rsid w:val="68A2510E"/>
    <w:rsid w:val="68C12961"/>
    <w:rsid w:val="68C2226B"/>
    <w:rsid w:val="68C305E7"/>
    <w:rsid w:val="68DB5239"/>
    <w:rsid w:val="69316C74"/>
    <w:rsid w:val="693A35B5"/>
    <w:rsid w:val="69572136"/>
    <w:rsid w:val="69681038"/>
    <w:rsid w:val="69835B70"/>
    <w:rsid w:val="69C7285E"/>
    <w:rsid w:val="69F71FB6"/>
    <w:rsid w:val="69FC6C64"/>
    <w:rsid w:val="6A640463"/>
    <w:rsid w:val="6A905B6D"/>
    <w:rsid w:val="6AA05F32"/>
    <w:rsid w:val="6AC9206A"/>
    <w:rsid w:val="6ACE16D9"/>
    <w:rsid w:val="6AD9570F"/>
    <w:rsid w:val="6AE51C08"/>
    <w:rsid w:val="6B010C46"/>
    <w:rsid w:val="6B2303AC"/>
    <w:rsid w:val="6B3A366A"/>
    <w:rsid w:val="6B6A0462"/>
    <w:rsid w:val="6B7A0050"/>
    <w:rsid w:val="6B9F05AF"/>
    <w:rsid w:val="6BE23C30"/>
    <w:rsid w:val="6BE7786F"/>
    <w:rsid w:val="6C134034"/>
    <w:rsid w:val="6C50079B"/>
    <w:rsid w:val="6C8E74F7"/>
    <w:rsid w:val="6C8F30E6"/>
    <w:rsid w:val="6CB33C84"/>
    <w:rsid w:val="6D004DA8"/>
    <w:rsid w:val="6D220D92"/>
    <w:rsid w:val="6D4E366B"/>
    <w:rsid w:val="6D543DB3"/>
    <w:rsid w:val="6D6221E0"/>
    <w:rsid w:val="6D773FDC"/>
    <w:rsid w:val="6D9B22AA"/>
    <w:rsid w:val="6DA5553E"/>
    <w:rsid w:val="6E232AB3"/>
    <w:rsid w:val="6E3048E9"/>
    <w:rsid w:val="6E3F132C"/>
    <w:rsid w:val="6E517746"/>
    <w:rsid w:val="6E861F5A"/>
    <w:rsid w:val="6E8B41A2"/>
    <w:rsid w:val="6EAB0FB5"/>
    <w:rsid w:val="6EBF2C8C"/>
    <w:rsid w:val="6EE67379"/>
    <w:rsid w:val="6EF502F5"/>
    <w:rsid w:val="6EFD1C95"/>
    <w:rsid w:val="6F0D031B"/>
    <w:rsid w:val="6F475D18"/>
    <w:rsid w:val="6FD97012"/>
    <w:rsid w:val="6FDA2294"/>
    <w:rsid w:val="70052E11"/>
    <w:rsid w:val="700C3057"/>
    <w:rsid w:val="7014721B"/>
    <w:rsid w:val="702B63B0"/>
    <w:rsid w:val="702C2966"/>
    <w:rsid w:val="7049607A"/>
    <w:rsid w:val="70545562"/>
    <w:rsid w:val="70C5699B"/>
    <w:rsid w:val="70C8609C"/>
    <w:rsid w:val="70EE2DD8"/>
    <w:rsid w:val="70F30A56"/>
    <w:rsid w:val="70FA0EAB"/>
    <w:rsid w:val="71106560"/>
    <w:rsid w:val="71292FBC"/>
    <w:rsid w:val="71437115"/>
    <w:rsid w:val="715536FE"/>
    <w:rsid w:val="71F12086"/>
    <w:rsid w:val="720C4851"/>
    <w:rsid w:val="72235C8E"/>
    <w:rsid w:val="729826AA"/>
    <w:rsid w:val="72BB6F40"/>
    <w:rsid w:val="72EE06A5"/>
    <w:rsid w:val="73473177"/>
    <w:rsid w:val="73484595"/>
    <w:rsid w:val="73685DD0"/>
    <w:rsid w:val="736B3BB5"/>
    <w:rsid w:val="738D0387"/>
    <w:rsid w:val="73F1016F"/>
    <w:rsid w:val="73F30579"/>
    <w:rsid w:val="74010932"/>
    <w:rsid w:val="740B328F"/>
    <w:rsid w:val="74376210"/>
    <w:rsid w:val="74401536"/>
    <w:rsid w:val="747108A9"/>
    <w:rsid w:val="74760969"/>
    <w:rsid w:val="74BD5147"/>
    <w:rsid w:val="74C73C7A"/>
    <w:rsid w:val="74E95C3C"/>
    <w:rsid w:val="75171ED4"/>
    <w:rsid w:val="75834A29"/>
    <w:rsid w:val="75837EEC"/>
    <w:rsid w:val="75AE1DB9"/>
    <w:rsid w:val="75E21168"/>
    <w:rsid w:val="75E77528"/>
    <w:rsid w:val="75E97311"/>
    <w:rsid w:val="75F037BC"/>
    <w:rsid w:val="760D154C"/>
    <w:rsid w:val="760E4675"/>
    <w:rsid w:val="760F6E84"/>
    <w:rsid w:val="761D71A3"/>
    <w:rsid w:val="76330AED"/>
    <w:rsid w:val="76622B76"/>
    <w:rsid w:val="76920401"/>
    <w:rsid w:val="76B71E5D"/>
    <w:rsid w:val="76CB4928"/>
    <w:rsid w:val="76CE73F1"/>
    <w:rsid w:val="76DF7942"/>
    <w:rsid w:val="77034827"/>
    <w:rsid w:val="774829C9"/>
    <w:rsid w:val="77492CFF"/>
    <w:rsid w:val="778441C8"/>
    <w:rsid w:val="778766B4"/>
    <w:rsid w:val="77914171"/>
    <w:rsid w:val="77CA38C2"/>
    <w:rsid w:val="77E260FF"/>
    <w:rsid w:val="78062A2A"/>
    <w:rsid w:val="78203E5B"/>
    <w:rsid w:val="78505A0B"/>
    <w:rsid w:val="786B0AE4"/>
    <w:rsid w:val="787968B8"/>
    <w:rsid w:val="78A54DD0"/>
    <w:rsid w:val="78EC5C27"/>
    <w:rsid w:val="79144C7D"/>
    <w:rsid w:val="79383345"/>
    <w:rsid w:val="79395A28"/>
    <w:rsid w:val="793F53A2"/>
    <w:rsid w:val="7A102B7D"/>
    <w:rsid w:val="7A137011"/>
    <w:rsid w:val="7A1D2FC0"/>
    <w:rsid w:val="7A1E0C36"/>
    <w:rsid w:val="7A300DF9"/>
    <w:rsid w:val="7A330A57"/>
    <w:rsid w:val="7A463B8C"/>
    <w:rsid w:val="7A807CC3"/>
    <w:rsid w:val="7A8924E5"/>
    <w:rsid w:val="7AA1053C"/>
    <w:rsid w:val="7AA811C5"/>
    <w:rsid w:val="7ABD4109"/>
    <w:rsid w:val="7B1E6B7D"/>
    <w:rsid w:val="7B3A1BDD"/>
    <w:rsid w:val="7B5530A5"/>
    <w:rsid w:val="7B92136F"/>
    <w:rsid w:val="7BB11A35"/>
    <w:rsid w:val="7BD92D22"/>
    <w:rsid w:val="7BDE70AD"/>
    <w:rsid w:val="7BE01710"/>
    <w:rsid w:val="7BEF658C"/>
    <w:rsid w:val="7C1C2408"/>
    <w:rsid w:val="7C1F09B4"/>
    <w:rsid w:val="7C2E4B32"/>
    <w:rsid w:val="7C723057"/>
    <w:rsid w:val="7C914545"/>
    <w:rsid w:val="7CBA7EAB"/>
    <w:rsid w:val="7CC20DEA"/>
    <w:rsid w:val="7CC436D1"/>
    <w:rsid w:val="7CE17A14"/>
    <w:rsid w:val="7CFC412C"/>
    <w:rsid w:val="7D0344F0"/>
    <w:rsid w:val="7D1E11E0"/>
    <w:rsid w:val="7D227A85"/>
    <w:rsid w:val="7D4B6235"/>
    <w:rsid w:val="7DCB589C"/>
    <w:rsid w:val="7DEF16E8"/>
    <w:rsid w:val="7DF94455"/>
    <w:rsid w:val="7E7741B6"/>
    <w:rsid w:val="7E9B53CC"/>
    <w:rsid w:val="7EAB2A81"/>
    <w:rsid w:val="7EAB3D5F"/>
    <w:rsid w:val="7EBF3A74"/>
    <w:rsid w:val="7ED66BFB"/>
    <w:rsid w:val="7EE0537C"/>
    <w:rsid w:val="7EEE360D"/>
    <w:rsid w:val="7EFD57D3"/>
    <w:rsid w:val="7F187E12"/>
    <w:rsid w:val="7F197281"/>
    <w:rsid w:val="7F596765"/>
    <w:rsid w:val="7F5D4515"/>
    <w:rsid w:val="7F6D503D"/>
    <w:rsid w:val="7F7B224E"/>
    <w:rsid w:val="7F93124C"/>
    <w:rsid w:val="7F994B60"/>
    <w:rsid w:val="7FBB6B61"/>
    <w:rsid w:val="7FC957A4"/>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56"/>
    <w:qFormat/>
    <w:uiPriority w:val="0"/>
    <w:pPr>
      <w:keepNext/>
      <w:keepLines/>
      <w:spacing w:before="340" w:beforeLines="0" w:after="330" w:afterLines="0" w:line="576" w:lineRule="auto"/>
      <w:outlineLvl w:val="0"/>
    </w:pPr>
    <w:rPr>
      <w:rFonts w:ascii="Calibri" w:hAnsi="Calibri"/>
      <w:b/>
      <w:kern w:val="44"/>
      <w:sz w:val="44"/>
      <w:szCs w:val="20"/>
    </w:rPr>
  </w:style>
  <w:style w:type="paragraph" w:styleId="5">
    <w:name w:val="heading 2"/>
    <w:basedOn w:val="1"/>
    <w:next w:val="1"/>
    <w:link w:val="57"/>
    <w:qFormat/>
    <w:uiPriority w:val="9"/>
    <w:pPr>
      <w:keepNext/>
      <w:keepLines/>
      <w:spacing w:before="260" w:beforeLines="0" w:after="260" w:afterLines="0" w:line="413" w:lineRule="auto"/>
      <w:outlineLvl w:val="1"/>
    </w:pPr>
    <w:rPr>
      <w:rFonts w:ascii="Arial" w:hAnsi="Arial" w:eastAsia="仿宋_GB2312"/>
      <w:b/>
      <w:bCs/>
      <w:sz w:val="28"/>
      <w:szCs w:val="32"/>
    </w:rPr>
  </w:style>
  <w:style w:type="paragraph" w:styleId="6">
    <w:name w:val="heading 3"/>
    <w:basedOn w:val="1"/>
    <w:next w:val="1"/>
    <w:link w:val="58"/>
    <w:qFormat/>
    <w:uiPriority w:val="0"/>
    <w:pPr>
      <w:keepNext/>
      <w:keepLines/>
      <w:spacing w:before="260" w:beforeLines="0" w:after="260" w:afterLines="0" w:line="416" w:lineRule="auto"/>
      <w:outlineLvl w:val="2"/>
    </w:pPr>
    <w:rPr>
      <w:b/>
      <w:sz w:val="32"/>
      <w:szCs w:val="20"/>
    </w:rPr>
  </w:style>
  <w:style w:type="paragraph" w:styleId="7">
    <w:name w:val="heading 4"/>
    <w:basedOn w:val="1"/>
    <w:next w:val="1"/>
    <w:link w:val="59"/>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8">
    <w:name w:val="heading 5"/>
    <w:basedOn w:val="1"/>
    <w:next w:val="1"/>
    <w:link w:val="60"/>
    <w:qFormat/>
    <w:uiPriority w:val="0"/>
    <w:pPr>
      <w:keepNext/>
      <w:keepLines/>
      <w:spacing w:before="280" w:beforeLines="0" w:beforeAutospacing="0" w:after="290" w:afterLines="0" w:afterAutospacing="0" w:line="372" w:lineRule="auto"/>
      <w:outlineLvl w:val="4"/>
    </w:pPr>
    <w:rPr>
      <w:rFonts w:ascii="Tahoma" w:hAnsi="Tahoma"/>
      <w:b/>
      <w:sz w:val="28"/>
      <w:szCs w:val="20"/>
    </w:rPr>
  </w:style>
  <w:style w:type="paragraph" w:styleId="9">
    <w:name w:val="heading 6"/>
    <w:basedOn w:val="1"/>
    <w:next w:val="10"/>
    <w:link w:val="61"/>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1">
    <w:name w:val="heading 7"/>
    <w:basedOn w:val="1"/>
    <w:next w:val="1"/>
    <w:link w:val="63"/>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2">
    <w:name w:val="heading 8"/>
    <w:basedOn w:val="1"/>
    <w:next w:val="1"/>
    <w:link w:val="64"/>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3">
    <w:name w:val="heading 9"/>
    <w:basedOn w:val="1"/>
    <w:next w:val="1"/>
    <w:link w:val="65"/>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9">
    <w:name w:val="Default Paragraph Font"/>
    <w:uiPriority w:val="0"/>
    <w:rPr>
      <w:rFonts w:ascii="Tahoma" w:hAnsi="Tahoma"/>
      <w:sz w:val="24"/>
      <w:szCs w:val="20"/>
    </w:rPr>
  </w:style>
  <w:style w:type="table" w:default="1" w:styleId="47">
    <w:name w:val="Normal Table"/>
    <w:semiHidden/>
    <w:qFormat/>
    <w:uiPriority w:val="0"/>
    <w:tblPr>
      <w:tblStyle w:val="47"/>
      <w:tblCellMar>
        <w:top w:w="0" w:type="dxa"/>
        <w:left w:w="108" w:type="dxa"/>
        <w:bottom w:w="0" w:type="dxa"/>
        <w:right w:w="108" w:type="dxa"/>
      </w:tblCellMar>
    </w:tblPr>
  </w:style>
  <w:style w:type="paragraph" w:styleId="2">
    <w:name w:val="Body Text"/>
    <w:basedOn w:val="1"/>
    <w:next w:val="3"/>
    <w:link w:val="55"/>
    <w:uiPriority w:val="0"/>
    <w:pPr>
      <w:spacing w:after="120" w:afterLines="0"/>
    </w:pPr>
    <w:rPr>
      <w:rFonts w:ascii="Tahoma" w:hAnsi="Tahoma"/>
      <w:sz w:val="28"/>
    </w:rPr>
  </w:style>
  <w:style w:type="paragraph" w:customStyle="1" w:styleId="3">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paragraph" w:styleId="10">
    <w:name w:val="Normal Indent"/>
    <w:basedOn w:val="1"/>
    <w:next w:val="1"/>
    <w:link w:val="62"/>
    <w:uiPriority w:val="0"/>
    <w:pPr>
      <w:ind w:firstLine="420"/>
    </w:pPr>
    <w:rPr>
      <w:rFonts w:ascii="Tahoma" w:hAnsi="Tahoma" w:eastAsia="Tahoma"/>
      <w:b/>
    </w:rPr>
  </w:style>
  <w:style w:type="paragraph" w:styleId="14">
    <w:name w:val="toc 7"/>
    <w:basedOn w:val="1"/>
    <w:next w:val="1"/>
    <w:uiPriority w:val="0"/>
    <w:pPr>
      <w:ind w:left="2520" w:leftChars="1200"/>
    </w:pPr>
  </w:style>
  <w:style w:type="paragraph" w:styleId="15">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6">
    <w:name w:val="caption"/>
    <w:basedOn w:val="1"/>
    <w:next w:val="1"/>
    <w:qFormat/>
    <w:uiPriority w:val="0"/>
    <w:pPr>
      <w:spacing w:before="152" w:beforeLines="0" w:after="160" w:afterLines="0"/>
    </w:pPr>
    <w:rPr>
      <w:rFonts w:ascii="Arial" w:hAnsi="Arial" w:eastAsia="黑体" w:cs="Arial"/>
      <w:sz w:val="20"/>
      <w:szCs w:val="20"/>
    </w:rPr>
  </w:style>
  <w:style w:type="paragraph" w:styleId="17">
    <w:name w:val="Document Map"/>
    <w:basedOn w:val="1"/>
    <w:link w:val="66"/>
    <w:uiPriority w:val="0"/>
    <w:pPr>
      <w:shd w:val="clear" w:color="auto" w:fill="000080"/>
    </w:pPr>
    <w:rPr>
      <w:rFonts w:hint="eastAsia" w:ascii="宋体" w:hAnsi="宋体"/>
      <w:sz w:val="18"/>
      <w:szCs w:val="18"/>
    </w:rPr>
  </w:style>
  <w:style w:type="paragraph" w:styleId="18">
    <w:name w:val="annotation text"/>
    <w:basedOn w:val="1"/>
    <w:link w:val="67"/>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19">
    <w:name w:val="Body Text 3"/>
    <w:basedOn w:val="1"/>
    <w:link w:val="68"/>
    <w:uiPriority w:val="0"/>
    <w:pPr>
      <w:snapToGrid w:val="0"/>
      <w:spacing w:before="50" w:beforeLines="0" w:after="50" w:afterLines="0"/>
    </w:pPr>
    <w:rPr>
      <w:rFonts w:ascii="Tahoma" w:hAnsi="Tahoma"/>
      <w:sz w:val="16"/>
      <w:szCs w:val="16"/>
    </w:rPr>
  </w:style>
  <w:style w:type="paragraph" w:styleId="20">
    <w:name w:val="Body Text Indent"/>
    <w:basedOn w:val="1"/>
    <w:next w:val="1"/>
    <w:link w:val="69"/>
    <w:uiPriority w:val="0"/>
    <w:pPr>
      <w:spacing w:line="200" w:lineRule="exact"/>
      <w:ind w:firstLine="301"/>
    </w:pPr>
    <w:rPr>
      <w:rFonts w:hint="eastAsia" w:ascii="宋体" w:hAnsi="Courier New"/>
      <w:spacing w:val="-4"/>
      <w:sz w:val="18"/>
      <w:szCs w:val="20"/>
    </w:rPr>
  </w:style>
  <w:style w:type="paragraph" w:styleId="21">
    <w:name w:val="List Number 3"/>
    <w:basedOn w:val="1"/>
    <w:uiPriority w:val="0"/>
    <w:pPr>
      <w:numPr>
        <w:ilvl w:val="0"/>
        <w:numId w:val="1"/>
      </w:numPr>
    </w:pPr>
  </w:style>
  <w:style w:type="paragraph" w:styleId="22">
    <w:name w:val="List 2"/>
    <w:basedOn w:val="1"/>
    <w:uiPriority w:val="0"/>
    <w:pPr>
      <w:ind w:left="100" w:leftChars="200" w:hanging="200" w:hangingChars="200"/>
    </w:pPr>
    <w:rPr>
      <w:sz w:val="28"/>
    </w:rPr>
  </w:style>
  <w:style w:type="paragraph" w:styleId="23">
    <w:name w:val="toc 5"/>
    <w:basedOn w:val="1"/>
    <w:next w:val="1"/>
    <w:uiPriority w:val="0"/>
    <w:pPr>
      <w:ind w:left="1680" w:leftChars="800"/>
    </w:pPr>
  </w:style>
  <w:style w:type="paragraph" w:styleId="24">
    <w:name w:val="toc 3"/>
    <w:basedOn w:val="1"/>
    <w:next w:val="1"/>
    <w:uiPriority w:val="0"/>
    <w:pPr>
      <w:ind w:left="840" w:leftChars="400"/>
    </w:pPr>
  </w:style>
  <w:style w:type="paragraph" w:styleId="25">
    <w:name w:val="Plain Text"/>
    <w:basedOn w:val="1"/>
    <w:link w:val="70"/>
    <w:uiPriority w:val="0"/>
    <w:pPr>
      <w:spacing w:before="156" w:beforeLines="50" w:after="156" w:afterLines="50" w:line="400" w:lineRule="exact"/>
    </w:pPr>
    <w:rPr>
      <w:rFonts w:hint="eastAsia" w:ascii="宋体" w:hAnsi="Courier New"/>
      <w:szCs w:val="21"/>
    </w:rPr>
  </w:style>
  <w:style w:type="paragraph" w:styleId="26">
    <w:name w:val="toc 8"/>
    <w:basedOn w:val="1"/>
    <w:next w:val="1"/>
    <w:uiPriority w:val="0"/>
    <w:pPr>
      <w:ind w:left="2940" w:leftChars="1400"/>
    </w:pPr>
  </w:style>
  <w:style w:type="paragraph" w:styleId="27">
    <w:name w:val="Date"/>
    <w:basedOn w:val="1"/>
    <w:next w:val="1"/>
    <w:link w:val="71"/>
    <w:uiPriority w:val="0"/>
    <w:pPr>
      <w:ind w:leftChars="2500"/>
    </w:pPr>
    <w:rPr>
      <w:rFonts w:hint="eastAsia" w:ascii="黑体" w:hAnsi="宋体" w:eastAsia="黑体"/>
      <w:kern w:val="44"/>
      <w:position w:val="6"/>
      <w:szCs w:val="20"/>
    </w:rPr>
  </w:style>
  <w:style w:type="paragraph" w:styleId="28">
    <w:name w:val="Body Text Indent 2"/>
    <w:basedOn w:val="1"/>
    <w:link w:val="72"/>
    <w:uiPriority w:val="0"/>
    <w:pPr>
      <w:snapToGrid w:val="0"/>
      <w:ind w:firstLine="542" w:firstLineChars="225"/>
    </w:pPr>
    <w:rPr>
      <w:rFonts w:ascii="Tahoma" w:hAnsi="Tahoma"/>
    </w:rPr>
  </w:style>
  <w:style w:type="paragraph" w:styleId="29">
    <w:name w:val="Balloon Text"/>
    <w:basedOn w:val="1"/>
    <w:link w:val="73"/>
    <w:uiPriority w:val="0"/>
    <w:rPr>
      <w:rFonts w:ascii="Tahoma" w:hAnsi="Tahoma"/>
      <w:sz w:val="18"/>
      <w:szCs w:val="18"/>
    </w:rPr>
  </w:style>
  <w:style w:type="paragraph" w:styleId="30">
    <w:name w:val="footer"/>
    <w:basedOn w:val="1"/>
    <w:link w:val="74"/>
    <w:uiPriority w:val="0"/>
    <w:pPr>
      <w:tabs>
        <w:tab w:val="center" w:pos="4153"/>
        <w:tab w:val="right" w:pos="8306"/>
      </w:tabs>
      <w:snapToGrid w:val="0"/>
      <w:jc w:val="left"/>
    </w:pPr>
    <w:rPr>
      <w:rFonts w:hint="eastAsia" w:ascii="黑体" w:hAnsi="宋体" w:eastAsia="黑体"/>
      <w:kern w:val="0"/>
      <w:sz w:val="18"/>
      <w:szCs w:val="18"/>
    </w:rPr>
  </w:style>
  <w:style w:type="paragraph" w:styleId="31">
    <w:name w:val="header"/>
    <w:basedOn w:val="1"/>
    <w:link w:val="75"/>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uiPriority w:val="39"/>
  </w:style>
  <w:style w:type="paragraph" w:styleId="33">
    <w:name w:val="toc 4"/>
    <w:basedOn w:val="1"/>
    <w:next w:val="1"/>
    <w:uiPriority w:val="0"/>
    <w:pPr>
      <w:ind w:left="1260" w:leftChars="600"/>
    </w:pPr>
  </w:style>
  <w:style w:type="paragraph" w:styleId="34">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5">
    <w:name w:val="List"/>
    <w:basedOn w:val="1"/>
    <w:uiPriority w:val="0"/>
    <w:pPr>
      <w:ind w:left="200" w:hanging="200" w:hangingChars="200"/>
    </w:pPr>
    <w:rPr>
      <w:sz w:val="28"/>
    </w:rPr>
  </w:style>
  <w:style w:type="paragraph" w:styleId="36">
    <w:name w:val="toc 6"/>
    <w:basedOn w:val="1"/>
    <w:next w:val="1"/>
    <w:uiPriority w:val="0"/>
    <w:pPr>
      <w:ind w:left="2100" w:leftChars="1000"/>
    </w:pPr>
  </w:style>
  <w:style w:type="paragraph" w:styleId="37">
    <w:name w:val="Body Text Indent 3"/>
    <w:basedOn w:val="1"/>
    <w:link w:val="76"/>
    <w:uiPriority w:val="0"/>
    <w:pPr>
      <w:snapToGrid w:val="0"/>
      <w:ind w:firstLine="480" w:firstLineChars="200"/>
      <w:jc w:val="left"/>
    </w:pPr>
    <w:rPr>
      <w:rFonts w:ascii="Tahoma" w:hAnsi="Tahoma"/>
      <w:sz w:val="16"/>
      <w:szCs w:val="16"/>
    </w:rPr>
  </w:style>
  <w:style w:type="paragraph" w:styleId="38">
    <w:name w:val="toc 2"/>
    <w:basedOn w:val="1"/>
    <w:next w:val="1"/>
    <w:uiPriority w:val="0"/>
    <w:pPr>
      <w:ind w:left="420" w:leftChars="200"/>
    </w:pPr>
  </w:style>
  <w:style w:type="paragraph" w:styleId="39">
    <w:name w:val="toc 9"/>
    <w:basedOn w:val="1"/>
    <w:next w:val="1"/>
    <w:uiPriority w:val="0"/>
    <w:pPr>
      <w:ind w:left="3360" w:leftChars="1600"/>
    </w:pPr>
  </w:style>
  <w:style w:type="paragraph" w:styleId="40">
    <w:name w:val="Body Text 2"/>
    <w:basedOn w:val="1"/>
    <w:link w:val="77"/>
    <w:uiPriority w:val="0"/>
    <w:pPr>
      <w:widowControl/>
      <w:snapToGrid w:val="0"/>
      <w:spacing w:before="50" w:beforeLines="0" w:after="156" w:afterLines="50" w:line="400" w:lineRule="exact"/>
      <w:jc w:val="left"/>
    </w:pPr>
    <w:rPr>
      <w:rFonts w:ascii="Tahoma" w:hAnsi="Tahoma"/>
      <w:spacing w:val="20"/>
    </w:rPr>
  </w:style>
  <w:style w:type="paragraph" w:styleId="41">
    <w:name w:val="HTML Preformatted"/>
    <w:basedOn w:val="1"/>
    <w:link w:val="78"/>
    <w:uiPriority w:val="0"/>
    <w:rPr>
      <w:rFonts w:hint="eastAsia" w:ascii="宋体" w:hAnsi="宋体"/>
      <w:kern w:val="0"/>
      <w:sz w:val="24"/>
    </w:rPr>
  </w:style>
  <w:style w:type="paragraph" w:styleId="42">
    <w:name w:val="Normal (Web)"/>
    <w:basedOn w:val="1"/>
    <w:uiPriority w:val="0"/>
    <w:pPr>
      <w:widowControl/>
      <w:spacing w:before="100" w:beforeLines="0" w:beforeAutospacing="1" w:after="100" w:afterLines="0" w:afterAutospacing="1"/>
      <w:jc w:val="left"/>
    </w:pPr>
    <w:rPr>
      <w:kern w:val="0"/>
      <w:sz w:val="24"/>
    </w:rPr>
  </w:style>
  <w:style w:type="paragraph" w:styleId="43">
    <w:name w:val="Title"/>
    <w:basedOn w:val="1"/>
    <w:link w:val="79"/>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44">
    <w:name w:val="annotation subject"/>
    <w:basedOn w:val="18"/>
    <w:next w:val="18"/>
    <w:link w:val="80"/>
    <w:uiPriority w:val="0"/>
    <w:rPr>
      <w:b/>
    </w:rPr>
  </w:style>
  <w:style w:type="paragraph" w:styleId="45">
    <w:name w:val="Body Text First Indent"/>
    <w:basedOn w:val="2"/>
    <w:next w:val="37"/>
    <w:link w:val="81"/>
    <w:uiPriority w:val="0"/>
    <w:pPr>
      <w:ind w:firstLine="420" w:firstLineChars="100"/>
    </w:pPr>
  </w:style>
  <w:style w:type="paragraph" w:styleId="46">
    <w:name w:val="Body Text First Indent 2"/>
    <w:basedOn w:val="20"/>
    <w:next w:val="1"/>
    <w:qFormat/>
    <w:uiPriority w:val="0"/>
    <w:pPr>
      <w:ind w:firstLine="420" w:firstLineChars="200"/>
    </w:pPr>
    <w:rPr>
      <w:rFonts w:ascii="Times New Roman" w:hAnsi="Times New Roman" w:cs="Times New Roman"/>
      <w:lang w:val="zh-CN"/>
    </w:rPr>
  </w:style>
  <w:style w:type="table" w:styleId="48">
    <w:name w:val="Table Grid"/>
    <w:basedOn w:val="47"/>
    <w:uiPriority w:val="0"/>
    <w:pPr>
      <w:widowControl w:val="0"/>
      <w:adjustRightInd w:val="0"/>
      <w:spacing w:line="312" w:lineRule="atLeast"/>
      <w:jc w:val="both"/>
      <w:textAlignment w:val="baseline"/>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uiPriority w:val="0"/>
    <w:rPr>
      <w:rFonts w:hint="default" w:ascii="Times New Roman" w:hAnsi="Times New Roman" w:cs="Times New Roman"/>
      <w:sz w:val="24"/>
      <w:szCs w:val="20"/>
    </w:rPr>
  </w:style>
  <w:style w:type="character" w:styleId="52">
    <w:name w:val="FollowedHyperlink"/>
    <w:uiPriority w:val="0"/>
    <w:rPr>
      <w:rFonts w:ascii="Tahoma" w:hAnsi="Tahoma"/>
      <w:color w:val="004102"/>
      <w:sz w:val="24"/>
      <w:szCs w:val="20"/>
      <w:u w:val="none"/>
    </w:rPr>
  </w:style>
  <w:style w:type="character" w:styleId="53">
    <w:name w:val="Hyperlink"/>
    <w:uiPriority w:val="99"/>
    <w:rPr>
      <w:rFonts w:ascii="Tahoma" w:hAnsi="Tahoma"/>
      <w:color w:val="004102"/>
      <w:sz w:val="24"/>
      <w:szCs w:val="20"/>
      <w:u w:val="none"/>
    </w:rPr>
  </w:style>
  <w:style w:type="character" w:styleId="54">
    <w:name w:val="annotation reference"/>
    <w:uiPriority w:val="0"/>
    <w:rPr>
      <w:sz w:val="21"/>
      <w:szCs w:val="21"/>
    </w:rPr>
  </w:style>
  <w:style w:type="character" w:customStyle="1" w:styleId="55">
    <w:name w:val="正文文本 Char"/>
    <w:link w:val="2"/>
    <w:uiPriority w:val="0"/>
    <w:rPr>
      <w:rFonts w:ascii="Tahoma" w:hAnsi="Tahoma"/>
      <w:kern w:val="2"/>
      <w:sz w:val="28"/>
      <w:szCs w:val="24"/>
    </w:rPr>
  </w:style>
  <w:style w:type="character" w:customStyle="1" w:styleId="56">
    <w:name w:val="标题 1 Char"/>
    <w:link w:val="4"/>
    <w:uiPriority w:val="0"/>
    <w:rPr>
      <w:rFonts w:ascii="Calibri" w:hAnsi="Calibri"/>
      <w:b/>
      <w:kern w:val="44"/>
      <w:sz w:val="44"/>
    </w:rPr>
  </w:style>
  <w:style w:type="character" w:customStyle="1" w:styleId="57">
    <w:name w:val="标题 2 Char1"/>
    <w:link w:val="5"/>
    <w:uiPriority w:val="9"/>
    <w:rPr>
      <w:rFonts w:ascii="Arial" w:hAnsi="Arial" w:eastAsia="仿宋_GB2312"/>
      <w:b/>
      <w:bCs/>
      <w:kern w:val="2"/>
      <w:sz w:val="28"/>
      <w:szCs w:val="32"/>
    </w:rPr>
  </w:style>
  <w:style w:type="character" w:customStyle="1" w:styleId="58">
    <w:name w:val="标题 3 Char"/>
    <w:link w:val="6"/>
    <w:uiPriority w:val="0"/>
    <w:rPr>
      <w:b/>
      <w:kern w:val="2"/>
      <w:sz w:val="32"/>
    </w:rPr>
  </w:style>
  <w:style w:type="character" w:customStyle="1" w:styleId="59">
    <w:name w:val="标题 4 Char"/>
    <w:link w:val="7"/>
    <w:uiPriority w:val="0"/>
    <w:rPr>
      <w:rFonts w:hint="default" w:ascii="Cambria" w:hAnsi="Cambria" w:eastAsia="Cambria" w:cs="Cambria"/>
      <w:b/>
      <w:kern w:val="2"/>
      <w:sz w:val="28"/>
      <w:szCs w:val="28"/>
    </w:rPr>
  </w:style>
  <w:style w:type="character" w:customStyle="1" w:styleId="60">
    <w:name w:val="标题 5 Char"/>
    <w:link w:val="8"/>
    <w:uiPriority w:val="0"/>
    <w:rPr>
      <w:rFonts w:ascii="Tahoma" w:hAnsi="Tahoma"/>
      <w:b/>
      <w:kern w:val="2"/>
      <w:sz w:val="28"/>
      <w:szCs w:val="20"/>
    </w:rPr>
  </w:style>
  <w:style w:type="character" w:customStyle="1" w:styleId="61">
    <w:name w:val="标题 6 Char"/>
    <w:link w:val="9"/>
    <w:uiPriority w:val="0"/>
    <w:rPr>
      <w:rFonts w:hint="default" w:ascii="Arial" w:hAnsi="Arial" w:eastAsia="黑体" w:cs="Arial"/>
      <w:b/>
      <w:kern w:val="2"/>
      <w:sz w:val="24"/>
      <w:szCs w:val="20"/>
    </w:rPr>
  </w:style>
  <w:style w:type="character" w:customStyle="1" w:styleId="62">
    <w:name w:val="正文缩进 Char"/>
    <w:link w:val="10"/>
    <w:uiPriority w:val="0"/>
    <w:rPr>
      <w:rFonts w:hint="default" w:ascii="Tahoma" w:hAnsi="Tahoma" w:eastAsia="Tahoma" w:cs="Tahoma"/>
      <w:b/>
      <w:kern w:val="2"/>
      <w:sz w:val="21"/>
      <w:szCs w:val="24"/>
    </w:rPr>
  </w:style>
  <w:style w:type="character" w:customStyle="1" w:styleId="63">
    <w:name w:val="标题 7 Char"/>
    <w:link w:val="11"/>
    <w:uiPriority w:val="0"/>
    <w:rPr>
      <w:rFonts w:ascii="Tahoma" w:hAnsi="Tahoma"/>
      <w:b/>
      <w:kern w:val="2"/>
      <w:sz w:val="24"/>
      <w:szCs w:val="20"/>
    </w:rPr>
  </w:style>
  <w:style w:type="character" w:customStyle="1" w:styleId="64">
    <w:name w:val="标题 8 Char"/>
    <w:link w:val="12"/>
    <w:uiPriority w:val="0"/>
    <w:rPr>
      <w:rFonts w:ascii="Arial" w:hAnsi="Arial" w:eastAsia="黑体" w:cs="Arial"/>
      <w:kern w:val="2"/>
      <w:sz w:val="21"/>
      <w:szCs w:val="24"/>
    </w:rPr>
  </w:style>
  <w:style w:type="character" w:customStyle="1" w:styleId="65">
    <w:name w:val="标题 9 Char"/>
    <w:link w:val="13"/>
    <w:uiPriority w:val="0"/>
    <w:rPr>
      <w:rFonts w:hint="default" w:ascii="Arial" w:hAnsi="Arial" w:eastAsia="黑体" w:cs="Arial"/>
      <w:kern w:val="2"/>
      <w:sz w:val="21"/>
      <w:szCs w:val="20"/>
    </w:rPr>
  </w:style>
  <w:style w:type="character" w:customStyle="1" w:styleId="66">
    <w:name w:val="文档结构图 Char"/>
    <w:link w:val="17"/>
    <w:uiPriority w:val="0"/>
    <w:rPr>
      <w:rFonts w:hint="eastAsia" w:ascii="宋体" w:hAnsi="宋体" w:eastAsia="宋体" w:cs="宋体"/>
      <w:kern w:val="2"/>
      <w:sz w:val="18"/>
      <w:szCs w:val="18"/>
    </w:rPr>
  </w:style>
  <w:style w:type="character" w:customStyle="1" w:styleId="67">
    <w:name w:val="批注文字 Char"/>
    <w:link w:val="18"/>
    <w:uiPriority w:val="0"/>
    <w:rPr>
      <w:rFonts w:ascii="Tahoma" w:hAnsi="Tahoma"/>
      <w:kern w:val="2"/>
      <w:sz w:val="21"/>
      <w:szCs w:val="24"/>
    </w:rPr>
  </w:style>
  <w:style w:type="character" w:customStyle="1" w:styleId="68">
    <w:name w:val="正文文本 3 Char"/>
    <w:link w:val="19"/>
    <w:uiPriority w:val="0"/>
    <w:rPr>
      <w:rFonts w:ascii="Tahoma" w:hAnsi="Tahoma"/>
      <w:kern w:val="2"/>
      <w:sz w:val="16"/>
      <w:szCs w:val="16"/>
    </w:rPr>
  </w:style>
  <w:style w:type="character" w:customStyle="1" w:styleId="69">
    <w:name w:val="正文文本缩进 Char"/>
    <w:link w:val="20"/>
    <w:uiPriority w:val="0"/>
    <w:rPr>
      <w:rFonts w:hint="eastAsia" w:ascii="宋体" w:hAnsi="Courier New" w:eastAsia="宋体" w:cs="宋体"/>
      <w:spacing w:val="-4"/>
      <w:kern w:val="2"/>
      <w:sz w:val="18"/>
      <w:szCs w:val="20"/>
    </w:rPr>
  </w:style>
  <w:style w:type="character" w:customStyle="1" w:styleId="70">
    <w:name w:val="纯文本 Char"/>
    <w:link w:val="25"/>
    <w:uiPriority w:val="0"/>
    <w:rPr>
      <w:rFonts w:hint="eastAsia" w:ascii="宋体" w:hAnsi="Courier New" w:eastAsia="宋体" w:cs="Courier New"/>
      <w:kern w:val="2"/>
      <w:sz w:val="21"/>
      <w:szCs w:val="21"/>
    </w:rPr>
  </w:style>
  <w:style w:type="character" w:customStyle="1" w:styleId="71">
    <w:name w:val="日期 Char"/>
    <w:link w:val="27"/>
    <w:uiPriority w:val="0"/>
    <w:rPr>
      <w:rFonts w:hint="eastAsia" w:ascii="黑体" w:hAnsi="宋体" w:eastAsia="黑体" w:cs="黑体"/>
      <w:kern w:val="44"/>
      <w:position w:val="6"/>
      <w:sz w:val="21"/>
      <w:szCs w:val="20"/>
    </w:rPr>
  </w:style>
  <w:style w:type="character" w:customStyle="1" w:styleId="72">
    <w:name w:val="正文文本缩进 2 Char"/>
    <w:link w:val="28"/>
    <w:uiPriority w:val="0"/>
    <w:rPr>
      <w:rFonts w:ascii="Tahoma" w:hAnsi="Tahoma"/>
      <w:kern w:val="2"/>
      <w:sz w:val="21"/>
      <w:szCs w:val="24"/>
    </w:rPr>
  </w:style>
  <w:style w:type="character" w:customStyle="1" w:styleId="73">
    <w:name w:val="批注框文本 Char"/>
    <w:link w:val="29"/>
    <w:uiPriority w:val="0"/>
    <w:rPr>
      <w:rFonts w:ascii="Tahoma" w:hAnsi="Tahoma"/>
      <w:kern w:val="2"/>
      <w:sz w:val="18"/>
      <w:szCs w:val="18"/>
    </w:rPr>
  </w:style>
  <w:style w:type="character" w:customStyle="1" w:styleId="74">
    <w:name w:val="页脚 Char"/>
    <w:link w:val="30"/>
    <w:uiPriority w:val="0"/>
    <w:rPr>
      <w:rFonts w:hint="eastAsia" w:ascii="黑体" w:hAnsi="宋体" w:eastAsia="黑体" w:cs="黑体"/>
      <w:snapToGrid/>
      <w:sz w:val="18"/>
      <w:szCs w:val="18"/>
    </w:rPr>
  </w:style>
  <w:style w:type="character" w:customStyle="1" w:styleId="75">
    <w:name w:val="页眉 Char"/>
    <w:link w:val="31"/>
    <w:uiPriority w:val="0"/>
    <w:rPr>
      <w:rFonts w:ascii="Tahoma" w:hAnsi="Tahoma"/>
      <w:kern w:val="2"/>
      <w:sz w:val="18"/>
      <w:szCs w:val="18"/>
    </w:rPr>
  </w:style>
  <w:style w:type="character" w:customStyle="1" w:styleId="76">
    <w:name w:val="正文文本缩进 3 Char"/>
    <w:link w:val="37"/>
    <w:uiPriority w:val="0"/>
    <w:rPr>
      <w:rFonts w:ascii="Tahoma" w:hAnsi="Tahoma"/>
      <w:kern w:val="2"/>
      <w:sz w:val="16"/>
      <w:szCs w:val="16"/>
    </w:rPr>
  </w:style>
  <w:style w:type="character" w:customStyle="1" w:styleId="77">
    <w:name w:val="正文文本 2 Char"/>
    <w:link w:val="40"/>
    <w:uiPriority w:val="0"/>
    <w:rPr>
      <w:rFonts w:ascii="Tahoma" w:hAnsi="Tahoma"/>
      <w:spacing w:val="20"/>
      <w:kern w:val="2"/>
      <w:sz w:val="21"/>
      <w:szCs w:val="24"/>
    </w:rPr>
  </w:style>
  <w:style w:type="character" w:customStyle="1" w:styleId="78">
    <w:name w:val="HTML 预设格式 Char"/>
    <w:link w:val="41"/>
    <w:uiPriority w:val="0"/>
    <w:rPr>
      <w:rFonts w:hint="eastAsia" w:ascii="宋体" w:hAnsi="宋体" w:eastAsia="宋体" w:cs="宋体"/>
      <w:sz w:val="24"/>
      <w:szCs w:val="24"/>
    </w:rPr>
  </w:style>
  <w:style w:type="character" w:customStyle="1" w:styleId="79">
    <w:name w:val="标题 Char"/>
    <w:link w:val="43"/>
    <w:uiPriority w:val="0"/>
    <w:rPr>
      <w:rFonts w:hint="default" w:ascii="Cambria" w:hAnsi="Cambria" w:eastAsia="Cambria" w:cs="Times New Roman"/>
      <w:b/>
      <w:kern w:val="2"/>
      <w:sz w:val="32"/>
      <w:szCs w:val="32"/>
    </w:rPr>
  </w:style>
  <w:style w:type="character" w:customStyle="1" w:styleId="80">
    <w:name w:val="批注主题 Char"/>
    <w:link w:val="44"/>
    <w:uiPriority w:val="0"/>
    <w:rPr>
      <w:rFonts w:ascii="Tahoma" w:hAnsi="Tahoma"/>
      <w:b/>
      <w:kern w:val="2"/>
      <w:sz w:val="21"/>
      <w:szCs w:val="24"/>
    </w:rPr>
  </w:style>
  <w:style w:type="character" w:customStyle="1" w:styleId="81">
    <w:name w:val="正文首行缩进 Char"/>
    <w:link w:val="45"/>
    <w:uiPriority w:val="0"/>
    <w:rPr>
      <w:rFonts w:ascii="Tahoma" w:hAnsi="Tahoma"/>
      <w:kern w:val="2"/>
      <w:sz w:val="28"/>
      <w:szCs w:val="24"/>
    </w:rPr>
  </w:style>
  <w:style w:type="character" w:customStyle="1" w:styleId="82">
    <w:name w:val="标题 2 Char Char"/>
    <w:uiPriority w:val="0"/>
    <w:rPr>
      <w:rFonts w:ascii="Arial" w:hAnsi="Arial" w:eastAsia="黑体"/>
      <w:b/>
      <w:bCs/>
      <w:kern w:val="2"/>
      <w:sz w:val="32"/>
      <w:szCs w:val="32"/>
      <w:lang w:val="en-US" w:eastAsia="zh-CN" w:bidi="ar-SA"/>
    </w:rPr>
  </w:style>
  <w:style w:type="character" w:customStyle="1" w:styleId="83">
    <w:name w:val="批注主题 Char Char"/>
    <w:uiPriority w:val="0"/>
    <w:rPr>
      <w:kern w:val="2"/>
      <w:sz w:val="21"/>
      <w:szCs w:val="24"/>
    </w:rPr>
  </w:style>
  <w:style w:type="character" w:customStyle="1" w:styleId="84">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85">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86">
    <w:name w:val="标题 41"/>
    <w:aliases w:val="H41,Ref Heading 14,rh14,Heading sql1,sect 1.2.3.44,h41,heading 41,sect 1.2.3.413,Ref Heading 113,rh113,sect 1.2.3.421,Ref Heading 121,rh121,sect 1.2.3.4111,Ref Heading 1111,rh1111,sect 1.2.3.431,Ref Heading 131,rh131,sect 1.2.3.4121,rh1121,PIM 41"/>
    <w:uiPriority w:val="0"/>
  </w:style>
  <w:style w:type="character" w:customStyle="1" w:styleId="87">
    <w:name w:val="font111"/>
    <w:uiPriority w:val="0"/>
    <w:rPr>
      <w:rFonts w:hint="eastAsia" w:ascii="宋体" w:hAnsi="宋体" w:eastAsia="宋体" w:cs="宋体"/>
      <w:color w:val="000000"/>
      <w:sz w:val="20"/>
      <w:szCs w:val="20"/>
      <w:u w:val="none"/>
    </w:rPr>
  </w:style>
  <w:style w:type="character" w:customStyle="1" w:styleId="88">
    <w:name w:val="font31"/>
    <w:basedOn w:val="49"/>
    <w:uiPriority w:val="0"/>
    <w:rPr>
      <w:rFonts w:hint="eastAsia" w:ascii="Microsoft JhengHei" w:hAnsi="Microsoft JhengHei" w:eastAsia="Microsoft JhengHei" w:cs="Microsoft JhengHei"/>
      <w:b/>
      <w:color w:val="000000"/>
      <w:sz w:val="11"/>
      <w:szCs w:val="11"/>
      <w:u w:val="none"/>
    </w:rPr>
  </w:style>
  <w:style w:type="character" w:customStyle="1" w:styleId="89">
    <w:name w:val=" Char Char1"/>
    <w:link w:val="90"/>
    <w:uiPriority w:val="0"/>
    <w:rPr>
      <w:rFonts w:ascii="Verdana" w:hAnsi="Verdana"/>
      <w:kern w:val="0"/>
      <w:sz w:val="24"/>
      <w:szCs w:val="20"/>
      <w:lang w:eastAsia="en-US"/>
    </w:rPr>
  </w:style>
  <w:style w:type="paragraph" w:customStyle="1" w:styleId="90">
    <w:name w:val=" Char"/>
    <w:basedOn w:val="1"/>
    <w:link w:val="89"/>
    <w:uiPriority w:val="0"/>
    <w:pPr>
      <w:widowControl/>
      <w:spacing w:line="400" w:lineRule="exact"/>
      <w:jc w:val="center"/>
    </w:pPr>
    <w:rPr>
      <w:rFonts w:ascii="Verdana" w:hAnsi="Verdana"/>
      <w:kern w:val="0"/>
      <w:sz w:val="24"/>
      <w:szCs w:val="20"/>
      <w:lang w:eastAsia="en-US"/>
    </w:rPr>
  </w:style>
  <w:style w:type="character" w:customStyle="1" w:styleId="91">
    <w:name w:val="font41"/>
    <w:basedOn w:val="49"/>
    <w:qFormat/>
    <w:uiPriority w:val="0"/>
    <w:rPr>
      <w:rFonts w:hint="eastAsia" w:ascii="宋体" w:hAnsi="宋体" w:eastAsia="宋体" w:cs="宋体"/>
      <w:color w:val="000000"/>
      <w:sz w:val="21"/>
      <w:szCs w:val="21"/>
      <w:u w:val="none"/>
    </w:rPr>
  </w:style>
  <w:style w:type="character" w:customStyle="1" w:styleId="92">
    <w:name w:val="font112"/>
    <w:uiPriority w:val="0"/>
    <w:rPr>
      <w:rFonts w:hint="eastAsia" w:ascii="宋体" w:hAnsi="宋体" w:eastAsia="宋体" w:cs="宋体"/>
      <w:b/>
      <w:color w:val="000000"/>
      <w:sz w:val="22"/>
      <w:szCs w:val="22"/>
      <w:u w:val="none"/>
    </w:rPr>
  </w:style>
  <w:style w:type="character" w:customStyle="1" w:styleId="93">
    <w:name w:val="e"/>
    <w:uiPriority w:val="0"/>
    <w:rPr>
      <w:rFonts w:hint="default" w:ascii="Tahoma" w:hAnsi="Tahoma" w:eastAsia="Tahoma" w:cs="Tahoma"/>
      <w:b/>
      <w:sz w:val="24"/>
      <w:szCs w:val="24"/>
    </w:rPr>
  </w:style>
  <w:style w:type="character" w:customStyle="1" w:styleId="94">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95">
    <w:name w:val="HTML 预设格式 Char2"/>
    <w:uiPriority w:val="0"/>
    <w:rPr>
      <w:rFonts w:ascii="Courier New" w:hAnsi="Courier New" w:cs="Courier New"/>
      <w:kern w:val="2"/>
      <w:sz w:val="24"/>
      <w:szCs w:val="20"/>
    </w:rPr>
  </w:style>
  <w:style w:type="character" w:customStyle="1" w:styleId="96">
    <w:name w:val="正文文本缩进 2 Char Char"/>
    <w:uiPriority w:val="0"/>
    <w:rPr>
      <w:rFonts w:ascii="Tahoma" w:hAnsi="Tahoma"/>
      <w:kern w:val="2"/>
      <w:sz w:val="21"/>
      <w:szCs w:val="20"/>
    </w:rPr>
  </w:style>
  <w:style w:type="character" w:customStyle="1" w:styleId="97">
    <w:name w:val="样式 宋体"/>
    <w:qFormat/>
    <w:uiPriority w:val="0"/>
    <w:rPr>
      <w:rFonts w:ascii="宋体" w:hAnsi="宋体" w:eastAsia="宋体"/>
      <w:sz w:val="24"/>
      <w:szCs w:val="24"/>
    </w:rPr>
  </w:style>
  <w:style w:type="character" w:customStyle="1" w:styleId="98">
    <w:name w:val="aa1"/>
    <w:uiPriority w:val="0"/>
    <w:rPr>
      <w:rFonts w:hint="default" w:ascii="Tahoma" w:hAnsi="Tahoma" w:eastAsia="Tahoma" w:cs="Tahoma"/>
      <w:b/>
      <w:sz w:val="24"/>
      <w:szCs w:val="24"/>
    </w:rPr>
  </w:style>
  <w:style w:type="character" w:customStyle="1" w:styleId="99">
    <w:name w:val="a41"/>
    <w:uiPriority w:val="0"/>
    <w:rPr>
      <w:rFonts w:ascii="Tahoma" w:hAnsi="Tahoma"/>
      <w:color w:val="666666"/>
      <w:sz w:val="26"/>
      <w:szCs w:val="26"/>
    </w:rPr>
  </w:style>
  <w:style w:type="character" w:customStyle="1" w:styleId="100">
    <w:name w:val="正文文本缩进 字符1"/>
    <w:uiPriority w:val="0"/>
    <w:rPr>
      <w:rFonts w:ascii="Tahoma" w:hAnsi="Tahoma"/>
      <w:kern w:val="2"/>
      <w:sz w:val="21"/>
      <w:szCs w:val="24"/>
    </w:rPr>
  </w:style>
  <w:style w:type="character" w:customStyle="1" w:styleId="101">
    <w:name w:val="en"/>
    <w:uiPriority w:val="0"/>
    <w:rPr>
      <w:rFonts w:hint="default" w:ascii="Tahoma" w:hAnsi="Tahoma" w:eastAsia="Tahoma" w:cs="Tahoma"/>
      <w:b/>
      <w:sz w:val="24"/>
      <w:szCs w:val="24"/>
    </w:rPr>
  </w:style>
  <w:style w:type="character" w:customStyle="1" w:styleId="102">
    <w:name w:val="正文文本 3 Char Char"/>
    <w:uiPriority w:val="0"/>
    <w:rPr>
      <w:rFonts w:ascii="Tahoma" w:hAnsi="Tahoma"/>
      <w:kern w:val="2"/>
      <w:sz w:val="16"/>
      <w:szCs w:val="16"/>
    </w:rPr>
  </w:style>
  <w:style w:type="character" w:customStyle="1" w:styleId="103">
    <w:name w:val="页脚 字符1"/>
    <w:uiPriority w:val="0"/>
    <w:rPr>
      <w:rFonts w:ascii="Tahoma" w:hAnsi="Tahoma"/>
      <w:kern w:val="2"/>
      <w:sz w:val="18"/>
      <w:szCs w:val="18"/>
    </w:rPr>
  </w:style>
  <w:style w:type="character" w:customStyle="1" w:styleId="104">
    <w:name w:val="md1"/>
    <w:uiPriority w:val="0"/>
    <w:rPr>
      <w:rFonts w:ascii="Tahoma" w:hAnsi="Tahoma"/>
      <w:sz w:val="21"/>
      <w:szCs w:val="21"/>
    </w:rPr>
  </w:style>
  <w:style w:type="character" w:customStyle="1" w:styleId="105">
    <w:name w:val="fontstyle01"/>
    <w:uiPriority w:val="0"/>
    <w:rPr>
      <w:rFonts w:hint="eastAsia" w:ascii="宋体" w:hAnsi="宋体" w:eastAsia="宋体"/>
      <w:color w:val="000000"/>
      <w:sz w:val="24"/>
      <w:szCs w:val="24"/>
    </w:rPr>
  </w:style>
  <w:style w:type="character" w:customStyle="1" w:styleId="106">
    <w:name w:val="文档结构图 Char Char"/>
    <w:uiPriority w:val="0"/>
    <w:rPr>
      <w:rFonts w:hint="eastAsia" w:ascii="Microsoft YaHei UI" w:hAnsi="Tahoma" w:eastAsia="Microsoft YaHei UI" w:cs="Microsoft YaHei UI"/>
      <w:kern w:val="2"/>
      <w:sz w:val="18"/>
      <w:szCs w:val="18"/>
    </w:rPr>
  </w:style>
  <w:style w:type="character" w:customStyle="1" w:styleId="107">
    <w:name w:val="批注文字 Char Char"/>
    <w:uiPriority w:val="0"/>
    <w:rPr>
      <w:rFonts w:ascii="Tahoma" w:hAnsi="Tahoma"/>
      <w:kern w:val="2"/>
      <w:sz w:val="21"/>
      <w:szCs w:val="20"/>
    </w:rPr>
  </w:style>
  <w:style w:type="character" w:customStyle="1" w:styleId="108">
    <w:name w:val="标题 1 Char Char"/>
    <w:uiPriority w:val="0"/>
    <w:rPr>
      <w:rFonts w:eastAsia="宋体"/>
      <w:b/>
      <w:spacing w:val="-2"/>
      <w:sz w:val="24"/>
      <w:lang w:val="en-US" w:eastAsia="zh-CN" w:bidi="ar-SA"/>
    </w:rPr>
  </w:style>
  <w:style w:type="character" w:customStyle="1" w:styleId="109">
    <w:name w:val="标题 1 字符"/>
    <w:uiPriority w:val="0"/>
    <w:rPr>
      <w:rFonts w:ascii="Tahoma" w:hAnsi="Tahoma"/>
      <w:b/>
      <w:kern w:val="44"/>
      <w:sz w:val="44"/>
      <w:szCs w:val="44"/>
    </w:rPr>
  </w:style>
  <w:style w:type="character" w:customStyle="1" w:styleId="110">
    <w:name w:val="font181"/>
    <w:uiPriority w:val="0"/>
    <w:rPr>
      <w:rFonts w:hint="default" w:ascii="Times New Roman" w:hAnsi="Times New Roman" w:cs="Times New Roman"/>
      <w:b/>
      <w:color w:val="000000"/>
      <w:sz w:val="22"/>
      <w:szCs w:val="22"/>
      <w:u w:val="none"/>
    </w:rPr>
  </w:style>
  <w:style w:type="character" w:customStyle="1" w:styleId="111">
    <w:name w:val="text1"/>
    <w:uiPriority w:val="0"/>
    <w:rPr>
      <w:rFonts w:ascii="Tahoma" w:hAnsi="Tahoma"/>
      <w:color w:val="000000"/>
      <w:sz w:val="24"/>
      <w:szCs w:val="24"/>
    </w:rPr>
  </w:style>
  <w:style w:type="character" w:customStyle="1" w:styleId="112">
    <w:name w:val="page number"/>
    <w:uiPriority w:val="0"/>
    <w:rPr>
      <w:rFonts w:hint="default" w:ascii="Times New Roman" w:hAnsi="Tahoma" w:cs="Times New Roman"/>
      <w:b/>
      <w:sz w:val="24"/>
      <w:szCs w:val="24"/>
    </w:rPr>
  </w:style>
  <w:style w:type="character" w:customStyle="1" w:styleId="113">
    <w:name w:val="文档结构图 Char1"/>
    <w:uiPriority w:val="0"/>
    <w:rPr>
      <w:rFonts w:hint="eastAsia" w:ascii="宋体" w:hAnsi="宋体" w:eastAsia="宋体" w:cs="宋体"/>
      <w:kern w:val="2"/>
      <w:sz w:val="18"/>
      <w:szCs w:val="18"/>
    </w:rPr>
  </w:style>
  <w:style w:type="character" w:customStyle="1" w:styleId="114">
    <w:name w:val="font21"/>
    <w:basedOn w:val="49"/>
    <w:uiPriority w:val="0"/>
    <w:rPr>
      <w:rFonts w:hint="default" w:ascii="Times New Roman" w:hAnsi="Times New Roman" w:cs="Times New Roman"/>
      <w:b/>
      <w:color w:val="000000"/>
      <w:sz w:val="22"/>
      <w:szCs w:val="22"/>
      <w:u w:val="single"/>
    </w:rPr>
  </w:style>
  <w:style w:type="character" w:customStyle="1" w:styleId="115">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116">
    <w:name w:val="z21"/>
    <w:uiPriority w:val="0"/>
    <w:rPr>
      <w:rFonts w:ascii="Tahoma" w:hAnsi="Tahoma"/>
      <w:color w:val="000000"/>
      <w:sz w:val="18"/>
      <w:szCs w:val="18"/>
    </w:rPr>
  </w:style>
  <w:style w:type="character" w:customStyle="1" w:styleId="117">
    <w:name w:val="Plain Text Char"/>
    <w:aliases w:val="普通文字 Char"/>
    <w:uiPriority w:val="0"/>
    <w:rPr>
      <w:rFonts w:ascii="宋体" w:hAnsi="Courier New" w:eastAsia="宋体" w:cs="Times New Roman"/>
      <w:sz w:val="20"/>
      <w:szCs w:val="20"/>
    </w:rPr>
  </w:style>
  <w:style w:type="character" w:customStyle="1" w:styleId="118">
    <w:name w:val="HTML 预设格式 Char1"/>
    <w:uiPriority w:val="0"/>
    <w:rPr>
      <w:rFonts w:hint="default" w:ascii="Courier New" w:hAnsi="Courier New" w:cs="Courier New"/>
      <w:kern w:val="2"/>
      <w:sz w:val="24"/>
      <w:szCs w:val="20"/>
    </w:rPr>
  </w:style>
  <w:style w:type="character" w:customStyle="1" w:styleId="119">
    <w:name w:val="fontheight2"/>
    <w:uiPriority w:val="0"/>
    <w:rPr>
      <w:rFonts w:ascii="Tahoma" w:hAnsi="Tahoma"/>
      <w:sz w:val="20"/>
      <w:szCs w:val="20"/>
      <w:u w:val="none"/>
    </w:rPr>
  </w:style>
  <w:style w:type="character" w:customStyle="1" w:styleId="120">
    <w:name w:val="标题 Char Char"/>
    <w:uiPriority w:val="0"/>
    <w:rPr>
      <w:rFonts w:ascii="Tahoma" w:hAnsi="Tahoma"/>
      <w:b/>
      <w:sz w:val="24"/>
      <w:szCs w:val="20"/>
      <w:lang w:val="en-US"/>
    </w:rPr>
  </w:style>
  <w:style w:type="character" w:customStyle="1" w:styleId="121">
    <w:name w:val="kleintab"/>
    <w:uiPriority w:val="0"/>
    <w:rPr>
      <w:rFonts w:hint="default" w:ascii="Tahoma" w:hAnsi="Tahoma" w:eastAsia="Tahoma" w:cs="Tahoma"/>
      <w:b/>
      <w:sz w:val="24"/>
      <w:szCs w:val="24"/>
    </w:rPr>
  </w:style>
  <w:style w:type="character" w:customStyle="1" w:styleId="122">
    <w:name w:val="标题 2 Char"/>
    <w:uiPriority w:val="0"/>
    <w:rPr>
      <w:rFonts w:hint="default" w:ascii="Arial" w:hAnsi="Arial" w:eastAsia="黑体" w:cs="Arial"/>
      <w:b/>
      <w:kern w:val="2"/>
      <w:sz w:val="32"/>
      <w:szCs w:val="32"/>
    </w:rPr>
  </w:style>
  <w:style w:type="character" w:customStyle="1" w:styleId="123">
    <w:name w:val="c_title1"/>
    <w:uiPriority w:val="0"/>
    <w:rPr>
      <w:rFonts w:hint="eastAsia" w:ascii="黑体" w:hAnsi="Tahoma" w:eastAsia="黑体" w:cs="黑体"/>
      <w:b/>
      <w:color w:val="03005C"/>
      <w:sz w:val="30"/>
      <w:szCs w:val="30"/>
      <w:u w:val="none"/>
    </w:rPr>
  </w:style>
  <w:style w:type="character" w:customStyle="1" w:styleId="124">
    <w:name w:val="NormalCharacter"/>
    <w:semiHidden/>
    <w:uiPriority w:val="0"/>
    <w:rPr>
      <w:kern w:val="2"/>
      <w:sz w:val="21"/>
      <w:szCs w:val="24"/>
      <w:lang w:val="en-US" w:eastAsia="zh-CN" w:bidi="ar-SA"/>
    </w:rPr>
  </w:style>
  <w:style w:type="character" w:customStyle="1" w:styleId="125">
    <w:name w:val="页脚 Char Char"/>
    <w:uiPriority w:val="0"/>
    <w:rPr>
      <w:rFonts w:eastAsia="黑体"/>
      <w:snapToGrid w:val="0"/>
      <w:kern w:val="2"/>
      <w:sz w:val="18"/>
      <w:szCs w:val="18"/>
    </w:rPr>
  </w:style>
  <w:style w:type="character" w:customStyle="1" w:styleId="126">
    <w:name w:val="纯文本 Char1"/>
    <w:aliases w:val="普通文字 Char1,普通文字 Char Char2,纯文本 Char Char Char1,纯文本 Char Char2,普通文字 Char Char Char"/>
    <w:uiPriority w:val="0"/>
    <w:rPr>
      <w:rFonts w:ascii="宋体" w:hAnsi="Courier New" w:eastAsia="宋体" w:cs="Courier New"/>
      <w:kern w:val="2"/>
      <w:sz w:val="21"/>
      <w:szCs w:val="21"/>
      <w:lang w:val="en-US" w:eastAsia="zh-CN" w:bidi="ar-SA"/>
    </w:rPr>
  </w:style>
  <w:style w:type="character" w:customStyle="1" w:styleId="127">
    <w:name w:val="font51"/>
    <w:qFormat/>
    <w:uiPriority w:val="0"/>
    <w:rPr>
      <w:rFonts w:hint="default" w:ascii="Times New Roman" w:hAnsi="Times New Roman" w:cs="Times New Roman"/>
      <w:color w:val="000000"/>
      <w:sz w:val="21"/>
      <w:szCs w:val="21"/>
      <w:u w:val="none"/>
    </w:rPr>
  </w:style>
  <w:style w:type="character" w:customStyle="1" w:styleId="128">
    <w:name w:val="font71"/>
    <w:uiPriority w:val="0"/>
    <w:rPr>
      <w:rFonts w:hint="eastAsia" w:ascii="宋体" w:hAnsi="宋体" w:eastAsia="宋体" w:cs="宋体"/>
      <w:b/>
      <w:color w:val="000000"/>
      <w:sz w:val="22"/>
      <w:szCs w:val="22"/>
      <w:u w:val="none"/>
    </w:rPr>
  </w:style>
  <w:style w:type="character" w:customStyle="1" w:styleId="129">
    <w:name w:val="正文文本缩进 Char Char"/>
    <w:uiPriority w:val="0"/>
    <w:rPr>
      <w:rFonts w:ascii="Tahoma" w:hAnsi="Tahoma"/>
      <w:kern w:val="2"/>
      <w:sz w:val="21"/>
      <w:szCs w:val="24"/>
    </w:rPr>
  </w:style>
  <w:style w:type="character" w:customStyle="1" w:styleId="130">
    <w:name w:val="r21"/>
    <w:uiPriority w:val="0"/>
    <w:rPr>
      <w:rFonts w:hint="default" w:ascii="Tahoma" w:hAnsi="Tahoma" w:eastAsia="Tahoma" w:cs="Tahoma"/>
      <w:b/>
      <w:color w:val="666666"/>
      <w:sz w:val="18"/>
      <w:szCs w:val="18"/>
      <w:u w:val="none"/>
    </w:rPr>
  </w:style>
  <w:style w:type="character" w:customStyle="1" w:styleId="131">
    <w:name w:val="tx_news9"/>
    <w:uiPriority w:val="0"/>
    <w:rPr>
      <w:rFonts w:hint="default" w:ascii="Tahoma" w:hAnsi="Tahoma" w:eastAsia="Tahoma" w:cs="Tahoma"/>
      <w:b/>
      <w:sz w:val="24"/>
      <w:szCs w:val="24"/>
    </w:rPr>
  </w:style>
  <w:style w:type="character" w:customStyle="1" w:styleId="132">
    <w:name w:val="font11"/>
    <w:uiPriority w:val="0"/>
    <w:rPr>
      <w:rFonts w:hint="eastAsia" w:ascii="宋体" w:hAnsi="宋体" w:eastAsia="宋体"/>
      <w:color w:val="000000"/>
      <w:sz w:val="18"/>
      <w:szCs w:val="18"/>
      <w:u w:val="none"/>
    </w:rPr>
  </w:style>
  <w:style w:type="character" w:customStyle="1" w:styleId="133">
    <w:name w:val="news1"/>
    <w:uiPriority w:val="0"/>
    <w:rPr>
      <w:rFonts w:hint="default" w:ascii="Tahoma" w:hAnsi="Tahoma" w:eastAsia="Tahoma" w:cs="Tahoma"/>
      <w:b/>
      <w:sz w:val="24"/>
      <w:szCs w:val="24"/>
    </w:rPr>
  </w:style>
  <w:style w:type="character" w:customStyle="1" w:styleId="134">
    <w:name w:val="msobooktitle"/>
    <w:uiPriority w:val="0"/>
    <w:rPr>
      <w:rFonts w:ascii="Tahoma" w:hAnsi="Tahoma"/>
      <w:b/>
      <w:smallCaps/>
      <w:spacing w:val="5"/>
      <w:sz w:val="24"/>
      <w:szCs w:val="20"/>
    </w:rPr>
  </w:style>
  <w:style w:type="character" w:customStyle="1" w:styleId="135">
    <w:name w:val="Char Char Char"/>
    <w:uiPriority w:val="0"/>
    <w:rPr>
      <w:rFonts w:ascii="宋体" w:hAnsi="Courier New" w:eastAsia="宋体"/>
      <w:kern w:val="2"/>
      <w:sz w:val="24"/>
      <w:szCs w:val="24"/>
      <w:lang w:val="en-US" w:eastAsia="zh-CN" w:bidi="ar-SA"/>
    </w:rPr>
  </w:style>
  <w:style w:type="character" w:customStyle="1" w:styleId="136">
    <w:name w:val="纯文本 Char2"/>
    <w:uiPriority w:val="0"/>
    <w:rPr>
      <w:rFonts w:hint="eastAsia" w:ascii="宋体" w:hAnsi="Courier New" w:eastAsia="宋体" w:cs="宋体"/>
      <w:kern w:val="2"/>
      <w:sz w:val="24"/>
      <w:szCs w:val="24"/>
    </w:rPr>
  </w:style>
  <w:style w:type="character" w:customStyle="1" w:styleId="137">
    <w:name w:val="批注文字 字符1"/>
    <w:uiPriority w:val="0"/>
    <w:rPr>
      <w:rFonts w:ascii="Tahoma" w:hAnsi="Tahoma"/>
      <w:kern w:val="2"/>
      <w:sz w:val="21"/>
      <w:szCs w:val="24"/>
    </w:rPr>
  </w:style>
  <w:style w:type="character" w:customStyle="1" w:styleId="138">
    <w:name w:val="font61"/>
    <w:uiPriority w:val="0"/>
    <w:rPr>
      <w:rFonts w:hint="eastAsia" w:ascii="宋体" w:hAnsi="宋体" w:eastAsia="宋体" w:cs="宋体"/>
      <w:color w:val="000000"/>
      <w:sz w:val="20"/>
      <w:szCs w:val="20"/>
      <w:u w:val="none"/>
    </w:rPr>
  </w:style>
  <w:style w:type="character" w:customStyle="1" w:styleId="139">
    <w:name w:val="medium_text1"/>
    <w:uiPriority w:val="0"/>
    <w:rPr>
      <w:rFonts w:hint="default" w:ascii="Times New Roman" w:hAnsi="Times New Roman" w:cs="Times New Roman"/>
      <w:sz w:val="24"/>
      <w:szCs w:val="24"/>
    </w:rPr>
  </w:style>
  <w:style w:type="character" w:customStyle="1" w:styleId="140">
    <w:name w:val="Table Text Char Char Char Char"/>
    <w:uiPriority w:val="0"/>
    <w:rPr>
      <w:rFonts w:hint="default" w:ascii="Arial" w:hAnsi="Arial" w:eastAsia="宋体" w:cs="Arial"/>
      <w:kern w:val="2"/>
      <w:sz w:val="18"/>
      <w:szCs w:val="18"/>
      <w:lang w:val="en-US" w:eastAsia="zh-CN" w:bidi="ar"/>
    </w:rPr>
  </w:style>
  <w:style w:type="character" w:customStyle="1" w:styleId="141">
    <w:name w:val="font12"/>
    <w:uiPriority w:val="0"/>
    <w:rPr>
      <w:rFonts w:hint="eastAsia" w:ascii="宋体" w:hAnsi="宋体" w:eastAsia="宋体" w:cs="宋体"/>
      <w:color w:val="FF0000"/>
      <w:sz w:val="20"/>
      <w:szCs w:val="20"/>
      <w:u w:val="none"/>
    </w:rPr>
  </w:style>
  <w:style w:type="character" w:customStyle="1" w:styleId="142">
    <w:name w:val="Char Char1"/>
    <w:uiPriority w:val="0"/>
    <w:rPr>
      <w:rFonts w:ascii="宋体" w:hAnsi="Courier New" w:eastAsia="宋体" w:cs="Courier New"/>
      <w:kern w:val="2"/>
      <w:sz w:val="21"/>
      <w:szCs w:val="21"/>
      <w:lang w:val="en-US" w:eastAsia="zh-CN" w:bidi="ar-SA"/>
    </w:rPr>
  </w:style>
  <w:style w:type="character" w:customStyle="1" w:styleId="143">
    <w:name w:val="纯文本 字符1"/>
    <w:uiPriority w:val="0"/>
    <w:rPr>
      <w:rFonts w:ascii="等线" w:hAnsi="Courier New" w:eastAsia="等线" w:cs="Courier New"/>
      <w:kern w:val="2"/>
      <w:sz w:val="21"/>
      <w:szCs w:val="24"/>
    </w:rPr>
  </w:style>
  <w:style w:type="character" w:customStyle="1" w:styleId="144">
    <w:name w:val="正文文本缩进 Char2"/>
    <w:uiPriority w:val="0"/>
    <w:rPr>
      <w:rFonts w:hint="eastAsia" w:ascii="宋体" w:hAnsi="Courier New" w:eastAsia="宋体" w:cs="宋体"/>
      <w:spacing w:val="-4"/>
      <w:kern w:val="2"/>
      <w:sz w:val="18"/>
      <w:szCs w:val="20"/>
    </w:rPr>
  </w:style>
  <w:style w:type="character" w:customStyle="1" w:styleId="145">
    <w:name w:val="样式 正文（缩进） Char"/>
    <w:link w:val="146"/>
    <w:qFormat/>
    <w:uiPriority w:val="0"/>
    <w:rPr>
      <w:rFonts w:hAnsi="Calibri"/>
      <w:kern w:val="0"/>
      <w:szCs w:val="20"/>
    </w:rPr>
  </w:style>
  <w:style w:type="paragraph" w:customStyle="1" w:styleId="146">
    <w:name w:val="样式 正文（缩进）"/>
    <w:basedOn w:val="1"/>
    <w:link w:val="145"/>
    <w:qFormat/>
    <w:uiPriority w:val="0"/>
    <w:pPr>
      <w:spacing w:line="360" w:lineRule="auto"/>
      <w:ind w:firstLine="480" w:firstLineChars="200"/>
      <w:jc w:val="left"/>
    </w:pPr>
    <w:rPr>
      <w:rFonts w:hAnsi="Calibri"/>
      <w:kern w:val="0"/>
      <w:sz w:val="20"/>
      <w:szCs w:val="20"/>
    </w:rPr>
  </w:style>
  <w:style w:type="character" w:customStyle="1" w:styleId="147">
    <w:name w:val="font141"/>
    <w:uiPriority w:val="0"/>
    <w:rPr>
      <w:rFonts w:hint="default" w:ascii="Tahoma" w:hAnsi="Tahoma" w:eastAsia="Tahoma" w:cs="Tahoma"/>
      <w:sz w:val="24"/>
      <w:szCs w:val="24"/>
    </w:rPr>
  </w:style>
  <w:style w:type="character" w:customStyle="1" w:styleId="148">
    <w:name w:val="纯文本 Char Char"/>
    <w:uiPriority w:val="0"/>
    <w:rPr>
      <w:rFonts w:ascii="宋体" w:hAnsi="Courier New" w:eastAsia="宋体"/>
      <w:kern w:val="2"/>
      <w:sz w:val="24"/>
      <w:szCs w:val="24"/>
      <w:lang w:val="en-US" w:eastAsia="zh-CN" w:bidi="ar-SA"/>
    </w:rPr>
  </w:style>
  <w:style w:type="character" w:customStyle="1" w:styleId="149">
    <w:name w:val="font01"/>
    <w:qFormat/>
    <w:uiPriority w:val="0"/>
    <w:rPr>
      <w:rFonts w:hint="eastAsia" w:ascii="宋体" w:hAnsi="宋体" w:eastAsia="宋体" w:cs="宋体"/>
      <w:color w:val="000000"/>
      <w:sz w:val="20"/>
      <w:szCs w:val="20"/>
      <w:u w:val="none"/>
    </w:rPr>
  </w:style>
  <w:style w:type="paragraph" w:customStyle="1" w:styleId="150">
    <w:name w:val="无间隔1"/>
    <w:qFormat/>
    <w:uiPriority w:val="0"/>
    <w:pPr>
      <w:spacing w:after="160" w:line="259" w:lineRule="auto"/>
    </w:pPr>
    <w:rPr>
      <w:sz w:val="22"/>
      <w:szCs w:val="22"/>
      <w:lang w:val="en-US" w:eastAsia="zh-CN" w:bidi="ar-SA"/>
    </w:rPr>
  </w:style>
  <w:style w:type="paragraph" w:customStyle="1" w:styleId="151">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52">
    <w:name w:val="默认段落字体 Para Char Char Char Char Char Char Char Char Char1 Char Char Char Char"/>
    <w:basedOn w:val="1"/>
    <w:uiPriority w:val="0"/>
    <w:rPr>
      <w:rFonts w:ascii="Tahoma" w:hAnsi="Tahoma"/>
      <w:sz w:val="24"/>
      <w:szCs w:val="20"/>
    </w:rPr>
  </w:style>
  <w:style w:type="paragraph" w:customStyle="1" w:styleId="153">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54">
    <w:name w:val="一级条标题"/>
    <w:basedOn w:val="1"/>
    <w:next w:val="155"/>
    <w:uiPriority w:val="0"/>
    <w:pPr>
      <w:keepNext w:val="0"/>
      <w:keepLines w:val="0"/>
      <w:widowControl/>
      <w:numPr>
        <w:ilvl w:val="1"/>
        <w:numId w:val="2"/>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customStyle="1" w:styleId="155">
    <w:name w:val="段"/>
    <w:uiPriority w:val="0"/>
    <w:pPr>
      <w:autoSpaceDE w:val="0"/>
      <w:autoSpaceDN w:val="0"/>
      <w:ind w:firstLine="200" w:firstLineChars="200"/>
      <w:jc w:val="both"/>
    </w:pPr>
    <w:rPr>
      <w:rFonts w:ascii="宋体"/>
      <w:sz w:val="21"/>
      <w:lang w:val="en-US" w:eastAsia="zh-CN" w:bidi="ar-SA"/>
    </w:rPr>
  </w:style>
  <w:style w:type="paragraph" w:customStyle="1" w:styleId="156">
    <w:name w:val="正文_3"/>
    <w:uiPriority w:val="0"/>
    <w:pPr>
      <w:widowControl w:val="0"/>
      <w:jc w:val="both"/>
    </w:pPr>
    <w:rPr>
      <w:kern w:val="2"/>
      <w:sz w:val="21"/>
      <w:szCs w:val="22"/>
      <w:lang w:val="en-US" w:eastAsia="zh-CN" w:bidi="ar-SA"/>
    </w:rPr>
  </w:style>
  <w:style w:type="paragraph" w:customStyle="1" w:styleId="157">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58">
    <w:name w:val="_Style 3"/>
    <w:uiPriority w:val="0"/>
    <w:pPr>
      <w:widowControl w:val="0"/>
      <w:jc w:val="both"/>
    </w:pPr>
    <w:rPr>
      <w:kern w:val="2"/>
      <w:sz w:val="21"/>
      <w:szCs w:val="21"/>
      <w:lang w:val="en-US" w:eastAsia="zh-CN" w:bidi="ar-SA"/>
    </w:rPr>
  </w:style>
  <w:style w:type="paragraph" w:customStyle="1" w:styleId="159">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60">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61">
    <w:name w:val=" Char1"/>
    <w:basedOn w:val="1"/>
    <w:uiPriority w:val="0"/>
  </w:style>
  <w:style w:type="paragraph" w:customStyle="1" w:styleId="162">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3">
    <w:name w:val="Plain Text"/>
    <w:basedOn w:val="1"/>
    <w:qFormat/>
    <w:uiPriority w:val="0"/>
    <w:rPr>
      <w:rFonts w:ascii="宋体" w:hAnsi="Courier New"/>
      <w:szCs w:val="20"/>
    </w:rPr>
  </w:style>
  <w:style w:type="paragraph" w:customStyle="1" w:styleId="164">
    <w:name w:val="二级条标题"/>
    <w:basedOn w:val="154"/>
    <w:next w:val="155"/>
    <w:uiPriority w:val="0"/>
    <w:pPr>
      <w:numPr>
        <w:ilvl w:val="3"/>
        <w:numId w:val="3"/>
      </w:numPr>
      <w:tabs>
        <w:tab w:val="clear" w:pos="1080"/>
      </w:tabs>
      <w:ind w:left="2310" w:firstLine="0"/>
      <w:outlineLvl w:val="3"/>
    </w:pPr>
  </w:style>
  <w:style w:type="paragraph" w:customStyle="1" w:styleId="165">
    <w:name w:val="默认段落字体 Para Char Char Char Char Char Char Char"/>
    <w:basedOn w:val="17"/>
    <w:uiPriority w:val="0"/>
    <w:pPr>
      <w:adjustRightInd w:val="0"/>
      <w:spacing w:line="436" w:lineRule="exact"/>
      <w:ind w:left="357"/>
      <w:jc w:val="left"/>
      <w:outlineLvl w:val="3"/>
    </w:pPr>
    <w:rPr>
      <w:rFonts w:ascii="Tahoma" w:hAnsi="Tahoma"/>
      <w:b/>
      <w:sz w:val="24"/>
    </w:rPr>
  </w:style>
  <w:style w:type="paragraph" w:customStyle="1" w:styleId="166">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167">
    <w:name w:val="Table Paragraph"/>
    <w:basedOn w:val="1"/>
    <w:qFormat/>
    <w:uiPriority w:val="1"/>
    <w:pPr>
      <w:spacing w:before="94"/>
      <w:jc w:val="center"/>
    </w:pPr>
    <w:rPr>
      <w:rFonts w:ascii="宋体" w:hAnsi="宋体" w:eastAsia="宋体" w:cs="宋体"/>
      <w:lang w:val="zh-CN" w:eastAsia="zh-CN" w:bidi="zh-CN"/>
    </w:rPr>
  </w:style>
  <w:style w:type="paragraph" w:customStyle="1" w:styleId="168">
    <w:name w:val="正文－恩普"/>
    <w:basedOn w:val="10"/>
    <w:uiPriority w:val="0"/>
    <w:pPr>
      <w:widowControl/>
      <w:spacing w:line="360" w:lineRule="auto"/>
      <w:ind w:firstLine="480" w:firstLineChars="200"/>
      <w:jc w:val="left"/>
    </w:pPr>
    <w:rPr>
      <w:kern w:val="0"/>
      <w:sz w:val="24"/>
    </w:rPr>
  </w:style>
  <w:style w:type="paragraph" w:customStyle="1" w:styleId="169">
    <w:name w:val=" Char Char Char Char Char Char Char Char Char Char Char Char1 Char"/>
    <w:basedOn w:val="17"/>
    <w:uiPriority w:val="0"/>
    <w:rPr>
      <w:rFonts w:ascii="Tahoma" w:hAnsi="Tahoma"/>
      <w:sz w:val="24"/>
    </w:rPr>
  </w:style>
  <w:style w:type="paragraph" w:customStyle="1" w:styleId="170">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171">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styleId="172">
    <w:name w:val="No Spacing"/>
    <w:qFormat/>
    <w:uiPriority w:val="0"/>
    <w:pPr>
      <w:widowControl w:val="0"/>
      <w:jc w:val="both"/>
    </w:pPr>
    <w:rPr>
      <w:kern w:val="2"/>
      <w:sz w:val="21"/>
      <w:szCs w:val="21"/>
      <w:lang w:val="en-US" w:eastAsia="zh-CN" w:bidi="ar-SA"/>
    </w:rPr>
  </w:style>
  <w:style w:type="paragraph" w:customStyle="1" w:styleId="173">
    <w:name w:val="--规划正文"/>
    <w:basedOn w:val="1"/>
    <w:uiPriority w:val="0"/>
    <w:pPr>
      <w:spacing w:line="360" w:lineRule="auto"/>
      <w:ind w:firstLine="200" w:firstLineChars="200"/>
    </w:pPr>
    <w:rPr>
      <w:szCs w:val="20"/>
    </w:rPr>
  </w:style>
  <w:style w:type="paragraph" w:styleId="174">
    <w:name w:val=""/>
    <w:basedOn w:val="4"/>
    <w:next w:val="1"/>
    <w:qFormat/>
    <w:uiPriority w:val="39"/>
    <w:pPr>
      <w:spacing w:line="578" w:lineRule="auto"/>
      <w:outlineLvl w:val="9"/>
    </w:pPr>
    <w:rPr>
      <w:rFonts w:ascii="Times New Roman" w:hAnsi="Times New Roman"/>
      <w:bCs/>
    </w:rPr>
  </w:style>
  <w:style w:type="paragraph" w:styleId="175">
    <w:name w:val="List Paragraph"/>
    <w:basedOn w:val="1"/>
    <w:qFormat/>
    <w:uiPriority w:val="0"/>
    <w:pPr>
      <w:ind w:firstLine="420" w:firstLineChars="200"/>
    </w:pPr>
    <w:rPr>
      <w:rFonts w:ascii="Calibri" w:hAnsi="Calibri"/>
      <w:szCs w:val="22"/>
    </w:rPr>
  </w:style>
  <w:style w:type="paragraph" w:customStyle="1" w:styleId="176">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77">
    <w:name w:val="Default"/>
    <w:uiPriority w:val="0"/>
    <w:pPr>
      <w:widowControl w:val="0"/>
      <w:autoSpaceDE w:val="0"/>
      <w:autoSpaceDN w:val="0"/>
      <w:adjustRightInd w:val="0"/>
    </w:pPr>
    <w:rPr>
      <w:color w:val="000000"/>
      <w:sz w:val="24"/>
      <w:szCs w:val="24"/>
      <w:lang w:val="en-US" w:eastAsia="zh-CN" w:bidi="ar-SA"/>
    </w:rPr>
  </w:style>
  <w:style w:type="paragraph" w:customStyle="1" w:styleId="178">
    <w:name w:val="List Paragraph"/>
    <w:basedOn w:val="1"/>
    <w:qFormat/>
    <w:uiPriority w:val="34"/>
    <w:pPr>
      <w:ind w:firstLine="420" w:firstLineChars="200"/>
    </w:pPr>
  </w:style>
  <w:style w:type="paragraph" w:customStyle="1" w:styleId="179">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80">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81">
    <w:name w:val=" Char Char Char1"/>
    <w:basedOn w:val="1"/>
    <w:uiPriority w:val="0"/>
  </w:style>
  <w:style w:type="paragraph" w:customStyle="1" w:styleId="182">
    <w:name w:val="Char"/>
    <w:basedOn w:val="1"/>
    <w:uiPriority w:val="0"/>
    <w:pPr>
      <w:tabs>
        <w:tab w:val="left" w:pos="1200"/>
        <w:tab w:val="left" w:pos="1800"/>
      </w:tabs>
      <w:ind w:left="1200" w:hanging="1110"/>
    </w:pPr>
    <w:rPr>
      <w:sz w:val="24"/>
    </w:rPr>
  </w:style>
  <w:style w:type="paragraph" w:customStyle="1" w:styleId="183">
    <w:name w:val="样式3"/>
    <w:basedOn w:val="25"/>
    <w:qFormat/>
    <w:uiPriority w:val="99"/>
    <w:pPr>
      <w:spacing w:line="0" w:lineRule="atLeast"/>
      <w:outlineLvl w:val="0"/>
    </w:pPr>
    <w:rPr>
      <w:sz w:val="28"/>
    </w:rPr>
  </w:style>
  <w:style w:type="paragraph" w:customStyle="1" w:styleId="184">
    <w:name w:val="表格用"/>
    <w:basedOn w:val="1"/>
    <w:qFormat/>
    <w:uiPriority w:val="0"/>
    <w:pPr>
      <w:widowControl/>
      <w:spacing w:line="360" w:lineRule="auto"/>
    </w:pPr>
    <w:rPr>
      <w:rFonts w:ascii="宋体" w:hAnsi="宋体"/>
      <w:kern w:val="0"/>
      <w:szCs w:val="24"/>
    </w:rPr>
  </w:style>
  <w:style w:type="paragraph" w:customStyle="1" w:styleId="185">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86">
    <w:name w:val="列出段落1"/>
    <w:basedOn w:val="1"/>
    <w:qFormat/>
    <w:uiPriority w:val="34"/>
    <w:pPr>
      <w:ind w:firstLine="420" w:firstLineChars="200"/>
    </w:pPr>
    <w:rPr>
      <w:rFonts w:ascii="Calibri" w:hAnsi="Calibri"/>
      <w:szCs w:val="22"/>
    </w:rPr>
  </w:style>
  <w:style w:type="paragraph" w:customStyle="1" w:styleId="187">
    <w:name w:val="msolistparagraph"/>
    <w:basedOn w:val="1"/>
    <w:qFormat/>
    <w:uiPriority w:val="0"/>
    <w:pPr>
      <w:keepNext w:val="0"/>
      <w:keepLines w:val="0"/>
      <w:widowControl w:val="0"/>
      <w:suppressLineNumbers w:val="0"/>
      <w:spacing w:before="0" w:beforeLines="5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188">
    <w:name w:val="正文1"/>
    <w:qFormat/>
    <w:uiPriority w:val="99"/>
    <w:pPr>
      <w:widowControl w:val="0"/>
      <w:jc w:val="both"/>
    </w:pPr>
    <w:rPr>
      <w:rFonts w:ascii="Calibri" w:hAnsi="Calibri" w:cs="Calibri"/>
      <w:kern w:val="2"/>
      <w:sz w:val="21"/>
      <w:szCs w:val="21"/>
      <w:lang w:val="en-US" w:eastAsia="zh-CN" w:bidi="ar-SA"/>
    </w:rPr>
  </w:style>
  <w:style w:type="paragraph" w:customStyle="1" w:styleId="189">
    <w:name w:val="_Style 1"/>
    <w:basedOn w:val="1"/>
    <w:uiPriority w:val="0"/>
    <w:pPr>
      <w:ind w:firstLine="420" w:firstLineChars="200"/>
    </w:pPr>
    <w:rPr>
      <w:rFonts w:ascii="Calibri" w:hAnsi="Calibri"/>
      <w:szCs w:val="22"/>
    </w:rPr>
  </w:style>
  <w:style w:type="paragraph" w:customStyle="1" w:styleId="190">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91">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92">
    <w:name w:val="自由格式 A"/>
    <w:uiPriority w:val="0"/>
    <w:rPr>
      <w:rFonts w:ascii="Helvetica" w:hAnsi="Helvetica" w:eastAsia="ヒラギノ角ゴ Pro W3"/>
      <w:color w:val="000000"/>
      <w:sz w:val="24"/>
      <w:lang w:val="en-US" w:eastAsia="zh-CN" w:bidi="ar-SA"/>
    </w:rPr>
  </w:style>
  <w:style w:type="paragraph" w:customStyle="1" w:styleId="193">
    <w:name w:val="表格文字"/>
    <w:basedOn w:val="1"/>
    <w:uiPriority w:val="0"/>
    <w:pPr>
      <w:spacing w:line="240" w:lineRule="auto"/>
      <w:ind w:firstLine="0" w:firstLineChars="0"/>
      <w:jc w:val="center"/>
    </w:pPr>
    <w:rPr>
      <w:rFonts w:ascii="Arial" w:hAnsi="Arial" w:eastAsia="仿宋_GB2312" w:cs="Arial"/>
      <w:spacing w:val="10"/>
      <w:sz w:val="24"/>
      <w:szCs w:val="28"/>
    </w:rPr>
  </w:style>
  <w:style w:type="paragraph" w:customStyle="1" w:styleId="194">
    <w:name w:val="Char Char Char Char Char Char"/>
    <w:basedOn w:val="1"/>
    <w:uiPriority w:val="0"/>
    <w:pPr>
      <w:ind w:firstLine="200" w:firstLineChars="200"/>
    </w:pPr>
    <w:rPr>
      <w:rFonts w:ascii="Tahoma" w:hAnsi="Tahoma"/>
      <w:sz w:val="24"/>
      <w:szCs w:val="20"/>
    </w:rPr>
  </w:style>
  <w:style w:type="paragraph" w:customStyle="1" w:styleId="195">
    <w:name w:val=" Char Char Char Char Char Char Char Char Char Char Char Char"/>
    <w:basedOn w:val="1"/>
    <w:uiPriority w:val="0"/>
    <w:pPr>
      <w:widowControl/>
      <w:spacing w:after="160" w:afterLines="0" w:line="240" w:lineRule="exact"/>
      <w:jc w:val="left"/>
    </w:pPr>
  </w:style>
  <w:style w:type="paragraph" w:customStyle="1" w:styleId="196">
    <w:name w:val="列出段落8"/>
    <w:basedOn w:val="1"/>
    <w:qFormat/>
    <w:uiPriority w:val="34"/>
    <w:pPr>
      <w:ind w:firstLine="420"/>
    </w:pPr>
    <w:rPr>
      <w:rFonts w:ascii="Calibri" w:hAnsi="Calibri"/>
      <w:szCs w:val="22"/>
    </w:rPr>
  </w:style>
  <w:style w:type="paragraph" w:customStyle="1" w:styleId="197">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98">
    <w:name w:val="列出段落12"/>
    <w:basedOn w:val="1"/>
    <w:qFormat/>
    <w:uiPriority w:val="0"/>
    <w:pPr>
      <w:ind w:firstLine="420" w:firstLineChars="200"/>
    </w:pPr>
    <w:rPr>
      <w:szCs w:val="24"/>
    </w:rPr>
  </w:style>
  <w:style w:type="paragraph" w:customStyle="1" w:styleId="199">
    <w:name w:val="GP正文(无首行缩进)"/>
    <w:basedOn w:val="1"/>
    <w:uiPriority w:val="0"/>
    <w:pPr>
      <w:spacing w:line="360" w:lineRule="auto"/>
      <w:ind w:firstLine="480" w:firstLineChars="200"/>
      <w:jc w:val="left"/>
    </w:pPr>
    <w:rPr>
      <w:rFonts w:ascii="Times New Roman" w:hAnsi="宋体"/>
      <w:sz w:val="24"/>
    </w:rPr>
  </w:style>
  <w:style w:type="paragraph" w:customStyle="1" w:styleId="200">
    <w:name w:val=" Char Char Char Char Char Char Char"/>
    <w:basedOn w:val="1"/>
    <w:uiPriority w:val="0"/>
    <w:rPr>
      <w:rFonts w:ascii="Tahoma" w:hAnsi="Tahoma"/>
      <w:sz w:val="24"/>
      <w:szCs w:val="20"/>
    </w:rPr>
  </w:style>
  <w:style w:type="paragraph" w:customStyle="1" w:styleId="201">
    <w:name w:val="纯文本1"/>
    <w:basedOn w:val="188"/>
    <w:qFormat/>
    <w:uiPriority w:val="99"/>
    <w:pPr>
      <w:widowControl/>
      <w:jc w:val="left"/>
    </w:pPr>
    <w:rPr>
      <w:rFonts w:ascii="宋体" w:hAnsi="Courier New" w:cs="宋体"/>
    </w:rPr>
  </w:style>
  <w:style w:type="paragraph" w:customStyle="1" w:styleId="202">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203">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204">
    <w:name w:val="正文段"/>
    <w:basedOn w:val="1"/>
    <w:uiPriority w:val="0"/>
    <w:pPr>
      <w:widowControl/>
      <w:snapToGrid w:val="0"/>
      <w:spacing w:after="156" w:afterLines="50"/>
      <w:ind w:firstLine="200" w:firstLineChars="200"/>
    </w:pPr>
    <w:rPr>
      <w:kern w:val="0"/>
      <w:sz w:val="24"/>
      <w:szCs w:val="20"/>
    </w:rPr>
  </w:style>
  <w:style w:type="paragraph" w:customStyle="1" w:styleId="205">
    <w:name w:val="二级无"/>
    <w:basedOn w:val="164"/>
    <w:uiPriority w:val="0"/>
    <w:pPr>
      <w:tabs>
        <w:tab w:val="left" w:pos="1260"/>
        <w:tab w:val="clear" w:pos="1680"/>
      </w:tabs>
      <w:spacing w:before="0" w:beforeLines="0" w:after="0" w:afterLines="0"/>
    </w:pPr>
    <w:rPr>
      <w:rFonts w:hint="eastAsia" w:ascii="宋体" w:eastAsia="宋体"/>
      <w:sz w:val="21"/>
    </w:rPr>
  </w:style>
  <w:style w:type="paragraph" w:customStyle="1" w:styleId="206">
    <w:name w:val="此正文"/>
    <w:basedOn w:val="1"/>
    <w:uiPriority w:val="0"/>
    <w:pPr>
      <w:spacing w:line="360" w:lineRule="auto"/>
      <w:ind w:firstLine="200" w:firstLineChars="200"/>
    </w:pPr>
    <w:rPr>
      <w:sz w:val="24"/>
    </w:rPr>
  </w:style>
  <w:style w:type="paragraph" w:customStyle="1" w:styleId="20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08">
    <w:name w:val="Char Char Char1 Char8"/>
    <w:basedOn w:val="1"/>
    <w:uiPriority w:val="0"/>
    <w:pPr>
      <w:spacing w:line="360" w:lineRule="auto"/>
      <w:ind w:firstLine="200" w:firstLineChars="200"/>
    </w:pPr>
    <w:rPr>
      <w:rFonts w:hint="eastAsia" w:ascii="宋体" w:hAnsi="宋体"/>
      <w:sz w:val="24"/>
      <w:szCs w:val="20"/>
    </w:rPr>
  </w:style>
  <w:style w:type="paragraph" w:customStyle="1" w:styleId="209">
    <w:name w:val="样式1"/>
    <w:basedOn w:val="7"/>
    <w:uiPriority w:val="0"/>
  </w:style>
  <w:style w:type="paragraph" w:customStyle="1" w:styleId="210">
    <w:name w:val="正文表标题"/>
    <w:next w:val="155"/>
    <w:uiPriority w:val="0"/>
    <w:pPr>
      <w:numPr>
        <w:ilvl w:val="0"/>
        <w:numId w:val="4"/>
      </w:numPr>
      <w:jc w:val="center"/>
    </w:pPr>
    <w:rPr>
      <w:rFonts w:ascii="黑体" w:eastAsia="黑体"/>
      <w:sz w:val="21"/>
      <w:lang w:val="en-US" w:eastAsia="zh-CN" w:bidi="ar-SA"/>
    </w:rPr>
  </w:style>
  <w:style w:type="paragraph" w:customStyle="1" w:styleId="211">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212">
    <w:name w:val="章标题"/>
    <w:basedOn w:val="1"/>
    <w:next w:val="155"/>
    <w:uiPriority w:val="0"/>
    <w:pPr>
      <w:keepNext w:val="0"/>
      <w:keepLines w:val="0"/>
      <w:widowControl/>
      <w:numPr>
        <w:ilvl w:val="0"/>
        <w:numId w:val="5"/>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213">
    <w:name w:val="Char Char Char Char"/>
    <w:basedOn w:val="1"/>
    <w:uiPriority w:val="0"/>
  </w:style>
  <w:style w:type="paragraph" w:customStyle="1" w:styleId="214">
    <w:name w:val="Char1"/>
    <w:basedOn w:val="1"/>
    <w:uiPriority w:val="0"/>
    <w:rPr>
      <w:rFonts w:ascii="Tahoma" w:hAnsi="Tahoma"/>
      <w:sz w:val="24"/>
      <w:szCs w:val="20"/>
    </w:rPr>
  </w:style>
  <w:style w:type="paragraph" w:customStyle="1" w:styleId="215">
    <w:name w:val="正文空2格  1."/>
    <w:basedOn w:val="1"/>
    <w:uiPriority w:val="0"/>
    <w:pPr>
      <w:ind w:firstLine="480" w:firstLineChars="200"/>
    </w:pPr>
    <w:rPr>
      <w:rFonts w:cs="宋体"/>
      <w:sz w:val="28"/>
      <w:szCs w:val="20"/>
    </w:rPr>
  </w:style>
  <w:style w:type="paragraph" w:customStyle="1" w:styleId="216">
    <w:name w:val="Char Char Char Char Char Char Char Char Char Char Char Char1 Char"/>
    <w:basedOn w:val="17"/>
    <w:uiPriority w:val="0"/>
    <w:rPr>
      <w:rFonts w:ascii="Tahoma" w:hAnsi="Tahoma"/>
      <w:sz w:val="24"/>
    </w:rPr>
  </w:style>
  <w:style w:type="character" w:customStyle="1" w:styleId="217">
    <w:name w:val="正文首行缩进 Char1"/>
    <w:qFormat/>
    <w:uiPriority w:val="99"/>
    <w:rPr>
      <w:rFonts w:eastAsia="仿宋_GB2312"/>
      <w:kern w:val="2"/>
      <w:sz w:val="28"/>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theme/theme1.xml" Type="http://schemas.openxmlformats.org/officeDocument/2006/relationships/them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65</Pages>
  <Words>6461</Words>
  <Characters>36831</Characters>
  <Lines>306</Lines>
  <Paragraphs>86</Paragraphs>
  <TotalTime>28</TotalTime>
  <ScaleCrop>false</ScaleCrop>
  <LinksUpToDate>false</LinksUpToDate>
  <CharactersWithSpaces>43206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2021-05-11T03:03:00Z</dcterms:created>
  <dc:creator>黄旭明</dc:creator>
  <cp:lastModifiedBy>WPS_1701756769</cp:lastModifiedBy>
  <cp:lastPrinted>2022-02-21T02:31:14Z</cp:lastPrinted>
  <dcterms:modified xsi:type="dcterms:W3CDTF">2024-02-23T06:14:26Z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11A855EB969C43708DECB7A50219D380_13</vt:lpwstr>
  </property>
</Properties>
</file>