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beforeLines="50"/>
        <w:jc w:val="center"/>
        <w:rPr>
          <w:rFonts w:ascii="宋体" w:hAnsi="宋体"/>
          <w:b/>
          <w:color w:val="auto"/>
          <w:sz w:val="48"/>
          <w:szCs w:val="48"/>
          <w:highlight w:val="none"/>
        </w:rPr>
      </w:pPr>
      <w:r>
        <w:rPr>
          <w:rFonts w:hint="eastAsia" w:ascii="宋体" w:hAnsi="宋体"/>
          <w:b/>
          <w:color w:val="auto"/>
          <w:sz w:val="48"/>
          <w:szCs w:val="48"/>
          <w:highlight w:val="none"/>
        </w:rPr>
        <w:t>HIS软件升级改造服务项目</w:t>
      </w:r>
    </w:p>
    <w:p>
      <w:pPr>
        <w:spacing w:beforeLines="50"/>
        <w:jc w:val="center"/>
        <w:rPr>
          <w:rFonts w:ascii="宋体" w:hAnsi="宋体"/>
          <w:color w:val="auto"/>
          <w:sz w:val="52"/>
          <w:szCs w:val="52"/>
          <w:highlight w:val="none"/>
        </w:rPr>
      </w:pPr>
      <w:r>
        <w:rPr>
          <w:rFonts w:hint="eastAsia" w:ascii="宋体" w:hAnsi="宋体"/>
          <w:color w:val="auto"/>
          <w:sz w:val="52"/>
          <w:szCs w:val="52"/>
          <w:highlight w:val="none"/>
        </w:rPr>
        <w:t>公开招标文件</w:t>
      </w: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pStyle w:val="13"/>
        <w:snapToGrid w:val="0"/>
        <w:spacing w:before="120" w:line="360" w:lineRule="auto"/>
        <w:rPr>
          <w:rFonts w:hint="eastAsia" w:hAnsi="宋体" w:eastAsiaTheme="minorEastAsia"/>
          <w:b/>
          <w:bCs/>
          <w:color w:val="auto"/>
          <w:sz w:val="32"/>
          <w:szCs w:val="32"/>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CBNB-20216009G</w:t>
      </w:r>
    </w:p>
    <w:p>
      <w:pPr>
        <w:spacing w:beforeLines="50" w:line="360" w:lineRule="auto"/>
        <w:rPr>
          <w:rFonts w:ascii="宋体" w:hAnsi="宋体"/>
          <w:b/>
          <w:color w:val="auto"/>
          <w:sz w:val="30"/>
          <w:szCs w:val="48"/>
          <w:highlight w:val="none"/>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名称：HIS软件升级改造服务项目</w:t>
      </w:r>
    </w:p>
    <w:p>
      <w:pPr>
        <w:spacing w:beforeLines="50" w:line="360" w:lineRule="auto"/>
        <w:rPr>
          <w:rFonts w:ascii="宋体" w:hAnsi="宋体"/>
          <w:b/>
          <w:color w:val="auto"/>
          <w:sz w:val="30"/>
          <w:szCs w:val="48"/>
          <w:highlight w:val="none"/>
        </w:rPr>
      </w:pPr>
      <w:r>
        <w:rPr>
          <w:rFonts w:hint="eastAsia" w:ascii="宋体" w:hAnsi="宋体" w:eastAsia="宋体" w:cs="宋体"/>
          <w:b/>
          <w:bCs/>
          <w:color w:val="auto"/>
          <w:kern w:val="2"/>
          <w:sz w:val="30"/>
          <w:szCs w:val="30"/>
          <w:highlight w:val="none"/>
          <w:lang w:val="en-US" w:eastAsia="zh-CN" w:bidi="ar-SA"/>
        </w:rPr>
        <w:t>采购人：宁波市第一医院</w:t>
      </w:r>
    </w:p>
    <w:p>
      <w:pPr>
        <w:spacing w:beforeLines="50" w:line="360" w:lineRule="auto"/>
        <w:rPr>
          <w:rFonts w:ascii="宋体" w:hAnsi="宋体"/>
          <w:b/>
          <w:color w:val="auto"/>
          <w:sz w:val="30"/>
          <w:szCs w:val="48"/>
          <w:highlight w:val="none"/>
        </w:rPr>
      </w:pPr>
      <w:r>
        <w:rPr>
          <w:rFonts w:hint="eastAsia" w:ascii="宋体" w:hAnsi="宋体" w:eastAsia="宋体" w:cs="宋体"/>
          <w:b/>
          <w:bCs/>
          <w:color w:val="auto"/>
          <w:kern w:val="2"/>
          <w:sz w:val="30"/>
          <w:szCs w:val="30"/>
          <w:highlight w:val="none"/>
          <w:lang w:val="en-US" w:eastAsia="zh-CN" w:bidi="ar-SA"/>
        </w:rPr>
        <w:t>采购代理机构：宁波中基国际招标有限公司</w:t>
      </w: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ind w:left="2940" w:firstLine="420"/>
        <w:rPr>
          <w:rFonts w:ascii="宋体" w:hAnsi="宋体"/>
          <w:b/>
          <w:bCs/>
          <w:color w:val="auto"/>
          <w:w w:val="95"/>
          <w:sz w:val="30"/>
          <w:szCs w:val="30"/>
          <w:highlight w:val="none"/>
        </w:rPr>
      </w:pPr>
      <w:r>
        <w:rPr>
          <w:rFonts w:hint="eastAsia" w:ascii="宋体" w:hAnsi="宋体"/>
          <w:b/>
          <w:bCs/>
          <w:color w:val="auto"/>
          <w:w w:val="95"/>
          <w:sz w:val="30"/>
          <w:szCs w:val="30"/>
          <w:highlight w:val="none"/>
        </w:rPr>
        <w:t>2020年12月</w:t>
      </w:r>
    </w:p>
    <w:p>
      <w:pPr>
        <w:widowControl/>
        <w:spacing w:line="360" w:lineRule="auto"/>
        <w:jc w:val="left"/>
        <w:rPr>
          <w:rFonts w:ascii="宋体" w:hAnsi="宋体"/>
          <w:b/>
          <w:bCs/>
          <w:color w:val="auto"/>
          <w:w w:val="95"/>
          <w:sz w:val="30"/>
          <w:szCs w:val="30"/>
          <w:highlight w:val="none"/>
        </w:rPr>
        <w:sectPr>
          <w:pgSz w:w="11906" w:h="16838"/>
          <w:pgMar w:top="1474" w:right="1797" w:bottom="1247" w:left="1797" w:header="851" w:footer="851" w:gutter="0"/>
          <w:pgNumType w:start="1"/>
          <w:cols w:space="720" w:num="1"/>
        </w:sectPr>
      </w:pPr>
    </w:p>
    <w:p>
      <w:pPr>
        <w:snapToGrid w:val="0"/>
        <w:spacing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19"/>
        <w:tabs>
          <w:tab w:val="right" w:leader="dot" w:pos="8312"/>
        </w:tabs>
        <w:rPr>
          <w:color w:val="auto"/>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 TOC \o "1-3" \h \z \u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"_Toc11290" </w:instrText>
      </w:r>
      <w:r>
        <w:rPr>
          <w:color w:val="auto"/>
          <w:highlight w:val="none"/>
        </w:rPr>
        <w:fldChar w:fldCharType="separate"/>
      </w:r>
      <w:r>
        <w:rPr>
          <w:rFonts w:hint="eastAsia"/>
          <w:color w:val="auto"/>
          <w:szCs w:val="28"/>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_Toc11290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"_Toc13297" </w:instrText>
      </w:r>
      <w:r>
        <w:rPr>
          <w:color w:val="auto"/>
          <w:highlight w:val="none"/>
        </w:rPr>
        <w:fldChar w:fldCharType="separate"/>
      </w:r>
      <w:r>
        <w:rPr>
          <w:rFonts w:hint="eastAsia"/>
          <w:bCs/>
          <w:color w:val="auto"/>
          <w:szCs w:val="28"/>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_Toc13297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"_Toc8354" </w:instrText>
      </w:r>
      <w:r>
        <w:rPr>
          <w:color w:val="auto"/>
          <w:highlight w:val="none"/>
        </w:rPr>
        <w:fldChar w:fldCharType="separate"/>
      </w:r>
      <w:r>
        <w:rPr>
          <w:rFonts w:hint="eastAsia"/>
          <w:color w:val="auto"/>
          <w:szCs w:val="28"/>
          <w:highlight w:val="none"/>
        </w:rPr>
        <w:t>第三章供应商须知</w:t>
      </w:r>
      <w:r>
        <w:rPr>
          <w:color w:val="auto"/>
          <w:highlight w:val="none"/>
        </w:rPr>
        <w:tab/>
      </w:r>
      <w:r>
        <w:rPr>
          <w:color w:val="auto"/>
          <w:highlight w:val="none"/>
        </w:rPr>
        <w:fldChar w:fldCharType="begin"/>
      </w:r>
      <w:r>
        <w:rPr>
          <w:color w:val="auto"/>
          <w:highlight w:val="none"/>
        </w:rPr>
        <w:instrText xml:space="preserve"> PAGEREF _Toc8354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"_Toc24415" </w:instrText>
      </w:r>
      <w:r>
        <w:rPr>
          <w:color w:val="auto"/>
          <w:highlight w:val="none"/>
        </w:rPr>
        <w:fldChar w:fldCharType="separate"/>
      </w:r>
      <w:r>
        <w:rPr>
          <w:rFonts w:hint="eastAsia"/>
          <w:color w:val="auto"/>
          <w:szCs w:val="28"/>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_Toc24415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color w:val="auto"/>
          <w:szCs w:val="28"/>
          <w:highlight w:val="none"/>
        </w:rPr>
        <w:t>第五章政府采购合同主要条款</w:t>
      </w:r>
      <w:r>
        <w:rPr>
          <w:color w:val="auto"/>
          <w:highlight w:val="none"/>
        </w:rPr>
        <w:tab/>
      </w:r>
      <w:r>
        <w:rPr>
          <w:color w:val="auto"/>
          <w:highlight w:val="none"/>
        </w:rPr>
        <w:fldChar w:fldCharType="begin"/>
      </w:r>
      <w:r>
        <w:rPr>
          <w:color w:val="auto"/>
          <w:highlight w:val="none"/>
        </w:rPr>
        <w:instrText xml:space="preserve"> PAGEREF _Toc8298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9"/>
        <w:tabs>
          <w:tab w:val="right" w:leader="dot" w:pos="8312"/>
        </w:tabs>
        <w:rPr>
          <w:color w:val="auto"/>
          <w:highlight w:val="none"/>
        </w:rPr>
      </w:pPr>
      <w:r>
        <w:rPr>
          <w:color w:val="auto"/>
          <w:highlight w:val="none"/>
        </w:rPr>
        <w:fldChar w:fldCharType="begin"/>
      </w:r>
      <w:r>
        <w:rPr>
          <w:color w:val="auto"/>
          <w:highlight w:val="none"/>
        </w:rPr>
        <w:instrText xml:space="preserve"> HYPERLINK \l "_Toc625" </w:instrText>
      </w:r>
      <w:r>
        <w:rPr>
          <w:color w:val="auto"/>
          <w:highlight w:val="none"/>
        </w:rPr>
        <w:fldChar w:fldCharType="separate"/>
      </w:r>
      <w:r>
        <w:rPr>
          <w:rFonts w:hint="eastAsia"/>
          <w:color w:val="auto"/>
          <w:szCs w:val="28"/>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_Toc625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spacing w:line="360" w:lineRule="auto"/>
        <w:jc w:val="center"/>
        <w:rPr>
          <w:color w:val="auto"/>
          <w:highlight w:val="none"/>
        </w:rPr>
      </w:pPr>
      <w:r>
        <w:rPr>
          <w:color w:val="auto"/>
          <w:szCs w:val="28"/>
          <w:highlight w:val="none"/>
        </w:rPr>
        <w:fldChar w:fldCharType="end"/>
      </w:r>
    </w:p>
    <w:p>
      <w:pPr>
        <w:widowControl/>
        <w:spacing w:line="360" w:lineRule="auto"/>
        <w:jc w:val="left"/>
        <w:rPr>
          <w:color w:val="auto"/>
          <w:highlight w:val="none"/>
        </w:rPr>
        <w:sectPr>
          <w:pgSz w:w="11906" w:h="16838"/>
          <w:pgMar w:top="1474" w:right="1797" w:bottom="1247" w:left="1797" w:header="851" w:footer="851" w:gutter="0"/>
          <w:pgNumType w:start="1"/>
          <w:cols w:space="720" w:num="1"/>
        </w:sectPr>
      </w:pPr>
    </w:p>
    <w:p>
      <w:pPr>
        <w:spacing w:line="480" w:lineRule="auto"/>
        <w:jc w:val="center"/>
        <w:outlineLvl w:val="0"/>
        <w:rPr>
          <w:color w:val="auto"/>
          <w:sz w:val="28"/>
          <w:szCs w:val="28"/>
          <w:highlight w:val="none"/>
        </w:rPr>
      </w:pPr>
      <w:bookmarkStart w:id="0" w:name="_Toc11290"/>
      <w:r>
        <w:rPr>
          <w:rFonts w:hint="eastAsia"/>
          <w:color w:val="auto"/>
          <w:sz w:val="28"/>
          <w:szCs w:val="28"/>
          <w:highlight w:val="none"/>
        </w:rPr>
        <w:t>第一章公开招标公告</w:t>
      </w:r>
      <w:bookmarkEnd w:id="0"/>
    </w:p>
    <w:tbl>
      <w:tblPr>
        <w:tblStyle w:val="26"/>
        <w:tblW w:w="8527" w:type="dxa"/>
        <w:tblInd w:w="-113" w:type="dxa"/>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bookmarkStart w:id="1" w:name="_Toc28359002"/>
            <w:bookmarkStart w:id="2" w:name="_Toc35393790"/>
            <w:bookmarkStart w:id="3" w:name="_Toc35393621"/>
            <w:bookmarkStart w:id="4" w:name="_Toc28359079"/>
            <w:bookmarkStart w:id="5" w:name="_Hlk24379207"/>
            <w:r>
              <w:rPr>
                <w:rFonts w:hint="eastAsia" w:ascii="宋体" w:hAnsi="宋体" w:cs="宋体"/>
                <w:color w:val="auto"/>
                <w:szCs w:val="21"/>
                <w:highlight w:val="none"/>
              </w:rPr>
              <w:t>项目概况：</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HIS软件升级改造服务项目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u w:val="single"/>
              </w:rPr>
              <w:t>浙江政府采购云平台（http://www.zcygov.cn/）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20</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 xml:space="preserve"> 09:30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keepNext/>
        <w:keepLines/>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bookmarkEnd w:id="1"/>
      <w:bookmarkEnd w:id="2"/>
      <w:bookmarkEnd w:id="3"/>
      <w:bookmarkEnd w:id="4"/>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CBNB-20216009G</w:t>
      </w:r>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HIS软件升级改造服务项目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1批</w:t>
      </w:r>
      <w:r>
        <w:rPr>
          <w:rFonts w:hint="eastAsia" w:ascii="宋体" w:hAnsi="宋体" w:cs="宋体"/>
          <w:color w:val="auto"/>
          <w:szCs w:val="21"/>
          <w:highlight w:val="none"/>
        </w:rPr>
        <w:t>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0000.00 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简要规格描述或项目基本概况介绍、用途：详见《第二章 采购需求》。</w:t>
      </w:r>
    </w:p>
    <w:p>
      <w:pPr>
        <w:spacing w:line="33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6.合同履行期限：合同签订后3个月内完成本项目系统建设，经过测试运行及培训，并通过采购人组织初步验收确认合格，投入试运行。经正式验收合格，正式交付使用，进入维护期。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7.本项目（否）接受联合体投标。</w:t>
      </w:r>
    </w:p>
    <w:bookmarkEnd w:id="5"/>
    <w:p>
      <w:pPr>
        <w:keepNext/>
        <w:keepLines/>
        <w:spacing w:line="360" w:lineRule="auto"/>
        <w:rPr>
          <w:rFonts w:ascii="宋体" w:hAnsi="宋体" w:cs="宋体"/>
          <w:b/>
          <w:color w:val="auto"/>
          <w:szCs w:val="21"/>
          <w:highlight w:val="none"/>
        </w:rPr>
      </w:pPr>
      <w:bookmarkStart w:id="6" w:name="_Toc35393622"/>
      <w:bookmarkStart w:id="7" w:name="_Toc35393791"/>
      <w:bookmarkStart w:id="8" w:name="_Toc28359003"/>
      <w:bookmarkStart w:id="9" w:name="_Toc28359080"/>
      <w:r>
        <w:rPr>
          <w:rFonts w:hint="eastAsia" w:ascii="宋体" w:hAnsi="宋体" w:cs="宋体"/>
          <w:b/>
          <w:color w:val="auto"/>
          <w:szCs w:val="21"/>
          <w:highlight w:val="none"/>
        </w:rPr>
        <w:t>二、申请人的资格要求：</w:t>
      </w:r>
      <w:bookmarkEnd w:id="6"/>
      <w:bookmarkEnd w:id="7"/>
      <w:bookmarkEnd w:id="8"/>
      <w:bookmarkEnd w:id="9"/>
    </w:p>
    <w:p>
      <w:pPr>
        <w:spacing w:line="336" w:lineRule="auto"/>
        <w:ind w:firstLine="420" w:firstLineChars="200"/>
        <w:rPr>
          <w:rFonts w:ascii="宋体" w:hAnsi="宋体" w:cs="宋体"/>
          <w:color w:val="auto"/>
          <w:szCs w:val="21"/>
          <w:highlight w:val="none"/>
        </w:rPr>
      </w:pPr>
      <w:bookmarkStart w:id="10" w:name="_Toc28359081"/>
      <w:bookmarkStart w:id="11" w:name="_Toc28359004"/>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60" w:lineRule="auto"/>
        <w:rPr>
          <w:rFonts w:ascii="宋体" w:hAnsi="宋体" w:cs="宋体"/>
          <w:b/>
          <w:color w:val="auto"/>
          <w:szCs w:val="21"/>
          <w:highlight w:val="none"/>
        </w:rPr>
      </w:pPr>
      <w:bookmarkStart w:id="12" w:name="_Toc35393792"/>
      <w:bookmarkStart w:id="13" w:name="_Toc35393623"/>
      <w:r>
        <w:rPr>
          <w:rFonts w:hint="eastAsia" w:ascii="宋体" w:hAnsi="宋体" w:cs="宋体"/>
          <w:b/>
          <w:color w:val="auto"/>
          <w:szCs w:val="21"/>
          <w:highlight w:val="none"/>
        </w:rPr>
        <w:t>三、获取招标文件</w:t>
      </w:r>
      <w:bookmarkEnd w:id="10"/>
      <w:bookmarkEnd w:id="11"/>
      <w:bookmarkEnd w:id="12"/>
      <w:bookmarkEnd w:id="13"/>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2.地点（网址）：浙江政府采购云平台（http://www.zcygov.cn/）</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3.方式：供应商注册后直接登陆“浙江政府采购云平台”（http://www.zcy.gov.cn/）下载电子招标文件。供应商未在规定时间内或未按上述方式获取招标文件的，其投标无效。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keepNext/>
        <w:keepLines/>
        <w:spacing w:line="360" w:lineRule="auto"/>
        <w:rPr>
          <w:rFonts w:ascii="宋体" w:hAnsi="宋体" w:cs="宋体"/>
          <w:b/>
          <w:color w:val="auto"/>
          <w:szCs w:val="21"/>
          <w:highlight w:val="none"/>
        </w:rPr>
      </w:pPr>
      <w:bookmarkStart w:id="14" w:name="_Toc28359082"/>
      <w:bookmarkStart w:id="15" w:name="_Toc28359005"/>
      <w:bookmarkStart w:id="16" w:name="_Toc35393624"/>
      <w:bookmarkStart w:id="17" w:name="_Toc35393793"/>
      <w:r>
        <w:rPr>
          <w:rFonts w:hint="eastAsia" w:ascii="宋体" w:hAnsi="宋体" w:cs="宋体"/>
          <w:b/>
          <w:color w:val="auto"/>
          <w:szCs w:val="21"/>
          <w:highlight w:val="none"/>
        </w:rPr>
        <w:t>四、提交投标文件</w:t>
      </w:r>
      <w:bookmarkEnd w:id="14"/>
      <w:bookmarkEnd w:id="15"/>
      <w:r>
        <w:rPr>
          <w:rFonts w:hint="eastAsia" w:ascii="宋体" w:hAnsi="宋体" w:cs="宋体"/>
          <w:b/>
          <w:color w:val="auto"/>
          <w:szCs w:val="21"/>
          <w:highlight w:val="none"/>
        </w:rPr>
        <w:t>截止时间、开标时间和地点</w:t>
      </w:r>
      <w:bookmarkEnd w:id="16"/>
      <w:bookmarkEnd w:id="17"/>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09:30</w:t>
      </w:r>
      <w:r>
        <w:rPr>
          <w:rFonts w:hint="eastAsia" w:ascii="宋体" w:hAnsi="宋体" w:cs="宋体"/>
          <w:color w:val="auto"/>
          <w:szCs w:val="21"/>
          <w:highlight w:val="none"/>
        </w:rPr>
        <w:t>（北京时间）。</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lang w:eastAsia="zh-CN"/>
        </w:rPr>
        <w:t>政府采购云平台</w:t>
      </w:r>
      <w:bookmarkStart w:id="18" w:name="_Hlt21454954"/>
      <w:bookmarkEnd w:id="18"/>
      <w:bookmarkStart w:id="19" w:name="_Hlt21454952"/>
      <w:bookmarkEnd w:id="19"/>
      <w:bookmarkStart w:id="20" w:name="_Hlt21454969"/>
      <w:bookmarkEnd w:id="20"/>
      <w:bookmarkStart w:id="21" w:name="_Hlt21454953"/>
      <w:bookmarkEnd w:id="21"/>
      <w:r>
        <w:rPr>
          <w:rFonts w:hint="eastAsia" w:ascii="宋体" w:hAnsi="宋体" w:cs="宋体"/>
          <w:color w:val="auto"/>
          <w:szCs w:val="21"/>
          <w:highlight w:val="none"/>
          <w:u w:val="single"/>
          <w:lang w:eastAsia="zh-CN"/>
        </w:rPr>
        <w:fldChar w:fldCharType="begin"/>
      </w:r>
      <w:r>
        <w:rPr>
          <w:rFonts w:hint="eastAsia" w:ascii="宋体" w:hAnsi="宋体" w:cs="宋体"/>
          <w:color w:val="auto"/>
          <w:szCs w:val="21"/>
          <w:highlight w:val="none"/>
          <w:u w:val="single"/>
          <w:lang w:eastAsia="zh-CN"/>
        </w:rPr>
        <w:instrText xml:space="preserve"> HYPERLINK "http://www.zcygov.cn" </w:instrText>
      </w:r>
      <w:r>
        <w:rPr>
          <w:rFonts w:hint="eastAsia" w:ascii="宋体" w:hAnsi="宋体" w:cs="宋体"/>
          <w:color w:val="auto"/>
          <w:szCs w:val="21"/>
          <w:highlight w:val="none"/>
          <w:u w:val="single"/>
          <w:lang w:eastAsia="zh-CN"/>
        </w:rPr>
        <w:fldChar w:fldCharType="separate"/>
      </w:r>
      <w:r>
        <w:rPr>
          <w:rFonts w:hint="eastAsia" w:ascii="宋体" w:hAnsi="宋体" w:cs="宋体"/>
          <w:color w:val="auto"/>
          <w:szCs w:val="21"/>
          <w:highlight w:val="none"/>
          <w:u w:val="single"/>
          <w:lang w:eastAsia="zh-CN"/>
        </w:rPr>
        <w:t>www.zcygov.cn</w:t>
      </w:r>
      <w:r>
        <w:rPr>
          <w:rFonts w:hint="eastAsia" w:ascii="宋体" w:hAnsi="宋体" w:cs="宋体"/>
          <w:color w:val="auto"/>
          <w:szCs w:val="21"/>
          <w:highlight w:val="none"/>
          <w:u w:val="single"/>
          <w:lang w:eastAsia="zh-CN"/>
        </w:rPr>
        <w:fldChar w:fldCharType="end"/>
      </w:r>
      <w:r>
        <w:rPr>
          <w:rFonts w:hint="eastAsia" w:ascii="宋体" w:hAnsi="宋体" w:cs="宋体"/>
          <w:color w:val="auto"/>
          <w:szCs w:val="21"/>
          <w:highlight w:val="none"/>
          <w:u w:val="single"/>
          <w:lang w:eastAsia="zh-CN"/>
        </w:rPr>
        <w:t>，未上传电子投标文件，视为供应商放弃投标。以U盘存储的电子备份投标文件和纸质备份投标文件分别密封，递交至中基招标会议中心开标室（宁波市鄞州区天童南路666号中基大厦1楼），逾期送达或未密封将予以拒收</w:t>
      </w:r>
      <w:r>
        <w:rPr>
          <w:rFonts w:hint="eastAsia" w:ascii="宋体" w:hAnsi="宋体" w:cs="宋体"/>
          <w:color w:val="auto"/>
          <w:szCs w:val="21"/>
          <w:highlight w:val="none"/>
        </w:rPr>
        <w:t>。</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bookmarkStart w:id="59" w:name="_GoBack"/>
      <w:bookmarkEnd w:id="59"/>
      <w:r>
        <w:rPr>
          <w:rFonts w:hint="eastAsia" w:ascii="宋体" w:hAnsi="宋体" w:cs="宋体"/>
          <w:color w:val="auto"/>
          <w:szCs w:val="21"/>
          <w:highlight w:val="none"/>
          <w:lang w:val="en-US" w:eastAsia="zh-CN"/>
        </w:rPr>
        <w:t>09:30</w:t>
      </w:r>
      <w:r>
        <w:rPr>
          <w:rFonts w:hint="eastAsia" w:ascii="宋体" w:hAnsi="宋体" w:cs="宋体"/>
          <w:color w:val="auto"/>
          <w:szCs w:val="21"/>
          <w:highlight w:val="none"/>
        </w:rPr>
        <w:t>（北京时间）。</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szCs w:val="21"/>
          <w:highlight w:val="none"/>
        </w:rPr>
        <w:t>。</w:t>
      </w:r>
    </w:p>
    <w:p>
      <w:pPr>
        <w:keepNext/>
        <w:keepLines/>
        <w:spacing w:line="360" w:lineRule="auto"/>
        <w:rPr>
          <w:rFonts w:ascii="宋体" w:hAnsi="宋体" w:cs="宋体"/>
          <w:b/>
          <w:color w:val="auto"/>
          <w:szCs w:val="21"/>
          <w:highlight w:val="none"/>
        </w:rPr>
      </w:pPr>
      <w:bookmarkStart w:id="22" w:name="_Toc35393794"/>
      <w:bookmarkStart w:id="23" w:name="_Toc28359084"/>
      <w:bookmarkStart w:id="24" w:name="_Toc28359007"/>
      <w:bookmarkStart w:id="25" w:name="_Toc35393625"/>
      <w:r>
        <w:rPr>
          <w:rFonts w:hint="eastAsia" w:ascii="宋体" w:hAnsi="宋体" w:cs="宋体"/>
          <w:b/>
          <w:color w:val="auto"/>
          <w:szCs w:val="21"/>
          <w:highlight w:val="none"/>
        </w:rPr>
        <w:t>五、公告期限</w:t>
      </w:r>
      <w:bookmarkEnd w:id="22"/>
      <w:bookmarkEnd w:id="23"/>
      <w:bookmarkEnd w:id="24"/>
      <w:bookmarkEnd w:id="2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60" w:lineRule="auto"/>
        <w:rPr>
          <w:rFonts w:ascii="宋体" w:hAnsi="宋体" w:cs="宋体"/>
          <w:b/>
          <w:color w:val="auto"/>
          <w:szCs w:val="21"/>
          <w:highlight w:val="none"/>
        </w:rPr>
      </w:pPr>
      <w:bookmarkStart w:id="26" w:name="_Toc35393626"/>
      <w:bookmarkStart w:id="27" w:name="_Toc35393795"/>
      <w:r>
        <w:rPr>
          <w:rFonts w:hint="eastAsia" w:ascii="宋体" w:hAnsi="宋体" w:cs="宋体"/>
          <w:b/>
          <w:color w:val="auto"/>
          <w:szCs w:val="21"/>
          <w:highlight w:val="none"/>
        </w:rPr>
        <w:t>六、其他补充事宜</w:t>
      </w:r>
      <w:bookmarkEnd w:id="26"/>
      <w:bookmarkEnd w:id="27"/>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政府采购促进中小企业发展暂行办法》（财库[2011]181号）、《关于政府采购支持监狱企业发展有关问题的通知》(财库[2014]68号)、《关于促进残疾人就业政府采购政策的通知》（财库〔2017〕141号）。</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2.2供应商需按照《浙江省政府采购供应商注册及诚信管理暂行办法》的规定在“浙江政府采购网”政采云平台注册登记的，成为浙江省政府采购注册供应商。如未注册的供应商，请注意注册所需时间。</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2.3投标与开标注意事项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2.3.1本项目实行网上投标，采用电子投标文件。若供应商参与投标，自行承担投标一切费用。</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2.3.3投标文件制作：</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2.6供应商如提供备份投标文件的，应于提交投标文件截止时间前，将以U盘存储的电子备份投标文件和纸质备份投标文件分别密封，递交至</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kern w:val="0"/>
          <w:szCs w:val="21"/>
          <w:highlight w:val="none"/>
        </w:rPr>
        <w:t>，逾期送达或未密封将予以拒收。供应商仅提供备份投标文件（包括以U盘存储的电子备份投标文件或纸质备份投标文件）的，投标无效。</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2.8</w:t>
      </w:r>
      <w:r>
        <w:rPr>
          <w:rFonts w:hint="eastAsia" w:ascii="宋体" w:hAnsi="宋体" w:cs="宋体"/>
          <w:bCs/>
          <w:color w:val="auto"/>
          <w:szCs w:val="21"/>
          <w:highlight w:val="none"/>
        </w:rPr>
        <w:t>项目交易的开评标环节全程录音录像，供应商确有需要到现场的，相关单位到场人员应执行以下规定要求：</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指定地点。投标文件递交时需同时递交供应商的法定代表人（或其委托代理人）联系方式，并保证开标期间联系方式的畅通。</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2.9如本项目改为线下评标，供应商须在纸质备份投标文件（资格文件）中提供（1）指定作出澄清、说明或补正的电子邮箱；（2）法定代表人或授权代表的微信号。评审过程中有关澄清、说明或者补正，采购代理机构将通过以下电子邮箱进行收发。</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电子邮箱：</w:t>
      </w:r>
      <w:r>
        <w:rPr>
          <w:rFonts w:hint="eastAsia" w:ascii="宋体" w:hAnsi="宋体" w:cs="宋体"/>
          <w:bCs/>
          <w:color w:val="auto"/>
          <w:szCs w:val="21"/>
          <w:highlight w:val="none"/>
          <w:lang w:val="en-US" w:eastAsia="zh-CN"/>
        </w:rPr>
        <w:t>290998645</w:t>
      </w:r>
      <w:r>
        <w:rPr>
          <w:rFonts w:hint="eastAsia" w:ascii="宋体" w:hAnsi="宋体" w:cs="宋体"/>
          <w:bCs/>
          <w:color w:val="auto"/>
          <w:szCs w:val="21"/>
          <w:highlight w:val="none"/>
        </w:rPr>
        <w:t>@qq.com</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2.10投标人员须做好佩戴口罩、手套等防护措施，自觉接受体温检测、接受防疫询问，并如实报告相关情况，在投标文件递交工作完成后应立即离开，无故不得在现场逗留。</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2.11投标人员还需配合做好疫情防控“五个一律”：一律全面消毒、一律体温检测、一律承诺登记、一律按序办事、一律服从管理。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2.12如投标截止时间前疫情解除，上述第2.8-2.11条内容废止。</w:t>
      </w:r>
    </w:p>
    <w:p>
      <w:pPr>
        <w:widowControl/>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2.13肺炎防疫期间，请各供应商遵守宁波中基国际招标有限公司各项防疫措施规定。</w:t>
      </w:r>
    </w:p>
    <w:p>
      <w:pPr>
        <w:keepNext/>
        <w:keepLines/>
        <w:spacing w:line="360" w:lineRule="auto"/>
        <w:rPr>
          <w:rFonts w:ascii="宋体" w:hAnsi="宋体" w:cs="宋体"/>
          <w:b/>
          <w:color w:val="auto"/>
          <w:szCs w:val="21"/>
          <w:highlight w:val="none"/>
        </w:rPr>
      </w:pPr>
      <w:bookmarkStart w:id="28" w:name="_Toc35393796"/>
      <w:bookmarkStart w:id="29" w:name="_Toc28359085"/>
      <w:bookmarkStart w:id="30" w:name="_Toc35393627"/>
      <w:bookmarkStart w:id="31" w:name="_Toc28359008"/>
      <w:r>
        <w:rPr>
          <w:rFonts w:hint="eastAsia" w:ascii="宋体" w:hAnsi="宋体" w:cs="宋体"/>
          <w:b/>
          <w:color w:val="auto"/>
          <w:szCs w:val="21"/>
          <w:highlight w:val="none"/>
        </w:rPr>
        <w:t>七、对本次招标提出询问，请按以下方式联系。</w:t>
      </w:r>
      <w:bookmarkEnd w:id="28"/>
      <w:bookmarkEnd w:id="29"/>
      <w:bookmarkEnd w:id="30"/>
      <w:bookmarkEnd w:id="31"/>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称：宁波市第一医院</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址：宁波市海曙区柳汀街59号</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r>
        <w:rPr>
          <w:rFonts w:hint="eastAsia" w:ascii="宋体" w:hAnsi="宋体" w:cs="宋体"/>
          <w:color w:val="auto"/>
          <w:szCs w:val="21"/>
          <w:highlight w:val="none"/>
          <w:lang w:val="en-US" w:eastAsia="zh-CN"/>
        </w:rPr>
        <w:t>/</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olor w:val="auto"/>
          <w:szCs w:val="21"/>
          <w:highlight w:val="none"/>
          <w:lang w:val="en-US" w:eastAsia="zh-CN"/>
        </w:rPr>
        <w:t>吴先生</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olor w:val="auto"/>
          <w:szCs w:val="21"/>
          <w:highlight w:val="none"/>
        </w:rPr>
        <w:t>0574－</w:t>
      </w:r>
      <w:r>
        <w:rPr>
          <w:rFonts w:hint="eastAsia" w:ascii="宋体" w:hAnsi="宋体"/>
          <w:color w:val="auto"/>
          <w:szCs w:val="21"/>
          <w:highlight w:val="none"/>
          <w:lang w:val="en-US" w:eastAsia="zh-CN"/>
        </w:rPr>
        <w:t>87085047</w:t>
      </w:r>
      <w:r>
        <w:rPr>
          <w:rFonts w:hint="eastAsia" w:ascii="宋体" w:hAnsi="宋体" w:cs="宋体"/>
          <w:color w:val="auto"/>
          <w:szCs w:val="21"/>
          <w:highlight w:val="none"/>
        </w:rPr>
        <w:t xml:space="preserve"> </w:t>
      </w:r>
    </w:p>
    <w:p>
      <w:pPr>
        <w:spacing w:line="336" w:lineRule="auto"/>
        <w:ind w:firstLine="630" w:firstLineChars="300"/>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olor w:val="auto"/>
          <w:szCs w:val="21"/>
          <w:highlight w:val="none"/>
          <w:lang w:val="en-US" w:eastAsia="zh-CN"/>
        </w:rPr>
        <w:t>褚老师</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olor w:val="auto"/>
          <w:szCs w:val="21"/>
          <w:highlight w:val="none"/>
        </w:rPr>
        <w:t>0574－</w:t>
      </w:r>
      <w:r>
        <w:rPr>
          <w:rFonts w:hint="eastAsia" w:ascii="宋体" w:hAnsi="宋体"/>
          <w:color w:val="auto"/>
          <w:szCs w:val="21"/>
          <w:highlight w:val="none"/>
          <w:lang w:val="en-US" w:eastAsia="zh-CN"/>
        </w:rPr>
        <w:t>87085047</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bookmarkStart w:id="32" w:name="_Toc28359009"/>
      <w:bookmarkStart w:id="33" w:name="_Toc28359086"/>
      <w:r>
        <w:rPr>
          <w:rFonts w:hint="eastAsia" w:ascii="宋体" w:hAnsi="宋体" w:cs="宋体"/>
          <w:color w:val="auto"/>
          <w:szCs w:val="21"/>
          <w:highlight w:val="none"/>
        </w:rPr>
        <w:t>2.采购代理机构信息</w:t>
      </w:r>
      <w:bookmarkEnd w:id="32"/>
      <w:bookmarkEnd w:id="33"/>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称：宁波中基国际招标有限公司</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真：0574-87425373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翁可欣</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项目联系方式（询问）：0574-87425279</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王莹巧</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质疑联系方式：0574-87425583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4.同级政府采购监督管理部门：</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名    称：宁波市政府采购管理办公室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址：宁波市海曙区中山西路19号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联系人 ：徐老师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投诉电话：0574-87188441</w:t>
      </w:r>
    </w:p>
    <w:p>
      <w:pPr>
        <w:spacing w:line="336" w:lineRule="auto"/>
        <w:ind w:firstLine="420" w:firstLineChars="200"/>
        <w:rPr>
          <w:rFonts w:ascii="宋体" w:hAnsi="宋体" w:cs="宋体"/>
          <w:color w:val="auto"/>
          <w:highlight w:val="none"/>
        </w:rPr>
      </w:pP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CA问题联系电话（人工）：汇信CA 400-888-4636；天谷CA 400-087-8198。</w:t>
      </w:r>
    </w:p>
    <w:p>
      <w:pPr>
        <w:spacing w:line="336" w:lineRule="auto"/>
        <w:ind w:firstLine="420" w:firstLineChars="200"/>
        <w:rPr>
          <w:rFonts w:ascii="Times New Roman" w:hAnsi="Times New Roman"/>
          <w:color w:val="auto"/>
          <w:highlight w:val="none"/>
        </w:rPr>
      </w:pPr>
      <w:r>
        <w:rPr>
          <w:rFonts w:hint="eastAsia" w:ascii="宋体" w:hAnsi="宋体" w:cs="宋体"/>
          <w:color w:val="auto"/>
          <w:highlight w:val="none"/>
        </w:rPr>
        <w:br w:type="page"/>
      </w:r>
    </w:p>
    <w:p>
      <w:pPr>
        <w:snapToGrid w:val="0"/>
        <w:spacing w:line="360" w:lineRule="auto"/>
        <w:ind w:firstLine="562" w:firstLineChars="200"/>
        <w:jc w:val="center"/>
        <w:outlineLvl w:val="0"/>
        <w:rPr>
          <w:rFonts w:ascii="黑体" w:hAnsi="宋体" w:eastAsia="黑体"/>
          <w:color w:val="auto"/>
          <w:sz w:val="30"/>
          <w:szCs w:val="30"/>
          <w:highlight w:val="none"/>
        </w:rPr>
      </w:pPr>
      <w:bookmarkStart w:id="34" w:name="_Toc13297"/>
      <w:r>
        <w:rPr>
          <w:rFonts w:hint="eastAsia"/>
          <w:b/>
          <w:bCs/>
          <w:color w:val="auto"/>
          <w:sz w:val="28"/>
          <w:szCs w:val="28"/>
          <w:highlight w:val="none"/>
        </w:rPr>
        <w:t>第二章采购需求</w:t>
      </w:r>
      <w:bookmarkEnd w:id="34"/>
    </w:p>
    <w:p>
      <w:pPr>
        <w:spacing w:line="320" w:lineRule="exact"/>
        <w:jc w:val="center"/>
        <w:rPr>
          <w:color w:val="auto"/>
          <w:szCs w:val="21"/>
          <w:highlight w:val="none"/>
        </w:rPr>
      </w:pPr>
      <w:r>
        <w:rPr>
          <w:rFonts w:hint="eastAsia"/>
          <w:color w:val="auto"/>
          <w:szCs w:val="21"/>
          <w:highlight w:val="none"/>
        </w:rPr>
        <w:t>前附表</w:t>
      </w:r>
    </w:p>
    <w:tbl>
      <w:tblPr>
        <w:tblStyle w:val="2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91"/>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9"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29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0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HIS软件升级改造服务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07"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验收</w:t>
            </w:r>
            <w:r>
              <w:rPr>
                <w:rFonts w:hint="eastAsia" w:ascii="宋体" w:hAnsi="宋体"/>
                <w:color w:val="auto"/>
                <w:szCs w:val="21"/>
                <w:highlight w:val="none"/>
                <w:lang w:eastAsia="zh-CN"/>
              </w:rPr>
              <w:t>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lang w:eastAsia="zh-CN"/>
              </w:rPr>
              <w:t>本</w:t>
            </w:r>
            <w:r>
              <w:rPr>
                <w:rFonts w:hint="eastAsia" w:ascii="宋体" w:hAnsi="宋体"/>
                <w:color w:val="auto"/>
                <w:szCs w:val="21"/>
                <w:highlight w:val="none"/>
              </w:rPr>
              <w:t>项目验收时除约定的系统功能全部实现并稳定运行外，还应包含以下内容：</w:t>
            </w:r>
          </w:p>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项目实施报告（含二次开发内容）</w:t>
            </w:r>
          </w:p>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软件功能及操作手册</w:t>
            </w:r>
          </w:p>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项目验收报告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演示时间及地点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ascii="宋体" w:hAnsi="宋体" w:cs="宋体"/>
                <w:color w:val="auto"/>
                <w:highlight w:val="none"/>
              </w:rPr>
              <w:t>样品要求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2291" w:type="dxa"/>
            <w:tcBorders>
              <w:top w:val="single" w:color="auto" w:sz="4" w:space="0"/>
              <w:left w:val="single" w:color="auto" w:sz="4" w:space="0"/>
              <w:bottom w:val="single" w:color="auto" w:sz="12" w:space="0"/>
              <w:right w:val="single" w:color="auto" w:sz="4" w:space="0"/>
            </w:tcBorders>
            <w:vAlign w:val="center"/>
          </w:tcPr>
          <w:p>
            <w:pPr>
              <w:spacing w:line="360" w:lineRule="exact"/>
              <w:rPr>
                <w:color w:val="auto"/>
                <w:highlight w:val="none"/>
              </w:rPr>
            </w:pPr>
            <w:r>
              <w:rPr>
                <w:rFonts w:hint="eastAsia"/>
                <w:color w:val="auto"/>
                <w:highlight w:val="none"/>
              </w:rPr>
              <w:t>本项目的核心产品</w:t>
            </w:r>
          </w:p>
        </w:tc>
        <w:tc>
          <w:tcPr>
            <w:tcW w:w="5307"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bl>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ascii="宋体"/>
          <w:b/>
          <w:color w:val="auto"/>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重要商务要求一览表</w:t>
      </w:r>
    </w:p>
    <w:tbl>
      <w:tblPr>
        <w:tblStyle w:val="26"/>
        <w:tblW w:w="8156"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1"/>
        <w:gridCol w:w="6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157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8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★1、交货期</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合同签订后3个月内完成本项目系统建设，经过测试运行及培训，并通过采购人组织初步验收确认合格，投入试运行。经正式验收合格，正式交付使用，进入维护期。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1）合同签订后，采购人支付合同总价的30%作为预付款。</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系统建设完成经采购人初步验收确认合格，投入试运行后支付至合同金额的</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6）采购人向中标人支付货款前，中标人应向采购人开具同等金额的收据或增值税普通发票。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1）履约保证金金额：合同总价的5%；</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3）履约保证金的退取：履约保证金在中标人完成合同履约后无息退还（但如中标人未能履行合同规定的任何义务，采购人有权扣除相应履约保证金）。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5、售后服务要求</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1）质保期要求为验收合格后</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1年。</w:t>
            </w:r>
          </w:p>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2）质保期内，免费提供7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24技术服务，有任何问题和故障，即时响应，2小时内到达现场，提供不间断的服务直到系统恢复正常。</w:t>
            </w:r>
          </w:p>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3）质保期内，免费服务内容包括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技术咨询、故障排除、定期巡检、性能优化、软件升级、功能完善等。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571" w:type="dxa"/>
            <w:tcBorders>
              <w:top w:val="single" w:color="auto" w:sz="6" w:space="0"/>
              <w:left w:val="single" w:color="auto" w:sz="12" w:space="0"/>
              <w:bottom w:val="single" w:color="auto" w:sz="6" w:space="0"/>
              <w:right w:val="single" w:color="auto" w:sz="6"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、培训要求</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color w:val="auto"/>
                <w:highlight w:val="none"/>
              </w:rPr>
            </w:pPr>
            <w:r>
              <w:rPr>
                <w:rFonts w:hint="eastAsia"/>
                <w:color w:val="auto"/>
                <w:highlight w:val="none"/>
                <w:lang w:eastAsia="zh-CN"/>
              </w:rPr>
              <w:t>中标人</w:t>
            </w:r>
            <w:r>
              <w:rPr>
                <w:rFonts w:hint="eastAsia"/>
                <w:color w:val="auto"/>
                <w:highlight w:val="none"/>
              </w:rPr>
              <w:t>需为</w:t>
            </w:r>
            <w:r>
              <w:rPr>
                <w:rFonts w:hint="eastAsia"/>
                <w:color w:val="auto"/>
                <w:highlight w:val="none"/>
                <w:lang w:eastAsia="zh-CN"/>
              </w:rPr>
              <w:t>采购人</w:t>
            </w:r>
            <w:r>
              <w:rPr>
                <w:rFonts w:hint="eastAsia"/>
                <w:color w:val="auto"/>
                <w:highlight w:val="none"/>
              </w:rPr>
              <w:t>提供专业技术培训，并提供技术指导和咨询，通过多种方式解决需求，提供支持，确保</w:t>
            </w:r>
            <w:r>
              <w:rPr>
                <w:rFonts w:hint="eastAsia"/>
                <w:color w:val="auto"/>
                <w:highlight w:val="none"/>
                <w:lang w:eastAsia="zh-CN"/>
              </w:rPr>
              <w:t>采购人</w:t>
            </w:r>
            <w:r>
              <w:rPr>
                <w:rFonts w:hint="eastAsia"/>
                <w:color w:val="auto"/>
                <w:highlight w:val="none"/>
              </w:rPr>
              <w:t>相关工作人员可以正确使用。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571"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36" w:lineRule="auto"/>
              <w:jc w:val="left"/>
              <w:rPr>
                <w:rFonts w:ascii="宋体" w:hAnsi="宋体" w:cs="宋体"/>
                <w:color w:val="auto"/>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、合同终止</w:t>
            </w:r>
          </w:p>
        </w:tc>
        <w:tc>
          <w:tcPr>
            <w:tcW w:w="6585"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color w:val="auto"/>
                <w:highlight w:val="none"/>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pPr>
        <w:numPr>
          <w:ilvl w:val="0"/>
          <w:numId w:val="0"/>
        </w:numPr>
        <w:spacing w:line="360" w:lineRule="auto"/>
        <w:rPr>
          <w:rFonts w:hint="eastAsia" w:ascii="宋体" w:hAnsi="宋体"/>
          <w:b/>
          <w:bCs/>
          <w:color w:val="auto"/>
          <w:kern w:val="0"/>
          <w:szCs w:val="21"/>
          <w:highlight w:val="none"/>
        </w:rPr>
      </w:pPr>
    </w:p>
    <w:p>
      <w:pPr>
        <w:pStyle w:val="114"/>
        <w:ind w:left="0" w:leftChars="0" w:firstLine="0" w:firstLineChars="0"/>
        <w:rPr>
          <w:rFonts w:hint="eastAsia" w:ascii="宋体" w:hAnsi="宋体"/>
          <w:b/>
          <w:bCs/>
          <w:color w:val="auto"/>
          <w:kern w:val="0"/>
          <w:szCs w:val="21"/>
          <w:highlight w:val="none"/>
        </w:rPr>
      </w:pPr>
    </w:p>
    <w:p>
      <w:pPr>
        <w:pStyle w:val="114"/>
        <w:ind w:left="0" w:leftChars="0" w:firstLine="0" w:firstLineChars="0"/>
        <w:rPr>
          <w:rFonts w:hint="eastAsia" w:ascii="宋体" w:hAnsi="宋体"/>
          <w:b/>
          <w:bCs/>
          <w:color w:val="auto"/>
          <w:kern w:val="0"/>
          <w:szCs w:val="21"/>
          <w:highlight w:val="none"/>
        </w:rPr>
      </w:pPr>
    </w:p>
    <w:p>
      <w:pPr>
        <w:numPr>
          <w:ilvl w:val="0"/>
          <w:numId w:val="0"/>
        </w:num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lang w:eastAsia="zh-CN"/>
        </w:rPr>
        <w:t>二、采购内容及数量</w:t>
      </w:r>
    </w:p>
    <w:tbl>
      <w:tblPr>
        <w:tblStyle w:val="26"/>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050"/>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货物名称</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医保工伤接口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电子身份证就诊</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刷脸就医接口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预约爽约功能</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等级医院评审</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集团内医共体改造（联众平台）</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两卡融合改造</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配合电子病历测评</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床管中心改造</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电子治疗单预约</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纳里健康接口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81890接口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物资接口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登革热监测功能</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长三角地区门诊异地医保结算接口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在线取号</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4+7带量采购药品</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诊间专科退号功能</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自助机退号功能</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医保诊断库与手术编码库升级</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民政接口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港澳台取号</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罕见病接口</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云医院对接</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2020年年包服务</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40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其他需求类改造</w:t>
            </w:r>
          </w:p>
        </w:tc>
        <w:tc>
          <w:tcPr>
            <w:tcW w:w="304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r>
    </w:tbl>
    <w:p>
      <w:pPr>
        <w:pStyle w:val="13"/>
        <w:numPr>
          <w:ilvl w:val="0"/>
          <w:numId w:val="0"/>
        </w:numPr>
        <w:rPr>
          <w:highlight w:val="none"/>
        </w:rPr>
      </w:pPr>
    </w:p>
    <w:p>
      <w:pPr>
        <w:spacing w:line="360" w:lineRule="auto"/>
        <w:ind w:firstLine="539" w:firstLineChars="257"/>
        <w:rPr>
          <w:rFonts w:ascii="宋体" w:hAnsi="宋体"/>
          <w:color w:val="auto"/>
          <w:szCs w:val="21"/>
          <w:highlight w:val="none"/>
        </w:rPr>
      </w:pPr>
    </w:p>
    <w:p>
      <w:pPr>
        <w:pStyle w:val="114"/>
        <w:rPr>
          <w:rFonts w:ascii="宋体" w:hAnsi="宋体"/>
          <w:color w:val="auto"/>
          <w:szCs w:val="21"/>
          <w:highlight w:val="none"/>
        </w:rPr>
      </w:pPr>
    </w:p>
    <w:p>
      <w:pPr>
        <w:numPr>
          <w:ilvl w:val="0"/>
          <w:numId w:val="0"/>
        </w:numPr>
        <w:spacing w:line="360" w:lineRule="auto"/>
        <w:rPr>
          <w:rFonts w:hint="eastAsia" w:ascii="宋体" w:hAnsi="宋体" w:cs="Times New Roman"/>
          <w:b/>
          <w:bCs/>
          <w:color w:val="auto"/>
          <w:kern w:val="0"/>
          <w:szCs w:val="21"/>
          <w:highlight w:val="none"/>
          <w:lang w:eastAsia="zh-CN"/>
        </w:rPr>
      </w:pPr>
      <w:r>
        <w:rPr>
          <w:rFonts w:hint="eastAsia" w:ascii="宋体" w:hAnsi="宋体" w:cs="Times New Roman"/>
          <w:b/>
          <w:bCs/>
          <w:color w:val="auto"/>
          <w:kern w:val="0"/>
          <w:szCs w:val="21"/>
          <w:highlight w:val="none"/>
          <w:lang w:eastAsia="zh-CN"/>
        </w:rPr>
        <w:t>三、产品具体参数要求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hint="eastAsia"/>
          <w:color w:val="auto"/>
          <w:sz w:val="21"/>
          <w:szCs w:val="21"/>
          <w:highlight w:val="none"/>
          <w:lang w:val="en-US" w:eastAsia="zh-CN"/>
        </w:rPr>
      </w:pPr>
      <w:r>
        <w:rPr>
          <w:rFonts w:hint="eastAsia"/>
          <w:color w:val="auto"/>
          <w:sz w:val="21"/>
          <w:szCs w:val="21"/>
          <w:highlight w:val="none"/>
          <w:lang w:val="en-US" w:eastAsia="zh-CN"/>
        </w:rPr>
        <w:t>1、医保工伤接口</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94"/>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Times New Roman"/>
                <w:bCs/>
                <w:sz w:val="21"/>
                <w:szCs w:val="21"/>
                <w:highlight w:val="none"/>
              </w:rPr>
            </w:pPr>
            <w:r>
              <w:rPr>
                <w:rFonts w:hint="eastAsia" w:ascii="宋体" w:hAnsi="宋体" w:cs="Times New Roman"/>
                <w:bCs/>
                <w:sz w:val="21"/>
                <w:szCs w:val="21"/>
                <w:highlight w:val="none"/>
              </w:rPr>
              <w:t>序号</w:t>
            </w:r>
          </w:p>
        </w:tc>
        <w:tc>
          <w:tcPr>
            <w:tcW w:w="1794"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Times New Roman"/>
                <w:bCs/>
                <w:sz w:val="21"/>
                <w:szCs w:val="21"/>
                <w:highlight w:val="none"/>
              </w:rPr>
            </w:pPr>
            <w:r>
              <w:rPr>
                <w:rFonts w:hint="eastAsia" w:ascii="宋体" w:hAnsi="宋体" w:cs="Times New Roman"/>
                <w:bCs/>
                <w:sz w:val="21"/>
                <w:szCs w:val="21"/>
                <w:highlight w:val="none"/>
              </w:rPr>
              <w:t>功能模块</w:t>
            </w:r>
          </w:p>
        </w:tc>
        <w:tc>
          <w:tcPr>
            <w:tcW w:w="5751"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Times New Roman"/>
                <w:bCs/>
                <w:sz w:val="21"/>
                <w:szCs w:val="21"/>
                <w:highlight w:val="none"/>
              </w:rPr>
            </w:pPr>
            <w:r>
              <w:rPr>
                <w:rFonts w:hint="eastAsia" w:ascii="宋体" w:hAnsi="宋体" w:cs="Times New Roman"/>
                <w:bCs/>
                <w:sz w:val="21"/>
                <w:szCs w:val="21"/>
                <w:highlight w:val="none"/>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1</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卡类型及读卡改造</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新增工伤卡类型。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读卡功能增加工伤读卡。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2</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工伤账户查询</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新增医保工伤账户查询交易。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账户查询界面增加工伤账户查询。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3</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住院登记</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根据卡类型增加工伤账户查询。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医保登记增加工伤登记类型和结算类型支持。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医保登记根据账户查询自动过滤登记类型和结算类型。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4</w:t>
            </w:r>
          </w:p>
        </w:tc>
        <w:tc>
          <w:tcPr>
            <w:tcW w:w="179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住院明细上传</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新增工伤住院明细上传。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5</w:t>
            </w:r>
          </w:p>
        </w:tc>
        <w:tc>
          <w:tcPr>
            <w:tcW w:w="179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住院结算</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新增住院工伤结算。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6</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住院发票调整</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结算发票格式调整。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发票重打补打格式调整。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7</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工伤院外检查</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门诊挂号增加工伤院外检查。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门诊发票格式增加工伤院外检查。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ascii="宋体" w:hAnsi="宋体" w:eastAsia="宋体" w:cs="宋体"/>
                <w:bCs/>
                <w:kern w:val="0"/>
                <w:sz w:val="21"/>
                <w:szCs w:val="21"/>
                <w:highlight w:val="none"/>
                <w:lang w:val="en-US" w:eastAsia="zh-CN" w:bidi="ar-SA"/>
              </w:rPr>
              <w:t>8</w:t>
            </w:r>
          </w:p>
        </w:tc>
        <w:tc>
          <w:tcPr>
            <w:tcW w:w="179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结算报表</w:t>
            </w: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现有结算报表增加工伤相关结算类型。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宋体" w:hAnsi="宋体" w:cs="宋体"/>
                <w:bCs/>
                <w:sz w:val="21"/>
                <w:szCs w:val="21"/>
                <w:highlight w:val="none"/>
              </w:rPr>
            </w:pPr>
          </w:p>
        </w:tc>
        <w:tc>
          <w:tcPr>
            <w:tcW w:w="179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Cs/>
                <w:sz w:val="21"/>
                <w:szCs w:val="21"/>
                <w:highlight w:val="none"/>
              </w:rPr>
            </w:pPr>
          </w:p>
        </w:tc>
        <w:tc>
          <w:tcPr>
            <w:tcW w:w="575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新增独立工伤结算报表。</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电子身份证就诊</w:t>
      </w:r>
    </w:p>
    <w:tbl>
      <w:tblPr>
        <w:tblStyle w:val="2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电子身份证</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支持患者通过电子身份证进行挂号就诊。</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刷脸就医接口</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4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7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总体要求</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完成与刷脸支付的对接，实现在医院不同场景就医，支持刷脸支付的模式。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2</w:t>
            </w:r>
          </w:p>
        </w:tc>
        <w:tc>
          <w:tcPr>
            <w:tcW w:w="17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完成H</w:t>
            </w:r>
            <w:r>
              <w:rPr>
                <w:rFonts w:ascii="宋体" w:hAnsi="宋体" w:eastAsia="宋体" w:cs="宋体"/>
                <w:kern w:val="0"/>
                <w:sz w:val="21"/>
                <w:szCs w:val="21"/>
                <w:highlight w:val="none"/>
                <w:lang w:val="en-US" w:eastAsia="zh-CN" w:bidi="ar-SA"/>
              </w:rPr>
              <w:t>IS</w:t>
            </w:r>
            <w:r>
              <w:rPr>
                <w:rFonts w:hint="eastAsia" w:ascii="宋体" w:hAnsi="宋体" w:eastAsia="宋体" w:cs="宋体"/>
                <w:kern w:val="0"/>
                <w:sz w:val="21"/>
                <w:szCs w:val="21"/>
                <w:highlight w:val="none"/>
                <w:lang w:val="en-US" w:eastAsia="zh-CN" w:bidi="ar-SA"/>
              </w:rPr>
              <w:t>系统改造，实现窗口、自助终端、诊区以及其他应用模块实现刷脸服务的接入。</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预约爽约功能</w:t>
      </w:r>
    </w:p>
    <w:tbl>
      <w:tblPr>
        <w:tblStyle w:val="26"/>
        <w:tblW w:w="5061"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3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906"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3543"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906"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3543" w:type="pct"/>
            <w:tcMar>
              <w:top w:w="15" w:type="dxa"/>
              <w:left w:w="15" w:type="dxa"/>
              <w:bottom w:w="15" w:type="dxa"/>
              <w:right w:w="15" w:type="dxa"/>
            </w:tcMar>
            <w:vAlign w:val="center"/>
          </w:tcPr>
          <w:p>
            <w:pPr>
              <w:widowControl/>
              <w:spacing w:line="360" w:lineRule="auto"/>
              <w:jc w:val="both"/>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实现爽约黑白名单功能</w:t>
            </w:r>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906" w:type="pct"/>
            <w:vMerge w:val="restar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建设内容</w:t>
            </w:r>
          </w:p>
        </w:tc>
        <w:tc>
          <w:tcPr>
            <w:tcW w:w="3543" w:type="pct"/>
            <w:tcMar>
              <w:top w:w="15" w:type="dxa"/>
              <w:left w:w="15" w:type="dxa"/>
              <w:bottom w:w="15" w:type="dxa"/>
              <w:right w:w="15" w:type="dxa"/>
            </w:tcMar>
            <w:vAlign w:val="center"/>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利用预约平台下发的黑名单数据</w:t>
            </w:r>
            <w:r>
              <w:rPr>
                <w:rFonts w:ascii="宋体" w:hAnsi="宋体" w:cs="Times New Roman"/>
                <w:sz w:val="21"/>
                <w:szCs w:val="21"/>
                <w:highlight w:val="none"/>
              </w:rPr>
              <w:t>建立</w:t>
            </w:r>
            <w:r>
              <w:rPr>
                <w:rFonts w:hint="eastAsia" w:ascii="宋体" w:hAnsi="宋体" w:cs="Times New Roman"/>
                <w:sz w:val="21"/>
                <w:szCs w:val="21"/>
                <w:highlight w:val="none"/>
              </w:rPr>
              <w:t>黑名单机制</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906" w:type="pct"/>
            <w:vMerge w:val="continue"/>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3" w:type="pct"/>
            <w:tcMar>
              <w:top w:w="15" w:type="dxa"/>
              <w:left w:w="15" w:type="dxa"/>
              <w:bottom w:w="15" w:type="dxa"/>
              <w:right w:w="15" w:type="dxa"/>
            </w:tcMar>
            <w:vAlign w:val="center"/>
          </w:tcPr>
          <w:p>
            <w:pPr>
              <w:rPr>
                <w:rFonts w:hint="eastAsia" w:ascii="宋体" w:hAnsi="宋体" w:eastAsia="宋体" w:cs="Times New Roman"/>
                <w:sz w:val="21"/>
                <w:szCs w:val="21"/>
                <w:highlight w:val="none"/>
                <w:lang w:eastAsia="zh-CN"/>
              </w:rPr>
            </w:pPr>
            <w:r>
              <w:rPr>
                <w:rFonts w:ascii="宋体" w:hAnsi="宋体" w:cs="Times New Roman"/>
                <w:sz w:val="21"/>
                <w:szCs w:val="21"/>
                <w:highlight w:val="none"/>
              </w:rPr>
              <w:t>黑名单居民进行预约控制</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4</w:t>
            </w:r>
          </w:p>
        </w:tc>
        <w:tc>
          <w:tcPr>
            <w:tcW w:w="906" w:type="pct"/>
            <w:vMerge w:val="continue"/>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3" w:type="pct"/>
            <w:tcMar>
              <w:top w:w="15" w:type="dxa"/>
              <w:left w:w="15" w:type="dxa"/>
              <w:bottom w:w="15" w:type="dxa"/>
              <w:right w:w="15" w:type="dxa"/>
            </w:tcMar>
            <w:vAlign w:val="center"/>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建立</w:t>
            </w:r>
            <w:r>
              <w:rPr>
                <w:rFonts w:ascii="宋体" w:hAnsi="宋体" w:cs="Times New Roman"/>
                <w:sz w:val="21"/>
                <w:szCs w:val="21"/>
                <w:highlight w:val="none"/>
              </w:rPr>
              <w:t>爽约机制</w:t>
            </w:r>
            <w:r>
              <w:rPr>
                <w:rFonts w:hint="eastAsia" w:ascii="宋体" w:hAnsi="宋体" w:cs="Times New Roman"/>
                <w:sz w:val="21"/>
                <w:szCs w:val="21"/>
                <w:highlight w:val="none"/>
              </w:rPr>
              <w:t>，取号</w:t>
            </w:r>
            <w:r>
              <w:rPr>
                <w:rFonts w:ascii="宋体" w:hAnsi="宋体" w:cs="Times New Roman"/>
                <w:sz w:val="21"/>
                <w:szCs w:val="21"/>
                <w:highlight w:val="none"/>
              </w:rPr>
              <w:t>超过</w:t>
            </w:r>
            <w:r>
              <w:rPr>
                <w:rFonts w:hint="eastAsia" w:ascii="宋体" w:hAnsi="宋体" w:cs="Times New Roman"/>
                <w:sz w:val="21"/>
                <w:szCs w:val="21"/>
                <w:highlight w:val="none"/>
              </w:rPr>
              <w:t>30分钟，变成爽约，自动作废这个号源</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5</w:t>
            </w:r>
          </w:p>
        </w:tc>
        <w:tc>
          <w:tcPr>
            <w:tcW w:w="906" w:type="pct"/>
            <w:vMerge w:val="continue"/>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3" w:type="pct"/>
            <w:tcMar>
              <w:top w:w="15" w:type="dxa"/>
              <w:left w:w="15" w:type="dxa"/>
              <w:bottom w:w="15" w:type="dxa"/>
              <w:right w:w="15" w:type="dxa"/>
            </w:tcMar>
            <w:vAlign w:val="center"/>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黑名单居民自助</w:t>
            </w:r>
            <w:r>
              <w:rPr>
                <w:rFonts w:ascii="宋体" w:hAnsi="宋体" w:cs="Times New Roman"/>
                <w:sz w:val="21"/>
                <w:szCs w:val="21"/>
                <w:highlight w:val="none"/>
              </w:rPr>
              <w:t>取号</w:t>
            </w:r>
            <w:r>
              <w:rPr>
                <w:rFonts w:hint="eastAsia" w:ascii="宋体" w:hAnsi="宋体" w:cs="Times New Roman"/>
                <w:sz w:val="21"/>
                <w:szCs w:val="21"/>
                <w:highlight w:val="none"/>
              </w:rPr>
              <w:t>时显示相关提示，无法取号</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0" w:type="pct"/>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w:t>
            </w:r>
          </w:p>
        </w:tc>
        <w:tc>
          <w:tcPr>
            <w:tcW w:w="906" w:type="pct"/>
            <w:vMerge w:val="continue"/>
            <w:tcMar>
              <w:top w:w="15" w:type="dxa"/>
              <w:left w:w="15" w:type="dxa"/>
              <w:bottom w:w="15" w:type="dxa"/>
              <w:right w:w="15" w:type="dxa"/>
            </w:tcMar>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3" w:type="pct"/>
            <w:tcMar>
              <w:top w:w="15" w:type="dxa"/>
              <w:left w:w="15" w:type="dxa"/>
              <w:bottom w:w="15" w:type="dxa"/>
              <w:right w:w="15" w:type="dxa"/>
            </w:tcMar>
            <w:vAlign w:val="center"/>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预约成功提醒信息调整</w:t>
            </w:r>
            <w:r>
              <w:rPr>
                <w:rFonts w:hint="eastAsia" w:ascii="宋体" w:hAnsi="宋体" w:cs="Times New Roman"/>
                <w:sz w:val="21"/>
                <w:szCs w:val="21"/>
                <w:highlight w:val="none"/>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等级医院评审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75"/>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97" w:type="dxa"/>
            <w:tcBorders>
              <w:top w:val="single" w:color="auto" w:sz="4" w:space="0"/>
              <w:left w:val="single" w:color="auto" w:sz="4" w:space="0"/>
              <w:bottom w:val="single" w:color="auto" w:sz="4" w:space="0"/>
              <w:right w:val="single" w:color="auto" w:sz="4" w:space="0"/>
            </w:tcBorders>
            <w:vAlign w:val="center"/>
          </w:tcPr>
          <w:p>
            <w:pPr>
              <w:pStyle w:val="114"/>
              <w:numPr>
                <w:ilvl w:val="0"/>
                <w:numId w:val="0"/>
              </w:numPr>
              <w:ind w:leftChars="0"/>
              <w:jc w:val="center"/>
              <w:rPr>
                <w:rFonts w:hint="eastAsia"/>
                <w:highlight w:val="none"/>
                <w:lang w:val="en-US" w:eastAsia="zh-CN"/>
              </w:rPr>
            </w:pPr>
            <w:r>
              <w:rPr>
                <w:rFonts w:hint="eastAsia"/>
                <w:highlight w:val="none"/>
                <w:lang w:val="en-US" w:eastAsia="zh-CN"/>
              </w:rPr>
              <w:t>序号</w:t>
            </w:r>
          </w:p>
        </w:tc>
        <w:tc>
          <w:tcPr>
            <w:tcW w:w="1575" w:type="dxa"/>
            <w:tcBorders>
              <w:top w:val="single" w:color="auto" w:sz="4" w:space="0"/>
              <w:left w:val="single" w:color="auto" w:sz="4" w:space="0"/>
              <w:bottom w:val="single" w:color="auto" w:sz="4" w:space="0"/>
              <w:right w:val="single" w:color="auto" w:sz="4" w:space="0"/>
            </w:tcBorders>
            <w:vAlign w:val="center"/>
          </w:tcPr>
          <w:p>
            <w:pPr>
              <w:pStyle w:val="114"/>
              <w:numPr>
                <w:ilvl w:val="0"/>
                <w:numId w:val="0"/>
              </w:numPr>
              <w:ind w:leftChars="0"/>
              <w:jc w:val="center"/>
              <w:rPr>
                <w:rFonts w:hint="eastAsia"/>
                <w:highlight w:val="none"/>
                <w:lang w:val="en-US" w:eastAsia="zh-CN"/>
              </w:rPr>
            </w:pPr>
            <w:r>
              <w:rPr>
                <w:rFonts w:hint="eastAsia"/>
                <w:highlight w:val="none"/>
                <w:lang w:val="en-US" w:eastAsia="zh-CN"/>
              </w:rPr>
              <w:t>功能要求</w:t>
            </w:r>
          </w:p>
        </w:tc>
        <w:tc>
          <w:tcPr>
            <w:tcW w:w="5970" w:type="dxa"/>
            <w:tcBorders>
              <w:top w:val="single" w:color="auto" w:sz="4" w:space="0"/>
              <w:left w:val="single" w:color="auto" w:sz="4" w:space="0"/>
              <w:bottom w:val="single" w:color="auto" w:sz="4" w:space="0"/>
              <w:right w:val="single" w:color="auto" w:sz="4" w:space="0"/>
            </w:tcBorders>
            <w:noWrap/>
            <w:vAlign w:val="center"/>
          </w:tcPr>
          <w:p>
            <w:pPr>
              <w:pStyle w:val="114"/>
              <w:numPr>
                <w:ilvl w:val="0"/>
                <w:numId w:val="0"/>
              </w:numPr>
              <w:ind w:leftChars="0"/>
              <w:jc w:val="center"/>
              <w:rPr>
                <w:rFonts w:hint="eastAsia"/>
                <w:highlight w:val="none"/>
                <w:lang w:val="en-US" w:eastAsia="zh-CN"/>
              </w:rPr>
            </w:pPr>
            <w:r>
              <w:rPr>
                <w:rFonts w:hint="eastAsia"/>
                <w:highlight w:val="no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97" w:type="dxa"/>
            <w:tcBorders>
              <w:top w:val="single" w:color="auto" w:sz="4" w:space="0"/>
              <w:left w:val="single" w:color="auto" w:sz="4" w:space="0"/>
              <w:bottom w:val="single" w:color="auto" w:sz="4" w:space="0"/>
              <w:right w:val="single" w:color="auto" w:sz="4" w:space="0"/>
            </w:tcBorders>
            <w:vAlign w:val="center"/>
          </w:tcPr>
          <w:p>
            <w:pPr>
              <w:pStyle w:val="114"/>
              <w:numPr>
                <w:ilvl w:val="0"/>
                <w:numId w:val="0"/>
              </w:numPr>
              <w:ind w:leftChars="0"/>
              <w:jc w:val="center"/>
              <w:rPr>
                <w:rFonts w:hint="eastAsia"/>
                <w:highlight w:val="none"/>
                <w:lang w:val="en-US" w:eastAsia="zh-CN"/>
              </w:rPr>
            </w:pPr>
            <w:r>
              <w:rPr>
                <w:rFonts w:hint="eastAsia"/>
                <w:highlight w:val="none"/>
                <w:lang w:val="en-US" w:eastAsia="zh-CN"/>
              </w:rPr>
              <w:t>1</w:t>
            </w:r>
          </w:p>
        </w:tc>
        <w:tc>
          <w:tcPr>
            <w:tcW w:w="1575" w:type="dxa"/>
            <w:tcBorders>
              <w:top w:val="single" w:color="auto" w:sz="4" w:space="0"/>
              <w:left w:val="single" w:color="auto" w:sz="4" w:space="0"/>
              <w:bottom w:val="single" w:color="auto" w:sz="4" w:space="0"/>
              <w:right w:val="single" w:color="auto" w:sz="4" w:space="0"/>
            </w:tcBorders>
            <w:vAlign w:val="center"/>
          </w:tcPr>
          <w:p>
            <w:pPr>
              <w:pStyle w:val="114"/>
              <w:numPr>
                <w:ilvl w:val="0"/>
                <w:numId w:val="0"/>
              </w:numPr>
              <w:ind w:leftChars="0"/>
              <w:jc w:val="center"/>
              <w:rPr>
                <w:rFonts w:hint="eastAsia"/>
                <w:highlight w:val="none"/>
                <w:lang w:val="en-US" w:eastAsia="zh-CN"/>
              </w:rPr>
            </w:pPr>
            <w:r>
              <w:rPr>
                <w:rFonts w:hint="eastAsia"/>
                <w:highlight w:val="none"/>
                <w:lang w:val="en-US" w:eastAsia="zh-CN"/>
              </w:rPr>
              <w:t>评审协助</w:t>
            </w:r>
          </w:p>
        </w:tc>
        <w:tc>
          <w:tcPr>
            <w:tcW w:w="5970" w:type="dxa"/>
            <w:tcBorders>
              <w:top w:val="single" w:color="auto" w:sz="4" w:space="0"/>
              <w:left w:val="single" w:color="auto" w:sz="4" w:space="0"/>
              <w:bottom w:val="single" w:color="auto" w:sz="4" w:space="0"/>
              <w:right w:val="single" w:color="auto" w:sz="4" w:space="0"/>
            </w:tcBorders>
            <w:noWrap/>
            <w:vAlign w:val="center"/>
          </w:tcPr>
          <w:p>
            <w:pPr>
              <w:pStyle w:val="114"/>
              <w:numPr>
                <w:ilvl w:val="0"/>
                <w:numId w:val="0"/>
              </w:numPr>
              <w:ind w:leftChars="0"/>
              <w:rPr>
                <w:rFonts w:hint="eastAsia"/>
                <w:highlight w:val="none"/>
                <w:lang w:val="en-US" w:eastAsia="zh-CN"/>
              </w:rPr>
            </w:pPr>
            <w:r>
              <w:rPr>
                <w:rFonts w:hint="eastAsia"/>
                <w:highlight w:val="none"/>
                <w:lang w:val="en-US" w:eastAsia="zh-CN"/>
              </w:rPr>
              <w:t>中标人需提供三甲医院等级评审协助工作，协助医院进行评审测评工作开展。</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集团内医共体改造（联众平台）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90"/>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597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597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实现第一医院集团内双向转诊业务。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预约挂号</w:t>
            </w:r>
          </w:p>
        </w:tc>
        <w:tc>
          <w:tcPr>
            <w:tcW w:w="597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五家医院互转，对接集团内信息平台，HIS提供视图和存储过程并做功能集成.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预约检查</w:t>
            </w:r>
          </w:p>
        </w:tc>
        <w:tc>
          <w:tcPr>
            <w:tcW w:w="597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其他四级医院转第一医院，对接集团内信息平台，第一医院HIS提供视图和服务。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预约住院</w:t>
            </w:r>
          </w:p>
        </w:tc>
        <w:tc>
          <w:tcPr>
            <w:tcW w:w="597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五家医院互转，对接集团内信息平台，HIS提供视图和存储过程并做功能集成。</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两卡融合改造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7.1浙江省电子健康卡就诊项目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bCs/>
                <w:kern w:val="0"/>
                <w:sz w:val="21"/>
                <w:szCs w:val="21"/>
                <w:highlight w:val="none"/>
                <w:lang w:val="en-US" w:eastAsia="zh-CN" w:bidi="ar-SA"/>
              </w:rPr>
            </w:pPr>
            <w:r>
              <w:rPr>
                <w:rFonts w:hint="eastAsia" w:ascii="宋体" w:hAnsi="宋体" w:eastAsia="宋体" w:cs="Times New Roman"/>
                <w:bCs/>
                <w:kern w:val="0"/>
                <w:sz w:val="21"/>
                <w:szCs w:val="21"/>
                <w:highlight w:val="none"/>
                <w:lang w:val="en-US" w:eastAsia="zh-CN" w:bidi="ar-SA"/>
              </w:rPr>
              <w:t>1</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基本要求</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实现患者使用浙江省电子健康卡进行就诊。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读卡器前置服务</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前置服务接收读卡功能传入的动态二维码，调用省平台的身份验证交易，验证身份合法性并读取相关信息，并且返回结果给调用方。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门诊挂号</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增加居民电子健康卡扫码功能，扫码获取二维码后调用读卡前置服务获取病人的身份信息，根据明确的身份信息开展门诊挂号业务。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门诊收费</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增加居民电子健康卡扫码功能，扫码获取二维码后调用读卡前置服务获取病人的身份信息，根据明确的身份信息开展门诊收费业务。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诊间接诊</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增加居民电子健康卡扫码功能，扫码获取二维码后调用读卡前置服务获取病人的身份信息，根据明确的身份信息开展诊间接诊业务。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诊间结算</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增加居民电子健康卡扫码功能，扫码获取二维码后调用读卡前置服务获取病人的身份信息，根据明确的身份信息开展诊间结算业务。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7</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入院登记</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增加居民电子健康卡扫码功能，扫码获取二维码后调用读卡前置服务获取病人的身份信息，根据明确的身份信息开展入院登记业务。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8</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出院结算</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增加居民电子健康卡扫码功能，扫码获取二维码后调用读卡前置服务获取病人的身份信息，根据明确的身份信息开展出院结算业务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9</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自助机读卡改造</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增加居民电子健康卡扫码功能，扫码获取二维码后调用读卡前置服务获取病人的身份信息，根据明确的身份信息开展相关自助服务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10</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健康卡信息查询功能</w:t>
            </w:r>
          </w:p>
        </w:tc>
        <w:tc>
          <w:tcPr>
            <w:tcW w:w="598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HIS系统提供居民电子健康卡卡信息查询功能，针对已经在医院使用过居民电子健康卡的病人提供查询界面</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7.2浙江省电子健康卡支付项目</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749"/>
        <w:gridCol w:w="1111"/>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3551"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基本要求</w:t>
            </w:r>
          </w:p>
        </w:tc>
        <w:tc>
          <w:tcPr>
            <w:tcW w:w="3551"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实现患者能够使用浙江省电子健康卡进行支付。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02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统一支付平台改造</w:t>
            </w:r>
          </w:p>
        </w:tc>
        <w:tc>
          <w:tcPr>
            <w:tcW w:w="3551"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通过电子健康卡支付平台的订单推送、订单撤销、订单退款及支付(退款)成功回调服务进行数据交互，实现电子健康卡支付和退款的功能。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对账核查</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提供电子健康卡支付对账功能。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提供电子健康卡异常账目的错账核查功能。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提供电子健康卡的错账处理功能。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支付对账提供定时的自动化对账和实时的人工对账两种模式。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异常账目提供清晰条目化的交易信息，便于核查每笔交易的状态并针对错账提供退款操作，保持账目持平。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报表体系</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提供独立的电子健康卡支付的交易汇总统计和交易明细统计，协助医院财务人员根据时间段进行医院收入情况分析以及详细的每笔交易状况分析。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汇总分析：支持按日期、医疗机构分别统计电子健康卡支付平台的交易金额、交易笔数、退款金额与退款笔数。提供不同医疗机构当天收入汇总报表，按日期统计交易金额、退款金额。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明细分析：支持按日期、医疗机构统计电子健康卡支付平台的交易明细，包括成功交易明细、退款交易明细等。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02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HIS系统改造</w:t>
            </w: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门诊窗口支付</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在门诊挂号和收费窗口，使用电子健康卡就诊的患者，新增电子健康卡支付方式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患者扫码确认支付后，收费程序同步等待统一支付平台通知支付结果，如果支付成功则打印发票及其他票据，如果支付失败返回预结算界面提示选择其他支付方式进行支付。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在门诊发票打印中增加健康卡支付显示。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医生诊间支付</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在门诊医生就诊中，使用电子健康卡就诊的患者，在诊间结算时增加电子健康卡支付方式。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15</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患者扫码确认支付后，诊间结算程序同步等待统一支付平台通知支付结果，如果支付成功则打印诊间凭证，如果支付失败返回预结算界面提示选择其他支付方式进行支付。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在诊间凭证打印中增加健康卡支付显示。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17</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住院窗口支付</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在住院预交款充值和住院结算窗口，使用电子健康卡就诊的患者，新增电子健康卡支付方式。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患者扫码确认支付后，收费程序同步等待统一支付平台通知支付结果，如果支付成功则打印发票及其他票据，如果支付失败返回预结界面提示选择其他支付方式进行支付。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19</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在住院发票和预交款凭证打印中增加健康卡支付显示。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自助机支付接口</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自助机支付方式增加电子健康卡支付，通过自助机内置的扫码墩进行扫码支付。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支付成功后提供带有支付方式的支付凭证。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22</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报表体系升级</w:t>
            </w: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门诊类报表：提供包含电子健康卡收入和交易记录的门诊日报表和门诊收入报表。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2" w:type="pct"/>
            <w:tcBorders>
              <w:top w:val="single" w:color="auto" w:sz="4" w:space="0"/>
              <w:left w:val="single" w:color="auto" w:sz="4" w:space="0"/>
              <w:bottom w:val="single" w:color="auto" w:sz="4" w:space="0"/>
              <w:right w:val="single" w:color="auto" w:sz="4" w:space="0"/>
            </w:tcBorders>
            <w:noWrap/>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23</w:t>
            </w:r>
          </w:p>
        </w:tc>
        <w:tc>
          <w:tcPr>
            <w:tcW w:w="10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5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rPr>
            </w:pPr>
          </w:p>
        </w:tc>
        <w:tc>
          <w:tcPr>
            <w:tcW w:w="289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住院类报表：提供包含电子健康卡收入和交易记录的住院日报表和住院收入报表。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7.3浙江省电子社保卡诊疗项目</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53"/>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扫码读卡</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门诊挂号收费、医生工作站等读卡检索功能模块支持省电子社保卡的扫码读卡功能。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门诊接诊</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在门诊就诊时，支持扫电子社保卡定位患者。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接诊时记录患者就诊的用卡信息(实体卡还是电子卡)。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医生接诊时，为了保证数据的唯一性，对患者已有移动支付订单进行查询，如果存在未完成的支付订单，系统自动对该订单进行取消操作，将平台和本地的订单取消，只有取消成功才能正常接诊。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诊间结算</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支持电子社保卡结算。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移动支付</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支持通过浙里办APP的电子社保卡二维码进行移动支付。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扫码支付</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支持通过浙里办APP的电子社保卡二维码进行扫码支付。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定时下载</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建设定时下载工具。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可以设置定时的循环下载时间。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支持下载移动支付的结算数据。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支持对下载表的异常数据的处理。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定时下载工具总院统一，分点不需要部署。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定时结算</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建设定时结算工具。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定时结算程序支持多开，实现多进程处理移动支付的本地结算。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15</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定时结算程序在每个院区进行部署。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结算业务处理时，对省医保移动支付的结算明细票据数据进行保存，同时调用宁波医保的结算结果查询交易，通过该交易返回的结算结果完成宁波医保相关结算数据的保存。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17</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皮试处理</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注射室的皮试处理功能中，如果皮试结果为阴性，判断该患者是否有省医保移动支付的订单。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门诊退诊</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门诊退诊时需要判断是否有待支付的支付订单(同一个门诊号和接诊医生编号)</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19</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窗口收费</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支持通过扫描电子社保卡进行收费业务</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自助收费</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支持通过扫描电子社保卡进行自助收费业务</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窗口退费(作废)</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支持通过扫描电子社保卡进行窗口退费(作废)业务</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22</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发票及凭证</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所有收费凭证和发票上增加省移动支付的支付方式显示打印</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23</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对账处理</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提供针对独立的省医保移动支付的对账管理功能，将每日明细上传到平台</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24</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平台完成对账后，HIS自动下载对账结果</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对账不平时，支持对对账明细进行自动比对，异常数据可以人工进行批量处理，通过平台的异常明细删除来完成改账</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统计报表</w:t>
            </w: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门诊类报表：提供包含省医保移动支付(自费部分)收入和交易记录的门诊日报表和门诊收入报表</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76" w:lineRule="auto"/>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27</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kern w:val="0"/>
                <w:sz w:val="21"/>
                <w:szCs w:val="21"/>
                <w:highlight w:val="none"/>
              </w:rPr>
            </w:pPr>
          </w:p>
        </w:tc>
        <w:tc>
          <w:tcPr>
            <w:tcW w:w="60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住院类报表：提供包含省医保移动支付(自费部分)收入和交易记录的住院日报表和住院收入报表</w:t>
            </w:r>
            <w:r>
              <w:rPr>
                <w:rFonts w:hint="eastAsia" w:ascii="宋体" w:hAnsi="宋体" w:cs="宋体"/>
                <w:sz w:val="21"/>
                <w:szCs w:val="21"/>
                <w:highlight w:val="none"/>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配合电子病历测评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53"/>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eastAsia="宋体" w:cs="宋体"/>
                <w:b/>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评审协助</w:t>
            </w:r>
          </w:p>
        </w:tc>
        <w:tc>
          <w:tcPr>
            <w:tcW w:w="606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中标人需提供电子病历测评协助工作，协助医院进行评审测评工作开展。</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床管中心改造</w:t>
      </w:r>
    </w:p>
    <w:tbl>
      <w:tblPr>
        <w:tblStyle w:val="26"/>
        <w:tblW w:w="85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5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75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09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75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bookmarkStart w:id="35" w:name="_Toc19622102"/>
            <w:r>
              <w:rPr>
                <w:rFonts w:ascii="宋体" w:hAnsi="宋体" w:eastAsia="宋体" w:cs="Times New Roman"/>
                <w:kern w:val="0"/>
                <w:sz w:val="21"/>
                <w:szCs w:val="21"/>
                <w:highlight w:val="none"/>
                <w:lang w:val="en-US" w:eastAsia="zh-CN" w:bidi="ar-SA"/>
              </w:rPr>
              <w:t>入院电子卡片</w:t>
            </w:r>
            <w:bookmarkEnd w:id="35"/>
          </w:p>
        </w:tc>
        <w:tc>
          <w:tcPr>
            <w:tcW w:w="6090" w:type="dxa"/>
            <w:vAlign w:val="center"/>
          </w:tcPr>
          <w:p>
            <w:pPr>
              <w:widowControl/>
              <w:snapToGrid w:val="0"/>
              <w:spacing w:line="400" w:lineRule="exact"/>
              <w:jc w:val="both"/>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电话号码限制为1</w:t>
            </w:r>
            <w:r>
              <w:rPr>
                <w:rFonts w:ascii="宋体" w:hAnsi="宋体" w:eastAsia="宋体" w:cs="Times New Roman"/>
                <w:kern w:val="0"/>
                <w:sz w:val="21"/>
                <w:szCs w:val="21"/>
                <w:highlight w:val="none"/>
                <w:lang w:val="en-US" w:eastAsia="zh-CN" w:bidi="ar-SA"/>
              </w:rPr>
              <w:t>1</w:t>
            </w:r>
            <w:r>
              <w:rPr>
                <w:rFonts w:hint="eastAsia" w:ascii="宋体" w:hAnsi="宋体" w:eastAsia="宋体" w:cs="Times New Roman"/>
                <w:kern w:val="0"/>
                <w:sz w:val="21"/>
                <w:szCs w:val="21"/>
                <w:highlight w:val="none"/>
                <w:lang w:val="en-US" w:eastAsia="zh-CN" w:bidi="ar-S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75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打印入院电子卡</w:t>
            </w:r>
            <w:r>
              <w:rPr>
                <w:rFonts w:hint="eastAsia" w:ascii="宋体" w:hAnsi="宋体" w:eastAsia="宋体" w:cs="Times New Roman"/>
                <w:kern w:val="0"/>
                <w:sz w:val="21"/>
                <w:szCs w:val="21"/>
                <w:highlight w:val="none"/>
                <w:lang w:val="en-US" w:eastAsia="zh-CN" w:bidi="ar-SA"/>
              </w:rPr>
              <w:t>片</w:t>
            </w:r>
          </w:p>
        </w:tc>
        <w:tc>
          <w:tcPr>
            <w:tcW w:w="6090"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区分预住院与非预住院类型，提供不同提醒内容。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75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新增列表查看</w:t>
            </w:r>
          </w:p>
        </w:tc>
        <w:tc>
          <w:tcPr>
            <w:tcW w:w="6090"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bookmarkStart w:id="36" w:name="_Toc19622104"/>
            <w:r>
              <w:rPr>
                <w:rFonts w:ascii="宋体" w:hAnsi="宋体" w:eastAsia="宋体" w:cs="Times New Roman"/>
                <w:kern w:val="0"/>
                <w:sz w:val="21"/>
                <w:szCs w:val="21"/>
                <w:highlight w:val="none"/>
                <w:lang w:val="en-US" w:eastAsia="zh-CN" w:bidi="ar-SA"/>
              </w:rPr>
              <w:t>床管界面中新增列表查看电子入院卡</w:t>
            </w:r>
            <w:bookmarkEnd w:id="36"/>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75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单病人预约处理</w:t>
            </w:r>
          </w:p>
        </w:tc>
        <w:tc>
          <w:tcPr>
            <w:tcW w:w="6090"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在床管界面支持单病人预约处理。</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电子治疗单预约</w:t>
      </w:r>
    </w:p>
    <w:tbl>
      <w:tblPr>
        <w:tblStyle w:val="26"/>
        <w:tblW w:w="861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03"/>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703"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72"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703"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6172" w:type="dxa"/>
            <w:vAlign w:val="center"/>
          </w:tcPr>
          <w:p>
            <w:pPr>
              <w:widowControl/>
              <w:snapToGrid w:val="0"/>
              <w:spacing w:line="400" w:lineRule="exact"/>
              <w:jc w:val="both"/>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w:t>
            </w:r>
            <w:r>
              <w:rPr>
                <w:rFonts w:ascii="宋体" w:hAnsi="宋体" w:eastAsia="宋体" w:cs="Times New Roman"/>
                <w:kern w:val="0"/>
                <w:sz w:val="21"/>
                <w:szCs w:val="21"/>
                <w:highlight w:val="none"/>
                <w:lang w:val="en-US" w:eastAsia="zh-CN" w:bidi="ar-SA"/>
              </w:rPr>
              <w:t>治疗单开单实现预约模式</w:t>
            </w:r>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703"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72"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支持HIS系统与</w:t>
            </w:r>
            <w:r>
              <w:rPr>
                <w:rFonts w:ascii="宋体" w:hAnsi="宋体" w:eastAsia="宋体" w:cs="Times New Roman"/>
                <w:kern w:val="0"/>
                <w:sz w:val="21"/>
                <w:szCs w:val="21"/>
                <w:highlight w:val="none"/>
                <w:lang w:val="en-US" w:eastAsia="zh-CN" w:bidi="ar-SA"/>
              </w:rPr>
              <w:t>预约平台</w:t>
            </w:r>
            <w:r>
              <w:rPr>
                <w:rFonts w:hint="eastAsia" w:ascii="宋体" w:hAnsi="宋体" w:eastAsia="宋体" w:cs="Times New Roman"/>
                <w:kern w:val="0"/>
                <w:sz w:val="21"/>
                <w:szCs w:val="21"/>
                <w:highlight w:val="none"/>
                <w:lang w:val="en-US" w:eastAsia="zh-CN" w:bidi="ar-SA"/>
              </w:rPr>
              <w:t>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703"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72"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支持对项目设置是否为预约项目。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703"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72"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支持项目设置为强制预约。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w:t>
            </w:r>
          </w:p>
        </w:tc>
        <w:tc>
          <w:tcPr>
            <w:tcW w:w="1703"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72"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开单页面新增预约按钮，支持手工预约或查看预约信息。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6"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9</w:t>
            </w:r>
          </w:p>
        </w:tc>
        <w:tc>
          <w:tcPr>
            <w:tcW w:w="1703"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72"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治疗单显示项目信息以及预约时间。</w:t>
            </w:r>
          </w:p>
        </w:tc>
      </w:tr>
    </w:tbl>
    <w:p>
      <w:pPr>
        <w:rPr>
          <w:color w:val="auto"/>
          <w:sz w:val="28"/>
          <w:szCs w:val="28"/>
          <w:highlight w:val="none"/>
        </w:rPr>
      </w:pPr>
      <w:r>
        <w:rPr>
          <w:color w:val="auto"/>
          <w:sz w:val="28"/>
          <w:szCs w:val="28"/>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纳里健康接口</w:t>
      </w:r>
    </w:p>
    <w:tbl>
      <w:tblPr>
        <w:tblStyle w:val="26"/>
        <w:tblW w:w="862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88"/>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1"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688"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87"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1"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688"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6187"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实现HIS与纳里健康的对接。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1"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688"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87"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实现根据患者身份证信息、机构I</w:t>
            </w:r>
            <w:r>
              <w:rPr>
                <w:rFonts w:ascii="宋体" w:hAnsi="宋体" w:eastAsia="宋体" w:cs="Times New Roman"/>
                <w:kern w:val="0"/>
                <w:sz w:val="21"/>
                <w:szCs w:val="21"/>
                <w:highlight w:val="none"/>
                <w:lang w:val="en-US" w:eastAsia="zh-CN" w:bidi="ar-SA"/>
              </w:rPr>
              <w:t>d</w:t>
            </w:r>
            <w:r>
              <w:rPr>
                <w:rFonts w:hint="eastAsia" w:ascii="宋体" w:hAnsi="宋体" w:eastAsia="宋体" w:cs="Times New Roman"/>
                <w:kern w:val="0"/>
                <w:sz w:val="21"/>
                <w:szCs w:val="21"/>
                <w:highlight w:val="none"/>
                <w:lang w:val="en-US" w:eastAsia="zh-CN" w:bidi="ar-SA"/>
              </w:rPr>
              <w:t>查询纳里平台该患者当天的医技检验记录。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1"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688"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87"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实现根据患者身份证信息、机构I</w:t>
            </w:r>
            <w:r>
              <w:rPr>
                <w:rFonts w:ascii="宋体" w:hAnsi="宋体" w:eastAsia="宋体" w:cs="Times New Roman"/>
                <w:kern w:val="0"/>
                <w:sz w:val="21"/>
                <w:szCs w:val="21"/>
                <w:highlight w:val="none"/>
                <w:lang w:val="en-US" w:eastAsia="zh-CN" w:bidi="ar-SA"/>
              </w:rPr>
              <w:t>d</w:t>
            </w:r>
            <w:r>
              <w:rPr>
                <w:rFonts w:hint="eastAsia" w:ascii="宋体" w:hAnsi="宋体" w:eastAsia="宋体" w:cs="Times New Roman"/>
                <w:kern w:val="0"/>
                <w:sz w:val="21"/>
                <w:szCs w:val="21"/>
                <w:highlight w:val="none"/>
                <w:lang w:val="en-US" w:eastAsia="zh-CN" w:bidi="ar-SA"/>
              </w:rPr>
              <w:t>查询纳里平台该患者当天的医技检查记录。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1"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688"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87" w:type="dxa"/>
            <w:vAlign w:val="center"/>
          </w:tcPr>
          <w:p>
            <w:pPr>
              <w:widowControl/>
              <w:snapToGrid w:val="0"/>
              <w:spacing w:line="400" w:lineRule="exac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his同步检查记录支付状态、检查报告等信息给纳里平台。</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12、81890接口</w:t>
      </w:r>
    </w:p>
    <w:tbl>
      <w:tblPr>
        <w:tblStyle w:val="26"/>
        <w:tblW w:w="862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4"/>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64"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187"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764"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81890坐席人员管理</w:t>
            </w: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支持坐席人员的基本信息的新增。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支持坐席人员的基本信息的修改。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支持坐席人员的基本信息的删除。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支持坐席人员的权限分配。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764"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81890坐席人员预约操作平台</w:t>
            </w: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提供医生排班表。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坐席人员在接到预约请求时，需要录入身份证号、预约人姓名、性别、出生日期、家庭地址、手机号。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锁号成功以后，预约操作平台以提示窗口方式，提供业务流水号让操作人员进行复制。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坐席人员告知用户按短信内容回复短信完成预约挂号。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支持预约平台将向预约登记手机号发送预约成功短信。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764"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81890坐席人员预约业务查询</w:t>
            </w: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坐席人员能够通过手机号、身份证号、支付卡号查询到预约业务信息。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坐席人员能够查询到所有通过81890预约的业务，仅限于81890。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坐席人员允许再次发送预约成功信息。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764"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81890预约业务退号处理</w:t>
            </w: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预约平台如遇医生停诊，将统一由预约平台向医院退号，并以短信方式通知预约登记手机号。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坐席人员允许对预约业务做退号处理。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支持平台会发送退号成功短信到预约登记手机号。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764"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Web Service支付方法和业务查询</w:t>
            </w: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81890支付系统根据中心Web Service提供的业务查询方法，根据业务流水号查询预约挂号信息（医院名称、科室名称、医生姓名、门诊时间、挂号费、手续费、预约号子、预约验证码）。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1764"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187" w:type="dxa"/>
            <w:vAlign w:val="center"/>
          </w:tcPr>
          <w:p>
            <w:pPr>
              <w:widowControl/>
              <w:snapToGrid w:val="0"/>
              <w:spacing w:line="400" w:lineRule="exac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81890支付系统根据中心Web Service提供的支付方法，完成预约确认支付操作并返回业务流水号、支付卡号。</w:t>
            </w:r>
          </w:p>
        </w:tc>
      </w:tr>
    </w:tbl>
    <w:p>
      <w:pPr>
        <w:rPr>
          <w:color w:val="auto"/>
          <w:sz w:val="28"/>
          <w:szCs w:val="28"/>
          <w:highlight w:val="none"/>
        </w:rPr>
      </w:pPr>
      <w:r>
        <w:rPr>
          <w:color w:val="auto"/>
          <w:sz w:val="28"/>
          <w:szCs w:val="28"/>
          <w:highlight w:val="none"/>
        </w:rPr>
        <w:br w:type="page"/>
      </w:r>
    </w:p>
    <w:p>
      <w:pPr>
        <w:pStyle w:val="114"/>
        <w:numPr>
          <w:ilvl w:val="0"/>
          <w:numId w:val="0"/>
        </w:numPr>
        <w:ind w:leftChars="0"/>
        <w:rPr>
          <w:rFonts w:hint="default"/>
          <w:highlight w:val="none"/>
          <w:lang w:val="en-US" w:eastAsia="zh-CN"/>
        </w:rPr>
      </w:pPr>
      <w:r>
        <w:rPr>
          <w:rFonts w:hint="eastAsia"/>
          <w:highlight w:val="none"/>
          <w:lang w:val="en-US" w:eastAsia="zh-CN"/>
        </w:rPr>
        <w:t>13、 物资接口</w:t>
      </w:r>
    </w:p>
    <w:tbl>
      <w:tblPr>
        <w:tblStyle w:val="26"/>
        <w:tblW w:w="8625"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0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7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800"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5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7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800"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物资接口</w:t>
            </w:r>
          </w:p>
        </w:tc>
        <w:tc>
          <w:tcPr>
            <w:tcW w:w="6150" w:type="dxa"/>
            <w:vAlign w:val="center"/>
          </w:tcPr>
          <w:p>
            <w:pPr>
              <w:rPr>
                <w:rFonts w:ascii="宋体" w:hAnsi="宋体" w:cs="Times New Roman"/>
                <w:sz w:val="21"/>
                <w:szCs w:val="21"/>
                <w:highlight w:val="none"/>
              </w:rPr>
            </w:pPr>
            <w:r>
              <w:rPr>
                <w:rFonts w:hint="eastAsia" w:ascii="宋体" w:hAnsi="宋体" w:cs="Times New Roman"/>
                <w:sz w:val="21"/>
                <w:szCs w:val="21"/>
                <w:highlight w:val="none"/>
              </w:rPr>
              <w:t>HIS与物资管理系统对接，实现物资管理业务开展。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7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800"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50" w:type="dxa"/>
            <w:vAlign w:val="center"/>
          </w:tcPr>
          <w:p>
            <w:pPr>
              <w:widowControl w:val="0"/>
              <w:spacing w:line="360" w:lineRule="auto"/>
              <w:ind w:firstLine="0" w:firstLineChars="0"/>
              <w:jc w:val="both"/>
              <w:rPr>
                <w:rFonts w:ascii="宋体" w:hAnsi="宋体" w:eastAsia="宋体" w:cs="Times New Roman"/>
                <w:kern w:val="2"/>
                <w:sz w:val="21"/>
                <w:szCs w:val="21"/>
                <w:highlight w:val="none"/>
                <w:lang w:val="en-US" w:eastAsia="zh-CN" w:bidi="ar-SA"/>
              </w:rPr>
            </w:pPr>
            <w:r>
              <w:rPr>
                <w:rFonts w:ascii="宋体" w:hAnsi="宋体" w:eastAsia="宋体" w:cs="Times New Roman"/>
                <w:kern w:val="2"/>
                <w:sz w:val="21"/>
                <w:szCs w:val="21"/>
                <w:highlight w:val="none"/>
                <w:lang w:val="en-US" w:eastAsia="zh-CN" w:bidi="ar-SA"/>
              </w:rPr>
              <w:t>H</w:t>
            </w:r>
            <w:r>
              <w:rPr>
                <w:rFonts w:hint="eastAsia" w:ascii="宋体" w:hAnsi="宋体" w:eastAsia="宋体" w:cs="Times New Roman"/>
                <w:kern w:val="2"/>
                <w:sz w:val="21"/>
                <w:szCs w:val="21"/>
                <w:highlight w:val="none"/>
                <w:lang w:val="en-US" w:eastAsia="zh-CN" w:bidi="ar-SA"/>
              </w:rPr>
              <w:t>IS</w:t>
            </w:r>
            <w:r>
              <w:rPr>
                <w:rFonts w:ascii="宋体" w:hAnsi="宋体" w:eastAsia="宋体" w:cs="Times New Roman"/>
                <w:kern w:val="2"/>
                <w:sz w:val="21"/>
                <w:szCs w:val="21"/>
                <w:highlight w:val="none"/>
                <w:lang w:val="en-US" w:eastAsia="zh-CN" w:bidi="ar-SA"/>
              </w:rPr>
              <w:t>软件需要兼容</w:t>
            </w:r>
            <w:r>
              <w:rPr>
                <w:rFonts w:hint="eastAsia" w:ascii="宋体" w:hAnsi="宋体" w:eastAsia="宋体" w:cs="Times New Roman"/>
                <w:kern w:val="2"/>
                <w:sz w:val="21"/>
                <w:szCs w:val="21"/>
                <w:highlight w:val="none"/>
                <w:lang w:val="en-US" w:eastAsia="zh-CN" w:bidi="ar-SA"/>
              </w:rPr>
              <w:t>S</w:t>
            </w:r>
            <w:r>
              <w:rPr>
                <w:rFonts w:ascii="宋体" w:hAnsi="宋体" w:eastAsia="宋体" w:cs="Times New Roman"/>
                <w:kern w:val="2"/>
                <w:sz w:val="21"/>
                <w:szCs w:val="21"/>
                <w:highlight w:val="none"/>
                <w:lang w:val="en-US" w:eastAsia="zh-CN" w:bidi="ar-SA"/>
              </w:rPr>
              <w:t>PD追溯和图特两家高职耗材接口</w:t>
            </w:r>
            <w:r>
              <w:rPr>
                <w:rFonts w:hint="eastAsia" w:ascii="宋体" w:hAnsi="宋体" w:eastAsia="宋体" w:cs="Times New Roman"/>
                <w:kern w:val="2"/>
                <w:sz w:val="21"/>
                <w:szCs w:val="21"/>
                <w:highlight w:val="none"/>
                <w:lang w:val="en-US" w:eastAsia="zh-CN" w:bidi="ar-SA"/>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登革热监测功能</w:t>
      </w:r>
    </w:p>
    <w:tbl>
      <w:tblPr>
        <w:tblStyle w:val="26"/>
        <w:tblW w:w="5065" w:type="pct"/>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15"/>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050" w:type="pct"/>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3541" w:type="pct"/>
            <w:shd w:val="clear" w:color="auto" w:fill="auto"/>
            <w:noWrap/>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050" w:type="pct"/>
            <w:vMerge w:val="restart"/>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登革热干预问诊功能</w:t>
            </w: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widowControl/>
              <w:rPr>
                <w:rFonts w:hint="eastAsia" w:ascii="宋体" w:hAnsi="宋体" w:eastAsia="宋体" w:cs="Times New Roman"/>
                <w:kern w:val="0"/>
                <w:sz w:val="21"/>
                <w:szCs w:val="21"/>
                <w:highlight w:val="none"/>
                <w:lang w:val="en-US" w:eastAsia="zh-CN"/>
              </w:rPr>
            </w:pPr>
            <w:r>
              <w:rPr>
                <w:rFonts w:hint="eastAsia" w:ascii="宋体" w:hAnsi="宋体" w:cs="Times New Roman"/>
                <w:sz w:val="21"/>
                <w:szCs w:val="21"/>
                <w:highlight w:val="none"/>
              </w:rPr>
              <w:t>接诊/开诊断/诊毕/检验中节点进行干预问诊</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登革热功能是否启用</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登革热提示内容设置</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登革热化验指标时限（天数）</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jc w:val="left"/>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是否允许删除干预问诊记录（标记状态）</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登革热输入界面部分控件显示控制（输入模式）</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7</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登革热儿童控制（监护人信息填写）</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8</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干预问诊界面部分信息默认值</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9</w:t>
            </w:r>
          </w:p>
        </w:tc>
        <w:tc>
          <w:tcPr>
            <w:tcW w:w="1050" w:type="pct"/>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登革热干预问配置功能</w:t>
            </w: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根据诊断、体征信息、化验指标等判断和干预问诊</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10</w:t>
            </w:r>
          </w:p>
        </w:tc>
        <w:tc>
          <w:tcPr>
            <w:tcW w:w="1050" w:type="pct"/>
            <w:vMerge w:val="restart"/>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登革热干预问诊统计报表</w:t>
            </w: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widowControl/>
              <w:rPr>
                <w:rFonts w:hint="eastAsia" w:ascii="宋体" w:hAnsi="宋体" w:eastAsia="宋体" w:cs="Times New Roman"/>
                <w:kern w:val="0"/>
                <w:sz w:val="21"/>
                <w:szCs w:val="21"/>
                <w:highlight w:val="none"/>
                <w:lang w:eastAsia="zh-CN"/>
              </w:rPr>
            </w:pPr>
            <w:r>
              <w:rPr>
                <w:rFonts w:hint="eastAsia" w:ascii="宋体" w:hAnsi="宋体" w:cs="Times New Roman"/>
                <w:sz w:val="21"/>
                <w:szCs w:val="21"/>
                <w:highlight w:val="none"/>
              </w:rPr>
              <w:t>医生桌面报表入口</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widowControl/>
              <w:numPr>
                <w:ilvl w:val="0"/>
                <w:numId w:val="0"/>
              </w:numPr>
              <w:spacing w:line="360" w:lineRule="auto"/>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11</w:t>
            </w:r>
          </w:p>
        </w:tc>
        <w:tc>
          <w:tcPr>
            <w:tcW w:w="1050" w:type="pct"/>
            <w:vMerge w:val="continue"/>
            <w:shd w:val="clear" w:color="auto" w:fill="auto"/>
            <w:vAlign w:val="center"/>
          </w:tcPr>
          <w:p>
            <w:pPr>
              <w:widowControl/>
              <w:spacing w:line="360" w:lineRule="auto"/>
              <w:jc w:val="center"/>
              <w:rPr>
                <w:rFonts w:ascii="宋体" w:hAnsi="宋体" w:eastAsia="宋体" w:cs="Times New Roman"/>
                <w:kern w:val="0"/>
                <w:sz w:val="21"/>
                <w:szCs w:val="21"/>
                <w:highlight w:val="none"/>
                <w:lang w:val="en-US" w:eastAsia="zh-CN" w:bidi="ar-SA"/>
              </w:rPr>
            </w:pPr>
          </w:p>
        </w:tc>
        <w:tc>
          <w:tcPr>
            <w:tcW w:w="3541" w:type="pct"/>
            <w:tcBorders>
              <w:top w:val="single" w:color="auto" w:sz="4" w:space="0"/>
              <w:left w:val="single" w:color="auto" w:sz="4" w:space="0"/>
              <w:bottom w:val="single" w:color="auto" w:sz="4" w:space="0"/>
              <w:right w:val="single" w:color="000000" w:sz="4" w:space="0"/>
            </w:tcBorders>
            <w:shd w:val="clear" w:color="auto" w:fill="auto"/>
            <w:noWrap/>
          </w:tcPr>
          <w:p>
            <w:pPr>
              <w:rPr>
                <w:rFonts w:hint="eastAsia" w:ascii="宋体" w:hAnsi="宋体" w:eastAsia="宋体" w:cs="Times New Roman"/>
                <w:sz w:val="21"/>
                <w:szCs w:val="21"/>
                <w:highlight w:val="none"/>
                <w:lang w:eastAsia="zh-CN"/>
              </w:rPr>
            </w:pPr>
            <w:r>
              <w:rPr>
                <w:rFonts w:hint="eastAsia" w:ascii="宋体" w:hAnsi="宋体" w:cs="Times New Roman"/>
                <w:sz w:val="21"/>
                <w:szCs w:val="21"/>
                <w:highlight w:val="none"/>
              </w:rPr>
              <w:t>报表部分列可配置显示</w:t>
            </w:r>
            <w:r>
              <w:rPr>
                <w:rFonts w:hint="eastAsia" w:ascii="宋体" w:hAnsi="宋体" w:cs="Times New Roman"/>
                <w:sz w:val="21"/>
                <w:szCs w:val="21"/>
                <w:highlight w:val="none"/>
                <w:lang w:eastAsia="zh-CN"/>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长三角地区门诊异地医保结算接口</w:t>
      </w:r>
    </w:p>
    <w:tbl>
      <w:tblPr>
        <w:tblStyle w:val="26"/>
        <w:tblW w:w="867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0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800" w:type="dxa"/>
            <w:vAlign w:val="center"/>
          </w:tcPr>
          <w:p>
            <w:pPr>
              <w:widowControl/>
              <w:snapToGrid w:val="0"/>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13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通用字典匹配</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支持本地和中心检查部位查询和匹配。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支持本地和中心检验标本查询和匹配。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支持本地和中心科室查询和匹配。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支持本地和中心过敏药物查询和匹配。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支持本地和中心ABO血型查询和匹配。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支持本地和中心麻醉方式查询和匹配。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支持本地和中心RH血型查询和匹配。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支持本地和中心手术等级查询和匹配。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支持本地和中心手术愈合分级查询和匹配。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支持本地和中心手术切口分类查询和匹配。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支持本地和中心给药途径查询和匹配。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支持本地和中心输血类型查询和匹配。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药品目录下载与匹配</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支持中心药品目录下载功能。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支持中心药品目录续点下载功能。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15</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支持HIS药品目录与中心药品目录的匹配，匹配时，可以通过首拼码、五笔码、药品名称查找中心的对应药品。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支持通过使用标志、状态过滤出相关的未匹配的药品进行匹配，也可以通过药品查询，查看相关的信息及匹配状态。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17</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支持将已经匹配药品撤销匹配，重新匹配。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支持修改已经匹配药品的启用日期。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19</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支持HIS药品单位跟中心药品单位转换。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诊疗目录下载与匹配</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支持中心诊疗目录下载功能。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支持中心诊疗目录续点下载功能。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22</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支持HIS诊疗目录与中心诊疗目录的匹配，匹配时，可以通过首拼码、五笔码、诊疗名称查找中心的对应诊疗。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23</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支持通过使用标志、状态过滤出相关的未匹配的诊疗进行匹配，也可以通过诊疗查询，查看相关的信息及匹配状态。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24</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支持将已经匹配诊疗撤销匹配，重新匹配。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支持修改已经匹配诊疗的启用日期。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疾病目录下载与匹配</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支持中心疾病目录下载功能。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27</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支持中心疾病目录续点下载功能。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支持疾病目录自动匹配功能。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29</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支持HIS疾病目录与中心疾病目录的匹配，匹配时，可以通过首拼码、五笔码、疾病名称查找中心的对应疾病。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30</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支持通过使用标志、状态过滤出相关的未匹配的疾病进行匹配，也可以通过疾病查询，查看相关的信息及匹配状态。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支持将已经匹配疾病撤销匹配，重新匹配。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32</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支持修改已经匹配疾病的启用日期。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33</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行政区划下载</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支持行政区划下载功能。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34</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支持行政区划续点下载功能。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35</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跨省月结算数据下载</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支持跨省月结算数据下载功能。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36</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操作员对账处理</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37</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38</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39</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40</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支持操作员定时对账。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支持操作员日结算明细下载。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42</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支持日对账。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43</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医保账户查询</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支持病人账户查询。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44</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门诊挂号实时结算</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支持在门诊挂号时，医保患者可以实时报销挂号产生的费用。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45</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支持在挂号结算时出现中心有本地无数据情况自动交易作废功能。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46</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支持在门诊退号时，医保患者可以实时返回挂号时报销的费用到医保中心。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47</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支持在退号时出现中心有本地无数据情况自动交易作废功能。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48</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门诊收费医保实时结算</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支持门诊收费预结算医保报销费用信息显示。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49</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支持在门诊收费时，医保患者可以实时报销收费产生的费用。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50</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支持在门诊收费结算时出现中心有本地无数据情况自动交易作废功能。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支持门诊收费发票显示医保报销金额。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52</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支持在门诊退费时，医保患者可以实时返回收费产生的费用到医保中心。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53</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支持在门诊退费结算时出现中心有本地无数据情况自动交易作废功能。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54</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支持门诊退费发票显示医保报销金额。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55</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门诊收费查询</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支持挂号发票补打医保报销金额信息。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56</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支持门诊收费发票补打医保报销金额信息。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57</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医保对账体系</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提供根据日期、人员类别统计一段时间范围的医保结算表。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58</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提供门诊日报展示医保支付金额。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59</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医保定时处理</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支持医保目录下载。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60</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支持医保对账。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61</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相关报表调整</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支持门诊个人日报体现。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62</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支持门诊汇总日报体现。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63</w:t>
            </w:r>
          </w:p>
        </w:tc>
        <w:tc>
          <w:tcPr>
            <w:tcW w:w="1800" w:type="dxa"/>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诊疗信息上传</w:t>
            </w: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支持自费就诊信息上传。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64</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支持自费费用明细上传。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65</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支持检查单信息上传。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66</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支持检验单信息上传。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67</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支持检验明细上传。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68</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支持病案主页上传。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69</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支持手术信息上传。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70</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支持生命特征上传。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71</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支持医嘱信息上传。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72</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支持输血记录上传。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73</w:t>
            </w:r>
          </w:p>
        </w:tc>
        <w:tc>
          <w:tcPr>
            <w:tcW w:w="1800" w:type="dxa"/>
            <w:vMerge w:val="continue"/>
            <w:tcBorders>
              <w:left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支持出院小结上传。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74</w:t>
            </w:r>
          </w:p>
        </w:tc>
        <w:tc>
          <w:tcPr>
            <w:tcW w:w="1800" w:type="dxa"/>
            <w:vMerge w:val="continue"/>
            <w:tcBorders>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支持上传信息撤销。</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0" w:beforeLines="100" w:line="360" w:lineRule="auto"/>
        <w:ind w:left="0" w:leftChars="0"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在线取号</w:t>
      </w:r>
    </w:p>
    <w:tbl>
      <w:tblPr>
        <w:tblStyle w:val="26"/>
        <w:tblW w:w="867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5"/>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815"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3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0"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815"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预约取号机制</w:t>
            </w:r>
          </w:p>
        </w:tc>
        <w:tc>
          <w:tcPr>
            <w:tcW w:w="6135"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支持居民在健康宁波公众号上进行挂号预约。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0" w:type="dxa"/>
            <w:tcBorders>
              <w:top w:val="single" w:color="auto" w:sz="4" w:space="0"/>
              <w:left w:val="single" w:color="auto" w:sz="4" w:space="0"/>
              <w:bottom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815"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35" w:type="dxa"/>
            <w:tcBorders>
              <w:top w:val="single" w:color="auto" w:sz="4" w:space="0"/>
              <w:bottom w:val="single" w:color="auto" w:sz="4" w:space="0"/>
              <w:right w:val="single" w:color="auto" w:sz="4" w:space="0"/>
            </w:tcBorders>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以号源方式来取号。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0" w:type="dxa"/>
            <w:tcBorders>
              <w:top w:val="single" w:color="auto" w:sz="4" w:space="0"/>
              <w:left w:val="single" w:color="auto" w:sz="4" w:space="0"/>
              <w:bottom w:val="single" w:color="auto" w:sz="4" w:space="0"/>
            </w:tcBorders>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815" w:type="dxa"/>
            <w:vMerge w:val="continue"/>
            <w:tcBorders>
              <w:bottom w:val="single" w:color="auto" w:sz="4" w:space="0"/>
            </w:tcBorders>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35" w:type="dxa"/>
            <w:tcBorders>
              <w:top w:val="single" w:color="auto" w:sz="4" w:space="0"/>
              <w:bottom w:val="single" w:color="auto" w:sz="4" w:space="0"/>
              <w:right w:val="single" w:color="auto" w:sz="4" w:space="0"/>
            </w:tcBorders>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支持医院窗口预约挂号取号、医院自助终端预约挂号取号两种方式。</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17、4+7带量采购药品</w:t>
      </w:r>
    </w:p>
    <w:tbl>
      <w:tblPr>
        <w:tblStyle w:val="26"/>
        <w:tblW w:w="865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0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800"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2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800"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联盟药品批次设置</w:t>
            </w:r>
          </w:p>
        </w:tc>
        <w:tc>
          <w:tcPr>
            <w:tcW w:w="612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可针对不同批次政策药品，设置对应的批次。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800"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同类药品设置、使用目标量与规格转换设置</w:t>
            </w:r>
          </w:p>
        </w:tc>
        <w:tc>
          <w:tcPr>
            <w:tcW w:w="612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同品种但是不同品规药品，需进行用量单位转换，便于统一计算目标量；并且需要对科室设置政策内药品使用的目标量。包括</w:t>
            </w:r>
            <w:r>
              <w:rPr>
                <w:rFonts w:ascii="宋体" w:hAnsi="宋体" w:eastAsia="宋体" w:cs="Times New Roman"/>
                <w:kern w:val="0"/>
                <w:sz w:val="21"/>
                <w:szCs w:val="21"/>
                <w:highlight w:val="none"/>
                <w:lang w:val="en-US" w:eastAsia="zh-CN" w:bidi="ar-SA"/>
              </w:rPr>
              <w:t>支持新增某批次药品设置</w:t>
            </w:r>
            <w:r>
              <w:rPr>
                <w:rFonts w:hint="eastAsia" w:ascii="宋体" w:hAnsi="宋体" w:eastAsia="宋体" w:cs="Times New Roman"/>
                <w:kern w:val="0"/>
                <w:sz w:val="21"/>
                <w:szCs w:val="21"/>
                <w:highlight w:val="none"/>
                <w:lang w:val="en-US" w:eastAsia="zh-CN" w:bidi="ar-SA"/>
              </w:rPr>
              <w:t>，</w:t>
            </w:r>
            <w:r>
              <w:rPr>
                <w:rFonts w:ascii="宋体" w:hAnsi="宋体" w:eastAsia="宋体" w:cs="Times New Roman"/>
                <w:kern w:val="0"/>
                <w:sz w:val="21"/>
                <w:szCs w:val="21"/>
                <w:highlight w:val="none"/>
                <w:lang w:val="en-US" w:eastAsia="zh-CN" w:bidi="ar-SA"/>
              </w:rPr>
              <w:t>每个品种药品下可设置多个同类药品，不同规格之间可设置最小单位及基准单位换算比进行换算</w:t>
            </w:r>
            <w:r>
              <w:rPr>
                <w:rFonts w:hint="eastAsia" w:ascii="宋体" w:hAnsi="宋体" w:eastAsia="宋体" w:cs="Times New Roman"/>
                <w:kern w:val="0"/>
                <w:sz w:val="21"/>
                <w:szCs w:val="21"/>
                <w:highlight w:val="none"/>
                <w:lang w:val="en-US" w:eastAsia="zh-CN" w:bidi="ar-SA"/>
              </w:rPr>
              <w:t>，</w:t>
            </w:r>
            <w:r>
              <w:rPr>
                <w:rFonts w:ascii="宋体" w:hAnsi="宋体" w:eastAsia="宋体" w:cs="Times New Roman"/>
                <w:kern w:val="0"/>
                <w:sz w:val="21"/>
                <w:szCs w:val="21"/>
                <w:highlight w:val="none"/>
                <w:lang w:val="en-US" w:eastAsia="zh-CN" w:bidi="ar-SA"/>
              </w:rPr>
              <w:t>支持设置科室药品使用目标量</w:t>
            </w:r>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800"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临床药品处方智能判断</w:t>
            </w:r>
          </w:p>
        </w:tc>
        <w:tc>
          <w:tcPr>
            <w:tcW w:w="612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临床开药智能判断是否存在同类</w:t>
            </w:r>
            <w:r>
              <w:rPr>
                <w:rFonts w:ascii="宋体" w:hAnsi="宋体" w:eastAsia="宋体" w:cs="Times New Roman"/>
                <w:kern w:val="0"/>
                <w:sz w:val="21"/>
                <w:szCs w:val="21"/>
                <w:highlight w:val="none"/>
                <w:lang w:val="en-US" w:eastAsia="zh-CN" w:bidi="ar-SA"/>
              </w:rPr>
              <w:t>4+7政策药，如有，则提供给医生选择</w:t>
            </w:r>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5" w:type="dxa"/>
            <w:vAlign w:val="center"/>
          </w:tcPr>
          <w:p>
            <w:pPr>
              <w:widowControl/>
              <w:numPr>
                <w:ilvl w:val="0"/>
                <w:numId w:val="0"/>
              </w:numPr>
              <w:snapToGrid w:val="0"/>
              <w:spacing w:line="400" w:lineRule="exact"/>
              <w:ind w:leftChars="0"/>
              <w:jc w:val="center"/>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800"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联盟药品使用分析报表</w:t>
            </w:r>
          </w:p>
        </w:tc>
        <w:tc>
          <w:tcPr>
            <w:tcW w:w="612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支持按使用范围、日期、科室等条件查询相应报表。</w:t>
            </w:r>
            <w:r>
              <w:rPr>
                <w:rFonts w:ascii="宋体" w:hAnsi="宋体" w:eastAsia="宋体" w:cs="Times New Roman"/>
                <w:kern w:val="0"/>
                <w:sz w:val="21"/>
                <w:szCs w:val="21"/>
                <w:highlight w:val="none"/>
                <w:lang w:val="en-US" w:eastAsia="zh-CN" w:bidi="ar-SA"/>
              </w:rPr>
              <w:t>针对不同层级的统计，新增不同的权限，提供给对应人员或角色。</w:t>
            </w:r>
            <w:r>
              <w:rPr>
                <w:rFonts w:hint="eastAsia" w:ascii="宋体" w:hAnsi="宋体" w:eastAsia="宋体" w:cs="Times New Roman"/>
                <w:kern w:val="0"/>
                <w:sz w:val="21"/>
                <w:szCs w:val="21"/>
                <w:highlight w:val="none"/>
                <w:lang w:val="en-US" w:eastAsia="zh-CN" w:bidi="ar-SA"/>
              </w:rPr>
              <w:t>支持</w:t>
            </w:r>
            <w:r>
              <w:rPr>
                <w:rFonts w:ascii="宋体" w:hAnsi="宋体" w:eastAsia="宋体" w:cs="Times New Roman"/>
                <w:kern w:val="0"/>
                <w:sz w:val="21"/>
                <w:szCs w:val="21"/>
                <w:highlight w:val="none"/>
                <w:lang w:val="en-US" w:eastAsia="zh-CN" w:bidi="ar-SA"/>
              </w:rPr>
              <w:t>报表查询</w:t>
            </w:r>
            <w:r>
              <w:rPr>
                <w:rFonts w:hint="eastAsia" w:ascii="宋体" w:hAnsi="宋体" w:eastAsia="宋体" w:cs="Times New Roman"/>
                <w:kern w:val="0"/>
                <w:sz w:val="21"/>
                <w:szCs w:val="21"/>
                <w:highlight w:val="none"/>
                <w:lang w:val="en-US" w:eastAsia="zh-CN" w:bidi="ar-SA"/>
              </w:rPr>
              <w:t>、</w:t>
            </w:r>
            <w:r>
              <w:rPr>
                <w:rFonts w:ascii="宋体" w:hAnsi="宋体" w:eastAsia="宋体" w:cs="Times New Roman"/>
                <w:kern w:val="0"/>
                <w:sz w:val="21"/>
                <w:szCs w:val="21"/>
                <w:highlight w:val="none"/>
                <w:lang w:val="en-US" w:eastAsia="zh-CN" w:bidi="ar-SA"/>
              </w:rPr>
              <w:t>统计</w:t>
            </w:r>
            <w:r>
              <w:rPr>
                <w:rFonts w:hint="eastAsia" w:ascii="宋体" w:hAnsi="宋体" w:eastAsia="宋体" w:cs="Times New Roman"/>
                <w:kern w:val="0"/>
                <w:sz w:val="21"/>
                <w:szCs w:val="21"/>
                <w:highlight w:val="no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诊间专科退号功能</w:t>
      </w:r>
    </w:p>
    <w:tbl>
      <w:tblPr>
        <w:tblStyle w:val="26"/>
        <w:tblW w:w="8685"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7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6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770"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50" w:type="dxa"/>
            <w:vAlign w:val="center"/>
          </w:tcPr>
          <w:p>
            <w:pPr>
              <w:widowControl/>
              <w:snapToGrid w:val="0"/>
              <w:spacing w:line="400" w:lineRule="exact"/>
              <w:jc w:val="left"/>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6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770"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615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支持医生在诊间进行退号操作。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6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770"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5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退号时，需要将号子，退回到号源信息中。</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0" w:beforeLines="10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自助机退号功能</w:t>
      </w:r>
    </w:p>
    <w:tbl>
      <w:tblPr>
        <w:tblStyle w:val="26"/>
        <w:tblW w:w="873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5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5"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755"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18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755" w:type="dxa"/>
            <w:vMerge w:val="restart"/>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总体要求</w:t>
            </w:r>
          </w:p>
        </w:tc>
        <w:tc>
          <w:tcPr>
            <w:tcW w:w="618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支持患者在自助机上进行退号操作。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95"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755" w:type="dxa"/>
            <w:vMerge w:val="continue"/>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p>
        </w:tc>
        <w:tc>
          <w:tcPr>
            <w:tcW w:w="618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退号时，需要将号子，退回到号源信息中。</w:t>
            </w:r>
          </w:p>
        </w:tc>
      </w:tr>
    </w:tbl>
    <w:p>
      <w:pPr>
        <w:pStyle w:val="114"/>
        <w:keepNext w:val="0"/>
        <w:keepLines w:val="0"/>
        <w:pageBreakBefore w:val="0"/>
        <w:widowControl w:val="0"/>
        <w:numPr>
          <w:ilvl w:val="0"/>
          <w:numId w:val="3"/>
        </w:numPr>
        <w:kinsoku/>
        <w:wordWrap/>
        <w:overflowPunct/>
        <w:topLinePunct w:val="0"/>
        <w:autoSpaceDE/>
        <w:autoSpaceDN/>
        <w:bidi w:val="0"/>
        <w:adjustRightInd w:val="0"/>
        <w:snapToGrid/>
        <w:spacing w:before="0" w:beforeLines="100" w:line="360" w:lineRule="auto"/>
        <w:ind w:left="0" w:leftChars="0" w:firstLine="0" w:firstLineChars="0"/>
        <w:textAlignment w:val="baseline"/>
        <w:rPr>
          <w:rFonts w:hint="eastAsia"/>
          <w:highlight w:val="none"/>
          <w:lang w:val="en-US" w:eastAsia="zh-CN"/>
        </w:rPr>
      </w:pPr>
      <w:r>
        <w:rPr>
          <w:rFonts w:hint="eastAsia"/>
          <w:highlight w:val="none"/>
          <w:lang w:val="en-US" w:eastAsia="zh-CN"/>
        </w:rPr>
        <w:t>医保诊断库与手术编码库升级</w:t>
      </w:r>
    </w:p>
    <w:tbl>
      <w:tblPr>
        <w:tblStyle w:val="26"/>
        <w:tblW w:w="8715"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5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snapToGrid w:val="0"/>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755" w:type="dxa"/>
            <w:vAlign w:val="center"/>
          </w:tcPr>
          <w:p>
            <w:pPr>
              <w:widowControl/>
              <w:snapToGrid w:val="0"/>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18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疾病ICD和名称字段长度扩展</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省异地医保疾病目录、宁波医保疾病目录、HIS疾病目录中ICD升级到32位、疾病名称升级到256位。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2</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新增疾病目录分类</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将诊断分类为：主诊断、非主诊断、非结算诊断、外因诊断、肿瘤形态学诊断等。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3</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新疾病目录导入及自动处理功能</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疾病目录Excel导入临时目录中并且增加版本控制、增加临时目录查看功能、增加临时表转入JBMC表、增加JBMC相关对应关系提前设置的功能、增加临时表导入宁波医保和省异地医保疾病目录表、增加新目录统一更新疾病版本功能、增加批量疾病目录启用和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4</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新增省异地疾病匹配功能</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HIS疾病目录与省异地疾病目录匹配功能，增加匹配的灵活性。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5</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疾病报卡设置功能调整</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针对已经设置的需报卡疾病诊断，根据ICD码和名称自动转换已有的设置，减少手工设置工作量。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6</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宁波医保单病种匹配功能调整</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增加不同版本疾病目录单病种匹配，实现提前匹配的功能，以便于准确时间点启用新目录。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7</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临床路径设置功能调整</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针对启用临床路径用户，增加不同版本疾病目录设置，实现提前设置的功能，以便于准确时间点启用新目录。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8</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门诊住院收费诊断控制</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门诊住院收费(窗口、诊间、自助机)判断第一个是否为主诊断并过滤非结算诊断。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9</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门诊退费诊断控制</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门诊退费时判断原有诊断是否已经停用，如果停用或未匹配，则提供重新输入新诊断功能完成门诊退费。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10</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门诊医生诊断分类显示</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在门诊医生处增加疾病分类简称显示，诊断输入时同名称诊断自动将主诊断排在前面。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11</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门诊医生诊断输入控制</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允许医院根据疾病分类来设置门诊医生可以输入哪些分类的诊断；门诊第一个诊断必须主诊断。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0" w:type="dxa"/>
            <w:vAlign w:val="center"/>
          </w:tcPr>
          <w:p>
            <w:pPr>
              <w:widowControl/>
              <w:numPr>
                <w:ilvl w:val="0"/>
                <w:numId w:val="0"/>
              </w:numPr>
              <w:snapToGrid w:val="0"/>
              <w:spacing w:line="400" w:lineRule="exact"/>
              <w:ind w:leftChars="0"/>
              <w:jc w:val="center"/>
              <w:rPr>
                <w:rFonts w:hint="default"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12</w:t>
            </w:r>
          </w:p>
        </w:tc>
        <w:tc>
          <w:tcPr>
            <w:tcW w:w="1755"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住院医生诊断输入控制</w:t>
            </w:r>
          </w:p>
        </w:tc>
        <w:tc>
          <w:tcPr>
            <w:tcW w:w="618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住院医生主要诊断控制输入分类为主诊断的诊断。</w:t>
            </w:r>
          </w:p>
        </w:tc>
      </w:tr>
    </w:tbl>
    <w:p>
      <w:pPr>
        <w:pStyle w:val="114"/>
        <w:keepNext w:val="0"/>
        <w:keepLines w:val="0"/>
        <w:pageBreakBefore w:val="0"/>
        <w:widowControl w:val="0"/>
        <w:numPr>
          <w:ilvl w:val="0"/>
          <w:numId w:val="3"/>
        </w:numPr>
        <w:kinsoku/>
        <w:wordWrap/>
        <w:overflowPunct/>
        <w:topLinePunct w:val="0"/>
        <w:autoSpaceDE/>
        <w:autoSpaceDN/>
        <w:bidi w:val="0"/>
        <w:adjustRightInd w:val="0"/>
        <w:snapToGrid/>
        <w:spacing w:before="0" w:beforeLines="100" w:line="360" w:lineRule="auto"/>
        <w:ind w:left="0" w:leftChars="0" w:firstLine="0" w:firstLineChars="0"/>
        <w:textAlignment w:val="baseline"/>
        <w:rPr>
          <w:rFonts w:hint="eastAsia"/>
          <w:highlight w:val="none"/>
          <w:lang w:val="en-US" w:eastAsia="zh-CN"/>
        </w:rPr>
      </w:pPr>
      <w:r>
        <w:rPr>
          <w:rFonts w:hint="eastAsia"/>
          <w:highlight w:val="none"/>
          <w:lang w:val="en-US" w:eastAsia="zh-CN"/>
        </w:rPr>
        <w:t>民政接口</w:t>
      </w:r>
    </w:p>
    <w:tbl>
      <w:tblPr>
        <w:tblStyle w:val="26"/>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6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91"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69"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315" w:type="dxa"/>
            <w:vAlign w:val="center"/>
          </w:tcPr>
          <w:p>
            <w:pPr>
              <w:widowControl/>
              <w:snapToGrid w:val="0"/>
              <w:spacing w:line="400" w:lineRule="exact"/>
              <w:jc w:val="left"/>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91"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69"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民政接口</w:t>
            </w:r>
          </w:p>
        </w:tc>
        <w:tc>
          <w:tcPr>
            <w:tcW w:w="6315"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需实现与宁波市民政系统的对接，按政策要求进行数据指标的交互。</w:t>
            </w:r>
          </w:p>
        </w:tc>
      </w:tr>
    </w:tbl>
    <w:p>
      <w:pPr>
        <w:pStyle w:val="114"/>
        <w:keepNext w:val="0"/>
        <w:keepLines w:val="0"/>
        <w:pageBreakBefore w:val="0"/>
        <w:widowControl w:val="0"/>
        <w:numPr>
          <w:ilvl w:val="0"/>
          <w:numId w:val="3"/>
        </w:numPr>
        <w:kinsoku/>
        <w:wordWrap/>
        <w:overflowPunct/>
        <w:topLinePunct w:val="0"/>
        <w:autoSpaceDE/>
        <w:autoSpaceDN/>
        <w:bidi w:val="0"/>
        <w:adjustRightInd w:val="0"/>
        <w:snapToGrid/>
        <w:spacing w:before="0" w:beforeLines="100" w:line="360" w:lineRule="auto"/>
        <w:ind w:left="0" w:leftChars="0" w:firstLine="0" w:firstLineChars="0"/>
        <w:textAlignment w:val="baseline"/>
        <w:rPr>
          <w:rFonts w:hint="eastAsia"/>
          <w:highlight w:val="none"/>
          <w:lang w:val="en-US" w:eastAsia="zh-CN"/>
        </w:rPr>
      </w:pPr>
      <w:r>
        <w:rPr>
          <w:rFonts w:hint="eastAsia"/>
          <w:highlight w:val="none"/>
          <w:lang w:val="en-US" w:eastAsia="zh-CN"/>
        </w:rPr>
        <w:t>港澳台取号</w:t>
      </w:r>
    </w:p>
    <w:tbl>
      <w:tblPr>
        <w:tblStyle w:val="26"/>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569"/>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91"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69"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33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91"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69"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港澳台取号</w:t>
            </w:r>
          </w:p>
        </w:tc>
        <w:tc>
          <w:tcPr>
            <w:tcW w:w="633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支持港澳台通行证号源取号。</w:t>
            </w:r>
          </w:p>
        </w:tc>
      </w:tr>
    </w:tbl>
    <w:p>
      <w:pPr>
        <w:pStyle w:val="114"/>
        <w:keepNext w:val="0"/>
        <w:keepLines w:val="0"/>
        <w:pageBreakBefore w:val="0"/>
        <w:widowControl w:val="0"/>
        <w:numPr>
          <w:ilvl w:val="0"/>
          <w:numId w:val="3"/>
        </w:numPr>
        <w:kinsoku/>
        <w:wordWrap/>
        <w:overflowPunct/>
        <w:topLinePunct w:val="0"/>
        <w:autoSpaceDE/>
        <w:autoSpaceDN/>
        <w:bidi w:val="0"/>
        <w:adjustRightInd w:val="0"/>
        <w:snapToGrid/>
        <w:spacing w:before="0" w:beforeLines="100" w:line="360" w:lineRule="auto"/>
        <w:ind w:left="0" w:leftChars="0" w:firstLine="0" w:firstLineChars="0"/>
        <w:textAlignment w:val="baseline"/>
        <w:rPr>
          <w:rFonts w:hint="eastAsia"/>
          <w:highlight w:val="none"/>
          <w:lang w:val="en-US" w:eastAsia="zh-CN"/>
        </w:rPr>
      </w:pPr>
      <w:r>
        <w:rPr>
          <w:rFonts w:hint="eastAsia"/>
          <w:highlight w:val="none"/>
          <w:lang w:val="en-US" w:eastAsia="zh-CN"/>
        </w:rPr>
        <w:t>罕见病接口</w:t>
      </w:r>
    </w:p>
    <w:tbl>
      <w:tblPr>
        <w:tblStyle w:val="26"/>
        <w:tblW w:w="883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99"/>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06"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99" w:type="dxa"/>
            <w:vAlign w:val="center"/>
          </w:tcPr>
          <w:p>
            <w:pPr>
              <w:widowControl/>
              <w:snapToGrid w:val="0"/>
              <w:spacing w:line="400" w:lineRule="exact"/>
              <w:jc w:val="center"/>
              <w:rPr>
                <w:rFonts w:ascii="宋体" w:hAnsi="宋体" w:eastAsia="宋体" w:cs="Times New Roman"/>
                <w:bCs/>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330" w:type="dxa"/>
            <w:vAlign w:val="center"/>
          </w:tcPr>
          <w:p>
            <w:pPr>
              <w:widowControl/>
              <w:snapToGrid w:val="0"/>
              <w:spacing w:line="400" w:lineRule="exact"/>
              <w:jc w:val="center"/>
              <w:rPr>
                <w:rFonts w:ascii="宋体" w:hAnsi="宋体" w:eastAsia="宋体" w:cs="宋体"/>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06"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99" w:type="dxa"/>
            <w:vAlign w:val="center"/>
          </w:tcPr>
          <w:p>
            <w:pPr>
              <w:widowControl/>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罕见病接口</w:t>
            </w:r>
          </w:p>
        </w:tc>
        <w:tc>
          <w:tcPr>
            <w:tcW w:w="6330" w:type="dxa"/>
            <w:vAlign w:val="center"/>
          </w:tcPr>
          <w:p>
            <w:pPr>
              <w:widowControl/>
              <w:snapToGrid w:val="0"/>
              <w:spacing w:line="400" w:lineRule="exact"/>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需实现与宁波市医保中心对接，按政策要求进行相关罕见疾病的数据指标交互。</w:t>
            </w:r>
          </w:p>
        </w:tc>
      </w:tr>
    </w:tbl>
    <w:p>
      <w:pPr>
        <w:pStyle w:val="114"/>
        <w:keepNext w:val="0"/>
        <w:keepLines w:val="0"/>
        <w:pageBreakBefore w:val="0"/>
        <w:widowControl w:val="0"/>
        <w:numPr>
          <w:ilvl w:val="0"/>
          <w:numId w:val="3"/>
        </w:numPr>
        <w:kinsoku/>
        <w:wordWrap/>
        <w:overflowPunct/>
        <w:topLinePunct w:val="0"/>
        <w:autoSpaceDE/>
        <w:autoSpaceDN/>
        <w:bidi w:val="0"/>
        <w:adjustRightInd w:val="0"/>
        <w:snapToGrid/>
        <w:spacing w:before="0" w:beforeLines="100" w:line="360" w:lineRule="auto"/>
        <w:ind w:left="0" w:leftChars="0" w:firstLine="0" w:firstLineChars="0"/>
        <w:textAlignment w:val="baseline"/>
        <w:rPr>
          <w:rFonts w:hint="eastAsia"/>
          <w:highlight w:val="none"/>
          <w:lang w:val="en-US" w:eastAsia="zh-CN"/>
        </w:rPr>
      </w:pPr>
      <w:r>
        <w:rPr>
          <w:rFonts w:hint="eastAsia"/>
          <w:highlight w:val="none"/>
          <w:lang w:val="en-US" w:eastAsia="zh-CN"/>
        </w:rPr>
        <w:t>云医院对接</w:t>
      </w:r>
    </w:p>
    <w:p>
      <w:pPr>
        <w:pStyle w:val="114"/>
        <w:keepNext w:val="0"/>
        <w:keepLines w:val="0"/>
        <w:pageBreakBefore w:val="0"/>
        <w:widowControl w:val="0"/>
        <w:numPr>
          <w:ilvl w:val="0"/>
          <w:numId w:val="0"/>
        </w:numPr>
        <w:kinsoku/>
        <w:wordWrap/>
        <w:overflowPunct/>
        <w:topLinePunct w:val="0"/>
        <w:autoSpaceDE/>
        <w:autoSpaceDN/>
        <w:bidi w:val="0"/>
        <w:adjustRightInd w:val="0"/>
        <w:snapToGrid/>
        <w:spacing w:before="0" w:beforeLines="100" w:line="360" w:lineRule="auto"/>
        <w:ind w:leftChars="0"/>
        <w:textAlignment w:val="baseline"/>
        <w:rPr>
          <w:rFonts w:hint="eastAsia"/>
          <w:highlight w:val="none"/>
          <w:lang w:val="en-US" w:eastAsia="zh-CN"/>
        </w:rPr>
      </w:pPr>
      <w:r>
        <w:rPr>
          <w:rFonts w:hint="eastAsia"/>
          <w:highlight w:val="none"/>
          <w:lang w:val="en-US" w:eastAsia="zh-CN"/>
        </w:rPr>
        <w:t>24.1、云医院预约挂号平台对接</w:t>
      </w:r>
    </w:p>
    <w:tbl>
      <w:tblPr>
        <w:tblStyle w:val="26"/>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47"/>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547" w:type="dxa"/>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345" w:type="dxa"/>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547"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内部号源体系的改造</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针对云医院单独开辟号源，实现号源的独立管理。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547"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号源数据的交换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HIS提供服务用于接收云平台提供的</w:t>
            </w:r>
            <w:r>
              <w:rPr>
                <w:rFonts w:hint="eastAsia" w:ascii="宋体" w:hAnsi="宋体" w:eastAsia="宋体" w:cs="宋体"/>
                <w:color w:val="000000"/>
                <w:kern w:val="0"/>
                <w:sz w:val="21"/>
                <w:szCs w:val="21"/>
                <w:highlight w:val="none"/>
                <w:lang w:val="en-US" w:eastAsia="zh-CN" w:bidi="ar-SA"/>
              </w:rPr>
              <w:t>预约信息，以进行医疗机构内部锁号。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HIS提供服务用于接收云平台提供的</w:t>
            </w:r>
            <w:r>
              <w:rPr>
                <w:rFonts w:hint="eastAsia" w:ascii="宋体" w:hAnsi="宋体" w:eastAsia="宋体" w:cs="宋体"/>
                <w:color w:val="000000"/>
                <w:kern w:val="0"/>
                <w:sz w:val="21"/>
                <w:szCs w:val="21"/>
                <w:highlight w:val="none"/>
                <w:lang w:val="en-US" w:eastAsia="zh-CN" w:bidi="ar-SA"/>
              </w:rPr>
              <w:t>取消预约信息，以取消医疗机构内部锁号。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547"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医生排班数据的交换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从云医院平台下载云医院平台提供的完整科室编码表信息。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向云医院平台上传医疗机构可选的云医院就诊科室信息。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向云医院平台上传医疗机构在云医院中出科看诊的医生信息。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向云医院平台上传医疗机构的医生云医院初诊排班信息（号源）。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向云医院平台上传医疗机构已排班医生的停诊表（取消排班）。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547"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预约挂号的相关数据处理</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取号申请处理，HIS提供服务给平台调用，医院需要实现内部挂号数据的临时存储、预约挂号相关信息处理。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患者完成支付后，医院HIS生成结算数据并推送给云平台。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547"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HIS提供服务用于接收云平台的未支付退号申请信息，取消挂号订单。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547"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退号处理</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患者退号时，HIS接收并保持退号申请信息。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547" w:type="dxa"/>
            <w:vMerge w:val="continue"/>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患者到医院退号时，若有云平台的退号申请则HIS进行挂号作废。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547" w:type="dxa"/>
            <w:vMerge w:val="continue"/>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挂号作废后，HIS将退号成功信息推送给云平台。</w:t>
            </w:r>
          </w:p>
        </w:tc>
      </w:tr>
    </w:tbl>
    <w:p>
      <w:pPr>
        <w:pStyle w:val="114"/>
        <w:keepNext w:val="0"/>
        <w:keepLines w:val="0"/>
        <w:pageBreakBefore w:val="0"/>
        <w:widowControl w:val="0"/>
        <w:numPr>
          <w:ilvl w:val="0"/>
          <w:numId w:val="0"/>
        </w:numPr>
        <w:kinsoku/>
        <w:wordWrap/>
        <w:overflowPunct/>
        <w:topLinePunct w:val="0"/>
        <w:autoSpaceDE/>
        <w:autoSpaceDN/>
        <w:bidi w:val="0"/>
        <w:adjustRightInd w:val="0"/>
        <w:snapToGrid/>
        <w:spacing w:before="0" w:beforeLines="100" w:line="360" w:lineRule="auto"/>
        <w:ind w:leftChars="0"/>
        <w:textAlignment w:val="baseline"/>
        <w:rPr>
          <w:rFonts w:hint="default"/>
          <w:highlight w:val="none"/>
          <w:lang w:val="en-US" w:eastAsia="zh-CN"/>
        </w:rPr>
      </w:pPr>
    </w:p>
    <w:p>
      <w:pPr>
        <w:rPr>
          <w:rFonts w:ascii="黑体" w:hAnsi="宋体" w:eastAsia="黑体"/>
          <w:color w:val="auto"/>
          <w:sz w:val="30"/>
          <w:szCs w:val="30"/>
          <w:highlight w:val="none"/>
        </w:rPr>
      </w:pPr>
      <w:r>
        <w:rPr>
          <w:color w:val="auto"/>
          <w:sz w:val="28"/>
          <w:szCs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24.2医保通结算处理对接</w:t>
      </w:r>
    </w:p>
    <w:tbl>
      <w:tblPr>
        <w:tblStyle w:val="26"/>
        <w:tblW w:w="882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53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30"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345"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30" w:type="dxa"/>
            <w:vMerge w:val="restart"/>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HIS系统</w:t>
            </w:r>
            <w:r>
              <w:rPr>
                <w:rFonts w:hint="eastAsia" w:ascii="宋体" w:hAnsi="宋体" w:eastAsia="宋体" w:cs="Times New Roman"/>
                <w:kern w:val="0"/>
                <w:sz w:val="21"/>
                <w:szCs w:val="21"/>
                <w:highlight w:val="none"/>
                <w:lang w:val="en-US" w:eastAsia="zh-CN" w:bidi="ar-SA"/>
              </w:rPr>
              <w:t>内部相关业务及数据处理</w:t>
            </w: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通过挂号订单推送交易生成挂号结算相关数据</w:t>
            </w:r>
            <w:r>
              <w:rPr>
                <w:rFonts w:hint="eastAsia" w:ascii="宋体" w:hAnsi="宋体" w:eastAsia="宋体" w:cs="Times New Roman"/>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530" w:type="dxa"/>
            <w:vMerge w:val="continue"/>
            <w:vAlign w:val="center"/>
          </w:tcPr>
          <w:p>
            <w:pPr>
              <w:widowControl/>
              <w:spacing w:line="360" w:lineRule="atLeast"/>
              <w:jc w:val="center"/>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通过</w:t>
            </w:r>
            <w:r>
              <w:rPr>
                <w:rFonts w:hint="eastAsia" w:ascii="宋体" w:hAnsi="宋体" w:eastAsia="宋体" w:cs="Times New Roman"/>
                <w:kern w:val="0"/>
                <w:sz w:val="21"/>
                <w:szCs w:val="21"/>
                <w:highlight w:val="none"/>
                <w:lang w:val="en-US" w:eastAsia="zh-CN" w:bidi="ar-SA"/>
              </w:rPr>
              <w:t>医保通推送的挂号结算信息完成HIS本地的挂号结算相关流程。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530" w:type="dxa"/>
            <w:vMerge w:val="restart"/>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与医保通进行结算数据的交换</w:t>
            </w: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患者取号时时，HIS生成挂号订单并将挂号订单推送给医保通。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53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患者完成挂号支付时，HIS接收医保通的完成结算信息。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w:t>
            </w:r>
          </w:p>
        </w:tc>
        <w:tc>
          <w:tcPr>
            <w:tcW w:w="153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患者未支付退号时，HIS取消挂号订单后并将信息推送给医保通。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w:t>
            </w:r>
          </w:p>
        </w:tc>
        <w:tc>
          <w:tcPr>
            <w:tcW w:w="153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HIS诊疗信息生成后将信息推送给医保通。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7</w:t>
            </w:r>
          </w:p>
        </w:tc>
        <w:tc>
          <w:tcPr>
            <w:tcW w:w="153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就诊处方取消时，HIS取消支付订单并将信息推送给医保通，HIS本地删除处方数据。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8</w:t>
            </w:r>
          </w:p>
        </w:tc>
        <w:tc>
          <w:tcPr>
            <w:tcW w:w="153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34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诊疗处方结算时，HIS接收医保通的支付信息并在本地生成结算数据。</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24.3云医院平台接口对接</w:t>
      </w:r>
    </w:p>
    <w:tbl>
      <w:tblPr>
        <w:tblStyle w:val="26"/>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3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530" w:type="dxa"/>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345" w:type="dxa"/>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530"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基础数据交换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医疗机构药品目录上传。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医疗机构药品用法字典信息上传。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医疗机构药品频次字典信息上传。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医疗机构诊疗项目信息上传。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530"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诊疗数据交换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HIS提供服务用于接收云平台推送的病历信息。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HIS系统需要设计单独的表结构接收并预存病历信息。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HIS提供服务用于接收云平台推送的诊断信息。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HIS系统需要设计单独的表结构接收并预存诊断信息。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530"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处方数据交换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HIS提供服务用于接收云平台的下发的处方信息，并在医院端生成处方信息。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HIS提供服务用于接收云平台的未支付处方取消信息。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HIS取消支付订单后删除本地就诊处方数据，并将就诊处方取消信息推送给云平台。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530" w:type="dxa"/>
            <w:vMerge w:val="continue"/>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处方结算时，HIS结算数据生成后将支付成功信息推送给云平台。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530" w:type="dxa"/>
            <w:vMerge w:val="restart"/>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退药数据交换</w:t>
            </w: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HIS提供服务用于接收云平台确认的退药申请信息。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30" w:type="dxa"/>
            <w:vAlign w:val="center"/>
          </w:tcPr>
          <w:p>
            <w:pPr>
              <w:widowControl/>
              <w:spacing w:line="360" w:lineRule="atLeas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530" w:type="dxa"/>
            <w:vMerge w:val="continue"/>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p>
        </w:tc>
        <w:tc>
          <w:tcPr>
            <w:tcW w:w="6345" w:type="dxa"/>
            <w:vAlign w:val="center"/>
          </w:tcPr>
          <w:p>
            <w:pPr>
              <w:widowControl/>
              <w:spacing w:line="360" w:lineRule="atLeast"/>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云平台订单在医院窗口退药后，HIS将退药完毕信息推送给云平台。</w:t>
            </w:r>
          </w:p>
        </w:tc>
      </w:tr>
    </w:tbl>
    <w:p>
      <w:pPr>
        <w:rPr>
          <w:color w:val="auto"/>
          <w:sz w:val="28"/>
          <w:szCs w:val="28"/>
          <w:highlight w:val="none"/>
        </w:rPr>
      </w:pPr>
      <w:r>
        <w:rPr>
          <w:color w:val="auto"/>
          <w:sz w:val="28"/>
          <w:szCs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HIS内部业务处理改造</w:t>
      </w:r>
    </w:p>
    <w:tbl>
      <w:tblPr>
        <w:tblStyle w:val="26"/>
        <w:tblW w:w="883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0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00"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375" w:type="dxa"/>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医保匹配备案功能改造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医保基础数据备案调整，包括：科室、医生、收费终端。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500" w:type="dxa"/>
            <w:vMerge w:val="restart"/>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挂号适应性改造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挂号功能针对互联网排班进行控制，窗口挂号不能挂云平台号源，相反云平台不能挂窗口号源。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3</w:t>
            </w:r>
          </w:p>
        </w:tc>
        <w:tc>
          <w:tcPr>
            <w:tcW w:w="1500" w:type="dxa"/>
            <w:vMerge w:val="continue"/>
            <w:vAlign w:val="center"/>
          </w:tcPr>
          <w:p>
            <w:pPr>
              <w:widowControl/>
              <w:spacing w:line="360" w:lineRule="atLeast"/>
              <w:jc w:val="center"/>
              <w:rPr>
                <w:rFonts w:ascii="宋体" w:hAnsi="宋体" w:eastAsia="宋体" w:cs="Times New Roman"/>
                <w:kern w:val="0"/>
                <w:sz w:val="21"/>
                <w:szCs w:val="21"/>
                <w:highlight w:val="none"/>
                <w:lang w:val="en-US" w:eastAsia="zh-CN" w:bidi="ar-SA"/>
              </w:rPr>
            </w:pP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针对云平台预约取号开发单独的业务处理对象，专门处理云平台取号挂号的数据。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4</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退号适应性改造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HIS系统针对退号作控制，针对云平台预约取号的，只有通过云平台确认的才可以在窗口进行退号，退号完成通知云平台退号结果。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5</w:t>
            </w:r>
          </w:p>
        </w:tc>
        <w:tc>
          <w:tcPr>
            <w:tcW w:w="1500" w:type="dxa"/>
            <w:vMerge w:val="restart"/>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门诊诊断、电子病历、处方适应性改造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HIS系统需要接收云平台的诊断，相应设计独立的临时存储数据结构，保存云医院相关信息，同时做到和医院内部的诊断进行兼容，生成完整的内部诊断信息。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6</w:t>
            </w:r>
          </w:p>
        </w:tc>
        <w:tc>
          <w:tcPr>
            <w:tcW w:w="1500" w:type="dxa"/>
            <w:vMerge w:val="continue"/>
            <w:vAlign w:val="center"/>
          </w:tcPr>
          <w:p>
            <w:pPr>
              <w:widowControl/>
              <w:spacing w:line="360" w:lineRule="atLeast"/>
              <w:jc w:val="center"/>
              <w:rPr>
                <w:rFonts w:ascii="宋体" w:hAnsi="宋体" w:eastAsia="宋体" w:cs="Times New Roman"/>
                <w:kern w:val="0"/>
                <w:sz w:val="21"/>
                <w:szCs w:val="21"/>
                <w:highlight w:val="none"/>
                <w:lang w:val="en-US" w:eastAsia="zh-CN" w:bidi="ar-SA"/>
              </w:rPr>
            </w:pP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HIS系统需要接收云平台的病历，相应设计独立的临时存储数据结构，保存云医院相关信息，同时做到和医院内部的病历进行兼容，生成完整的内部病历信息。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7</w:t>
            </w:r>
          </w:p>
        </w:tc>
        <w:tc>
          <w:tcPr>
            <w:tcW w:w="1500" w:type="dxa"/>
            <w:vMerge w:val="continue"/>
            <w:vAlign w:val="center"/>
          </w:tcPr>
          <w:p>
            <w:pPr>
              <w:widowControl/>
              <w:spacing w:line="360" w:lineRule="atLeast"/>
              <w:jc w:val="center"/>
              <w:rPr>
                <w:rFonts w:ascii="宋体" w:hAnsi="宋体" w:eastAsia="宋体" w:cs="Times New Roman"/>
                <w:kern w:val="0"/>
                <w:sz w:val="21"/>
                <w:szCs w:val="21"/>
                <w:highlight w:val="none"/>
                <w:lang w:val="en-US" w:eastAsia="zh-CN" w:bidi="ar-SA"/>
              </w:rPr>
            </w:pP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HIS系统需要接收云平台的处方，相应设计独立的临时存储数据结构，保存云医院相关信息，同时做到和医院内部的处方进行兼容，生成完整的内部处方信息。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8</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门诊收费适应性改造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门诊收费针对云平台和医院内部处方加以识别，控制窗口收费只能收取医院内部处方，云平台处方通过医保通进行收费。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9</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处方退费适应性改造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处方退费针对云平台的处方进行控制，只有云平台确认过的处方才能退费，退费信息的获取途径进行相应的调整，退费成功后通知云平台。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10</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医保通业务适应性改造</w:t>
            </w:r>
          </w:p>
        </w:tc>
        <w:tc>
          <w:tcPr>
            <w:tcW w:w="637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根据医保通针对互联网诊疗结算的要求，扩展订单的相关字段，包括内部数据的存储处理和服务交互。</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24.5 统计报表</w:t>
      </w:r>
    </w:p>
    <w:tbl>
      <w:tblPr>
        <w:tblStyle w:val="26"/>
        <w:tblW w:w="889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50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序号</w:t>
            </w:r>
          </w:p>
        </w:tc>
        <w:tc>
          <w:tcPr>
            <w:tcW w:w="150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功能要求</w:t>
            </w:r>
          </w:p>
        </w:tc>
        <w:tc>
          <w:tcPr>
            <w:tcW w:w="6405"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1</w:t>
            </w:r>
          </w:p>
        </w:tc>
        <w:tc>
          <w:tcPr>
            <w:tcW w:w="1500" w:type="dxa"/>
            <w:vMerge w:val="restart"/>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相关统计需求</w:t>
            </w:r>
          </w:p>
        </w:tc>
        <w:tc>
          <w:tcPr>
            <w:tcW w:w="640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在现有的门诊个人日报、门诊汇总日报的基础上，增加云平台支付的应收款。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widowControl/>
              <w:spacing w:line="360" w:lineRule="atLeast"/>
              <w:jc w:val="center"/>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2</w:t>
            </w:r>
          </w:p>
        </w:tc>
        <w:tc>
          <w:tcPr>
            <w:tcW w:w="1500" w:type="dxa"/>
            <w:vMerge w:val="continue"/>
            <w:vAlign w:val="center"/>
          </w:tcPr>
          <w:p>
            <w:pPr>
              <w:widowControl/>
              <w:spacing w:line="360" w:lineRule="atLeast"/>
              <w:jc w:val="both"/>
              <w:rPr>
                <w:rFonts w:ascii="宋体" w:hAnsi="宋体" w:eastAsia="宋体" w:cs="Times New Roman"/>
                <w:kern w:val="0"/>
                <w:sz w:val="21"/>
                <w:szCs w:val="21"/>
                <w:highlight w:val="none"/>
                <w:lang w:val="en-US" w:eastAsia="zh-CN" w:bidi="ar-SA"/>
              </w:rPr>
            </w:pPr>
          </w:p>
        </w:tc>
        <w:tc>
          <w:tcPr>
            <w:tcW w:w="6405" w:type="dxa"/>
            <w:vAlign w:val="center"/>
          </w:tcPr>
          <w:p>
            <w:pPr>
              <w:widowControl/>
              <w:spacing w:line="360" w:lineRule="atLeast"/>
              <w:jc w:val="both"/>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收费查询、凭证补打发票、门诊收费账单表处理、发票重打体现</w:t>
            </w:r>
            <w:bookmarkStart w:id="37" w:name="OLE_LINK272"/>
            <w:bookmarkStart w:id="38" w:name="OLE_LINK273"/>
            <w:r>
              <w:rPr>
                <w:rFonts w:hint="eastAsia" w:ascii="宋体" w:hAnsi="宋体" w:eastAsia="宋体" w:cs="Times New Roman"/>
                <w:kern w:val="0"/>
                <w:sz w:val="21"/>
                <w:szCs w:val="21"/>
                <w:highlight w:val="none"/>
                <w:lang w:val="en-US" w:eastAsia="zh-CN" w:bidi="ar-SA"/>
              </w:rPr>
              <w:t>云平台支付金额</w:t>
            </w:r>
            <w:bookmarkEnd w:id="37"/>
            <w:bookmarkEnd w:id="38"/>
            <w:r>
              <w:rPr>
                <w:rFonts w:hint="eastAsia" w:ascii="宋体" w:hAnsi="宋体" w:eastAsia="宋体" w:cs="Times New Roman"/>
                <w:kern w:val="0"/>
                <w:sz w:val="21"/>
                <w:szCs w:val="21"/>
                <w:highlight w:val="no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25、2020年年包服务</w:t>
      </w:r>
    </w:p>
    <w:tbl>
      <w:tblPr>
        <w:tblStyle w:val="26"/>
        <w:tblW w:w="891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8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85"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基本维护要求</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为宁波市第一医院的医院信息管理系统的功能修改和扩充功能提供长期服务。当软件及数据发生故障时通过电脑网络和上门现场维修，判断故障原因，并作出相应处理。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p>
        </w:tc>
        <w:tc>
          <w:tcPr>
            <w:tcW w:w="14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上门服务响应时间：</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一级故障：当软件发生故障使医院无法正常营业时，服务商必须在2小时内到达现场提供技术支持，查出故障原因，制定解决办法。</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二级故障：当软件发上故障但不影响具体业务时在收到医院通知2小时内响应，并与医院协商具体解决办法。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服务保障</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软件行业归根到底应该属于服务行业，投标人要以为用户提供优质的服务为公司服务宗旨，以用户是否满意为衡量服务质量的唯一标准。倡导“当好参谋，做好保姆”的服务理念，为用户提供售前、售中、售后全方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售前服务</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1、售前服务：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内容：医院信息化建设的方案讨论、策划、咨询。比较各医院信息管理软件的优缺点及市场应用情况，针对用户实际情况设计适合用户情况的医院管理系统实施方案。</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方式：</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1）投标人公司网站上信息发布</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2）投标人公司技术人员与用户通过电子邮件、传真、信函等方式互相探讨</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3）投标人公司技术人员上门或用户去投标人公司咨询服务。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服务人员：投标人的软件产品研究部资深软件及医学专家、网络部、市场部技术人员。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售中服务</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2、售中服务：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内容：</w:t>
            </w:r>
            <w:r>
              <w:rPr>
                <w:rFonts w:hint="eastAsia" w:ascii="宋体" w:hAnsi="宋体" w:eastAsia="宋体" w:cs="宋体"/>
                <w:kern w:val="0"/>
                <w:sz w:val="21"/>
                <w:szCs w:val="21"/>
                <w:highlight w:val="none"/>
                <w:lang w:val="en-US" w:eastAsia="zh-CN" w:bidi="ar-SA"/>
              </w:rPr>
              <w:tab/>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1）医院管理系统软件的客户化修改服务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2）医院管理系统软件的安装、初始化服务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3）医院管理系统软件的操作、使用、培训服务，包括：（a、计算机基础知识b、投标人的软件产品的操作使用培训）</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方式：</w:t>
            </w:r>
            <w:r>
              <w:rPr>
                <w:rFonts w:hint="eastAsia" w:ascii="宋体" w:hAnsi="宋体" w:eastAsia="宋体" w:cs="宋体"/>
                <w:kern w:val="0"/>
                <w:sz w:val="21"/>
                <w:szCs w:val="21"/>
                <w:highlight w:val="none"/>
                <w:lang w:val="en-US" w:eastAsia="zh-CN" w:bidi="ar-SA"/>
              </w:rPr>
              <w:tab/>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1）投标人公司软件技术人员上门服务。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2）统一组织、用户集中分批培训。</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3）用户到投标人公司接受专项培训。</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4）用户到厂商接受培训</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服务人员：投标人公司软件开发部及技术服务部的技术人员。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售后服务</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3、售后服务：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内容：</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投标人公司医院管理系统软件上线运行后的服务。以保证软件的正常运行，排除所有故障，包括：</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软件运行过程中发生的故障的维护工作；</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对用户提出的新的功能要求进行软件改正与扩充；</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调整系统所需的软硬件环境；</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免费提供不断更新的升级版本（网上发布）；</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无偿终身技术咨询服务。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方式：</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远程网络服务：定期对医院管理信息系统进行远程系统检查，内容包括：</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软件更新；</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检查系统数据是否正常；</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对软件进行数据整理等日常维护；</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解答用户疑问；</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电话服务：为用户的软件使用提供日常电话咨询指导服务；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互连网服务：投标人在其公司网站上提供软件下载、技术讨论、服务投诉等服务；</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软件发生故障时，通过电脑网络或上门进行现场维修，判定故障原因，并作出相应处理。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48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bidi="ar-SA"/>
              </w:rPr>
              <w:t>服务人员</w:t>
            </w:r>
          </w:p>
        </w:tc>
        <w:tc>
          <w:tcPr>
            <w:tcW w:w="6405" w:type="dxa"/>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服务人员：</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1）投标人公司软件产品研究部资深软件专家，软件开发部技术服务的技术人员。</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2）受投标人公司邀请的第三方厂商的工程技术人员。</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bookmarkStart w:id="39" w:name="_Toc249176208"/>
            <w:bookmarkStart w:id="40" w:name="_Toc302054732"/>
            <w:r>
              <w:rPr>
                <w:rFonts w:hint="eastAsia" w:ascii="宋体" w:hAnsi="宋体" w:eastAsia="宋体" w:cs="宋体"/>
                <w:kern w:val="0"/>
                <w:sz w:val="21"/>
                <w:szCs w:val="21"/>
                <w:highlight w:val="none"/>
                <w:lang w:val="en-US" w:eastAsia="zh-CN" w:bidi="ar-SA"/>
              </w:rPr>
              <w:t>7×24小时服务</w:t>
            </w:r>
            <w:bookmarkEnd w:id="39"/>
            <w:bookmarkEnd w:id="40"/>
            <w:r>
              <w:rPr>
                <w:rFonts w:hint="eastAsia" w:ascii="宋体" w:hAnsi="宋体" w:eastAsia="宋体" w:cs="宋体"/>
                <w:kern w:val="0"/>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投标人公司应设有7×24小时服务热线，可以24小时响应医院的服务请求。</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其他需求类改造</w:t>
      </w:r>
    </w:p>
    <w:tbl>
      <w:tblPr>
        <w:tblStyle w:val="26"/>
        <w:tblW w:w="894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500" w:type="dxa"/>
            <w:vAlign w:val="center"/>
          </w:tcPr>
          <w:p>
            <w:pPr>
              <w:widowControl/>
              <w:snapToGrid w:val="0"/>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功能要求</w:t>
            </w:r>
          </w:p>
        </w:tc>
        <w:tc>
          <w:tcPr>
            <w:tcW w:w="642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预住院流程优化</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病区支持医生在预住院时可对患者进行检查化验项目的开嘱。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病区支持打印检查条码，化验条码。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病区支持收取静脉采血费和管子。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人员信息同步</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实现通过集成平台，同步人事系统的职工基本信息和权限信息给HIS处理。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自助机改造</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实现自助机挂号特病与科室一对多关系，患者通过自助机能够选择特殊病种挂对应的科室。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新增自助机特病与科室对应关系维护界面。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支持新增科室或者多个科室变动时候，能够通过病种关联科室。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包药机二维码改造</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部分药品由包药机包药完成，包药机会自动生成二维码供护士PDA扫描执行。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在包药机发送界面，新增功能可以打印没有进行包药的药品。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添加打印标志，对已经打印过的药品列表，默认隐藏，也可以手动选择出进行补打。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可以单选、多选、全选当前某几条进行打印到一张条码上。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条码格式和纸张大小可按照医院要求，可本地指定打印机。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门诊赠药处方</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新增门诊赠药处方功能和查询打印功能。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新生儿听力筛查登记表</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新增新生儿听力筛查登记表，查询条件包括出生日期（儿童）、筛查日期、母亲姓名、婴儿住院号、病区等，支持打印和导出，选择结果数据的记录双击弹出登记界面，听力筛查的内容填报功能，包含筛查日期、高危病史、筛查结果、复筛结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15</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胰岛素笔标签</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申请胰岛素笔外贴标签。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新增重点监控药品金额统计报表。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17</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支持全院科室(门诊和住院)与筛选日期条件筛选。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治疗单费用控制</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治疗单费用在诊疗中开单科室的控制功能。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19</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可通过限制科室，在科室的医生无法在诊疗中开具治疗费用。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住院处方打印功能</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赠药及科研用药住院医生中新增医嘱开具及打印功能。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医类饮食医嘱</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饮食医嘱新增特医类食品医嘱开嘱。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22</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特医类饮食医嘱控制只能临时医嘱去开，控制不能开长期医嘱。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23</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新冠管控升级</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支持门诊医生在开具入院电子卡片之前增加新冠核酸、抗体检测等提示。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24</w:t>
            </w:r>
          </w:p>
        </w:tc>
        <w:tc>
          <w:tcPr>
            <w:tcW w:w="1500" w:type="dxa"/>
            <w:vMerge w:val="continue"/>
            <w:vAlign w:val="center"/>
          </w:tcPr>
          <w:p>
            <w:pPr>
              <w:widowControl/>
              <w:snapToGrid w:val="0"/>
              <w:spacing w:line="400" w:lineRule="exact"/>
              <w:jc w:val="center"/>
              <w:rPr>
                <w:rFonts w:hint="eastAsia" w:ascii="宋体" w:hAnsi="宋体" w:eastAsia="宋体" w:cs="宋体"/>
                <w:color w:val="000000"/>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支持新开手术申请，需要新冠核酸、抗体检测等提示。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自备药品用量</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当药品发药方式选择自备时，去除剂量和每次用量的限制。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w:t>
            </w:r>
          </w:p>
        </w:tc>
        <w:tc>
          <w:tcPr>
            <w:tcW w:w="1500" w:type="dxa"/>
            <w:vMerge w:val="restart"/>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发药提醒改造</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门诊发药对指定科室病人处方进行监控提醒。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27</w:t>
            </w:r>
          </w:p>
        </w:tc>
        <w:tc>
          <w:tcPr>
            <w:tcW w:w="1500" w:type="dxa"/>
            <w:vMerge w:val="continue"/>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门诊药房发药界面对指定（发热门诊）的挂号科室具有标红指示。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处方签名</w:t>
            </w:r>
          </w:p>
        </w:tc>
        <w:tc>
          <w:tcPr>
            <w:tcW w:w="6420" w:type="dxa"/>
            <w:vAlign w:val="center"/>
          </w:tcPr>
          <w:p>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处方签名支持签名采用图片的格式。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29</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病理条码模式</w:t>
            </w: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支持病理采用条码模式发送。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20" w:type="dxa"/>
            <w:vAlign w:val="center"/>
          </w:tcPr>
          <w:p>
            <w:pPr>
              <w:widowControl/>
              <w:numPr>
                <w:ilvl w:val="0"/>
                <w:numId w:val="0"/>
              </w:numPr>
              <w:snapToGrid w:val="0"/>
              <w:spacing w:line="400" w:lineRule="exact"/>
              <w:ind w:leftChars="0"/>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30</w:t>
            </w:r>
          </w:p>
        </w:tc>
        <w:tc>
          <w:tcPr>
            <w:tcW w:w="1500" w:type="dxa"/>
            <w:vAlign w:val="center"/>
          </w:tcPr>
          <w:p>
            <w:pPr>
              <w:widowControl/>
              <w:snapToGrid w:val="0"/>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心衰患者提醒</w:t>
            </w:r>
          </w:p>
        </w:tc>
        <w:tc>
          <w:tcPr>
            <w:tcW w:w="6420" w:type="dxa"/>
            <w:vAlign w:val="center"/>
          </w:tcPr>
          <w:p>
            <w:pPr>
              <w:widowControl/>
              <w:snapToGrid w:val="0"/>
              <w:spacing w:line="40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支持心衰患者信息提醒。</w:t>
            </w:r>
          </w:p>
        </w:tc>
      </w:tr>
    </w:tbl>
    <w:p>
      <w:pPr>
        <w:pStyle w:val="114"/>
        <w:numPr>
          <w:ilvl w:val="0"/>
          <w:numId w:val="0"/>
        </w:numPr>
        <w:ind w:leftChars="0"/>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360" w:lineRule="auto"/>
        <w:ind w:leftChars="0"/>
        <w:jc w:val="center"/>
        <w:textAlignment w:val="auto"/>
        <w:outlineLvl w:val="0"/>
        <w:rPr>
          <w:rFonts w:ascii="黑体" w:hAnsi="宋体" w:eastAsia="黑体"/>
          <w:color w:val="auto"/>
          <w:sz w:val="30"/>
          <w:szCs w:val="30"/>
          <w:highlight w:val="none"/>
        </w:rPr>
      </w:pPr>
      <w:r>
        <w:rPr>
          <w:color w:val="auto"/>
          <w:sz w:val="28"/>
          <w:szCs w:val="28"/>
          <w:highlight w:val="none"/>
        </w:rPr>
        <w:br w:type="page"/>
      </w:r>
      <w:bookmarkStart w:id="41" w:name="_Toc8354"/>
      <w:r>
        <w:rPr>
          <w:rFonts w:hint="eastAsia"/>
          <w:color w:val="auto"/>
          <w:sz w:val="28"/>
          <w:szCs w:val="28"/>
          <w:highlight w:val="none"/>
        </w:rPr>
        <w:t>第三章供应商须知</w:t>
      </w:r>
      <w:bookmarkEnd w:id="41"/>
    </w:p>
    <w:p>
      <w:pPr>
        <w:spacing w:line="320" w:lineRule="exact"/>
        <w:jc w:val="center"/>
        <w:rPr>
          <w:color w:val="auto"/>
          <w:highlight w:val="none"/>
        </w:rPr>
      </w:pPr>
      <w:r>
        <w:rPr>
          <w:rFonts w:hint="eastAsia"/>
          <w:color w:val="auto"/>
          <w:highlight w:val="none"/>
        </w:rPr>
        <w:t>前附表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w:t>
            </w:r>
            <w:r>
              <w:rPr>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highlight w:val="none"/>
              </w:rPr>
            </w:pPr>
            <w:r>
              <w:rPr>
                <w:rFonts w:hint="eastAsia"/>
                <w:color w:val="auto"/>
                <w:highlight w:val="none"/>
              </w:rPr>
              <w:t>投标报价及费用：</w:t>
            </w:r>
          </w:p>
          <w:p>
            <w:pPr>
              <w:spacing w:line="300" w:lineRule="exact"/>
              <w:rPr>
                <w:color w:val="auto"/>
                <w:highlight w:val="none"/>
              </w:rPr>
            </w:pPr>
            <w:r>
              <w:rPr>
                <w:color w:val="auto"/>
                <w:highlight w:val="none"/>
              </w:rPr>
              <w:t>1</w:t>
            </w:r>
            <w:r>
              <w:rPr>
                <w:rFonts w:hint="eastAsia"/>
                <w:color w:val="auto"/>
                <w:highlight w:val="none"/>
              </w:rPr>
              <w:t>、本项目投标应以人民币报价；</w:t>
            </w:r>
          </w:p>
          <w:p>
            <w:pPr>
              <w:rPr>
                <w:color w:val="auto"/>
                <w:highlight w:val="none"/>
              </w:rPr>
            </w:pPr>
            <w:r>
              <w:rPr>
                <w:color w:val="auto"/>
                <w:highlight w:val="none"/>
              </w:rPr>
              <w:t>2</w:t>
            </w:r>
            <w:r>
              <w:rPr>
                <w:rFonts w:hint="eastAsia"/>
                <w:color w:val="auto"/>
                <w:highlight w:val="none"/>
              </w:rPr>
              <w:t>、投标费用是履行合同的最终价格，包括但不限于</w:t>
            </w:r>
            <w:r>
              <w:rPr>
                <w:rFonts w:hint="eastAsia"/>
                <w:color w:val="auto"/>
                <w:highlight w:val="none"/>
                <w:lang w:eastAsia="zh-CN"/>
              </w:rPr>
              <w:t>产品</w:t>
            </w:r>
            <w:r>
              <w:rPr>
                <w:rFonts w:hint="eastAsia"/>
                <w:color w:val="auto"/>
                <w:highlight w:val="none"/>
              </w:rPr>
              <w:t>的</w:t>
            </w:r>
            <w:r>
              <w:rPr>
                <w:rFonts w:hint="eastAsia"/>
                <w:color w:val="auto"/>
                <w:highlight w:val="none"/>
                <w:lang w:eastAsia="zh-CN"/>
              </w:rPr>
              <w:t>制作</w:t>
            </w:r>
            <w:r>
              <w:rPr>
                <w:rFonts w:hint="eastAsia"/>
                <w:color w:val="auto"/>
                <w:highlight w:val="none"/>
              </w:rPr>
              <w:t>、调试、产品保护、试运行、检测费、验收费、技术培训、维护、售后服务等一切费用。</w:t>
            </w:r>
          </w:p>
          <w:p>
            <w:pPr>
              <w:spacing w:line="300" w:lineRule="exact"/>
              <w:rPr>
                <w:color w:val="auto"/>
                <w:highlight w:val="none"/>
              </w:rPr>
            </w:pPr>
            <w:r>
              <w:rPr>
                <w:color w:val="auto"/>
                <w:highlight w:val="none"/>
              </w:rPr>
              <w:t>3</w:t>
            </w:r>
            <w:r>
              <w:rPr>
                <w:rFonts w:hint="eastAsia"/>
                <w:color w:val="auto"/>
                <w:highlight w:val="none"/>
              </w:rPr>
              <w:t>、不论投标结果如何，供应商均应自行承担所有与投标有关的全部费用；</w:t>
            </w:r>
          </w:p>
          <w:p>
            <w:pPr>
              <w:rPr>
                <w:color w:val="auto"/>
                <w:highlight w:val="none"/>
              </w:rPr>
            </w:pPr>
            <w:r>
              <w:rPr>
                <w:color w:val="auto"/>
                <w:highlight w:val="none"/>
              </w:rPr>
              <w:t>4</w:t>
            </w:r>
            <w:r>
              <w:rPr>
                <w:rFonts w:hint="eastAsia"/>
                <w:color w:val="auto"/>
                <w:highlight w:val="none"/>
              </w:rPr>
              <w:t>、采购代理机构按下表中</w:t>
            </w:r>
            <w:r>
              <w:rPr>
                <w:rFonts w:hint="eastAsia"/>
                <w:color w:val="auto"/>
                <w:highlight w:val="none"/>
                <w:lang w:eastAsia="zh-CN"/>
              </w:rPr>
              <w:t>服务</w:t>
            </w:r>
            <w:r>
              <w:rPr>
                <w:rFonts w:hint="eastAsia"/>
                <w:color w:val="auto"/>
                <w:highlight w:val="none"/>
              </w:rPr>
              <w:t>招标的标准，根据</w:t>
            </w:r>
            <w:r>
              <w:rPr>
                <w:rFonts w:hint="eastAsia"/>
                <w:color w:val="auto"/>
                <w:highlight w:val="none"/>
                <w:lang w:eastAsia="zh-CN"/>
              </w:rPr>
              <w:t>预算</w:t>
            </w:r>
            <w:r>
              <w:rPr>
                <w:rFonts w:hint="eastAsia"/>
                <w:color w:val="auto"/>
                <w:highlight w:val="none"/>
              </w:rPr>
              <w:t>金额，向中标人收取中标服务费。</w:t>
            </w:r>
          </w:p>
          <w:tbl>
            <w:tblPr>
              <w:tblStyle w:val="26"/>
              <w:tblW w:w="0" w:type="auto"/>
              <w:jc w:val="center"/>
              <w:tblLayout w:type="fixed"/>
              <w:tblCellMar>
                <w:top w:w="0" w:type="dxa"/>
                <w:left w:w="108" w:type="dxa"/>
                <w:bottom w:w="0" w:type="dxa"/>
                <w:right w:w="108" w:type="dxa"/>
              </w:tblCellMar>
            </w:tblPr>
            <w:tblGrid>
              <w:gridCol w:w="2369"/>
              <w:gridCol w:w="1417"/>
              <w:gridCol w:w="1665"/>
              <w:gridCol w:w="1627"/>
            </w:tblGrid>
            <w:tr>
              <w:tblPrEx>
                <w:tblCellMar>
                  <w:top w:w="0" w:type="dxa"/>
                  <w:left w:w="108" w:type="dxa"/>
                  <w:bottom w:w="0" w:type="dxa"/>
                  <w:right w:w="108" w:type="dxa"/>
                </w:tblCellMar>
              </w:tblPrEx>
              <w:trPr>
                <w:trHeight w:val="544" w:hRule="atLeast"/>
                <w:jc w:val="center"/>
              </w:trPr>
              <w:tc>
                <w:tcPr>
                  <w:tcW w:w="23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spacing w:line="360" w:lineRule="atLeast"/>
                    <w:ind w:firstLine="630" w:firstLineChars="300"/>
                    <w:jc w:val="right"/>
                    <w:rPr>
                      <w:color w:val="auto"/>
                      <w:highlight w:val="none"/>
                    </w:rPr>
                  </w:pPr>
                  <w:r>
                    <w:rPr>
                      <w:rFonts w:hint="eastAsia"/>
                      <w:color w:val="auto"/>
                      <w:highlight w:val="none"/>
                    </w:rPr>
                    <w:t>服费务类率型</w:t>
                  </w:r>
                </w:p>
                <w:p>
                  <w:pPr>
                    <w:spacing w:line="360" w:lineRule="atLeast"/>
                    <w:rPr>
                      <w:color w:val="auto"/>
                      <w:highlight w:val="none"/>
                    </w:rPr>
                  </w:pPr>
                  <w:r>
                    <w:rPr>
                      <w:rFonts w:hint="eastAsia"/>
                      <w:color w:val="auto"/>
                      <w:highlight w:val="none"/>
                    </w:rPr>
                    <w:t>金额（万元）</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货物招标</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服务招标</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工程招标</w:t>
                  </w:r>
                </w:p>
              </w:tc>
            </w:tr>
            <w:tr>
              <w:tblPrEx>
                <w:tblCellMar>
                  <w:top w:w="0" w:type="dxa"/>
                  <w:left w:w="108" w:type="dxa"/>
                  <w:bottom w:w="0" w:type="dxa"/>
                  <w:right w:w="108" w:type="dxa"/>
                </w:tblCellMar>
              </w:tblPrEx>
              <w:trPr>
                <w:trHeight w:val="325"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w:t>
                  </w:r>
                  <w:r>
                    <w:rPr>
                      <w:rFonts w:hint="eastAsia"/>
                      <w:color w:val="auto"/>
                      <w:highlight w:val="none"/>
                    </w:rPr>
                    <w:t>以下</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w:t>
                  </w:r>
                </w:p>
              </w:tc>
            </w:tr>
            <w:tr>
              <w:tblPrEx>
                <w:tblCellMar>
                  <w:top w:w="0" w:type="dxa"/>
                  <w:left w:w="108" w:type="dxa"/>
                  <w:bottom w:w="0" w:type="dxa"/>
                  <w:right w:w="108" w:type="dxa"/>
                </w:tblCellMar>
              </w:tblPrEx>
              <w:trPr>
                <w:trHeight w:val="30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100-500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1.1%</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0.8%</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0.7%</w:t>
                  </w:r>
                </w:p>
              </w:tc>
            </w:tr>
            <w:tr>
              <w:tblPrEx>
                <w:tblCellMar>
                  <w:top w:w="0" w:type="dxa"/>
                  <w:left w:w="108" w:type="dxa"/>
                  <w:bottom w:w="0" w:type="dxa"/>
                  <w:right w:w="108" w:type="dxa"/>
                </w:tblCellMar>
              </w:tblPrEx>
              <w:trPr>
                <w:trHeight w:val="341"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500-1000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0.8%</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0.45%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0.55%</w:t>
                  </w:r>
                </w:p>
              </w:tc>
            </w:tr>
            <w:tr>
              <w:tblPrEx>
                <w:tblCellMar>
                  <w:top w:w="0" w:type="dxa"/>
                  <w:left w:w="108" w:type="dxa"/>
                  <w:bottom w:w="0" w:type="dxa"/>
                  <w:right w:w="108" w:type="dxa"/>
                </w:tblCellMar>
              </w:tblPrEx>
              <w:trPr>
                <w:trHeight w:val="29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1000-5000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0.35%</w:t>
                  </w:r>
                </w:p>
              </w:tc>
            </w:tr>
            <w:tr>
              <w:tblPrEx>
                <w:tblCellMar>
                  <w:top w:w="0" w:type="dxa"/>
                  <w:left w:w="108" w:type="dxa"/>
                  <w:bottom w:w="0" w:type="dxa"/>
                  <w:right w:w="108" w:type="dxa"/>
                </w:tblCellMar>
              </w:tblPrEx>
              <w:trPr>
                <w:trHeight w:val="29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5000-10000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0.1%</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w:t>
                  </w:r>
                </w:p>
              </w:tc>
            </w:tr>
            <w:tr>
              <w:tblPrEx>
                <w:tblCellMar>
                  <w:top w:w="0" w:type="dxa"/>
                  <w:left w:w="108" w:type="dxa"/>
                  <w:bottom w:w="0" w:type="dxa"/>
                  <w:right w:w="108" w:type="dxa"/>
                </w:tblCellMar>
              </w:tblPrEx>
              <w:trPr>
                <w:trHeight w:val="413"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w:t>
                  </w:r>
                  <w:r>
                    <w:rPr>
                      <w:rFonts w:hint="eastAsia"/>
                      <w:color w:val="auto"/>
                      <w:highlight w:val="none"/>
                    </w:rPr>
                    <w:t>亿～</w:t>
                  </w:r>
                  <w:r>
                    <w:rPr>
                      <w:color w:val="auto"/>
                      <w:highlight w:val="none"/>
                    </w:rPr>
                    <w:t>5</w:t>
                  </w:r>
                  <w:r>
                    <w:rPr>
                      <w:rFonts w:hint="eastAsia"/>
                      <w:color w:val="auto"/>
                      <w:highlight w:val="none"/>
                    </w:rPr>
                    <w:t>亿</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r>
          </w:tbl>
          <w:p>
            <w:pPr>
              <w:rPr>
                <w:color w:val="auto"/>
                <w:highlight w:val="none"/>
              </w:rPr>
            </w:pPr>
            <w:r>
              <w:rPr>
                <w:color w:val="auto"/>
                <w:highlight w:val="none"/>
              </w:rPr>
              <w:t>5</w:t>
            </w:r>
            <w:r>
              <w:rPr>
                <w:rFonts w:hint="eastAsia"/>
                <w:color w:val="auto"/>
                <w:highlight w:val="none"/>
              </w:rPr>
              <w:t>、采购代理机构财务信息：</w:t>
            </w:r>
          </w:p>
          <w:p>
            <w:pPr>
              <w:rPr>
                <w:color w:val="auto"/>
                <w:highlight w:val="none"/>
              </w:rPr>
            </w:pPr>
            <w:r>
              <w:rPr>
                <w:rFonts w:hint="eastAsia"/>
                <w:color w:val="auto"/>
                <w:highlight w:val="none"/>
              </w:rPr>
              <w:t>开户银行：宁波银行科技支行</w:t>
            </w:r>
          </w:p>
          <w:p>
            <w:pPr>
              <w:rPr>
                <w:color w:val="auto"/>
                <w:highlight w:val="none"/>
              </w:rPr>
            </w:pPr>
            <w:r>
              <w:rPr>
                <w:rFonts w:hint="eastAsia"/>
                <w:color w:val="auto"/>
                <w:highlight w:val="none"/>
              </w:rPr>
              <w:t>帐号：</w:t>
            </w:r>
            <w:r>
              <w:rPr>
                <w:color w:val="auto"/>
                <w:highlight w:val="none"/>
              </w:rPr>
              <w:t xml:space="preserve"> 31010122000005488</w:t>
            </w:r>
          </w:p>
          <w:p>
            <w:pPr>
              <w:rPr>
                <w:color w:val="auto"/>
                <w:highlight w:val="none"/>
              </w:rPr>
            </w:pPr>
            <w:r>
              <w:rPr>
                <w:rFonts w:hint="eastAsia"/>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4"/>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4"/>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（3）纸质备份投标文件：资格文件、商务技术文件（正本1份，副本4份）、报价文件（正本1份，副本4份）。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w:t>
            </w:r>
            <w:r>
              <w:rPr>
                <w:color w:val="auto"/>
                <w:szCs w:val="21"/>
                <w:highlight w:val="none"/>
              </w:rPr>
              <w:t>30</w:t>
            </w:r>
            <w:r>
              <w:rPr>
                <w:rFonts w:hint="eastAsia"/>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w:t>
            </w:r>
            <w:r>
              <w:rPr>
                <w:color w:val="auto"/>
                <w:szCs w:val="21"/>
                <w:highlight w:val="non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解释：本招标文件的解释权属于招标采购单位。</w:t>
            </w:r>
          </w:p>
        </w:tc>
      </w:tr>
    </w:tbl>
    <w:p>
      <w:pPr>
        <w:spacing w:line="360" w:lineRule="auto"/>
        <w:rPr>
          <w:rFonts w:hint="eastAsia"/>
          <w:b/>
          <w:bCs/>
          <w:color w:val="auto"/>
          <w:szCs w:val="21"/>
          <w:highlight w:val="none"/>
        </w:rPr>
      </w:pPr>
    </w:p>
    <w:p>
      <w:pPr>
        <w:spacing w:line="360" w:lineRule="auto"/>
        <w:rPr>
          <w:rFonts w:hint="eastAsia"/>
          <w:b/>
          <w:bCs/>
          <w:color w:val="auto"/>
          <w:szCs w:val="21"/>
          <w:highlight w:val="none"/>
        </w:rPr>
      </w:pPr>
    </w:p>
    <w:p>
      <w:pPr>
        <w:spacing w:line="360" w:lineRule="auto"/>
        <w:rPr>
          <w:rFonts w:hint="eastAsia"/>
          <w:b/>
          <w:bCs/>
          <w:color w:val="auto"/>
          <w:szCs w:val="21"/>
          <w:highlight w:val="none"/>
        </w:rPr>
      </w:pPr>
    </w:p>
    <w:p>
      <w:pPr>
        <w:spacing w:line="360" w:lineRule="auto"/>
        <w:rPr>
          <w:rFonts w:hint="eastAsia"/>
          <w:b/>
          <w:bCs/>
          <w:color w:val="auto"/>
          <w:szCs w:val="21"/>
          <w:highlight w:val="none"/>
        </w:rPr>
      </w:pPr>
    </w:p>
    <w:p>
      <w:pPr>
        <w:spacing w:line="360" w:lineRule="auto"/>
        <w:rPr>
          <w:color w:val="auto"/>
          <w:szCs w:val="21"/>
          <w:highlight w:val="none"/>
        </w:rPr>
      </w:pPr>
      <w:r>
        <w:rPr>
          <w:rFonts w:hint="eastAsia"/>
          <w:b/>
          <w:bCs/>
          <w:color w:val="auto"/>
          <w:szCs w:val="21"/>
          <w:highlight w:val="none"/>
        </w:rPr>
        <w:t>一、总则</w:t>
      </w:r>
    </w:p>
    <w:p>
      <w:pPr>
        <w:spacing w:line="360" w:lineRule="auto"/>
        <w:rPr>
          <w:color w:val="auto"/>
          <w:szCs w:val="21"/>
          <w:highlight w:val="none"/>
        </w:rPr>
      </w:pPr>
      <w:r>
        <w:rPr>
          <w:rFonts w:hint="eastAsia"/>
          <w:color w:val="auto"/>
          <w:szCs w:val="21"/>
          <w:highlight w:val="none"/>
        </w:rPr>
        <w:t>（一）适用范围</w:t>
      </w:r>
    </w:p>
    <w:p>
      <w:pPr>
        <w:spacing w:line="360" w:lineRule="auto"/>
        <w:ind w:firstLine="420" w:firstLineChars="200"/>
        <w:rPr>
          <w:color w:val="auto"/>
          <w:szCs w:val="21"/>
          <w:highlight w:val="none"/>
        </w:rPr>
      </w:pPr>
      <w:r>
        <w:rPr>
          <w:rFonts w:hint="eastAsia"/>
          <w:color w:val="auto"/>
          <w:szCs w:val="21"/>
          <w:highlight w:val="none"/>
        </w:rPr>
        <w:t>本招标文件适用于</w:t>
      </w:r>
      <w:r>
        <w:rPr>
          <w:rFonts w:hint="eastAsia" w:ascii="宋体" w:hAnsi="宋体"/>
          <w:color w:val="auto"/>
          <w:szCs w:val="21"/>
          <w:highlight w:val="none"/>
          <w:lang w:eastAsia="zh-CN"/>
        </w:rPr>
        <w:t>HIS软件升级改造服务项目</w:t>
      </w:r>
      <w:r>
        <w:rPr>
          <w:rFonts w:hint="eastAsia"/>
          <w:color w:val="auto"/>
          <w:szCs w:val="21"/>
          <w:highlight w:val="none"/>
        </w:rPr>
        <w:t>的招标、投标、评标、定标、验收、合同履约、付款等行为（法律、法规另有规定的，从其规定）。</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（二）定义</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1、“招标采购单位”系指组织本次招标的采购代理机构和采购人。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2、“供应商”系指向采购人提交投标文件的单位或个人。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3、“产品”系指供应商按招标文件规定，须向采购人提供的一切设备、保险、税金、备品备件、工具、手册及其它有关技术资料和材料。</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4、“服务”系指招标文件规定供应商须承担的安装、调试、技术协助、校准、培训、技术指导以及其他类似的义务。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5、“项目”系指供应商按招标文件规定向采购人提供的产品和服务。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6、“书面形式”包括信函、传真、电函等。</w:t>
      </w:r>
    </w:p>
    <w:p>
      <w:pPr>
        <w:widowControl/>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7、“★”系指实质性要求条款，供应商的投标对任何带“★”号的重要商务和技术条款的偏离和未作实质性响应都将直接导致投标无效。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（三）招标方式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本次招标采用公开招标方式进行。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（四）投标委托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（五）投标费用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不论投标结果如何，供应商均应自行承担所有与投标有关的全部费用（招标文件有其他规定除外）。</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（六）联合体投标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（七）转包与分包</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本项目不允许转包；未经采购人同意，不允许分包。</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（八）特别说明：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1、提供相同品牌产品且通过资格审查、符合性审查的不同供应商参加同一合同项下投标的，按一家供应商计算。</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非单一产品采购项目，供应商使用相同制造产品（相同制造产品是指招标文件中指定的“核心产品”）作为其项目的一部分，按一家供应商认定。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2、供应商在投标活动中提供任何虚假材料,其投标无效，并报监管部门查处；</w:t>
      </w:r>
      <w:r>
        <w:rPr>
          <w:rFonts w:hint="eastAsia" w:ascii="宋体" w:hAnsi="宋体" w:cs="宋体"/>
          <w:bCs/>
          <w:color w:val="auto"/>
          <w:kern w:val="0"/>
          <w:szCs w:val="20"/>
          <w:highlight w:val="none"/>
        </w:rPr>
        <w:t>中标后发现的,中标人须依照相关规定赔偿采购人，且民事赔偿并不免除违法供应商的行政与刑事责任。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 xml:space="preserve">3、招标文件的澄清与修改 </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szCs w:val="20"/>
          <w:highlight w:val="none"/>
        </w:rPr>
        <w:t>在投标截止时间至少15日前发出；</w:t>
      </w:r>
      <w:r>
        <w:rPr>
          <w:rFonts w:hint="eastAsia" w:ascii="宋体" w:hAnsi="宋体" w:cs="宋体"/>
          <w:bCs/>
          <w:color w:val="auto"/>
          <w:szCs w:val="20"/>
          <w:highlight w:val="none"/>
        </w:rPr>
        <w:t>不足15日的，顺延提交投标文件的截止时间。</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（4）招标文件的澄清、答复、修改或补充都应该通过本代理机构以法定形式发布，采购人非通过本机构，不得擅自澄清、答复、修改或补充招标文件。</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4、关于分公司投标</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5、关于知识产权</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（2）投标报价应包含所有应向所有权人支付的专利权、商标权或其它知识产权的一切相关费用。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6、供应商的风险</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（2）无论因何种原因导致本次采购活动终止致供应商损失的，相关责任人均不承担任何责任。</w:t>
      </w:r>
    </w:p>
    <w:p>
      <w:pPr>
        <w:widowControl/>
        <w:snapToGrid w:val="0"/>
        <w:spacing w:line="360" w:lineRule="auto"/>
        <w:ind w:left="2" w:leftChars="1" w:firstLine="420" w:firstLineChars="200"/>
        <w:jc w:val="left"/>
        <w:rPr>
          <w:rFonts w:ascii="宋体" w:hAnsi="宋体" w:cs="宋体"/>
          <w:b/>
          <w:color w:val="auto"/>
          <w:szCs w:val="20"/>
          <w:highlight w:val="none"/>
        </w:rPr>
      </w:pPr>
      <w:r>
        <w:rPr>
          <w:rFonts w:hint="eastAsia" w:ascii="宋体" w:hAnsi="宋体" w:cs="宋体"/>
          <w:bCs/>
          <w:color w:val="auto"/>
          <w:szCs w:val="20"/>
          <w:highlight w:val="none"/>
        </w:rPr>
        <w:t>7、解释：本招标文件的解释权属于采购人。</w:t>
      </w:r>
    </w:p>
    <w:p>
      <w:pPr>
        <w:widowControl/>
        <w:spacing w:line="360" w:lineRule="auto"/>
        <w:jc w:val="left"/>
        <w:rPr>
          <w:rFonts w:ascii="宋体" w:hAnsi="宋体" w:cs="宋体"/>
          <w:color w:val="auto"/>
          <w:kern w:val="0"/>
          <w:szCs w:val="21"/>
          <w:highlight w:val="none"/>
        </w:rPr>
      </w:pPr>
      <w:bookmarkStart w:id="42" w:name="_Toc13650"/>
      <w:r>
        <w:rPr>
          <w:rFonts w:hint="eastAsia" w:ascii="宋体" w:hAnsi="宋体" w:cs="宋体"/>
          <w:color w:val="auto"/>
          <w:kern w:val="0"/>
          <w:szCs w:val="21"/>
          <w:highlight w:val="none"/>
        </w:rPr>
        <w:t>（九）质疑和投诉</w:t>
      </w:r>
      <w:bookmarkEnd w:id="42"/>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质疑函范本、投诉书范本请到浙江政府采购网下载专区下载。</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二、招标文件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（一）招标文件的构成。本招标文件由以下部分组成：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1、公开招标公告</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2、采购需求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4、评标办法及评分标准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5、政府采购合同主要条款</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（二）供应商的风险</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三、投标文件的编制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（一）投标文件的组成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投标文件由资格文件、商务技术文件和报价文件三部分组成。</w:t>
      </w:r>
      <w:r>
        <w:rPr>
          <w:rFonts w:hint="eastAsia" w:ascii="宋体" w:hAnsi="宋体" w:cs="宋体"/>
          <w:b/>
          <w:bCs/>
          <w:color w:val="auto"/>
          <w:kern w:val="0"/>
          <w:szCs w:val="21"/>
          <w:highlight w:val="none"/>
        </w:rPr>
        <w:t>（纸质备份投标文件：</w:t>
      </w:r>
      <w:r>
        <w:rPr>
          <w:rFonts w:hint="eastAsia" w:ascii="宋体" w:hAnsi="宋体" w:cs="宋体"/>
          <w:b/>
          <w:bCs/>
          <w:color w:val="auto"/>
          <w:kern w:val="0"/>
          <w:szCs w:val="20"/>
          <w:highlight w:val="none"/>
        </w:rPr>
        <w:t>资格文件、商务技术文件二部分可一起装订成册，报价文件须单独装订成册）</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widowControl/>
        <w:numPr>
          <w:ilvl w:val="0"/>
          <w:numId w:val="5"/>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5"/>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（4）招标文件</w:t>
      </w:r>
      <w:r>
        <w:rPr>
          <w:rFonts w:hint="eastAsia" w:ascii="宋体" w:hAnsi="宋体" w:cs="宋体"/>
          <w:color w:val="auto"/>
          <w:kern w:val="0"/>
          <w:szCs w:val="21"/>
          <w:highlight w:val="none"/>
        </w:rPr>
        <w:t>要求的其他资格条件证明材料（如有）；</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2、商务技术文件</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3、报价文件：</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开标一览表（格式见附件）；</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投标报价明细表（格式见附件）；</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中小企业声明函（如有，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残疾人福利性单位声明函（如有）（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供应商针对报价需要说明的其他文件和说明（</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（二）投标文件的语言及计量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（三）投标报价</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1、投标报价应按招标文件中相关附表格式填写。</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★2、投标报价是履行合同的最终价格，具体详见第三章 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★3、投标文件只允许有一个报价，有选择的或有条件的报价将不予接受。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（四）投标文件的有效期</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★1、自投标截止日起90 天投标文件应保持有效。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2、在特殊情况下，采购人可与供应商协商延长投标书的有效期，这种要求和答复均以书面形式进行。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3、供应商同意延长有效期的，不能修改投标文件。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4、中标人的投标文件自开标之日起至合同履行完毕止均应保持有效。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（五）投标文件的签署和份数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供应商应按本招标文件规定的格式和顺序编制、装订投标文件</w:t>
      </w:r>
      <w:r>
        <w:rPr>
          <w:rFonts w:hint="eastAsia" w:ascii="宋体" w:hAnsi="宋体" w:cs="宋体"/>
          <w:color w:val="auto"/>
          <w:kern w:val="0"/>
          <w:szCs w:val="21"/>
          <w:highlight w:val="none"/>
        </w:rPr>
        <w:t>，投标文件要求有目录并标注页码</w:t>
      </w:r>
      <w:r>
        <w:rPr>
          <w:rFonts w:hint="eastAsia" w:ascii="宋体" w:hAnsi="宋体" w:cs="宋体"/>
          <w:color w:val="auto"/>
          <w:kern w:val="0"/>
          <w:szCs w:val="20"/>
          <w:highlight w:val="none"/>
        </w:rPr>
        <w:t>，投标文件内容不完整、编排混乱导致投标文件被误读、漏读或者查找不到相关内容的，是供应商的责任。</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2、投标文件的份数：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本项目实行网上投标，供应商应准备以下投标文件：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（1）上传到政府采购云平台的电子投标文件（含资格文件、商务技术文件、报价文件）1份。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（2）以U盘存储的电子备份投标文件（含资格文件、商务技术文件、报价文件）1份。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（3）纸质备份投标文件：资格、商务技术文件（正本1份，副本4份）、报价文件（正本1份，副本4份）。 </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3、电子投标文件：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kern w:val="0"/>
          <w:szCs w:val="20"/>
          <w:highlight w:val="none"/>
        </w:rPr>
        <w:t>及本招标文件规定的格式和顺序编制电子投标文件并进行关联定位。</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4、纸质备份投标文件：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4.2若有多个标项，资格文件、商务技术文件二部分可装订成一册，报价文件应按标项分别装订、密封、包装，未按规定装订、密封、包装的投标文件将被拒绝。</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4.4投标文件不得涂改，若有修改错漏处，须加盖单位公章或者法定代表人或授权委托人签名或盖章。投标文件因字迹潦草或表达不清所引起的后果由供应商负责。</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0"/>
          <w:highlight w:val="none"/>
        </w:rPr>
        <w:t>4.5投标文件须由供应商在规定位置盖章并由法定代表人或法定代表人的授权委托人签署，供应商应写全称。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（六）投标文件的包装、递交、修改和撤回</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pPr>
        <w:widowControl/>
        <w:snapToGrid w:val="0"/>
        <w:spacing w:line="360" w:lineRule="auto"/>
        <w:ind w:firstLine="420"/>
        <w:jc w:val="left"/>
        <w:rPr>
          <w:rFonts w:ascii="宋体" w:hAnsi="宋体" w:cs="宋体"/>
          <w:bCs/>
          <w:color w:val="auto"/>
          <w:kern w:val="0"/>
          <w:szCs w:val="21"/>
          <w:highlight w:val="none"/>
        </w:rPr>
      </w:pPr>
      <w:r>
        <w:rPr>
          <w:rFonts w:hint="eastAsia" w:ascii="宋体" w:hAnsi="宋体" w:cs="宋体"/>
          <w:color w:val="auto"/>
          <w:kern w:val="0"/>
          <w:szCs w:val="21"/>
          <w:highlight w:val="none"/>
        </w:rPr>
        <w:t>2、纸质备份投标文件</w:t>
      </w:r>
      <w:r>
        <w:rPr>
          <w:rFonts w:hint="eastAsia" w:ascii="宋体" w:hAnsi="宋体" w:cs="宋体"/>
          <w:bCs/>
          <w:color w:val="auto"/>
          <w:kern w:val="0"/>
          <w:szCs w:val="21"/>
          <w:highlight w:val="none"/>
        </w:rPr>
        <w:t>，要求分别按</w:t>
      </w:r>
      <w:r>
        <w:rPr>
          <w:rFonts w:hint="eastAsia" w:ascii="宋体" w:hAnsi="宋体" w:cs="宋体"/>
          <w:color w:val="auto"/>
          <w:kern w:val="0"/>
          <w:szCs w:val="21"/>
          <w:highlight w:val="none"/>
        </w:rPr>
        <w:t>资格、商务技术文件和报价文件二部分</w:t>
      </w:r>
      <w:r>
        <w:rPr>
          <w:rFonts w:hint="eastAsia" w:ascii="宋体" w:hAnsi="宋体" w:cs="宋体"/>
          <w:bCs/>
          <w:color w:val="auto"/>
          <w:kern w:val="0"/>
          <w:szCs w:val="21"/>
          <w:highlight w:val="none"/>
        </w:rPr>
        <w:t>分开包装。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4、未按规定密封或标记的投标文件将被拒绝，由此造成投标文件被误投或提前拆封的风险由供应商承担。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招标文件的要求签署、盖章和密封。</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四、特别说明</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  政府采购活动中有关中小企业的相关规定（采购进口产品的项目不适用）</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  参加政府采购活动的中小企业（含中型、小型、微型企业，其他地方同）应当同时符合以下条件：</w:t>
      </w:r>
    </w:p>
    <w:p>
      <w:pPr>
        <w:widowControl/>
        <w:spacing w:line="360" w:lineRule="auto"/>
        <w:ind w:left="420" w:leftChars="200"/>
        <w:jc w:val="left"/>
        <w:rPr>
          <w:rFonts w:ascii="宋体" w:hAnsi="宋体" w:cs="宋体"/>
          <w:color w:val="auto"/>
          <w:kern w:val="0"/>
          <w:szCs w:val="21"/>
          <w:highlight w:val="none"/>
        </w:rPr>
      </w:pPr>
      <w:r>
        <w:rPr>
          <w:rFonts w:hint="eastAsia" w:ascii="宋体" w:hAnsi="宋体" w:cs="宋体"/>
          <w:color w:val="auto"/>
          <w:kern w:val="0"/>
          <w:szCs w:val="21"/>
          <w:highlight w:val="none"/>
        </w:rPr>
        <w:t>（一）符合中小企业划分标准（具体见工信部联企业[2011]300号）；</w:t>
      </w:r>
    </w:p>
    <w:p>
      <w:pPr>
        <w:widowControl/>
        <w:spacing w:line="360" w:lineRule="auto"/>
        <w:ind w:left="420" w:left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（二）提供本企业制造的货物、承担的工程或者服务，或者提供其他中小企业制造的货物。本项所称货物不包括使用大型企业注册商标的货物。</w:t>
      </w:r>
    </w:p>
    <w:p>
      <w:pPr>
        <w:widowControl/>
        <w:spacing w:line="360" w:lineRule="auto"/>
        <w:ind w:left="420" w:leftChars="200"/>
        <w:jc w:val="left"/>
        <w:rPr>
          <w:rFonts w:ascii="宋体" w:hAnsi="宋体" w:cs="宋体"/>
          <w:color w:val="auto"/>
          <w:kern w:val="0"/>
          <w:szCs w:val="21"/>
          <w:highlight w:val="none"/>
        </w:rPr>
      </w:pPr>
      <w:r>
        <w:rPr>
          <w:rFonts w:hint="eastAsia" w:ascii="宋体" w:hAnsi="宋体" w:cs="宋体"/>
          <w:color w:val="auto"/>
          <w:kern w:val="0"/>
          <w:szCs w:val="21"/>
          <w:highlight w:val="none"/>
        </w:rPr>
        <w:t>（三）小型、微型企业提供中型企业制造的货物的，视同为中型企业。</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1.2  参加政府采购活动的中小企业应当提供《中小企业声明函》。</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1.3  对于非专门面向中小企业的项目，对小型和微型企业产品的价格应给予6%-10%的扣除，用扣除后的价格参与评审。具体扣除比例见第四章 评标办法及评分标准（如有）。</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widowControl/>
        <w:snapToGrid w:val="0"/>
        <w:spacing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5</w:t>
      </w:r>
      <w:r>
        <w:rPr>
          <w:rFonts w:hint="eastAsia" w:ascii="宋体" w:hAnsi="宋体" w:cs="宋体"/>
          <w:color w:val="auto"/>
          <w:szCs w:val="21"/>
          <w:highlight w:val="none"/>
          <w:lang w:val="zh-CN"/>
        </w:rPr>
        <w:t xml:space="preserve">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w:t>
      </w:r>
      <w:r>
        <w:rPr>
          <w:rFonts w:hint="eastAsia" w:ascii="宋体" w:hAnsi="宋体" w:cs="宋体"/>
          <w:color w:val="auto"/>
          <w:szCs w:val="21"/>
          <w:highlight w:val="none"/>
        </w:rPr>
        <w:t>第四章 评标办法及评分标准</w:t>
      </w:r>
      <w:r>
        <w:rPr>
          <w:rFonts w:hint="eastAsia" w:ascii="宋体" w:hAnsi="宋体" w:cs="宋体"/>
          <w:color w:val="auto"/>
          <w:szCs w:val="21"/>
          <w:highlight w:val="none"/>
          <w:lang w:val="zh-CN"/>
        </w:rPr>
        <w:t>（如有）。</w:t>
      </w:r>
    </w:p>
    <w:p>
      <w:pPr>
        <w:widowControl/>
        <w:snapToGrid w:val="0"/>
        <w:spacing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联合体各方均为小型、微型企业的，联合体视同为小型、微型企业。组成联合体的大中型企业和其他自然人、法人或者其他组织，与小型、微型企业之间不得存在投资关系。</w:t>
      </w:r>
    </w:p>
    <w:p>
      <w:pPr>
        <w:widowControl/>
        <w:snapToGrid w:val="0"/>
        <w:spacing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 xml:space="preserve">  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widowControl/>
        <w:snapToGrid w:val="0"/>
        <w:spacing w:line="360" w:lineRule="auto"/>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1.8供应商为小型、微型企业的，所投的货物只有部分为小微企业提供的，不认定为小微企业，不享受小微企业的价格优惠。</w:t>
      </w:r>
    </w:p>
    <w:p>
      <w:pPr>
        <w:spacing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43" w:name="_Toc24415"/>
      <w:r>
        <w:rPr>
          <w:rFonts w:hint="eastAsia"/>
          <w:color w:val="auto"/>
          <w:sz w:val="28"/>
          <w:szCs w:val="28"/>
          <w:highlight w:val="none"/>
        </w:rPr>
        <w:t>第四章评标办法及评分标准</w:t>
      </w:r>
      <w:bookmarkEnd w:id="43"/>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8"/>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8"/>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9"/>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44" w:name="_Toc396115155"/>
      <w:r>
        <w:rPr>
          <w:rFonts w:hint="eastAsia" w:ascii="宋体" w:hAnsi="宋体" w:cs="宋体"/>
          <w:color w:val="auto"/>
          <w:szCs w:val="21"/>
          <w:highlight w:val="none"/>
        </w:rPr>
        <w:t>（2）主持人介绍参加开标会的人员名单；</w:t>
      </w:r>
      <w:bookmarkEnd w:id="44"/>
    </w:p>
    <w:p>
      <w:pPr>
        <w:spacing w:line="400" w:lineRule="exact"/>
        <w:ind w:firstLine="420" w:firstLineChars="200"/>
        <w:jc w:val="left"/>
        <w:rPr>
          <w:rFonts w:ascii="宋体" w:hAnsi="宋体" w:cs="宋体"/>
          <w:color w:val="auto"/>
          <w:szCs w:val="21"/>
          <w:highlight w:val="none"/>
        </w:rPr>
      </w:pPr>
      <w:bookmarkStart w:id="45" w:name="_Toc396115156"/>
      <w:r>
        <w:rPr>
          <w:rFonts w:hint="eastAsia" w:ascii="宋体" w:hAnsi="宋体" w:cs="宋体"/>
          <w:color w:val="auto"/>
          <w:szCs w:val="21"/>
          <w:highlight w:val="none"/>
        </w:rPr>
        <w:t>（3）主持人宣布评标期间的有关事项，告知应当回避的情形,提请有关人员回避；</w:t>
      </w:r>
      <w:bookmarkEnd w:id="45"/>
    </w:p>
    <w:p>
      <w:pPr>
        <w:spacing w:line="400" w:lineRule="exact"/>
        <w:ind w:firstLine="420" w:firstLineChars="200"/>
        <w:jc w:val="left"/>
        <w:rPr>
          <w:rFonts w:ascii="宋体" w:hAnsi="宋体" w:cs="宋体"/>
          <w:color w:val="auto"/>
          <w:szCs w:val="21"/>
          <w:highlight w:val="none"/>
        </w:rPr>
      </w:pPr>
      <w:bookmarkStart w:id="46" w:name="_Toc396115157"/>
      <w:r>
        <w:rPr>
          <w:rFonts w:hint="eastAsia" w:ascii="宋体" w:hAnsi="宋体" w:cs="宋体"/>
          <w:color w:val="auto"/>
          <w:szCs w:val="21"/>
          <w:highlight w:val="none"/>
        </w:rPr>
        <w:t>（4）由供应商或其当场推荐的代表检查资格、商务技术文件、报价文件密封的完整性；</w:t>
      </w:r>
      <w:bookmarkEnd w:id="46"/>
      <w:bookmarkStart w:id="47"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（5）按各供应商提交投标文件时间的先后顺序打开投标文件的资格、商务技术文件、报价文件外包装，清点投标文件正本、副本数量</w:t>
      </w:r>
      <w:bookmarkEnd w:id="47"/>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（6）主持人公布评审结果。</w:t>
      </w:r>
    </w:p>
    <w:p>
      <w:pPr>
        <w:spacing w:line="400" w:lineRule="exact"/>
        <w:ind w:firstLine="420" w:firstLineChars="200"/>
        <w:jc w:val="left"/>
        <w:rPr>
          <w:rFonts w:ascii="宋体" w:hAnsi="宋体" w:cs="宋体"/>
          <w:color w:val="auto"/>
          <w:szCs w:val="21"/>
          <w:highlight w:val="none"/>
        </w:rPr>
      </w:pPr>
      <w:bookmarkStart w:id="48" w:name="_Toc396115163"/>
      <w:r>
        <w:rPr>
          <w:rFonts w:hint="eastAsia" w:ascii="宋体" w:hAnsi="宋体" w:cs="宋体"/>
          <w:color w:val="auto"/>
          <w:szCs w:val="21"/>
          <w:highlight w:val="none"/>
        </w:rPr>
        <w:t>（7）开标会议结束。</w:t>
      </w:r>
      <w:bookmarkEnd w:id="4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（一）本次招标依法组建评标委员会。</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（三）评审专家有下列情形之一的，受到邀请应主动提出回避，采购当事人也可以要求该评审专家回避：</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1、本人、配偶或直系亲属3年内曾在参加该采购项目的供应商中任职（包括一般工作）或担任顾问，或与参加该采购项目的供应商发生过法律纠纷；</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2、任职单位与采购人或参加该采购项目供应商存在行政隶属关系；</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3、曾经参加过该采购项目的进口产品或招标文件、采购需求、采购方式的论证和咨询服务工作；</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4、是参加该采购项目供应商的上级主管部门、控股或参股单位的工作人员，或与该供应商存在其他经济利益关系；</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5、评审委员会成员之间具有配偶、近亲属关系；</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6、法律、法规、规章规定应当回避以及其他可能影响公正评审的。</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采用综合评分法的，评标结果按评审后得分由高到低顺序推荐3名及以上中标候选人。得分相同的，按投标报价由低到高顺序排列。得分且投标报价相同的并列，则抽签决定。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1、投标文件中开标一览表（报价表）内容与投标文件中相应内容不一致的，以开标一览表（报价表）为准；</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2、大写金额和小写金额不一致的，以大写金额为准；</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3、单价金额小数点或者百分比有明显错位的，以开标一览表的总价为准，并修改单价；</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4、总价金额与按单价汇总金额不一致的，以单价金额计算结果为准。</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5、政采云平台填报的开标一览表中的价格与上传的报价文件中开标一览表的报价不一致的，以上传的报价文件为准。</w:t>
      </w:r>
    </w:p>
    <w:p>
      <w:pPr>
        <w:pStyle w:val="15"/>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0"/>
        </w:numPr>
        <w:spacing w:line="360" w:lineRule="auto"/>
        <w:rPr>
          <w:rFonts w:ascii="宋体" w:hAnsi="宋体" w:cs="宋体"/>
          <w:b/>
          <w:bCs/>
          <w:color w:val="auto"/>
          <w:szCs w:val="21"/>
          <w:highlight w:val="none"/>
        </w:rPr>
      </w:pPr>
      <w:bookmarkStart w:id="49" w:name="_Toc481567077"/>
      <w:bookmarkStart w:id="50" w:name="_Toc493058318"/>
      <w:r>
        <w:rPr>
          <w:rFonts w:hint="eastAsia" w:ascii="宋体" w:hAnsi="宋体" w:cs="宋体"/>
          <w:b/>
          <w:bCs/>
          <w:color w:val="auto"/>
          <w:szCs w:val="21"/>
          <w:highlight w:val="none"/>
        </w:rPr>
        <w:t>评标</w:t>
      </w:r>
      <w:bookmarkEnd w:id="49"/>
      <w:r>
        <w:rPr>
          <w:rFonts w:hint="eastAsia" w:ascii="宋体" w:hAnsi="宋体" w:cs="宋体"/>
          <w:b/>
          <w:bCs/>
          <w:color w:val="auto"/>
          <w:szCs w:val="21"/>
          <w:highlight w:val="none"/>
        </w:rPr>
        <w:t>程序</w:t>
      </w:r>
      <w:bookmarkEnd w:id="50"/>
    </w:p>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widowControl/>
        <w:spacing w:line="360" w:lineRule="auto"/>
        <w:ind w:firstLine="522" w:firstLineChars="249"/>
        <w:jc w:val="left"/>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11"/>
              </w:num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11"/>
              </w:num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bookmarkStart w:id="51" w:name="_Toc259108323"/>
            <w:bookmarkStart w:id="52" w:name="_Toc249866767"/>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（八）允许偏离的技术、性能指标或者辅助功能项目发生负偏离未达20项（含）以上的；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51"/>
      <w:bookmarkEnd w:id="52"/>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numPr>
          <w:ilvl w:val="0"/>
          <w:numId w:val="12"/>
        </w:num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8、允许偏离的技术、性能指标或者辅助功能项目发生负偏离达20项（含）以上的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10、法律、法规和招标文件规定的其他无效情形；</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11、投标文件的有效期不满足招标文件要求。</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szCs w:val="21"/>
          <w:highlight w:val="none"/>
        </w:rPr>
        <w:t>。</w:t>
      </w:r>
    </w:p>
    <w:p>
      <w:pPr>
        <w:numPr>
          <w:ilvl w:val="0"/>
          <w:numId w:val="13"/>
        </w:num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p>
      <w:pPr>
        <w:spacing w:line="360" w:lineRule="auto"/>
        <w:jc w:val="center"/>
        <w:rPr>
          <w:rFonts w:ascii="宋体" w:hAnsi="宋体"/>
          <w:b/>
          <w:bCs/>
          <w:color w:val="auto"/>
          <w:highlight w:val="none"/>
        </w:rPr>
      </w:pPr>
      <w:r>
        <w:rPr>
          <w:rFonts w:hint="eastAsia" w:ascii="宋体" w:hAnsi="宋体"/>
          <w:b/>
          <w:bCs/>
          <w:color w:val="auto"/>
          <w:highlight w:val="none"/>
        </w:rPr>
        <w:t>评分标准表</w:t>
      </w:r>
    </w:p>
    <w:tbl>
      <w:tblPr>
        <w:tblStyle w:val="26"/>
        <w:tblW w:w="9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70"/>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ascii="宋体" w:hAnsi="宋体" w:cs="宋体"/>
                <w:bCs/>
                <w:color w:val="auto"/>
                <w:szCs w:val="21"/>
                <w:highlight w:val="none"/>
              </w:rPr>
              <w:t>考核项目</w:t>
            </w:r>
          </w:p>
        </w:tc>
        <w:tc>
          <w:tcPr>
            <w:tcW w:w="81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highlight w:val="none"/>
              </w:rPr>
            </w:pPr>
            <w:r>
              <w:rPr>
                <w:rFonts w:hint="eastAsia" w:ascii="宋体" w:hAnsi="宋体" w:cs="宋体"/>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80" w:type="dxa"/>
            <w:vMerge w:val="restart"/>
            <w:tcBorders>
              <w:top w:val="single" w:color="auto" w:sz="4" w:space="0"/>
              <w:left w:val="single" w:color="auto" w:sz="4" w:space="0"/>
              <w:right w:val="single" w:color="auto" w:sz="4" w:space="0"/>
            </w:tcBorders>
            <w:vAlign w:val="center"/>
          </w:tcPr>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r>
              <w:rPr>
                <w:rFonts w:hint="eastAsia"/>
                <w:color w:val="auto"/>
                <w:highlight w:val="none"/>
              </w:rPr>
              <w:t>商务、技术分（</w:t>
            </w:r>
            <w:r>
              <w:rPr>
                <w:rFonts w:hint="eastAsia"/>
                <w:color w:val="auto"/>
                <w:highlight w:val="none"/>
                <w:lang w:val="en-US" w:eastAsia="zh-CN"/>
              </w:rPr>
              <w:t>80</w:t>
            </w:r>
            <w:r>
              <w:rPr>
                <w:rFonts w:hint="eastAsia"/>
                <w:color w:val="auto"/>
                <w:highlight w:val="none"/>
              </w:rPr>
              <w:t>分）</w:t>
            </w:r>
          </w:p>
        </w:tc>
        <w:tc>
          <w:tcPr>
            <w:tcW w:w="1370" w:type="dxa"/>
            <w:vMerge w:val="restart"/>
            <w:tcBorders>
              <w:top w:val="single" w:color="auto" w:sz="4" w:space="0"/>
              <w:left w:val="single" w:color="auto" w:sz="4" w:space="0"/>
              <w:right w:val="single" w:color="auto" w:sz="4" w:space="0"/>
            </w:tcBorders>
            <w:vAlign w:val="center"/>
          </w:tcPr>
          <w:p>
            <w:pPr>
              <w:spacing w:line="320" w:lineRule="exact"/>
              <w:rPr>
                <w:rFonts w:hint="eastAsia" w:eastAsia="宋体"/>
                <w:color w:val="auto"/>
                <w:highlight w:val="none"/>
                <w:lang w:val="en-US" w:eastAsia="zh-CN"/>
              </w:rPr>
            </w:pPr>
            <w:r>
              <w:rPr>
                <w:rFonts w:hint="eastAsia"/>
                <w:color w:val="auto"/>
                <w:highlight w:val="none"/>
                <w:lang w:val="en-US" w:eastAsia="zh-CN"/>
              </w:rPr>
              <w:t>1、参数响应情况（25分）</w:t>
            </w: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auto"/>
                <w:highlight w:val="none"/>
              </w:rPr>
            </w:pPr>
            <w:r>
              <w:rPr>
                <w:color w:val="auto"/>
                <w:highlight w:val="none"/>
              </w:rPr>
              <w:t>1</w:t>
            </w:r>
            <w:r>
              <w:rPr>
                <w:rFonts w:hint="eastAsia"/>
                <w:color w:val="auto"/>
                <w:highlight w:val="none"/>
              </w:rPr>
              <w:t>、对本招标文件第二章采购需求</w:t>
            </w:r>
            <w:r>
              <w:rPr>
                <w:rFonts w:hint="eastAsia"/>
                <w:color w:val="auto"/>
                <w:highlight w:val="none"/>
                <w:lang w:eastAsia="zh-CN"/>
              </w:rPr>
              <w:t>三</w:t>
            </w:r>
            <w:r>
              <w:rPr>
                <w:rFonts w:hint="eastAsia"/>
                <w:color w:val="auto"/>
                <w:highlight w:val="none"/>
              </w:rPr>
              <w:t>、</w:t>
            </w:r>
            <w:r>
              <w:rPr>
                <w:rFonts w:hint="eastAsia"/>
                <w:color w:val="auto"/>
                <w:highlight w:val="none"/>
                <w:lang w:eastAsia="zh-CN"/>
              </w:rPr>
              <w:t>产品具体参数要求中“医保工伤接口、</w:t>
            </w:r>
            <w:r>
              <w:rPr>
                <w:rFonts w:hint="eastAsia"/>
                <w:color w:val="auto"/>
                <w:highlight w:val="none"/>
                <w:lang w:val="en-US" w:eastAsia="zh-CN"/>
              </w:rPr>
              <w:t>电子身份证就诊</w:t>
            </w:r>
            <w:r>
              <w:rPr>
                <w:rFonts w:hint="eastAsia"/>
                <w:color w:val="auto"/>
                <w:highlight w:val="none"/>
                <w:lang w:eastAsia="zh-CN"/>
              </w:rPr>
              <w:t>、刷脸就医接口、预约爽约功能、等级医院评审”</w:t>
            </w:r>
            <w:r>
              <w:rPr>
                <w:rFonts w:hint="eastAsia"/>
                <w:color w:val="auto"/>
                <w:highlight w:val="none"/>
              </w:rPr>
              <w:t>的响应情况进行评议</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rPr>
            </w:pPr>
          </w:p>
        </w:tc>
        <w:tc>
          <w:tcPr>
            <w:tcW w:w="1370" w:type="dxa"/>
            <w:vMerge w:val="continue"/>
            <w:tcBorders>
              <w:left w:val="single" w:color="auto" w:sz="4" w:space="0"/>
              <w:right w:val="single" w:color="auto" w:sz="4" w:space="0"/>
            </w:tcBorders>
            <w:vAlign w:val="center"/>
          </w:tcPr>
          <w:p>
            <w:pPr>
              <w:spacing w:line="320" w:lineRule="exact"/>
              <w:rPr>
                <w:color w:val="auto"/>
                <w:highlight w:val="none"/>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、对本招标文件第二章采购需求</w:t>
            </w:r>
            <w:r>
              <w:rPr>
                <w:rFonts w:hint="eastAsia"/>
                <w:color w:val="auto"/>
                <w:highlight w:val="none"/>
                <w:lang w:eastAsia="zh-CN"/>
              </w:rPr>
              <w:t>三</w:t>
            </w:r>
            <w:r>
              <w:rPr>
                <w:rFonts w:hint="eastAsia"/>
                <w:color w:val="auto"/>
                <w:highlight w:val="none"/>
              </w:rPr>
              <w:t>、</w:t>
            </w:r>
            <w:r>
              <w:rPr>
                <w:rFonts w:hint="eastAsia"/>
                <w:color w:val="auto"/>
                <w:highlight w:val="none"/>
                <w:lang w:eastAsia="zh-CN"/>
              </w:rPr>
              <w:t>产品具体参数要求中“集团内医共体改造（联众平台）、两卡融合改造、配合电子病历测评、床管中心改造、电子治疗单预约”</w:t>
            </w:r>
            <w:r>
              <w:rPr>
                <w:rFonts w:hint="eastAsia"/>
                <w:color w:val="auto"/>
                <w:highlight w:val="none"/>
              </w:rPr>
              <w:t>的响应情况进行评议</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rPr>
            </w:pPr>
          </w:p>
        </w:tc>
        <w:tc>
          <w:tcPr>
            <w:tcW w:w="1370" w:type="dxa"/>
            <w:vMerge w:val="continue"/>
            <w:tcBorders>
              <w:left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r>
              <w:rPr>
                <w:rFonts w:hint="eastAsia"/>
                <w:color w:val="auto"/>
                <w:highlight w:val="none"/>
                <w:lang w:val="en-US" w:eastAsia="zh-CN"/>
              </w:rPr>
              <w:t>3、对本招标文件第二章采购需求三、产品具体参数要求中“纳里健康接口、81890接口、物资接口、登革热监测功能、长三角地区门诊异地医保结算接口、在线取号”的响应情况进行评议（5分）。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rPr>
            </w:pPr>
          </w:p>
        </w:tc>
        <w:tc>
          <w:tcPr>
            <w:tcW w:w="1370" w:type="dxa"/>
            <w:vMerge w:val="continue"/>
            <w:tcBorders>
              <w:left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r>
              <w:rPr>
                <w:rFonts w:hint="eastAsia"/>
                <w:color w:val="auto"/>
                <w:highlight w:val="none"/>
                <w:lang w:val="en-US" w:eastAsia="zh-CN"/>
              </w:rPr>
              <w:t>4、对本招标文件第二章采购需求三、产品具体参数要求中“4+7带量采购药品、诊间专科退号功能、自助机退号功能、医保诊断库与手术编码库升级、民政接口”的响应情况进行评议（5分）。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rPr>
            </w:pPr>
          </w:p>
        </w:tc>
        <w:tc>
          <w:tcPr>
            <w:tcW w:w="1370" w:type="dxa"/>
            <w:vMerge w:val="continue"/>
            <w:tcBorders>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r>
              <w:rPr>
                <w:rFonts w:hint="eastAsia"/>
                <w:color w:val="auto"/>
                <w:highlight w:val="none"/>
                <w:lang w:val="en-US" w:eastAsia="zh-CN"/>
              </w:rPr>
              <w:t>5、对本招标文件第二章采购需求三、产品具体参数要求中“港澳台取号、罕见病接口、云医院对接、2020年年包服务、其他需求类改造”的响应情况进行评议（5分）。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13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color w:val="auto"/>
                <w:highlight w:val="none"/>
                <w:lang w:eastAsia="zh-CN"/>
              </w:rPr>
            </w:pPr>
            <w:r>
              <w:rPr>
                <w:color w:val="auto"/>
                <w:highlight w:val="none"/>
              </w:rPr>
              <w:t>2</w:t>
            </w:r>
            <w:r>
              <w:rPr>
                <w:rFonts w:hint="eastAsia"/>
                <w:color w:val="auto"/>
                <w:highlight w:val="none"/>
              </w:rPr>
              <w:t>、</w:t>
            </w:r>
            <w:r>
              <w:rPr>
                <w:rFonts w:hint="eastAsia"/>
                <w:color w:val="auto"/>
                <w:highlight w:val="none"/>
                <w:lang w:eastAsia="zh-CN"/>
              </w:rPr>
              <w:t>设计方案（</w:t>
            </w:r>
            <w:r>
              <w:rPr>
                <w:rFonts w:hint="eastAsia"/>
                <w:color w:val="auto"/>
                <w:highlight w:val="none"/>
                <w:lang w:val="en-US" w:eastAsia="zh-CN"/>
              </w:rPr>
              <w:t>10分</w:t>
            </w:r>
            <w:r>
              <w:rPr>
                <w:rFonts w:hint="eastAsia"/>
                <w:color w:val="auto"/>
                <w:highlight w:val="none"/>
                <w:lang w:eastAsia="zh-CN"/>
              </w:rPr>
              <w:t>）</w:t>
            </w:r>
          </w:p>
          <w:p>
            <w:pPr>
              <w:spacing w:line="320" w:lineRule="exact"/>
              <w:rPr>
                <w:color w:val="auto"/>
                <w:highlight w:val="none"/>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lang w:eastAsia="zh-CN"/>
              </w:rPr>
              <w:t>评委根据供应商总体设计方案技术架构等与本项目需求的契合程度以及其先进性、成熟性，业务流程的合理性进行综合评议（</w:t>
            </w:r>
            <w:r>
              <w:rPr>
                <w:rFonts w:hint="eastAsia"/>
                <w:color w:val="auto"/>
                <w:highlight w:val="none"/>
                <w:lang w:val="en-US" w:eastAsia="zh-CN"/>
              </w:rPr>
              <w:t>5分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1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color w:val="auto"/>
                <w:highlight w:val="none"/>
                <w:lang w:eastAsia="zh-CN"/>
              </w:rPr>
            </w:pPr>
            <w:r>
              <w:rPr>
                <w:rFonts w:hint="eastAsia"/>
                <w:color w:val="auto"/>
                <w:highlight w:val="none"/>
                <w:lang w:val="en-US" w:eastAsia="zh-CN"/>
              </w:rPr>
              <w:t>2、评委根据供应商的设计方案是否充分满足用户当前和未来发展的使用需求进行综合评议（5分）。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1370" w:type="dxa"/>
            <w:vMerge w:val="restart"/>
            <w:tcBorders>
              <w:top w:val="single" w:color="auto" w:sz="4" w:space="0"/>
              <w:left w:val="single" w:color="auto" w:sz="4" w:space="0"/>
              <w:right w:val="single" w:color="auto" w:sz="4" w:space="0"/>
            </w:tcBorders>
            <w:vAlign w:val="center"/>
          </w:tcPr>
          <w:p>
            <w:pPr>
              <w:widowControl/>
              <w:jc w:val="left"/>
              <w:rPr>
                <w:rFonts w:hint="eastAsia" w:eastAsia="宋体"/>
                <w:color w:val="auto"/>
                <w:highlight w:val="none"/>
                <w:lang w:val="en-US" w:eastAsia="zh-CN"/>
              </w:rPr>
            </w:pPr>
            <w:r>
              <w:rPr>
                <w:rFonts w:hint="eastAsia"/>
                <w:color w:val="auto"/>
                <w:highlight w:val="none"/>
                <w:lang w:val="en-US" w:eastAsia="zh-CN"/>
              </w:rPr>
              <w:t>3、实施方案（9分）</w:t>
            </w: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1、评委根据供应商提供的项目实施方案的完整性、先进性、合理性进行综合评议（5分）。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80" w:type="dxa"/>
            <w:vMerge w:val="continue"/>
            <w:tcBorders>
              <w:left w:val="single" w:color="auto" w:sz="4" w:space="0"/>
              <w:right w:val="single" w:color="auto" w:sz="4" w:space="0"/>
            </w:tcBorders>
            <w:vAlign w:val="center"/>
          </w:tcPr>
          <w:p>
            <w:pPr>
              <w:spacing w:line="320" w:lineRule="exact"/>
              <w:rPr>
                <w:highlight w:val="none"/>
              </w:rPr>
            </w:pPr>
          </w:p>
        </w:tc>
        <w:tc>
          <w:tcPr>
            <w:tcW w:w="1370" w:type="dxa"/>
            <w:vMerge w:val="continue"/>
            <w:tcBorders>
              <w:left w:val="single" w:color="auto" w:sz="4" w:space="0"/>
              <w:bottom w:val="single" w:color="auto" w:sz="4" w:space="0"/>
              <w:right w:val="single" w:color="auto" w:sz="4" w:space="0"/>
            </w:tcBorders>
            <w:vAlign w:val="center"/>
          </w:tcPr>
          <w:p>
            <w:pPr>
              <w:spacing w:line="320" w:lineRule="exact"/>
              <w:rPr>
                <w:highlight w:val="none"/>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2、供应商拟投入本项目实施团队的成员有信息系统项目管理师、数据库系统工程师等拥有中高级职称的技术人员的，每投入一名得2分，最高得4分，没有不得分（投标文件需附相应中高级职称证书复印件加盖投标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1370" w:type="dxa"/>
            <w:vMerge w:val="restart"/>
            <w:tcBorders>
              <w:top w:val="single" w:color="auto" w:sz="4" w:space="0"/>
              <w:left w:val="single" w:color="auto" w:sz="4" w:space="0"/>
              <w:right w:val="single" w:color="auto" w:sz="4" w:space="0"/>
            </w:tcBorders>
            <w:vAlign w:val="center"/>
          </w:tcPr>
          <w:p>
            <w:pPr>
              <w:widowControl/>
              <w:jc w:val="left"/>
              <w:rPr>
                <w:rFonts w:hint="eastAsia" w:eastAsia="宋体"/>
                <w:color w:val="auto"/>
                <w:highlight w:val="none"/>
                <w:lang w:val="en-US" w:eastAsia="zh-CN"/>
              </w:rPr>
            </w:pPr>
            <w:r>
              <w:rPr>
                <w:rFonts w:hint="eastAsia"/>
                <w:color w:val="auto"/>
                <w:highlight w:val="none"/>
                <w:lang w:val="en-US" w:eastAsia="zh-CN"/>
              </w:rPr>
              <w:t>4、与现有信息系统的融合性（20分）</w:t>
            </w: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1、本项目需实现与宁波市云医院的对接，包括数据及应用层的对接整合，评委根据供应商提供的合理可行的对接方案以及现有的HIS系统适应性改造方案进行综合评议（5分）。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080" w:type="dxa"/>
            <w:vMerge w:val="continue"/>
            <w:tcBorders>
              <w:left w:val="single" w:color="auto" w:sz="4" w:space="0"/>
              <w:right w:val="single" w:color="auto" w:sz="4" w:space="0"/>
            </w:tcBorders>
            <w:vAlign w:val="center"/>
          </w:tcPr>
          <w:p>
            <w:pPr>
              <w:spacing w:line="320" w:lineRule="exact"/>
              <w:rPr>
                <w:highlight w:val="none"/>
              </w:rPr>
            </w:pPr>
          </w:p>
        </w:tc>
        <w:tc>
          <w:tcPr>
            <w:tcW w:w="1370" w:type="dxa"/>
            <w:vMerge w:val="continue"/>
            <w:tcBorders>
              <w:left w:val="single" w:color="auto" w:sz="4" w:space="0"/>
              <w:right w:val="single" w:color="auto" w:sz="4" w:space="0"/>
            </w:tcBorders>
            <w:vAlign w:val="center"/>
          </w:tcPr>
          <w:p>
            <w:pPr>
              <w:spacing w:line="320" w:lineRule="exact"/>
              <w:rPr>
                <w:highlight w:val="none"/>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2、本项目中两卡融合需与医院HIS系统充分融合，包括数据及应用层的对接整合，评委根据供应商提供的合理可行的对接方案以及现有的HIS系统适应性改造方案进行综合评议（5分）。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1370" w:type="dxa"/>
            <w:vMerge w:val="continue"/>
            <w:tcBorders>
              <w:left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3、本项目中省异地医保需与医院HIS系统充分融合，包括数据及应用层的对接整合，评委根据供应商提供的合理可行的对接方案以及现有的HIS系统适应性改造方案进行综合评议（5分）。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080" w:type="dxa"/>
            <w:vMerge w:val="continue"/>
            <w:tcBorders>
              <w:left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1370" w:type="dxa"/>
            <w:vMerge w:val="continue"/>
            <w:tcBorders>
              <w:left w:val="single" w:color="auto" w:sz="4" w:space="0"/>
              <w:bottom w:val="single" w:color="auto" w:sz="4" w:space="0"/>
              <w:right w:val="single" w:color="auto" w:sz="4" w:space="0"/>
            </w:tcBorders>
            <w:vAlign w:val="center"/>
          </w:tcPr>
          <w:p>
            <w:pPr>
              <w:spacing w:line="320" w:lineRule="exact"/>
              <w:rPr>
                <w:rFonts w:hint="eastAsia"/>
                <w:color w:val="auto"/>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4、本项目中登革热监测功能需与医院HIS系统充分融合，包括数据及应用层的对接整合，评委根据供应商提供的合理可行的对接方案以及现有的HIS系统适应性改造方案进行综合评议（5分）。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81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lang w:eastAsia="zh-CN"/>
              </w:rPr>
              <w:t>培训方案</w:t>
            </w:r>
            <w:r>
              <w:rPr>
                <w:rFonts w:hint="eastAsia"/>
                <w:color w:val="auto"/>
                <w:highlight w:val="none"/>
              </w:rPr>
              <w:t>（</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：评委根据供应商提供的针对本项目培训方案的科学合理性、可行性及其相应的培训承诺进行综合评议（</w:t>
            </w:r>
            <w:r>
              <w:rPr>
                <w:rFonts w:hint="eastAsia"/>
                <w:color w:val="auto"/>
                <w:highlight w:val="none"/>
                <w:lang w:val="en-US" w:eastAsia="zh-CN"/>
              </w:rPr>
              <w:t>5分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080" w:type="dxa"/>
            <w:vMerge w:val="continue"/>
            <w:tcBorders>
              <w:left w:val="single" w:color="auto" w:sz="4" w:space="0"/>
              <w:right w:val="single" w:color="auto" w:sz="4" w:space="0"/>
            </w:tcBorders>
            <w:vAlign w:val="center"/>
          </w:tcPr>
          <w:p>
            <w:pPr>
              <w:widowControl/>
              <w:jc w:val="left"/>
              <w:rPr>
                <w:color w:val="auto"/>
                <w:highlight w:val="none"/>
              </w:rPr>
            </w:pPr>
          </w:p>
        </w:tc>
        <w:tc>
          <w:tcPr>
            <w:tcW w:w="81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color w:val="auto"/>
                <w:highlight w:val="none"/>
              </w:rPr>
            </w:pPr>
            <w:r>
              <w:rPr>
                <w:rFonts w:hint="eastAsia"/>
                <w:color w:val="auto"/>
                <w:highlight w:val="none"/>
                <w:lang w:val="en-US" w:eastAsia="zh-CN"/>
              </w:rPr>
              <w:t>6</w:t>
            </w:r>
            <w:r>
              <w:rPr>
                <w:rFonts w:hint="eastAsia"/>
                <w:color w:val="auto"/>
                <w:highlight w:val="none"/>
              </w:rPr>
              <w:t>、售后服务方案（</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：根据供应商售后服务响应时间、售后人员的投入、售后维护方案及承诺；是否有完整、可行、合理的售后维护方案、服务保障及服务方案进行综合评议（</w:t>
            </w:r>
            <w:r>
              <w:rPr>
                <w:rFonts w:hint="eastAsia"/>
                <w:color w:val="auto"/>
                <w:highlight w:val="none"/>
                <w:lang w:val="en-US" w:eastAsia="zh-CN"/>
              </w:rPr>
              <w:t>5分</w:t>
            </w:r>
            <w:r>
              <w:rPr>
                <w:rFonts w:hint="eastAsia"/>
                <w:color w:val="auto"/>
                <w:highlight w:val="none"/>
                <w:lang w:eastAsia="zh-CN"/>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80" w:type="dxa"/>
            <w:vMerge w:val="continue"/>
            <w:tcBorders>
              <w:left w:val="single" w:color="auto" w:sz="4" w:space="0"/>
              <w:right w:val="single" w:color="auto" w:sz="4" w:space="0"/>
            </w:tcBorders>
            <w:vAlign w:val="center"/>
          </w:tcPr>
          <w:p>
            <w:pPr>
              <w:spacing w:line="320" w:lineRule="exact"/>
              <w:rPr>
                <w:highlight w:val="none"/>
              </w:rPr>
            </w:pPr>
          </w:p>
        </w:tc>
        <w:tc>
          <w:tcPr>
            <w:tcW w:w="1370" w:type="dxa"/>
            <w:vMerge w:val="restart"/>
            <w:tcBorders>
              <w:left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7、履约能力（6分）</w:t>
            </w:r>
          </w:p>
        </w:tc>
        <w:tc>
          <w:tcPr>
            <w:tcW w:w="6790" w:type="dxa"/>
            <w:tcBorders>
              <w:left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供应商具有ISO9001质量管理体系认证的得3分，没有不得分。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80" w:type="dxa"/>
            <w:vMerge w:val="continue"/>
            <w:tcBorders>
              <w:left w:val="single" w:color="auto" w:sz="4" w:space="0"/>
              <w:right w:val="single" w:color="auto" w:sz="4" w:space="0"/>
            </w:tcBorders>
            <w:vAlign w:val="center"/>
          </w:tcPr>
          <w:p>
            <w:pPr>
              <w:spacing w:line="320" w:lineRule="exact"/>
              <w:rPr>
                <w:highlight w:val="none"/>
              </w:rPr>
            </w:pPr>
          </w:p>
        </w:tc>
        <w:tc>
          <w:tcPr>
            <w:tcW w:w="1370" w:type="dxa"/>
            <w:vMerge w:val="continue"/>
            <w:tcBorders>
              <w:left w:val="single" w:color="auto" w:sz="4" w:space="0"/>
              <w:right w:val="single" w:color="auto" w:sz="4" w:space="0"/>
            </w:tcBorders>
            <w:vAlign w:val="center"/>
          </w:tcPr>
          <w:p>
            <w:pPr>
              <w:spacing w:line="320" w:lineRule="exact"/>
              <w:rPr>
                <w:highlight w:val="none"/>
              </w:rPr>
            </w:pPr>
          </w:p>
        </w:tc>
        <w:tc>
          <w:tcPr>
            <w:tcW w:w="6790" w:type="dxa"/>
            <w:tcBorders>
              <w:left w:val="single" w:color="auto" w:sz="4" w:space="0"/>
              <w:right w:val="single" w:color="auto" w:sz="4" w:space="0"/>
            </w:tcBorders>
            <w:vAlign w:val="center"/>
          </w:tcPr>
          <w:p>
            <w:pPr>
              <w:spacing w:line="320" w:lineRule="exact"/>
              <w:rPr>
                <w:rFonts w:hint="default"/>
                <w:color w:val="auto"/>
                <w:highlight w:val="none"/>
                <w:lang w:val="en-US" w:eastAsia="zh-CN"/>
              </w:rPr>
            </w:pPr>
            <w:r>
              <w:rPr>
                <w:rFonts w:hint="eastAsia"/>
                <w:color w:val="auto"/>
                <w:highlight w:val="none"/>
                <w:lang w:val="en-US" w:eastAsia="zh-CN"/>
              </w:rPr>
              <w:t>2、供应商具有CMMI软件能力成熟度模式整合认证证书，CMMI3级及以上的得3分, 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auto"/>
                <w:highlight w:val="none"/>
              </w:rPr>
            </w:pPr>
            <w:r>
              <w:rPr>
                <w:rFonts w:hint="eastAsia"/>
                <w:color w:val="auto"/>
                <w:highlight w:val="none"/>
              </w:rPr>
              <w:t>价格分（</w:t>
            </w:r>
            <w:r>
              <w:rPr>
                <w:rFonts w:hint="eastAsia"/>
                <w:color w:val="auto"/>
                <w:highlight w:val="none"/>
                <w:lang w:val="en-US" w:eastAsia="zh-CN"/>
              </w:rPr>
              <w:t>20</w:t>
            </w:r>
            <w:r>
              <w:rPr>
                <w:rFonts w:hint="eastAsia"/>
                <w:color w:val="auto"/>
                <w:highlight w:val="none"/>
              </w:rPr>
              <w:t>分）</w:t>
            </w:r>
          </w:p>
        </w:tc>
        <w:tc>
          <w:tcPr>
            <w:tcW w:w="81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2" w:leftChars="-1"/>
              <w:rPr>
                <w:rFonts w:ascii="宋体" w:hAnsi="宋体"/>
                <w:color w:val="auto"/>
                <w:szCs w:val="21"/>
                <w:highlight w:val="none"/>
                <w:lang w:val="zh-CN"/>
              </w:rPr>
            </w:pPr>
            <w:r>
              <w:rPr>
                <w:rFonts w:hint="eastAsia" w:ascii="宋体" w:hAnsi="宋体"/>
                <w:color w:val="auto"/>
                <w:szCs w:val="21"/>
                <w:highlight w:val="none"/>
                <w:lang w:val="zh-CN"/>
              </w:rPr>
              <w:t>参与评审的价格=投标报价-（小微企业货物及服务价格×小微企业优惠）（如有）；</w:t>
            </w:r>
          </w:p>
          <w:p>
            <w:pPr>
              <w:spacing w:line="280" w:lineRule="exact"/>
              <w:ind w:left="-2" w:leftChars="-1"/>
              <w:rPr>
                <w:rFonts w:ascii="宋体" w:hAnsi="宋体"/>
                <w:color w:val="auto"/>
                <w:szCs w:val="21"/>
                <w:highlight w:val="none"/>
                <w:lang w:val="zh-CN"/>
              </w:rPr>
            </w:pPr>
            <w:r>
              <w:rPr>
                <w:rFonts w:hint="eastAsia" w:ascii="宋体" w:hAnsi="宋体"/>
                <w:color w:val="auto"/>
                <w:szCs w:val="21"/>
                <w:highlight w:val="none"/>
                <w:lang w:val="zh-CN"/>
              </w:rPr>
              <w:t>满足采购要求的有效投标且参与评审的价格最低的参与评审的价格为评标基准价，得</w:t>
            </w:r>
            <w:r>
              <w:rPr>
                <w:rFonts w:hint="eastAsia" w:ascii="宋体" w:hAnsi="宋体"/>
                <w:color w:val="auto"/>
                <w:szCs w:val="21"/>
                <w:highlight w:val="none"/>
                <w:lang w:val="en-US" w:eastAsia="zh-CN"/>
              </w:rPr>
              <w:t>20</w:t>
            </w:r>
            <w:r>
              <w:rPr>
                <w:rFonts w:hint="eastAsia" w:ascii="宋体" w:hAnsi="宋体"/>
                <w:color w:val="auto"/>
                <w:szCs w:val="21"/>
                <w:highlight w:val="none"/>
                <w:lang w:val="zh-CN"/>
              </w:rPr>
              <w:t>分；</w:t>
            </w:r>
          </w:p>
          <w:p>
            <w:pPr>
              <w:spacing w:line="280" w:lineRule="exact"/>
              <w:ind w:left="-2" w:leftChars="-1"/>
              <w:rPr>
                <w:color w:val="auto"/>
                <w:highlight w:val="none"/>
              </w:rPr>
            </w:pPr>
            <w:r>
              <w:rPr>
                <w:rFonts w:hint="eastAsia" w:ascii="宋体" w:hAnsi="宋体"/>
                <w:color w:val="auto"/>
                <w:szCs w:val="21"/>
                <w:highlight w:val="none"/>
                <w:lang w:val="zh-CN"/>
              </w:rPr>
              <w:t>其他投标报价得分计算公式如下：投标报价得分=（评标基准价/参与评审的价格）×</w:t>
            </w:r>
            <w:r>
              <w:rPr>
                <w:rFonts w:hint="eastAsia" w:ascii="宋体" w:hAnsi="宋体"/>
                <w:color w:val="auto"/>
                <w:szCs w:val="21"/>
                <w:highlight w:val="none"/>
                <w:lang w:val="en-US" w:eastAsia="zh-CN"/>
              </w:rPr>
              <w:t>20</w:t>
            </w:r>
            <w:r>
              <w:rPr>
                <w:rFonts w:hint="eastAsia" w:ascii="宋体" w:hAnsi="宋体"/>
                <w:color w:val="auto"/>
                <w:szCs w:val="21"/>
                <w:highlight w:val="none"/>
                <w:lang w:val="zh-CN"/>
              </w:rPr>
              <w:t>%×100。</w:t>
            </w:r>
          </w:p>
        </w:tc>
      </w:tr>
    </w:tbl>
    <w:p>
      <w:pPr>
        <w:spacing w:line="320" w:lineRule="exact"/>
        <w:rPr>
          <w:color w:val="auto"/>
          <w:highlight w:val="none"/>
        </w:rPr>
      </w:pPr>
      <w:r>
        <w:rPr>
          <w:rFonts w:hint="eastAsia"/>
          <w:color w:val="auto"/>
          <w:highlight w:val="none"/>
        </w:rPr>
        <w:t>注：1、小数点后保留一位数。2、各评标委员会成员自行按以上参考分值评分。3、重大事件由评标委员会集体讨论，应当按照少数服从多数的原则作出结论。</w:t>
      </w:r>
    </w:p>
    <w:p>
      <w:pPr>
        <w:pStyle w:val="13"/>
        <w:snapToGrid w:val="0"/>
        <w:spacing w:line="360" w:lineRule="auto"/>
        <w:rPr>
          <w:rFonts w:ascii="宋体" w:hAnsi="宋体" w:eastAsia="宋体" w:cs="宋体"/>
          <w:b/>
          <w:color w:val="auto"/>
          <w:szCs w:val="21"/>
          <w:highlight w:val="none"/>
        </w:rPr>
      </w:pPr>
      <w:bookmarkStart w:id="53" w:name="_Toc9029"/>
      <w:r>
        <w:rPr>
          <w:rFonts w:hint="eastAsia" w:ascii="宋体" w:hAnsi="宋体" w:eastAsia="宋体" w:cs="宋体"/>
          <w:b/>
          <w:color w:val="auto"/>
          <w:szCs w:val="21"/>
          <w:highlight w:val="none"/>
        </w:rPr>
        <w:t>六、定标</w:t>
      </w:r>
      <w:bookmarkEnd w:id="53"/>
    </w:p>
    <w:p>
      <w:pPr>
        <w:pStyle w:val="13"/>
        <w:snapToGrid w:val="0"/>
        <w:spacing w:line="360" w:lineRule="auto"/>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公告期限为1个工作日，各参加政府采购活动的供应商认为该中标/成交结果和采购过程等使自己的权益受到损害的，可以自公告期限届满之日（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rPr>
          <w:rFonts w:ascii="宋体" w:hAnsi="宋体" w:cs="宋体"/>
          <w:b/>
          <w:bCs/>
          <w:color w:val="auto"/>
          <w:szCs w:val="21"/>
          <w:highlight w:val="none"/>
        </w:rPr>
      </w:pPr>
      <w:bookmarkStart w:id="54" w:name="_Toc17747"/>
      <w:r>
        <w:rPr>
          <w:rFonts w:hint="eastAsia" w:ascii="宋体" w:hAnsi="宋体" w:cs="宋体"/>
          <w:b/>
          <w:color w:val="auto"/>
          <w:szCs w:val="21"/>
          <w:highlight w:val="none"/>
        </w:rPr>
        <w:t>八、合同授予</w:t>
      </w:r>
      <w:bookmarkEnd w:id="54"/>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采购人不</w:t>
      </w:r>
      <w:r>
        <w:rPr>
          <w:rFonts w:hint="eastAsia" w:ascii="宋体" w:hAnsi="宋体" w:cs="宋体"/>
          <w:color w:val="auto"/>
          <w:szCs w:val="21"/>
          <w:highlight w:val="none"/>
        </w:rPr>
        <w:t>得向中标人提出任何不合理的要求作为签订合同的条件。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3.招标文件、中标人的投标文件及评标过程中有关的澄清文件均应作为合同签订的附件。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2"/>
        <w:spacing w:after="0" w:line="360" w:lineRule="auto"/>
        <w:ind w:firstLine="420" w:firstLineChars="200"/>
        <w:rPr>
          <w:rFonts w:ascii="宋体" w:hAnsi="宋体"/>
          <w:b/>
          <w:bCs/>
          <w:color w:val="auto"/>
          <w:highlight w:val="none"/>
        </w:rPr>
      </w:pPr>
      <w:r>
        <w:rPr>
          <w:rFonts w:hint="eastAsia" w:ascii="宋体" w:hAnsi="宋体" w:cs="宋体"/>
          <w:bCs/>
          <w:color w:val="auto"/>
          <w:sz w:val="21"/>
          <w:szCs w:val="21"/>
          <w:highlight w:val="none"/>
        </w:rPr>
        <w:t>采购人负责对</w:t>
      </w:r>
      <w:r>
        <w:rPr>
          <w:rFonts w:hint="eastAsia" w:ascii="宋体" w:hAnsi="宋体" w:cs="宋体"/>
          <w:color w:val="auto"/>
          <w:sz w:val="21"/>
          <w:szCs w:val="21"/>
          <w:highlight w:val="none"/>
        </w:rPr>
        <w:t>中标人</w:t>
      </w:r>
      <w:r>
        <w:rPr>
          <w:rFonts w:hint="eastAsia" w:ascii="宋体" w:hAnsi="宋体" w:cs="宋体"/>
          <w:bCs/>
          <w:color w:val="auto"/>
          <w:sz w:val="21"/>
          <w:szCs w:val="21"/>
          <w:highlight w:val="none"/>
        </w:rPr>
        <w:t>的履约行为进行验收。政府向社会公众提供的公共服务项目，验收时应当邀请服务对象参与并出具意见，验收结果应当向社会公告。</w:t>
      </w:r>
    </w:p>
    <w:p>
      <w:pPr>
        <w:spacing w:line="360" w:lineRule="exact"/>
        <w:jc w:val="center"/>
        <w:outlineLvl w:val="0"/>
        <w:rPr>
          <w:rFonts w:hint="eastAsia"/>
          <w:color w:val="auto"/>
          <w:sz w:val="28"/>
          <w:szCs w:val="28"/>
          <w:highlight w:val="none"/>
        </w:rPr>
      </w:pPr>
      <w:bookmarkStart w:id="55" w:name="_Toc8298"/>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p>
      <w:pPr>
        <w:spacing w:line="360" w:lineRule="exact"/>
        <w:jc w:val="center"/>
        <w:outlineLvl w:val="0"/>
        <w:rPr>
          <w:rFonts w:hint="eastAsia"/>
          <w:color w:val="auto"/>
          <w:sz w:val="28"/>
          <w:szCs w:val="28"/>
          <w:highlight w:val="none"/>
        </w:rPr>
      </w:pPr>
    </w:p>
    <w:bookmarkEnd w:id="55"/>
    <w:p>
      <w:pPr>
        <w:spacing w:line="360" w:lineRule="exact"/>
        <w:jc w:val="center"/>
        <w:outlineLvl w:val="0"/>
        <w:rPr>
          <w:rFonts w:hAnsi="宋体"/>
          <w:color w:val="auto"/>
          <w:sz w:val="30"/>
          <w:szCs w:val="30"/>
          <w:highlight w:val="none"/>
        </w:rPr>
      </w:pPr>
    </w:p>
    <w:p>
      <w:pPr>
        <w:keepNext/>
        <w:keepLines/>
        <w:widowControl w:val="0"/>
        <w:spacing w:before="340" w:beforeLines="0" w:after="330" w:afterLines="0" w:line="360" w:lineRule="auto"/>
        <w:jc w:val="center"/>
        <w:outlineLvl w:val="0"/>
        <w:rPr>
          <w:rFonts w:ascii="Times New Roman" w:hAnsi="宋体" w:eastAsia="宋体" w:cs="Times New Roman"/>
          <w:b w:val="0"/>
          <w:bCs/>
          <w:color w:val="auto"/>
          <w:kern w:val="44"/>
          <w:sz w:val="30"/>
          <w:szCs w:val="30"/>
          <w:highlight w:val="none"/>
          <w:lang w:val="en-US" w:eastAsia="zh-CN" w:bidi="ar-SA"/>
        </w:rPr>
      </w:pPr>
      <w:bookmarkStart w:id="56" w:name="_Toc375060226"/>
      <w:r>
        <w:rPr>
          <w:rFonts w:hint="eastAsia" w:ascii="Times New Roman" w:hAnsi="Times New Roman" w:eastAsia="宋体" w:cs="Times New Roman"/>
          <w:b w:val="0"/>
          <w:bCs w:val="0"/>
          <w:color w:val="auto"/>
          <w:kern w:val="44"/>
          <w:sz w:val="28"/>
          <w:szCs w:val="28"/>
          <w:highlight w:val="none"/>
          <w:lang w:val="en-US" w:eastAsia="zh-CN" w:bidi="ar-SA"/>
        </w:rPr>
        <w:t>第五章 政府采购合同主要条款</w:t>
      </w:r>
      <w:bookmarkEnd w:id="56"/>
    </w:p>
    <w:p>
      <w:pPr>
        <w:spacing w:line="36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（以下简称甲方）</w:t>
      </w:r>
    </w:p>
    <w:p>
      <w:pPr>
        <w:spacing w:line="36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（以下简称乙方）</w:t>
      </w:r>
    </w:p>
    <w:p>
      <w:pPr>
        <w:spacing w:line="360" w:lineRule="atLeast"/>
        <w:rPr>
          <w:rFonts w:hint="eastAsia" w:ascii="宋体" w:hAnsi="宋体" w:cs="宋体"/>
          <w:color w:val="auto"/>
          <w:sz w:val="21"/>
          <w:szCs w:val="21"/>
          <w:highlight w:val="none"/>
        </w:rPr>
      </w:pP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 w:val="21"/>
          <w:szCs w:val="21"/>
          <w:highlight w:val="none"/>
          <w:u w:val="single"/>
        </w:rPr>
        <w:t>项目名称（项目编号：）</w:t>
      </w:r>
      <w:r>
        <w:rPr>
          <w:rFonts w:hint="eastAsia" w:ascii="宋体" w:hAnsi="宋体" w:cs="宋体"/>
          <w:color w:val="auto"/>
          <w:sz w:val="21"/>
          <w:szCs w:val="21"/>
          <w:highlight w:val="none"/>
        </w:rPr>
        <w:t xml:space="preserve">于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日，在</w:t>
      </w:r>
      <w:r>
        <w:rPr>
          <w:rFonts w:hint="eastAsia" w:ascii="宋体" w:hAnsi="宋体" w:cs="Arial"/>
          <w:color w:val="auto"/>
          <w:szCs w:val="21"/>
          <w:highlight w:val="none"/>
        </w:rPr>
        <w:t>中基招标</w:t>
      </w:r>
      <w:r>
        <w:rPr>
          <w:rFonts w:hint="eastAsia" w:ascii="宋体" w:hAnsi="宋体" w:cs="Arial"/>
          <w:color w:val="auto"/>
          <w:szCs w:val="21"/>
          <w:highlight w:val="none"/>
          <w:lang w:val="en-US" w:eastAsia="zh-CN"/>
        </w:rPr>
        <w:t>会议中心</w:t>
      </w:r>
      <w:r>
        <w:rPr>
          <w:rFonts w:hint="eastAsia" w:ascii="宋体" w:hAnsi="宋体" w:cs="Arial"/>
          <w:color w:val="auto"/>
          <w:szCs w:val="21"/>
          <w:highlight w:val="none"/>
        </w:rPr>
        <w:t>开标室</w:t>
      </w:r>
      <w:r>
        <w:rPr>
          <w:rFonts w:hint="eastAsia" w:ascii="宋体" w:hAnsi="宋体" w:cs="宋体"/>
          <w:color w:val="auto"/>
          <w:sz w:val="21"/>
          <w:szCs w:val="21"/>
          <w:highlight w:val="none"/>
        </w:rPr>
        <w:t>进行公开招标，确定由乙方中标。按照《中华人民共和国合同法》的有关规定，在自愿、平等、公平、诚信的基础上，经双方协商一致，签订本合同。</w:t>
      </w:r>
    </w:p>
    <w:p>
      <w:pPr>
        <w:widowControl w:val="0"/>
        <w:spacing w:before="0" w:beforeLines="0" w:after="0" w:afterLines="0" w:line="360" w:lineRule="auto"/>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下述文件作为附件，是合同的一部分，并与本合同一起阅读和解释：</w:t>
      </w:r>
    </w:p>
    <w:p>
      <w:pPr>
        <w:widowControl w:val="0"/>
        <w:spacing w:before="0" w:beforeLines="0" w:after="0" w:afterLines="0" w:line="360" w:lineRule="auto"/>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a.</w:t>
      </w:r>
      <w:r>
        <w:rPr>
          <w:rFonts w:hint="eastAsia" w:ascii="宋体" w:hAnsi="宋体" w:eastAsia="宋体" w:cs="宋体"/>
          <w:color w:val="auto"/>
          <w:kern w:val="2"/>
          <w:sz w:val="21"/>
          <w:szCs w:val="21"/>
          <w:highlight w:val="none"/>
          <w:lang w:val="en-US" w:eastAsia="zh-CN" w:bidi="ar-SA"/>
        </w:rPr>
        <w:t>招标</w:t>
      </w:r>
      <w:r>
        <w:rPr>
          <w:rFonts w:ascii="宋体" w:hAnsi="宋体" w:eastAsia="宋体" w:cs="宋体"/>
          <w:color w:val="auto"/>
          <w:kern w:val="2"/>
          <w:sz w:val="21"/>
          <w:szCs w:val="21"/>
          <w:highlight w:val="none"/>
          <w:lang w:val="en-US" w:eastAsia="zh-CN" w:bidi="ar-SA"/>
        </w:rPr>
        <w:t>文件；</w:t>
      </w:r>
    </w:p>
    <w:p>
      <w:pPr>
        <w:widowControl w:val="0"/>
        <w:spacing w:before="0" w:beforeLines="0" w:after="0" w:afterLines="0" w:line="360" w:lineRule="auto"/>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b.投标文件及澄清文件；</w:t>
      </w:r>
    </w:p>
    <w:p>
      <w:pPr>
        <w:widowControl w:val="0"/>
        <w:spacing w:before="0" w:beforeLines="0" w:after="0" w:afterLines="0" w:line="360" w:lineRule="auto"/>
        <w:ind w:firstLine="420" w:firstLineChars="200"/>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c.中标通知书；</w:t>
      </w:r>
    </w:p>
    <w:p>
      <w:pPr>
        <w:widowControl w:val="0"/>
        <w:spacing w:before="0" w:beforeLines="0" w:after="0" w:afterLines="0" w:line="360" w:lineRule="auto"/>
        <w:ind w:firstLine="420" w:firstLineChars="200"/>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上述文件与合同若有不一致之处，优先次序第一应为合同、第二应为附件(附件的优先次序为 c,b,a)。</w:t>
      </w:r>
    </w:p>
    <w:p>
      <w:pPr>
        <w:widowControl w:val="0"/>
        <w:spacing w:before="0" w:beforeLines="0" w:after="0" w:afterLines="0" w:line="360" w:lineRule="auto"/>
        <w:jc w:val="both"/>
        <w:rPr>
          <w:rFonts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w:t>
      </w:r>
      <w:r>
        <w:rPr>
          <w:rFonts w:ascii="宋体" w:hAnsi="宋体" w:eastAsia="宋体" w:cs="宋体"/>
          <w:b w:val="0"/>
          <w:bCs w:val="0"/>
          <w:color w:val="auto"/>
          <w:kern w:val="2"/>
          <w:sz w:val="21"/>
          <w:szCs w:val="21"/>
          <w:highlight w:val="none"/>
          <w:lang w:val="en-US" w:eastAsia="zh-CN" w:bidi="ar-SA"/>
        </w:rPr>
        <w:t>项目名称、服务期限、服务内容</w:t>
      </w:r>
    </w:p>
    <w:p>
      <w:pPr>
        <w:widowControl w:val="0"/>
        <w:spacing w:before="0" w:beforeLines="0" w:after="0" w:afterLines="0" w:line="360" w:lineRule="auto"/>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1.1项目名称：</w:t>
      </w:r>
    </w:p>
    <w:p>
      <w:pPr>
        <w:widowControl w:val="0"/>
        <w:spacing w:before="0" w:beforeLines="0" w:after="0" w:afterLines="0" w:line="360" w:lineRule="auto"/>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1.2服务期限：</w:t>
      </w:r>
    </w:p>
    <w:p>
      <w:pPr>
        <w:widowControl w:val="0"/>
        <w:spacing w:before="0" w:beforeLines="0" w:after="0" w:afterLines="0" w:line="360" w:lineRule="auto"/>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1.3服务内容：</w:t>
      </w:r>
    </w:p>
    <w:p>
      <w:pPr>
        <w:widowControl w:val="0"/>
        <w:spacing w:before="0" w:beforeLines="0" w:after="0" w:afterLines="0" w:line="360" w:lineRule="auto"/>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二、合同金额</w:t>
      </w:r>
    </w:p>
    <w:p>
      <w:pPr>
        <w:widowControl w:val="0"/>
        <w:spacing w:before="0" w:beforeLines="0" w:after="0" w:afterLines="0" w:line="360" w:lineRule="auto"/>
        <w:ind w:left="359" w:hanging="359" w:hangingChars="171"/>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2.1本合同金额为（大写）：</w:t>
      </w:r>
      <w:r>
        <w:rPr>
          <w:rFonts w:ascii="宋体" w:hAnsi="宋体" w:eastAsia="宋体" w:cs="宋体"/>
          <w:b w:val="0"/>
          <w:bCs w:val="0"/>
          <w:color w:val="auto"/>
          <w:kern w:val="2"/>
          <w:sz w:val="21"/>
          <w:szCs w:val="21"/>
          <w:highlight w:val="none"/>
          <w:u w:val="single"/>
          <w:lang w:val="en-US" w:eastAsia="zh-CN" w:bidi="ar-SA"/>
        </w:rPr>
        <w:t xml:space="preserve">                   </w:t>
      </w:r>
      <w:r>
        <w:rPr>
          <w:rFonts w:ascii="宋体" w:hAnsi="宋体" w:eastAsia="宋体" w:cs="宋体"/>
          <w:b w:val="0"/>
          <w:bCs w:val="0"/>
          <w:color w:val="auto"/>
          <w:kern w:val="2"/>
          <w:sz w:val="21"/>
          <w:szCs w:val="21"/>
          <w:highlight w:val="none"/>
          <w:lang w:val="en-US" w:eastAsia="zh-CN" w:bidi="ar-SA"/>
        </w:rPr>
        <w:t>元</w:t>
      </w:r>
      <w:r>
        <w:rPr>
          <w:rFonts w:ascii="宋体" w:hAnsi="宋体" w:eastAsia="宋体" w:cs="宋体"/>
          <w:b w:val="0"/>
          <w:bCs w:val="0"/>
          <w:color w:val="auto"/>
          <w:kern w:val="2"/>
          <w:sz w:val="21"/>
          <w:szCs w:val="21"/>
          <w:highlight w:val="none"/>
          <w:u w:val="single"/>
          <w:lang w:val="en-US" w:eastAsia="zh-CN" w:bidi="ar-SA"/>
        </w:rPr>
        <w:t>（￥              元）</w:t>
      </w:r>
      <w:r>
        <w:rPr>
          <w:rFonts w:ascii="宋体" w:hAnsi="宋体" w:eastAsia="宋体" w:cs="宋体"/>
          <w:b w:val="0"/>
          <w:bCs w:val="0"/>
          <w:color w:val="auto"/>
          <w:kern w:val="2"/>
          <w:sz w:val="21"/>
          <w:szCs w:val="21"/>
          <w:highlight w:val="none"/>
          <w:lang w:val="en-US" w:eastAsia="zh-CN" w:bidi="ar-SA"/>
        </w:rPr>
        <w:t>人民币。</w:t>
      </w:r>
    </w:p>
    <w:p>
      <w:pPr>
        <w:widowControl w:val="0"/>
        <w:spacing w:before="0" w:beforeLines="0" w:after="0" w:afterLines="0" w:line="360" w:lineRule="auto"/>
        <w:ind w:left="358" w:hanging="357" w:hangingChars="170"/>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三、履约保证金</w:t>
      </w:r>
    </w:p>
    <w:p>
      <w:pPr>
        <w:widowControl w:val="0"/>
        <w:spacing w:before="0" w:beforeLines="0" w:after="0" w:afterLines="0" w:line="360" w:lineRule="auto"/>
        <w:ind w:left="357" w:hanging="357" w:hangingChars="170"/>
        <w:jc w:val="both"/>
        <w:rPr>
          <w:rFonts w:ascii="宋体" w:hAnsi="宋体" w:eastAsia="宋体" w:cs="宋体"/>
          <w:b w:val="0"/>
          <w:bCs w:val="0"/>
          <w:color w:val="auto"/>
          <w:kern w:val="2"/>
          <w:sz w:val="21"/>
          <w:szCs w:val="21"/>
          <w:highlight w:val="none"/>
          <w:lang w:val="en-US" w:eastAsia="zh-CN" w:bidi="ar-SA"/>
        </w:rPr>
      </w:pPr>
      <w:r>
        <w:rPr>
          <w:rFonts w:ascii="宋体" w:hAnsi="宋体" w:eastAsia="宋体" w:cs="宋体"/>
          <w:b w:val="0"/>
          <w:bCs w:val="0"/>
          <w:color w:val="auto"/>
          <w:kern w:val="2"/>
          <w:sz w:val="21"/>
          <w:szCs w:val="21"/>
          <w:highlight w:val="none"/>
          <w:lang w:val="en-US" w:eastAsia="zh-CN" w:bidi="ar-SA"/>
        </w:rPr>
        <w:t>3.1乙方交纳合同履约保证金：</w:t>
      </w:r>
      <w:r>
        <w:rPr>
          <w:rFonts w:ascii="宋体" w:hAnsi="宋体" w:eastAsia="宋体" w:cs="宋体"/>
          <w:b w:val="0"/>
          <w:bCs w:val="0"/>
          <w:color w:val="auto"/>
          <w:kern w:val="2"/>
          <w:sz w:val="21"/>
          <w:szCs w:val="21"/>
          <w:highlight w:val="none"/>
          <w:u w:val="single"/>
          <w:lang w:val="en-US" w:eastAsia="zh-CN" w:bidi="ar-SA"/>
        </w:rPr>
        <w:t xml:space="preserve">    </w:t>
      </w:r>
      <w:r>
        <w:rPr>
          <w:rFonts w:ascii="宋体" w:hAnsi="宋体" w:eastAsia="宋体" w:cs="宋体"/>
          <w:b w:val="0"/>
          <w:bCs w:val="0"/>
          <w:color w:val="auto"/>
          <w:kern w:val="2"/>
          <w:sz w:val="21"/>
          <w:szCs w:val="21"/>
          <w:highlight w:val="none"/>
          <w:lang w:val="en-US" w:eastAsia="zh-CN" w:bidi="ar-SA"/>
        </w:rPr>
        <w:t>元；</w:t>
      </w:r>
    </w:p>
    <w:p>
      <w:pPr>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3.2在乙方完成所有合同履约后无息退还（但如乙方未能履行合同规定的任何义务，甲方有权从履约保证金中得到补偿）。</w:t>
      </w:r>
    </w:p>
    <w:p>
      <w:pPr>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四、转包或分包</w:t>
      </w:r>
    </w:p>
    <w:p>
      <w:pPr>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4.1本合同范围的服务，应由乙方直接提供，不得转让他人；</w:t>
      </w:r>
    </w:p>
    <w:p>
      <w:pPr>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4.2 除非得到甲方的书面同意，乙方不得部分分包给他人。甲方有绝对权力阻止分包。</w:t>
      </w:r>
    </w:p>
    <w:p>
      <w:pPr>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4.3如有转让和未经甲方同意的分包行为，甲方有权给予终止合同。</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五、服务质量保证期和服务质量保证金(注：选用)</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5.1 服务质量保证期</w:t>
      </w:r>
      <w:r>
        <w:rPr>
          <w:rFonts w:hint="eastAsia" w:ascii="宋体" w:hAnsi="宋体" w:eastAsia="宋体" w:cs="宋体"/>
          <w:b w:val="0"/>
          <w:bCs w:val="0"/>
          <w:color w:val="auto"/>
          <w:kern w:val="2"/>
          <w:sz w:val="21"/>
          <w:szCs w:val="20"/>
          <w:highlight w:val="none"/>
          <w:u w:val="single"/>
          <w:lang w:val="en-US" w:eastAsia="zh-CN" w:bidi="ar-SA"/>
        </w:rPr>
        <w:t xml:space="preserve">      </w:t>
      </w:r>
      <w:r>
        <w:rPr>
          <w:rFonts w:hint="eastAsia" w:ascii="宋体" w:hAnsi="宋体" w:eastAsia="宋体" w:cs="宋体"/>
          <w:b w:val="0"/>
          <w:bCs w:val="0"/>
          <w:color w:val="auto"/>
          <w:kern w:val="2"/>
          <w:sz w:val="21"/>
          <w:szCs w:val="20"/>
          <w:highlight w:val="none"/>
          <w:lang w:val="en-US" w:eastAsia="zh-CN" w:bidi="ar-SA"/>
        </w:rPr>
        <w:t>年。（自验收合格之日起计）</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六、合同履行时间、履行方式及履行地点</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6.1 履行时间：</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6.2 履行方式：</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6.3 履行地点：</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七、款项支付</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
        </w:rPr>
      </w:pPr>
      <w:r>
        <w:rPr>
          <w:rFonts w:hint="eastAsia" w:ascii="宋体" w:hAnsi="宋体" w:eastAsia="宋体" w:cs="宋体"/>
          <w:b w:val="0"/>
          <w:bCs w:val="0"/>
          <w:color w:val="auto"/>
          <w:kern w:val="2"/>
          <w:sz w:val="21"/>
          <w:szCs w:val="20"/>
          <w:highlight w:val="none"/>
          <w:lang w:val="en-US" w:eastAsia="zh-CN" w:bidi="ar"/>
        </w:rPr>
        <w:t>7.1第一次付款：</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
        </w:rPr>
      </w:pPr>
      <w:r>
        <w:rPr>
          <w:rFonts w:hint="eastAsia" w:ascii="宋体" w:hAnsi="宋体" w:eastAsia="宋体" w:cs="宋体"/>
          <w:b w:val="0"/>
          <w:bCs w:val="0"/>
          <w:color w:val="auto"/>
          <w:kern w:val="2"/>
          <w:sz w:val="21"/>
          <w:szCs w:val="20"/>
          <w:highlight w:val="none"/>
          <w:lang w:val="en-US" w:eastAsia="zh-CN" w:bidi="ar"/>
        </w:rPr>
        <w:t>7.2第二次付款：</w:t>
      </w:r>
    </w:p>
    <w:p>
      <w:pPr>
        <w:spacing w:line="360" w:lineRule="auto"/>
        <w:rPr>
          <w:rFonts w:hint="eastAsia" w:ascii="宋体" w:hAnsi="宋体" w:cs="宋体"/>
          <w:b w:val="0"/>
          <w:bCs w:val="0"/>
          <w:color w:val="auto"/>
          <w:highlight w:val="none"/>
        </w:rPr>
      </w:pPr>
      <w:r>
        <w:rPr>
          <w:rFonts w:hint="eastAsia" w:ascii="宋体" w:hAnsi="宋体" w:cs="宋体"/>
          <w:b w:val="0"/>
          <w:bCs w:val="0"/>
          <w:color w:val="auto"/>
          <w:szCs w:val="20"/>
          <w:highlight w:val="none"/>
          <w:lang w:eastAsia="zh-CN" w:bidi="ar"/>
        </w:rPr>
        <w:t>八</w:t>
      </w:r>
      <w:r>
        <w:rPr>
          <w:rFonts w:hint="eastAsia" w:ascii="宋体" w:hAnsi="宋体" w:cs="宋体"/>
          <w:b w:val="0"/>
          <w:bCs w:val="0"/>
          <w:color w:val="auto"/>
          <w:szCs w:val="20"/>
          <w:highlight w:val="none"/>
          <w:lang w:bidi="ar"/>
        </w:rPr>
        <w:t>、税费</w:t>
      </w:r>
    </w:p>
    <w:p>
      <w:pPr>
        <w:spacing w:line="360" w:lineRule="auto"/>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0"/>
          <w:highlight w:val="none"/>
          <w:lang w:bidi="ar"/>
        </w:rPr>
        <w:t>本合同执行中相关的一切税费均由乙方负担。</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九、质量保证及后续服务</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9.1 乙方应按采购文件规定向甲方提供服务。</w:t>
      </w:r>
    </w:p>
    <w:p>
      <w:pPr>
        <w:widowControl/>
        <w:spacing w:before="0" w:beforeLines="0" w:beforeAutospacing="0" w:after="0" w:afterLines="0" w:afterAutospacing="0" w:line="360" w:lineRule="auto"/>
        <w:ind w:left="420" w:hanging="420" w:hangingChars="20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9.2 乙方提供的服务成果在服务质量保证期内发生故障，乙方应负责免费提供后续服务。对达不到要求的，根据实际情况，经双方协商，可按以下办法处理：</w:t>
      </w:r>
    </w:p>
    <w:p>
      <w:pPr>
        <w:widowControl/>
        <w:overflowPunct w:val="0"/>
        <w:autoSpaceDE w:val="0"/>
        <w:autoSpaceDN w:val="0"/>
        <w:adjustRightInd w:val="0"/>
        <w:spacing w:before="0" w:beforeLines="0" w:beforeAutospacing="0" w:after="0" w:afterLines="0" w:afterAutospacing="0" w:line="360" w:lineRule="auto"/>
        <w:ind w:firstLine="420"/>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⑴重做：由乙方承担所发生的全部费用。</w:t>
      </w:r>
    </w:p>
    <w:p>
      <w:pPr>
        <w:widowControl/>
        <w:overflowPunct w:val="0"/>
        <w:autoSpaceDE w:val="0"/>
        <w:autoSpaceDN w:val="0"/>
        <w:adjustRightInd w:val="0"/>
        <w:spacing w:before="0" w:beforeLines="0" w:beforeAutospacing="0" w:after="0" w:afterLines="0" w:afterAutospacing="0" w:line="360" w:lineRule="auto"/>
        <w:ind w:firstLine="420"/>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⑵贬值处理：由甲乙双方合议定价。</w:t>
      </w:r>
    </w:p>
    <w:p>
      <w:pPr>
        <w:widowControl/>
        <w:spacing w:before="0" w:beforeLines="0" w:beforeAutospacing="0" w:after="0" w:afterLines="0" w:afterAutospacing="0" w:line="360" w:lineRule="auto"/>
        <w:ind w:left="420" w:leftChars="20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⑶解除合同。</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9.3 如在使用过程中发生问题，乙方在接到甲方通知后在</w:t>
      </w:r>
      <w:r>
        <w:rPr>
          <w:rFonts w:hint="eastAsia" w:ascii="宋体" w:hAnsi="宋体" w:eastAsia="宋体" w:cs="宋体"/>
          <w:b w:val="0"/>
          <w:bCs w:val="0"/>
          <w:color w:val="auto"/>
          <w:kern w:val="2"/>
          <w:sz w:val="21"/>
          <w:szCs w:val="20"/>
          <w:highlight w:val="none"/>
          <w:u w:val="single"/>
          <w:lang w:val="en-US" w:eastAsia="zh-CN" w:bidi="ar"/>
        </w:rPr>
        <w:t xml:space="preserve">      </w:t>
      </w:r>
      <w:r>
        <w:rPr>
          <w:rFonts w:hint="eastAsia" w:ascii="宋体" w:hAnsi="宋体" w:eastAsia="宋体" w:cs="宋体"/>
          <w:b w:val="0"/>
          <w:bCs w:val="0"/>
          <w:color w:val="auto"/>
          <w:kern w:val="2"/>
          <w:sz w:val="21"/>
          <w:szCs w:val="20"/>
          <w:highlight w:val="none"/>
          <w:lang w:val="en-US" w:eastAsia="zh-CN" w:bidi="ar"/>
        </w:rPr>
        <w:t>小时内到达甲方现场。</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9.4 在服务质量保证期内，乙方应对出现的质量及安全问题负责处理解决并承担一切费用。</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十、违约责任</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10.1 甲方无正当理由拒绝接受服务的，甲方向乙方偿付合同款项百分之五的违约金。</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10.2 甲方无故逾期验收和办理款项支付手续的,甲方应按逾期付款总额每日万分之五向乙方支付违约金。</w:t>
      </w:r>
    </w:p>
    <w:p>
      <w:pPr>
        <w:widowControl/>
        <w:spacing w:before="0" w:beforeLines="0" w:beforeAutospacing="0" w:after="0" w:afterLines="0" w:afterAutospacing="0" w:line="360" w:lineRule="auto"/>
        <w:ind w:left="357" w:hanging="357" w:hangingChars="17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 xml:space="preserve">10.3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十一、不可抗力事件处理</w:t>
      </w:r>
    </w:p>
    <w:p>
      <w:pPr>
        <w:widowControl/>
        <w:spacing w:before="0" w:beforeLines="0" w:beforeAutospacing="0" w:after="0" w:afterLines="0" w:afterAutospacing="0" w:line="360" w:lineRule="auto"/>
        <w:ind w:left="420" w:hanging="420" w:hangingChars="200"/>
        <w:contextualSpacing/>
        <w:jc w:val="left"/>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11.1 在合同有效期内，任何一方因不可抗力事件导致不能履行合同，则合同履行期可延长，其延长期与不可抗力影响期相同。</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
        </w:rPr>
        <w:t>11.2 不</w:t>
      </w:r>
      <w:r>
        <w:rPr>
          <w:rFonts w:hint="eastAsia" w:ascii="宋体" w:hAnsi="宋体" w:eastAsia="宋体" w:cs="宋体"/>
          <w:color w:val="auto"/>
          <w:kern w:val="2"/>
          <w:sz w:val="21"/>
          <w:szCs w:val="20"/>
          <w:highlight w:val="none"/>
          <w:lang w:val="en-US" w:eastAsia="zh-CN" w:bidi="ar"/>
        </w:rPr>
        <w:t>可抗力事件发生后，应立即通知对方，并寄送有关权威机构出具的证明。</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11.3 不可抗力事件延续120天以上，双方应通过友好协商，确定是否继续履行合同。</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十二、诉讼</w:t>
      </w:r>
    </w:p>
    <w:p>
      <w:pPr>
        <w:widowControl/>
        <w:overflowPunct w:val="0"/>
        <w:autoSpaceDE w:val="0"/>
        <w:autoSpaceDN w:val="0"/>
        <w:adjustRightInd w:val="0"/>
        <w:spacing w:before="0" w:beforeLines="0" w:beforeAutospacing="0" w:after="0" w:afterLines="0" w:afterAutospacing="0" w:line="360" w:lineRule="auto"/>
        <w:ind w:firstLine="420" w:firstLineChars="2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双方在执行合同中所发生的一切争议，应通过协商解决。如协商不成，可向合同签订地法院起诉。</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十三、合同生效及其它</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13.1 合同经双方法定代表人或授权委托代理人签字并加盖单位公章后生效。</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13.2合同执行中涉及招标资金和招标内容修改或补充的，须经财政部门审批，并签书面补充协议报招标监督管理部门备案，方可作为主合同不可分割的一部分。</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13.3本项目采购文件与投标文件作为合同不可分割的部分。</w:t>
      </w:r>
    </w:p>
    <w:p>
      <w:pPr>
        <w:widowControl/>
        <w:spacing w:before="0" w:beforeLines="0" w:beforeAutospacing="0" w:after="0" w:afterLines="0" w:afterAutospacing="0" w:line="360" w:lineRule="auto"/>
        <w:ind w:left="420" w:hanging="420" w:hangingChars="200"/>
        <w:contextualSpacing/>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13.4本合同未尽事宜，遵照《合同法》有关条文执行。</w:t>
      </w:r>
    </w:p>
    <w:p>
      <w:pPr>
        <w:widowControl/>
        <w:spacing w:before="0" w:beforeLines="0" w:beforeAutospacing="0" w:after="0" w:afterLines="0" w:afterAutospacing="0" w:line="360" w:lineRule="auto"/>
        <w:ind w:left="420" w:hanging="420" w:hangingChars="200"/>
        <w:contextualSpacing/>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13.5本合同正本一式</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份，具有同等法律效力，甲乙双方各执</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份，代理机构</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份。</w:t>
      </w:r>
    </w:p>
    <w:p>
      <w:pPr>
        <w:widowControl/>
        <w:spacing w:before="0" w:beforeLines="0" w:beforeAutospacing="0" w:after="0" w:afterLines="0" w:afterAutospacing="0" w:line="360" w:lineRule="auto"/>
        <w:ind w:left="420" w:hanging="420" w:hangingChars="200"/>
        <w:contextualSpacing/>
        <w:jc w:val="left"/>
        <w:rPr>
          <w:rFonts w:hint="eastAsia" w:ascii="宋体" w:hAnsi="宋体" w:eastAsia="宋体" w:cs="宋体"/>
          <w:color w:val="auto"/>
          <w:kern w:val="2"/>
          <w:sz w:val="21"/>
          <w:szCs w:val="20"/>
          <w:highlight w:val="none"/>
          <w:lang w:val="en-US" w:eastAsia="zh-CN" w:bidi="ar-SA"/>
        </w:rPr>
      </w:pP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
        </w:rPr>
      </w:pPr>
      <w:r>
        <w:rPr>
          <w:rFonts w:hint="eastAsia" w:ascii="宋体" w:hAnsi="宋体" w:eastAsia="宋体" w:cs="宋体"/>
          <w:color w:val="auto"/>
          <w:kern w:val="2"/>
          <w:sz w:val="21"/>
          <w:szCs w:val="20"/>
          <w:highlight w:val="none"/>
          <w:lang w:val="en-US" w:eastAsia="zh-CN" w:bidi="ar"/>
        </w:rPr>
        <w:t xml:space="preserve">甲方：                                            乙方： </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
        </w:rPr>
      </w:pPr>
      <w:r>
        <w:rPr>
          <w:rFonts w:hint="eastAsia" w:ascii="宋体" w:hAnsi="宋体" w:eastAsia="宋体" w:cs="宋体"/>
          <w:color w:val="auto"/>
          <w:kern w:val="2"/>
          <w:sz w:val="21"/>
          <w:szCs w:val="20"/>
          <w:highlight w:val="none"/>
          <w:lang w:val="en-US" w:eastAsia="zh-CN" w:bidi="ar"/>
        </w:rPr>
        <w:t xml:space="preserve">地址：                                            地址： </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
        </w:rPr>
      </w:pPr>
      <w:r>
        <w:rPr>
          <w:rFonts w:hint="eastAsia" w:ascii="宋体" w:hAnsi="宋体" w:eastAsia="宋体" w:cs="宋体"/>
          <w:color w:val="auto"/>
          <w:kern w:val="2"/>
          <w:sz w:val="21"/>
          <w:szCs w:val="20"/>
          <w:highlight w:val="none"/>
          <w:lang w:val="en-US" w:eastAsia="zh-CN" w:bidi="ar"/>
        </w:rPr>
        <w:t>法定代表人：                                      法定代表人：</w:t>
      </w:r>
    </w:p>
    <w:p>
      <w:pPr>
        <w:widowControl/>
        <w:overflowPunct w:val="0"/>
        <w:autoSpaceDE w:val="0"/>
        <w:autoSpaceDN w:val="0"/>
        <w:adjustRightInd w:val="0"/>
        <w:spacing w:before="0" w:beforeLines="0" w:beforeAutospacing="0" w:after="0" w:afterLines="0" w:afterAutospacing="0" w:line="360" w:lineRule="auto"/>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
        </w:rPr>
        <w:t xml:space="preserve">签订地点：                                        签订地点：                    </w:t>
      </w:r>
    </w:p>
    <w:p>
      <w:pPr>
        <w:snapToGrid w:val="0"/>
        <w:spacing w:beforeLines="50" w:afterLines="50" w:line="400" w:lineRule="exact"/>
        <w:rPr>
          <w:rFonts w:ascii="宋体" w:hAnsi="宋体" w:cs="宋体"/>
          <w:bCs/>
          <w:color w:val="auto"/>
          <w:szCs w:val="21"/>
          <w:highlight w:val="none"/>
        </w:rPr>
      </w:pPr>
      <w:r>
        <w:rPr>
          <w:rFonts w:hint="eastAsia" w:ascii="宋体" w:hAnsi="宋体" w:cs="宋体"/>
          <w:color w:val="auto"/>
          <w:kern w:val="2"/>
          <w:sz w:val="21"/>
          <w:szCs w:val="20"/>
          <w:highlight w:val="none"/>
          <w:lang w:bidi="ar"/>
        </w:rPr>
        <w:t>签订日期：      年  月  日                        签订日期：      年  月  日</w:t>
      </w:r>
    </w:p>
    <w:p>
      <w:pPr>
        <w:snapToGrid w:val="0"/>
        <w:spacing w:beforeLines="50" w:afterLines="50" w:line="400" w:lineRule="exact"/>
        <w:jc w:val="center"/>
        <w:rPr>
          <w:rFonts w:ascii="黑体" w:hAnsi="宋体" w:eastAsia="黑体"/>
          <w:color w:val="auto"/>
          <w:sz w:val="24"/>
          <w:highlight w:val="none"/>
        </w:rPr>
      </w:pPr>
      <w:r>
        <w:rPr>
          <w:rFonts w:hAnsi="宋体"/>
          <w:color w:val="auto"/>
          <w:highlight w:val="none"/>
        </w:rPr>
        <w:br w:type="page"/>
      </w:r>
      <w:bookmarkStart w:id="57" w:name="_Toc625"/>
      <w:r>
        <w:rPr>
          <w:rFonts w:hint="eastAsia"/>
          <w:color w:val="auto"/>
          <w:sz w:val="28"/>
          <w:szCs w:val="28"/>
          <w:highlight w:val="none"/>
        </w:rPr>
        <w:t>第六章　投标文件格式</w:t>
      </w:r>
      <w:bookmarkEnd w:id="57"/>
    </w:p>
    <w:p>
      <w:pPr>
        <w:widowControl/>
        <w:numPr>
          <w:ilvl w:val="0"/>
          <w:numId w:val="14"/>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5"/>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5"/>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napToGrid w:val="0"/>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ascii="宋体" w:hAnsi="宋体" w:cs="宋体"/>
          <w:b/>
          <w:color w:val="auto"/>
          <w:kern w:val="0"/>
          <w:sz w:val="28"/>
          <w:szCs w:val="28"/>
          <w:highlight w:val="none"/>
        </w:rPr>
      </w:pPr>
      <w:bookmarkStart w:id="58" w:name="_Toc275865606"/>
    </w:p>
    <w:bookmarkEnd w:id="58"/>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Lines="50"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Style w:val="30"/>
          <w:rFonts w:hint="eastAsia" w:ascii="宋体" w:hAnsi="宋体" w:cs="宋体"/>
          <w:bCs/>
          <w:color w:val="auto"/>
          <w:kern w:val="0"/>
          <w:szCs w:val="21"/>
          <w:highlight w:val="none"/>
        </w:rPr>
        <w:t>财务会计制度</w:t>
      </w:r>
      <w:r>
        <w:rPr>
          <w:rStyle w:val="30"/>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Style w:val="30"/>
          <w:rFonts w:hint="eastAsia" w:ascii="宋体" w:hAnsi="宋体" w:cs="宋体"/>
          <w:bCs/>
          <w:color w:val="auto"/>
          <w:kern w:val="0"/>
          <w:szCs w:val="21"/>
          <w:highlight w:val="none"/>
        </w:rPr>
        <w:t>社会保障资金</w:t>
      </w:r>
      <w:r>
        <w:rPr>
          <w:rStyle w:val="30"/>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color w:val="auto"/>
          <w:kern w:val="0"/>
          <w:szCs w:val="20"/>
          <w:highlight w:val="none"/>
        </w:rPr>
      </w:pPr>
      <w:r>
        <w:rPr>
          <w:rFonts w:hint="eastAsia" w:ascii="宋体" w:hAnsi="宋体" w:cs="宋体"/>
          <w:b/>
          <w:color w:val="auto"/>
          <w:kern w:val="0"/>
          <w:szCs w:val="20"/>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kern w:val="0"/>
          <w:szCs w:val="20"/>
          <w:highlight w:val="none"/>
        </w:rPr>
        <w:t>否则，由此所造成的损失、不良后果及法律责任，一律由我公司（企业）承担。</w:t>
      </w:r>
    </w:p>
    <w:p>
      <w:pPr>
        <w:widowControl/>
        <w:snapToGrid w:val="0"/>
        <w:spacing w:line="360" w:lineRule="auto"/>
        <w:ind w:firstLine="426" w:firstLineChars="202"/>
        <w:jc w:val="left"/>
        <w:rPr>
          <w:rFonts w:ascii="宋体" w:hAnsi="宋体" w:cs="宋体"/>
          <w:b/>
          <w:bCs/>
          <w:color w:val="auto"/>
          <w:kern w:val="0"/>
          <w:szCs w:val="20"/>
          <w:highlight w:val="none"/>
        </w:rPr>
      </w:pPr>
      <w:r>
        <w:rPr>
          <w:rFonts w:hint="eastAsia" w:ascii="宋体" w:hAnsi="宋体"/>
          <w:b/>
          <w:bCs/>
          <w:color w:val="auto"/>
          <w:kern w:val="0"/>
          <w:szCs w:val="20"/>
          <w:highlight w:val="none"/>
        </w:rPr>
        <w:t>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3045" w:firstLineChars="14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spacing w:line="360" w:lineRule="auto"/>
        <w:ind w:firstLine="420" w:firstLineChars="200"/>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pacing w:line="480" w:lineRule="exac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6</w:t>
      </w:r>
      <w:r>
        <w:rPr>
          <w:rFonts w:hint="eastAsia" w:ascii="宋体" w:hAnsi="宋体" w:cs="宋体"/>
          <w:b/>
          <w:bCs/>
          <w:color w:val="auto"/>
          <w:kern w:val="0"/>
          <w:szCs w:val="21"/>
          <w:highlight w:val="none"/>
        </w:rPr>
        <w:t>.</w:t>
      </w:r>
      <w:r>
        <w:rPr>
          <w:rFonts w:hint="eastAsia" w:ascii="Times New Roman" w:hAnsi="Times New Roman"/>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napToGrid w:val="0"/>
        <w:spacing w:before="50" w:afterLines="50"/>
        <w:jc w:val="left"/>
        <w:rPr>
          <w:rFonts w:ascii="宋体" w:hAnsi="宋体" w:cs="宋体"/>
          <w:b/>
          <w:color w:val="auto"/>
          <w:kern w:val="0"/>
          <w:sz w:val="24"/>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jc w:val="left"/>
        <w:rPr>
          <w:rFonts w:ascii="宋体" w:hAnsi="宋体" w:cs="宋体"/>
          <w:color w:val="auto"/>
          <w:kern w:val="0"/>
          <w:szCs w:val="20"/>
          <w:highlight w:val="none"/>
        </w:rPr>
      </w:pP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1"/>
          <w:highlight w:val="none"/>
        </w:rPr>
        <w:t>8.</w:t>
      </w:r>
      <w:r>
        <w:rPr>
          <w:rFonts w:hint="eastAsia" w:ascii="宋体" w:hAnsi="宋体" w:cs="宋体"/>
          <w:b/>
          <w:bCs/>
          <w:color w:val="auto"/>
          <w:kern w:val="0"/>
          <w:szCs w:val="21"/>
          <w:highlight w:val="none"/>
        </w:rPr>
        <w:t xml:space="preserve"> 商务技术文件目录</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6"/>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6"/>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adjustRightInd w:val="0"/>
        <w:snapToGrid w:val="0"/>
        <w:jc w:val="center"/>
        <w:rPr>
          <w:rFonts w:ascii="宋体" w:hAnsi="宋体" w:cs="宋体"/>
          <w:b/>
          <w:color w:val="auto"/>
          <w:kern w:val="0"/>
          <w:sz w:val="24"/>
          <w:szCs w:val="20"/>
          <w:highlight w:val="none"/>
        </w:rPr>
      </w:pPr>
    </w:p>
    <w:p>
      <w:pPr>
        <w:widowControl/>
        <w:snapToGrid w:val="0"/>
        <w:spacing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按照招标文件规定要求签署或盖章；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投标文件的实质性内容使用中文表述且意思表述明确，前后无矛盾且使用计量单位符合招标文件要求的；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带“★”的条款满足招标文件要求、已实质性响应招标文件要求且投标文件无采购人不能接受的附加条件的；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允许偏离的技术、性能指标或者辅助功能项目发生负偏离未达20项（含）以上的；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不存在法律、法规和招标文件规定的其他无效情形；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不存在投标文件的有效期不满足招标文件要求情形；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bl>
    <w:p>
      <w:pPr>
        <w:widowControl/>
        <w:adjustRightInd w:val="0"/>
        <w:snapToGrid w:val="0"/>
        <w:spacing w:line="4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ascii="宋体" w:hAnsi="宋体" w:cs="宋体"/>
          <w:color w:val="auto"/>
          <w:kern w:val="0"/>
          <w:szCs w:val="20"/>
          <w:highlight w:val="none"/>
        </w:rPr>
      </w:pPr>
    </w:p>
    <w:p>
      <w:pPr>
        <w:widowControl/>
        <w:snapToGrid w:val="0"/>
        <w:spacing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26"/>
        <w:tblW w:w="0" w:type="auto"/>
        <w:tblInd w:w="-20"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bl>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17"/>
        </w:numPr>
        <w:jc w:val="left"/>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ascii="宋体" w:hAnsi="宋体" w:cs="宋体"/>
          <w:b/>
          <w:color w:val="auto"/>
          <w:kern w:val="0"/>
          <w:szCs w:val="20"/>
          <w:highlight w:val="none"/>
        </w:rPr>
      </w:pP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50" w:after="50"/>
        <w:jc w:val="lef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致：（招标采购单位名称）：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根据贵方为项目的采购公告/投标邀请书（项目编号：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），签字代表（全名）经正式授权并代表供应商（供应商名称）提交投标文件。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3.本投标有效期自开标日起______个日历日。</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银行帐号：</w:t>
      </w:r>
      <w:r>
        <w:rPr>
          <w:rFonts w:hint="eastAsia" w:ascii="宋体" w:hAnsi="宋体" w:cs="宋体"/>
          <w:color w:val="auto"/>
          <w:kern w:val="0"/>
          <w:szCs w:val="21"/>
          <w:highlight w:val="none"/>
          <w:u w:val="single"/>
          <w:lang w:val="en-US" w:eastAsia="zh-CN"/>
        </w:rPr>
        <w:t xml:space="preserve">         </w:t>
      </w:r>
    </w:p>
    <w:p>
      <w:pPr>
        <w:widowControl/>
        <w:snapToGrid w:val="0"/>
        <w:spacing w:before="50"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w:t>
      </w:r>
      <w:r>
        <w:rPr>
          <w:rFonts w:hint="eastAsia" w:ascii="宋体" w:hAnsi="宋体" w:cs="宋体"/>
          <w:b/>
          <w:color w:val="auto"/>
          <w:kern w:val="0"/>
          <w:szCs w:val="20"/>
          <w:highlight w:val="none"/>
        </w:rPr>
        <w:t>定代表人身份证明及授权委托书格式：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widowControl/>
        <w:spacing w:line="480" w:lineRule="auto"/>
        <w:jc w:val="center"/>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姓名：性别：年龄：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pPr>
        <w:widowControl/>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系（供应商名称）的法定代表人。</w:t>
      </w:r>
    </w:p>
    <w:p>
      <w:pPr>
        <w:widowControl/>
        <w:spacing w:line="48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kern w:val="0"/>
          <w:szCs w:val="21"/>
          <w:highlight w:val="none"/>
        </w:rPr>
      </w:pPr>
    </w:p>
    <w:p>
      <w:pPr>
        <w:widowControl/>
        <w:wordWrap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供应商：（盖单位公章）</w:t>
      </w:r>
    </w:p>
    <w:p>
      <w:pPr>
        <w:widowControl/>
        <w:spacing w:line="360" w:lineRule="auto"/>
        <w:ind w:firstLine="4515" w:firstLineChars="2150"/>
        <w:jc w:val="left"/>
        <w:rPr>
          <w:rFonts w:ascii="宋体" w:hAnsi="宋体" w:cs="宋体"/>
          <w:color w:val="auto"/>
          <w:kern w:val="0"/>
          <w:szCs w:val="21"/>
          <w:highlight w:val="none"/>
          <w:u w:val="single"/>
        </w:rPr>
      </w:pPr>
    </w:p>
    <w:p>
      <w:pPr>
        <w:widowControl/>
        <w:spacing w:line="360" w:lineRule="auto"/>
        <w:ind w:firstLine="3675" w:firstLineChars="1750"/>
        <w:jc w:val="right"/>
        <w:rPr>
          <w:rFonts w:ascii="宋体" w:hAnsi="宋体" w:cs="宋体"/>
          <w:color w:val="auto"/>
          <w:kern w:val="0"/>
          <w:szCs w:val="21"/>
          <w:highlight w:val="none"/>
        </w:rPr>
      </w:pP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pPr>
        <w:widowControl/>
        <w:spacing w:line="360" w:lineRule="auto"/>
        <w:jc w:val="left"/>
        <w:rPr>
          <w:rFonts w:ascii="宋体" w:hAnsi="宋体" w:cs="宋体"/>
          <w:color w:val="auto"/>
          <w:kern w:val="0"/>
          <w:sz w:val="24"/>
          <w:szCs w:val="20"/>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center"/>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widowControl/>
        <w:jc w:val="center"/>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widowControl/>
        <w:snapToGrid w:val="0"/>
        <w:spacing w:line="360" w:lineRule="auto"/>
        <w:jc w:val="left"/>
        <w:rPr>
          <w:rFonts w:ascii="宋体" w:hAnsi="宋体" w:cs="宋体"/>
          <w:bCs/>
          <w:color w:val="auto"/>
          <w:kern w:val="0"/>
          <w:sz w:val="24"/>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rPr>
        <w:t>（采购单位名称）：</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我（姓名）系（供应商名称）的法定代表人，现授权委托本单位在职职工 （姓名）以我方的名义参加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我方对被授权人的签名事项负全部责任。</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在撤销授权的书面通知以前，本授权书一直有效。被授权人在授权书有效期内签署的所有文件不因授权的撤销而失效。</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被授权人无转委托权，特此委托。</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被授权人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line="36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职务：                          职务：</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被授权人身份证号码：</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ind w:firstLine="4830" w:firstLineChars="23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widowControl/>
        <w:snapToGrid w:val="0"/>
        <w:spacing w:line="360" w:lineRule="auto"/>
        <w:ind w:firstLine="4830" w:firstLineChars="2300"/>
        <w:jc w:val="left"/>
        <w:rPr>
          <w:rFonts w:ascii="宋体" w:hAnsi="宋体" w:cs="宋体"/>
          <w:color w:val="auto"/>
          <w:kern w:val="0"/>
          <w:szCs w:val="21"/>
          <w:highlight w:val="none"/>
        </w:rPr>
      </w:pP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napToGrid w:val="0"/>
        <w:spacing w:before="50" w:after="50"/>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附：法定代表人身份证复印件（正反面）、授权代表身份证复印件（正反面）及开标日前近三个月当地相关部门出具的社保证明。</w:t>
      </w:r>
    </w:p>
    <w:p>
      <w:pPr>
        <w:widowControl/>
        <w:snapToGrid w:val="0"/>
        <w:spacing w:before="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15</w:t>
      </w:r>
      <w:r>
        <w:rPr>
          <w:rFonts w:hint="eastAsia" w:ascii="宋体" w:hAnsi="宋体" w:cs="宋体"/>
          <w:b/>
          <w:bCs/>
          <w:color w:val="auto"/>
          <w:kern w:val="0"/>
          <w:szCs w:val="21"/>
          <w:highlight w:val="none"/>
        </w:rPr>
        <w:t>. 商务条款偏离表</w:t>
      </w:r>
    </w:p>
    <w:p>
      <w:pPr>
        <w:widowControl/>
        <w:snapToGrid w:val="0"/>
        <w:spacing w:before="5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Lines="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Lines="50" w:after="50"/>
        <w:jc w:val="left"/>
        <w:rPr>
          <w:rFonts w:ascii="宋体" w:hAnsi="宋体" w:cs="宋体"/>
          <w:color w:val="auto"/>
          <w:kern w:val="0"/>
          <w:szCs w:val="21"/>
          <w:highlight w:val="none"/>
        </w:rPr>
      </w:pPr>
    </w:p>
    <w:p>
      <w:pPr>
        <w:widowControl/>
        <w:snapToGrid w:val="0"/>
        <w:spacing w:before="5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2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bl>
    <w:p>
      <w:pPr>
        <w:widowControl/>
        <w:snapToGrid w:val="0"/>
        <w:spacing w:before="50" w:afterLines="50"/>
        <w:jc w:val="left"/>
        <w:rPr>
          <w:rFonts w:ascii="宋体" w:hAnsi="宋体" w:cs="宋体"/>
          <w:color w:val="auto"/>
          <w:kern w:val="0"/>
          <w:szCs w:val="21"/>
          <w:highlight w:val="none"/>
        </w:rPr>
      </w:pPr>
    </w:p>
    <w:p>
      <w:pPr>
        <w:widowControl/>
        <w:snapToGrid w:val="0"/>
        <w:spacing w:before="50" w:afterLines="50"/>
        <w:jc w:val="left"/>
        <w:rPr>
          <w:rFonts w:ascii="宋体" w:hAnsi="宋体" w:cs="宋体"/>
          <w:color w:val="auto"/>
          <w:kern w:val="0"/>
          <w:szCs w:val="21"/>
          <w:highlight w:val="none"/>
        </w:rPr>
      </w:pPr>
    </w:p>
    <w:p>
      <w:pPr>
        <w:widowControl/>
        <w:jc w:val="left"/>
        <w:rPr>
          <w:rFonts w:ascii="宋体" w:hAnsi="宋体" w:cs="宋体"/>
          <w:color w:val="auto"/>
          <w:szCs w:val="21"/>
          <w:highlight w:val="none"/>
        </w:rPr>
        <w:sectPr>
          <w:footerReference r:id="rId3" w:type="default"/>
          <w:pgSz w:w="11906" w:h="16838"/>
          <w:pgMar w:top="1304" w:right="1797" w:bottom="1247" w:left="1797" w:header="851" w:footer="851" w:gutter="0"/>
          <w:pgNumType w:start="1"/>
          <w:cols w:space="720" w:num="1"/>
        </w:sectPr>
      </w:pPr>
    </w:p>
    <w:p>
      <w:pPr>
        <w:widowControl/>
        <w:snapToGrid w:val="0"/>
        <w:spacing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.第四章评标办法及评分标准中需提供的其他相关资质证书及合同复印件加盖公章；</w:t>
      </w:r>
    </w:p>
    <w:p>
      <w:pPr>
        <w:widowControl/>
        <w:snapToGrid w:val="0"/>
        <w:spacing w:beforeLines="50" w:after="50"/>
        <w:jc w:val="left"/>
        <w:rPr>
          <w:rFonts w:ascii="宋体" w:hAnsi="宋体" w:cs="宋体"/>
          <w:b/>
          <w:bCs/>
          <w:color w:val="auto"/>
          <w:kern w:val="0"/>
          <w:szCs w:val="21"/>
          <w:highlight w:val="none"/>
        </w:rPr>
      </w:pPr>
    </w:p>
    <w:p>
      <w:pPr>
        <w:widowControl/>
        <w:snapToGrid w:val="0"/>
        <w:spacing w:beforeLines="50" w:after="50"/>
        <w:jc w:val="left"/>
        <w:rPr>
          <w:rFonts w:ascii="宋体" w:hAnsi="宋体" w:cs="宋体"/>
          <w:b/>
          <w:bCs/>
          <w:color w:val="auto"/>
          <w:kern w:val="0"/>
          <w:szCs w:val="21"/>
          <w:highlight w:val="none"/>
        </w:rPr>
      </w:pPr>
    </w:p>
    <w:p>
      <w:pPr>
        <w:widowControl/>
        <w:snapToGrid w:val="0"/>
        <w:spacing w:beforeLines="50" w:after="50"/>
        <w:jc w:val="left"/>
        <w:rPr>
          <w:rFonts w:ascii="宋体" w:hAnsi="宋体" w:cs="宋体"/>
          <w:b/>
          <w:bCs/>
          <w:color w:val="auto"/>
          <w:kern w:val="0"/>
          <w:szCs w:val="21"/>
          <w:highlight w:val="none"/>
        </w:rPr>
      </w:pPr>
    </w:p>
    <w:p>
      <w:pPr>
        <w:widowControl/>
        <w:snapToGrid w:val="0"/>
        <w:spacing w:beforeLines="50" w:after="50"/>
        <w:jc w:val="left"/>
        <w:rPr>
          <w:rFonts w:ascii="宋体" w:hAnsi="宋体" w:cs="宋体"/>
          <w:b/>
          <w:bCs/>
          <w:color w:val="auto"/>
          <w:kern w:val="0"/>
          <w:szCs w:val="21"/>
          <w:highlight w:val="none"/>
        </w:rPr>
      </w:pPr>
    </w:p>
    <w:p>
      <w:pPr>
        <w:widowControl/>
        <w:snapToGrid w:val="0"/>
        <w:spacing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.供应商认为有需要提供的其它有关证明资料。</w:t>
      </w:r>
    </w:p>
    <w:p>
      <w:pPr>
        <w:widowControl/>
        <w:snapToGrid w:val="0"/>
        <w:spacing w:before="50"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Lines="50" w:after="50"/>
        <w:jc w:val="left"/>
        <w:rPr>
          <w:rFonts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Lines="50" w:after="50"/>
        <w:jc w:val="left"/>
        <w:rPr>
          <w:rFonts w:ascii="宋体" w:hAnsi="宋体" w:cs="宋体"/>
          <w:bCs/>
          <w:color w:val="auto"/>
          <w:kern w:val="0"/>
          <w:szCs w:val="21"/>
          <w:highlight w:val="none"/>
        </w:rPr>
      </w:pPr>
    </w:p>
    <w:p>
      <w:pPr>
        <w:widowControl/>
        <w:snapToGrid w:val="0"/>
        <w:spacing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Lines="50" w:after="50"/>
        <w:jc w:val="left"/>
        <w:rPr>
          <w:rFonts w:ascii="宋体" w:hAnsi="宋体" w:cs="宋体"/>
          <w:bCs/>
          <w:color w:val="auto"/>
          <w:kern w:val="0"/>
          <w:szCs w:val="21"/>
          <w:highlight w:val="none"/>
        </w:rPr>
      </w:pPr>
    </w:p>
    <w:p>
      <w:pPr>
        <w:widowControl/>
        <w:snapToGrid w:val="0"/>
        <w:spacing w:beforeLines="50" w:after="50"/>
        <w:ind w:firstLine="932" w:firstLineChars="444"/>
        <w:jc w:val="left"/>
        <w:rPr>
          <w:rFonts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Lines="50" w:after="50"/>
        <w:ind w:firstLine="932" w:firstLineChars="444"/>
        <w:jc w:val="left"/>
        <w:rPr>
          <w:rFonts w:ascii="宋体" w:hAnsi="宋体" w:cs="宋体"/>
          <w:bCs/>
          <w:color w:val="auto"/>
          <w:kern w:val="0"/>
          <w:szCs w:val="21"/>
          <w:highlight w:val="none"/>
        </w:rPr>
      </w:pP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p>
    <w:p>
      <w:pPr>
        <w:widowControl/>
        <w:snapToGrid w:val="0"/>
        <w:spacing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正本/或副本</w:t>
      </w:r>
    </w:p>
    <w:p>
      <w:pPr>
        <w:widowControl/>
        <w:snapToGrid w:val="0"/>
        <w:spacing w:beforeLines="50" w:after="50"/>
        <w:jc w:val="left"/>
        <w:rPr>
          <w:rFonts w:ascii="宋体" w:hAnsi="宋体" w:cs="宋体"/>
          <w:color w:val="auto"/>
          <w:kern w:val="0"/>
          <w:szCs w:val="21"/>
          <w:highlight w:val="none"/>
        </w:rPr>
      </w:pPr>
    </w:p>
    <w:p>
      <w:pPr>
        <w:widowControl/>
        <w:snapToGrid w:val="0"/>
        <w:spacing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Lines="50" w:after="50"/>
        <w:jc w:val="left"/>
        <w:rPr>
          <w:rFonts w:ascii="宋体" w:hAnsi="宋体" w:cs="宋体"/>
          <w:bCs/>
          <w:color w:val="auto"/>
          <w:kern w:val="0"/>
          <w:szCs w:val="21"/>
          <w:highlight w:val="none"/>
        </w:rPr>
      </w:pPr>
    </w:p>
    <w:p>
      <w:pPr>
        <w:widowControl/>
        <w:snapToGrid w:val="0"/>
        <w:spacing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p>
    <w:p>
      <w:pPr>
        <w:widowControl/>
        <w:snapToGrid w:val="0"/>
        <w:spacing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Lines="50" w:after="50"/>
        <w:ind w:firstLine="525" w:firstLineChars="250"/>
        <w:jc w:val="left"/>
        <w:rPr>
          <w:rFonts w:ascii="宋体" w:hAnsi="宋体" w:cs="宋体"/>
          <w:bCs/>
          <w:color w:val="auto"/>
          <w:kern w:val="0"/>
          <w:szCs w:val="21"/>
          <w:highlight w:val="none"/>
        </w:rPr>
      </w:pPr>
    </w:p>
    <w:p>
      <w:pPr>
        <w:widowControl/>
        <w:snapToGrid w:val="0"/>
        <w:spacing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snapToGrid w:val="0"/>
        <w:spacing w:before="295" w:after="295"/>
        <w:jc w:val="center"/>
        <w:rPr>
          <w:rFonts w:ascii="宋体" w:hAnsi="宋体" w:cs="宋体"/>
          <w:color w:val="auto"/>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ascii="宋体" w:hAnsi="宋体" w:cs="宋体"/>
          <w:color w:val="auto"/>
          <w:kern w:val="0"/>
          <w:szCs w:val="21"/>
          <w:highlight w:val="none"/>
        </w:rPr>
      </w:pPr>
    </w:p>
    <w:p>
      <w:pPr>
        <w:widowControl/>
        <w:numPr>
          <w:ilvl w:val="0"/>
          <w:numId w:val="18"/>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widowControl/>
        <w:numPr>
          <w:ilvl w:val="0"/>
          <w:numId w:val="18"/>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投标报价明细表格式（格式见附件）；</w:t>
      </w:r>
    </w:p>
    <w:p>
      <w:pPr>
        <w:widowControl/>
        <w:numPr>
          <w:ilvl w:val="0"/>
          <w:numId w:val="18"/>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中小企业声明函（如有）（格式见附件）；</w:t>
      </w:r>
    </w:p>
    <w:p>
      <w:pPr>
        <w:widowControl/>
        <w:numPr>
          <w:ilvl w:val="0"/>
          <w:numId w:val="18"/>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残疾人福利性单位声明函（如有）（格式见附件）；</w:t>
      </w:r>
    </w:p>
    <w:p>
      <w:pPr>
        <w:widowControl/>
        <w:numPr>
          <w:ilvl w:val="0"/>
          <w:numId w:val="18"/>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widowControl/>
        <w:jc w:val="left"/>
        <w:rPr>
          <w:rFonts w:ascii="宋体" w:hAnsi="宋体" w:cs="宋体"/>
          <w:b/>
          <w:bCs/>
          <w:color w:val="auto"/>
          <w:szCs w:val="21"/>
          <w:highlight w:val="none"/>
        </w:rPr>
        <w:sectPr>
          <w:pgSz w:w="11906" w:h="16838"/>
          <w:pgMar w:top="1304" w:right="1797" w:bottom="1247" w:left="1797" w:header="720" w:footer="720" w:gutter="0"/>
          <w:cols w:space="720" w:num="1"/>
        </w:sectPr>
      </w:pPr>
    </w:p>
    <w:p>
      <w:pPr>
        <w:widowControl/>
        <w:snapToGrid w:val="0"/>
        <w:spacing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widowControl/>
        <w:snapToGrid w:val="0"/>
        <w:spacing w:before="50" w:after="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标项号：</w:t>
      </w:r>
    </w:p>
    <w:p>
      <w:pPr>
        <w:ind w:firstLine="420"/>
        <w:jc w:val="right"/>
        <w:rPr>
          <w:rFonts w:ascii="宋体" w:hAnsi="宋体" w:cs="宋体"/>
          <w:color w:val="auto"/>
          <w:highlight w:val="none"/>
        </w:rPr>
      </w:pPr>
      <w:r>
        <w:rPr>
          <w:rFonts w:hint="eastAsia" w:ascii="宋体" w:hAnsi="宋体" w:cs="宋体"/>
          <w:color w:val="auto"/>
          <w:highlight w:val="none"/>
        </w:rPr>
        <w:t>单位：元</w:t>
      </w:r>
    </w:p>
    <w:tbl>
      <w:tblPr>
        <w:tblStyle w:val="26"/>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4223"/>
        <w:gridCol w:w="774"/>
        <w:gridCol w:w="3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标项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采购内容</w:t>
            </w: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数量</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nil"/>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投标总价：</w:t>
            </w:r>
            <w:r>
              <w:rPr>
                <w:rFonts w:hint="eastAsia" w:ascii="宋体" w:hAnsi="宋体"/>
                <w:color w:val="auto"/>
                <w:szCs w:val="21"/>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r>
    </w:tbl>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1、报价一经涂改，应在涂改处加盖单位公章或者由法定代表人或授权委托人签字或盖章，否则其投标作无效标处理。</w:t>
      </w:r>
    </w:p>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widowControl/>
        <w:snapToGrid w:val="0"/>
        <w:spacing w:before="50" w:after="50" w:line="360" w:lineRule="auto"/>
        <w:jc w:val="left"/>
        <w:rPr>
          <w:rFonts w:ascii="宋体" w:hAnsi="宋体" w:cs="宋体"/>
          <w:color w:val="auto"/>
          <w:kern w:val="0"/>
          <w:szCs w:val="21"/>
          <w:highlight w:val="none"/>
        </w:rPr>
      </w:pP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widowControl/>
        <w:jc w:val="left"/>
        <w:rPr>
          <w:rFonts w:ascii="宋体" w:hAnsi="宋体" w:cs="宋体"/>
          <w:color w:val="auto"/>
          <w:szCs w:val="21"/>
          <w:highlight w:val="none"/>
        </w:rPr>
        <w:sectPr>
          <w:pgSz w:w="11906" w:h="16838"/>
          <w:pgMar w:top="1304" w:right="1797" w:bottom="1247" w:left="1797" w:header="720" w:footer="720" w:gutter="0"/>
          <w:cols w:space="720" w:num="1"/>
        </w:sect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t>5.投标报价明细表格式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26"/>
        <w:tblW w:w="8940" w:type="dxa"/>
        <w:jc w:val="center"/>
        <w:tblLayout w:type="fixed"/>
        <w:tblCellMar>
          <w:top w:w="0" w:type="dxa"/>
          <w:left w:w="108" w:type="dxa"/>
          <w:bottom w:w="0" w:type="dxa"/>
          <w:right w:w="108" w:type="dxa"/>
        </w:tblCellMar>
      </w:tblPr>
      <w:tblGrid>
        <w:gridCol w:w="816"/>
        <w:gridCol w:w="3832"/>
        <w:gridCol w:w="1609"/>
        <w:gridCol w:w="1252"/>
        <w:gridCol w:w="1431"/>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3835"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161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bl>
    <w:p>
      <w:pPr>
        <w:rPr>
          <w:rFonts w:ascii="宋体" w:hAnsi="宋体" w:cs="宋体"/>
          <w:bCs/>
          <w:color w:val="auto"/>
          <w:szCs w:val="21"/>
          <w:highlight w:val="none"/>
        </w:rPr>
      </w:pPr>
      <w:r>
        <w:rPr>
          <w:rFonts w:hint="eastAsia" w:ascii="宋体" w:hAnsi="宋体" w:cs="宋体"/>
          <w:bCs/>
          <w:color w:val="auto"/>
          <w:szCs w:val="21"/>
          <w:highlight w:val="none"/>
        </w:rPr>
        <w:t>注：1、投标单位可根据实际情况自行调整表格；</w:t>
      </w:r>
    </w:p>
    <w:p>
      <w:pPr>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after="120"/>
        <w:ind w:firstLine="5460" w:firstLineChars="2600"/>
        <w:rPr>
          <w:rFonts w:ascii="宋体" w:hAnsi="宋体" w:cs="宋体"/>
          <w:color w:val="auto"/>
          <w:highlight w:val="none"/>
        </w:rPr>
      </w:pPr>
      <w:r>
        <w:rPr>
          <w:rFonts w:hint="eastAsia" w:ascii="宋体" w:hAnsi="宋体" w:cs="宋体"/>
          <w:color w:val="auto"/>
          <w:highlight w:val="none"/>
        </w:rPr>
        <w:t>日  期：</w:t>
      </w:r>
    </w:p>
    <w:p>
      <w:pPr>
        <w:spacing w:after="120"/>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6.</w:t>
      </w:r>
      <w:r>
        <w:rPr>
          <w:rFonts w:hint="eastAsia" w:ascii="宋体" w:hAnsi="宋体" w:cs="宋体"/>
          <w:b/>
          <w:bCs/>
          <w:color w:val="auto"/>
          <w:szCs w:val="21"/>
          <w:highlight w:val="none"/>
        </w:rPr>
        <w:t>中小企业声明函</w:t>
      </w:r>
    </w:p>
    <w:p>
      <w:pPr>
        <w:spacing w:after="120" w:line="520" w:lineRule="exact"/>
        <w:ind w:left="420" w:leftChars="200"/>
        <w:jc w:val="center"/>
        <w:rPr>
          <w:rFonts w:ascii="宋体" w:hAnsi="宋体" w:cs="宋体"/>
          <w:b/>
          <w:color w:val="auto"/>
          <w:sz w:val="28"/>
          <w:highlight w:val="none"/>
        </w:rPr>
      </w:pPr>
      <w:r>
        <w:rPr>
          <w:rFonts w:hint="eastAsia" w:ascii="宋体" w:hAnsi="宋体" w:cs="宋体"/>
          <w:b/>
          <w:color w:val="auto"/>
          <w:sz w:val="28"/>
          <w:szCs w:val="28"/>
          <w:highlight w:val="none"/>
        </w:rPr>
        <w:t>中小企业声明函</w:t>
      </w:r>
    </w:p>
    <w:p>
      <w:pPr>
        <w:widowControl/>
        <w:spacing w:line="588" w:lineRule="exact"/>
        <w:jc w:val="left"/>
        <w:rPr>
          <w:rFonts w:ascii="宋体" w:hAnsi="宋体" w:cs="宋体"/>
          <w:b/>
          <w:color w:val="auto"/>
          <w:spacing w:val="6"/>
          <w:kern w:val="0"/>
          <w:sz w:val="30"/>
          <w:szCs w:val="30"/>
          <w:highlight w:val="none"/>
        </w:rPr>
      </w:pP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根据财政部《政府采购促进中小企业发展暂行办法》（财库[2011]181号）和宁波市财政局《关于政府采购促进中小企业发展若干问题的通知》（甬采购办[2012]1427号）的规定，本单位郑重声明：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单位参加______项目（项目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3、本单位对上述声明的真实性负责。如有虚假，将依法承担相应责任。</w:t>
      </w:r>
    </w:p>
    <w:p>
      <w:pPr>
        <w:widowControl/>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 期：</w:t>
      </w:r>
    </w:p>
    <w:p>
      <w:pPr>
        <w:spacing w:after="120" w:line="520" w:lineRule="exact"/>
        <w:ind w:left="420" w:leftChars="200"/>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填写说明：</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3、第2条有多个标包的，须按每个标包分别填写，无此分类货物金额的应填“零”。</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4、联合体投标的，由联合体主办方提供本表。</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5、资格入围式项目（一个标包由多家中标入围）：采购人公布项目预算的，第2条有关金额按市场预估总价、投标预估总价除以入围数量填写；未公布预算的或入围数量的，供应商无需填写。</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6、投标价格为费率的项目、中标价格按单价执行的项目：采购人公布项目预算的，第2条有关金额按市场预估总价、投标预估总价填写；未公布预算的，供应商无需填写。</w:t>
      </w:r>
    </w:p>
    <w:p>
      <w:pPr>
        <w:spacing w:after="120" w:line="520" w:lineRule="exact"/>
        <w:ind w:left="420" w:leftChars="200"/>
        <w:rPr>
          <w:rFonts w:ascii="宋体" w:hAnsi="宋体" w:cs="宋体"/>
          <w:color w:val="auto"/>
          <w:szCs w:val="21"/>
          <w:highlight w:val="none"/>
        </w:rPr>
      </w:pPr>
      <w:r>
        <w:rPr>
          <w:rFonts w:hint="eastAsia" w:ascii="宋体" w:hAnsi="宋体" w:cs="宋体"/>
          <w:color w:val="auto"/>
          <w:szCs w:val="21"/>
          <w:highlight w:val="none"/>
        </w:rPr>
        <w:t>7、列入国家节能产品清单、环保产品清单的产品以中国政府采购网(www.ccgp.gov.cn)上财政部发布的文件为准。</w:t>
      </w:r>
    </w:p>
    <w:p>
      <w:pPr>
        <w:widowControl/>
        <w:spacing w:line="360" w:lineRule="auto"/>
        <w:jc w:val="left"/>
        <w:rPr>
          <w:rFonts w:ascii="宋体" w:hAnsi="宋体" w:cs="宋体"/>
          <w:b/>
          <w:bCs/>
          <w:color w:val="auto"/>
          <w:kern w:val="0"/>
          <w:szCs w:val="20"/>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jc w:val="left"/>
        <w:rPr>
          <w:rFonts w:ascii="宋体" w:hAnsi="宋体" w:cs="宋体"/>
          <w:b/>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spacing w:line="588" w:lineRule="exact"/>
        <w:ind w:firstLine="444" w:firstLineChars="200"/>
        <w:jc w:val="left"/>
        <w:rPr>
          <w:rFonts w:ascii="宋体" w:hAnsi="宋体" w:cs="宋体"/>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8.供应商针对报价需要说明的其他文件和说明（格式自拟）。</w:t>
      </w:r>
    </w:p>
    <w:p>
      <w:pPr>
        <w:spacing w:after="120" w:line="520" w:lineRule="exact"/>
        <w:ind w:left="420" w:leftChars="200"/>
        <w:rPr>
          <w:rFonts w:ascii="宋体" w:hAnsi="宋体" w:cs="宋体"/>
          <w:color w:val="auto"/>
          <w:szCs w:val="21"/>
          <w:highlight w:val="none"/>
        </w:rPr>
      </w:pPr>
    </w:p>
    <w:p>
      <w:pPr>
        <w:widowControl/>
        <w:spacing w:line="480" w:lineRule="exact"/>
        <w:jc w:val="left"/>
        <w:rPr>
          <w:rFonts w:ascii="宋体" w:hAnsi="宋体" w:cs="宋体"/>
          <w:b/>
          <w:color w:val="auto"/>
          <w:kern w:val="0"/>
          <w:szCs w:val="21"/>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四、电子备份投标文件</w:t>
      </w:r>
    </w:p>
    <w:p>
      <w:pPr>
        <w:widowControl/>
        <w:snapToGrid w:val="0"/>
        <w:spacing w:line="360" w:lineRule="auto"/>
        <w:jc w:val="left"/>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snapToGrid w:val="0"/>
        <w:spacing w:line="500" w:lineRule="exact"/>
        <w:ind w:left="357" w:hanging="357"/>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附件：</w:t>
      </w:r>
      <w:r>
        <w:rPr>
          <w:rFonts w:hint="eastAsia" w:ascii="宋体" w:hAnsi="宋体" w:cs="宋体"/>
          <w:b/>
          <w:bCs/>
          <w:color w:val="auto"/>
          <w:szCs w:val="21"/>
          <w:highlight w:val="none"/>
        </w:rPr>
        <w:t>请各位供应商认真填写下表，于投标截止时间后按采购代理公司规定要求单独递交。</w:t>
      </w:r>
    </w:p>
    <w:p>
      <w:pPr>
        <w:widowControl w:val="0"/>
        <w:numPr>
          <w:ilvl w:val="0"/>
          <w:numId w:val="0"/>
        </w:numPr>
        <w:adjustRightInd w:val="0"/>
        <w:snapToGrid w:val="0"/>
        <w:spacing w:line="500" w:lineRule="exact"/>
        <w:ind w:left="357" w:leftChars="0" w:hanging="357"/>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附件：请各位供应商认真填写下表，于投标截止时间后按采购代理公司规定要求单独递交。</w:t>
      </w:r>
    </w:p>
    <w:p>
      <w:pPr>
        <w:widowControl w:val="0"/>
        <w:numPr>
          <w:ilvl w:val="0"/>
          <w:numId w:val="0"/>
        </w:numPr>
        <w:adjustRightInd w:val="0"/>
        <w:snapToGrid w:val="0"/>
        <w:spacing w:line="500" w:lineRule="exact"/>
        <w:ind w:left="357" w:leftChars="0" w:hanging="357"/>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32"/>
          <w:szCs w:val="32"/>
          <w:highlight w:val="none"/>
          <w:lang w:val="en-US" w:eastAsia="zh-CN" w:bidi="ar-SA"/>
        </w:rPr>
        <w:t>政府采购活动现场确认声明书</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宁波中基国际招标有限公司：</w:t>
      </w:r>
    </w:p>
    <w:p>
      <w:pPr>
        <w:widowControl w:val="0"/>
        <w:numPr>
          <w:ilvl w:val="0"/>
          <w:numId w:val="0"/>
        </w:numPr>
        <w:adjustRightInd w:val="0"/>
        <w:snapToGrid w:val="0"/>
        <w:spacing w:line="440" w:lineRule="exact"/>
        <w:ind w:left="420" w:leftChars="200" w:firstLine="444" w:firstLineChars="200"/>
        <w:jc w:val="both"/>
        <w:textAlignment w:val="baseline"/>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本人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（授权代表姓名），经由</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（单位）</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（法定代表人姓名）合法授权参加</w:t>
      </w:r>
      <w:r>
        <w:rPr>
          <w:rFonts w:hint="eastAsia" w:ascii="宋体" w:hAnsi="宋体" w:eastAsia="宋体" w:cs="宋体"/>
          <w:color w:val="auto"/>
          <w:spacing w:val="6"/>
          <w:kern w:val="2"/>
          <w:sz w:val="21"/>
          <w:szCs w:val="21"/>
          <w:highlight w:val="none"/>
          <w:u w:val="single"/>
          <w:lang w:val="en-US" w:eastAsia="zh-CN" w:bidi="ar-SA"/>
        </w:rPr>
        <w:t>HIS软件升级改造服务项目</w:t>
      </w:r>
      <w:r>
        <w:rPr>
          <w:rFonts w:hint="eastAsia" w:ascii="宋体" w:hAnsi="宋体" w:eastAsia="宋体" w:cs="宋体"/>
          <w:color w:val="auto"/>
          <w:spacing w:val="6"/>
          <w:kern w:val="2"/>
          <w:sz w:val="21"/>
          <w:szCs w:val="21"/>
          <w:highlight w:val="none"/>
          <w:lang w:val="en-US" w:eastAsia="zh-CN" w:bidi="ar-SA"/>
        </w:rPr>
        <w:t>（编号：</w:t>
      </w:r>
      <w:r>
        <w:rPr>
          <w:rFonts w:hint="eastAsia" w:ascii="宋体" w:hAnsi="宋体" w:eastAsia="宋体" w:cs="宋体"/>
          <w:color w:val="auto"/>
          <w:kern w:val="2"/>
          <w:sz w:val="21"/>
          <w:szCs w:val="21"/>
          <w:highlight w:val="none"/>
          <w:u w:val="single"/>
          <w:lang w:val="en-US" w:eastAsia="zh-CN" w:bidi="ar-SA"/>
        </w:rPr>
        <w:t>CBNB-20216009G</w:t>
      </w:r>
      <w:r>
        <w:rPr>
          <w:rFonts w:hint="eastAsia" w:ascii="宋体" w:hAnsi="宋体" w:eastAsia="宋体" w:cs="宋体"/>
          <w:color w:val="auto"/>
          <w:spacing w:val="6"/>
          <w:kern w:val="2"/>
          <w:sz w:val="21"/>
          <w:szCs w:val="21"/>
          <w:highlight w:val="none"/>
          <w:u w:val="single"/>
          <w:lang w:val="en-US" w:eastAsia="zh-CN" w:bidi="ar-SA"/>
        </w:rPr>
        <w:t>）</w:t>
      </w:r>
      <w:r>
        <w:rPr>
          <w:rFonts w:hint="eastAsia" w:ascii="宋体" w:hAnsi="宋体" w:eastAsia="宋体" w:cs="宋体"/>
          <w:color w:val="auto"/>
          <w:spacing w:val="6"/>
          <w:kern w:val="2"/>
          <w:sz w:val="21"/>
          <w:szCs w:val="21"/>
          <w:highlight w:val="none"/>
          <w:lang w:val="en-US" w:eastAsia="zh-CN" w:bidi="ar-SA"/>
        </w:rPr>
        <w:t xml:space="preserve">政府采购活动，经与本单位法人代表（负责人）联系确认，现就有关公平竞争事项郑重声明如下： </w:t>
      </w:r>
    </w:p>
    <w:p>
      <w:pPr>
        <w:widowControl/>
        <w:numPr>
          <w:ilvl w:val="0"/>
          <w:numId w:val="19"/>
        </w:numPr>
        <w:snapToGrid w:val="0"/>
        <w:spacing w:line="440" w:lineRule="exact"/>
        <w:ind w:left="357" w:firstLine="396" w:firstLineChars="189"/>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本单位与采购人之间 □不存在利害关系 □存在下列利害关系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numPr>
          <w:ilvl w:val="0"/>
          <w:numId w:val="0"/>
        </w:numPr>
        <w:snapToGrid w:val="0"/>
        <w:spacing w:line="440" w:lineRule="exact"/>
        <w:ind w:left="357" w:leftChars="0" w:hanging="357"/>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A.投资关系    B.行政隶属关系    C.业务指导关系</w:t>
      </w:r>
    </w:p>
    <w:p>
      <w:pPr>
        <w:widowControl/>
        <w:numPr>
          <w:ilvl w:val="0"/>
          <w:numId w:val="0"/>
        </w:numPr>
        <w:snapToGrid w:val="0"/>
        <w:spacing w:line="440" w:lineRule="exact"/>
        <w:ind w:left="357" w:leftChars="0" w:hanging="357"/>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D.其他可能</w:t>
      </w:r>
      <w:r>
        <w:rPr>
          <w:rFonts w:hint="eastAsia" w:ascii="宋体" w:hAnsi="宋体" w:eastAsia="宋体" w:cs="宋体"/>
          <w:color w:val="auto"/>
          <w:kern w:val="2"/>
          <w:sz w:val="21"/>
          <w:szCs w:val="21"/>
          <w:highlight w:val="none"/>
          <w:lang w:val="en-US" w:eastAsia="zh-CN" w:bidi="ar-SA"/>
        </w:rPr>
        <w:t>影响采购公正的</w:t>
      </w:r>
      <w:r>
        <w:rPr>
          <w:rFonts w:hint="eastAsia" w:ascii="宋体" w:hAnsi="宋体" w:eastAsia="宋体" w:cs="宋体"/>
          <w:color w:val="auto"/>
          <w:kern w:val="0"/>
          <w:sz w:val="21"/>
          <w:szCs w:val="21"/>
          <w:highlight w:val="none"/>
          <w:lang w:val="en-US" w:eastAsia="zh-CN" w:bidi="ar-SA"/>
        </w:rPr>
        <w:t xml:space="preserve">利害关系（如有，请如实说明）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numPr>
          <w:ilvl w:val="0"/>
          <w:numId w:val="19"/>
        </w:numPr>
        <w:snapToGrid w:val="0"/>
        <w:spacing w:line="440" w:lineRule="exact"/>
        <w:ind w:left="357" w:firstLine="396" w:firstLineChars="189"/>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（供应商名称）之间存在下列利害关系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A.法定代表人或负责人或实际控制人是同一人</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B.法定代表人或负责人或实际控制人是夫妻关系</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C.法定代表人或负责人或实际控制人是直系血亲关系</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D.法定代表人或负责人或实际控制人存在三代以内旁系血亲关系</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E.法定代表人或负责人或实际控制人存在近姻亲关系</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F.法定代表人或负责人或实际控制人存在股份控制或实际控制关系</w:t>
      </w:r>
    </w:p>
    <w:p>
      <w:pPr>
        <w:widowControl w:val="0"/>
        <w:numPr>
          <w:ilvl w:val="0"/>
          <w:numId w:val="0"/>
        </w:numPr>
        <w:adjustRightInd w:val="0"/>
        <w:snapToGrid w:val="0"/>
        <w:spacing w:line="440" w:lineRule="exact"/>
        <w:ind w:left="357" w:leftChars="0" w:firstLine="210" w:firstLineChars="1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G.存在共同直接或间接投资设立子公司、联营企业和合营企业情况</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H.存在分级代理或代销关系、同一生产制造商关系、</w:t>
      </w:r>
      <w:r>
        <w:rPr>
          <w:rFonts w:hint="eastAsia" w:ascii="宋体" w:hAnsi="宋体" w:eastAsia="宋体" w:cs="宋体"/>
          <w:color w:val="auto"/>
          <w:kern w:val="2"/>
          <w:sz w:val="21"/>
          <w:szCs w:val="21"/>
          <w:highlight w:val="none"/>
          <w:lang w:val="en-US" w:eastAsia="zh-CN" w:bidi="ar-SA"/>
        </w:rPr>
        <w:t>管理关系、重要业务（占主营业务收入50%以上）或重要财务往来关系（如融资）等其他实质性控制关系</w:t>
      </w:r>
    </w:p>
    <w:p>
      <w:pPr>
        <w:widowControl w:val="0"/>
        <w:numPr>
          <w:ilvl w:val="0"/>
          <w:numId w:val="0"/>
        </w:numPr>
        <w:adjustRightInd w:val="0"/>
        <w:snapToGrid w:val="0"/>
        <w:spacing w:line="440" w:lineRule="exact"/>
        <w:ind w:left="357" w:leftChars="0" w:hanging="357"/>
        <w:jc w:val="both"/>
        <w:textAlignment w:val="baseline"/>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I</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其他利害关系情况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numPr>
          <w:ilvl w:val="0"/>
          <w:numId w:val="20"/>
        </w:numPr>
        <w:snapToGrid w:val="0"/>
        <w:spacing w:line="440" w:lineRule="exact"/>
        <w:ind w:left="357" w:firstLine="396" w:firstLineChars="189"/>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现已清楚知道并</w:t>
      </w:r>
      <w:r>
        <w:rPr>
          <w:rFonts w:hint="eastAsia" w:ascii="宋体" w:hAnsi="宋体" w:eastAsia="宋体" w:cs="宋体"/>
          <w:color w:val="auto"/>
          <w:kern w:val="0"/>
          <w:sz w:val="21"/>
          <w:szCs w:val="21"/>
          <w:highlight w:val="none"/>
          <w:lang w:val="en-US" w:eastAsia="zh-CN" w:bidi="ar-SA"/>
        </w:rPr>
        <w:t>严格遵守政府采购法律法规和现场纪律。</w:t>
      </w:r>
    </w:p>
    <w:p>
      <w:pPr>
        <w:widowControl/>
        <w:numPr>
          <w:ilvl w:val="0"/>
          <w:numId w:val="20"/>
        </w:numPr>
        <w:snapToGrid w:val="0"/>
        <w:spacing w:line="440" w:lineRule="exact"/>
        <w:ind w:left="357" w:firstLine="396" w:firstLineChars="189"/>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我发现</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供应商之间存在或可能存在上述第二条第</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项利害关系。</w:t>
      </w:r>
    </w:p>
    <w:p>
      <w:pPr>
        <w:widowControl/>
        <w:numPr>
          <w:ilvl w:val="0"/>
          <w:numId w:val="20"/>
        </w:numPr>
        <w:snapToGrid w:val="0"/>
        <w:spacing w:line="440" w:lineRule="exact"/>
        <w:ind w:left="357" w:firstLine="396" w:firstLineChars="18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经检查确认所有投标人投标文件 □ 不存在密封包装问题□存在密封包装问题（具体指出）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widowControl w:val="0"/>
        <w:numPr>
          <w:ilvl w:val="0"/>
          <w:numId w:val="0"/>
        </w:numPr>
        <w:adjustRightInd w:val="0"/>
        <w:snapToGrid w:val="0"/>
        <w:spacing w:line="440" w:lineRule="exact"/>
        <w:ind w:left="777" w:leftChars="200" w:hanging="357"/>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（供应商代表签名）：</w:t>
      </w:r>
    </w:p>
    <w:p>
      <w:pPr>
        <w:snapToGrid w:val="0"/>
        <w:spacing w:line="440" w:lineRule="exact"/>
        <w:ind w:firstLine="420" w:firstLineChars="200"/>
        <w:rPr>
          <w:color w:val="auto"/>
          <w:highlight w:val="none"/>
        </w:rPr>
      </w:pPr>
      <w:r>
        <w:rPr>
          <w:rFonts w:hint="eastAsia" w:ascii="宋体" w:hAnsi="宋体" w:eastAsia="宋体" w:cs="宋体"/>
          <w:color w:val="auto"/>
          <w:kern w:val="2"/>
          <w:sz w:val="21"/>
          <w:szCs w:val="21"/>
          <w:highlight w:val="none"/>
          <w:lang w:val="en-US" w:eastAsia="zh-CN" w:bidi="ar-SA"/>
        </w:rPr>
        <w:t xml:space="preserve">                                        202</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宋体"/>
                            </w:rPr>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7"/>
                      <w:rPr>
                        <w:rFonts w:eastAsia="宋体"/>
                      </w:rPr>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255DD"/>
    <w:multiLevelType w:val="singleLevel"/>
    <w:tmpl w:val="862255DD"/>
    <w:lvl w:ilvl="0" w:tentative="0">
      <w:start w:val="19"/>
      <w:numFmt w:val="decimal"/>
      <w:suff w:val="nothing"/>
      <w:lvlText w:val="%1、"/>
      <w:lvlJc w:val="left"/>
    </w:lvl>
  </w:abstractNum>
  <w:abstractNum w:abstractNumId="1">
    <w:nsid w:val="AA9D7EAB"/>
    <w:multiLevelType w:val="singleLevel"/>
    <w:tmpl w:val="AA9D7EAB"/>
    <w:lvl w:ilvl="0" w:tentative="0">
      <w:start w:val="2"/>
      <w:numFmt w:val="decimal"/>
      <w:suff w:val="nothing"/>
      <w:lvlText w:val="%1、"/>
      <w:lvlJc w:val="left"/>
    </w:lvl>
  </w:abstractNum>
  <w:abstractNum w:abstractNumId="2">
    <w:nsid w:val="B2B43E19"/>
    <w:multiLevelType w:val="singleLevel"/>
    <w:tmpl w:val="B2B43E19"/>
    <w:lvl w:ilvl="0" w:tentative="0">
      <w:start w:val="14"/>
      <w:numFmt w:val="decimal"/>
      <w:suff w:val="nothing"/>
      <w:lvlText w:val="%1、"/>
      <w:lvlJc w:val="left"/>
    </w:lvl>
  </w:abstractNum>
  <w:abstractNum w:abstractNumId="3">
    <w:nsid w:val="CC1703E5"/>
    <w:multiLevelType w:val="singleLevel"/>
    <w:tmpl w:val="CC1703E5"/>
    <w:lvl w:ilvl="0" w:tentative="0">
      <w:start w:val="1"/>
      <w:numFmt w:val="decimal"/>
      <w:suff w:val="nothing"/>
      <w:lvlText w:val="（%1）"/>
      <w:lvlJc w:val="left"/>
      <w:pPr>
        <w:ind w:left="0" w:firstLine="0"/>
      </w:pPr>
    </w:lvl>
  </w:abstractNum>
  <w:abstractNum w:abstractNumId="4">
    <w:nsid w:val="0000000B"/>
    <w:multiLevelType w:val="singleLevel"/>
    <w:tmpl w:val="0000000B"/>
    <w:lvl w:ilvl="0" w:tentative="0">
      <w:start w:val="1"/>
      <w:numFmt w:val="upperLetter"/>
      <w:suff w:val="nothing"/>
      <w:lvlText w:val="%1、"/>
      <w:lvlJc w:val="left"/>
      <w:pPr>
        <w:ind w:left="0" w:firstLine="0"/>
      </w:pPr>
    </w:lvl>
  </w:abstractNum>
  <w:abstractNum w:abstractNumId="5">
    <w:nsid w:val="00000014"/>
    <w:multiLevelType w:val="singleLevel"/>
    <w:tmpl w:val="00000014"/>
    <w:lvl w:ilvl="0" w:tentative="0">
      <w:start w:val="5"/>
      <w:numFmt w:val="chineseCounting"/>
      <w:suff w:val="nothing"/>
      <w:lvlText w:val="%1、"/>
      <w:lvlJc w:val="left"/>
      <w:pPr>
        <w:ind w:left="0" w:firstLine="0"/>
      </w:pPr>
    </w:lvl>
  </w:abstractNum>
  <w:abstractNum w:abstractNumId="6">
    <w:nsid w:val="0000001C"/>
    <w:multiLevelType w:val="singleLevel"/>
    <w:tmpl w:val="0000001C"/>
    <w:lvl w:ilvl="0" w:tentative="0">
      <w:start w:val="1"/>
      <w:numFmt w:val="chineseCounting"/>
      <w:suff w:val="nothing"/>
      <w:lvlText w:val="%1、"/>
      <w:lvlJc w:val="left"/>
      <w:pPr>
        <w:ind w:left="0" w:firstLine="0"/>
      </w:pPr>
    </w:lvl>
  </w:abstractNum>
  <w:abstractNum w:abstractNumId="7">
    <w:nsid w:val="00000020"/>
    <w:multiLevelType w:val="singleLevel"/>
    <w:tmpl w:val="00000020"/>
    <w:lvl w:ilvl="0" w:tentative="0">
      <w:start w:val="1"/>
      <w:numFmt w:val="chineseCounting"/>
      <w:suff w:val="nothing"/>
      <w:lvlText w:val="（%1）"/>
      <w:lvlJc w:val="left"/>
      <w:pPr>
        <w:ind w:left="0" w:firstLine="0"/>
      </w:pPr>
    </w:lvl>
  </w:abstractNum>
  <w:abstractNum w:abstractNumId="8">
    <w:nsid w:val="15AE74FA"/>
    <w:multiLevelType w:val="singleLevel"/>
    <w:tmpl w:val="15AE74FA"/>
    <w:lvl w:ilvl="0" w:tentative="0">
      <w:start w:val="1"/>
      <w:numFmt w:val="decimal"/>
      <w:suff w:val="nothing"/>
      <w:lvlText w:val="（%1）"/>
      <w:lvlJc w:val="left"/>
      <w:pPr>
        <w:ind w:left="0" w:firstLine="0"/>
      </w:pPr>
    </w:lvl>
  </w:abstractNum>
  <w:abstractNum w:abstractNumId="9">
    <w:nsid w:val="18E11E98"/>
    <w:multiLevelType w:val="singleLevel"/>
    <w:tmpl w:val="18E11E98"/>
    <w:lvl w:ilvl="0" w:tentative="0">
      <w:start w:val="2"/>
      <w:numFmt w:val="decimal"/>
      <w:suff w:val="nothing"/>
      <w:lvlText w:val="%1）"/>
      <w:lvlJc w:val="left"/>
      <w:pPr>
        <w:ind w:left="0" w:firstLine="0"/>
      </w:pPr>
    </w:lvl>
  </w:abstractNum>
  <w:abstractNum w:abstractNumId="10">
    <w:nsid w:val="29D120CC"/>
    <w:multiLevelType w:val="singleLevel"/>
    <w:tmpl w:val="29D120CC"/>
    <w:lvl w:ilvl="0" w:tentative="0">
      <w:start w:val="1"/>
      <w:numFmt w:val="decimal"/>
      <w:suff w:val="nothing"/>
      <w:lvlText w:val="（%1）"/>
      <w:lvlJc w:val="left"/>
      <w:pPr>
        <w:ind w:left="0" w:firstLine="0"/>
      </w:pPr>
    </w:lvl>
  </w:abstractNum>
  <w:abstractNum w:abstractNumId="11">
    <w:nsid w:val="3292B99A"/>
    <w:multiLevelType w:val="singleLevel"/>
    <w:tmpl w:val="3292B99A"/>
    <w:lvl w:ilvl="0" w:tentative="0">
      <w:start w:val="1"/>
      <w:numFmt w:val="decimal"/>
      <w:suff w:val="nothing"/>
      <w:lvlText w:val="（%1）"/>
      <w:lvlJc w:val="left"/>
      <w:pPr>
        <w:ind w:left="0" w:firstLine="0"/>
      </w:pPr>
    </w:lvl>
  </w:abstractNum>
  <w:abstractNum w:abstractNumId="12">
    <w:nsid w:val="53F7068D"/>
    <w:multiLevelType w:val="singleLevel"/>
    <w:tmpl w:val="53F7068D"/>
    <w:lvl w:ilvl="0" w:tentative="0">
      <w:start w:val="1"/>
      <w:numFmt w:val="decimal"/>
      <w:suff w:val="nothing"/>
      <w:lvlText w:val="（%1）"/>
      <w:lvlJc w:val="left"/>
      <w:pPr>
        <w:ind w:left="0" w:firstLine="0"/>
      </w:pPr>
    </w:lvl>
  </w:abstractNum>
  <w:abstractNum w:abstractNumId="13">
    <w:nsid w:val="54F403B5"/>
    <w:multiLevelType w:val="singleLevel"/>
    <w:tmpl w:val="54F403B5"/>
    <w:lvl w:ilvl="0" w:tentative="0">
      <w:start w:val="1"/>
      <w:numFmt w:val="chineseCounting"/>
      <w:suff w:val="nothing"/>
      <w:lvlText w:val="%1、"/>
      <w:lvlJc w:val="left"/>
      <w:pPr>
        <w:ind w:left="0" w:firstLine="0"/>
      </w:pPr>
    </w:lvl>
  </w:abstractNum>
  <w:abstractNum w:abstractNumId="14">
    <w:nsid w:val="557FD3DA"/>
    <w:multiLevelType w:val="singleLevel"/>
    <w:tmpl w:val="557FD3DA"/>
    <w:lvl w:ilvl="0" w:tentative="0">
      <w:start w:val="3"/>
      <w:numFmt w:val="chineseCounting"/>
      <w:suff w:val="nothing"/>
      <w:lvlText w:val="%1、"/>
      <w:lvlJc w:val="left"/>
      <w:pPr>
        <w:ind w:left="0" w:firstLine="0"/>
      </w:pPr>
    </w:lvl>
  </w:abstractNum>
  <w:abstractNum w:abstractNumId="15">
    <w:nsid w:val="589A2FD8"/>
    <w:multiLevelType w:val="singleLevel"/>
    <w:tmpl w:val="589A2FD8"/>
    <w:lvl w:ilvl="0" w:tentative="0">
      <w:start w:val="1"/>
      <w:numFmt w:val="decimal"/>
      <w:suff w:val="nothing"/>
      <w:lvlText w:val="（%1）"/>
      <w:lvlJc w:val="left"/>
      <w:pPr>
        <w:ind w:left="0" w:firstLine="0"/>
      </w:pPr>
    </w:lvl>
  </w:abstractNum>
  <w:abstractNum w:abstractNumId="16">
    <w:nsid w:val="5950E9B0"/>
    <w:multiLevelType w:val="singleLevel"/>
    <w:tmpl w:val="5950E9B0"/>
    <w:lvl w:ilvl="0" w:tentative="0">
      <w:start w:val="2"/>
      <w:numFmt w:val="decimal"/>
      <w:suff w:val="nothing"/>
      <w:lvlText w:val="%1、"/>
      <w:lvlJc w:val="left"/>
      <w:pPr>
        <w:ind w:left="0" w:firstLine="0"/>
      </w:pPr>
    </w:lvl>
  </w:abstractNum>
  <w:abstractNum w:abstractNumId="17">
    <w:nsid w:val="59F1C7B7"/>
    <w:multiLevelType w:val="singleLevel"/>
    <w:tmpl w:val="59F1C7B7"/>
    <w:lvl w:ilvl="0" w:tentative="0">
      <w:start w:val="4"/>
      <w:numFmt w:val="chineseCounting"/>
      <w:suff w:val="nothing"/>
      <w:lvlText w:val="（%1）"/>
      <w:lvlJc w:val="left"/>
      <w:pPr>
        <w:ind w:left="0" w:firstLine="0"/>
      </w:pPr>
    </w:lvl>
  </w:abstractNum>
  <w:abstractNum w:abstractNumId="18">
    <w:nsid w:val="59F56D91"/>
    <w:multiLevelType w:val="singleLevel"/>
    <w:tmpl w:val="59F56D91"/>
    <w:lvl w:ilvl="0" w:tentative="0">
      <w:start w:val="1"/>
      <w:numFmt w:val="decimal"/>
      <w:suff w:val="nothing"/>
      <w:lvlText w:val="（%1）"/>
      <w:lvlJc w:val="left"/>
      <w:pPr>
        <w:ind w:left="0" w:firstLine="0"/>
      </w:pPr>
    </w:lvl>
  </w:abstractNum>
  <w:abstractNum w:abstractNumId="19">
    <w:nsid w:val="5A5F4D07"/>
    <w:multiLevelType w:val="singleLevel"/>
    <w:tmpl w:val="5A5F4D07"/>
    <w:lvl w:ilvl="0" w:tentative="0">
      <w:start w:val="1"/>
      <w:numFmt w:val="decimal"/>
      <w:suff w:val="nothing"/>
      <w:lvlText w:val="%1、"/>
      <w:lvlJc w:val="left"/>
      <w:pPr>
        <w:ind w:left="0" w:firstLine="403"/>
      </w:pPr>
    </w:lvl>
  </w:abstractNum>
  <w:num w:numId="1">
    <w:abstractNumId w:val="1"/>
  </w:num>
  <w:num w:numId="2">
    <w:abstractNumId w:val="2"/>
  </w:num>
  <w:num w:numId="3">
    <w:abstractNumId w:val="0"/>
  </w:num>
  <w:num w:numId="4">
    <w:abstractNumId w:val="15"/>
    <w:lvlOverride w:ilvl="0">
      <w:startOverride w:val="1"/>
    </w:lvlOverride>
  </w:num>
  <w:num w:numId="5">
    <w:abstractNumId w:val="18"/>
    <w:lvlOverride w:ilvl="0">
      <w:startOverride w:val="1"/>
    </w:lvlOverride>
  </w:num>
  <w:num w:numId="6">
    <w:abstractNumId w:val="12"/>
    <w:lvlOverride w:ilvl="0">
      <w:startOverride w:val="1"/>
    </w:lvlOverride>
  </w:num>
  <w:num w:numId="7">
    <w:abstractNumId w:val="3"/>
    <w:lvlOverride w:ilvl="0">
      <w:startOverride w:val="1"/>
    </w:lvlOverride>
  </w:num>
  <w:num w:numId="8">
    <w:abstractNumId w:val="10"/>
    <w:lvlOverride w:ilvl="0">
      <w:startOverride w:val="1"/>
    </w:lvlOverride>
  </w:num>
  <w:num w:numId="9">
    <w:abstractNumId w:val="16"/>
    <w:lvlOverride w:ilvl="0">
      <w:startOverride w:val="2"/>
    </w:lvlOverride>
  </w:num>
  <w:num w:numId="10">
    <w:abstractNumId w:val="5"/>
    <w:lvlOverride w:ilvl="0">
      <w:startOverride w:val="5"/>
    </w:lvlOverride>
  </w:num>
  <w:num w:numId="11">
    <w:abstractNumId w:val="7"/>
    <w:lvlOverride w:ilvl="0">
      <w:startOverride w:val="1"/>
    </w:lvlOverride>
  </w:num>
  <w:num w:numId="12">
    <w:abstractNumId w:val="4"/>
    <w:lvlOverride w:ilvl="0">
      <w:startOverride w:val="1"/>
    </w:lvlOverride>
  </w:num>
  <w:num w:numId="13">
    <w:abstractNumId w:val="17"/>
    <w:lvlOverride w:ilvl="0">
      <w:startOverride w:val="4"/>
    </w:lvlOverride>
  </w:num>
  <w:num w:numId="14">
    <w:abstractNumId w:val="6"/>
    <w:lvlOverride w:ilvl="0">
      <w:startOverride w:val="1"/>
    </w:lvlOverride>
  </w:num>
  <w:num w:numId="15">
    <w:abstractNumId w:val="8"/>
    <w:lvlOverride w:ilvl="0">
      <w:startOverride w:val="1"/>
    </w:lvlOverride>
  </w:num>
  <w:num w:numId="16">
    <w:abstractNumId w:val="11"/>
    <w:lvlOverride w:ilvl="0">
      <w:startOverride w:val="1"/>
    </w:lvlOverride>
  </w:num>
  <w:num w:numId="17">
    <w:abstractNumId w:val="9"/>
    <w:lvlOverride w:ilvl="0">
      <w:startOverride w:val="2"/>
    </w:lvlOverride>
  </w:num>
  <w:num w:numId="18">
    <w:abstractNumId w:val="19"/>
    <w:lvlOverride w:ilvl="0">
      <w:startOverride w:val="1"/>
    </w:lvlOverride>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6F"/>
    <w:rsid w:val="000B2340"/>
    <w:rsid w:val="000F0481"/>
    <w:rsid w:val="001D7C6F"/>
    <w:rsid w:val="001F4691"/>
    <w:rsid w:val="003B6321"/>
    <w:rsid w:val="00451F89"/>
    <w:rsid w:val="004B54F9"/>
    <w:rsid w:val="005D1506"/>
    <w:rsid w:val="00681D81"/>
    <w:rsid w:val="006F2417"/>
    <w:rsid w:val="00877ACD"/>
    <w:rsid w:val="009421EB"/>
    <w:rsid w:val="00A418FF"/>
    <w:rsid w:val="00C52600"/>
    <w:rsid w:val="00D57D04"/>
    <w:rsid w:val="00DB3C49"/>
    <w:rsid w:val="00E66C1F"/>
    <w:rsid w:val="01BB1F14"/>
    <w:rsid w:val="0493304A"/>
    <w:rsid w:val="0A79745B"/>
    <w:rsid w:val="0D6C5C03"/>
    <w:rsid w:val="1A3C5AAF"/>
    <w:rsid w:val="21E13ACD"/>
    <w:rsid w:val="2C081C83"/>
    <w:rsid w:val="2D1A763A"/>
    <w:rsid w:val="2D1C35DB"/>
    <w:rsid w:val="2F5710B6"/>
    <w:rsid w:val="2FB07BD5"/>
    <w:rsid w:val="327D27F5"/>
    <w:rsid w:val="35690BF5"/>
    <w:rsid w:val="3A315728"/>
    <w:rsid w:val="3B8A7640"/>
    <w:rsid w:val="3BD95E3B"/>
    <w:rsid w:val="3EEB08D0"/>
    <w:rsid w:val="43271A20"/>
    <w:rsid w:val="466609CE"/>
    <w:rsid w:val="49DF24A8"/>
    <w:rsid w:val="4D5F5478"/>
    <w:rsid w:val="4D657905"/>
    <w:rsid w:val="5526467B"/>
    <w:rsid w:val="5567575D"/>
    <w:rsid w:val="559878AE"/>
    <w:rsid w:val="5B88019D"/>
    <w:rsid w:val="5C78257E"/>
    <w:rsid w:val="61AA35E8"/>
    <w:rsid w:val="61B31546"/>
    <w:rsid w:val="66F71A34"/>
    <w:rsid w:val="6B1653CC"/>
    <w:rsid w:val="6BFB5DB2"/>
    <w:rsid w:val="749B6FD6"/>
    <w:rsid w:val="7799162C"/>
    <w:rsid w:val="77F23E79"/>
    <w:rsid w:val="794C048A"/>
    <w:rsid w:val="7ADA7F0D"/>
    <w:rsid w:val="7CCE2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5">
    <w:name w:val="heading 2"/>
    <w:basedOn w:val="1"/>
    <w:next w:val="6"/>
    <w:link w:val="35"/>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7">
    <w:name w:val="heading 3"/>
    <w:basedOn w:val="1"/>
    <w:next w:val="1"/>
    <w:link w:val="36"/>
    <w:semiHidden/>
    <w:unhideWhenUsed/>
    <w:qFormat/>
    <w:uiPriority w:val="0"/>
    <w:pPr>
      <w:keepNext/>
      <w:keepLines/>
      <w:spacing w:before="260" w:after="260" w:line="415" w:lineRule="auto"/>
      <w:outlineLvl w:val="2"/>
    </w:pPr>
    <w:rPr>
      <w:b/>
      <w:bCs/>
      <w:sz w:val="32"/>
      <w:szCs w:val="32"/>
    </w:rPr>
  </w:style>
  <w:style w:type="paragraph" w:styleId="8">
    <w:name w:val="heading 4"/>
    <w:basedOn w:val="1"/>
    <w:next w:val="1"/>
    <w:link w:val="34"/>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semiHidden/>
    <w:unhideWhenUsed/>
    <w:qFormat/>
    <w:uiPriority w:val="0"/>
    <w:pPr>
      <w:spacing w:after="120"/>
    </w:pPr>
    <w:rPr>
      <w:sz w:val="28"/>
    </w:rPr>
  </w:style>
  <w:style w:type="paragraph" w:styleId="3">
    <w:name w:val="Body Text First Indent"/>
    <w:basedOn w:val="2"/>
    <w:link w:val="41"/>
    <w:semiHidden/>
    <w:unhideWhenUsed/>
    <w:qFormat/>
    <w:uiPriority w:val="0"/>
    <w:pPr>
      <w:autoSpaceDE w:val="0"/>
      <w:autoSpaceDN w:val="0"/>
      <w:adjustRightInd w:val="0"/>
      <w:spacing w:after="0"/>
      <w:jc w:val="left"/>
    </w:pPr>
    <w:rPr>
      <w:kern w:val="0"/>
      <w:szCs w:val="20"/>
    </w:rPr>
  </w:style>
  <w:style w:type="paragraph" w:styleId="6">
    <w:name w:val="Normal Indent"/>
    <w:basedOn w:val="1"/>
    <w:semiHidden/>
    <w:unhideWhenUsed/>
    <w:qFormat/>
    <w:uiPriority w:val="0"/>
    <w:pPr>
      <w:ind w:firstLine="420"/>
    </w:pPr>
    <w:rPr>
      <w:szCs w:val="20"/>
    </w:rPr>
  </w:style>
  <w:style w:type="paragraph" w:styleId="9">
    <w:name w:val="Document Map"/>
    <w:basedOn w:val="1"/>
    <w:link w:val="50"/>
    <w:semiHidden/>
    <w:unhideWhenUsed/>
    <w:qFormat/>
    <w:uiPriority w:val="99"/>
    <w:rPr>
      <w:rFonts w:ascii="宋体"/>
      <w:sz w:val="18"/>
      <w:szCs w:val="18"/>
    </w:rPr>
  </w:style>
  <w:style w:type="paragraph" w:styleId="10">
    <w:name w:val="annotation text"/>
    <w:basedOn w:val="1"/>
    <w:link w:val="38"/>
    <w:semiHidden/>
    <w:unhideWhenUsed/>
    <w:qFormat/>
    <w:uiPriority w:val="99"/>
    <w:pPr>
      <w:jc w:val="left"/>
    </w:pPr>
  </w:style>
  <w:style w:type="paragraph" w:styleId="11">
    <w:name w:val="Body Text 3"/>
    <w:basedOn w:val="1"/>
    <w:link w:val="47"/>
    <w:semiHidden/>
    <w:unhideWhenUsed/>
    <w:qFormat/>
    <w:uiPriority w:val="0"/>
    <w:pPr>
      <w:snapToGrid w:val="0"/>
      <w:spacing w:before="50" w:after="50"/>
    </w:pPr>
    <w:rPr>
      <w:rFonts w:hAnsi="宋体" w:eastAsia="仿宋_GB2312"/>
      <w:b/>
      <w:bCs/>
      <w:sz w:val="24"/>
      <w:szCs w:val="20"/>
    </w:rPr>
  </w:style>
  <w:style w:type="paragraph" w:styleId="12">
    <w:name w:val="Body Text Indent"/>
    <w:basedOn w:val="1"/>
    <w:link w:val="43"/>
    <w:semiHidden/>
    <w:unhideWhenUsed/>
    <w:qFormat/>
    <w:uiPriority w:val="0"/>
    <w:pPr>
      <w:spacing w:line="200" w:lineRule="exact"/>
      <w:ind w:firstLine="301"/>
    </w:pPr>
    <w:rPr>
      <w:rFonts w:ascii="宋体" w:hAnsi="Courier New"/>
      <w:spacing w:val="-4"/>
      <w:sz w:val="18"/>
      <w:szCs w:val="20"/>
    </w:rPr>
  </w:style>
  <w:style w:type="paragraph" w:styleId="13">
    <w:name w:val="Plain Text"/>
    <w:basedOn w:val="1"/>
    <w:link w:val="32"/>
    <w:semiHidden/>
    <w:unhideWhenUsed/>
    <w:qFormat/>
    <w:uiPriority w:val="0"/>
    <w:rPr>
      <w:rFonts w:hAnsi="Courier New" w:cs="Courier New" w:asciiTheme="minorEastAsia" w:eastAsiaTheme="minorEastAsia"/>
    </w:rPr>
  </w:style>
  <w:style w:type="paragraph" w:styleId="14">
    <w:name w:val="Date"/>
    <w:basedOn w:val="1"/>
    <w:next w:val="1"/>
    <w:link w:val="44"/>
    <w:semiHidden/>
    <w:unhideWhenUsed/>
    <w:qFormat/>
    <w:uiPriority w:val="0"/>
    <w:pPr>
      <w:ind w:left="2500" w:leftChars="2500"/>
    </w:pPr>
    <w:rPr>
      <w:rFonts w:eastAsia="楷体_GB2312"/>
      <w:sz w:val="32"/>
      <w:szCs w:val="20"/>
    </w:rPr>
  </w:style>
  <w:style w:type="paragraph" w:styleId="15">
    <w:name w:val="Body Text Indent 2"/>
    <w:basedOn w:val="1"/>
    <w:link w:val="48"/>
    <w:semiHidden/>
    <w:unhideWhenUsed/>
    <w:qFormat/>
    <w:uiPriority w:val="0"/>
    <w:pPr>
      <w:snapToGrid w:val="0"/>
      <w:ind w:firstLine="542" w:firstLineChars="225"/>
    </w:pPr>
    <w:rPr>
      <w:rFonts w:ascii="仿宋_GB2312" w:hAnsi="宋体" w:cs="Arial"/>
      <w:b/>
      <w:bCs/>
      <w:color w:val="000000"/>
      <w:sz w:val="24"/>
    </w:rPr>
  </w:style>
  <w:style w:type="paragraph" w:styleId="16">
    <w:name w:val="Balloon Text"/>
    <w:basedOn w:val="1"/>
    <w:link w:val="52"/>
    <w:semiHidden/>
    <w:unhideWhenUsed/>
    <w:qFormat/>
    <w:uiPriority w:val="0"/>
    <w:rPr>
      <w:sz w:val="18"/>
      <w:szCs w:val="18"/>
    </w:rPr>
  </w:style>
  <w:style w:type="paragraph" w:styleId="17">
    <w:name w:val="footer"/>
    <w:basedOn w:val="1"/>
    <w:link w:val="40"/>
    <w:semiHidden/>
    <w:unhideWhenUsed/>
    <w:qFormat/>
    <w:uiPriority w:val="99"/>
    <w:pPr>
      <w:tabs>
        <w:tab w:val="center" w:pos="4153"/>
        <w:tab w:val="right" w:pos="8306"/>
      </w:tabs>
      <w:snapToGrid w:val="0"/>
      <w:jc w:val="left"/>
    </w:pPr>
    <w:rPr>
      <w:rFonts w:eastAsia="黑体"/>
      <w:sz w:val="18"/>
      <w:szCs w:val="18"/>
    </w:rPr>
  </w:style>
  <w:style w:type="paragraph" w:styleId="18">
    <w:name w:val="header"/>
    <w:basedOn w:val="1"/>
    <w:link w:val="39"/>
    <w:semiHidden/>
    <w:unhideWhenUsed/>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semiHidden/>
    <w:unhideWhenUsed/>
    <w:qFormat/>
    <w:uiPriority w:val="39"/>
  </w:style>
  <w:style w:type="paragraph" w:styleId="20">
    <w:name w:val="Body Text Indent 3"/>
    <w:basedOn w:val="1"/>
    <w:link w:val="49"/>
    <w:semiHidden/>
    <w:unhideWhenUsed/>
    <w:qFormat/>
    <w:uiPriority w:val="0"/>
    <w:pPr>
      <w:snapToGrid w:val="0"/>
      <w:ind w:firstLine="480" w:firstLineChars="200"/>
      <w:jc w:val="left"/>
    </w:pPr>
    <w:rPr>
      <w:rFonts w:ascii="仿宋_GB2312" w:hAnsi="宋体" w:eastAsia="仿宋_GB2312"/>
      <w:color w:val="000000"/>
      <w:sz w:val="24"/>
    </w:rPr>
  </w:style>
  <w:style w:type="paragraph" w:styleId="21">
    <w:name w:val="toc 2"/>
    <w:basedOn w:val="1"/>
    <w:next w:val="1"/>
    <w:semiHidden/>
    <w:unhideWhenUsed/>
    <w:qFormat/>
    <w:uiPriority w:val="39"/>
    <w:pPr>
      <w:ind w:left="420" w:leftChars="200"/>
    </w:pPr>
  </w:style>
  <w:style w:type="paragraph" w:styleId="22">
    <w:name w:val="Body Text 2"/>
    <w:basedOn w:val="1"/>
    <w:link w:val="46"/>
    <w:semiHidden/>
    <w:unhideWhenUsed/>
    <w:qFormat/>
    <w:uiPriority w:val="0"/>
    <w:pPr>
      <w:widowControl/>
      <w:snapToGrid w:val="0"/>
      <w:spacing w:before="50" w:afterLines="50" w:line="400" w:lineRule="exact"/>
      <w:jc w:val="left"/>
    </w:pPr>
    <w:rPr>
      <w:rFonts w:ascii="宋体" w:hAnsi="宋体"/>
      <w:color w:val="000000"/>
      <w:sz w:val="24"/>
    </w:rPr>
  </w:style>
  <w:style w:type="paragraph" w:styleId="23">
    <w:name w:val="Normal (Web)"/>
    <w:basedOn w:val="1"/>
    <w:qFormat/>
    <w:uiPriority w:val="0"/>
    <w:pPr>
      <w:widowControl/>
      <w:spacing w:before="100" w:beforeLines="0" w:beforeAutospacing="1" w:after="100" w:afterLines="0" w:afterAutospacing="1"/>
      <w:jc w:val="left"/>
    </w:pPr>
    <w:rPr>
      <w:kern w:val="0"/>
      <w:sz w:val="24"/>
    </w:rPr>
  </w:style>
  <w:style w:type="paragraph" w:styleId="24">
    <w:name w:val="annotation subject"/>
    <w:basedOn w:val="10"/>
    <w:next w:val="10"/>
    <w:link w:val="51"/>
    <w:semiHidden/>
    <w:unhideWhenUsed/>
    <w:qFormat/>
    <w:uiPriority w:val="99"/>
    <w:rPr>
      <w:b/>
      <w:bCs/>
    </w:rPr>
  </w:style>
  <w:style w:type="paragraph" w:styleId="25">
    <w:name w:val="Body Text First Indent 2"/>
    <w:basedOn w:val="12"/>
    <w:next w:val="1"/>
    <w:link w:val="45"/>
    <w:semiHidden/>
    <w:unhideWhenUsed/>
    <w:qFormat/>
    <w:uiPriority w:val="0"/>
    <w:pPr>
      <w:ind w:firstLine="420" w:firstLineChars="200"/>
    </w:pPr>
    <w:rPr>
      <w:rFonts w:ascii="Times New Roman" w:hAnsi="Times New Roman"/>
      <w:lang w:val="zh-CN"/>
    </w:rPr>
  </w:style>
  <w:style w:type="table" w:styleId="27">
    <w:name w:val="Table Grid"/>
    <w:basedOn w:val="2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sz w:val="24"/>
      <w:szCs w:val="24"/>
    </w:rPr>
  </w:style>
  <w:style w:type="character" w:styleId="30">
    <w:name w:val="Hyperlink"/>
    <w:semiHidden/>
    <w:unhideWhenUsed/>
    <w:qFormat/>
    <w:uiPriority w:val="99"/>
    <w:rPr>
      <w:color w:val="0000FF"/>
      <w:u w:val="none"/>
    </w:rPr>
  </w:style>
  <w:style w:type="character" w:styleId="31">
    <w:name w:val="annotation reference"/>
    <w:semiHidden/>
    <w:unhideWhenUsed/>
    <w:qFormat/>
    <w:uiPriority w:val="99"/>
    <w:rPr>
      <w:sz w:val="21"/>
      <w:szCs w:val="21"/>
    </w:rPr>
  </w:style>
  <w:style w:type="character" w:customStyle="1" w:styleId="32">
    <w:name w:val="纯文本 Char"/>
    <w:basedOn w:val="28"/>
    <w:link w:val="13"/>
    <w:semiHidden/>
    <w:qFormat/>
    <w:uiPriority w:val="0"/>
    <w:rPr>
      <w:rFonts w:hAnsi="Courier New" w:cs="Courier New" w:asciiTheme="minorEastAsia"/>
      <w:szCs w:val="24"/>
    </w:rPr>
  </w:style>
  <w:style w:type="character" w:customStyle="1" w:styleId="33">
    <w:name w:val="标题 1 Char"/>
    <w:basedOn w:val="28"/>
    <w:link w:val="4"/>
    <w:qFormat/>
    <w:uiPriority w:val="0"/>
    <w:rPr>
      <w:rFonts w:ascii="Calibri" w:hAnsi="Calibri" w:eastAsia="宋体" w:cs="Times New Roman"/>
      <w:b/>
      <w:bCs/>
      <w:kern w:val="44"/>
      <w:sz w:val="44"/>
      <w:szCs w:val="44"/>
    </w:rPr>
  </w:style>
  <w:style w:type="character" w:customStyle="1" w:styleId="34">
    <w:name w:val="标题 4 Char"/>
    <w:basedOn w:val="28"/>
    <w:link w:val="8"/>
    <w:semiHidden/>
    <w:qFormat/>
    <w:uiPriority w:val="0"/>
    <w:rPr>
      <w:rFonts w:ascii="Arial" w:hAnsi="Arial" w:eastAsia="黑体" w:cs="Times New Roman"/>
      <w:b/>
      <w:bCs/>
      <w:sz w:val="28"/>
      <w:szCs w:val="28"/>
    </w:rPr>
  </w:style>
  <w:style w:type="character" w:customStyle="1" w:styleId="35">
    <w:name w:val="标题 2 Char"/>
    <w:basedOn w:val="28"/>
    <w:link w:val="5"/>
    <w:semiHidden/>
    <w:qFormat/>
    <w:uiPriority w:val="0"/>
    <w:rPr>
      <w:rFonts w:ascii="Arial" w:hAnsi="Arial" w:eastAsia="黑体" w:cs="Times New Roman"/>
      <w:b/>
      <w:bCs/>
      <w:sz w:val="32"/>
      <w:szCs w:val="32"/>
    </w:rPr>
  </w:style>
  <w:style w:type="character" w:customStyle="1" w:styleId="36">
    <w:name w:val="标题 3 Char"/>
    <w:basedOn w:val="28"/>
    <w:link w:val="7"/>
    <w:semiHidden/>
    <w:qFormat/>
    <w:uiPriority w:val="0"/>
    <w:rPr>
      <w:rFonts w:ascii="Calibri" w:hAnsi="Calibri" w:eastAsia="宋体" w:cs="Times New Roman"/>
      <w:b/>
      <w:bCs/>
      <w:sz w:val="32"/>
      <w:szCs w:val="32"/>
    </w:rPr>
  </w:style>
  <w:style w:type="paragraph" w:customStyle="1" w:styleId="37">
    <w:name w:val="msonormal"/>
    <w:basedOn w:val="1"/>
    <w:qFormat/>
    <w:uiPriority w:val="0"/>
    <w:pPr>
      <w:widowControl/>
      <w:spacing w:before="100" w:beforeAutospacing="1" w:after="100" w:afterAutospacing="1"/>
      <w:jc w:val="left"/>
    </w:pPr>
    <w:rPr>
      <w:kern w:val="0"/>
      <w:sz w:val="24"/>
    </w:rPr>
  </w:style>
  <w:style w:type="character" w:customStyle="1" w:styleId="38">
    <w:name w:val="批注文字 Char"/>
    <w:basedOn w:val="28"/>
    <w:link w:val="10"/>
    <w:semiHidden/>
    <w:qFormat/>
    <w:uiPriority w:val="99"/>
    <w:rPr>
      <w:rFonts w:ascii="Calibri" w:hAnsi="Calibri" w:eastAsia="宋体" w:cs="Times New Roman"/>
      <w:szCs w:val="24"/>
    </w:rPr>
  </w:style>
  <w:style w:type="character" w:customStyle="1" w:styleId="39">
    <w:name w:val="页眉 Char"/>
    <w:basedOn w:val="28"/>
    <w:link w:val="18"/>
    <w:semiHidden/>
    <w:qFormat/>
    <w:uiPriority w:val="99"/>
    <w:rPr>
      <w:rFonts w:ascii="Calibri" w:hAnsi="Calibri" w:eastAsia="仿宋_GB2312" w:cs="Times New Roman"/>
      <w:sz w:val="18"/>
      <w:szCs w:val="20"/>
    </w:rPr>
  </w:style>
  <w:style w:type="character" w:customStyle="1" w:styleId="40">
    <w:name w:val="页脚 Char"/>
    <w:basedOn w:val="28"/>
    <w:link w:val="17"/>
    <w:semiHidden/>
    <w:qFormat/>
    <w:uiPriority w:val="99"/>
    <w:rPr>
      <w:rFonts w:ascii="Calibri" w:hAnsi="Calibri" w:eastAsia="黑体" w:cs="Times New Roman"/>
      <w:sz w:val="18"/>
      <w:szCs w:val="18"/>
    </w:rPr>
  </w:style>
  <w:style w:type="character" w:customStyle="1" w:styleId="41">
    <w:name w:val="正文首行缩进 Char"/>
    <w:basedOn w:val="42"/>
    <w:link w:val="3"/>
    <w:semiHidden/>
    <w:qFormat/>
    <w:uiPriority w:val="0"/>
    <w:rPr>
      <w:rFonts w:ascii="Calibri" w:hAnsi="Calibri" w:eastAsia="宋体" w:cs="Times New Roman"/>
      <w:kern w:val="0"/>
      <w:sz w:val="28"/>
      <w:szCs w:val="20"/>
    </w:rPr>
  </w:style>
  <w:style w:type="character" w:customStyle="1" w:styleId="42">
    <w:name w:val="正文文本 Char"/>
    <w:basedOn w:val="28"/>
    <w:link w:val="2"/>
    <w:semiHidden/>
    <w:qFormat/>
    <w:uiPriority w:val="0"/>
    <w:rPr>
      <w:rFonts w:ascii="Calibri" w:hAnsi="Calibri" w:eastAsia="宋体" w:cs="Times New Roman"/>
      <w:sz w:val="28"/>
      <w:szCs w:val="24"/>
    </w:rPr>
  </w:style>
  <w:style w:type="character" w:customStyle="1" w:styleId="43">
    <w:name w:val="正文文本缩进 Char"/>
    <w:basedOn w:val="28"/>
    <w:link w:val="12"/>
    <w:semiHidden/>
    <w:qFormat/>
    <w:uiPriority w:val="0"/>
    <w:rPr>
      <w:rFonts w:ascii="宋体" w:hAnsi="Courier New" w:eastAsia="宋体" w:cs="Times New Roman"/>
      <w:spacing w:val="-4"/>
      <w:sz w:val="18"/>
      <w:szCs w:val="20"/>
    </w:rPr>
  </w:style>
  <w:style w:type="character" w:customStyle="1" w:styleId="44">
    <w:name w:val="日期 Char"/>
    <w:basedOn w:val="28"/>
    <w:link w:val="14"/>
    <w:semiHidden/>
    <w:qFormat/>
    <w:uiPriority w:val="0"/>
    <w:rPr>
      <w:rFonts w:ascii="Calibri" w:hAnsi="Calibri" w:eastAsia="楷体_GB2312" w:cs="Times New Roman"/>
      <w:sz w:val="32"/>
      <w:szCs w:val="20"/>
    </w:rPr>
  </w:style>
  <w:style w:type="character" w:customStyle="1" w:styleId="45">
    <w:name w:val="正文首行缩进 2 Char"/>
    <w:basedOn w:val="43"/>
    <w:link w:val="25"/>
    <w:semiHidden/>
    <w:qFormat/>
    <w:uiPriority w:val="0"/>
    <w:rPr>
      <w:rFonts w:ascii="Times New Roman" w:hAnsi="Times New Roman" w:eastAsia="宋体" w:cs="Times New Roman"/>
      <w:spacing w:val="-4"/>
      <w:sz w:val="18"/>
      <w:szCs w:val="20"/>
      <w:lang w:val="zh-CN"/>
    </w:rPr>
  </w:style>
  <w:style w:type="character" w:customStyle="1" w:styleId="46">
    <w:name w:val="正文文本 2 Char"/>
    <w:basedOn w:val="28"/>
    <w:link w:val="22"/>
    <w:semiHidden/>
    <w:qFormat/>
    <w:uiPriority w:val="0"/>
    <w:rPr>
      <w:rFonts w:ascii="宋体" w:hAnsi="宋体" w:eastAsia="宋体" w:cs="Times New Roman"/>
      <w:color w:val="000000"/>
      <w:sz w:val="24"/>
      <w:szCs w:val="24"/>
    </w:rPr>
  </w:style>
  <w:style w:type="character" w:customStyle="1" w:styleId="47">
    <w:name w:val="正文文本 3 Char"/>
    <w:basedOn w:val="28"/>
    <w:link w:val="11"/>
    <w:semiHidden/>
    <w:qFormat/>
    <w:uiPriority w:val="0"/>
    <w:rPr>
      <w:rFonts w:ascii="Calibri" w:hAnsi="宋体" w:eastAsia="仿宋_GB2312" w:cs="Times New Roman"/>
      <w:b/>
      <w:bCs/>
      <w:sz w:val="24"/>
      <w:szCs w:val="20"/>
    </w:rPr>
  </w:style>
  <w:style w:type="character" w:customStyle="1" w:styleId="48">
    <w:name w:val="正文文本缩进 2 Char"/>
    <w:basedOn w:val="28"/>
    <w:link w:val="15"/>
    <w:semiHidden/>
    <w:qFormat/>
    <w:uiPriority w:val="0"/>
    <w:rPr>
      <w:rFonts w:ascii="仿宋_GB2312" w:hAnsi="宋体" w:eastAsia="宋体" w:cs="Arial"/>
      <w:b/>
      <w:bCs/>
      <w:color w:val="000000"/>
      <w:sz w:val="24"/>
      <w:szCs w:val="24"/>
    </w:rPr>
  </w:style>
  <w:style w:type="character" w:customStyle="1" w:styleId="49">
    <w:name w:val="正文文本缩进 3 Char"/>
    <w:basedOn w:val="28"/>
    <w:link w:val="20"/>
    <w:semiHidden/>
    <w:qFormat/>
    <w:uiPriority w:val="0"/>
    <w:rPr>
      <w:rFonts w:ascii="仿宋_GB2312" w:hAnsi="宋体" w:eastAsia="仿宋_GB2312" w:cs="Times New Roman"/>
      <w:color w:val="000000"/>
      <w:sz w:val="24"/>
      <w:szCs w:val="24"/>
    </w:rPr>
  </w:style>
  <w:style w:type="character" w:customStyle="1" w:styleId="50">
    <w:name w:val="文档结构图 Char"/>
    <w:basedOn w:val="28"/>
    <w:link w:val="9"/>
    <w:semiHidden/>
    <w:qFormat/>
    <w:uiPriority w:val="99"/>
    <w:rPr>
      <w:rFonts w:ascii="宋体" w:hAnsi="Calibri" w:eastAsia="宋体" w:cs="Times New Roman"/>
      <w:sz w:val="18"/>
      <w:szCs w:val="18"/>
    </w:rPr>
  </w:style>
  <w:style w:type="character" w:customStyle="1" w:styleId="51">
    <w:name w:val="批注主题 Char"/>
    <w:basedOn w:val="38"/>
    <w:link w:val="24"/>
    <w:semiHidden/>
    <w:qFormat/>
    <w:uiPriority w:val="99"/>
    <w:rPr>
      <w:rFonts w:ascii="Calibri" w:hAnsi="Calibri" w:eastAsia="宋体" w:cs="Times New Roman"/>
      <w:b/>
      <w:bCs/>
      <w:szCs w:val="24"/>
    </w:rPr>
  </w:style>
  <w:style w:type="character" w:customStyle="1" w:styleId="52">
    <w:name w:val="批注框文本 Char"/>
    <w:basedOn w:val="28"/>
    <w:link w:val="16"/>
    <w:semiHidden/>
    <w:qFormat/>
    <w:uiPriority w:val="0"/>
    <w:rPr>
      <w:rFonts w:ascii="Calibri" w:hAnsi="Calibri" w:eastAsia="宋体" w:cs="Times New Roman"/>
      <w:sz w:val="18"/>
      <w:szCs w:val="18"/>
    </w:rPr>
  </w:style>
  <w:style w:type="character" w:customStyle="1" w:styleId="53">
    <w:name w:val="无间隔 Char"/>
    <w:link w:val="54"/>
    <w:qFormat/>
    <w:locked/>
    <w:uiPriority w:val="1"/>
    <w:rPr>
      <w:sz w:val="22"/>
    </w:rPr>
  </w:style>
  <w:style w:type="paragraph" w:styleId="54">
    <w:name w:val="No Spacing"/>
    <w:link w:val="53"/>
    <w:qFormat/>
    <w:uiPriority w:val="1"/>
    <w:rPr>
      <w:rFonts w:asciiTheme="minorHAnsi" w:hAnsiTheme="minorHAnsi" w:eastAsiaTheme="minorEastAsia" w:cstheme="minorBidi"/>
      <w:kern w:val="2"/>
      <w:sz w:val="22"/>
      <w:szCs w:val="22"/>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正文1"/>
    <w:basedOn w:val="1"/>
    <w:next w:val="1"/>
    <w:qFormat/>
    <w:uiPriority w:val="0"/>
    <w:pPr>
      <w:tabs>
        <w:tab w:val="left" w:pos="360"/>
      </w:tabs>
      <w:spacing w:line="360" w:lineRule="auto"/>
      <w:ind w:left="357" w:hanging="357"/>
    </w:pPr>
    <w:rPr>
      <w:rFonts w:ascii="宋体" w:hAnsi="宋体"/>
      <w:color w:val="FF0000"/>
    </w:rPr>
  </w:style>
  <w:style w:type="paragraph" w:customStyle="1" w:styleId="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8">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列出段落1"/>
    <w:basedOn w:val="1"/>
    <w:qFormat/>
    <w:uiPriority w:val="34"/>
    <w:pPr>
      <w:ind w:firstLine="420" w:firstLineChars="200"/>
    </w:pPr>
  </w:style>
  <w:style w:type="paragraph" w:customStyle="1" w:styleId="60">
    <w:name w:val="正文段"/>
    <w:basedOn w:val="1"/>
    <w:qFormat/>
    <w:uiPriority w:val="0"/>
    <w:pPr>
      <w:widowControl/>
      <w:snapToGrid w:val="0"/>
      <w:spacing w:afterLines="50"/>
      <w:ind w:firstLine="200" w:firstLineChars="200"/>
    </w:pPr>
    <w:rPr>
      <w:kern w:val="0"/>
      <w:sz w:val="24"/>
      <w:szCs w:val="20"/>
    </w:rPr>
  </w:style>
  <w:style w:type="paragraph" w:customStyle="1" w:styleId="61">
    <w:name w:val="正文2"/>
    <w:basedOn w:val="1"/>
    <w:qFormat/>
    <w:uiPriority w:val="0"/>
    <w:pPr>
      <w:adjustRightInd w:val="0"/>
      <w:spacing w:line="318" w:lineRule="atLeast"/>
      <w:ind w:left="369" w:firstLine="369"/>
    </w:pPr>
    <w:rPr>
      <w:rFonts w:ascii="宋体" w:hAnsi="Times New Roman"/>
      <w:szCs w:val="20"/>
    </w:rPr>
  </w:style>
  <w:style w:type="character" w:customStyle="1" w:styleId="62">
    <w:name w:val="xl29 Char Char"/>
    <w:link w:val="63"/>
    <w:qFormat/>
    <w:locked/>
    <w:uiPriority w:val="0"/>
    <w:rPr>
      <w:rFonts w:ascii="Arial Unicode MS" w:hAnsi="Arial Unicode MS" w:eastAsia="Arial Unicode MS"/>
      <w:sz w:val="24"/>
      <w:szCs w:val="24"/>
    </w:rPr>
  </w:style>
  <w:style w:type="paragraph" w:customStyle="1" w:styleId="63">
    <w:name w:val="xl29"/>
    <w:basedOn w:val="1"/>
    <w:link w:val="62"/>
    <w:qFormat/>
    <w:uiPriority w:val="0"/>
    <w:pPr>
      <w:widowControl/>
      <w:spacing w:before="100" w:beforeAutospacing="1" w:after="100" w:afterAutospacing="1"/>
      <w:jc w:val="center"/>
    </w:pPr>
    <w:rPr>
      <w:rFonts w:ascii="Arial Unicode MS" w:hAnsi="Arial Unicode MS" w:eastAsia="Arial Unicode MS" w:cstheme="minorBidi"/>
      <w:sz w:val="24"/>
    </w:rPr>
  </w:style>
  <w:style w:type="paragraph" w:customStyle="1" w:styleId="64">
    <w:name w:val="列出段落2"/>
    <w:basedOn w:val="1"/>
    <w:qFormat/>
    <w:uiPriority w:val="99"/>
    <w:pPr>
      <w:ind w:firstLine="420" w:firstLineChars="200"/>
    </w:pPr>
  </w:style>
  <w:style w:type="paragraph" w:customStyle="1" w:styleId="65">
    <w:name w:val="_Style 6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列出段落4"/>
    <w:basedOn w:val="1"/>
    <w:qFormat/>
    <w:uiPriority w:val="34"/>
    <w:pPr>
      <w:ind w:firstLine="420" w:firstLineChars="200"/>
    </w:pPr>
    <w:rPr>
      <w:szCs w:val="22"/>
    </w:rPr>
  </w:style>
  <w:style w:type="paragraph" w:customStyle="1" w:styleId="67">
    <w:name w:val="纯文本1"/>
    <w:basedOn w:val="56"/>
    <w:qFormat/>
    <w:uiPriority w:val="0"/>
    <w:pPr>
      <w:adjustRightInd w:val="0"/>
    </w:pPr>
    <w:rPr>
      <w:rFonts w:hAnsi="Courier New" w:eastAsia="楷体_GB2312"/>
      <w:sz w:val="26"/>
      <w:szCs w:val="20"/>
    </w:rPr>
  </w:style>
  <w:style w:type="paragraph" w:customStyle="1" w:styleId="6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列出段落11"/>
    <w:basedOn w:val="1"/>
    <w:qFormat/>
    <w:uiPriority w:val="34"/>
    <w:pPr>
      <w:ind w:firstLine="420" w:firstLineChars="200"/>
    </w:pPr>
  </w:style>
  <w:style w:type="paragraph" w:customStyle="1" w:styleId="70">
    <w:name w:val="Image"/>
    <w:basedOn w:val="59"/>
    <w:qFormat/>
    <w:uiPriority w:val="0"/>
    <w:pPr>
      <w:ind w:firstLine="0" w:firstLineChars="0"/>
      <w:jc w:val="center"/>
    </w:pPr>
  </w:style>
  <w:style w:type="paragraph" w:customStyle="1" w:styleId="71">
    <w:name w:val="Text"/>
    <w:basedOn w:val="1"/>
    <w:qFormat/>
    <w:uiPriority w:val="0"/>
    <w:pPr>
      <w:spacing w:line="360" w:lineRule="auto"/>
      <w:ind w:firstLine="200" w:firstLineChars="200"/>
    </w:pPr>
    <w:rPr>
      <w:sz w:val="24"/>
    </w:rPr>
  </w:style>
  <w:style w:type="paragraph" w:customStyle="1" w:styleId="72">
    <w:name w:val="默认段落字体 Para Char Char Char Char Char Char Char"/>
    <w:basedOn w:val="18"/>
    <w:next w:val="65"/>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73">
    <w:name w:val="Table"/>
    <w:basedOn w:val="70"/>
    <w:qFormat/>
    <w:uiPriority w:val="0"/>
    <w:rPr>
      <w:rFonts w:ascii="Times New Roman" w:hAnsi="Times New Roman" w:eastAsia="仿宋"/>
    </w:rPr>
  </w:style>
  <w:style w:type="paragraph" w:customStyle="1" w:styleId="74">
    <w:name w:val="BodyTextIndent"/>
    <w:basedOn w:val="1"/>
    <w:qFormat/>
    <w:uiPriority w:val="0"/>
    <w:pPr>
      <w:spacing w:line="200" w:lineRule="exact"/>
      <w:ind w:firstLine="301"/>
    </w:pPr>
    <w:rPr>
      <w:rFonts w:ascii="宋体" w:hAnsi="Courier New"/>
      <w:spacing w:val="-4"/>
      <w:sz w:val="18"/>
      <w:szCs w:val="20"/>
    </w:rPr>
  </w:style>
  <w:style w:type="paragraph" w:customStyle="1" w:styleId="7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6">
    <w:name w:val="纯文本2"/>
    <w:basedOn w:val="1"/>
    <w:qFormat/>
    <w:uiPriority w:val="0"/>
    <w:rPr>
      <w:rFonts w:ascii="宋体" w:hAnsi="Courier New"/>
      <w:szCs w:val="20"/>
    </w:rPr>
  </w:style>
  <w:style w:type="paragraph" w:customStyle="1" w:styleId="77">
    <w:name w:val="表格用"/>
    <w:basedOn w:val="1"/>
    <w:qFormat/>
    <w:uiPriority w:val="0"/>
    <w:rPr>
      <w:kern w:val="0"/>
    </w:rPr>
  </w:style>
  <w:style w:type="paragraph" w:customStyle="1" w:styleId="78">
    <w:name w:val="p0"/>
    <w:basedOn w:val="1"/>
    <w:qFormat/>
    <w:uiPriority w:val="0"/>
    <w:pPr>
      <w:widowControl/>
    </w:pPr>
    <w:rPr>
      <w:kern w:val="0"/>
      <w:szCs w:val="21"/>
    </w:rPr>
  </w:style>
  <w:style w:type="paragraph" w:customStyle="1" w:styleId="79">
    <w:name w:val="样式1"/>
    <w:basedOn w:val="8"/>
    <w:qFormat/>
    <w:uiPriority w:val="0"/>
  </w:style>
  <w:style w:type="paragraph" w:customStyle="1" w:styleId="80">
    <w:name w:val="Char1"/>
    <w:basedOn w:val="1"/>
    <w:qFormat/>
    <w:uiPriority w:val="0"/>
    <w:rPr>
      <w:rFonts w:ascii="Tahoma" w:hAnsi="Tahoma"/>
      <w:sz w:val="24"/>
      <w:szCs w:val="20"/>
    </w:rPr>
  </w:style>
  <w:style w:type="paragraph" w:customStyle="1" w:styleId="81">
    <w:name w:val="BodyText1I2"/>
    <w:basedOn w:val="74"/>
    <w:qFormat/>
    <w:uiPriority w:val="0"/>
    <w:pPr>
      <w:ind w:firstLine="420" w:firstLineChars="200"/>
    </w:pPr>
    <w:rPr>
      <w:rFonts w:ascii="Times New Roman" w:hAnsi="Times New Roman"/>
      <w:lang w:val="zh-CN"/>
    </w:rPr>
  </w:style>
  <w:style w:type="character" w:customStyle="1" w:styleId="82">
    <w:name w:val="del1"/>
    <w:qFormat/>
    <w:uiPriority w:val="0"/>
    <w:rPr>
      <w:vanish/>
      <w:color w:val="666666"/>
      <w:sz w:val="18"/>
      <w:szCs w:val="18"/>
      <w:u w:val="single"/>
    </w:rPr>
  </w:style>
  <w:style w:type="character" w:customStyle="1" w:styleId="83">
    <w:name w:val="now1"/>
    <w:basedOn w:val="28"/>
    <w:qFormat/>
    <w:uiPriority w:val="0"/>
  </w:style>
  <w:style w:type="character" w:customStyle="1" w:styleId="84">
    <w:name w:val="now3"/>
    <w:basedOn w:val="28"/>
    <w:qFormat/>
    <w:uiPriority w:val="0"/>
  </w:style>
  <w:style w:type="character" w:customStyle="1" w:styleId="85">
    <w:name w:val="inq"/>
    <w:qFormat/>
    <w:uiPriority w:val="0"/>
    <w:rPr>
      <w:color w:val="333333"/>
    </w:rPr>
  </w:style>
  <w:style w:type="character" w:customStyle="1" w:styleId="86">
    <w:name w:val="now2"/>
    <w:basedOn w:val="28"/>
    <w:qFormat/>
    <w:uiPriority w:val="0"/>
  </w:style>
  <w:style w:type="character" w:customStyle="1" w:styleId="87">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88">
    <w:name w:val="pl"/>
    <w:basedOn w:val="28"/>
    <w:qFormat/>
    <w:uiPriority w:val="0"/>
  </w:style>
  <w:style w:type="character" w:customStyle="1" w:styleId="89">
    <w:name w:val="tab"/>
    <w:qFormat/>
    <w:uiPriority w:val="0"/>
    <w:rPr>
      <w:color w:val="A4BCD6"/>
    </w:rPr>
  </w:style>
  <w:style w:type="character" w:customStyle="1" w:styleId="90">
    <w:name w:val="pl7"/>
    <w:basedOn w:val="28"/>
    <w:qFormat/>
    <w:uiPriority w:val="0"/>
  </w:style>
  <w:style w:type="character" w:customStyle="1" w:styleId="91">
    <w:name w:val="info"/>
    <w:qFormat/>
    <w:uiPriority w:val="0"/>
    <w:rPr>
      <w:color w:val="666666"/>
    </w:rPr>
  </w:style>
  <w:style w:type="character" w:customStyle="1" w:styleId="92">
    <w:name w:val="icon-doc"/>
    <w:basedOn w:val="28"/>
    <w:qFormat/>
    <w:uiPriority w:val="0"/>
  </w:style>
  <w:style w:type="character" w:customStyle="1" w:styleId="93">
    <w:name w:val="apple-converted-space"/>
    <w:basedOn w:val="28"/>
    <w:qFormat/>
    <w:uiPriority w:val="0"/>
  </w:style>
  <w:style w:type="character" w:customStyle="1" w:styleId="94">
    <w:name w:val="icon-game"/>
    <w:basedOn w:val="28"/>
    <w:qFormat/>
    <w:uiPriority w:val="0"/>
  </w:style>
  <w:style w:type="character" w:customStyle="1" w:styleId="95">
    <w:name w:val="不明显参考1"/>
    <w:qFormat/>
    <w:uiPriority w:val="31"/>
    <w:rPr>
      <w:smallCaps/>
      <w:color w:val="595959"/>
    </w:rPr>
  </w:style>
  <w:style w:type="character" w:customStyle="1" w:styleId="96">
    <w:name w:val="up"/>
    <w:basedOn w:val="28"/>
    <w:qFormat/>
    <w:uiPriority w:val="0"/>
  </w:style>
  <w:style w:type="character" w:customStyle="1" w:styleId="97">
    <w:name w:val="arr"/>
    <w:basedOn w:val="28"/>
    <w:qFormat/>
    <w:uiPriority w:val="0"/>
  </w:style>
  <w:style w:type="character" w:customStyle="1" w:styleId="98">
    <w:name w:val="del2"/>
    <w:qFormat/>
    <w:uiPriority w:val="0"/>
    <w:rPr>
      <w:vanish/>
    </w:rPr>
  </w:style>
  <w:style w:type="character" w:customStyle="1" w:styleId="99">
    <w:name w:val="Char Char"/>
    <w:qFormat/>
    <w:uiPriority w:val="0"/>
    <w:rPr>
      <w:rFonts w:hint="eastAsia" w:ascii="宋体" w:hAnsi="Courier New" w:eastAsia="宋体"/>
      <w:kern w:val="2"/>
      <w:sz w:val="24"/>
      <w:szCs w:val="24"/>
      <w:lang w:val="en-US" w:eastAsia="zh-CN" w:bidi="ar-SA"/>
    </w:rPr>
  </w:style>
  <w:style w:type="character" w:customStyle="1" w:styleId="100">
    <w:name w:val="inq1"/>
    <w:basedOn w:val="28"/>
    <w:qFormat/>
    <w:uiPriority w:val="0"/>
  </w:style>
  <w:style w:type="character" w:customStyle="1" w:styleId="101">
    <w:name w:val="icon-down"/>
    <w:basedOn w:val="28"/>
    <w:qFormat/>
    <w:uiPriority w:val="0"/>
  </w:style>
  <w:style w:type="character" w:customStyle="1" w:styleId="102">
    <w:name w:val="Char Char1"/>
    <w:qFormat/>
    <w:uiPriority w:val="0"/>
    <w:rPr>
      <w:rFonts w:hint="eastAsia" w:ascii="黑体" w:hAnsi="黑体" w:eastAsia="黑体"/>
      <w:snapToGrid/>
      <w:sz w:val="18"/>
      <w:szCs w:val="18"/>
      <w:lang w:val="en-US" w:eastAsia="zh-CN" w:bidi="ar-SA"/>
    </w:rPr>
  </w:style>
  <w:style w:type="character" w:customStyle="1" w:styleId="103">
    <w:name w:val="submit"/>
    <w:basedOn w:val="28"/>
    <w:qFormat/>
    <w:uiPriority w:val="0"/>
  </w:style>
  <w:style w:type="character" w:customStyle="1" w:styleId="104">
    <w:name w:val="apple-style-span"/>
    <w:basedOn w:val="28"/>
    <w:qFormat/>
    <w:uiPriority w:val="0"/>
  </w:style>
  <w:style w:type="character" w:customStyle="1" w:styleId="105">
    <w:name w:val="Char Char12"/>
    <w:qFormat/>
    <w:uiPriority w:val="0"/>
    <w:rPr>
      <w:rFonts w:hint="eastAsia" w:ascii="宋体" w:hAnsi="Courier New" w:eastAsia="宋体"/>
      <w:spacing w:val="-4"/>
      <w:kern w:val="2"/>
      <w:sz w:val="18"/>
    </w:rPr>
  </w:style>
  <w:style w:type="character" w:customStyle="1" w:styleId="106">
    <w:name w:val="up2"/>
    <w:basedOn w:val="28"/>
    <w:qFormat/>
    <w:uiPriority w:val="0"/>
  </w:style>
  <w:style w:type="character" w:customStyle="1" w:styleId="107">
    <w:name w:val="reason"/>
    <w:qFormat/>
    <w:uiPriority w:val="0"/>
    <w:rPr>
      <w:color w:val="999999"/>
    </w:rPr>
  </w:style>
  <w:style w:type="character" w:customStyle="1" w:styleId="108">
    <w:name w:val="del"/>
    <w:basedOn w:val="28"/>
    <w:qFormat/>
    <w:uiPriority w:val="0"/>
  </w:style>
  <w:style w:type="character" w:customStyle="1" w:styleId="109">
    <w:name w:val="pl8"/>
    <w:basedOn w:val="28"/>
    <w:qFormat/>
    <w:uiPriority w:val="0"/>
  </w:style>
  <w:style w:type="character" w:customStyle="1" w:styleId="110">
    <w:name w:val="now4"/>
    <w:basedOn w:val="28"/>
    <w:qFormat/>
    <w:uiPriority w:val="0"/>
  </w:style>
  <w:style w:type="character" w:customStyle="1" w:styleId="111">
    <w:name w:val="icon-play"/>
    <w:basedOn w:val="28"/>
    <w:qFormat/>
    <w:uiPriority w:val="0"/>
  </w:style>
  <w:style w:type="character" w:customStyle="1" w:styleId="112">
    <w:name w:val="icon-read"/>
    <w:basedOn w:val="28"/>
    <w:qFormat/>
    <w:uiPriority w:val="0"/>
  </w:style>
  <w:style w:type="character" w:customStyle="1" w:styleId="113">
    <w:name w:val="pl1"/>
    <w:basedOn w:val="28"/>
    <w:qFormat/>
    <w:uiPriority w:val="0"/>
  </w:style>
  <w:style w:type="paragraph" w:customStyle="1" w:styleId="11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1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5531</Words>
  <Characters>31528</Characters>
  <Lines>262</Lines>
  <Paragraphs>73</Paragraphs>
  <TotalTime>9</TotalTime>
  <ScaleCrop>false</ScaleCrop>
  <LinksUpToDate>false</LinksUpToDate>
  <CharactersWithSpaces>36986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2020-12-01T01:00:00Z</dcterms:created>
  <dc:creator>xhl7386@outlook.com</dc:creator>
  <cp:lastModifiedBy>周旭坤</cp:lastModifiedBy>
  <cp:lastPrinted>2020-12-30T08:13:00Z</cp:lastPrinted>
  <dcterms:modified xsi:type="dcterms:W3CDTF">2020-12-31T07:54:49Z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