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宋体" w:eastAsia="仿宋_GB2312"/>
          <w:color w:val="auto"/>
          <w:sz w:val="32"/>
          <w:szCs w:val="32"/>
          <w:highlight w:val="none"/>
        </w:rPr>
      </w:pPr>
    </w:p>
    <w:p>
      <w:pPr>
        <w:spacing w:line="600" w:lineRule="exact"/>
        <w:jc w:val="center"/>
        <w:rPr>
          <w:rFonts w:ascii="仿宋_GB2312" w:hAnsi="宋体" w:eastAsia="仿宋_GB2312"/>
          <w:color w:val="auto"/>
          <w:sz w:val="32"/>
          <w:szCs w:val="32"/>
          <w:highlight w:val="none"/>
        </w:rPr>
      </w:pPr>
    </w:p>
    <w:p>
      <w:pPr>
        <w:jc w:val="center"/>
        <w:rPr>
          <w:rFonts w:ascii="宋体" w:hAnsi="宋体"/>
          <w:color w:val="auto"/>
          <w:sz w:val="44"/>
          <w:szCs w:val="20"/>
          <w:highlight w:val="none"/>
        </w:rPr>
      </w:pPr>
    </w:p>
    <w:p>
      <w:pPr>
        <w:spacing w:beforeLines="50"/>
        <w:jc w:val="center"/>
        <w:rPr>
          <w:rFonts w:ascii="宋体" w:hAnsi="宋体"/>
          <w:b/>
          <w:color w:val="auto"/>
          <w:sz w:val="48"/>
          <w:szCs w:val="48"/>
          <w:highlight w:val="none"/>
        </w:rPr>
      </w:pPr>
      <w:r>
        <w:rPr>
          <w:rFonts w:hint="eastAsia" w:ascii="宋体" w:hAnsi="宋体"/>
          <w:b/>
          <w:color w:val="auto"/>
          <w:sz w:val="48"/>
          <w:szCs w:val="48"/>
          <w:highlight w:val="none"/>
        </w:rPr>
        <w:t>HIS软件升级改造服务项目</w:t>
      </w:r>
    </w:p>
    <w:p>
      <w:pPr>
        <w:spacing w:beforeLines="50"/>
        <w:jc w:val="center"/>
        <w:rPr>
          <w:rFonts w:ascii="宋体" w:hAnsi="宋体"/>
          <w:color w:val="auto"/>
          <w:sz w:val="52"/>
          <w:szCs w:val="52"/>
          <w:highlight w:val="none"/>
        </w:rPr>
      </w:pPr>
      <w:r>
        <w:rPr>
          <w:rFonts w:hint="eastAsia" w:ascii="宋体" w:hAnsi="宋体"/>
          <w:color w:val="auto"/>
          <w:sz w:val="52"/>
          <w:szCs w:val="52"/>
          <w:highlight w:val="none"/>
        </w:rPr>
        <w:t>公开招标文件</w:t>
      </w:r>
    </w:p>
    <w:p>
      <w:pPr>
        <w:snapToGrid w:val="0"/>
        <w:spacing w:beforeLines="50" w:line="360" w:lineRule="auto"/>
        <w:rPr>
          <w:rFonts w:ascii="宋体" w:hAnsi="宋体"/>
          <w:color w:val="auto"/>
          <w:sz w:val="30"/>
          <w:szCs w:val="72"/>
          <w:highlight w:val="none"/>
        </w:rPr>
      </w:pPr>
    </w:p>
    <w:p>
      <w:pPr>
        <w:snapToGrid w:val="0"/>
        <w:spacing w:beforeLines="50" w:line="360" w:lineRule="auto"/>
        <w:rPr>
          <w:rFonts w:ascii="宋体" w:hAnsi="宋体"/>
          <w:color w:val="auto"/>
          <w:sz w:val="30"/>
          <w:szCs w:val="72"/>
          <w:highlight w:val="none"/>
        </w:rPr>
      </w:pPr>
    </w:p>
    <w:p>
      <w:pPr>
        <w:snapToGrid w:val="0"/>
        <w:spacing w:beforeLines="50" w:line="360" w:lineRule="auto"/>
        <w:rPr>
          <w:rFonts w:ascii="宋体" w:hAnsi="宋体"/>
          <w:color w:val="auto"/>
          <w:sz w:val="30"/>
          <w:szCs w:val="72"/>
          <w:highlight w:val="none"/>
        </w:rPr>
      </w:pPr>
    </w:p>
    <w:p>
      <w:pPr>
        <w:pStyle w:val="13"/>
        <w:snapToGrid w:val="0"/>
        <w:spacing w:before="120" w:line="360" w:lineRule="auto"/>
        <w:rPr>
          <w:rFonts w:hint="eastAsia" w:hAnsi="宋体" w:eastAsiaTheme="minorEastAsia"/>
          <w:b/>
          <w:bCs/>
          <w:color w:val="auto"/>
          <w:sz w:val="32"/>
          <w:szCs w:val="32"/>
          <w:highlight w:val="none"/>
          <w:lang w:eastAsia="zh-CN"/>
        </w:rPr>
      </w:pPr>
      <w:r>
        <w:rPr>
          <w:rFonts w:hint="eastAsia" w:ascii="宋体" w:hAnsi="宋体" w:eastAsia="宋体" w:cs="宋体"/>
          <w:b/>
          <w:bCs/>
          <w:color w:val="auto"/>
          <w:sz w:val="30"/>
          <w:szCs w:val="30"/>
          <w:highlight w:val="none"/>
        </w:rPr>
        <w:t>项目编号：</w:t>
      </w:r>
      <w:r>
        <w:rPr>
          <w:rFonts w:hint="eastAsia" w:ascii="宋体" w:hAnsi="宋体" w:eastAsia="宋体" w:cs="宋体"/>
          <w:b/>
          <w:bCs/>
          <w:color w:val="auto"/>
          <w:sz w:val="30"/>
          <w:szCs w:val="30"/>
          <w:highlight w:val="none"/>
          <w:lang w:eastAsia="zh-CN"/>
        </w:rPr>
        <w:t>CBNB-20216009G</w:t>
      </w:r>
    </w:p>
    <w:p>
      <w:pPr>
        <w:spacing w:beforeLines="50" w:line="360" w:lineRule="auto"/>
        <w:rPr>
          <w:rFonts w:ascii="宋体" w:hAnsi="宋体"/>
          <w:b/>
          <w:color w:val="auto"/>
          <w:sz w:val="30"/>
          <w:szCs w:val="48"/>
          <w:highlight w:val="none"/>
        </w:rPr>
      </w:pPr>
      <w:r>
        <w:rPr>
          <w:rFonts w:hint="eastAsia" w:ascii="宋体" w:hAnsi="宋体"/>
          <w:b/>
          <w:color w:val="auto"/>
          <w:sz w:val="30"/>
          <w:szCs w:val="72"/>
          <w:highlight w:val="none"/>
        </w:rPr>
        <w:t>项目</w:t>
      </w:r>
      <w:r>
        <w:rPr>
          <w:rFonts w:hint="eastAsia" w:ascii="宋体" w:hAnsi="宋体"/>
          <w:b/>
          <w:color w:val="auto"/>
          <w:sz w:val="30"/>
          <w:szCs w:val="48"/>
          <w:highlight w:val="none"/>
        </w:rPr>
        <w:t>名称：HIS软件升级改造服务项目</w:t>
      </w:r>
    </w:p>
    <w:p>
      <w:pPr>
        <w:spacing w:beforeLines="50" w:line="360" w:lineRule="auto"/>
        <w:rPr>
          <w:rFonts w:ascii="宋体" w:hAnsi="宋体"/>
          <w:b/>
          <w:color w:val="auto"/>
          <w:sz w:val="30"/>
          <w:szCs w:val="48"/>
          <w:highlight w:val="none"/>
        </w:rPr>
      </w:pPr>
      <w:r>
        <w:rPr>
          <w:rFonts w:hint="eastAsia" w:ascii="宋体" w:hAnsi="宋体" w:eastAsia="宋体" w:cs="宋体"/>
          <w:b/>
          <w:bCs/>
          <w:color w:val="auto"/>
          <w:kern w:val="2"/>
          <w:sz w:val="30"/>
          <w:szCs w:val="30"/>
          <w:highlight w:val="none"/>
          <w:lang w:val="en-US" w:eastAsia="zh-CN" w:bidi="ar-SA"/>
        </w:rPr>
        <w:t>采购人：宁波市第一医院</w:t>
      </w:r>
    </w:p>
    <w:p>
      <w:pPr>
        <w:spacing w:beforeLines="50" w:line="360" w:lineRule="auto"/>
        <w:rPr>
          <w:rFonts w:ascii="宋体" w:hAnsi="宋体"/>
          <w:b/>
          <w:color w:val="auto"/>
          <w:sz w:val="30"/>
          <w:szCs w:val="48"/>
          <w:highlight w:val="none"/>
        </w:rPr>
      </w:pPr>
      <w:r>
        <w:rPr>
          <w:rFonts w:hint="eastAsia" w:ascii="宋体" w:hAnsi="宋体" w:eastAsia="宋体" w:cs="宋体"/>
          <w:b/>
          <w:bCs/>
          <w:color w:val="auto"/>
          <w:kern w:val="2"/>
          <w:sz w:val="30"/>
          <w:szCs w:val="30"/>
          <w:highlight w:val="none"/>
          <w:lang w:val="en-US" w:eastAsia="zh-CN" w:bidi="ar-SA"/>
        </w:rPr>
        <w:t>采购代理机构：宁波中基国际招标有限公司</w:t>
      </w:r>
    </w:p>
    <w:p>
      <w:pPr>
        <w:snapToGrid w:val="0"/>
        <w:spacing w:beforeLines="50" w:line="360" w:lineRule="auto"/>
        <w:jc w:val="center"/>
        <w:rPr>
          <w:rFonts w:ascii="宋体" w:hAnsi="宋体"/>
          <w:b/>
          <w:bCs/>
          <w:color w:val="auto"/>
          <w:w w:val="95"/>
          <w:sz w:val="30"/>
          <w:szCs w:val="30"/>
          <w:highlight w:val="none"/>
        </w:rPr>
      </w:pPr>
    </w:p>
    <w:p>
      <w:pPr>
        <w:snapToGrid w:val="0"/>
        <w:spacing w:beforeLines="50" w:line="360" w:lineRule="auto"/>
        <w:jc w:val="center"/>
        <w:rPr>
          <w:rFonts w:ascii="宋体" w:hAnsi="宋体"/>
          <w:b/>
          <w:bCs/>
          <w:color w:val="auto"/>
          <w:w w:val="95"/>
          <w:sz w:val="30"/>
          <w:szCs w:val="30"/>
          <w:highlight w:val="none"/>
        </w:rPr>
      </w:pPr>
    </w:p>
    <w:p>
      <w:pPr>
        <w:snapToGrid w:val="0"/>
        <w:spacing w:beforeLines="50" w:line="360" w:lineRule="auto"/>
        <w:jc w:val="center"/>
        <w:rPr>
          <w:rFonts w:ascii="宋体" w:hAnsi="宋体"/>
          <w:b/>
          <w:bCs/>
          <w:color w:val="auto"/>
          <w:w w:val="95"/>
          <w:sz w:val="30"/>
          <w:szCs w:val="30"/>
          <w:highlight w:val="none"/>
        </w:rPr>
      </w:pPr>
    </w:p>
    <w:p>
      <w:pPr>
        <w:snapToGrid w:val="0"/>
        <w:spacing w:beforeLines="50" w:line="360" w:lineRule="auto"/>
        <w:ind w:left="2940" w:firstLine="420"/>
        <w:rPr>
          <w:rFonts w:ascii="宋体" w:hAnsi="宋体"/>
          <w:b/>
          <w:bCs/>
          <w:color w:val="auto"/>
          <w:w w:val="95"/>
          <w:sz w:val="30"/>
          <w:szCs w:val="30"/>
          <w:highlight w:val="none"/>
        </w:rPr>
      </w:pPr>
      <w:r>
        <w:rPr>
          <w:rFonts w:hint="eastAsia" w:ascii="宋体" w:hAnsi="宋体"/>
          <w:b/>
          <w:bCs/>
          <w:color w:val="auto"/>
          <w:w w:val="95"/>
          <w:sz w:val="30"/>
          <w:szCs w:val="30"/>
          <w:highlight w:val="none"/>
        </w:rPr>
        <w:t>2020年12月</w:t>
      </w:r>
    </w:p>
    <w:p>
      <w:pPr>
        <w:widowControl/>
        <w:spacing w:line="360" w:lineRule="auto"/>
        <w:jc w:val="left"/>
        <w:rPr>
          <w:rFonts w:ascii="宋体" w:hAnsi="宋体"/>
          <w:b/>
          <w:bCs/>
          <w:color w:val="auto"/>
          <w:w w:val="95"/>
          <w:sz w:val="30"/>
          <w:szCs w:val="30"/>
          <w:highlight w:val="none"/>
        </w:rPr>
        <w:sectPr>
          <w:pgSz w:w="11906" w:h="16838"/>
          <w:pgMar w:top="1474" w:right="1797" w:bottom="1247" w:left="1797" w:header="851" w:footer="851" w:gutter="0"/>
          <w:pgNumType w:start="1"/>
          <w:cols w:space="720" w:num="1"/>
        </w:sectPr>
      </w:pPr>
    </w:p>
    <w:p>
      <w:pPr>
        <w:snapToGrid w:val="0"/>
        <w:spacing w:beforeLines="50" w:line="360" w:lineRule="auto"/>
        <w:rPr>
          <w:rFonts w:ascii="宋体" w:hAnsi="宋体"/>
          <w:b/>
          <w:bCs/>
          <w:color w:val="auto"/>
          <w:w w:val="95"/>
          <w:sz w:val="30"/>
          <w:szCs w:val="30"/>
          <w:highlight w:val="none"/>
        </w:rPr>
      </w:pPr>
    </w:p>
    <w:p>
      <w:pPr>
        <w:jc w:val="center"/>
        <w:rPr>
          <w:rFonts w:ascii="宋体" w:hAnsi="宋体"/>
          <w:b/>
          <w:color w:val="auto"/>
          <w:sz w:val="44"/>
          <w:szCs w:val="44"/>
          <w:highlight w:val="none"/>
        </w:rPr>
      </w:pPr>
      <w:r>
        <w:rPr>
          <w:rFonts w:hint="eastAsia" w:ascii="宋体" w:hAnsi="宋体"/>
          <w:b/>
          <w:color w:val="auto"/>
          <w:sz w:val="44"/>
          <w:szCs w:val="44"/>
          <w:highlight w:val="none"/>
        </w:rPr>
        <w:t>目    录</w:t>
      </w:r>
    </w:p>
    <w:p>
      <w:pPr>
        <w:tabs>
          <w:tab w:val="left" w:pos="855"/>
        </w:tabs>
        <w:rPr>
          <w:color w:val="auto"/>
          <w:highlight w:val="none"/>
        </w:rPr>
      </w:pPr>
    </w:p>
    <w:p>
      <w:pPr>
        <w:spacing w:line="480" w:lineRule="auto"/>
        <w:rPr>
          <w:color w:val="auto"/>
          <w:sz w:val="24"/>
          <w:highlight w:val="none"/>
        </w:rPr>
      </w:pPr>
    </w:p>
    <w:p>
      <w:pPr>
        <w:pStyle w:val="19"/>
        <w:tabs>
          <w:tab w:val="right" w:leader="dot" w:pos="8312"/>
        </w:tabs>
        <w:rPr>
          <w:color w:val="auto"/>
          <w:highlight w:val="none"/>
        </w:rPr>
      </w:pPr>
      <w:r>
        <w:rPr>
          <w:rFonts w:hAnsi="宋体"/>
          <w:b/>
          <w:color w:val="auto"/>
          <w:sz w:val="28"/>
          <w:szCs w:val="28"/>
          <w:highlight w:val="none"/>
        </w:rPr>
        <w:fldChar w:fldCharType="begin"/>
      </w:r>
      <w:r>
        <w:rPr>
          <w:rFonts w:hAnsi="宋体"/>
          <w:b/>
          <w:color w:val="auto"/>
          <w:sz w:val="28"/>
          <w:szCs w:val="28"/>
          <w:highlight w:val="none"/>
        </w:rPr>
        <w:instrText xml:space="preserve"> TOC \o "1-3" \h \z \u </w:instrText>
      </w:r>
      <w:r>
        <w:rPr>
          <w:rFonts w:hAnsi="宋体"/>
          <w:b/>
          <w:color w:val="auto"/>
          <w:sz w:val="28"/>
          <w:szCs w:val="28"/>
          <w:highlight w:val="none"/>
        </w:rPr>
        <w:fldChar w:fldCharType="separate"/>
      </w:r>
      <w:r>
        <w:rPr>
          <w:color w:val="auto"/>
          <w:highlight w:val="none"/>
        </w:rPr>
        <w:fldChar w:fldCharType="begin"/>
      </w:r>
      <w:r>
        <w:rPr>
          <w:color w:val="auto"/>
          <w:highlight w:val="none"/>
        </w:rPr>
        <w:instrText xml:space="preserve"> HYPERLINK \l "_Toc11290" </w:instrText>
      </w:r>
      <w:r>
        <w:rPr>
          <w:color w:val="auto"/>
          <w:highlight w:val="none"/>
        </w:rPr>
        <w:fldChar w:fldCharType="separate"/>
      </w:r>
      <w:r>
        <w:rPr>
          <w:rFonts w:hint="eastAsia"/>
          <w:color w:val="auto"/>
          <w:szCs w:val="28"/>
          <w:highlight w:val="none"/>
        </w:rPr>
        <w:t>第一章公开招标公告</w:t>
      </w:r>
      <w:r>
        <w:rPr>
          <w:color w:val="auto"/>
          <w:highlight w:val="none"/>
        </w:rPr>
        <w:tab/>
      </w:r>
      <w:r>
        <w:rPr>
          <w:color w:val="auto"/>
          <w:highlight w:val="none"/>
        </w:rPr>
        <w:fldChar w:fldCharType="begin"/>
      </w:r>
      <w:r>
        <w:rPr>
          <w:color w:val="auto"/>
          <w:highlight w:val="none"/>
        </w:rPr>
        <w:instrText xml:space="preserve"> PAGEREF _Toc11290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"_Toc13297" </w:instrText>
      </w:r>
      <w:r>
        <w:rPr>
          <w:color w:val="auto"/>
          <w:highlight w:val="none"/>
        </w:rPr>
        <w:fldChar w:fldCharType="separate"/>
      </w:r>
      <w:r>
        <w:rPr>
          <w:rFonts w:hint="eastAsia"/>
          <w:bCs/>
          <w:color w:val="auto"/>
          <w:szCs w:val="28"/>
          <w:highlight w:val="none"/>
        </w:rPr>
        <w:t>第二章采购需求</w:t>
      </w:r>
      <w:r>
        <w:rPr>
          <w:color w:val="auto"/>
          <w:highlight w:val="none"/>
        </w:rPr>
        <w:tab/>
      </w:r>
      <w:r>
        <w:rPr>
          <w:color w:val="auto"/>
          <w:highlight w:val="none"/>
        </w:rPr>
        <w:fldChar w:fldCharType="begin"/>
      </w:r>
      <w:r>
        <w:rPr>
          <w:color w:val="auto"/>
          <w:highlight w:val="none"/>
        </w:rPr>
        <w:instrText xml:space="preserve"> PAGEREF _Toc13297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"_Toc8354" </w:instrText>
      </w:r>
      <w:r>
        <w:rPr>
          <w:color w:val="auto"/>
          <w:highlight w:val="none"/>
        </w:rPr>
        <w:fldChar w:fldCharType="separate"/>
      </w:r>
      <w:r>
        <w:rPr>
          <w:rFonts w:hint="eastAsia"/>
          <w:color w:val="auto"/>
          <w:szCs w:val="28"/>
          <w:highlight w:val="none"/>
        </w:rPr>
        <w:t>第三章供应商须知</w:t>
      </w:r>
      <w:r>
        <w:rPr>
          <w:color w:val="auto"/>
          <w:highlight w:val="none"/>
        </w:rPr>
        <w:tab/>
      </w:r>
      <w:r>
        <w:rPr>
          <w:color w:val="auto"/>
          <w:highlight w:val="none"/>
        </w:rPr>
        <w:fldChar w:fldCharType="begin"/>
      </w:r>
      <w:r>
        <w:rPr>
          <w:color w:val="auto"/>
          <w:highlight w:val="none"/>
        </w:rPr>
        <w:instrText xml:space="preserve"> PAGEREF _Toc8354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"_Toc24415" </w:instrText>
      </w:r>
      <w:r>
        <w:rPr>
          <w:color w:val="auto"/>
          <w:highlight w:val="none"/>
        </w:rPr>
        <w:fldChar w:fldCharType="separate"/>
      </w:r>
      <w:r>
        <w:rPr>
          <w:rFonts w:hint="eastAsia"/>
          <w:color w:val="auto"/>
          <w:szCs w:val="28"/>
          <w:highlight w:val="none"/>
        </w:rPr>
        <w:t>第四章评标办法及评分标准</w:t>
      </w:r>
      <w:r>
        <w:rPr>
          <w:color w:val="auto"/>
          <w:highlight w:val="none"/>
        </w:rPr>
        <w:tab/>
      </w:r>
      <w:r>
        <w:rPr>
          <w:color w:val="auto"/>
          <w:highlight w:val="none"/>
        </w:rPr>
        <w:fldChar w:fldCharType="begin"/>
      </w:r>
      <w:r>
        <w:rPr>
          <w:color w:val="auto"/>
          <w:highlight w:val="none"/>
        </w:rPr>
        <w:instrText xml:space="preserve"> PAGEREF _Toc24415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"_Toc8298" </w:instrText>
      </w:r>
      <w:r>
        <w:rPr>
          <w:color w:val="auto"/>
          <w:highlight w:val="none"/>
        </w:rPr>
        <w:fldChar w:fldCharType="separate"/>
      </w:r>
      <w:r>
        <w:rPr>
          <w:rFonts w:hint="eastAsia"/>
          <w:color w:val="auto"/>
          <w:szCs w:val="28"/>
          <w:highlight w:val="none"/>
        </w:rPr>
        <w:t>第五章政府采购合同主要条款</w:t>
      </w:r>
      <w:r>
        <w:rPr>
          <w:color w:val="auto"/>
          <w:highlight w:val="none"/>
        </w:rPr>
        <w:tab/>
      </w:r>
      <w:r>
        <w:rPr>
          <w:color w:val="auto"/>
          <w:highlight w:val="none"/>
        </w:rPr>
        <w:fldChar w:fldCharType="begin"/>
      </w:r>
      <w:r>
        <w:rPr>
          <w:color w:val="auto"/>
          <w:highlight w:val="none"/>
        </w:rPr>
        <w:instrText xml:space="preserve"> PAGEREF _Toc8298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19"/>
        <w:tabs>
          <w:tab w:val="right" w:leader="dot" w:pos="8312"/>
        </w:tabs>
        <w:rPr>
          <w:color w:val="auto"/>
          <w:highlight w:val="none"/>
        </w:rPr>
      </w:pPr>
      <w:r>
        <w:rPr>
          <w:color w:val="auto"/>
          <w:highlight w:val="none"/>
        </w:rPr>
        <w:fldChar w:fldCharType="begin"/>
      </w:r>
      <w:r>
        <w:rPr>
          <w:color w:val="auto"/>
          <w:highlight w:val="none"/>
        </w:rPr>
        <w:instrText xml:space="preserve"> HYPERLINK \l "_Toc625" </w:instrText>
      </w:r>
      <w:r>
        <w:rPr>
          <w:color w:val="auto"/>
          <w:highlight w:val="none"/>
        </w:rPr>
        <w:fldChar w:fldCharType="separate"/>
      </w:r>
      <w:r>
        <w:rPr>
          <w:rFonts w:hint="eastAsia"/>
          <w:color w:val="auto"/>
          <w:szCs w:val="28"/>
          <w:highlight w:val="none"/>
        </w:rPr>
        <w:t>第六章投标文件格式</w:t>
      </w:r>
      <w:r>
        <w:rPr>
          <w:color w:val="auto"/>
          <w:highlight w:val="none"/>
        </w:rPr>
        <w:tab/>
      </w:r>
      <w:r>
        <w:rPr>
          <w:color w:val="auto"/>
          <w:highlight w:val="none"/>
        </w:rPr>
        <w:fldChar w:fldCharType="begin"/>
      </w:r>
      <w:r>
        <w:rPr>
          <w:color w:val="auto"/>
          <w:highlight w:val="none"/>
        </w:rPr>
        <w:instrText xml:space="preserve"> PAGEREF _Toc625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spacing w:line="360" w:lineRule="auto"/>
        <w:jc w:val="center"/>
        <w:rPr>
          <w:color w:val="auto"/>
          <w:highlight w:val="none"/>
        </w:rPr>
      </w:pPr>
      <w:r>
        <w:rPr>
          <w:color w:val="auto"/>
          <w:szCs w:val="28"/>
          <w:highlight w:val="none"/>
        </w:rPr>
        <w:fldChar w:fldCharType="end"/>
      </w:r>
    </w:p>
    <w:p>
      <w:pPr>
        <w:widowControl/>
        <w:spacing w:line="360" w:lineRule="auto"/>
        <w:jc w:val="left"/>
        <w:rPr>
          <w:color w:val="auto"/>
          <w:highlight w:val="none"/>
        </w:rPr>
        <w:sectPr>
          <w:pgSz w:w="11906" w:h="16838"/>
          <w:pgMar w:top="1474" w:right="1797" w:bottom="1247" w:left="1797" w:header="851" w:footer="851" w:gutter="0"/>
          <w:pgNumType w:start="1"/>
          <w:cols w:space="720" w:num="1"/>
        </w:sectPr>
      </w:pPr>
    </w:p>
    <w:p>
      <w:pPr>
        <w:spacing w:line="480" w:lineRule="auto"/>
        <w:jc w:val="center"/>
        <w:outlineLvl w:val="0"/>
        <w:rPr>
          <w:color w:val="auto"/>
          <w:sz w:val="28"/>
          <w:szCs w:val="28"/>
          <w:highlight w:val="none"/>
        </w:rPr>
      </w:pPr>
      <w:bookmarkStart w:id="0" w:name="_Toc11290"/>
      <w:r>
        <w:rPr>
          <w:rFonts w:hint="eastAsia"/>
          <w:color w:val="auto"/>
          <w:sz w:val="28"/>
          <w:szCs w:val="28"/>
          <w:highlight w:val="none"/>
        </w:rPr>
        <w:t>第一章公开招标公告</w:t>
      </w:r>
      <w:bookmarkEnd w:id="0"/>
    </w:p>
    <w:tbl>
      <w:tblPr>
        <w:tblStyle w:val="26"/>
        <w:tblW w:w="8527" w:type="dxa"/>
        <w:tblInd w:w="-113" w:type="dxa"/>
        <w:tblLayout w:type="autofit"/>
        <w:tblCellMar>
          <w:top w:w="0" w:type="dxa"/>
          <w:left w:w="108" w:type="dxa"/>
          <w:bottom w:w="0" w:type="dxa"/>
          <w:right w:w="108" w:type="dxa"/>
        </w:tblCellMar>
      </w:tblPr>
      <w:tblGrid>
        <w:gridCol w:w="8527"/>
      </w:tblGrid>
      <w:tr>
        <w:tblPrEx>
          <w:tblCellMar>
            <w:top w:w="0" w:type="dxa"/>
            <w:left w:w="108" w:type="dxa"/>
            <w:bottom w:w="0" w:type="dxa"/>
            <w:right w:w="108" w:type="dxa"/>
          </w:tblCellMar>
        </w:tblPrEx>
        <w:tc>
          <w:tcPr>
            <w:tcW w:w="852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bookmarkStart w:id="1" w:name="_Toc28359002"/>
            <w:bookmarkStart w:id="2" w:name="_Toc35393790"/>
            <w:bookmarkStart w:id="3" w:name="_Toc35393621"/>
            <w:bookmarkStart w:id="4" w:name="_Toc28359079"/>
            <w:bookmarkStart w:id="5" w:name="_Hlk24379207"/>
            <w:r>
              <w:rPr>
                <w:rFonts w:hint="eastAsia" w:ascii="宋体" w:hAnsi="宋体" w:cs="宋体"/>
                <w:color w:val="auto"/>
                <w:szCs w:val="21"/>
                <w:highlight w:val="none"/>
              </w:rPr>
              <w:t>项目概况：</w:t>
            </w:r>
          </w:p>
          <w:p>
            <w:pPr>
              <w:spacing w:line="360" w:lineRule="auto"/>
              <w:rPr>
                <w:rFonts w:ascii="宋体" w:hAnsi="宋体" w:cs="宋体"/>
                <w:color w:val="auto"/>
                <w:szCs w:val="21"/>
                <w:highlight w:val="none"/>
              </w:rPr>
            </w:pP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eastAsia="zh-CN"/>
              </w:rPr>
              <w:t>HIS软件升级改造服务项目</w:t>
            </w:r>
            <w:r>
              <w:rPr>
                <w:rFonts w:hint="eastAsia" w:ascii="宋体" w:hAnsi="宋体" w:cs="宋体"/>
                <w:color w:val="auto"/>
                <w:szCs w:val="21"/>
                <w:highlight w:val="none"/>
                <w:u w:val="single"/>
              </w:rPr>
              <w:t>)</w:t>
            </w:r>
            <w:r>
              <w:rPr>
                <w:rFonts w:hint="eastAsia" w:ascii="宋体" w:hAnsi="宋体" w:cs="宋体"/>
                <w:color w:val="auto"/>
                <w:szCs w:val="21"/>
                <w:highlight w:val="none"/>
              </w:rPr>
              <w:t>招标项目的潜在投标人应在</w:t>
            </w:r>
            <w:r>
              <w:rPr>
                <w:rFonts w:hint="eastAsia" w:ascii="宋体" w:hAnsi="宋体" w:cs="宋体"/>
                <w:bCs/>
                <w:color w:val="auto"/>
                <w:szCs w:val="21"/>
                <w:highlight w:val="none"/>
                <w:u w:val="single"/>
              </w:rPr>
              <w:t>浙江政府采购云平台（http://www.zcygov.cn/）</w:t>
            </w:r>
            <w:r>
              <w:rPr>
                <w:rFonts w:hint="eastAsia" w:ascii="宋体" w:hAnsi="宋体" w:cs="宋体"/>
                <w:color w:val="auto"/>
                <w:szCs w:val="21"/>
                <w:highlight w:val="none"/>
              </w:rPr>
              <w:t>获取（下载）招标文件，并于</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1</w:t>
            </w:r>
            <w:r>
              <w:rPr>
                <w:rFonts w:hint="eastAsia" w:ascii="宋体" w:hAnsi="宋体" w:cs="宋体"/>
                <w:bCs/>
                <w:color w:val="auto"/>
                <w:szCs w:val="21"/>
                <w:highlight w:val="none"/>
                <w:u w:val="single"/>
              </w:rPr>
              <w:t>年</w:t>
            </w:r>
            <w:r>
              <w:rPr>
                <w:rFonts w:hint="eastAsia" w:ascii="宋体" w:hAnsi="宋体" w:cs="宋体"/>
                <w:bCs/>
                <w:color w:val="auto"/>
                <w:szCs w:val="21"/>
                <w:highlight w:val="none"/>
                <w:u w:val="single"/>
                <w:lang w:val="en-US" w:eastAsia="zh-CN"/>
              </w:rPr>
              <w:t>01</w:t>
            </w:r>
            <w:r>
              <w:rPr>
                <w:rFonts w:hint="eastAsia" w:ascii="宋体" w:hAnsi="宋体" w:cs="宋体"/>
                <w:bCs/>
                <w:color w:val="auto"/>
                <w:szCs w:val="21"/>
                <w:highlight w:val="none"/>
                <w:u w:val="single"/>
              </w:rPr>
              <w:t>月</w:t>
            </w:r>
            <w:r>
              <w:rPr>
                <w:rFonts w:hint="eastAsia" w:ascii="宋体" w:hAnsi="宋体" w:cs="宋体"/>
                <w:bCs/>
                <w:color w:val="auto"/>
                <w:szCs w:val="21"/>
                <w:highlight w:val="none"/>
                <w:u w:val="single"/>
                <w:lang w:val="en-US" w:eastAsia="zh-CN"/>
              </w:rPr>
              <w:t>20</w:t>
            </w:r>
            <w:r>
              <w:rPr>
                <w:rFonts w:hint="eastAsia" w:ascii="宋体" w:hAnsi="宋体" w:cs="宋体"/>
                <w:bCs/>
                <w:color w:val="auto"/>
                <w:szCs w:val="21"/>
                <w:highlight w:val="none"/>
                <w:u w:val="single"/>
              </w:rPr>
              <w:t>日</w:t>
            </w:r>
            <w:r>
              <w:rPr>
                <w:rFonts w:hint="eastAsia" w:ascii="宋体" w:hAnsi="宋体" w:cs="宋体"/>
                <w:bCs/>
                <w:color w:val="auto"/>
                <w:szCs w:val="21"/>
                <w:highlight w:val="none"/>
                <w:u w:val="single"/>
                <w:lang w:val="en-US" w:eastAsia="zh-CN"/>
              </w:rPr>
              <w:t xml:space="preserve"> 09:30</w:t>
            </w:r>
            <w:r>
              <w:rPr>
                <w:rFonts w:hint="eastAsia" w:ascii="宋体" w:hAnsi="宋体" w:cs="宋体"/>
                <w:bCs/>
                <w:color w:val="auto"/>
                <w:szCs w:val="21"/>
                <w:highlight w:val="none"/>
                <w:u w:val="single"/>
              </w:rPr>
              <w:t>（</w:t>
            </w:r>
            <w:r>
              <w:rPr>
                <w:rFonts w:hint="eastAsia" w:ascii="宋体" w:hAnsi="宋体" w:cs="宋体"/>
                <w:bCs/>
                <w:color w:val="auto"/>
                <w:szCs w:val="21"/>
                <w:highlight w:val="none"/>
              </w:rPr>
              <w:t>北京时间）前递交（上传）投标文件</w:t>
            </w:r>
            <w:r>
              <w:rPr>
                <w:rFonts w:hint="eastAsia" w:ascii="宋体" w:hAnsi="宋体" w:cs="宋体"/>
                <w:color w:val="auto"/>
                <w:szCs w:val="21"/>
                <w:highlight w:val="none"/>
              </w:rPr>
              <w:t>。</w:t>
            </w:r>
          </w:p>
        </w:tc>
      </w:tr>
    </w:tbl>
    <w:p>
      <w:pPr>
        <w:keepNext/>
        <w:keepLines/>
        <w:spacing w:line="360" w:lineRule="auto"/>
        <w:rPr>
          <w:rFonts w:ascii="宋体" w:hAnsi="宋体" w:cs="宋体"/>
          <w:b/>
          <w:color w:val="auto"/>
          <w:szCs w:val="21"/>
          <w:highlight w:val="none"/>
        </w:rPr>
      </w:pPr>
      <w:r>
        <w:rPr>
          <w:rFonts w:hint="eastAsia" w:ascii="宋体" w:hAnsi="宋体" w:cs="宋体"/>
          <w:b/>
          <w:color w:val="auto"/>
          <w:szCs w:val="21"/>
          <w:highlight w:val="none"/>
        </w:rPr>
        <w:t>一、项目基本情况</w:t>
      </w:r>
      <w:bookmarkEnd w:id="1"/>
      <w:bookmarkEnd w:id="2"/>
      <w:bookmarkEnd w:id="3"/>
      <w:bookmarkEnd w:id="4"/>
    </w:p>
    <w:p>
      <w:pPr>
        <w:spacing w:line="336"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1.项目编号：</w:t>
      </w:r>
      <w:r>
        <w:rPr>
          <w:rFonts w:hint="eastAsia" w:ascii="宋体" w:hAnsi="宋体" w:cs="宋体"/>
          <w:color w:val="auto"/>
          <w:szCs w:val="21"/>
          <w:highlight w:val="none"/>
          <w:lang w:eastAsia="zh-CN"/>
        </w:rPr>
        <w:t>CBNB-20216009G</w:t>
      </w:r>
    </w:p>
    <w:p>
      <w:pPr>
        <w:spacing w:line="336"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2.项目名称：</w:t>
      </w:r>
      <w:r>
        <w:rPr>
          <w:rFonts w:hint="eastAsia" w:ascii="宋体" w:hAnsi="宋体" w:cs="宋体"/>
          <w:color w:val="auto"/>
          <w:szCs w:val="21"/>
          <w:highlight w:val="none"/>
          <w:lang w:eastAsia="zh-CN"/>
        </w:rPr>
        <w:t>HIS软件升级改造服务项目</w:t>
      </w:r>
    </w:p>
    <w:p>
      <w:pPr>
        <w:spacing w:line="33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3.预算金额（元）：</w:t>
      </w:r>
      <w:r>
        <w:rPr>
          <w:rFonts w:hint="eastAsia" w:ascii="宋体" w:hAnsi="宋体" w:cs="宋体"/>
          <w:color w:val="auto"/>
          <w:szCs w:val="21"/>
          <w:highlight w:val="none"/>
          <w:lang w:val="en-US" w:eastAsia="zh-CN"/>
        </w:rPr>
        <w:t>90</w:t>
      </w:r>
      <w:r>
        <w:rPr>
          <w:rFonts w:hint="eastAsia" w:ascii="宋体" w:hAnsi="宋体" w:cs="宋体"/>
          <w:color w:val="auto"/>
          <w:szCs w:val="21"/>
          <w:highlight w:val="none"/>
        </w:rPr>
        <w:t>0000.00</w:t>
      </w:r>
    </w:p>
    <w:p>
      <w:pPr>
        <w:spacing w:line="33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4.最高限价（元）：</w:t>
      </w:r>
      <w:r>
        <w:rPr>
          <w:rFonts w:hint="eastAsia" w:ascii="宋体" w:hAnsi="宋体" w:cs="宋体"/>
          <w:color w:val="auto"/>
          <w:szCs w:val="21"/>
          <w:highlight w:val="none"/>
          <w:lang w:val="en-US" w:eastAsia="zh-CN"/>
        </w:rPr>
        <w:t>90</w:t>
      </w:r>
      <w:r>
        <w:rPr>
          <w:rFonts w:hint="eastAsia" w:ascii="宋体" w:hAnsi="宋体" w:cs="宋体"/>
          <w:color w:val="auto"/>
          <w:szCs w:val="21"/>
          <w:highlight w:val="none"/>
        </w:rPr>
        <w:t>0000.00</w:t>
      </w:r>
    </w:p>
    <w:p>
      <w:pPr>
        <w:spacing w:line="33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5.采购需求：</w:t>
      </w:r>
    </w:p>
    <w:p>
      <w:pPr>
        <w:spacing w:line="33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标项一:</w:t>
      </w:r>
    </w:p>
    <w:p>
      <w:pPr>
        <w:spacing w:line="33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标项名称: </w:t>
      </w:r>
    </w:p>
    <w:p>
      <w:pPr>
        <w:spacing w:line="33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数量:</w:t>
      </w:r>
      <w:r>
        <w:rPr>
          <w:rFonts w:hint="eastAsia" w:ascii="宋体" w:hAnsi="宋体" w:cs="宋体"/>
          <w:color w:val="auto"/>
          <w:szCs w:val="21"/>
          <w:highlight w:val="none"/>
          <w:lang w:val="en-US" w:eastAsia="zh-CN"/>
        </w:rPr>
        <w:t>1批</w:t>
      </w:r>
      <w:r>
        <w:rPr>
          <w:rFonts w:hint="eastAsia" w:ascii="宋体" w:hAnsi="宋体" w:cs="宋体"/>
          <w:color w:val="auto"/>
          <w:szCs w:val="21"/>
          <w:highlight w:val="none"/>
        </w:rPr>
        <w:t>  </w:t>
      </w:r>
    </w:p>
    <w:p>
      <w:pPr>
        <w:spacing w:line="33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预算金额（元）:</w:t>
      </w:r>
      <w:r>
        <w:rPr>
          <w:rFonts w:hint="eastAsia" w:ascii="宋体" w:hAnsi="宋体" w:cs="宋体"/>
          <w:color w:val="auto"/>
          <w:szCs w:val="21"/>
          <w:highlight w:val="none"/>
          <w:lang w:val="en-US" w:eastAsia="zh-CN"/>
        </w:rPr>
        <w:t>90</w:t>
      </w:r>
      <w:r>
        <w:rPr>
          <w:rFonts w:hint="eastAsia" w:ascii="宋体" w:hAnsi="宋体" w:cs="宋体"/>
          <w:color w:val="auto"/>
          <w:szCs w:val="21"/>
          <w:highlight w:val="none"/>
        </w:rPr>
        <w:t>0000.00 </w:t>
      </w:r>
    </w:p>
    <w:p>
      <w:pPr>
        <w:spacing w:line="33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简要规格描述或项目基本概况介绍、用途：详见《第二章 采购需求》。</w:t>
      </w:r>
    </w:p>
    <w:p>
      <w:pPr>
        <w:spacing w:line="336"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6.合同履行期限：合同签订后3个月内完成本项目系统建设，经过测试运行及培训，并通过采购人组织初步验收确认合格，投入试运行。经正式验收合格，正式交付使用，进入维护期。</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7.本项目（否）接受联合体投标。</w:t>
      </w:r>
    </w:p>
    <w:bookmarkEnd w:id="5"/>
    <w:p>
      <w:pPr>
        <w:keepNext/>
        <w:keepLines/>
        <w:spacing w:line="360" w:lineRule="auto"/>
        <w:rPr>
          <w:rFonts w:ascii="宋体" w:hAnsi="宋体" w:cs="宋体"/>
          <w:b/>
          <w:color w:val="auto"/>
          <w:szCs w:val="21"/>
          <w:highlight w:val="none"/>
        </w:rPr>
      </w:pPr>
      <w:bookmarkStart w:id="6" w:name="_Toc35393622"/>
      <w:bookmarkStart w:id="7" w:name="_Toc35393791"/>
      <w:bookmarkStart w:id="8" w:name="_Toc28359003"/>
      <w:bookmarkStart w:id="9" w:name="_Toc28359080"/>
      <w:r>
        <w:rPr>
          <w:rFonts w:hint="eastAsia" w:ascii="宋体" w:hAnsi="宋体" w:cs="宋体"/>
          <w:b/>
          <w:color w:val="auto"/>
          <w:szCs w:val="21"/>
          <w:highlight w:val="none"/>
        </w:rPr>
        <w:t>二、申请人的资格要求：</w:t>
      </w:r>
      <w:bookmarkEnd w:id="6"/>
      <w:bookmarkEnd w:id="7"/>
      <w:bookmarkEnd w:id="8"/>
      <w:bookmarkEnd w:id="9"/>
    </w:p>
    <w:p>
      <w:pPr>
        <w:spacing w:line="336" w:lineRule="auto"/>
        <w:ind w:firstLine="420" w:firstLineChars="200"/>
        <w:rPr>
          <w:rFonts w:ascii="宋体" w:hAnsi="宋体" w:cs="宋体"/>
          <w:color w:val="auto"/>
          <w:szCs w:val="21"/>
          <w:highlight w:val="none"/>
        </w:rPr>
      </w:pPr>
      <w:bookmarkStart w:id="10" w:name="_Toc28359081"/>
      <w:bookmarkStart w:id="11" w:name="_Toc28359004"/>
      <w:r>
        <w:rPr>
          <w:rFonts w:hint="eastAsia" w:ascii="宋体" w:hAnsi="宋体" w:cs="宋体"/>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36"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2.落实政府采购政策需满足的资格要求：无。</w:t>
      </w:r>
    </w:p>
    <w:p>
      <w:pPr>
        <w:spacing w:line="336" w:lineRule="auto"/>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3.本项目的特定资格要求：</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keepLines/>
        <w:spacing w:line="360" w:lineRule="auto"/>
        <w:rPr>
          <w:rFonts w:ascii="宋体" w:hAnsi="宋体" w:cs="宋体"/>
          <w:b/>
          <w:color w:val="auto"/>
          <w:szCs w:val="21"/>
          <w:highlight w:val="none"/>
        </w:rPr>
      </w:pPr>
      <w:bookmarkStart w:id="12" w:name="_Toc35393792"/>
      <w:bookmarkStart w:id="13" w:name="_Toc35393623"/>
      <w:r>
        <w:rPr>
          <w:rFonts w:hint="eastAsia" w:ascii="宋体" w:hAnsi="宋体" w:cs="宋体"/>
          <w:b/>
          <w:color w:val="auto"/>
          <w:szCs w:val="21"/>
          <w:highlight w:val="none"/>
        </w:rPr>
        <w:t>三、获取招标文件</w:t>
      </w:r>
      <w:bookmarkEnd w:id="10"/>
      <w:bookmarkEnd w:id="11"/>
      <w:bookmarkEnd w:id="12"/>
      <w:bookmarkEnd w:id="13"/>
    </w:p>
    <w:p>
      <w:pPr>
        <w:spacing w:line="336" w:lineRule="auto"/>
        <w:ind w:firstLine="540"/>
        <w:rPr>
          <w:rFonts w:ascii="宋体" w:hAnsi="宋体" w:cs="宋体"/>
          <w:color w:val="auto"/>
          <w:szCs w:val="21"/>
          <w:highlight w:val="none"/>
        </w:rPr>
      </w:pPr>
      <w:r>
        <w:rPr>
          <w:rFonts w:hint="eastAsia" w:ascii="宋体" w:hAnsi="宋体" w:cs="宋体"/>
          <w:color w:val="auto"/>
          <w:szCs w:val="21"/>
          <w:highlight w:val="none"/>
        </w:rPr>
        <w:t>1.时间：</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31</w:t>
      </w:r>
      <w:r>
        <w:rPr>
          <w:rFonts w:hint="eastAsia" w:ascii="宋体" w:hAnsi="宋体" w:cs="宋体"/>
          <w:color w:val="auto"/>
          <w:szCs w:val="21"/>
          <w:highlight w:val="none"/>
          <w:u w:val="single"/>
        </w:rPr>
        <w:t>日</w:t>
      </w:r>
      <w:r>
        <w:rPr>
          <w:rFonts w:hint="eastAsia" w:ascii="宋体" w:hAnsi="宋体" w:cs="宋体"/>
          <w:color w:val="auto"/>
          <w:szCs w:val="21"/>
          <w:highlight w:val="none"/>
        </w:rPr>
        <w:t>至</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01</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08</w:t>
      </w:r>
      <w:r>
        <w:rPr>
          <w:rFonts w:hint="eastAsia" w:ascii="宋体" w:hAnsi="宋体" w:cs="宋体"/>
          <w:color w:val="auto"/>
          <w:szCs w:val="21"/>
          <w:highlight w:val="none"/>
          <w:u w:val="single"/>
        </w:rPr>
        <w:t>日</w:t>
      </w:r>
      <w:r>
        <w:rPr>
          <w:rFonts w:hint="eastAsia" w:ascii="宋体" w:hAnsi="宋体" w:cs="宋体"/>
          <w:color w:val="auto"/>
          <w:szCs w:val="21"/>
          <w:highlight w:val="none"/>
        </w:rPr>
        <w:t>，每天上午</w:t>
      </w:r>
      <w:r>
        <w:rPr>
          <w:rFonts w:hint="eastAsia" w:ascii="宋体" w:hAnsi="宋体" w:cs="宋体"/>
          <w:color w:val="auto"/>
          <w:szCs w:val="21"/>
          <w:highlight w:val="none"/>
          <w:u w:val="single"/>
        </w:rPr>
        <w:t>00:00</w:t>
      </w:r>
      <w:r>
        <w:rPr>
          <w:rFonts w:hint="eastAsia" w:ascii="宋体" w:hAnsi="宋体" w:cs="宋体"/>
          <w:color w:val="auto"/>
          <w:szCs w:val="21"/>
          <w:highlight w:val="none"/>
        </w:rPr>
        <w:t>至</w:t>
      </w:r>
      <w:r>
        <w:rPr>
          <w:rFonts w:hint="eastAsia" w:ascii="宋体" w:hAnsi="宋体" w:cs="宋体"/>
          <w:color w:val="auto"/>
          <w:szCs w:val="21"/>
          <w:highlight w:val="none"/>
          <w:u w:val="single"/>
        </w:rPr>
        <w:t>12:00</w:t>
      </w:r>
      <w:r>
        <w:rPr>
          <w:rFonts w:hint="eastAsia" w:ascii="宋体" w:hAnsi="宋体" w:cs="宋体"/>
          <w:color w:val="auto"/>
          <w:szCs w:val="21"/>
          <w:highlight w:val="none"/>
        </w:rPr>
        <w:t>，下午</w:t>
      </w:r>
      <w:r>
        <w:rPr>
          <w:rFonts w:hint="eastAsia" w:ascii="宋体" w:hAnsi="宋体" w:cs="宋体"/>
          <w:color w:val="auto"/>
          <w:szCs w:val="21"/>
          <w:highlight w:val="none"/>
          <w:u w:val="single"/>
        </w:rPr>
        <w:t>12:00</w:t>
      </w:r>
      <w:r>
        <w:rPr>
          <w:rFonts w:hint="eastAsia" w:ascii="宋体" w:hAnsi="宋体" w:cs="宋体"/>
          <w:color w:val="auto"/>
          <w:szCs w:val="21"/>
          <w:highlight w:val="none"/>
        </w:rPr>
        <w:t>至</w:t>
      </w:r>
      <w:r>
        <w:rPr>
          <w:rFonts w:hint="eastAsia" w:ascii="宋体" w:hAnsi="宋体" w:cs="宋体"/>
          <w:color w:val="auto"/>
          <w:szCs w:val="21"/>
          <w:highlight w:val="none"/>
          <w:u w:val="single"/>
        </w:rPr>
        <w:t>23:59</w:t>
      </w:r>
      <w:r>
        <w:rPr>
          <w:rFonts w:hint="eastAsia" w:ascii="宋体" w:hAnsi="宋体" w:cs="宋体"/>
          <w:color w:val="auto"/>
          <w:szCs w:val="21"/>
          <w:highlight w:val="none"/>
        </w:rPr>
        <w:t>（北京时间，线上获取法定节假日均可，线下获取文件法定节假日除外）。</w:t>
      </w:r>
    </w:p>
    <w:p>
      <w:pPr>
        <w:spacing w:line="336" w:lineRule="auto"/>
        <w:ind w:firstLine="540"/>
        <w:rPr>
          <w:rFonts w:ascii="宋体" w:hAnsi="宋体" w:cs="宋体"/>
          <w:color w:val="auto"/>
          <w:szCs w:val="21"/>
          <w:highlight w:val="none"/>
          <w:u w:val="single"/>
        </w:rPr>
      </w:pPr>
      <w:r>
        <w:rPr>
          <w:rFonts w:hint="eastAsia" w:ascii="宋体" w:hAnsi="宋体" w:cs="宋体"/>
          <w:color w:val="auto"/>
          <w:szCs w:val="21"/>
          <w:highlight w:val="none"/>
        </w:rPr>
        <w:t>2.地点（网址）：浙江政府采购云平台（http://www.zcygov.cn/）</w:t>
      </w:r>
    </w:p>
    <w:p>
      <w:pPr>
        <w:spacing w:line="336" w:lineRule="auto"/>
        <w:ind w:firstLine="540"/>
        <w:rPr>
          <w:rFonts w:ascii="宋体" w:hAnsi="宋体" w:cs="宋体"/>
          <w:color w:val="auto"/>
          <w:szCs w:val="21"/>
          <w:highlight w:val="none"/>
          <w:u w:val="single"/>
        </w:rPr>
      </w:pPr>
      <w:r>
        <w:rPr>
          <w:rFonts w:hint="eastAsia" w:ascii="宋体" w:hAnsi="宋体" w:cs="宋体"/>
          <w:color w:val="auto"/>
          <w:szCs w:val="21"/>
          <w:highlight w:val="none"/>
        </w:rPr>
        <w:t>3.方式：供应商注册后直接登陆“浙江政府采购云平台”（http://www.zcy.gov.cn/）下载电子招标文件。供应商未在规定时间内或未按上述方式获取招标文件的，其投标无效。</w:t>
      </w:r>
    </w:p>
    <w:p>
      <w:pPr>
        <w:spacing w:line="360" w:lineRule="auto"/>
        <w:ind w:firstLine="540"/>
        <w:rPr>
          <w:rFonts w:ascii="宋体" w:hAnsi="宋体" w:cs="宋体"/>
          <w:color w:val="auto"/>
          <w:szCs w:val="21"/>
          <w:highlight w:val="none"/>
        </w:rPr>
      </w:pPr>
      <w:r>
        <w:rPr>
          <w:rFonts w:hint="eastAsia" w:ascii="宋体" w:hAnsi="宋体" w:cs="宋体"/>
          <w:color w:val="auto"/>
          <w:szCs w:val="21"/>
          <w:highlight w:val="none"/>
        </w:rPr>
        <w:t>4.售价（元）：0</w:t>
      </w:r>
    </w:p>
    <w:p>
      <w:pPr>
        <w:keepNext/>
        <w:keepLines/>
        <w:spacing w:line="360" w:lineRule="auto"/>
        <w:rPr>
          <w:rFonts w:ascii="宋体" w:hAnsi="宋体" w:cs="宋体"/>
          <w:b/>
          <w:color w:val="auto"/>
          <w:szCs w:val="21"/>
          <w:highlight w:val="none"/>
        </w:rPr>
      </w:pPr>
      <w:bookmarkStart w:id="14" w:name="_Toc28359082"/>
      <w:bookmarkStart w:id="15" w:name="_Toc28359005"/>
      <w:bookmarkStart w:id="16" w:name="_Toc35393624"/>
      <w:bookmarkStart w:id="17" w:name="_Toc35393793"/>
      <w:r>
        <w:rPr>
          <w:rFonts w:hint="eastAsia" w:ascii="宋体" w:hAnsi="宋体" w:cs="宋体"/>
          <w:b/>
          <w:color w:val="auto"/>
          <w:szCs w:val="21"/>
          <w:highlight w:val="none"/>
        </w:rPr>
        <w:t>四、提交投标文件</w:t>
      </w:r>
      <w:bookmarkEnd w:id="14"/>
      <w:bookmarkEnd w:id="15"/>
      <w:r>
        <w:rPr>
          <w:rFonts w:hint="eastAsia" w:ascii="宋体" w:hAnsi="宋体" w:cs="宋体"/>
          <w:b/>
          <w:color w:val="auto"/>
          <w:szCs w:val="21"/>
          <w:highlight w:val="none"/>
        </w:rPr>
        <w:t>截止时间、开标时间和地点</w:t>
      </w:r>
      <w:bookmarkEnd w:id="16"/>
      <w:bookmarkEnd w:id="17"/>
    </w:p>
    <w:p>
      <w:pPr>
        <w:spacing w:line="336" w:lineRule="auto"/>
        <w:ind w:firstLine="540"/>
        <w:rPr>
          <w:rFonts w:ascii="宋体" w:hAnsi="宋体" w:cs="宋体"/>
          <w:color w:val="auto"/>
          <w:szCs w:val="21"/>
          <w:highlight w:val="none"/>
        </w:rPr>
      </w:pPr>
      <w:r>
        <w:rPr>
          <w:rFonts w:hint="eastAsia" w:ascii="宋体" w:hAnsi="宋体" w:cs="宋体"/>
          <w:color w:val="auto"/>
          <w:szCs w:val="21"/>
          <w:highlight w:val="none"/>
        </w:rPr>
        <w:t>1.提交投标文件截止时间：202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01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09:30</w:t>
      </w:r>
      <w:r>
        <w:rPr>
          <w:rFonts w:hint="eastAsia" w:ascii="宋体" w:hAnsi="宋体" w:cs="宋体"/>
          <w:color w:val="auto"/>
          <w:szCs w:val="21"/>
          <w:highlight w:val="none"/>
        </w:rPr>
        <w:t>（北京时间）。</w:t>
      </w:r>
    </w:p>
    <w:p>
      <w:pPr>
        <w:spacing w:line="336" w:lineRule="auto"/>
        <w:ind w:firstLine="540"/>
        <w:rPr>
          <w:rFonts w:ascii="宋体" w:hAnsi="宋体" w:cs="宋体"/>
          <w:color w:val="auto"/>
          <w:szCs w:val="21"/>
          <w:highlight w:val="none"/>
        </w:rPr>
      </w:pPr>
      <w:r>
        <w:rPr>
          <w:rFonts w:hint="eastAsia" w:ascii="宋体" w:hAnsi="宋体" w:cs="宋体"/>
          <w:color w:val="auto"/>
          <w:szCs w:val="21"/>
          <w:highlight w:val="none"/>
        </w:rPr>
        <w:t>2.投标地点（网址）：</w:t>
      </w:r>
      <w:r>
        <w:rPr>
          <w:rFonts w:hint="eastAsia" w:ascii="宋体" w:hAnsi="宋体" w:cs="宋体"/>
          <w:color w:val="auto"/>
          <w:szCs w:val="21"/>
          <w:highlight w:val="none"/>
          <w:u w:val="single"/>
          <w:lang w:eastAsia="zh-CN"/>
        </w:rPr>
        <w:t>政府采购云平台</w:t>
      </w:r>
      <w:bookmarkStart w:id="18" w:name="_Hlt21454954"/>
      <w:bookmarkEnd w:id="18"/>
      <w:bookmarkStart w:id="19" w:name="_Hlt21454952"/>
      <w:bookmarkEnd w:id="19"/>
      <w:bookmarkStart w:id="20" w:name="_Hlt21454969"/>
      <w:bookmarkEnd w:id="20"/>
      <w:bookmarkStart w:id="21" w:name="_Hlt21454953"/>
      <w:bookmarkEnd w:id="21"/>
      <w:r>
        <w:rPr>
          <w:rFonts w:hint="eastAsia" w:ascii="宋体" w:hAnsi="宋体" w:cs="宋体"/>
          <w:color w:val="auto"/>
          <w:szCs w:val="21"/>
          <w:highlight w:val="none"/>
          <w:u w:val="single"/>
          <w:lang w:eastAsia="zh-CN"/>
        </w:rPr>
        <w:fldChar w:fldCharType="begin"/>
      </w:r>
      <w:r>
        <w:rPr>
          <w:rFonts w:hint="eastAsia" w:ascii="宋体" w:hAnsi="宋体" w:cs="宋体"/>
          <w:color w:val="auto"/>
          <w:szCs w:val="21"/>
          <w:highlight w:val="none"/>
          <w:u w:val="single"/>
          <w:lang w:eastAsia="zh-CN"/>
        </w:rPr>
        <w:instrText xml:space="preserve"> HYPERLINK "http://www.zcygov.cn" </w:instrText>
      </w:r>
      <w:r>
        <w:rPr>
          <w:rFonts w:hint="eastAsia" w:ascii="宋体" w:hAnsi="宋体" w:cs="宋体"/>
          <w:color w:val="auto"/>
          <w:szCs w:val="21"/>
          <w:highlight w:val="none"/>
          <w:u w:val="single"/>
          <w:lang w:eastAsia="zh-CN"/>
        </w:rPr>
        <w:fldChar w:fldCharType="separate"/>
      </w:r>
      <w:r>
        <w:rPr>
          <w:rFonts w:hint="eastAsia" w:ascii="宋体" w:hAnsi="宋体" w:cs="宋体"/>
          <w:color w:val="auto"/>
          <w:szCs w:val="21"/>
          <w:highlight w:val="none"/>
          <w:u w:val="single"/>
          <w:lang w:eastAsia="zh-CN"/>
        </w:rPr>
        <w:t>www.zcygov.cn</w:t>
      </w:r>
      <w:r>
        <w:rPr>
          <w:rFonts w:hint="eastAsia" w:ascii="宋体" w:hAnsi="宋体" w:cs="宋体"/>
          <w:color w:val="auto"/>
          <w:szCs w:val="21"/>
          <w:highlight w:val="none"/>
          <w:u w:val="single"/>
          <w:lang w:eastAsia="zh-CN"/>
        </w:rPr>
        <w:fldChar w:fldCharType="end"/>
      </w:r>
      <w:r>
        <w:rPr>
          <w:rFonts w:hint="eastAsia" w:ascii="宋体" w:hAnsi="宋体" w:cs="宋体"/>
          <w:color w:val="auto"/>
          <w:szCs w:val="21"/>
          <w:highlight w:val="none"/>
          <w:u w:val="single"/>
          <w:lang w:eastAsia="zh-CN"/>
        </w:rPr>
        <w:t>，未上传电子投标文件，视为供应商放弃投标。以U盘存储的电子备份投标文件和纸质备份投标文件分别密封，递交至中基招标会议中心开标室（宁波市鄞州区天童南路666号中基大厦1楼），逾期送达或未密封将予以拒收</w:t>
      </w:r>
      <w:r>
        <w:rPr>
          <w:rFonts w:hint="eastAsia" w:ascii="宋体" w:hAnsi="宋体" w:cs="宋体"/>
          <w:color w:val="auto"/>
          <w:szCs w:val="21"/>
          <w:highlight w:val="none"/>
        </w:rPr>
        <w:t>。</w:t>
      </w:r>
    </w:p>
    <w:p>
      <w:pPr>
        <w:spacing w:line="336" w:lineRule="auto"/>
        <w:ind w:firstLine="540"/>
        <w:rPr>
          <w:rFonts w:ascii="宋体" w:hAnsi="宋体" w:cs="宋体"/>
          <w:color w:val="auto"/>
          <w:szCs w:val="21"/>
          <w:highlight w:val="none"/>
        </w:rPr>
      </w:pPr>
      <w:r>
        <w:rPr>
          <w:rFonts w:hint="eastAsia" w:ascii="宋体" w:hAnsi="宋体" w:cs="宋体"/>
          <w:color w:val="auto"/>
          <w:szCs w:val="21"/>
          <w:highlight w:val="none"/>
        </w:rPr>
        <w:t>3.开标时间：202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01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日</w:t>
      </w:r>
      <w:bookmarkStart w:id="59" w:name="_GoBack"/>
      <w:bookmarkEnd w:id="59"/>
      <w:r>
        <w:rPr>
          <w:rFonts w:hint="eastAsia" w:ascii="宋体" w:hAnsi="宋体" w:cs="宋体"/>
          <w:color w:val="auto"/>
          <w:szCs w:val="21"/>
          <w:highlight w:val="none"/>
          <w:lang w:val="en-US" w:eastAsia="zh-CN"/>
        </w:rPr>
        <w:t>09:30</w:t>
      </w:r>
      <w:r>
        <w:rPr>
          <w:rFonts w:hint="eastAsia" w:ascii="宋体" w:hAnsi="宋体" w:cs="宋体"/>
          <w:color w:val="auto"/>
          <w:szCs w:val="21"/>
          <w:highlight w:val="none"/>
        </w:rPr>
        <w:t>（北京时间）。</w:t>
      </w:r>
    </w:p>
    <w:p>
      <w:pPr>
        <w:spacing w:line="360" w:lineRule="auto"/>
        <w:ind w:firstLine="540"/>
        <w:rPr>
          <w:rFonts w:ascii="宋体" w:hAnsi="宋体" w:cs="宋体"/>
          <w:color w:val="auto"/>
          <w:szCs w:val="21"/>
          <w:highlight w:val="none"/>
        </w:rPr>
      </w:pPr>
      <w:r>
        <w:rPr>
          <w:rFonts w:hint="eastAsia" w:ascii="宋体" w:hAnsi="宋体" w:cs="宋体"/>
          <w:color w:val="auto"/>
          <w:szCs w:val="21"/>
          <w:highlight w:val="none"/>
        </w:rPr>
        <w:t>4.开标地点（网址）：</w:t>
      </w:r>
      <w:r>
        <w:rPr>
          <w:rFonts w:hint="eastAsia" w:ascii="宋体" w:hAnsi="宋体" w:cs="宋体"/>
          <w:color w:val="auto"/>
          <w:szCs w:val="21"/>
          <w:highlight w:val="none"/>
          <w:u w:val="single"/>
        </w:rPr>
        <w:t>中基招标会议中心开标室（宁波市鄞州区天童南路666号中基大厦1楼）</w:t>
      </w:r>
      <w:r>
        <w:rPr>
          <w:rFonts w:hint="eastAsia" w:ascii="宋体" w:hAnsi="宋体" w:cs="宋体"/>
          <w:color w:val="auto"/>
          <w:szCs w:val="21"/>
          <w:highlight w:val="none"/>
        </w:rPr>
        <w:t>。</w:t>
      </w:r>
    </w:p>
    <w:p>
      <w:pPr>
        <w:keepNext/>
        <w:keepLines/>
        <w:spacing w:line="360" w:lineRule="auto"/>
        <w:rPr>
          <w:rFonts w:ascii="宋体" w:hAnsi="宋体" w:cs="宋体"/>
          <w:b/>
          <w:color w:val="auto"/>
          <w:szCs w:val="21"/>
          <w:highlight w:val="none"/>
        </w:rPr>
      </w:pPr>
      <w:bookmarkStart w:id="22" w:name="_Toc35393794"/>
      <w:bookmarkStart w:id="23" w:name="_Toc28359084"/>
      <w:bookmarkStart w:id="24" w:name="_Toc28359007"/>
      <w:bookmarkStart w:id="25" w:name="_Toc35393625"/>
      <w:r>
        <w:rPr>
          <w:rFonts w:hint="eastAsia" w:ascii="宋体" w:hAnsi="宋体" w:cs="宋体"/>
          <w:b/>
          <w:color w:val="auto"/>
          <w:szCs w:val="21"/>
          <w:highlight w:val="none"/>
        </w:rPr>
        <w:t>五、公告期限</w:t>
      </w:r>
      <w:bookmarkEnd w:id="22"/>
      <w:bookmarkEnd w:id="23"/>
      <w:bookmarkEnd w:id="24"/>
      <w:bookmarkEnd w:id="25"/>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keepNext/>
        <w:keepLines/>
        <w:spacing w:line="360" w:lineRule="auto"/>
        <w:rPr>
          <w:rFonts w:ascii="宋体" w:hAnsi="宋体" w:cs="宋体"/>
          <w:b/>
          <w:color w:val="auto"/>
          <w:szCs w:val="21"/>
          <w:highlight w:val="none"/>
        </w:rPr>
      </w:pPr>
      <w:bookmarkStart w:id="26" w:name="_Toc35393626"/>
      <w:bookmarkStart w:id="27" w:name="_Toc35393795"/>
      <w:r>
        <w:rPr>
          <w:rFonts w:hint="eastAsia" w:ascii="宋体" w:hAnsi="宋体" w:cs="宋体"/>
          <w:b/>
          <w:color w:val="auto"/>
          <w:szCs w:val="21"/>
          <w:highlight w:val="none"/>
        </w:rPr>
        <w:t>六、其他补充事宜</w:t>
      </w:r>
      <w:bookmarkEnd w:id="26"/>
      <w:bookmarkEnd w:id="27"/>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2.其他事项：</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落实的政策：《政府采购促进中小企业发展暂行办法》（财库[2011]181号）、《关于政府采购支持监狱企业发展有关问题的通知》(财库[2014]68号)、《关于促进残疾人就业政府采购政策的通知》（财库〔2017〕141号）。</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2.2供应商需按照《浙江省政府采购供应商注册及诚信管理暂行办法》的规定在“浙江政府采购网”政采云平台注册登记的，成为浙江省政府采购注册供应商。如未注册的供应商，请注意注册所需时间。</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2.3投标与开标注意事项</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2.3.1本项目实行网上投标，采用电子投标文件。若供应商参与投标，自行承担投标一切费用。</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2.3.2标前准备：各供应商应在开标前确保成为浙江政府采购网正式注册入库供应商，并完成CA数字证书办理。因未注册入库、未办理CA数字证书等原因造成无法投标或投标失败等后果由供应商自行承担。</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2.3.3投标文件制作：</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2.3.3.1应按照本项目招标文件和政府采购云平台的要求编制、加密并递交投标文件。供应商在使用系统进行投标的过程中遇到涉及平台使用的任何问题，可致电政府采购云平台技术支持热线咨询，联系方式：400-8817190。</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2.3.3.2供应商通过政府采购云平台电子投标工具制作投标文件，电子投标工具请供应商自行前往浙江政府采购网下载并安装，投标文件制作具体流程详见政府采购云平台。</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2.3.3.3以U盘存储的电子备份投标文件1份，按政府采购云平台要求</w:t>
      </w:r>
      <w:r>
        <w:rPr>
          <w:rFonts w:hint="eastAsia" w:ascii="宋体" w:hAnsi="宋体" w:cs="宋体"/>
          <w:color w:val="auto"/>
          <w:szCs w:val="21"/>
          <w:highlight w:val="none"/>
        </w:rPr>
        <w:t>制作的电子备份文件</w:t>
      </w:r>
      <w:r>
        <w:rPr>
          <w:rFonts w:hint="eastAsia" w:ascii="宋体" w:hAnsi="宋体" w:cs="宋体"/>
          <w:color w:val="auto"/>
          <w:kern w:val="0"/>
          <w:szCs w:val="21"/>
          <w:highlight w:val="none"/>
        </w:rPr>
        <w:t>，以用于异常情况处理。</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2.3.3.4本项目供应商仍应准备纸质投标文件。当电子开评标无法正常进行时，即转为线下评标。若在此种情况下，由于供应商未提交纸质投标文件而导致该供应商放弃投标，由供应商自行承担。</w:t>
      </w:r>
    </w:p>
    <w:p>
      <w:pPr>
        <w:snapToGrid w:val="0"/>
        <w:spacing w:line="360" w:lineRule="auto"/>
        <w:ind w:firstLine="420"/>
        <w:rPr>
          <w:rFonts w:ascii="宋体" w:hAnsi="宋体" w:cs="宋体"/>
          <w:bCs/>
          <w:color w:val="auto"/>
          <w:szCs w:val="21"/>
          <w:highlight w:val="none"/>
        </w:rPr>
      </w:pPr>
      <w:r>
        <w:rPr>
          <w:rFonts w:hint="eastAsia" w:ascii="宋体" w:hAnsi="宋体" w:cs="宋体"/>
          <w:color w:val="auto"/>
          <w:kern w:val="0"/>
          <w:szCs w:val="21"/>
          <w:highlight w:val="none"/>
        </w:rPr>
        <w:t>2.4本招标公告附件中的招标文件仅供阅览使用，供应商应在规定的招标文件获取期限内在政采云平台登录供应商注册的账号后获取招标文件，未按上述方式获取招标文件的，不得对招标文件提起质疑投诉。</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2.5供应商应于投标截止时间前将电子投标文件上传到政府采购云平台www.zcygov.cn，未上传电子投标文件，视为供应商放弃投标。</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2.6供应商如提供备份投标文件的，应于提交投标文件截止时间前，将以U盘存储的电子备份投标文件和纸质备份投标文件分别密封，递交至</w:t>
      </w:r>
      <w:r>
        <w:rPr>
          <w:rFonts w:hint="eastAsia" w:ascii="宋体" w:hAnsi="宋体" w:cs="宋体"/>
          <w:color w:val="auto"/>
          <w:szCs w:val="21"/>
          <w:highlight w:val="none"/>
          <w:u w:val="single"/>
        </w:rPr>
        <w:t>中基招标会议中心开标室（宁波市鄞州区天童南路666号中基大厦1楼）</w:t>
      </w:r>
      <w:r>
        <w:rPr>
          <w:rFonts w:hint="eastAsia" w:ascii="宋体" w:hAnsi="宋体" w:cs="宋体"/>
          <w:color w:val="auto"/>
          <w:kern w:val="0"/>
          <w:szCs w:val="21"/>
          <w:highlight w:val="none"/>
        </w:rPr>
        <w:t>，逾期送达或未密封将予以拒收。供应商仅提供备份投标文件（包括以U盘存储的电子备份投标文件或纸质备份投标文件）的，投标无效。</w:t>
      </w:r>
    </w:p>
    <w:p>
      <w:pPr>
        <w:widowControl/>
        <w:spacing w:line="336"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2.7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或使用纸质投标文件进行线下评标。</w:t>
      </w:r>
    </w:p>
    <w:p>
      <w:pPr>
        <w:snapToGrid w:val="0"/>
        <w:spacing w:line="360" w:lineRule="auto"/>
        <w:ind w:firstLine="420"/>
        <w:rPr>
          <w:rFonts w:ascii="宋体" w:hAnsi="宋体" w:cs="宋体"/>
          <w:bCs/>
          <w:color w:val="auto"/>
          <w:szCs w:val="21"/>
          <w:highlight w:val="none"/>
        </w:rPr>
      </w:pPr>
      <w:r>
        <w:rPr>
          <w:rFonts w:hint="eastAsia" w:ascii="宋体" w:hAnsi="宋体" w:cs="宋体"/>
          <w:color w:val="auto"/>
          <w:kern w:val="0"/>
          <w:szCs w:val="21"/>
          <w:highlight w:val="none"/>
        </w:rPr>
        <w:t>2.8</w:t>
      </w:r>
      <w:r>
        <w:rPr>
          <w:rFonts w:hint="eastAsia" w:ascii="宋体" w:hAnsi="宋体" w:cs="宋体"/>
          <w:bCs/>
          <w:color w:val="auto"/>
          <w:szCs w:val="21"/>
          <w:highlight w:val="none"/>
        </w:rPr>
        <w:t>项目交易的开评标环节全程录音录像，供应商确有需要到现场的，相关单位到场人员应执行以下规定要求：</w:t>
      </w:r>
    </w:p>
    <w:p>
      <w:pPr>
        <w:snapToGrid w:val="0"/>
        <w:spacing w:line="360" w:lineRule="auto"/>
        <w:ind w:firstLine="420"/>
        <w:rPr>
          <w:rFonts w:ascii="宋体" w:hAnsi="宋体" w:cs="宋体"/>
          <w:bCs/>
          <w:color w:val="auto"/>
          <w:szCs w:val="21"/>
          <w:highlight w:val="none"/>
        </w:rPr>
      </w:pPr>
      <w:r>
        <w:rPr>
          <w:rFonts w:hint="eastAsia" w:ascii="宋体" w:hAnsi="宋体" w:cs="宋体"/>
          <w:color w:val="auto"/>
          <w:szCs w:val="21"/>
          <w:highlight w:val="none"/>
        </w:rPr>
        <w:t>所有供应商安排“甬行码”为绿色的相关人员（原则上不超过一名）在投标截止时间前将备份投标文件送至指定地点。投标文件递交时需同时递交供应商的法定代表人（或其委托代理人）联系方式，并保证开标期间联系方式的畅通。</w:t>
      </w:r>
    </w:p>
    <w:p>
      <w:pPr>
        <w:snapToGrid w:val="0"/>
        <w:spacing w:line="360" w:lineRule="auto"/>
        <w:ind w:firstLine="420"/>
        <w:rPr>
          <w:rFonts w:ascii="宋体" w:hAnsi="宋体" w:cs="宋体"/>
          <w:bCs/>
          <w:color w:val="auto"/>
          <w:szCs w:val="21"/>
          <w:highlight w:val="none"/>
        </w:rPr>
      </w:pPr>
      <w:r>
        <w:rPr>
          <w:rFonts w:hint="eastAsia" w:ascii="宋体" w:hAnsi="宋体" w:cs="宋体"/>
          <w:bCs/>
          <w:color w:val="auto"/>
          <w:szCs w:val="21"/>
          <w:highlight w:val="none"/>
        </w:rPr>
        <w:t>2.9如本项目改为线下评标，供应商须在纸质备份投标文件（资格文件）中提供（1）指定作出澄清、说明或补正的电子邮箱；（2）法定代表人或授权代表的微信号。评审过程中有关澄清、说明或者补正，采购代理机构将通过以下电子邮箱进行收发。</w:t>
      </w:r>
    </w:p>
    <w:p>
      <w:pPr>
        <w:snapToGrid w:val="0"/>
        <w:spacing w:line="360" w:lineRule="auto"/>
        <w:ind w:firstLine="420"/>
        <w:rPr>
          <w:rFonts w:ascii="宋体" w:hAnsi="宋体" w:cs="宋体"/>
          <w:bCs/>
          <w:color w:val="auto"/>
          <w:szCs w:val="21"/>
          <w:highlight w:val="none"/>
        </w:rPr>
      </w:pPr>
      <w:r>
        <w:rPr>
          <w:rFonts w:hint="eastAsia" w:ascii="宋体" w:hAnsi="宋体" w:cs="宋体"/>
          <w:bCs/>
          <w:color w:val="auto"/>
          <w:szCs w:val="21"/>
          <w:highlight w:val="none"/>
        </w:rPr>
        <w:t>电子邮箱：</w:t>
      </w:r>
      <w:r>
        <w:rPr>
          <w:rFonts w:hint="eastAsia" w:ascii="宋体" w:hAnsi="宋体" w:cs="宋体"/>
          <w:bCs/>
          <w:color w:val="auto"/>
          <w:szCs w:val="21"/>
          <w:highlight w:val="none"/>
          <w:lang w:val="en-US" w:eastAsia="zh-CN"/>
        </w:rPr>
        <w:t>290998645</w:t>
      </w:r>
      <w:r>
        <w:rPr>
          <w:rFonts w:hint="eastAsia" w:ascii="宋体" w:hAnsi="宋体" w:cs="宋体"/>
          <w:bCs/>
          <w:color w:val="auto"/>
          <w:szCs w:val="21"/>
          <w:highlight w:val="none"/>
        </w:rPr>
        <w:t>@qq.com</w:t>
      </w:r>
    </w:p>
    <w:p>
      <w:pPr>
        <w:snapToGrid w:val="0"/>
        <w:spacing w:line="360" w:lineRule="auto"/>
        <w:ind w:firstLine="420"/>
        <w:rPr>
          <w:rFonts w:ascii="宋体" w:hAnsi="宋体" w:cs="宋体"/>
          <w:bCs/>
          <w:color w:val="auto"/>
          <w:szCs w:val="21"/>
          <w:highlight w:val="none"/>
        </w:rPr>
      </w:pPr>
      <w:r>
        <w:rPr>
          <w:rFonts w:hint="eastAsia" w:ascii="宋体" w:hAnsi="宋体" w:cs="宋体"/>
          <w:bCs/>
          <w:color w:val="auto"/>
          <w:szCs w:val="21"/>
          <w:highlight w:val="none"/>
        </w:rPr>
        <w:t>2.10投标人员须做好佩戴口罩、手套等防护措施，自觉接受体温检测、接受防疫询问，并如实报告相关情况，在投标文件递交工作完成后应立即离开，无故不得在现场逗留。</w:t>
      </w:r>
    </w:p>
    <w:p>
      <w:pPr>
        <w:snapToGrid w:val="0"/>
        <w:spacing w:line="360" w:lineRule="auto"/>
        <w:ind w:firstLine="420"/>
        <w:rPr>
          <w:rFonts w:ascii="宋体" w:hAnsi="宋体" w:cs="宋体"/>
          <w:bCs/>
          <w:color w:val="auto"/>
          <w:szCs w:val="21"/>
          <w:highlight w:val="none"/>
        </w:rPr>
      </w:pPr>
      <w:r>
        <w:rPr>
          <w:rFonts w:hint="eastAsia" w:ascii="宋体" w:hAnsi="宋体" w:cs="宋体"/>
          <w:bCs/>
          <w:color w:val="auto"/>
          <w:szCs w:val="21"/>
          <w:highlight w:val="none"/>
        </w:rPr>
        <w:t>2.11投标人员还需配合做好疫情防控“五个一律”：一律全面消毒、一律体温检测、一律承诺登记、一律按序办事、一律服从管理。</w:t>
      </w:r>
    </w:p>
    <w:p>
      <w:pPr>
        <w:snapToGrid w:val="0"/>
        <w:spacing w:line="360" w:lineRule="auto"/>
        <w:ind w:firstLine="420"/>
        <w:rPr>
          <w:rFonts w:ascii="宋体" w:hAnsi="宋体" w:cs="宋体"/>
          <w:bCs/>
          <w:color w:val="auto"/>
          <w:szCs w:val="21"/>
          <w:highlight w:val="none"/>
        </w:rPr>
      </w:pPr>
      <w:r>
        <w:rPr>
          <w:rFonts w:hint="eastAsia" w:ascii="宋体" w:hAnsi="宋体" w:cs="宋体"/>
          <w:bCs/>
          <w:color w:val="auto"/>
          <w:szCs w:val="21"/>
          <w:highlight w:val="none"/>
        </w:rPr>
        <w:t>2.12如投标截止时间前疫情解除，上述第2.8-2.11条内容废止。</w:t>
      </w:r>
    </w:p>
    <w:p>
      <w:pPr>
        <w:widowControl/>
        <w:spacing w:line="360" w:lineRule="auto"/>
        <w:ind w:firstLine="420" w:firstLineChars="200"/>
        <w:rPr>
          <w:rFonts w:ascii="宋体" w:hAnsi="宋体" w:cs="宋体"/>
          <w:color w:val="auto"/>
          <w:szCs w:val="21"/>
          <w:highlight w:val="none"/>
        </w:rPr>
      </w:pPr>
      <w:r>
        <w:rPr>
          <w:rFonts w:hint="eastAsia" w:ascii="宋体" w:hAnsi="宋体" w:cs="宋体"/>
          <w:bCs/>
          <w:color w:val="auto"/>
          <w:szCs w:val="21"/>
          <w:highlight w:val="none"/>
        </w:rPr>
        <w:t>2.13肺炎防疫期间，请各供应商遵守宁波中基国际招标有限公司各项防疫措施规定。</w:t>
      </w:r>
    </w:p>
    <w:p>
      <w:pPr>
        <w:keepNext/>
        <w:keepLines/>
        <w:spacing w:line="360" w:lineRule="auto"/>
        <w:rPr>
          <w:rFonts w:ascii="宋体" w:hAnsi="宋体" w:cs="宋体"/>
          <w:b/>
          <w:color w:val="auto"/>
          <w:szCs w:val="21"/>
          <w:highlight w:val="none"/>
        </w:rPr>
      </w:pPr>
      <w:bookmarkStart w:id="28" w:name="_Toc35393796"/>
      <w:bookmarkStart w:id="29" w:name="_Toc28359085"/>
      <w:bookmarkStart w:id="30" w:name="_Toc35393627"/>
      <w:bookmarkStart w:id="31" w:name="_Toc28359008"/>
      <w:r>
        <w:rPr>
          <w:rFonts w:hint="eastAsia" w:ascii="宋体" w:hAnsi="宋体" w:cs="宋体"/>
          <w:b/>
          <w:color w:val="auto"/>
          <w:szCs w:val="21"/>
          <w:highlight w:val="none"/>
        </w:rPr>
        <w:t>七、对本次招标提出询问，请按以下方式联系。</w:t>
      </w:r>
      <w:bookmarkEnd w:id="28"/>
      <w:bookmarkEnd w:id="29"/>
      <w:bookmarkEnd w:id="30"/>
      <w:bookmarkEnd w:id="31"/>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1.采购人信息</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名    称：宁波市第一医院</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地    址：宁波市海曙区柳汀街59号</w:t>
      </w:r>
    </w:p>
    <w:p>
      <w:pPr>
        <w:spacing w:line="336" w:lineRule="auto"/>
        <w:ind w:firstLine="630" w:firstLineChars="3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传    真：</w:t>
      </w:r>
      <w:r>
        <w:rPr>
          <w:rFonts w:hint="eastAsia" w:ascii="宋体" w:hAnsi="宋体" w:cs="宋体"/>
          <w:color w:val="auto"/>
          <w:szCs w:val="21"/>
          <w:highlight w:val="none"/>
          <w:lang w:val="en-US" w:eastAsia="zh-CN"/>
        </w:rPr>
        <w:t>/</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项目联系人（询问）：</w:t>
      </w:r>
      <w:r>
        <w:rPr>
          <w:rFonts w:hint="eastAsia" w:ascii="宋体" w:hAnsi="宋体"/>
          <w:color w:val="auto"/>
          <w:szCs w:val="21"/>
          <w:highlight w:val="none"/>
          <w:lang w:val="en-US" w:eastAsia="zh-CN"/>
        </w:rPr>
        <w:t>吴先生</w:t>
      </w:r>
      <w:r>
        <w:rPr>
          <w:rFonts w:hint="eastAsia" w:ascii="宋体" w:hAnsi="宋体" w:cs="宋体"/>
          <w:color w:val="auto"/>
          <w:szCs w:val="21"/>
          <w:highlight w:val="none"/>
        </w:rPr>
        <w:t xml:space="preserve"> </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项目联系方式（询问）：</w:t>
      </w:r>
      <w:r>
        <w:rPr>
          <w:rFonts w:hint="eastAsia" w:ascii="宋体" w:hAnsi="宋体"/>
          <w:color w:val="auto"/>
          <w:szCs w:val="21"/>
          <w:highlight w:val="none"/>
        </w:rPr>
        <w:t>0574－</w:t>
      </w:r>
      <w:r>
        <w:rPr>
          <w:rFonts w:hint="eastAsia" w:ascii="宋体" w:hAnsi="宋体"/>
          <w:color w:val="auto"/>
          <w:szCs w:val="21"/>
          <w:highlight w:val="none"/>
          <w:lang w:val="en-US" w:eastAsia="zh-CN"/>
        </w:rPr>
        <w:t>87085047</w:t>
      </w:r>
      <w:r>
        <w:rPr>
          <w:rFonts w:hint="eastAsia" w:ascii="宋体" w:hAnsi="宋体" w:cs="宋体"/>
          <w:color w:val="auto"/>
          <w:szCs w:val="21"/>
          <w:highlight w:val="none"/>
        </w:rPr>
        <w:t xml:space="preserve"> </w:t>
      </w:r>
    </w:p>
    <w:p>
      <w:pPr>
        <w:spacing w:line="336" w:lineRule="auto"/>
        <w:ind w:firstLine="630" w:firstLineChars="300"/>
        <w:rPr>
          <w:rFonts w:hint="eastAsia" w:ascii="宋体" w:hAnsi="宋体" w:eastAsia="宋体"/>
          <w:color w:val="auto"/>
          <w:szCs w:val="21"/>
          <w:highlight w:val="none"/>
          <w:lang w:val="en-US" w:eastAsia="zh-CN"/>
        </w:rPr>
      </w:pPr>
      <w:r>
        <w:rPr>
          <w:rFonts w:hint="eastAsia" w:ascii="宋体" w:hAnsi="宋体" w:cs="宋体"/>
          <w:color w:val="auto"/>
          <w:szCs w:val="21"/>
          <w:highlight w:val="none"/>
        </w:rPr>
        <w:t>质疑联系人：</w:t>
      </w:r>
      <w:r>
        <w:rPr>
          <w:rFonts w:hint="eastAsia" w:ascii="宋体" w:hAnsi="宋体"/>
          <w:color w:val="auto"/>
          <w:szCs w:val="21"/>
          <w:highlight w:val="none"/>
          <w:lang w:val="en-US" w:eastAsia="zh-CN"/>
        </w:rPr>
        <w:t>褚老师</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质疑联系方式：</w:t>
      </w:r>
      <w:r>
        <w:rPr>
          <w:rFonts w:hint="eastAsia" w:ascii="宋体" w:hAnsi="宋体"/>
          <w:color w:val="auto"/>
          <w:szCs w:val="21"/>
          <w:highlight w:val="none"/>
        </w:rPr>
        <w:t>0574－</w:t>
      </w:r>
      <w:r>
        <w:rPr>
          <w:rFonts w:hint="eastAsia" w:ascii="宋体" w:hAnsi="宋体"/>
          <w:color w:val="auto"/>
          <w:szCs w:val="21"/>
          <w:highlight w:val="none"/>
          <w:lang w:val="en-US" w:eastAsia="zh-CN"/>
        </w:rPr>
        <w:t>87085047</w:t>
      </w:r>
      <w:r>
        <w:rPr>
          <w:rFonts w:hint="eastAsia" w:ascii="宋体" w:hAnsi="宋体" w:cs="宋体"/>
          <w:color w:val="auto"/>
          <w:szCs w:val="21"/>
          <w:highlight w:val="none"/>
        </w:rPr>
        <w:t xml:space="preserve"> </w:t>
      </w:r>
    </w:p>
    <w:p>
      <w:pPr>
        <w:spacing w:line="336" w:lineRule="auto"/>
        <w:ind w:firstLine="630" w:firstLineChars="300"/>
        <w:rPr>
          <w:rFonts w:ascii="宋体" w:hAnsi="宋体" w:cs="宋体"/>
          <w:color w:val="auto"/>
          <w:szCs w:val="21"/>
          <w:highlight w:val="none"/>
        </w:rPr>
      </w:pPr>
      <w:bookmarkStart w:id="32" w:name="_Toc28359009"/>
      <w:bookmarkStart w:id="33" w:name="_Toc28359086"/>
      <w:r>
        <w:rPr>
          <w:rFonts w:hint="eastAsia" w:ascii="宋体" w:hAnsi="宋体" w:cs="宋体"/>
          <w:color w:val="auto"/>
          <w:szCs w:val="21"/>
          <w:highlight w:val="none"/>
        </w:rPr>
        <w:t>2.采购代理机构信息</w:t>
      </w:r>
      <w:bookmarkEnd w:id="32"/>
      <w:bookmarkEnd w:id="33"/>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名    称：宁波中基国际招标有限公司</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地    址：宁波市鄞州区天童南路666号中基大厦19楼</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传    真：0574-87425373</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项目联系人（询问）：</w:t>
      </w:r>
      <w:r>
        <w:rPr>
          <w:rFonts w:hint="eastAsia" w:ascii="宋体" w:hAnsi="宋体" w:cs="宋体"/>
          <w:color w:val="auto"/>
          <w:szCs w:val="21"/>
          <w:highlight w:val="none"/>
          <w:lang w:eastAsia="zh-CN"/>
        </w:rPr>
        <w:t>翁可欣</w:t>
      </w:r>
      <w:r>
        <w:rPr>
          <w:rFonts w:hint="eastAsia" w:ascii="宋体" w:hAnsi="宋体" w:cs="宋体"/>
          <w:color w:val="auto"/>
          <w:szCs w:val="21"/>
          <w:highlight w:val="none"/>
        </w:rPr>
        <w:t xml:space="preserve">             </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项目联系方式（询问）：0574-87425279</w:t>
      </w:r>
    </w:p>
    <w:p>
      <w:pPr>
        <w:spacing w:line="336" w:lineRule="auto"/>
        <w:ind w:firstLine="630" w:firstLineChars="3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质疑联系人：</w:t>
      </w:r>
      <w:r>
        <w:rPr>
          <w:rFonts w:hint="eastAsia" w:ascii="宋体" w:hAnsi="宋体" w:cs="宋体"/>
          <w:color w:val="auto"/>
          <w:szCs w:val="21"/>
          <w:highlight w:val="none"/>
          <w:lang w:eastAsia="zh-CN"/>
        </w:rPr>
        <w:t>王莹巧</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质疑联系方式：0574-87425583 </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4.同级政府采购监督管理部门：</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 xml:space="preserve">名    称：宁波市政府采购管理办公室             </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 xml:space="preserve">地    址：宁波市海曙区中山西路19号            </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 xml:space="preserve">传    真：/             </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 xml:space="preserve">联系人 ：徐老师             </w:t>
      </w:r>
    </w:p>
    <w:p>
      <w:pPr>
        <w:spacing w:line="336" w:lineRule="auto"/>
        <w:ind w:firstLine="630" w:firstLineChars="300"/>
        <w:rPr>
          <w:rFonts w:ascii="宋体" w:hAnsi="宋体" w:cs="宋体"/>
          <w:color w:val="auto"/>
          <w:szCs w:val="21"/>
          <w:highlight w:val="none"/>
        </w:rPr>
      </w:pPr>
      <w:r>
        <w:rPr>
          <w:rFonts w:hint="eastAsia" w:ascii="宋体" w:hAnsi="宋体" w:cs="宋体"/>
          <w:color w:val="auto"/>
          <w:szCs w:val="21"/>
          <w:highlight w:val="none"/>
        </w:rPr>
        <w:t>投诉电话：0574-87188441</w:t>
      </w:r>
    </w:p>
    <w:p>
      <w:pPr>
        <w:spacing w:line="336" w:lineRule="auto"/>
        <w:ind w:firstLine="420" w:firstLineChars="200"/>
        <w:rPr>
          <w:rFonts w:ascii="宋体" w:hAnsi="宋体" w:cs="宋体"/>
          <w:color w:val="auto"/>
          <w:highlight w:val="none"/>
        </w:rPr>
      </w:pPr>
    </w:p>
    <w:p>
      <w:pPr>
        <w:spacing w:line="336" w:lineRule="auto"/>
        <w:ind w:firstLine="420" w:firstLineChars="200"/>
        <w:rPr>
          <w:rFonts w:ascii="宋体" w:hAnsi="宋体" w:cs="宋体"/>
          <w:color w:val="auto"/>
          <w:highlight w:val="none"/>
        </w:rPr>
      </w:pPr>
      <w:r>
        <w:rPr>
          <w:rFonts w:hint="eastAsia" w:ascii="宋体" w:hAnsi="宋体" w:cs="宋体"/>
          <w:color w:val="auto"/>
          <w:highlight w:val="none"/>
        </w:rPr>
        <w:t>若对项目采购电子交易系统操作有疑问，可登录政采云（https://www.zcygov.cn/），点击右侧咨询小采，获取采小蜜智能服务管家帮助，或拨打政采云服务热线400-881-7190获取热线服务帮助。</w:t>
      </w:r>
    </w:p>
    <w:p>
      <w:pPr>
        <w:spacing w:line="336" w:lineRule="auto"/>
        <w:ind w:firstLine="420" w:firstLineChars="200"/>
        <w:rPr>
          <w:rFonts w:ascii="宋体" w:hAnsi="宋体" w:cs="宋体"/>
          <w:color w:val="auto"/>
          <w:highlight w:val="none"/>
        </w:rPr>
      </w:pPr>
      <w:r>
        <w:rPr>
          <w:rFonts w:hint="eastAsia" w:ascii="宋体" w:hAnsi="宋体" w:cs="宋体"/>
          <w:color w:val="auto"/>
          <w:highlight w:val="none"/>
        </w:rPr>
        <w:t>CA问题联系电话（人工）：汇信CA 400-888-4636；天谷CA 400-087-8198。</w:t>
      </w:r>
    </w:p>
    <w:p>
      <w:pPr>
        <w:spacing w:line="336" w:lineRule="auto"/>
        <w:ind w:firstLine="420" w:firstLineChars="200"/>
        <w:rPr>
          <w:rFonts w:ascii="Times New Roman" w:hAnsi="Times New Roman"/>
          <w:color w:val="auto"/>
          <w:highlight w:val="none"/>
        </w:rPr>
      </w:pPr>
      <w:r>
        <w:rPr>
          <w:rFonts w:hint="eastAsia" w:ascii="宋体" w:hAnsi="宋体" w:cs="宋体"/>
          <w:color w:val="auto"/>
          <w:highlight w:val="none"/>
        </w:rPr>
        <w:br w:type="page"/>
      </w:r>
    </w:p>
    <w:p>
      <w:pPr>
        <w:snapToGrid w:val="0"/>
        <w:spacing w:line="360" w:lineRule="auto"/>
        <w:ind w:firstLine="562" w:firstLineChars="200"/>
        <w:jc w:val="center"/>
        <w:outlineLvl w:val="0"/>
        <w:rPr>
          <w:rFonts w:ascii="黑体" w:hAnsi="宋体" w:eastAsia="黑体"/>
          <w:color w:val="auto"/>
          <w:sz w:val="30"/>
          <w:szCs w:val="30"/>
          <w:highlight w:val="none"/>
        </w:rPr>
      </w:pPr>
      <w:bookmarkStart w:id="34" w:name="_Toc13297"/>
      <w:r>
        <w:rPr>
          <w:rFonts w:hint="eastAsia"/>
          <w:b/>
          <w:bCs/>
          <w:color w:val="auto"/>
          <w:sz w:val="28"/>
          <w:szCs w:val="28"/>
          <w:highlight w:val="none"/>
        </w:rPr>
        <w:t>第二章采购需求</w:t>
      </w:r>
      <w:bookmarkEnd w:id="34"/>
    </w:p>
    <w:p>
      <w:pPr>
        <w:spacing w:line="320" w:lineRule="exact"/>
        <w:jc w:val="center"/>
        <w:rPr>
          <w:color w:val="auto"/>
          <w:szCs w:val="21"/>
          <w:highlight w:val="none"/>
        </w:rPr>
      </w:pPr>
      <w:r>
        <w:rPr>
          <w:rFonts w:hint="eastAsia"/>
          <w:color w:val="auto"/>
          <w:szCs w:val="21"/>
          <w:highlight w:val="none"/>
        </w:rPr>
        <w:t>前附表</w:t>
      </w:r>
    </w:p>
    <w:tbl>
      <w:tblPr>
        <w:tblStyle w:val="26"/>
        <w:tblpPr w:leftFromText="180" w:rightFromText="180" w:vertAnchor="text" w:tblpY="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291"/>
        <w:gridCol w:w="53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49" w:type="dxa"/>
            <w:tcBorders>
              <w:top w:val="single" w:color="auto" w:sz="12" w:space="0"/>
              <w:left w:val="single" w:color="auto" w:sz="12" w:space="0"/>
              <w:bottom w:val="single" w:color="auto" w:sz="4" w:space="0"/>
              <w:right w:val="single" w:color="auto" w:sz="4" w:space="0"/>
            </w:tcBorders>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2291"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项目</w:t>
            </w:r>
          </w:p>
        </w:tc>
        <w:tc>
          <w:tcPr>
            <w:tcW w:w="5307" w:type="dxa"/>
            <w:tcBorders>
              <w:top w:val="single" w:color="auto" w:sz="12" w:space="0"/>
              <w:left w:val="single" w:color="auto" w:sz="4" w:space="0"/>
              <w:bottom w:val="single" w:color="auto" w:sz="4" w:space="0"/>
              <w:right w:val="single" w:color="auto" w:sz="12" w:space="0"/>
            </w:tcBorders>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招标需求内容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采购内容　</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HIS软件升级改造服务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2</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单位及数量</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lang w:val="en-US" w:eastAsia="zh-CN"/>
              </w:rPr>
              <w:t>1批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3</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交付或者实施的时间和地点</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4</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需实现的功能或者目标</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color w:val="auto"/>
                <w:highlight w:val="none"/>
              </w:rPr>
            </w:pPr>
            <w:r>
              <w:rPr>
                <w:rFonts w:hint="eastAsia" w:ascii="宋体" w:hAnsi="宋体"/>
                <w:color w:val="auto"/>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5</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执行的国家相关标准、行业标准、地方标准或者其它标准、规范</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s="宋体"/>
                <w:color w:val="auto"/>
                <w:szCs w:val="21"/>
                <w:highlight w:val="none"/>
              </w:rPr>
              <w:t>执行的国家相关标准、行业标准、地方标准或者其它标准、规范（如有）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6</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技术规格要求</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7</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物理特性要求</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8</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质量、安全要求</w:t>
            </w:r>
          </w:p>
        </w:tc>
        <w:tc>
          <w:tcPr>
            <w:tcW w:w="5307" w:type="dxa"/>
            <w:tcBorders>
              <w:top w:val="single" w:color="auto" w:sz="4" w:space="0"/>
              <w:left w:val="single" w:color="auto" w:sz="4" w:space="0"/>
              <w:bottom w:val="single" w:color="auto" w:sz="4" w:space="0"/>
              <w:right w:val="single" w:color="auto" w:sz="12" w:space="0"/>
            </w:tcBorders>
            <w:vAlign w:val="center"/>
          </w:tcPr>
          <w:p>
            <w:pPr>
              <w:snapToGrid w:val="0"/>
              <w:rPr>
                <w:rFonts w:ascii="宋体" w:hAnsi="宋体"/>
                <w:color w:val="auto"/>
                <w:szCs w:val="21"/>
                <w:highlight w:val="none"/>
              </w:rPr>
            </w:pPr>
            <w:r>
              <w:rPr>
                <w:rFonts w:hint="eastAsia" w:ascii="宋体" w:hAnsi="宋体"/>
                <w:color w:val="auto"/>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9</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服务标准、期限、效率</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10</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olor w:val="auto"/>
                <w:szCs w:val="21"/>
                <w:highlight w:val="none"/>
                <w:lang w:eastAsia="zh-CN"/>
              </w:rPr>
            </w:pPr>
            <w:r>
              <w:rPr>
                <w:rFonts w:hint="eastAsia" w:ascii="宋体" w:hAnsi="宋体"/>
                <w:color w:val="auto"/>
                <w:szCs w:val="21"/>
                <w:highlight w:val="none"/>
              </w:rPr>
              <w:t>验收</w:t>
            </w:r>
            <w:r>
              <w:rPr>
                <w:rFonts w:hint="eastAsia" w:ascii="宋体" w:hAnsi="宋体"/>
                <w:color w:val="auto"/>
                <w:szCs w:val="21"/>
                <w:highlight w:val="none"/>
                <w:lang w:eastAsia="zh-CN"/>
              </w:rPr>
              <w:t>要求</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lang w:eastAsia="zh-CN"/>
              </w:rPr>
              <w:t>本</w:t>
            </w:r>
            <w:r>
              <w:rPr>
                <w:rFonts w:hint="eastAsia" w:ascii="宋体" w:hAnsi="宋体"/>
                <w:color w:val="auto"/>
                <w:szCs w:val="21"/>
                <w:highlight w:val="none"/>
              </w:rPr>
              <w:t>项目验收时除约定的系统功能全部实现并稳定运行外，还应包含以下内容：</w:t>
            </w:r>
          </w:p>
          <w:p>
            <w:pPr>
              <w:spacing w:line="360" w:lineRule="exact"/>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项目实施报告（含二次开发内容）</w:t>
            </w:r>
          </w:p>
          <w:p>
            <w:pPr>
              <w:spacing w:line="360" w:lineRule="exact"/>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软件功能及操作手册</w:t>
            </w:r>
          </w:p>
          <w:p>
            <w:pPr>
              <w:spacing w:line="360" w:lineRule="exact"/>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项目验收报告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11</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color w:val="auto"/>
                <w:highlight w:val="none"/>
              </w:rPr>
              <w:t>现场踏勘</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color w:val="auto"/>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12</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highlight w:val="none"/>
              </w:rPr>
            </w:pPr>
            <w:r>
              <w:rPr>
                <w:rFonts w:hint="eastAsia"/>
                <w:color w:val="auto"/>
                <w:highlight w:val="none"/>
              </w:rPr>
              <w:t>演示时间及地点</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9"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13</w:t>
            </w:r>
          </w:p>
        </w:tc>
        <w:tc>
          <w:tcPr>
            <w:tcW w:w="2291" w:type="dxa"/>
            <w:tcBorders>
              <w:top w:val="single" w:color="auto" w:sz="4" w:space="0"/>
              <w:left w:val="single" w:color="auto" w:sz="4" w:space="0"/>
              <w:bottom w:val="single" w:color="auto" w:sz="4" w:space="0"/>
              <w:right w:val="single" w:color="auto" w:sz="4" w:space="0"/>
            </w:tcBorders>
            <w:vAlign w:val="center"/>
          </w:tcPr>
          <w:p>
            <w:pPr>
              <w:spacing w:line="360" w:lineRule="exact"/>
              <w:rPr>
                <w:color w:val="auto"/>
                <w:highlight w:val="none"/>
              </w:rPr>
            </w:pPr>
            <w:r>
              <w:rPr>
                <w:rFonts w:hint="eastAsia" w:ascii="宋体" w:hAnsi="宋体" w:cs="宋体"/>
                <w:color w:val="auto"/>
                <w:highlight w:val="none"/>
              </w:rPr>
              <w:t>样品要求</w:t>
            </w:r>
          </w:p>
        </w:tc>
        <w:tc>
          <w:tcPr>
            <w:tcW w:w="5307" w:type="dxa"/>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9"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14</w:t>
            </w:r>
          </w:p>
        </w:tc>
        <w:tc>
          <w:tcPr>
            <w:tcW w:w="2291" w:type="dxa"/>
            <w:tcBorders>
              <w:top w:val="single" w:color="auto" w:sz="4" w:space="0"/>
              <w:left w:val="single" w:color="auto" w:sz="4" w:space="0"/>
              <w:bottom w:val="single" w:color="auto" w:sz="12" w:space="0"/>
              <w:right w:val="single" w:color="auto" w:sz="4" w:space="0"/>
            </w:tcBorders>
            <w:vAlign w:val="center"/>
          </w:tcPr>
          <w:p>
            <w:pPr>
              <w:spacing w:line="360" w:lineRule="exact"/>
              <w:rPr>
                <w:color w:val="auto"/>
                <w:highlight w:val="none"/>
              </w:rPr>
            </w:pPr>
            <w:r>
              <w:rPr>
                <w:rFonts w:hint="eastAsia"/>
                <w:color w:val="auto"/>
                <w:highlight w:val="none"/>
              </w:rPr>
              <w:t>本项目的核心产品</w:t>
            </w:r>
          </w:p>
        </w:tc>
        <w:tc>
          <w:tcPr>
            <w:tcW w:w="5307" w:type="dxa"/>
            <w:tcBorders>
              <w:top w:val="single" w:color="auto" w:sz="4" w:space="0"/>
              <w:left w:val="single" w:color="auto" w:sz="4" w:space="0"/>
              <w:bottom w:val="single" w:color="auto" w:sz="12" w:space="0"/>
              <w:right w:val="single" w:color="auto" w:sz="12"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无。</w:t>
            </w:r>
          </w:p>
        </w:tc>
      </w:tr>
    </w:tbl>
    <w:p>
      <w:pPr>
        <w:spacing w:line="440" w:lineRule="exact"/>
        <w:rPr>
          <w:rFonts w:hint="eastAsia" w:ascii="宋体" w:hAnsi="宋体" w:cs="宋体"/>
          <w:color w:val="auto"/>
          <w:szCs w:val="21"/>
          <w:highlight w:val="none"/>
        </w:rPr>
      </w:pPr>
    </w:p>
    <w:p>
      <w:pPr>
        <w:spacing w:line="440" w:lineRule="exact"/>
        <w:rPr>
          <w:rFonts w:hint="eastAsia" w:ascii="宋体" w:hAnsi="宋体" w:cs="宋体"/>
          <w:color w:val="auto"/>
          <w:szCs w:val="21"/>
          <w:highlight w:val="none"/>
        </w:rPr>
      </w:pPr>
    </w:p>
    <w:p>
      <w:pPr>
        <w:spacing w:line="440" w:lineRule="exact"/>
        <w:rPr>
          <w:rFonts w:hint="eastAsia" w:ascii="宋体" w:hAnsi="宋体" w:cs="宋体"/>
          <w:color w:val="auto"/>
          <w:szCs w:val="21"/>
          <w:highlight w:val="none"/>
        </w:rPr>
      </w:pPr>
    </w:p>
    <w:p>
      <w:pPr>
        <w:spacing w:line="440" w:lineRule="exact"/>
        <w:rPr>
          <w:rFonts w:hint="eastAsia" w:ascii="宋体" w:hAnsi="宋体" w:cs="宋体"/>
          <w:color w:val="auto"/>
          <w:szCs w:val="21"/>
          <w:highlight w:val="none"/>
        </w:rPr>
      </w:pPr>
    </w:p>
    <w:p>
      <w:pPr>
        <w:spacing w:line="440" w:lineRule="exact"/>
        <w:rPr>
          <w:rFonts w:hint="eastAsia" w:ascii="宋体" w:hAnsi="宋体" w:cs="宋体"/>
          <w:color w:val="auto"/>
          <w:szCs w:val="21"/>
          <w:highlight w:val="none"/>
        </w:rPr>
      </w:pPr>
    </w:p>
    <w:p>
      <w:pPr>
        <w:spacing w:line="440" w:lineRule="exact"/>
        <w:rPr>
          <w:rFonts w:hint="eastAsia" w:ascii="宋体" w:hAnsi="宋体" w:cs="宋体"/>
          <w:color w:val="auto"/>
          <w:szCs w:val="21"/>
          <w:highlight w:val="none"/>
        </w:rPr>
      </w:pPr>
    </w:p>
    <w:p>
      <w:pPr>
        <w:spacing w:line="440" w:lineRule="exact"/>
        <w:rPr>
          <w:rFonts w:hint="eastAsia" w:ascii="宋体" w:hAnsi="宋体" w:cs="宋体"/>
          <w:color w:val="auto"/>
          <w:szCs w:val="21"/>
          <w:highlight w:val="none"/>
        </w:rPr>
      </w:pPr>
    </w:p>
    <w:p>
      <w:pPr>
        <w:spacing w:line="440" w:lineRule="exact"/>
        <w:rPr>
          <w:rFonts w:hint="eastAsia" w:ascii="宋体" w:hAnsi="宋体" w:cs="宋体"/>
          <w:color w:val="auto"/>
          <w:szCs w:val="21"/>
          <w:highlight w:val="none"/>
        </w:rPr>
      </w:pPr>
    </w:p>
    <w:p>
      <w:pPr>
        <w:spacing w:line="440" w:lineRule="exact"/>
        <w:rPr>
          <w:rFonts w:ascii="宋体"/>
          <w:b/>
          <w:color w:val="auto"/>
          <w:highlight w:val="none"/>
        </w:rPr>
      </w:pPr>
      <w:r>
        <w:rPr>
          <w:rFonts w:hint="eastAsia" w:ascii="宋体" w:hAnsi="宋体" w:cs="宋体"/>
          <w:color w:val="auto"/>
          <w:szCs w:val="21"/>
          <w:highlight w:val="none"/>
        </w:rPr>
        <w:t>一、</w:t>
      </w:r>
      <w:r>
        <w:rPr>
          <w:rFonts w:hint="eastAsia" w:ascii="宋体" w:hAnsi="宋体" w:cs="宋体"/>
          <w:b/>
          <w:color w:val="auto"/>
          <w:szCs w:val="21"/>
          <w:highlight w:val="none"/>
        </w:rPr>
        <w:t>重要商务要求一览表</w:t>
      </w:r>
    </w:p>
    <w:tbl>
      <w:tblPr>
        <w:tblStyle w:val="26"/>
        <w:tblW w:w="8156" w:type="dxa"/>
        <w:tblInd w:w="1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1"/>
        <w:gridCol w:w="65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8" w:hRule="atLeast"/>
        </w:trPr>
        <w:tc>
          <w:tcPr>
            <w:tcW w:w="1571"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项目</w:t>
            </w:r>
          </w:p>
        </w:tc>
        <w:tc>
          <w:tcPr>
            <w:tcW w:w="6585" w:type="dxa"/>
            <w:tcBorders>
              <w:top w:val="single" w:color="auto" w:sz="12" w:space="0"/>
              <w:left w:val="single" w:color="auto" w:sz="6" w:space="0"/>
              <w:bottom w:val="single" w:color="auto" w:sz="6" w:space="0"/>
              <w:right w:val="single" w:color="auto" w:sz="12"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 xml:space="preserve">要 求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71"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★1、交货期</w:t>
            </w:r>
          </w:p>
        </w:tc>
        <w:tc>
          <w:tcPr>
            <w:tcW w:w="6585" w:type="dxa"/>
            <w:tcBorders>
              <w:top w:val="single" w:color="auto" w:sz="6" w:space="0"/>
              <w:left w:val="single" w:color="auto" w:sz="6" w:space="0"/>
              <w:bottom w:val="single" w:color="auto" w:sz="6" w:space="0"/>
              <w:right w:val="single" w:color="auto" w:sz="12"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合同签订后3个月内完成本项目系统建设，经过测试运行及培训，并通过采购人组织初步验收确认合格，投入试运行。经正式验收合格，正式交付使用，进入维护期。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71"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★2、实施地点</w:t>
            </w:r>
          </w:p>
        </w:tc>
        <w:tc>
          <w:tcPr>
            <w:tcW w:w="6585" w:type="dxa"/>
            <w:tcBorders>
              <w:top w:val="single" w:color="auto" w:sz="6" w:space="0"/>
              <w:left w:val="single" w:color="auto" w:sz="6" w:space="0"/>
              <w:bottom w:val="single" w:color="auto" w:sz="6" w:space="0"/>
              <w:right w:val="single" w:color="auto" w:sz="12"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71"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★3、付款方式</w:t>
            </w:r>
          </w:p>
        </w:tc>
        <w:tc>
          <w:tcPr>
            <w:tcW w:w="6585" w:type="dxa"/>
            <w:tcBorders>
              <w:top w:val="single" w:color="auto" w:sz="6" w:space="0"/>
              <w:left w:val="single" w:color="auto" w:sz="6" w:space="0"/>
              <w:bottom w:val="single" w:color="auto" w:sz="6" w:space="0"/>
              <w:right w:val="single" w:color="auto" w:sz="12"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1）合同签订后，采购人支付合同总价的30%作为预付款。</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系统建设完成经采购人初步验收确认合格，投入试运行后支付至合同金额的</w:t>
            </w:r>
            <w:r>
              <w:rPr>
                <w:rFonts w:hint="eastAsia" w:ascii="宋体" w:hAnsi="宋体" w:cs="宋体"/>
                <w:color w:val="auto"/>
                <w:szCs w:val="21"/>
                <w:highlight w:val="none"/>
                <w:lang w:val="en-US" w:eastAsia="zh-CN"/>
              </w:rPr>
              <w:t>100%</w:t>
            </w:r>
            <w:r>
              <w:rPr>
                <w:rFonts w:hint="eastAsia" w:ascii="宋体" w:hAnsi="宋体" w:cs="宋体"/>
                <w:color w:val="auto"/>
                <w:szCs w:val="21"/>
                <w:highlight w:val="none"/>
              </w:rPr>
              <w:t>。</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6）采购人向中标人支付货款前，中标人应向采购人开具同等金额的收据或增值税普通发票。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71"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olor w:val="auto"/>
                <w:szCs w:val="21"/>
                <w:highlight w:val="none"/>
              </w:rPr>
              <w:t>履约保证金</w:t>
            </w:r>
          </w:p>
        </w:tc>
        <w:tc>
          <w:tcPr>
            <w:tcW w:w="6585" w:type="dxa"/>
            <w:tcBorders>
              <w:top w:val="single" w:color="auto" w:sz="6" w:space="0"/>
              <w:left w:val="single" w:color="auto" w:sz="6" w:space="0"/>
              <w:bottom w:val="single" w:color="auto" w:sz="6" w:space="0"/>
              <w:right w:val="single" w:color="auto" w:sz="12"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履约保证金的收取及退还：</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1）履约保证金金额：合同总价的5%；</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2）履约保证金形式：银行汇票（电汇）、支票（仅限于使用宁波大市区范围内的银行开具的支票）、保险保单或银行保函；</w:t>
            </w:r>
          </w:p>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3）履约保证金的退取：履约保证金在中标人完成合同履约后无息退还（但如中标人未能履行合同规定的任何义务，采购人有权扣除相应履约保证金）。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571" w:type="dxa"/>
            <w:tcBorders>
              <w:top w:val="single" w:color="auto" w:sz="6" w:space="0"/>
              <w:left w:val="single" w:color="auto" w:sz="12" w:space="0"/>
              <w:bottom w:val="single" w:color="auto" w:sz="6" w:space="0"/>
              <w:right w:val="single" w:color="auto" w:sz="6" w:space="0"/>
            </w:tcBorders>
            <w:vAlign w:val="center"/>
          </w:tcPr>
          <w:p>
            <w:pP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5、售后服务要求</w:t>
            </w:r>
          </w:p>
        </w:tc>
        <w:tc>
          <w:tcPr>
            <w:tcW w:w="6585" w:type="dxa"/>
            <w:tcBorders>
              <w:top w:val="single" w:color="auto" w:sz="6" w:space="0"/>
              <w:left w:val="single" w:color="auto" w:sz="6" w:space="0"/>
              <w:bottom w:val="single" w:color="auto" w:sz="6" w:space="0"/>
              <w:right w:val="single" w:color="auto" w:sz="12" w:space="0"/>
            </w:tcBorders>
            <w:vAlign w:val="center"/>
          </w:tcPr>
          <w:p>
            <w:pPr>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1）质保期要求为验收合格后</w:t>
            </w:r>
            <w:r>
              <w:rPr>
                <w:rFonts w:hint="eastAsia" w:ascii="宋体" w:hAnsi="宋体" w:cs="宋体"/>
                <w:color w:val="auto"/>
                <w:szCs w:val="21"/>
                <w:highlight w:val="none"/>
                <w:lang w:eastAsia="zh-CN"/>
              </w:rPr>
              <w:t>不少于</w:t>
            </w:r>
            <w:r>
              <w:rPr>
                <w:rFonts w:hint="eastAsia" w:ascii="宋体" w:hAnsi="宋体" w:cs="宋体"/>
                <w:color w:val="auto"/>
                <w:szCs w:val="21"/>
                <w:highlight w:val="none"/>
              </w:rPr>
              <w:t>1年。</w:t>
            </w:r>
          </w:p>
          <w:p>
            <w:pPr>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2）质保期内，免费提供7</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24技术服务，有任何问题和故障，即时响应，2小时内到达现场，提供不间断的服务直到系统恢复正常。</w:t>
            </w:r>
          </w:p>
          <w:p>
            <w:pPr>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3）质保期内，免费服务内容包括</w:t>
            </w:r>
            <w:r>
              <w:rPr>
                <w:rFonts w:hint="eastAsia" w:ascii="宋体" w:hAnsi="宋体" w:cs="宋体"/>
                <w:color w:val="auto"/>
                <w:szCs w:val="21"/>
                <w:highlight w:val="none"/>
                <w:lang w:eastAsia="zh-CN"/>
              </w:rPr>
              <w:t>但不限于</w:t>
            </w:r>
            <w:r>
              <w:rPr>
                <w:rFonts w:hint="eastAsia" w:ascii="宋体" w:hAnsi="宋体" w:cs="宋体"/>
                <w:color w:val="auto"/>
                <w:szCs w:val="21"/>
                <w:highlight w:val="none"/>
              </w:rPr>
              <w:t>技术咨询、故障排除、定期巡检、性能优化、软件升级、功能完善等。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571" w:type="dxa"/>
            <w:tcBorders>
              <w:top w:val="single" w:color="auto" w:sz="6" w:space="0"/>
              <w:left w:val="single" w:color="auto" w:sz="12" w:space="0"/>
              <w:bottom w:val="single" w:color="auto" w:sz="6" w:space="0"/>
              <w:right w:val="single" w:color="auto" w:sz="6" w:space="0"/>
            </w:tcBorders>
            <w:vAlign w:val="center"/>
          </w:tcPr>
          <w:p>
            <w:pPr>
              <w:snapToGrid w:val="0"/>
              <w:spacing w:line="400" w:lineRule="exact"/>
              <w:rPr>
                <w:rFonts w:ascii="宋体" w:hAnsi="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、培训要求</w:t>
            </w:r>
          </w:p>
        </w:tc>
        <w:tc>
          <w:tcPr>
            <w:tcW w:w="6585" w:type="dxa"/>
            <w:tcBorders>
              <w:top w:val="single" w:color="auto" w:sz="6" w:space="0"/>
              <w:left w:val="single" w:color="auto" w:sz="6" w:space="0"/>
              <w:bottom w:val="single" w:color="auto" w:sz="6" w:space="0"/>
              <w:right w:val="single" w:color="auto" w:sz="12" w:space="0"/>
            </w:tcBorders>
            <w:vAlign w:val="center"/>
          </w:tcPr>
          <w:p>
            <w:pPr>
              <w:snapToGrid w:val="0"/>
              <w:spacing w:line="400" w:lineRule="exact"/>
              <w:rPr>
                <w:color w:val="auto"/>
                <w:highlight w:val="none"/>
              </w:rPr>
            </w:pPr>
            <w:r>
              <w:rPr>
                <w:rFonts w:hint="eastAsia"/>
                <w:color w:val="auto"/>
                <w:highlight w:val="none"/>
                <w:lang w:eastAsia="zh-CN"/>
              </w:rPr>
              <w:t>中标人</w:t>
            </w:r>
            <w:r>
              <w:rPr>
                <w:rFonts w:hint="eastAsia"/>
                <w:color w:val="auto"/>
                <w:highlight w:val="none"/>
              </w:rPr>
              <w:t>需为</w:t>
            </w:r>
            <w:r>
              <w:rPr>
                <w:rFonts w:hint="eastAsia"/>
                <w:color w:val="auto"/>
                <w:highlight w:val="none"/>
                <w:lang w:eastAsia="zh-CN"/>
              </w:rPr>
              <w:t>采购人</w:t>
            </w:r>
            <w:r>
              <w:rPr>
                <w:rFonts w:hint="eastAsia"/>
                <w:color w:val="auto"/>
                <w:highlight w:val="none"/>
              </w:rPr>
              <w:t>提供专业技术培训，并提供技术指导和咨询，通过多种方式解决需求，提供支持，确保</w:t>
            </w:r>
            <w:r>
              <w:rPr>
                <w:rFonts w:hint="eastAsia"/>
                <w:color w:val="auto"/>
                <w:highlight w:val="none"/>
                <w:lang w:eastAsia="zh-CN"/>
              </w:rPr>
              <w:t>采购人</w:t>
            </w:r>
            <w:r>
              <w:rPr>
                <w:rFonts w:hint="eastAsia"/>
                <w:color w:val="auto"/>
                <w:highlight w:val="none"/>
              </w:rPr>
              <w:t>相关工作人员可以正确使用。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1571" w:type="dxa"/>
            <w:tcBorders>
              <w:top w:val="single" w:color="auto" w:sz="6" w:space="0"/>
              <w:left w:val="single" w:color="auto" w:sz="12" w:space="0"/>
              <w:bottom w:val="single" w:color="auto" w:sz="12" w:space="0"/>
              <w:right w:val="single" w:color="auto" w:sz="6" w:space="0"/>
            </w:tcBorders>
            <w:vAlign w:val="center"/>
          </w:tcPr>
          <w:p>
            <w:pPr>
              <w:keepNext w:val="0"/>
              <w:keepLines w:val="0"/>
              <w:pageBreakBefore w:val="0"/>
              <w:widowControl w:val="0"/>
              <w:tabs>
                <w:tab w:val="left" w:pos="3234"/>
              </w:tabs>
              <w:kinsoku/>
              <w:wordWrap/>
              <w:overflowPunct/>
              <w:topLinePunct w:val="0"/>
              <w:autoSpaceDE/>
              <w:autoSpaceDN/>
              <w:bidi w:val="0"/>
              <w:adjustRightInd/>
              <w:snapToGrid/>
              <w:spacing w:line="336" w:lineRule="auto"/>
              <w:jc w:val="left"/>
              <w:rPr>
                <w:rFonts w:ascii="宋体" w:hAnsi="宋体" w:cs="宋体"/>
                <w:color w:val="auto"/>
                <w:szCs w:val="21"/>
                <w:highlight w:val="none"/>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、合同终止</w:t>
            </w:r>
          </w:p>
        </w:tc>
        <w:tc>
          <w:tcPr>
            <w:tcW w:w="6585" w:type="dxa"/>
            <w:tcBorders>
              <w:top w:val="single" w:color="auto" w:sz="6" w:space="0"/>
              <w:left w:val="single" w:color="auto" w:sz="6"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baseline"/>
              <w:rPr>
                <w:color w:val="auto"/>
                <w:highlight w:val="none"/>
              </w:rPr>
            </w:pPr>
            <w:r>
              <w:rPr>
                <w:rFonts w:hint="eastAsia" w:ascii="宋体" w:hAnsi="宋体" w:eastAsia="宋体" w:cs="宋体"/>
                <w:color w:val="auto"/>
                <w:sz w:val="21"/>
                <w:szCs w:val="21"/>
                <w:highlight w:val="none"/>
              </w:rPr>
              <w:t>中标人在合同有效期内，不得以任何理由终止合同，确有特殊情况的，须提前两个月向采购人提出书面申请，经采购人同意后，方可终止合同，同时酌情扣除履约保证金。因中标人不能保证工作质量，或发生重大差错事故的，采购人可有权终止协议，中标人承担全部责任。</w:t>
            </w:r>
          </w:p>
        </w:tc>
      </w:tr>
    </w:tbl>
    <w:p>
      <w:pPr>
        <w:numPr>
          <w:ilvl w:val="0"/>
          <w:numId w:val="0"/>
        </w:numPr>
        <w:spacing w:line="360" w:lineRule="auto"/>
        <w:rPr>
          <w:rFonts w:hint="eastAsia" w:ascii="宋体" w:hAnsi="宋体"/>
          <w:b/>
          <w:bCs/>
          <w:color w:val="auto"/>
          <w:kern w:val="0"/>
          <w:szCs w:val="21"/>
          <w:highlight w:val="none"/>
        </w:rPr>
      </w:pPr>
    </w:p>
    <w:p>
      <w:pPr>
        <w:pStyle w:val="114"/>
        <w:ind w:left="0" w:leftChars="0" w:firstLine="0" w:firstLineChars="0"/>
        <w:rPr>
          <w:rFonts w:hint="eastAsia" w:ascii="宋体" w:hAnsi="宋体"/>
          <w:b/>
          <w:bCs/>
          <w:color w:val="auto"/>
          <w:kern w:val="0"/>
          <w:szCs w:val="21"/>
          <w:highlight w:val="none"/>
        </w:rPr>
      </w:pPr>
    </w:p>
    <w:p>
      <w:pPr>
        <w:pStyle w:val="114"/>
        <w:ind w:left="0" w:leftChars="0" w:firstLine="0" w:firstLineChars="0"/>
        <w:rPr>
          <w:rFonts w:hint="eastAsia" w:ascii="宋体" w:hAnsi="宋体"/>
          <w:b/>
          <w:bCs/>
          <w:color w:val="auto"/>
          <w:kern w:val="0"/>
          <w:szCs w:val="21"/>
          <w:highlight w:val="none"/>
        </w:rPr>
      </w:pPr>
    </w:p>
    <w:p>
      <w:pPr>
        <w:numPr>
          <w:ilvl w:val="0"/>
          <w:numId w:val="0"/>
        </w:numPr>
        <w:spacing w:line="360" w:lineRule="auto"/>
        <w:rPr>
          <w:rFonts w:hint="eastAsia" w:ascii="宋体" w:hAnsi="宋体"/>
          <w:b/>
          <w:bCs/>
          <w:color w:val="auto"/>
          <w:kern w:val="0"/>
          <w:szCs w:val="21"/>
          <w:highlight w:val="none"/>
        </w:rPr>
      </w:pPr>
      <w:r>
        <w:rPr>
          <w:rFonts w:hint="eastAsia" w:ascii="宋体" w:hAnsi="宋体"/>
          <w:b/>
          <w:bCs/>
          <w:color w:val="auto"/>
          <w:kern w:val="0"/>
          <w:szCs w:val="21"/>
          <w:highlight w:val="none"/>
          <w:lang w:eastAsia="zh-CN"/>
        </w:rPr>
        <w:t>二、采购内容及数量</w:t>
      </w:r>
    </w:p>
    <w:tbl>
      <w:tblPr>
        <w:tblStyle w:val="26"/>
        <w:tblW w:w="8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4050"/>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序号</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货物名称</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医保工伤接口</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电子身份证就诊</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刷脸就医接口</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预约爽约功能</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等级医院评审</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集团内医共体改造（联众平台）</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两卡融合改造</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配合电子病历测评</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床管中心改造</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电子治疗单预约</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纳里健康接口</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81890接口</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物资接口</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登革热监测功能</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长三角地区门诊异地医保结算接口</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16</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在线取号</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17</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4+7带量采购药品</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18</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诊间专科退号功能</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19</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自助机退号功能</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医保诊断库与手术编码库升级</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21</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民政接口</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22</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港澳台取号</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23</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罕见病接口</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24</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云医院对接</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25</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2020年年包服务</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3"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26</w:t>
            </w:r>
          </w:p>
        </w:tc>
        <w:tc>
          <w:tcPr>
            <w:tcW w:w="4050"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其他需求类改造</w:t>
            </w:r>
          </w:p>
        </w:tc>
        <w:tc>
          <w:tcPr>
            <w:tcW w:w="3047" w:type="dxa"/>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1套</w:t>
            </w:r>
          </w:p>
        </w:tc>
      </w:tr>
    </w:tbl>
    <w:p>
      <w:pPr>
        <w:pStyle w:val="13"/>
        <w:numPr>
          <w:ilvl w:val="0"/>
          <w:numId w:val="0"/>
        </w:numPr>
        <w:rPr>
          <w:highlight w:val="none"/>
        </w:rPr>
      </w:pPr>
    </w:p>
    <w:p>
      <w:pPr>
        <w:spacing w:line="360" w:lineRule="auto"/>
        <w:ind w:firstLine="539" w:firstLineChars="257"/>
        <w:rPr>
          <w:rFonts w:ascii="宋体" w:hAnsi="宋体"/>
          <w:color w:val="auto"/>
          <w:szCs w:val="21"/>
          <w:highlight w:val="none"/>
        </w:rPr>
      </w:pPr>
    </w:p>
    <w:p>
      <w:pPr>
        <w:pStyle w:val="114"/>
        <w:rPr>
          <w:rFonts w:ascii="宋体" w:hAnsi="宋体"/>
          <w:color w:val="auto"/>
          <w:szCs w:val="21"/>
          <w:highlight w:val="none"/>
        </w:rPr>
      </w:pPr>
    </w:p>
    <w:p>
      <w:pPr>
        <w:numPr>
          <w:ilvl w:val="0"/>
          <w:numId w:val="0"/>
        </w:numPr>
        <w:spacing w:line="360" w:lineRule="auto"/>
        <w:rPr>
          <w:rFonts w:hint="eastAsia" w:ascii="宋体" w:hAnsi="宋体" w:cs="Times New Roman"/>
          <w:b/>
          <w:bCs/>
          <w:color w:val="auto"/>
          <w:kern w:val="0"/>
          <w:szCs w:val="21"/>
          <w:highlight w:val="none"/>
          <w:lang w:eastAsia="zh-CN"/>
        </w:rPr>
      </w:pPr>
      <w:r>
        <w:rPr>
          <w:rFonts w:hint="eastAsia" w:ascii="宋体" w:hAnsi="宋体" w:cs="Times New Roman"/>
          <w:b/>
          <w:bCs/>
          <w:color w:val="auto"/>
          <w:kern w:val="0"/>
          <w:szCs w:val="21"/>
          <w:highlight w:val="none"/>
          <w:lang w:eastAsia="zh-CN"/>
        </w:rPr>
        <w:t>三、产品具体参数要求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0"/>
        <w:rPr>
          <w:rFonts w:hint="eastAsia"/>
          <w:color w:val="auto"/>
          <w:sz w:val="21"/>
          <w:szCs w:val="21"/>
          <w:highlight w:val="none"/>
          <w:lang w:val="en-US" w:eastAsia="zh-CN"/>
        </w:rPr>
      </w:pPr>
      <w:r>
        <w:rPr>
          <w:rFonts w:hint="eastAsia"/>
          <w:color w:val="auto"/>
          <w:sz w:val="21"/>
          <w:szCs w:val="21"/>
          <w:highlight w:val="none"/>
          <w:lang w:val="en-US" w:eastAsia="zh-CN"/>
        </w:rPr>
        <w:t>1、医保工伤接口</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794"/>
        <w:gridCol w:w="5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宋体" w:hAnsi="宋体" w:cs="Times New Roman"/>
                <w:bCs/>
                <w:sz w:val="21"/>
                <w:szCs w:val="21"/>
                <w:highlight w:val="none"/>
              </w:rPr>
            </w:pPr>
            <w:r>
              <w:rPr>
                <w:rFonts w:hint="eastAsia" w:ascii="宋体" w:hAnsi="宋体" w:cs="Times New Roman"/>
                <w:bCs/>
                <w:sz w:val="21"/>
                <w:szCs w:val="21"/>
                <w:highlight w:val="none"/>
              </w:rPr>
              <w:t>序号</w:t>
            </w:r>
          </w:p>
        </w:tc>
        <w:tc>
          <w:tcPr>
            <w:tcW w:w="1794"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宋体" w:hAnsi="宋体" w:cs="Times New Roman"/>
                <w:bCs/>
                <w:sz w:val="21"/>
                <w:szCs w:val="21"/>
                <w:highlight w:val="none"/>
              </w:rPr>
            </w:pPr>
            <w:r>
              <w:rPr>
                <w:rFonts w:hint="eastAsia" w:ascii="宋体" w:hAnsi="宋体" w:cs="Times New Roman"/>
                <w:bCs/>
                <w:sz w:val="21"/>
                <w:szCs w:val="21"/>
                <w:highlight w:val="none"/>
              </w:rPr>
              <w:t>功能模块</w:t>
            </w:r>
          </w:p>
        </w:tc>
        <w:tc>
          <w:tcPr>
            <w:tcW w:w="5751"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ascii="宋体" w:hAnsi="宋体" w:cs="Times New Roman"/>
                <w:bCs/>
                <w:sz w:val="21"/>
                <w:szCs w:val="21"/>
                <w:highlight w:val="none"/>
              </w:rPr>
            </w:pPr>
            <w:r>
              <w:rPr>
                <w:rFonts w:hint="eastAsia" w:ascii="宋体" w:hAnsi="宋体" w:cs="Times New Roman"/>
                <w:bCs/>
                <w:sz w:val="21"/>
                <w:szCs w:val="21"/>
                <w:highlight w:val="none"/>
              </w:rPr>
              <w:t>详细参数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ascii="宋体" w:hAnsi="宋体" w:eastAsia="宋体" w:cs="宋体"/>
                <w:bCs/>
                <w:kern w:val="0"/>
                <w:sz w:val="21"/>
                <w:szCs w:val="21"/>
                <w:highlight w:val="none"/>
                <w:lang w:val="en-US" w:eastAsia="zh-CN" w:bidi="ar-SA"/>
              </w:rPr>
              <w:t>1</w:t>
            </w:r>
          </w:p>
        </w:tc>
        <w:tc>
          <w:tcPr>
            <w:tcW w:w="179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卡类型及读卡改造</w:t>
            </w: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新增工伤卡类型。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179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读卡功能增加工伤读卡。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ascii="宋体" w:hAnsi="宋体" w:eastAsia="宋体" w:cs="宋体"/>
                <w:bCs/>
                <w:kern w:val="0"/>
                <w:sz w:val="21"/>
                <w:szCs w:val="21"/>
                <w:highlight w:val="none"/>
                <w:lang w:val="en-US" w:eastAsia="zh-CN" w:bidi="ar-SA"/>
              </w:rPr>
              <w:t>2</w:t>
            </w:r>
          </w:p>
        </w:tc>
        <w:tc>
          <w:tcPr>
            <w:tcW w:w="179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工伤账户查询</w:t>
            </w: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新增医保工伤账户查询交易。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179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账户查询界面增加工伤账户查询。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ascii="宋体" w:hAnsi="宋体" w:eastAsia="宋体" w:cs="宋体"/>
                <w:bCs/>
                <w:kern w:val="0"/>
                <w:sz w:val="21"/>
                <w:szCs w:val="21"/>
                <w:highlight w:val="none"/>
                <w:lang w:val="en-US" w:eastAsia="zh-CN" w:bidi="ar-SA"/>
              </w:rPr>
              <w:t>3</w:t>
            </w:r>
          </w:p>
        </w:tc>
        <w:tc>
          <w:tcPr>
            <w:tcW w:w="179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住院登记</w:t>
            </w: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根据卡类型增加工伤账户查询。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179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医保登记增加工伤登记类型和结算类型支持。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179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医保登记根据账户查询自动过滤登记类型和结算类型。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ascii="宋体" w:hAnsi="宋体" w:eastAsia="宋体" w:cs="宋体"/>
                <w:bCs/>
                <w:kern w:val="0"/>
                <w:sz w:val="21"/>
                <w:szCs w:val="21"/>
                <w:highlight w:val="none"/>
                <w:lang w:val="en-US" w:eastAsia="zh-CN" w:bidi="ar-SA"/>
              </w:rPr>
              <w:t>4</w:t>
            </w:r>
          </w:p>
        </w:tc>
        <w:tc>
          <w:tcPr>
            <w:tcW w:w="179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住院明细上传</w:t>
            </w: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新增工伤住院明细上传。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ascii="宋体" w:hAnsi="宋体" w:eastAsia="宋体" w:cs="宋体"/>
                <w:bCs/>
                <w:kern w:val="0"/>
                <w:sz w:val="21"/>
                <w:szCs w:val="21"/>
                <w:highlight w:val="none"/>
                <w:lang w:val="en-US" w:eastAsia="zh-CN" w:bidi="ar-SA"/>
              </w:rPr>
              <w:t>5</w:t>
            </w:r>
          </w:p>
        </w:tc>
        <w:tc>
          <w:tcPr>
            <w:tcW w:w="179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住院结算</w:t>
            </w: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新增住院工伤结算。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ascii="宋体" w:hAnsi="宋体" w:eastAsia="宋体" w:cs="宋体"/>
                <w:bCs/>
                <w:kern w:val="0"/>
                <w:sz w:val="21"/>
                <w:szCs w:val="21"/>
                <w:highlight w:val="none"/>
                <w:lang w:val="en-US" w:eastAsia="zh-CN" w:bidi="ar-SA"/>
              </w:rPr>
              <w:t>6</w:t>
            </w:r>
          </w:p>
        </w:tc>
        <w:tc>
          <w:tcPr>
            <w:tcW w:w="179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住院发票调整</w:t>
            </w: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结算发票格式调整。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179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发票重打补打格式调整。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ascii="宋体" w:hAnsi="宋体" w:eastAsia="宋体" w:cs="宋体"/>
                <w:bCs/>
                <w:kern w:val="0"/>
                <w:sz w:val="21"/>
                <w:szCs w:val="21"/>
                <w:highlight w:val="none"/>
                <w:lang w:val="en-US" w:eastAsia="zh-CN" w:bidi="ar-SA"/>
              </w:rPr>
              <w:t>7</w:t>
            </w:r>
          </w:p>
        </w:tc>
        <w:tc>
          <w:tcPr>
            <w:tcW w:w="179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工伤院外检查</w:t>
            </w: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门诊挂号增加工伤院外检查。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179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门诊发票格式增加工伤院外检查。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ascii="宋体" w:hAnsi="宋体" w:eastAsia="宋体" w:cs="宋体"/>
                <w:bCs/>
                <w:kern w:val="0"/>
                <w:sz w:val="21"/>
                <w:szCs w:val="21"/>
                <w:highlight w:val="none"/>
                <w:lang w:val="en-US" w:eastAsia="zh-CN" w:bidi="ar-SA"/>
              </w:rPr>
              <w:t>8</w:t>
            </w:r>
          </w:p>
        </w:tc>
        <w:tc>
          <w:tcPr>
            <w:tcW w:w="179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结算报表</w:t>
            </w: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现有结算报表增加工伤相关结算类型。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left"/>
              <w:textAlignment w:val="auto"/>
              <w:rPr>
                <w:rFonts w:ascii="宋体" w:hAnsi="宋体" w:cs="宋体"/>
                <w:bCs/>
                <w:sz w:val="21"/>
                <w:szCs w:val="21"/>
                <w:highlight w:val="none"/>
              </w:rPr>
            </w:pPr>
          </w:p>
        </w:tc>
        <w:tc>
          <w:tcPr>
            <w:tcW w:w="179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ascii="宋体" w:hAnsi="宋体" w:cs="宋体"/>
                <w:bCs/>
                <w:sz w:val="21"/>
                <w:szCs w:val="21"/>
                <w:highlight w:val="none"/>
              </w:rPr>
            </w:pPr>
          </w:p>
        </w:tc>
        <w:tc>
          <w:tcPr>
            <w:tcW w:w="575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新增独立工伤结算报表。</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0" w:beforeLines="100" w:line="360" w:lineRule="auto"/>
        <w:ind w:firstLine="0" w:firstLine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电子身份证就诊</w:t>
      </w:r>
    </w:p>
    <w:tbl>
      <w:tblPr>
        <w:tblStyle w:val="26"/>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85"/>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序号</w:t>
            </w:r>
          </w:p>
        </w:tc>
        <w:tc>
          <w:tcPr>
            <w:tcW w:w="17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功能要求</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w:t>
            </w:r>
          </w:p>
        </w:tc>
        <w:tc>
          <w:tcPr>
            <w:tcW w:w="17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电子身份证</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支持患者通过电子身份证进行挂号就诊。</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0" w:beforeLines="100" w:line="360" w:lineRule="auto"/>
        <w:ind w:left="0" w:leftChars="0" w:firstLine="0" w:firstLine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刷脸就医接口</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4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序号</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功能要求</w:t>
            </w:r>
          </w:p>
        </w:tc>
        <w:tc>
          <w:tcPr>
            <w:tcW w:w="57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w:t>
            </w:r>
          </w:p>
        </w:tc>
        <w:tc>
          <w:tcPr>
            <w:tcW w:w="174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总体要求</w:t>
            </w: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完成与刷脸支付的对接，实现在医院不同场景就医，支持刷脸支付的模式。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center"/>
              <w:textAlignment w:val="auto"/>
              <w:rPr>
                <w:rFonts w:hint="default" w:ascii="宋体" w:hAnsi="宋体" w:eastAsia="宋体" w:cs="宋体"/>
                <w:kern w:val="0"/>
                <w:sz w:val="21"/>
                <w:szCs w:val="21"/>
                <w:highlight w:val="none"/>
                <w:lang w:val="en-US" w:eastAsia="zh-CN" w:bidi="ar-SA"/>
              </w:rPr>
            </w:pPr>
            <w:r>
              <w:rPr>
                <w:rFonts w:hint="eastAsia" w:ascii="宋体" w:hAnsi="宋体" w:cs="宋体"/>
                <w:kern w:val="0"/>
                <w:sz w:val="21"/>
                <w:szCs w:val="21"/>
                <w:highlight w:val="none"/>
                <w:lang w:val="en-US" w:eastAsia="zh-CN" w:bidi="ar-SA"/>
              </w:rPr>
              <w:t>2</w:t>
            </w:r>
          </w:p>
        </w:tc>
        <w:tc>
          <w:tcPr>
            <w:tcW w:w="174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highlight w:val="none"/>
                <w:lang w:val="en-US" w:eastAsia="zh-CN" w:bidi="ar-SA"/>
              </w:rPr>
            </w:pPr>
          </w:p>
        </w:tc>
        <w:tc>
          <w:tcPr>
            <w:tcW w:w="57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完成H</w:t>
            </w:r>
            <w:r>
              <w:rPr>
                <w:rFonts w:ascii="宋体" w:hAnsi="宋体" w:eastAsia="宋体" w:cs="宋体"/>
                <w:kern w:val="0"/>
                <w:sz w:val="21"/>
                <w:szCs w:val="21"/>
                <w:highlight w:val="none"/>
                <w:lang w:val="en-US" w:eastAsia="zh-CN" w:bidi="ar-SA"/>
              </w:rPr>
              <w:t>IS</w:t>
            </w:r>
            <w:r>
              <w:rPr>
                <w:rFonts w:hint="eastAsia" w:ascii="宋体" w:hAnsi="宋体" w:eastAsia="宋体" w:cs="宋体"/>
                <w:kern w:val="0"/>
                <w:sz w:val="21"/>
                <w:szCs w:val="21"/>
                <w:highlight w:val="none"/>
                <w:lang w:val="en-US" w:eastAsia="zh-CN" w:bidi="ar-SA"/>
              </w:rPr>
              <w:t>系统改造，实现窗口、自助终端、诊区以及其他应用模块实现刷脸服务的接入。</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0" w:beforeLines="100" w:line="360" w:lineRule="auto"/>
        <w:ind w:left="0" w:leftChars="0" w:firstLine="0" w:firstLine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预约爽约功能</w:t>
      </w:r>
    </w:p>
    <w:tbl>
      <w:tblPr>
        <w:tblStyle w:val="26"/>
        <w:tblW w:w="5061"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1530"/>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0" w:type="pct"/>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906" w:type="pct"/>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3543" w:type="pct"/>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0" w:type="pct"/>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906" w:type="pct"/>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总体要求</w:t>
            </w:r>
          </w:p>
        </w:tc>
        <w:tc>
          <w:tcPr>
            <w:tcW w:w="3543" w:type="pct"/>
            <w:tcMar>
              <w:top w:w="15" w:type="dxa"/>
              <w:left w:w="15" w:type="dxa"/>
              <w:bottom w:w="15" w:type="dxa"/>
              <w:right w:w="15" w:type="dxa"/>
            </w:tcMar>
            <w:vAlign w:val="center"/>
          </w:tcPr>
          <w:p>
            <w:pPr>
              <w:widowControl/>
              <w:spacing w:line="360" w:lineRule="auto"/>
              <w:jc w:val="both"/>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实现爽约黑白名单功能</w:t>
            </w:r>
            <w:r>
              <w:rPr>
                <w:rFonts w:hint="eastAsia" w:ascii="宋体" w:hAnsi="宋体" w:eastAsia="宋体" w:cs="Times New Roman"/>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0" w:type="pct"/>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906" w:type="pct"/>
            <w:vMerge w:val="restart"/>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建设内容</w:t>
            </w:r>
          </w:p>
        </w:tc>
        <w:tc>
          <w:tcPr>
            <w:tcW w:w="3543" w:type="pct"/>
            <w:tcMar>
              <w:top w:w="15" w:type="dxa"/>
              <w:left w:w="15" w:type="dxa"/>
              <w:bottom w:w="15" w:type="dxa"/>
              <w:right w:w="15" w:type="dxa"/>
            </w:tcMar>
            <w:vAlign w:val="center"/>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利用预约平台下发的黑名单数据</w:t>
            </w:r>
            <w:r>
              <w:rPr>
                <w:rFonts w:ascii="宋体" w:hAnsi="宋体" w:cs="Times New Roman"/>
                <w:sz w:val="21"/>
                <w:szCs w:val="21"/>
                <w:highlight w:val="none"/>
              </w:rPr>
              <w:t>建立</w:t>
            </w:r>
            <w:r>
              <w:rPr>
                <w:rFonts w:hint="eastAsia" w:ascii="宋体" w:hAnsi="宋体" w:cs="Times New Roman"/>
                <w:sz w:val="21"/>
                <w:szCs w:val="21"/>
                <w:highlight w:val="none"/>
              </w:rPr>
              <w:t>黑名单机制</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0" w:type="pct"/>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3</w:t>
            </w:r>
          </w:p>
        </w:tc>
        <w:tc>
          <w:tcPr>
            <w:tcW w:w="906" w:type="pct"/>
            <w:vMerge w:val="continue"/>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3" w:type="pct"/>
            <w:tcMar>
              <w:top w:w="15" w:type="dxa"/>
              <w:left w:w="15" w:type="dxa"/>
              <w:bottom w:w="15" w:type="dxa"/>
              <w:right w:w="15" w:type="dxa"/>
            </w:tcMar>
            <w:vAlign w:val="center"/>
          </w:tcPr>
          <w:p>
            <w:pPr>
              <w:rPr>
                <w:rFonts w:hint="eastAsia" w:ascii="宋体" w:hAnsi="宋体" w:eastAsia="宋体" w:cs="Times New Roman"/>
                <w:sz w:val="21"/>
                <w:szCs w:val="21"/>
                <w:highlight w:val="none"/>
                <w:lang w:eastAsia="zh-CN"/>
              </w:rPr>
            </w:pPr>
            <w:r>
              <w:rPr>
                <w:rFonts w:ascii="宋体" w:hAnsi="宋体" w:cs="Times New Roman"/>
                <w:sz w:val="21"/>
                <w:szCs w:val="21"/>
                <w:highlight w:val="none"/>
              </w:rPr>
              <w:t>黑名单居民进行预约控制</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0" w:type="pct"/>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4</w:t>
            </w:r>
          </w:p>
        </w:tc>
        <w:tc>
          <w:tcPr>
            <w:tcW w:w="906" w:type="pct"/>
            <w:vMerge w:val="continue"/>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3" w:type="pct"/>
            <w:tcMar>
              <w:top w:w="15" w:type="dxa"/>
              <w:left w:w="15" w:type="dxa"/>
              <w:bottom w:w="15" w:type="dxa"/>
              <w:right w:w="15" w:type="dxa"/>
            </w:tcMar>
            <w:vAlign w:val="center"/>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建立</w:t>
            </w:r>
            <w:r>
              <w:rPr>
                <w:rFonts w:ascii="宋体" w:hAnsi="宋体" w:cs="Times New Roman"/>
                <w:sz w:val="21"/>
                <w:szCs w:val="21"/>
                <w:highlight w:val="none"/>
              </w:rPr>
              <w:t>爽约机制</w:t>
            </w:r>
            <w:r>
              <w:rPr>
                <w:rFonts w:hint="eastAsia" w:ascii="宋体" w:hAnsi="宋体" w:cs="Times New Roman"/>
                <w:sz w:val="21"/>
                <w:szCs w:val="21"/>
                <w:highlight w:val="none"/>
              </w:rPr>
              <w:t>，取号</w:t>
            </w:r>
            <w:r>
              <w:rPr>
                <w:rFonts w:ascii="宋体" w:hAnsi="宋体" w:cs="Times New Roman"/>
                <w:sz w:val="21"/>
                <w:szCs w:val="21"/>
                <w:highlight w:val="none"/>
              </w:rPr>
              <w:t>超过</w:t>
            </w:r>
            <w:r>
              <w:rPr>
                <w:rFonts w:hint="eastAsia" w:ascii="宋体" w:hAnsi="宋体" w:cs="Times New Roman"/>
                <w:sz w:val="21"/>
                <w:szCs w:val="21"/>
                <w:highlight w:val="none"/>
              </w:rPr>
              <w:t>30分钟，变成爽约，自动作废这个号源</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0" w:type="pct"/>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5</w:t>
            </w:r>
          </w:p>
        </w:tc>
        <w:tc>
          <w:tcPr>
            <w:tcW w:w="906" w:type="pct"/>
            <w:vMerge w:val="continue"/>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3" w:type="pct"/>
            <w:tcMar>
              <w:top w:w="15" w:type="dxa"/>
              <w:left w:w="15" w:type="dxa"/>
              <w:bottom w:w="15" w:type="dxa"/>
              <w:right w:w="15" w:type="dxa"/>
            </w:tcMar>
            <w:vAlign w:val="center"/>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黑名单居民自助</w:t>
            </w:r>
            <w:r>
              <w:rPr>
                <w:rFonts w:ascii="宋体" w:hAnsi="宋体" w:cs="Times New Roman"/>
                <w:sz w:val="21"/>
                <w:szCs w:val="21"/>
                <w:highlight w:val="none"/>
              </w:rPr>
              <w:t>取号</w:t>
            </w:r>
            <w:r>
              <w:rPr>
                <w:rFonts w:hint="eastAsia" w:ascii="宋体" w:hAnsi="宋体" w:cs="Times New Roman"/>
                <w:sz w:val="21"/>
                <w:szCs w:val="21"/>
                <w:highlight w:val="none"/>
              </w:rPr>
              <w:t>时显示相关提示，无法取号</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0" w:type="pct"/>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6</w:t>
            </w:r>
          </w:p>
        </w:tc>
        <w:tc>
          <w:tcPr>
            <w:tcW w:w="906" w:type="pct"/>
            <w:vMerge w:val="continue"/>
            <w:tcMar>
              <w:top w:w="15" w:type="dxa"/>
              <w:left w:w="15" w:type="dxa"/>
              <w:bottom w:w="15" w:type="dxa"/>
              <w:right w:w="15" w:type="dxa"/>
            </w:tcMar>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3" w:type="pct"/>
            <w:tcMar>
              <w:top w:w="15" w:type="dxa"/>
              <w:left w:w="15" w:type="dxa"/>
              <w:bottom w:w="15" w:type="dxa"/>
              <w:right w:w="15" w:type="dxa"/>
            </w:tcMar>
            <w:vAlign w:val="center"/>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预约成功提醒信息调整</w:t>
            </w:r>
            <w:r>
              <w:rPr>
                <w:rFonts w:hint="eastAsia" w:ascii="宋体" w:hAnsi="宋体" w:cs="Times New Roman"/>
                <w:sz w:val="21"/>
                <w:szCs w:val="21"/>
                <w:highlight w:val="none"/>
                <w:lang w:eastAsia="zh-CN"/>
              </w:rPr>
              <w:t>。</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0" w:beforeLines="100" w:line="360" w:lineRule="auto"/>
        <w:ind w:left="0" w:leftChars="0" w:firstLine="0" w:firstLine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等级医院评审</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1575"/>
        <w:gridCol w:w="5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97" w:type="dxa"/>
            <w:tcBorders>
              <w:top w:val="single" w:color="auto" w:sz="4" w:space="0"/>
              <w:left w:val="single" w:color="auto" w:sz="4" w:space="0"/>
              <w:bottom w:val="single" w:color="auto" w:sz="4" w:space="0"/>
              <w:right w:val="single" w:color="auto" w:sz="4" w:space="0"/>
            </w:tcBorders>
            <w:vAlign w:val="center"/>
          </w:tcPr>
          <w:p>
            <w:pPr>
              <w:pStyle w:val="114"/>
              <w:numPr>
                <w:ilvl w:val="0"/>
                <w:numId w:val="0"/>
              </w:numPr>
              <w:ind w:leftChars="0"/>
              <w:jc w:val="center"/>
              <w:rPr>
                <w:rFonts w:hint="eastAsia"/>
                <w:highlight w:val="none"/>
                <w:lang w:val="en-US" w:eastAsia="zh-CN"/>
              </w:rPr>
            </w:pPr>
            <w:r>
              <w:rPr>
                <w:rFonts w:hint="eastAsia"/>
                <w:highlight w:val="none"/>
                <w:lang w:val="en-US" w:eastAsia="zh-CN"/>
              </w:rPr>
              <w:t>序号</w:t>
            </w:r>
          </w:p>
        </w:tc>
        <w:tc>
          <w:tcPr>
            <w:tcW w:w="1575" w:type="dxa"/>
            <w:tcBorders>
              <w:top w:val="single" w:color="auto" w:sz="4" w:space="0"/>
              <w:left w:val="single" w:color="auto" w:sz="4" w:space="0"/>
              <w:bottom w:val="single" w:color="auto" w:sz="4" w:space="0"/>
              <w:right w:val="single" w:color="auto" w:sz="4" w:space="0"/>
            </w:tcBorders>
            <w:vAlign w:val="center"/>
          </w:tcPr>
          <w:p>
            <w:pPr>
              <w:pStyle w:val="114"/>
              <w:numPr>
                <w:ilvl w:val="0"/>
                <w:numId w:val="0"/>
              </w:numPr>
              <w:ind w:leftChars="0"/>
              <w:jc w:val="center"/>
              <w:rPr>
                <w:rFonts w:hint="eastAsia"/>
                <w:highlight w:val="none"/>
                <w:lang w:val="en-US" w:eastAsia="zh-CN"/>
              </w:rPr>
            </w:pPr>
            <w:r>
              <w:rPr>
                <w:rFonts w:hint="eastAsia"/>
                <w:highlight w:val="none"/>
                <w:lang w:val="en-US" w:eastAsia="zh-CN"/>
              </w:rPr>
              <w:t>功能要求</w:t>
            </w:r>
          </w:p>
        </w:tc>
        <w:tc>
          <w:tcPr>
            <w:tcW w:w="5970" w:type="dxa"/>
            <w:tcBorders>
              <w:top w:val="single" w:color="auto" w:sz="4" w:space="0"/>
              <w:left w:val="single" w:color="auto" w:sz="4" w:space="0"/>
              <w:bottom w:val="single" w:color="auto" w:sz="4" w:space="0"/>
              <w:right w:val="single" w:color="auto" w:sz="4" w:space="0"/>
            </w:tcBorders>
            <w:noWrap/>
            <w:vAlign w:val="center"/>
          </w:tcPr>
          <w:p>
            <w:pPr>
              <w:pStyle w:val="114"/>
              <w:numPr>
                <w:ilvl w:val="0"/>
                <w:numId w:val="0"/>
              </w:numPr>
              <w:ind w:leftChars="0"/>
              <w:jc w:val="center"/>
              <w:rPr>
                <w:rFonts w:hint="eastAsia"/>
                <w:highlight w:val="none"/>
                <w:lang w:val="en-US" w:eastAsia="zh-CN"/>
              </w:rPr>
            </w:pPr>
            <w:r>
              <w:rPr>
                <w:rFonts w:hint="eastAsia"/>
                <w:highlight w:val="none"/>
                <w:lang w:val="en-US" w:eastAsia="zh-CN"/>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97" w:type="dxa"/>
            <w:tcBorders>
              <w:top w:val="single" w:color="auto" w:sz="4" w:space="0"/>
              <w:left w:val="single" w:color="auto" w:sz="4" w:space="0"/>
              <w:bottom w:val="single" w:color="auto" w:sz="4" w:space="0"/>
              <w:right w:val="single" w:color="auto" w:sz="4" w:space="0"/>
            </w:tcBorders>
            <w:vAlign w:val="center"/>
          </w:tcPr>
          <w:p>
            <w:pPr>
              <w:pStyle w:val="114"/>
              <w:numPr>
                <w:ilvl w:val="0"/>
                <w:numId w:val="0"/>
              </w:numPr>
              <w:ind w:leftChars="0"/>
              <w:jc w:val="center"/>
              <w:rPr>
                <w:rFonts w:hint="eastAsia"/>
                <w:highlight w:val="none"/>
                <w:lang w:val="en-US" w:eastAsia="zh-CN"/>
              </w:rPr>
            </w:pPr>
            <w:r>
              <w:rPr>
                <w:rFonts w:hint="eastAsia"/>
                <w:highlight w:val="none"/>
                <w:lang w:val="en-US" w:eastAsia="zh-CN"/>
              </w:rPr>
              <w:t>1</w:t>
            </w:r>
          </w:p>
        </w:tc>
        <w:tc>
          <w:tcPr>
            <w:tcW w:w="1575" w:type="dxa"/>
            <w:tcBorders>
              <w:top w:val="single" w:color="auto" w:sz="4" w:space="0"/>
              <w:left w:val="single" w:color="auto" w:sz="4" w:space="0"/>
              <w:bottom w:val="single" w:color="auto" w:sz="4" w:space="0"/>
              <w:right w:val="single" w:color="auto" w:sz="4" w:space="0"/>
            </w:tcBorders>
            <w:vAlign w:val="center"/>
          </w:tcPr>
          <w:p>
            <w:pPr>
              <w:pStyle w:val="114"/>
              <w:numPr>
                <w:ilvl w:val="0"/>
                <w:numId w:val="0"/>
              </w:numPr>
              <w:ind w:leftChars="0"/>
              <w:jc w:val="center"/>
              <w:rPr>
                <w:rFonts w:hint="eastAsia"/>
                <w:highlight w:val="none"/>
                <w:lang w:val="en-US" w:eastAsia="zh-CN"/>
              </w:rPr>
            </w:pPr>
            <w:r>
              <w:rPr>
                <w:rFonts w:hint="eastAsia"/>
                <w:highlight w:val="none"/>
                <w:lang w:val="en-US" w:eastAsia="zh-CN"/>
              </w:rPr>
              <w:t>评审协助</w:t>
            </w:r>
          </w:p>
        </w:tc>
        <w:tc>
          <w:tcPr>
            <w:tcW w:w="5970" w:type="dxa"/>
            <w:tcBorders>
              <w:top w:val="single" w:color="auto" w:sz="4" w:space="0"/>
              <w:left w:val="single" w:color="auto" w:sz="4" w:space="0"/>
              <w:bottom w:val="single" w:color="auto" w:sz="4" w:space="0"/>
              <w:right w:val="single" w:color="auto" w:sz="4" w:space="0"/>
            </w:tcBorders>
            <w:noWrap/>
            <w:vAlign w:val="center"/>
          </w:tcPr>
          <w:p>
            <w:pPr>
              <w:pStyle w:val="114"/>
              <w:numPr>
                <w:ilvl w:val="0"/>
                <w:numId w:val="0"/>
              </w:numPr>
              <w:ind w:leftChars="0"/>
              <w:rPr>
                <w:rFonts w:hint="eastAsia"/>
                <w:highlight w:val="none"/>
                <w:lang w:val="en-US" w:eastAsia="zh-CN"/>
              </w:rPr>
            </w:pPr>
            <w:r>
              <w:rPr>
                <w:rFonts w:hint="eastAsia"/>
                <w:highlight w:val="none"/>
                <w:lang w:val="en-US" w:eastAsia="zh-CN"/>
              </w:rPr>
              <w:t>中标人需提供三甲医院等级评审协助工作，协助医院进行评审测评工作开展。</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0" w:beforeLines="100" w:line="360" w:lineRule="auto"/>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集团内医共体改造（联众平台）</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590"/>
        <w:gridCol w:w="5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6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宋体"/>
                <w:b/>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宋体"/>
                <w:b/>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597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eastAsia="宋体" w:cs="宋体"/>
                <w:b/>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总体要求</w:t>
            </w:r>
          </w:p>
        </w:tc>
        <w:tc>
          <w:tcPr>
            <w:tcW w:w="597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实现第一医院集团内双向转诊业务。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预约挂号</w:t>
            </w:r>
          </w:p>
        </w:tc>
        <w:tc>
          <w:tcPr>
            <w:tcW w:w="597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五家医院互转，对接集团内信息平台，HIS提供视图和存储过程并做功能集成.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3</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预约检查</w:t>
            </w:r>
          </w:p>
        </w:tc>
        <w:tc>
          <w:tcPr>
            <w:tcW w:w="597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其他四级医院转第一医院，对接集团内信息平台，第一医院HIS提供视图和服务。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4</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预约住院</w:t>
            </w:r>
          </w:p>
        </w:tc>
        <w:tc>
          <w:tcPr>
            <w:tcW w:w="597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五家医院互转，对接集团内信息平台，HIS提供视图和存储过程并做功能集成。</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0" w:beforeLines="100" w:line="360" w:lineRule="auto"/>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两卡融合改造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7.1浙江省电子健康卡就诊项目</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590"/>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2"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宋体"/>
                <w:b/>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宋体"/>
                <w:b/>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eastAsia="宋体" w:cs="宋体"/>
                <w:b/>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bCs/>
                <w:kern w:val="0"/>
                <w:sz w:val="21"/>
                <w:szCs w:val="21"/>
                <w:highlight w:val="none"/>
                <w:lang w:val="en-US" w:eastAsia="zh-CN" w:bidi="ar-SA"/>
              </w:rPr>
            </w:pPr>
            <w:r>
              <w:rPr>
                <w:rFonts w:hint="eastAsia" w:ascii="宋体" w:hAnsi="宋体" w:eastAsia="宋体" w:cs="Times New Roman"/>
                <w:bCs/>
                <w:kern w:val="0"/>
                <w:sz w:val="21"/>
                <w:szCs w:val="21"/>
                <w:highlight w:val="none"/>
                <w:lang w:val="en-US" w:eastAsia="zh-CN" w:bidi="ar-SA"/>
              </w:rPr>
              <w:t>1</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基本要求</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实现患者使用浙江省电子健康卡进行就诊。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读卡器前置服务</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前置服务接收读卡功能传入的动态二维码，调用省平台的身份验证交易，验证身份合法性并读取相关信息，并且返回结果给调用方。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3</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门诊挂号</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增加居民电子健康卡扫码功能，扫码获取二维码后调用读卡前置服务获取病人的身份信息，根据明确的身份信息开展门诊挂号业务。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4</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门诊收费</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增加居民电子健康卡扫码功能，扫码获取二维码后调用读卡前置服务获取病人的身份信息，根据明确的身份信息开展门诊收费业务。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5</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诊间接诊</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增加居民电子健康卡扫码功能，扫码获取二维码后调用读卡前置服务获取病人的身份信息，根据明确的身份信息开展诊间接诊业务。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6</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诊间结算</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增加居民电子健康卡扫码功能，扫码获取二维码后调用读卡前置服务获取病人的身份信息，根据明确的身份信息开展诊间结算业务。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7</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入院登记</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增加居民电子健康卡扫码功能，扫码获取二维码后调用读卡前置服务获取病人的身份信息，根据明确的身份信息开展入院登记业务。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8</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出院结算</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增加居民电子健康卡扫码功能，扫码获取二维码后调用读卡前置服务获取病人的身份信息，根据明确的身份信息开展出院结算业务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9</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自助机读卡改造</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增加居民电子健康卡扫码功能，扫码获取二维码后调用读卡前置服务获取病人的身份信息，根据明确的身份信息开展相关自助服务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82"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10</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健康卡信息查询功能</w:t>
            </w:r>
          </w:p>
        </w:tc>
        <w:tc>
          <w:tcPr>
            <w:tcW w:w="5985"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HIS系统提供居民电子健康卡卡信息查询功能，针对已经在医院使用过居民电子健康卡的病人提供查询界面</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7.2浙江省电子健康卡支付项目</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749"/>
        <w:gridCol w:w="1111"/>
        <w:gridCol w:w="4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b/>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序号</w:t>
            </w:r>
          </w:p>
        </w:tc>
        <w:tc>
          <w:tcPr>
            <w:tcW w:w="1025"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bCs/>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功能要求</w:t>
            </w:r>
          </w:p>
        </w:tc>
        <w:tc>
          <w:tcPr>
            <w:tcW w:w="355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w:t>
            </w:r>
          </w:p>
        </w:tc>
        <w:tc>
          <w:tcPr>
            <w:tcW w:w="1025"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基本要求</w:t>
            </w:r>
          </w:p>
        </w:tc>
        <w:tc>
          <w:tcPr>
            <w:tcW w:w="3551" w:type="pct"/>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实现患者能够使用浙江省电子健康卡进行支付。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w:t>
            </w:r>
          </w:p>
        </w:tc>
        <w:tc>
          <w:tcPr>
            <w:tcW w:w="1025"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统一支付平台改造</w:t>
            </w:r>
          </w:p>
        </w:tc>
        <w:tc>
          <w:tcPr>
            <w:tcW w:w="3551" w:type="pct"/>
            <w:gridSpan w:val="2"/>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通过电子健康卡支付平台的订单推送、订单撤销、订单退款及支付(退款)成功回调服务进行数据交互，实现电子健康卡支付和退款的功能。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对账核查</w:t>
            </w: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提供电子健康卡支付对账功能。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提供电子健康卡异常账目的错账核查功能。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提供电子健康卡的错账处理功能。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支付对账提供定时的自动化对账和实时的人工对账两种模式。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7</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异常账目提供清晰条目化的交易信息，便于核查每笔交易的状态并针对错账提供退款操作，保持账目持平。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报表体系</w:t>
            </w: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提供独立的电子健康卡支付的交易汇总统计和交易明细统计，协助医院财务人员根据时间段进行医院收入情况分析以及详细的每笔交易状况分析。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9</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汇总分析：支持按日期、医疗机构分别统计电子健康卡支付平台的交易金额、交易笔数、退款金额与退款笔数。提供不同医疗机构当天收入汇总报表，按日期统计交易金额、退款金额。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10</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明细分析：支持按日期、医疗机构统计电子健康卡支付平台的交易明细，包括成功交易明细、退款交易明细等。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11</w:t>
            </w:r>
          </w:p>
        </w:tc>
        <w:tc>
          <w:tcPr>
            <w:tcW w:w="1025"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HIS系统改造</w:t>
            </w:r>
          </w:p>
        </w:tc>
        <w:tc>
          <w:tcPr>
            <w:tcW w:w="65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门诊窗口支付</w:t>
            </w: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在门诊挂号和收费窗口，使用电子健康卡就诊的患者，新增电子健康卡支付方式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12</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患者扫码确认支付后，收费程序同步等待统一支付平台通知支付结果，如果支付成功则打印发票及其他票据，如果支付失败返回预结算界面提示选择其他支付方式进行支付。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13</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在门诊发票打印中增加健康卡支付显示。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14</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医生诊间支付</w:t>
            </w: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在门诊医生就诊中，使用电子健康卡就诊的患者，在诊间结算时增加电子健康卡支付方式。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15</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患者扫码确认支付后，诊间结算程序同步等待统一支付平台通知支付结果，如果支付成功则打印诊间凭证，如果支付失败返回预结算界面提示选择其他支付方式进行支付。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16</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在诊间凭证打印中增加健康卡支付显示。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17</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住院窗口支付</w:t>
            </w: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在住院预交款充值和住院结算窗口，使用电子健康卡就诊的患者，新增电子健康卡支付方式。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18</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患者扫码确认支付后，收费程序同步等待统一支付平台通知支付结果，如果支付成功则打印发票及其他票据，如果支付失败返回预结界面提示选择其他支付方式进行支付。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19</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在住院发票和预交款凭证打印中增加健康卡支付显示。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20</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自助机支付接口</w:t>
            </w: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自助机支付方式增加电子健康卡支付，通过自助机内置的扫码墩进行扫码支付。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21</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支付成功后提供带有支付方式的支付凭证。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22</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报表体系升级</w:t>
            </w: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门诊类报表：提供包含电子健康卡收入和交易记录的门诊日报表和门诊收入报表。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 w:type="pct"/>
            <w:tcBorders>
              <w:top w:val="single" w:color="auto" w:sz="4" w:space="0"/>
              <w:left w:val="single" w:color="auto" w:sz="4" w:space="0"/>
              <w:bottom w:val="single" w:color="auto" w:sz="4" w:space="0"/>
              <w:right w:val="single" w:color="auto" w:sz="4" w:space="0"/>
            </w:tcBorders>
            <w:noWrap/>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23</w:t>
            </w:r>
          </w:p>
        </w:tc>
        <w:tc>
          <w:tcPr>
            <w:tcW w:w="102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5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rPr>
            </w:pPr>
          </w:p>
        </w:tc>
        <w:tc>
          <w:tcPr>
            <w:tcW w:w="2899"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住院类报表：提供包含电子健康卡收入和交易记录的住院日报表和住院收入报表。</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7.3浙江省电子社保卡诊疗项目</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53"/>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b/>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序号</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b/>
                <w:bCs/>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功能要求</w:t>
            </w: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hint="eastAsia" w:ascii="宋体" w:hAnsi="宋体" w:eastAsia="宋体" w:cs="宋体"/>
                <w:b/>
                <w:bCs/>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1</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扫码读卡</w:t>
            </w: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门诊挂号收费、医生工作站等读卡检索功能模块支持省电子社保卡的扫码读卡功能。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w:t>
            </w:r>
          </w:p>
        </w:tc>
        <w:tc>
          <w:tcPr>
            <w:tcW w:w="17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门诊接诊</w:t>
            </w: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在门诊就诊时，支持扫电子社保卡定位患者。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接诊时记录患者就诊的用卡信息(实体卡还是电子卡)。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医生接诊时，为了保证数据的唯一性，对患者已有移动支付订单进行查询，如果存在未完成的支付订单，系统自动对该订单进行取消操作，将平台和本地的订单取消，只有取消成功才能正常接诊。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诊间结算</w:t>
            </w: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支持电子社保卡结算。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移动支付</w:t>
            </w: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支持通过浙里办APP的电子社保卡二维码进行移动支付。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7</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扫码支付</w:t>
            </w: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支持通过浙里办APP的电子社保卡二维码进行扫码支付。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w:t>
            </w:r>
          </w:p>
        </w:tc>
        <w:tc>
          <w:tcPr>
            <w:tcW w:w="17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定时下载</w:t>
            </w: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建设定时下载工具。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9</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可以设置定时的循环下载时间。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10</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支持下载移动支付的结算数据。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11</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支持对下载表的异常数据的处理。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12</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定时下载工具总院统一，分点不需要部署。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13</w:t>
            </w:r>
          </w:p>
        </w:tc>
        <w:tc>
          <w:tcPr>
            <w:tcW w:w="17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定时结算</w:t>
            </w: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建设定时结算工具。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14</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定时结算程序支持多开，实现多进程处理移动支付的本地结算。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15</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定时结算程序在每个院区进行部署。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16</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结算业务处理时，对省医保移动支付的结算明细票据数据进行保存，同时调用宁波医保的结算结果查询交易，通过该交易返回的结算结果完成宁波医保相关结算数据的保存。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17</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皮试处理</w:t>
            </w: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注射室的皮试处理功能中，如果皮试结果为阴性，判断该患者是否有省医保移动支付的订单。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18</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门诊退诊</w:t>
            </w:r>
          </w:p>
        </w:tc>
        <w:tc>
          <w:tcPr>
            <w:tcW w:w="60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门诊退诊时需要判断是否有待支付的支付订单(同一个门诊号和接诊医生编号)</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19</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窗口收费</w:t>
            </w:r>
          </w:p>
        </w:tc>
        <w:tc>
          <w:tcPr>
            <w:tcW w:w="60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支持通过扫描电子社保卡进行收费业务</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20</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自助收费</w:t>
            </w:r>
          </w:p>
        </w:tc>
        <w:tc>
          <w:tcPr>
            <w:tcW w:w="60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支持通过扫描电子社保卡进行自助收费业务</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21</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窗口退费(作废)</w:t>
            </w:r>
          </w:p>
        </w:tc>
        <w:tc>
          <w:tcPr>
            <w:tcW w:w="60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支持通过扫描电子社保卡进行窗口退费(作废)业务</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22</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发票及凭证</w:t>
            </w:r>
          </w:p>
        </w:tc>
        <w:tc>
          <w:tcPr>
            <w:tcW w:w="60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所有收费凭证和发票上增加省移动支付的支付方式显示打印</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23</w:t>
            </w:r>
          </w:p>
        </w:tc>
        <w:tc>
          <w:tcPr>
            <w:tcW w:w="17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对账处理</w:t>
            </w:r>
          </w:p>
        </w:tc>
        <w:tc>
          <w:tcPr>
            <w:tcW w:w="60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提供针对独立的省医保移动支付的对账管理功能，将每日明细上传到平台</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24</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平台完成对账后，HIS自动下载对账结果</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25</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对账不平时，支持对对账明细进行自动比对，异常数据可以人工进行批量处理，通过平台的异常明细删除来完成改账</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26</w:t>
            </w:r>
          </w:p>
        </w:tc>
        <w:tc>
          <w:tcPr>
            <w:tcW w:w="17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统计报表</w:t>
            </w:r>
          </w:p>
        </w:tc>
        <w:tc>
          <w:tcPr>
            <w:tcW w:w="60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门诊类报表：提供包含省医保移动支付(自费部分)收入和交易记录的门诊日报表和门诊收入报表</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276" w:lineRule="auto"/>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27</w:t>
            </w:r>
          </w:p>
        </w:tc>
        <w:tc>
          <w:tcPr>
            <w:tcW w:w="17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eastAsia" w:ascii="宋体" w:hAnsi="宋体" w:eastAsia="宋体" w:cs="宋体"/>
                <w:kern w:val="0"/>
                <w:sz w:val="21"/>
                <w:szCs w:val="21"/>
                <w:highlight w:val="none"/>
              </w:rPr>
            </w:pPr>
          </w:p>
        </w:tc>
        <w:tc>
          <w:tcPr>
            <w:tcW w:w="6060"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住院类报表：提供包含省医保移动支付(自费部分)收入和交易记录的住院日报表和住院收入报表</w:t>
            </w:r>
            <w:r>
              <w:rPr>
                <w:rFonts w:hint="eastAsia" w:ascii="宋体" w:hAnsi="宋体" w:cs="宋体"/>
                <w:sz w:val="21"/>
                <w:szCs w:val="21"/>
                <w:highlight w:val="none"/>
                <w:lang w:eastAsia="zh-CN"/>
              </w:rPr>
              <w:t>。</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0" w:beforeLines="100" w:line="360" w:lineRule="auto"/>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配合电子病历测评</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53"/>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宋体"/>
                <w:b/>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宋体"/>
                <w:b/>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center"/>
              <w:rPr>
                <w:rFonts w:ascii="宋体" w:hAnsi="宋体" w:eastAsia="宋体" w:cs="宋体"/>
                <w:b/>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评审协助</w:t>
            </w:r>
          </w:p>
        </w:tc>
        <w:tc>
          <w:tcPr>
            <w:tcW w:w="6060"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中标人需提供电子病历测评协助工作，协助医院进行评审测评工作开展。</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0" w:beforeLines="100" w:line="360" w:lineRule="auto"/>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床管中心改造</w:t>
      </w:r>
    </w:p>
    <w:tbl>
      <w:tblPr>
        <w:tblStyle w:val="26"/>
        <w:tblW w:w="85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55"/>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755"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090"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755"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bookmarkStart w:id="35" w:name="_Toc19622102"/>
            <w:r>
              <w:rPr>
                <w:rFonts w:ascii="宋体" w:hAnsi="宋体" w:eastAsia="宋体" w:cs="Times New Roman"/>
                <w:kern w:val="0"/>
                <w:sz w:val="21"/>
                <w:szCs w:val="21"/>
                <w:highlight w:val="none"/>
                <w:lang w:val="en-US" w:eastAsia="zh-CN" w:bidi="ar-SA"/>
              </w:rPr>
              <w:t>入院电子卡片</w:t>
            </w:r>
            <w:bookmarkEnd w:id="35"/>
          </w:p>
        </w:tc>
        <w:tc>
          <w:tcPr>
            <w:tcW w:w="6090" w:type="dxa"/>
            <w:vAlign w:val="center"/>
          </w:tcPr>
          <w:p>
            <w:pPr>
              <w:widowControl/>
              <w:snapToGrid w:val="0"/>
              <w:spacing w:line="400" w:lineRule="exact"/>
              <w:jc w:val="both"/>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电话号码限制为1</w:t>
            </w:r>
            <w:r>
              <w:rPr>
                <w:rFonts w:ascii="宋体" w:hAnsi="宋体" w:eastAsia="宋体" w:cs="Times New Roman"/>
                <w:kern w:val="0"/>
                <w:sz w:val="21"/>
                <w:szCs w:val="21"/>
                <w:highlight w:val="none"/>
                <w:lang w:val="en-US" w:eastAsia="zh-CN" w:bidi="ar-SA"/>
              </w:rPr>
              <w:t>1</w:t>
            </w:r>
            <w:r>
              <w:rPr>
                <w:rFonts w:hint="eastAsia" w:ascii="宋体" w:hAnsi="宋体" w:eastAsia="宋体" w:cs="Times New Roman"/>
                <w:kern w:val="0"/>
                <w:sz w:val="21"/>
                <w:szCs w:val="21"/>
                <w:highlight w:val="none"/>
                <w:lang w:val="en-US" w:eastAsia="zh-CN" w:bidi="ar-SA"/>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755"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打印入院电子卡</w:t>
            </w:r>
            <w:r>
              <w:rPr>
                <w:rFonts w:hint="eastAsia" w:ascii="宋体" w:hAnsi="宋体" w:eastAsia="宋体" w:cs="Times New Roman"/>
                <w:kern w:val="0"/>
                <w:sz w:val="21"/>
                <w:szCs w:val="21"/>
                <w:highlight w:val="none"/>
                <w:lang w:val="en-US" w:eastAsia="zh-CN" w:bidi="ar-SA"/>
              </w:rPr>
              <w:t>片</w:t>
            </w:r>
          </w:p>
        </w:tc>
        <w:tc>
          <w:tcPr>
            <w:tcW w:w="6090"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区分预住院与非预住院类型，提供不同提醒内容。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3</w:t>
            </w:r>
          </w:p>
        </w:tc>
        <w:tc>
          <w:tcPr>
            <w:tcW w:w="1755"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新增列表查看</w:t>
            </w:r>
          </w:p>
        </w:tc>
        <w:tc>
          <w:tcPr>
            <w:tcW w:w="6090"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bookmarkStart w:id="36" w:name="_Toc19622104"/>
            <w:r>
              <w:rPr>
                <w:rFonts w:ascii="宋体" w:hAnsi="宋体" w:eastAsia="宋体" w:cs="Times New Roman"/>
                <w:kern w:val="0"/>
                <w:sz w:val="21"/>
                <w:szCs w:val="21"/>
                <w:highlight w:val="none"/>
                <w:lang w:val="en-US" w:eastAsia="zh-CN" w:bidi="ar-SA"/>
              </w:rPr>
              <w:t>床管界面中新增列表查看电子入院卡</w:t>
            </w:r>
            <w:bookmarkEnd w:id="36"/>
            <w:r>
              <w:rPr>
                <w:rFonts w:hint="eastAsia" w:ascii="宋体" w:hAnsi="宋体" w:eastAsia="宋体" w:cs="Times New Roman"/>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4</w:t>
            </w:r>
          </w:p>
        </w:tc>
        <w:tc>
          <w:tcPr>
            <w:tcW w:w="1755"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单病人预约处理</w:t>
            </w:r>
          </w:p>
        </w:tc>
        <w:tc>
          <w:tcPr>
            <w:tcW w:w="6090"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在床管界面支持单病人预约处理。</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0" w:beforeLines="100" w:line="360" w:lineRule="auto"/>
        <w:ind w:left="0" w:lef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电子治疗单预约</w:t>
      </w:r>
    </w:p>
    <w:tbl>
      <w:tblPr>
        <w:tblStyle w:val="26"/>
        <w:tblW w:w="861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03"/>
        <w:gridCol w:w="6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703"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172"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703" w:type="dxa"/>
            <w:vMerge w:val="restart"/>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总体要求</w:t>
            </w:r>
          </w:p>
        </w:tc>
        <w:tc>
          <w:tcPr>
            <w:tcW w:w="6172" w:type="dxa"/>
            <w:vAlign w:val="center"/>
          </w:tcPr>
          <w:p>
            <w:pPr>
              <w:widowControl/>
              <w:snapToGrid w:val="0"/>
              <w:spacing w:line="400" w:lineRule="exact"/>
              <w:jc w:val="both"/>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支持</w:t>
            </w:r>
            <w:r>
              <w:rPr>
                <w:rFonts w:ascii="宋体" w:hAnsi="宋体" w:eastAsia="宋体" w:cs="Times New Roman"/>
                <w:kern w:val="0"/>
                <w:sz w:val="21"/>
                <w:szCs w:val="21"/>
                <w:highlight w:val="none"/>
                <w:lang w:val="en-US" w:eastAsia="zh-CN" w:bidi="ar-SA"/>
              </w:rPr>
              <w:t>治疗单开单实现预约模式</w:t>
            </w:r>
            <w:r>
              <w:rPr>
                <w:rFonts w:hint="eastAsia" w:ascii="宋体" w:hAnsi="宋体" w:eastAsia="宋体" w:cs="Times New Roman"/>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703"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72"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支持HIS系统与</w:t>
            </w:r>
            <w:r>
              <w:rPr>
                <w:rFonts w:ascii="宋体" w:hAnsi="宋体" w:eastAsia="宋体" w:cs="Times New Roman"/>
                <w:kern w:val="0"/>
                <w:sz w:val="21"/>
                <w:szCs w:val="21"/>
                <w:highlight w:val="none"/>
                <w:lang w:val="en-US" w:eastAsia="zh-CN" w:bidi="ar-SA"/>
              </w:rPr>
              <w:t>预约平台</w:t>
            </w:r>
            <w:r>
              <w:rPr>
                <w:rFonts w:hint="eastAsia" w:ascii="宋体" w:hAnsi="宋体" w:eastAsia="宋体" w:cs="Times New Roman"/>
                <w:kern w:val="0"/>
                <w:sz w:val="21"/>
                <w:szCs w:val="21"/>
                <w:highlight w:val="none"/>
                <w:lang w:val="en-US" w:eastAsia="zh-CN" w:bidi="ar-SA"/>
              </w:rPr>
              <w:t>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3</w:t>
            </w:r>
          </w:p>
        </w:tc>
        <w:tc>
          <w:tcPr>
            <w:tcW w:w="1703"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72"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支持对项目设置是否为预约项目。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4</w:t>
            </w:r>
          </w:p>
        </w:tc>
        <w:tc>
          <w:tcPr>
            <w:tcW w:w="1703"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72"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支持项目设置为强制预约。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5</w:t>
            </w:r>
          </w:p>
        </w:tc>
        <w:tc>
          <w:tcPr>
            <w:tcW w:w="1703"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72"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开单页面新增预约按钮，支持手工预约或查看预约信息。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36"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9</w:t>
            </w:r>
          </w:p>
        </w:tc>
        <w:tc>
          <w:tcPr>
            <w:tcW w:w="1703"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72"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治疗单显示项目信息以及预约时间。</w:t>
            </w:r>
          </w:p>
        </w:tc>
      </w:tr>
    </w:tbl>
    <w:p>
      <w:pPr>
        <w:rPr>
          <w:color w:val="auto"/>
          <w:sz w:val="28"/>
          <w:szCs w:val="28"/>
          <w:highlight w:val="none"/>
        </w:rPr>
      </w:pPr>
      <w:r>
        <w:rPr>
          <w:color w:val="auto"/>
          <w:sz w:val="28"/>
          <w:szCs w:val="28"/>
          <w:highlight w:val="none"/>
        </w:rPr>
        <w:br w:type="page"/>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100" w:line="360" w:lineRule="auto"/>
        <w:ind w:left="0" w:leftChars="0" w:firstLine="0" w:firstLine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纳里健康接口</w:t>
      </w:r>
    </w:p>
    <w:tbl>
      <w:tblPr>
        <w:tblStyle w:val="26"/>
        <w:tblW w:w="862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688"/>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1"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688"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187"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1"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688" w:type="dxa"/>
            <w:vMerge w:val="restart"/>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总体要求</w:t>
            </w:r>
          </w:p>
        </w:tc>
        <w:tc>
          <w:tcPr>
            <w:tcW w:w="6187"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实现HIS与纳里健康的对接。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1"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688"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87"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实现根据患者身份证信息、机构I</w:t>
            </w:r>
            <w:r>
              <w:rPr>
                <w:rFonts w:ascii="宋体" w:hAnsi="宋体" w:eastAsia="宋体" w:cs="Times New Roman"/>
                <w:kern w:val="0"/>
                <w:sz w:val="21"/>
                <w:szCs w:val="21"/>
                <w:highlight w:val="none"/>
                <w:lang w:val="en-US" w:eastAsia="zh-CN" w:bidi="ar-SA"/>
              </w:rPr>
              <w:t>d</w:t>
            </w:r>
            <w:r>
              <w:rPr>
                <w:rFonts w:hint="eastAsia" w:ascii="宋体" w:hAnsi="宋体" w:eastAsia="宋体" w:cs="Times New Roman"/>
                <w:kern w:val="0"/>
                <w:sz w:val="21"/>
                <w:szCs w:val="21"/>
                <w:highlight w:val="none"/>
                <w:lang w:val="en-US" w:eastAsia="zh-CN" w:bidi="ar-SA"/>
              </w:rPr>
              <w:t>查询纳里平台该患者当天的医技检验记录。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1"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3</w:t>
            </w:r>
          </w:p>
        </w:tc>
        <w:tc>
          <w:tcPr>
            <w:tcW w:w="1688"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87"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实现根据患者身份证信息、机构I</w:t>
            </w:r>
            <w:r>
              <w:rPr>
                <w:rFonts w:ascii="宋体" w:hAnsi="宋体" w:eastAsia="宋体" w:cs="Times New Roman"/>
                <w:kern w:val="0"/>
                <w:sz w:val="21"/>
                <w:szCs w:val="21"/>
                <w:highlight w:val="none"/>
                <w:lang w:val="en-US" w:eastAsia="zh-CN" w:bidi="ar-SA"/>
              </w:rPr>
              <w:t>d</w:t>
            </w:r>
            <w:r>
              <w:rPr>
                <w:rFonts w:hint="eastAsia" w:ascii="宋体" w:hAnsi="宋体" w:eastAsia="宋体" w:cs="Times New Roman"/>
                <w:kern w:val="0"/>
                <w:sz w:val="21"/>
                <w:szCs w:val="21"/>
                <w:highlight w:val="none"/>
                <w:lang w:val="en-US" w:eastAsia="zh-CN" w:bidi="ar-SA"/>
              </w:rPr>
              <w:t>查询纳里平台该患者当天的医技检查记录。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1"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4</w:t>
            </w:r>
          </w:p>
        </w:tc>
        <w:tc>
          <w:tcPr>
            <w:tcW w:w="1688"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87" w:type="dxa"/>
            <w:vAlign w:val="center"/>
          </w:tcPr>
          <w:p>
            <w:pPr>
              <w:widowControl/>
              <w:snapToGrid w:val="0"/>
              <w:spacing w:line="400" w:lineRule="exac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his同步检查记录支付状态、检查报告等信息给纳里平台。</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12、81890接口</w:t>
      </w:r>
    </w:p>
    <w:tbl>
      <w:tblPr>
        <w:tblStyle w:val="26"/>
        <w:tblW w:w="862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64"/>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序号</w:t>
            </w:r>
          </w:p>
        </w:tc>
        <w:tc>
          <w:tcPr>
            <w:tcW w:w="1764"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功能要求</w:t>
            </w:r>
          </w:p>
        </w:tc>
        <w:tc>
          <w:tcPr>
            <w:tcW w:w="6187"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w:t>
            </w:r>
          </w:p>
        </w:tc>
        <w:tc>
          <w:tcPr>
            <w:tcW w:w="1764"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81890坐席人员管理</w:t>
            </w: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支持坐席人员的基本信息的新增。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支持坐席人员的基本信息的修改。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支持坐席人员的基本信息的删除。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支持坐席人员的权限分配。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w:t>
            </w:r>
          </w:p>
        </w:tc>
        <w:tc>
          <w:tcPr>
            <w:tcW w:w="1764"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81890坐席人员预约操作平台</w:t>
            </w: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提供医生排班表。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坐席人员在接到预约请求时，需要录入身份证号、预约人姓名、性别、出生日期、家庭地址、手机号。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锁号成功以后，预约操作平台以提示窗口方式，提供业务流水号让操作人员进行复制。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坐席人员告知用户按短信内容回复短信完成预约挂号。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支持预约平台将向预约登记手机号发送预约成功短信。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w:t>
            </w:r>
          </w:p>
        </w:tc>
        <w:tc>
          <w:tcPr>
            <w:tcW w:w="1764"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81890坐席人员预约业务查询</w:t>
            </w: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坐席人员能够通过手机号、身份证号、支付卡号查询到预约业务信息。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坐席人员能够查询到所有通过81890预约的业务，仅限于81890。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坐席人员允许再次发送预约成功信息。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w:t>
            </w:r>
          </w:p>
        </w:tc>
        <w:tc>
          <w:tcPr>
            <w:tcW w:w="1764"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81890预约业务退号处理</w:t>
            </w: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预约平台如遇医生停诊，将统一由预约平台向医院退号，并以短信方式通知预约登记手机号。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坐席人员允许对预约业务做退号处理。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支持平台会发送退号成功短信到预约登记手机号。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w:t>
            </w:r>
          </w:p>
        </w:tc>
        <w:tc>
          <w:tcPr>
            <w:tcW w:w="1764"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Web Service支付方法和业务查询</w:t>
            </w: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81890支付系统根据中心Web Service提供的业务查询方法，根据业务流水号查询预约挂号信息（医院名称、科室名称、医生姓名、门诊时间、挂号费、手续费、预约号子、预约验证码）。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1764"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187" w:type="dxa"/>
            <w:vAlign w:val="center"/>
          </w:tcPr>
          <w:p>
            <w:pPr>
              <w:widowControl/>
              <w:snapToGrid w:val="0"/>
              <w:spacing w:line="400" w:lineRule="exac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81890支付系统根据中心Web Service提供的支付方法，完成预约确认支付操作并返回业务流水号、支付卡号。</w:t>
            </w:r>
          </w:p>
        </w:tc>
      </w:tr>
    </w:tbl>
    <w:p>
      <w:pPr>
        <w:rPr>
          <w:color w:val="auto"/>
          <w:sz w:val="28"/>
          <w:szCs w:val="28"/>
          <w:highlight w:val="none"/>
        </w:rPr>
      </w:pPr>
      <w:r>
        <w:rPr>
          <w:color w:val="auto"/>
          <w:sz w:val="28"/>
          <w:szCs w:val="28"/>
          <w:highlight w:val="none"/>
        </w:rPr>
        <w:br w:type="page"/>
      </w:r>
    </w:p>
    <w:p>
      <w:pPr>
        <w:pStyle w:val="114"/>
        <w:numPr>
          <w:ilvl w:val="0"/>
          <w:numId w:val="0"/>
        </w:numPr>
        <w:ind w:leftChars="0"/>
        <w:rPr>
          <w:rFonts w:hint="default"/>
          <w:highlight w:val="none"/>
          <w:lang w:val="en-US" w:eastAsia="zh-CN"/>
        </w:rPr>
      </w:pPr>
      <w:r>
        <w:rPr>
          <w:rFonts w:hint="eastAsia"/>
          <w:highlight w:val="none"/>
          <w:lang w:val="en-US" w:eastAsia="zh-CN"/>
        </w:rPr>
        <w:t>13、 物资接口</w:t>
      </w:r>
    </w:p>
    <w:tbl>
      <w:tblPr>
        <w:tblStyle w:val="26"/>
        <w:tblW w:w="8625"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00"/>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75"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800" w:type="dxa"/>
            <w:vAlign w:val="center"/>
          </w:tcPr>
          <w:p>
            <w:pPr>
              <w:widowControl/>
              <w:snapToGrid w:val="0"/>
              <w:spacing w:line="400" w:lineRule="exact"/>
              <w:jc w:val="center"/>
              <w:rPr>
                <w:rFonts w:ascii="宋体" w:hAnsi="宋体" w:eastAsia="宋体" w:cs="Times New Roman"/>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150"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75"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800" w:type="dxa"/>
            <w:vMerge w:val="restart"/>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物资接口</w:t>
            </w:r>
          </w:p>
        </w:tc>
        <w:tc>
          <w:tcPr>
            <w:tcW w:w="6150" w:type="dxa"/>
            <w:vAlign w:val="center"/>
          </w:tcPr>
          <w:p>
            <w:pPr>
              <w:rPr>
                <w:rFonts w:ascii="宋体" w:hAnsi="宋体" w:cs="Times New Roman"/>
                <w:sz w:val="21"/>
                <w:szCs w:val="21"/>
                <w:highlight w:val="none"/>
              </w:rPr>
            </w:pPr>
            <w:r>
              <w:rPr>
                <w:rFonts w:hint="eastAsia" w:ascii="宋体" w:hAnsi="宋体" w:cs="Times New Roman"/>
                <w:sz w:val="21"/>
                <w:szCs w:val="21"/>
                <w:highlight w:val="none"/>
              </w:rPr>
              <w:t>HIS与物资管理系统对接，实现物资管理业务开展。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675"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800"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50" w:type="dxa"/>
            <w:vAlign w:val="center"/>
          </w:tcPr>
          <w:p>
            <w:pPr>
              <w:widowControl w:val="0"/>
              <w:spacing w:line="360" w:lineRule="auto"/>
              <w:ind w:firstLine="0" w:firstLineChars="0"/>
              <w:jc w:val="both"/>
              <w:rPr>
                <w:rFonts w:ascii="宋体" w:hAnsi="宋体" w:eastAsia="宋体" w:cs="Times New Roman"/>
                <w:kern w:val="2"/>
                <w:sz w:val="21"/>
                <w:szCs w:val="21"/>
                <w:highlight w:val="none"/>
                <w:lang w:val="en-US" w:eastAsia="zh-CN" w:bidi="ar-SA"/>
              </w:rPr>
            </w:pPr>
            <w:r>
              <w:rPr>
                <w:rFonts w:ascii="宋体" w:hAnsi="宋体" w:eastAsia="宋体" w:cs="Times New Roman"/>
                <w:kern w:val="2"/>
                <w:sz w:val="21"/>
                <w:szCs w:val="21"/>
                <w:highlight w:val="none"/>
                <w:lang w:val="en-US" w:eastAsia="zh-CN" w:bidi="ar-SA"/>
              </w:rPr>
              <w:t>H</w:t>
            </w:r>
            <w:r>
              <w:rPr>
                <w:rFonts w:hint="eastAsia" w:ascii="宋体" w:hAnsi="宋体" w:eastAsia="宋体" w:cs="Times New Roman"/>
                <w:kern w:val="2"/>
                <w:sz w:val="21"/>
                <w:szCs w:val="21"/>
                <w:highlight w:val="none"/>
                <w:lang w:val="en-US" w:eastAsia="zh-CN" w:bidi="ar-SA"/>
              </w:rPr>
              <w:t>IS</w:t>
            </w:r>
            <w:r>
              <w:rPr>
                <w:rFonts w:ascii="宋体" w:hAnsi="宋体" w:eastAsia="宋体" w:cs="Times New Roman"/>
                <w:kern w:val="2"/>
                <w:sz w:val="21"/>
                <w:szCs w:val="21"/>
                <w:highlight w:val="none"/>
                <w:lang w:val="en-US" w:eastAsia="zh-CN" w:bidi="ar-SA"/>
              </w:rPr>
              <w:t>软件需要兼容</w:t>
            </w:r>
            <w:r>
              <w:rPr>
                <w:rFonts w:hint="eastAsia" w:ascii="宋体" w:hAnsi="宋体" w:eastAsia="宋体" w:cs="Times New Roman"/>
                <w:kern w:val="2"/>
                <w:sz w:val="21"/>
                <w:szCs w:val="21"/>
                <w:highlight w:val="none"/>
                <w:lang w:val="en-US" w:eastAsia="zh-CN" w:bidi="ar-SA"/>
              </w:rPr>
              <w:t>S</w:t>
            </w:r>
            <w:r>
              <w:rPr>
                <w:rFonts w:ascii="宋体" w:hAnsi="宋体" w:eastAsia="宋体" w:cs="Times New Roman"/>
                <w:kern w:val="2"/>
                <w:sz w:val="21"/>
                <w:szCs w:val="21"/>
                <w:highlight w:val="none"/>
                <w:lang w:val="en-US" w:eastAsia="zh-CN" w:bidi="ar-SA"/>
              </w:rPr>
              <w:t>PD追溯和图特两家高职耗材接口</w:t>
            </w:r>
            <w:r>
              <w:rPr>
                <w:rFonts w:hint="eastAsia" w:ascii="宋体" w:hAnsi="宋体" w:eastAsia="宋体" w:cs="Times New Roman"/>
                <w:kern w:val="2"/>
                <w:sz w:val="21"/>
                <w:szCs w:val="21"/>
                <w:highlight w:val="none"/>
                <w:lang w:val="en-US" w:eastAsia="zh-CN" w:bidi="ar-SA"/>
              </w:rPr>
              <w:t>。</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0" w:beforeLines="100" w:line="360" w:lineRule="auto"/>
        <w:ind w:left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登革热监测功能</w:t>
      </w:r>
    </w:p>
    <w:tbl>
      <w:tblPr>
        <w:tblStyle w:val="26"/>
        <w:tblW w:w="5065" w:type="pct"/>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815"/>
        <w:gridCol w:w="6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050" w:type="pct"/>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3541" w:type="pct"/>
            <w:shd w:val="clear" w:color="auto" w:fill="auto"/>
            <w:noWrap/>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numPr>
                <w:ilvl w:val="0"/>
                <w:numId w:val="0"/>
              </w:numPr>
              <w:spacing w:line="360"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050" w:type="pct"/>
            <w:vMerge w:val="restart"/>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登革热干预问诊功能</w:t>
            </w:r>
          </w:p>
        </w:tc>
        <w:tc>
          <w:tcPr>
            <w:tcW w:w="3541" w:type="pct"/>
            <w:tcBorders>
              <w:top w:val="single" w:color="auto" w:sz="4" w:space="0"/>
              <w:left w:val="single" w:color="auto" w:sz="4" w:space="0"/>
              <w:bottom w:val="single" w:color="auto" w:sz="4" w:space="0"/>
              <w:right w:val="single" w:color="000000" w:sz="4" w:space="0"/>
            </w:tcBorders>
            <w:shd w:val="clear" w:color="auto" w:fill="auto"/>
            <w:noWrap/>
          </w:tcPr>
          <w:p>
            <w:pPr>
              <w:widowControl/>
              <w:rPr>
                <w:rFonts w:hint="eastAsia" w:ascii="宋体" w:hAnsi="宋体" w:eastAsia="宋体" w:cs="Times New Roman"/>
                <w:kern w:val="0"/>
                <w:sz w:val="21"/>
                <w:szCs w:val="21"/>
                <w:highlight w:val="none"/>
                <w:lang w:val="en-US" w:eastAsia="zh-CN"/>
              </w:rPr>
            </w:pPr>
            <w:r>
              <w:rPr>
                <w:rFonts w:hint="eastAsia" w:ascii="宋体" w:hAnsi="宋体" w:cs="Times New Roman"/>
                <w:sz w:val="21"/>
                <w:szCs w:val="21"/>
                <w:highlight w:val="none"/>
              </w:rPr>
              <w:t>接诊/开诊断/诊毕/检验中节点进行干预问诊</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numPr>
                <w:ilvl w:val="0"/>
                <w:numId w:val="0"/>
              </w:numPr>
              <w:spacing w:line="360"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050" w:type="pct"/>
            <w:vMerge w:val="continue"/>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1" w:type="pct"/>
            <w:tcBorders>
              <w:top w:val="single" w:color="auto" w:sz="4" w:space="0"/>
              <w:left w:val="single" w:color="auto" w:sz="4" w:space="0"/>
              <w:bottom w:val="single" w:color="auto" w:sz="4" w:space="0"/>
              <w:right w:val="single" w:color="000000" w:sz="4" w:space="0"/>
            </w:tcBorders>
            <w:shd w:val="clear" w:color="auto" w:fill="auto"/>
            <w:noWrap/>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登革热功能是否启用</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numPr>
                <w:ilvl w:val="0"/>
                <w:numId w:val="0"/>
              </w:numPr>
              <w:spacing w:line="360"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3</w:t>
            </w:r>
          </w:p>
        </w:tc>
        <w:tc>
          <w:tcPr>
            <w:tcW w:w="1050" w:type="pct"/>
            <w:vMerge w:val="continue"/>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1" w:type="pct"/>
            <w:tcBorders>
              <w:top w:val="single" w:color="auto" w:sz="4" w:space="0"/>
              <w:left w:val="single" w:color="auto" w:sz="4" w:space="0"/>
              <w:bottom w:val="single" w:color="auto" w:sz="4" w:space="0"/>
              <w:right w:val="single" w:color="000000" w:sz="4" w:space="0"/>
            </w:tcBorders>
            <w:shd w:val="clear" w:color="auto" w:fill="auto"/>
            <w:noWrap/>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登革热提示内容设置</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numPr>
                <w:ilvl w:val="0"/>
                <w:numId w:val="0"/>
              </w:numPr>
              <w:spacing w:line="360"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4</w:t>
            </w:r>
          </w:p>
        </w:tc>
        <w:tc>
          <w:tcPr>
            <w:tcW w:w="1050" w:type="pct"/>
            <w:vMerge w:val="continue"/>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1" w:type="pct"/>
            <w:tcBorders>
              <w:top w:val="single" w:color="auto" w:sz="4" w:space="0"/>
              <w:left w:val="single" w:color="auto" w:sz="4" w:space="0"/>
              <w:bottom w:val="single" w:color="auto" w:sz="4" w:space="0"/>
              <w:right w:val="single" w:color="000000" w:sz="4" w:space="0"/>
            </w:tcBorders>
            <w:shd w:val="clear" w:color="auto" w:fill="auto"/>
            <w:noWrap/>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登革热化验指标时限（天数）</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numPr>
                <w:ilvl w:val="0"/>
                <w:numId w:val="0"/>
              </w:numPr>
              <w:spacing w:line="360"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5</w:t>
            </w:r>
          </w:p>
        </w:tc>
        <w:tc>
          <w:tcPr>
            <w:tcW w:w="1050" w:type="pct"/>
            <w:vMerge w:val="continue"/>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1" w:type="pct"/>
            <w:tcBorders>
              <w:top w:val="single" w:color="auto" w:sz="4" w:space="0"/>
              <w:left w:val="single" w:color="auto" w:sz="4" w:space="0"/>
              <w:bottom w:val="single" w:color="auto" w:sz="4" w:space="0"/>
              <w:right w:val="single" w:color="000000" w:sz="4" w:space="0"/>
            </w:tcBorders>
            <w:shd w:val="clear" w:color="auto" w:fill="auto"/>
            <w:noWrap/>
          </w:tcPr>
          <w:p>
            <w:pPr>
              <w:jc w:val="left"/>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是否允许删除干预问诊记录（标记状态）</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numPr>
                <w:ilvl w:val="0"/>
                <w:numId w:val="0"/>
              </w:numPr>
              <w:spacing w:line="360"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6</w:t>
            </w:r>
          </w:p>
        </w:tc>
        <w:tc>
          <w:tcPr>
            <w:tcW w:w="1050" w:type="pct"/>
            <w:vMerge w:val="continue"/>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1" w:type="pct"/>
            <w:tcBorders>
              <w:top w:val="single" w:color="auto" w:sz="4" w:space="0"/>
              <w:left w:val="single" w:color="auto" w:sz="4" w:space="0"/>
              <w:bottom w:val="single" w:color="auto" w:sz="4" w:space="0"/>
              <w:right w:val="single" w:color="000000" w:sz="4" w:space="0"/>
            </w:tcBorders>
            <w:shd w:val="clear" w:color="auto" w:fill="auto"/>
            <w:noWrap/>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登革热输入界面部分控件显示控制（输入模式）</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numPr>
                <w:ilvl w:val="0"/>
                <w:numId w:val="0"/>
              </w:numPr>
              <w:spacing w:line="360"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7</w:t>
            </w:r>
          </w:p>
        </w:tc>
        <w:tc>
          <w:tcPr>
            <w:tcW w:w="1050" w:type="pct"/>
            <w:vMerge w:val="continue"/>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1" w:type="pct"/>
            <w:tcBorders>
              <w:top w:val="single" w:color="auto" w:sz="4" w:space="0"/>
              <w:left w:val="single" w:color="auto" w:sz="4" w:space="0"/>
              <w:bottom w:val="single" w:color="auto" w:sz="4" w:space="0"/>
              <w:right w:val="single" w:color="000000" w:sz="4" w:space="0"/>
            </w:tcBorders>
            <w:shd w:val="clear" w:color="auto" w:fill="auto"/>
            <w:noWrap/>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登革热儿童控制（监护人信息填写）</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numPr>
                <w:ilvl w:val="0"/>
                <w:numId w:val="0"/>
              </w:numPr>
              <w:spacing w:line="360"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8</w:t>
            </w:r>
          </w:p>
        </w:tc>
        <w:tc>
          <w:tcPr>
            <w:tcW w:w="1050" w:type="pct"/>
            <w:vMerge w:val="continue"/>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1" w:type="pct"/>
            <w:tcBorders>
              <w:top w:val="single" w:color="auto" w:sz="4" w:space="0"/>
              <w:left w:val="single" w:color="auto" w:sz="4" w:space="0"/>
              <w:bottom w:val="single" w:color="auto" w:sz="4" w:space="0"/>
              <w:right w:val="single" w:color="000000" w:sz="4" w:space="0"/>
            </w:tcBorders>
            <w:shd w:val="clear" w:color="auto" w:fill="auto"/>
            <w:noWrap/>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干预问诊界面部分信息默认值</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numPr>
                <w:ilvl w:val="0"/>
                <w:numId w:val="0"/>
              </w:numPr>
              <w:spacing w:line="360"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9</w:t>
            </w:r>
          </w:p>
        </w:tc>
        <w:tc>
          <w:tcPr>
            <w:tcW w:w="1050" w:type="pct"/>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登革热干预问配置功能</w:t>
            </w:r>
          </w:p>
        </w:tc>
        <w:tc>
          <w:tcPr>
            <w:tcW w:w="3541" w:type="pct"/>
            <w:tcBorders>
              <w:top w:val="single" w:color="auto" w:sz="4" w:space="0"/>
              <w:left w:val="single" w:color="auto" w:sz="4" w:space="0"/>
              <w:bottom w:val="single" w:color="auto" w:sz="4" w:space="0"/>
              <w:right w:val="single" w:color="000000" w:sz="4" w:space="0"/>
            </w:tcBorders>
            <w:shd w:val="clear" w:color="auto" w:fill="auto"/>
            <w:noWrap/>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根据诊断、体征信息、化验指标等判断和干预问诊</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numPr>
                <w:ilvl w:val="0"/>
                <w:numId w:val="0"/>
              </w:numPr>
              <w:spacing w:line="360"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10</w:t>
            </w:r>
          </w:p>
        </w:tc>
        <w:tc>
          <w:tcPr>
            <w:tcW w:w="1050" w:type="pct"/>
            <w:vMerge w:val="restart"/>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登革热干预问诊统计报表</w:t>
            </w:r>
          </w:p>
        </w:tc>
        <w:tc>
          <w:tcPr>
            <w:tcW w:w="3541" w:type="pct"/>
            <w:tcBorders>
              <w:top w:val="single" w:color="auto" w:sz="4" w:space="0"/>
              <w:left w:val="single" w:color="auto" w:sz="4" w:space="0"/>
              <w:bottom w:val="single" w:color="auto" w:sz="4" w:space="0"/>
              <w:right w:val="single" w:color="000000" w:sz="4" w:space="0"/>
            </w:tcBorders>
            <w:shd w:val="clear" w:color="auto" w:fill="auto"/>
            <w:noWrap/>
          </w:tcPr>
          <w:p>
            <w:pPr>
              <w:widowControl/>
              <w:rPr>
                <w:rFonts w:hint="eastAsia" w:ascii="宋体" w:hAnsi="宋体" w:eastAsia="宋体" w:cs="Times New Roman"/>
                <w:kern w:val="0"/>
                <w:sz w:val="21"/>
                <w:szCs w:val="21"/>
                <w:highlight w:val="none"/>
                <w:lang w:eastAsia="zh-CN"/>
              </w:rPr>
            </w:pPr>
            <w:r>
              <w:rPr>
                <w:rFonts w:hint="eastAsia" w:ascii="宋体" w:hAnsi="宋体" w:cs="Times New Roman"/>
                <w:sz w:val="21"/>
                <w:szCs w:val="21"/>
                <w:highlight w:val="none"/>
              </w:rPr>
              <w:t>医生桌面报表入口</w:t>
            </w:r>
            <w:r>
              <w:rPr>
                <w:rFonts w:hint="eastAsia" w:ascii="宋体" w:hAnsi="宋体" w:cs="Times New Roman"/>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shd w:val="clear" w:color="auto" w:fill="auto"/>
            <w:vAlign w:val="center"/>
          </w:tcPr>
          <w:p>
            <w:pPr>
              <w:widowControl/>
              <w:numPr>
                <w:ilvl w:val="0"/>
                <w:numId w:val="0"/>
              </w:numPr>
              <w:spacing w:line="360" w:lineRule="auto"/>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11</w:t>
            </w:r>
          </w:p>
        </w:tc>
        <w:tc>
          <w:tcPr>
            <w:tcW w:w="1050" w:type="pct"/>
            <w:vMerge w:val="continue"/>
            <w:shd w:val="clear" w:color="auto" w:fill="auto"/>
            <w:vAlign w:val="center"/>
          </w:tcPr>
          <w:p>
            <w:pPr>
              <w:widowControl/>
              <w:spacing w:line="360" w:lineRule="auto"/>
              <w:jc w:val="center"/>
              <w:rPr>
                <w:rFonts w:ascii="宋体" w:hAnsi="宋体" w:eastAsia="宋体" w:cs="Times New Roman"/>
                <w:kern w:val="0"/>
                <w:sz w:val="21"/>
                <w:szCs w:val="21"/>
                <w:highlight w:val="none"/>
                <w:lang w:val="en-US" w:eastAsia="zh-CN" w:bidi="ar-SA"/>
              </w:rPr>
            </w:pPr>
          </w:p>
        </w:tc>
        <w:tc>
          <w:tcPr>
            <w:tcW w:w="3541" w:type="pct"/>
            <w:tcBorders>
              <w:top w:val="single" w:color="auto" w:sz="4" w:space="0"/>
              <w:left w:val="single" w:color="auto" w:sz="4" w:space="0"/>
              <w:bottom w:val="single" w:color="auto" w:sz="4" w:space="0"/>
              <w:right w:val="single" w:color="000000" w:sz="4" w:space="0"/>
            </w:tcBorders>
            <w:shd w:val="clear" w:color="auto" w:fill="auto"/>
            <w:noWrap/>
          </w:tcPr>
          <w:p>
            <w:pPr>
              <w:rPr>
                <w:rFonts w:hint="eastAsia" w:ascii="宋体" w:hAnsi="宋体" w:eastAsia="宋体" w:cs="Times New Roman"/>
                <w:sz w:val="21"/>
                <w:szCs w:val="21"/>
                <w:highlight w:val="none"/>
                <w:lang w:eastAsia="zh-CN"/>
              </w:rPr>
            </w:pPr>
            <w:r>
              <w:rPr>
                <w:rFonts w:hint="eastAsia" w:ascii="宋体" w:hAnsi="宋体" w:cs="Times New Roman"/>
                <w:sz w:val="21"/>
                <w:szCs w:val="21"/>
                <w:highlight w:val="none"/>
              </w:rPr>
              <w:t>报表部分列可配置显示</w:t>
            </w:r>
            <w:r>
              <w:rPr>
                <w:rFonts w:hint="eastAsia" w:ascii="宋体" w:hAnsi="宋体" w:cs="Times New Roman"/>
                <w:sz w:val="21"/>
                <w:szCs w:val="21"/>
                <w:highlight w:val="none"/>
                <w:lang w:eastAsia="zh-CN"/>
              </w:rPr>
              <w:t>。</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0" w:beforeLines="100" w:line="360" w:lineRule="auto"/>
        <w:ind w:left="0" w:leftChars="0" w:firstLine="0" w:firstLine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长三角地区门诊异地医保结算接口</w:t>
      </w:r>
    </w:p>
    <w:tbl>
      <w:tblPr>
        <w:tblStyle w:val="26"/>
        <w:tblW w:w="8670"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80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序号</w:t>
            </w:r>
          </w:p>
        </w:tc>
        <w:tc>
          <w:tcPr>
            <w:tcW w:w="1800" w:type="dxa"/>
            <w:vAlign w:val="center"/>
          </w:tcPr>
          <w:p>
            <w:pPr>
              <w:widowControl/>
              <w:snapToGrid w:val="0"/>
              <w:spacing w:line="400" w:lineRule="exact"/>
              <w:jc w:val="center"/>
              <w:rPr>
                <w:rFonts w:hint="eastAsia" w:ascii="宋体" w:hAnsi="宋体" w:eastAsia="宋体" w:cs="宋体"/>
                <w:bCs/>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功能要求</w:t>
            </w:r>
          </w:p>
        </w:tc>
        <w:tc>
          <w:tcPr>
            <w:tcW w:w="613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通用字典匹配</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支持本地和中心检查部位查询和匹配。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支持本地和中心检验标本查询和匹配。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支持本地和中心科室查询和匹配。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支持本地和中心过敏药物查询和匹配。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支持本地和中心ABO血型查询和匹配。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支持本地和中心麻醉方式查询和匹配。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7</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支持本地和中心RH血型查询和匹配。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支持本地和中心手术等级查询和匹配。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9</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支持本地和中心手术愈合分级查询和匹配。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10</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支持本地和中心手术切口分类查询和匹配。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11</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支持本地和中心给药途径查询和匹配。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12</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支持本地和中心输血类型查询和匹配。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13</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药品目录下载与匹配</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支持中心药品目录下载功能。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14</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支持中心药品目录续点下载功能。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15</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支持HIS药品目录与中心药品目录的匹配，匹配时，可以通过首拼码、五笔码、药品名称查找中心的对应药品。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16</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支持通过使用标志、状态过滤出相关的未匹配的药品进行匹配，也可以通过药品查询，查看相关的信息及匹配状态。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17</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支持将已经匹配药品撤销匹配，重新匹配。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18</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支持修改已经匹配药品的启用日期。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19</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支持HIS药品单位跟中心药品单位转换。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20</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诊疗目录下载与匹配</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支持中心诊疗目录下载功能。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21</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支持中心诊疗目录续点下载功能。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22</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支持HIS诊疗目录与中心诊疗目录的匹配，匹配时，可以通过首拼码、五笔码、诊疗名称查找中心的对应诊疗。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23</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支持通过使用标志、状态过滤出相关的未匹配的诊疗进行匹配，也可以通过诊疗查询，查看相关的信息及匹配状态。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24</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支持将已经匹配诊疗撤销匹配，重新匹配。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25</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支持修改已经匹配诊疗的启用日期。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26</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疾病目录下载与匹配</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支持中心疾病目录下载功能。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27</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支持中心疾病目录续点下载功能。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28</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支持疾病目录自动匹配功能。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29</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支持HIS疾病目录与中心疾病目录的匹配，匹配时，可以通过首拼码、五笔码、疾病名称查找中心的对应疾病。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30</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支持通过使用标志、状态过滤出相关的未匹配的疾病进行匹配，也可以通过疾病查询，查看相关的信息及匹配状态。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31</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支持将已经匹配疾病撤销匹配，重新匹配。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32</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支持修改已经匹配疾病的启用日期。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33</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行政区划下载</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支持行政区划下载功能。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34</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支持行政区划续点下载功能。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35</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跨省月结算数据下载</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支持跨省月结算数据下载功能。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36</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操作员对账处理</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支持操作员注册。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37</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支持操作员注销。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38</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支持操作员签到。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39</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支持操作员对账。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40</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支持操作员定时对账。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41</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支持操作员日结算明细下载。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42</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支持日对账。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43</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医保账户查询</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支持病人账户查询。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44</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门诊挂号实时结算</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支持在门诊挂号时，医保患者可以实时报销挂号产生的费用。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45</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支持在挂号结算时出现中心有本地无数据情况自动交易作废功能。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46</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支持在门诊退号时，医保患者可以实时返回挂号时报销的费用到医保中心。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47</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支持在退号时出现中心有本地无数据情况自动交易作废功能。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48</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门诊收费医保实时结算</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支持门诊收费预结算医保报销费用信息显示。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49</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支持在门诊收费时，医保患者可以实时报销收费产生的费用。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50</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支持在门诊收费结算时出现中心有本地无数据情况自动交易作废功能。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51</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支持门诊收费发票显示医保报销金额。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52</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支持在门诊退费时，医保患者可以实时返回收费产生的费用到医保中心。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53</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支持在门诊退费结算时出现中心有本地无数据情况自动交易作废功能。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54</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支持门诊退费发票显示医保报销金额。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55</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门诊收费查询</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支持挂号发票补打医保报销金额信息。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56</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支持门诊收费发票补打医保报销金额信息。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57</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医保对账体系</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提供根据日期、人员类别统计一段时间范围的医保结算表。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58</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提供门诊日报展示医保支付金额。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59</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医保定时处理</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支持医保目录下载。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60</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支持医保对账。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61</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相关报表调整</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支持门诊个人日报体现。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62</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支持门诊汇总日报体现。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63</w:t>
            </w:r>
          </w:p>
        </w:tc>
        <w:tc>
          <w:tcPr>
            <w:tcW w:w="1800" w:type="dxa"/>
            <w:vMerge w:val="restart"/>
            <w:tcBorders>
              <w:top w:val="single" w:color="auto" w:sz="4" w:space="0"/>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诊疗信息上传</w:t>
            </w: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支持自费就诊信息上传。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64</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支持自费费用明细上传。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65</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支持检查单信息上传。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66</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支持检验单信息上传。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67</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支持检验明细上传。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68</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支持病案主页上传。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69</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支持手术信息上传。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70</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支持生命特征上传。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71</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支持医嘱信息上传。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72</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支持输血记录上传。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73</w:t>
            </w:r>
          </w:p>
        </w:tc>
        <w:tc>
          <w:tcPr>
            <w:tcW w:w="1800" w:type="dxa"/>
            <w:vMerge w:val="continue"/>
            <w:tcBorders>
              <w:left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支持出院小结上传。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74</w:t>
            </w:r>
          </w:p>
        </w:tc>
        <w:tc>
          <w:tcPr>
            <w:tcW w:w="1800" w:type="dxa"/>
            <w:vMerge w:val="continue"/>
            <w:tcBorders>
              <w:left w:val="single" w:color="auto" w:sz="4" w:space="0"/>
              <w:bottom w:val="single" w:color="auto" w:sz="4" w:space="0"/>
              <w:right w:val="single" w:color="auto" w:sz="4" w:space="0"/>
            </w:tcBorders>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135"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支持上传信息撤销。</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0" w:beforeLines="100" w:line="360" w:lineRule="auto"/>
        <w:ind w:left="0" w:leftChars="0" w:firstLine="0" w:firstLine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在线取号</w:t>
      </w:r>
    </w:p>
    <w:tbl>
      <w:tblPr>
        <w:tblStyle w:val="26"/>
        <w:tblW w:w="8670"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15"/>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20"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815" w:type="dxa"/>
            <w:vAlign w:val="center"/>
          </w:tcPr>
          <w:p>
            <w:pPr>
              <w:widowControl/>
              <w:snapToGrid w:val="0"/>
              <w:spacing w:line="400" w:lineRule="exact"/>
              <w:jc w:val="center"/>
              <w:rPr>
                <w:rFonts w:ascii="宋体" w:hAnsi="宋体" w:eastAsia="宋体" w:cs="Times New Roman"/>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135"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20"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815" w:type="dxa"/>
            <w:vMerge w:val="restart"/>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预约取号机制</w:t>
            </w:r>
          </w:p>
        </w:tc>
        <w:tc>
          <w:tcPr>
            <w:tcW w:w="6135"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支持居民在健康宁波公众号上进行挂号预约。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20" w:type="dxa"/>
            <w:tcBorders>
              <w:top w:val="single" w:color="auto" w:sz="4" w:space="0"/>
              <w:left w:val="single" w:color="auto" w:sz="4" w:space="0"/>
              <w:bottom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815"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35" w:type="dxa"/>
            <w:tcBorders>
              <w:top w:val="single" w:color="auto" w:sz="4" w:space="0"/>
              <w:bottom w:val="single" w:color="auto" w:sz="4" w:space="0"/>
              <w:right w:val="single" w:color="auto" w:sz="4" w:space="0"/>
            </w:tcBorders>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以号源方式来取号。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20" w:type="dxa"/>
            <w:tcBorders>
              <w:top w:val="single" w:color="auto" w:sz="4" w:space="0"/>
              <w:left w:val="single" w:color="auto" w:sz="4" w:space="0"/>
              <w:bottom w:val="single" w:color="auto" w:sz="4" w:space="0"/>
            </w:tcBorders>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3</w:t>
            </w:r>
          </w:p>
        </w:tc>
        <w:tc>
          <w:tcPr>
            <w:tcW w:w="1815" w:type="dxa"/>
            <w:vMerge w:val="continue"/>
            <w:tcBorders>
              <w:bottom w:val="single" w:color="auto" w:sz="4" w:space="0"/>
            </w:tcBorders>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35" w:type="dxa"/>
            <w:tcBorders>
              <w:top w:val="single" w:color="auto" w:sz="4" w:space="0"/>
              <w:bottom w:val="single" w:color="auto" w:sz="4" w:space="0"/>
              <w:right w:val="single" w:color="auto" w:sz="4" w:space="0"/>
            </w:tcBorders>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支持医院窗口预约挂号取号、医院自助终端预约挂号取号两种方式。</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17、4+7带量采购药品</w:t>
      </w:r>
    </w:p>
    <w:tbl>
      <w:tblPr>
        <w:tblStyle w:val="26"/>
        <w:tblW w:w="865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800"/>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800" w:type="dxa"/>
            <w:vAlign w:val="center"/>
          </w:tcPr>
          <w:p>
            <w:pPr>
              <w:widowControl/>
              <w:snapToGrid w:val="0"/>
              <w:spacing w:line="400" w:lineRule="exact"/>
              <w:jc w:val="center"/>
              <w:rPr>
                <w:rFonts w:ascii="宋体" w:hAnsi="宋体" w:eastAsia="宋体" w:cs="Times New Roman"/>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120"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800"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联盟药品批次设置</w:t>
            </w:r>
          </w:p>
        </w:tc>
        <w:tc>
          <w:tcPr>
            <w:tcW w:w="6120"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可针对不同批次政策药品，设置对应的批次。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800"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同类药品设置、使用目标量与规格转换设置</w:t>
            </w:r>
          </w:p>
        </w:tc>
        <w:tc>
          <w:tcPr>
            <w:tcW w:w="6120"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同品种但是不同品规药品，需进行用量单位转换，便于统一计算目标量；并且需要对科室设置政策内药品使用的目标量。包括</w:t>
            </w:r>
            <w:r>
              <w:rPr>
                <w:rFonts w:ascii="宋体" w:hAnsi="宋体" w:eastAsia="宋体" w:cs="Times New Roman"/>
                <w:kern w:val="0"/>
                <w:sz w:val="21"/>
                <w:szCs w:val="21"/>
                <w:highlight w:val="none"/>
                <w:lang w:val="en-US" w:eastAsia="zh-CN" w:bidi="ar-SA"/>
              </w:rPr>
              <w:t>支持新增某批次药品设置</w:t>
            </w:r>
            <w:r>
              <w:rPr>
                <w:rFonts w:hint="eastAsia" w:ascii="宋体" w:hAnsi="宋体" w:eastAsia="宋体" w:cs="Times New Roman"/>
                <w:kern w:val="0"/>
                <w:sz w:val="21"/>
                <w:szCs w:val="21"/>
                <w:highlight w:val="none"/>
                <w:lang w:val="en-US" w:eastAsia="zh-CN" w:bidi="ar-SA"/>
              </w:rPr>
              <w:t>，</w:t>
            </w:r>
            <w:r>
              <w:rPr>
                <w:rFonts w:ascii="宋体" w:hAnsi="宋体" w:eastAsia="宋体" w:cs="Times New Roman"/>
                <w:kern w:val="0"/>
                <w:sz w:val="21"/>
                <w:szCs w:val="21"/>
                <w:highlight w:val="none"/>
                <w:lang w:val="en-US" w:eastAsia="zh-CN" w:bidi="ar-SA"/>
              </w:rPr>
              <w:t>每个品种药品下可设置多个同类药品，不同规格之间可设置最小单位及基准单位换算比进行换算</w:t>
            </w:r>
            <w:r>
              <w:rPr>
                <w:rFonts w:hint="eastAsia" w:ascii="宋体" w:hAnsi="宋体" w:eastAsia="宋体" w:cs="Times New Roman"/>
                <w:kern w:val="0"/>
                <w:sz w:val="21"/>
                <w:szCs w:val="21"/>
                <w:highlight w:val="none"/>
                <w:lang w:val="en-US" w:eastAsia="zh-CN" w:bidi="ar-SA"/>
              </w:rPr>
              <w:t>，</w:t>
            </w:r>
            <w:r>
              <w:rPr>
                <w:rFonts w:ascii="宋体" w:hAnsi="宋体" w:eastAsia="宋体" w:cs="Times New Roman"/>
                <w:kern w:val="0"/>
                <w:sz w:val="21"/>
                <w:szCs w:val="21"/>
                <w:highlight w:val="none"/>
                <w:lang w:val="en-US" w:eastAsia="zh-CN" w:bidi="ar-SA"/>
              </w:rPr>
              <w:t>支持设置科室药品使用目标量</w:t>
            </w:r>
            <w:r>
              <w:rPr>
                <w:rFonts w:hint="eastAsia" w:ascii="宋体" w:hAnsi="宋体" w:eastAsia="宋体" w:cs="Times New Roman"/>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3</w:t>
            </w:r>
          </w:p>
        </w:tc>
        <w:tc>
          <w:tcPr>
            <w:tcW w:w="1800"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临床药品处方智能判断</w:t>
            </w:r>
          </w:p>
        </w:tc>
        <w:tc>
          <w:tcPr>
            <w:tcW w:w="6120"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临床开药智能判断是否存在同类</w:t>
            </w:r>
            <w:r>
              <w:rPr>
                <w:rFonts w:ascii="宋体" w:hAnsi="宋体" w:eastAsia="宋体" w:cs="Times New Roman"/>
                <w:kern w:val="0"/>
                <w:sz w:val="21"/>
                <w:szCs w:val="21"/>
                <w:highlight w:val="none"/>
                <w:lang w:val="en-US" w:eastAsia="zh-CN" w:bidi="ar-SA"/>
              </w:rPr>
              <w:t>4+7政策药，如有，则提供给医生选择</w:t>
            </w:r>
            <w:r>
              <w:rPr>
                <w:rFonts w:hint="eastAsia" w:ascii="宋体" w:hAnsi="宋体" w:eastAsia="宋体" w:cs="Times New Roman"/>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35" w:type="dxa"/>
            <w:vAlign w:val="center"/>
          </w:tcPr>
          <w:p>
            <w:pPr>
              <w:widowControl/>
              <w:numPr>
                <w:ilvl w:val="0"/>
                <w:numId w:val="0"/>
              </w:numPr>
              <w:snapToGrid w:val="0"/>
              <w:spacing w:line="400" w:lineRule="exact"/>
              <w:ind w:leftChars="0"/>
              <w:jc w:val="center"/>
              <w:rPr>
                <w:rFonts w:hint="default"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4</w:t>
            </w:r>
          </w:p>
        </w:tc>
        <w:tc>
          <w:tcPr>
            <w:tcW w:w="1800"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联盟药品使用分析报表</w:t>
            </w:r>
          </w:p>
        </w:tc>
        <w:tc>
          <w:tcPr>
            <w:tcW w:w="6120"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支持按使用范围、日期、科室等条件查询相应报表。</w:t>
            </w:r>
            <w:r>
              <w:rPr>
                <w:rFonts w:ascii="宋体" w:hAnsi="宋体" w:eastAsia="宋体" w:cs="Times New Roman"/>
                <w:kern w:val="0"/>
                <w:sz w:val="21"/>
                <w:szCs w:val="21"/>
                <w:highlight w:val="none"/>
                <w:lang w:val="en-US" w:eastAsia="zh-CN" w:bidi="ar-SA"/>
              </w:rPr>
              <w:t>针对不同层级的统计，新增不同的权限，提供给对应人员或角色。</w:t>
            </w:r>
            <w:r>
              <w:rPr>
                <w:rFonts w:hint="eastAsia" w:ascii="宋体" w:hAnsi="宋体" w:eastAsia="宋体" w:cs="Times New Roman"/>
                <w:kern w:val="0"/>
                <w:sz w:val="21"/>
                <w:szCs w:val="21"/>
                <w:highlight w:val="none"/>
                <w:lang w:val="en-US" w:eastAsia="zh-CN" w:bidi="ar-SA"/>
              </w:rPr>
              <w:t>支持</w:t>
            </w:r>
            <w:r>
              <w:rPr>
                <w:rFonts w:ascii="宋体" w:hAnsi="宋体" w:eastAsia="宋体" w:cs="Times New Roman"/>
                <w:kern w:val="0"/>
                <w:sz w:val="21"/>
                <w:szCs w:val="21"/>
                <w:highlight w:val="none"/>
                <w:lang w:val="en-US" w:eastAsia="zh-CN" w:bidi="ar-SA"/>
              </w:rPr>
              <w:t>报表查询</w:t>
            </w:r>
            <w:r>
              <w:rPr>
                <w:rFonts w:hint="eastAsia" w:ascii="宋体" w:hAnsi="宋体" w:eastAsia="宋体" w:cs="Times New Roman"/>
                <w:kern w:val="0"/>
                <w:sz w:val="21"/>
                <w:szCs w:val="21"/>
                <w:highlight w:val="none"/>
                <w:lang w:val="en-US" w:eastAsia="zh-CN" w:bidi="ar-SA"/>
              </w:rPr>
              <w:t>、</w:t>
            </w:r>
            <w:r>
              <w:rPr>
                <w:rFonts w:ascii="宋体" w:hAnsi="宋体" w:eastAsia="宋体" w:cs="Times New Roman"/>
                <w:kern w:val="0"/>
                <w:sz w:val="21"/>
                <w:szCs w:val="21"/>
                <w:highlight w:val="none"/>
                <w:lang w:val="en-US" w:eastAsia="zh-CN" w:bidi="ar-SA"/>
              </w:rPr>
              <w:t>统计</w:t>
            </w:r>
            <w:r>
              <w:rPr>
                <w:rFonts w:hint="eastAsia" w:ascii="宋体" w:hAnsi="宋体" w:eastAsia="宋体" w:cs="Times New Roman"/>
                <w:kern w:val="0"/>
                <w:sz w:val="21"/>
                <w:szCs w:val="21"/>
                <w:highlight w:val="none"/>
                <w:lang w:val="en-US" w:eastAsia="zh-CN" w:bidi="ar-SA"/>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18、</w:t>
      </w:r>
      <w:r>
        <w:rPr>
          <w:rFonts w:hint="eastAsia" w:ascii="宋体" w:hAnsi="宋体" w:eastAsia="宋体" w:cs="宋体"/>
          <w:color w:val="auto"/>
          <w:sz w:val="21"/>
          <w:szCs w:val="21"/>
          <w:highlight w:val="none"/>
          <w:lang w:val="en-US" w:eastAsia="zh-CN"/>
        </w:rPr>
        <w:t>诊间专科退号功能</w:t>
      </w:r>
    </w:p>
    <w:tbl>
      <w:tblPr>
        <w:tblStyle w:val="26"/>
        <w:tblW w:w="8685"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70"/>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65"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770" w:type="dxa"/>
            <w:vAlign w:val="center"/>
          </w:tcPr>
          <w:p>
            <w:pPr>
              <w:widowControl/>
              <w:snapToGrid w:val="0"/>
              <w:spacing w:line="400" w:lineRule="exact"/>
              <w:jc w:val="center"/>
              <w:rPr>
                <w:rFonts w:ascii="宋体" w:hAnsi="宋体" w:eastAsia="宋体" w:cs="Times New Roman"/>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150" w:type="dxa"/>
            <w:vAlign w:val="center"/>
          </w:tcPr>
          <w:p>
            <w:pPr>
              <w:widowControl/>
              <w:snapToGrid w:val="0"/>
              <w:spacing w:line="400" w:lineRule="exact"/>
              <w:jc w:val="left"/>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65"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770" w:type="dxa"/>
            <w:vMerge w:val="restart"/>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总体要求</w:t>
            </w:r>
          </w:p>
        </w:tc>
        <w:tc>
          <w:tcPr>
            <w:tcW w:w="6150"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支持医生在诊间进行退号操作。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65"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770"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50"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退号时，需要将号子，退回到号源信息中。</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beforeLines="100"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自助机退号功能</w:t>
      </w:r>
    </w:p>
    <w:tbl>
      <w:tblPr>
        <w:tblStyle w:val="26"/>
        <w:tblW w:w="873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755"/>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95"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755" w:type="dxa"/>
            <w:vAlign w:val="center"/>
          </w:tcPr>
          <w:p>
            <w:pPr>
              <w:widowControl/>
              <w:snapToGrid w:val="0"/>
              <w:spacing w:line="400" w:lineRule="exact"/>
              <w:jc w:val="center"/>
              <w:rPr>
                <w:rFonts w:ascii="宋体" w:hAnsi="宋体" w:eastAsia="宋体" w:cs="Times New Roman"/>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180"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95"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755" w:type="dxa"/>
            <w:vMerge w:val="restart"/>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总体要求</w:t>
            </w:r>
          </w:p>
        </w:tc>
        <w:tc>
          <w:tcPr>
            <w:tcW w:w="6180"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支持患者在自助机上进行退号操作。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95"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755" w:type="dxa"/>
            <w:vMerge w:val="continue"/>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p>
        </w:tc>
        <w:tc>
          <w:tcPr>
            <w:tcW w:w="6180"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退号时，需要将号子，退回到号源信息中。</w:t>
            </w:r>
          </w:p>
        </w:tc>
      </w:tr>
    </w:tbl>
    <w:p>
      <w:pPr>
        <w:pStyle w:val="114"/>
        <w:keepNext w:val="0"/>
        <w:keepLines w:val="0"/>
        <w:pageBreakBefore w:val="0"/>
        <w:widowControl w:val="0"/>
        <w:numPr>
          <w:ilvl w:val="0"/>
          <w:numId w:val="3"/>
        </w:numPr>
        <w:kinsoku/>
        <w:wordWrap/>
        <w:overflowPunct/>
        <w:topLinePunct w:val="0"/>
        <w:autoSpaceDE/>
        <w:autoSpaceDN/>
        <w:bidi w:val="0"/>
        <w:adjustRightInd w:val="0"/>
        <w:snapToGrid/>
        <w:spacing w:before="0" w:beforeLines="100" w:line="360" w:lineRule="auto"/>
        <w:ind w:left="0" w:leftChars="0" w:firstLine="0" w:firstLineChars="0"/>
        <w:textAlignment w:val="baseline"/>
        <w:rPr>
          <w:rFonts w:hint="eastAsia"/>
          <w:highlight w:val="none"/>
          <w:lang w:val="en-US" w:eastAsia="zh-CN"/>
        </w:rPr>
      </w:pPr>
      <w:r>
        <w:rPr>
          <w:rFonts w:hint="eastAsia"/>
          <w:highlight w:val="none"/>
          <w:lang w:val="en-US" w:eastAsia="zh-CN"/>
        </w:rPr>
        <w:t>医保诊断库与手术编码库升级</w:t>
      </w:r>
    </w:p>
    <w:tbl>
      <w:tblPr>
        <w:tblStyle w:val="26"/>
        <w:tblW w:w="8715"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755"/>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snapToGrid w:val="0"/>
              <w:spacing w:line="400" w:lineRule="exact"/>
              <w:jc w:val="center"/>
              <w:rPr>
                <w:rFonts w:hint="eastAsia" w:ascii="宋体" w:hAnsi="宋体" w:eastAsia="宋体" w:cs="宋体"/>
                <w:bCs/>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序号</w:t>
            </w:r>
          </w:p>
        </w:tc>
        <w:tc>
          <w:tcPr>
            <w:tcW w:w="1755" w:type="dxa"/>
            <w:vAlign w:val="center"/>
          </w:tcPr>
          <w:p>
            <w:pPr>
              <w:widowControl/>
              <w:snapToGrid w:val="0"/>
              <w:spacing w:line="400" w:lineRule="exact"/>
              <w:jc w:val="center"/>
              <w:rPr>
                <w:rFonts w:hint="eastAsia" w:ascii="宋体" w:hAnsi="宋体" w:eastAsia="宋体" w:cs="宋体"/>
                <w:bCs/>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功能要求</w:t>
            </w:r>
          </w:p>
        </w:tc>
        <w:tc>
          <w:tcPr>
            <w:tcW w:w="6180"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1</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疾病ICD和名称字段长度扩展</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省异地医保疾病目录、宁波医保疾病目录、HIS疾病目录中ICD升级到32位、疾病名称升级到256位。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2</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新增疾病目录分类</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将诊断分类为：主诊断、非主诊断、非结算诊断、外因诊断、肿瘤形态学诊断等。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3</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新疾病目录导入及自动处理功能</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疾病目录Excel导入临时目录中并且增加版本控制、增加临时目录查看功能、增加临时表转入JBMC表、增加JBMC相关对应关系提前设置的功能、增加临时表导入宁波医保和省异地医保疾病目录表、增加新目录统一更新疾病版本功能、增加批量疾病目录启用和停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4</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新增省异地疾病匹配功能</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HIS疾病目录与省异地疾病目录匹配功能，增加匹配的灵活性。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5</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疾病报卡设置功能调整</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针对已经设置的需报卡疾病诊断，根据ICD码和名称自动转换已有的设置，减少手工设置工作量。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6</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宁波医保单病种匹配功能调整</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增加不同版本疾病目录单病种匹配，实现提前匹配的功能，以便于准确时间点启用新目录。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7</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临床路径设置功能调整</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针对启用临床路径用户，增加不同版本疾病目录设置，实现提前设置的功能，以便于准确时间点启用新目录。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8</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门诊住院收费诊断控制</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门诊住院收费(窗口、诊间、自助机)判断第一个是否为主诊断并过滤非结算诊断。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9</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门诊退费诊断控制</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门诊退费时判断原有诊断是否已经停用，如果停用或未匹配，则提供重新输入新诊断功能完成门诊退费。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10</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门诊医生诊断分类显示</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在门诊医生处增加疾病分类简称显示，诊断输入时同名称诊断自动将主诊断排在前面。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11</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门诊医生诊断输入控制</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允许医院根据疾病分类来设置门诊医生可以输入哪些分类的诊断；门诊第一个诊断必须主诊断。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780" w:type="dxa"/>
            <w:vAlign w:val="center"/>
          </w:tcPr>
          <w:p>
            <w:pPr>
              <w:widowControl/>
              <w:numPr>
                <w:ilvl w:val="0"/>
                <w:numId w:val="0"/>
              </w:numPr>
              <w:snapToGrid w:val="0"/>
              <w:spacing w:line="400" w:lineRule="exact"/>
              <w:ind w:leftChars="0"/>
              <w:jc w:val="center"/>
              <w:rPr>
                <w:rFonts w:hint="default"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12</w:t>
            </w:r>
          </w:p>
        </w:tc>
        <w:tc>
          <w:tcPr>
            <w:tcW w:w="1755"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住院医生诊断输入控制</w:t>
            </w:r>
          </w:p>
        </w:tc>
        <w:tc>
          <w:tcPr>
            <w:tcW w:w="618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住院医生主要诊断控制输入分类为主诊断的诊断。</w:t>
            </w:r>
          </w:p>
        </w:tc>
      </w:tr>
    </w:tbl>
    <w:p>
      <w:pPr>
        <w:pStyle w:val="114"/>
        <w:keepNext w:val="0"/>
        <w:keepLines w:val="0"/>
        <w:pageBreakBefore w:val="0"/>
        <w:widowControl w:val="0"/>
        <w:numPr>
          <w:ilvl w:val="0"/>
          <w:numId w:val="3"/>
        </w:numPr>
        <w:kinsoku/>
        <w:wordWrap/>
        <w:overflowPunct/>
        <w:topLinePunct w:val="0"/>
        <w:autoSpaceDE/>
        <w:autoSpaceDN/>
        <w:bidi w:val="0"/>
        <w:adjustRightInd w:val="0"/>
        <w:snapToGrid/>
        <w:spacing w:before="0" w:beforeLines="100" w:line="360" w:lineRule="auto"/>
        <w:ind w:left="0" w:leftChars="0" w:firstLine="0" w:firstLineChars="0"/>
        <w:textAlignment w:val="baseline"/>
        <w:rPr>
          <w:rFonts w:hint="eastAsia"/>
          <w:highlight w:val="none"/>
          <w:lang w:val="en-US" w:eastAsia="zh-CN"/>
        </w:rPr>
      </w:pPr>
      <w:r>
        <w:rPr>
          <w:rFonts w:hint="eastAsia"/>
          <w:highlight w:val="none"/>
          <w:lang w:val="en-US" w:eastAsia="zh-CN"/>
        </w:rPr>
        <w:t>民政接口</w:t>
      </w:r>
    </w:p>
    <w:tbl>
      <w:tblPr>
        <w:tblStyle w:val="26"/>
        <w:tblW w:w="87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569"/>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891"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569" w:type="dxa"/>
            <w:vAlign w:val="center"/>
          </w:tcPr>
          <w:p>
            <w:pPr>
              <w:widowControl/>
              <w:snapToGrid w:val="0"/>
              <w:spacing w:line="400" w:lineRule="exact"/>
              <w:jc w:val="center"/>
              <w:rPr>
                <w:rFonts w:ascii="宋体" w:hAnsi="宋体" w:eastAsia="宋体" w:cs="Times New Roman"/>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315" w:type="dxa"/>
            <w:vAlign w:val="center"/>
          </w:tcPr>
          <w:p>
            <w:pPr>
              <w:widowControl/>
              <w:snapToGrid w:val="0"/>
              <w:spacing w:line="400" w:lineRule="exact"/>
              <w:jc w:val="left"/>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891"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569"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民政接口</w:t>
            </w:r>
          </w:p>
        </w:tc>
        <w:tc>
          <w:tcPr>
            <w:tcW w:w="6315"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需实现与宁波市民政系统的对接，按政策要求进行数据指标的交互。</w:t>
            </w:r>
          </w:p>
        </w:tc>
      </w:tr>
    </w:tbl>
    <w:p>
      <w:pPr>
        <w:pStyle w:val="114"/>
        <w:keepNext w:val="0"/>
        <w:keepLines w:val="0"/>
        <w:pageBreakBefore w:val="0"/>
        <w:widowControl w:val="0"/>
        <w:numPr>
          <w:ilvl w:val="0"/>
          <w:numId w:val="3"/>
        </w:numPr>
        <w:kinsoku/>
        <w:wordWrap/>
        <w:overflowPunct/>
        <w:topLinePunct w:val="0"/>
        <w:autoSpaceDE/>
        <w:autoSpaceDN/>
        <w:bidi w:val="0"/>
        <w:adjustRightInd w:val="0"/>
        <w:snapToGrid/>
        <w:spacing w:before="0" w:beforeLines="100" w:line="360" w:lineRule="auto"/>
        <w:ind w:left="0" w:leftChars="0" w:firstLine="0" w:firstLineChars="0"/>
        <w:textAlignment w:val="baseline"/>
        <w:rPr>
          <w:rFonts w:hint="eastAsia"/>
          <w:highlight w:val="none"/>
          <w:lang w:val="en-US" w:eastAsia="zh-CN"/>
        </w:rPr>
      </w:pPr>
      <w:r>
        <w:rPr>
          <w:rFonts w:hint="eastAsia"/>
          <w:highlight w:val="none"/>
          <w:lang w:val="en-US" w:eastAsia="zh-CN"/>
        </w:rPr>
        <w:t>港澳台取号</w:t>
      </w:r>
    </w:p>
    <w:tbl>
      <w:tblPr>
        <w:tblStyle w:val="26"/>
        <w:tblW w:w="87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569"/>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891"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569" w:type="dxa"/>
            <w:vAlign w:val="center"/>
          </w:tcPr>
          <w:p>
            <w:pPr>
              <w:widowControl/>
              <w:snapToGrid w:val="0"/>
              <w:spacing w:line="400" w:lineRule="exact"/>
              <w:jc w:val="center"/>
              <w:rPr>
                <w:rFonts w:ascii="宋体" w:hAnsi="宋体" w:eastAsia="宋体" w:cs="Times New Roman"/>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330"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891"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569"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港澳台取号</w:t>
            </w:r>
          </w:p>
        </w:tc>
        <w:tc>
          <w:tcPr>
            <w:tcW w:w="6330"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支持港澳台通行证号源取号。</w:t>
            </w:r>
          </w:p>
        </w:tc>
      </w:tr>
    </w:tbl>
    <w:p>
      <w:pPr>
        <w:pStyle w:val="114"/>
        <w:keepNext w:val="0"/>
        <w:keepLines w:val="0"/>
        <w:pageBreakBefore w:val="0"/>
        <w:widowControl w:val="0"/>
        <w:numPr>
          <w:ilvl w:val="0"/>
          <w:numId w:val="3"/>
        </w:numPr>
        <w:kinsoku/>
        <w:wordWrap/>
        <w:overflowPunct/>
        <w:topLinePunct w:val="0"/>
        <w:autoSpaceDE/>
        <w:autoSpaceDN/>
        <w:bidi w:val="0"/>
        <w:adjustRightInd w:val="0"/>
        <w:snapToGrid/>
        <w:spacing w:before="0" w:beforeLines="100" w:line="360" w:lineRule="auto"/>
        <w:ind w:left="0" w:leftChars="0" w:firstLine="0" w:firstLineChars="0"/>
        <w:textAlignment w:val="baseline"/>
        <w:rPr>
          <w:rFonts w:hint="eastAsia"/>
          <w:highlight w:val="none"/>
          <w:lang w:val="en-US" w:eastAsia="zh-CN"/>
        </w:rPr>
      </w:pPr>
      <w:r>
        <w:rPr>
          <w:rFonts w:hint="eastAsia"/>
          <w:highlight w:val="none"/>
          <w:lang w:val="en-US" w:eastAsia="zh-CN"/>
        </w:rPr>
        <w:t>罕见病接口</w:t>
      </w:r>
    </w:p>
    <w:tbl>
      <w:tblPr>
        <w:tblStyle w:val="26"/>
        <w:tblW w:w="8835"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599"/>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906"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599" w:type="dxa"/>
            <w:vAlign w:val="center"/>
          </w:tcPr>
          <w:p>
            <w:pPr>
              <w:widowControl/>
              <w:snapToGrid w:val="0"/>
              <w:spacing w:line="400" w:lineRule="exact"/>
              <w:jc w:val="center"/>
              <w:rPr>
                <w:rFonts w:ascii="宋体" w:hAnsi="宋体" w:eastAsia="宋体" w:cs="Times New Roman"/>
                <w:bCs/>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330" w:type="dxa"/>
            <w:vAlign w:val="center"/>
          </w:tcPr>
          <w:p>
            <w:pPr>
              <w:widowControl/>
              <w:snapToGrid w:val="0"/>
              <w:spacing w:line="400" w:lineRule="exact"/>
              <w:jc w:val="center"/>
              <w:rPr>
                <w:rFonts w:ascii="宋体" w:hAnsi="宋体" w:eastAsia="宋体" w:cs="宋体"/>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906"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599" w:type="dxa"/>
            <w:vAlign w:val="center"/>
          </w:tcPr>
          <w:p>
            <w:pPr>
              <w:widowControl/>
              <w:snapToGrid w:val="0"/>
              <w:spacing w:line="400" w:lineRule="exac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罕见病接口</w:t>
            </w:r>
          </w:p>
        </w:tc>
        <w:tc>
          <w:tcPr>
            <w:tcW w:w="6330" w:type="dxa"/>
            <w:vAlign w:val="center"/>
          </w:tcPr>
          <w:p>
            <w:pPr>
              <w:widowControl/>
              <w:snapToGrid w:val="0"/>
              <w:spacing w:line="400" w:lineRule="exact"/>
              <w:jc w:val="left"/>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需实现与宁波市医保中心对接，按政策要求进行相关罕见疾病的数据指标交互。</w:t>
            </w:r>
          </w:p>
        </w:tc>
      </w:tr>
    </w:tbl>
    <w:p>
      <w:pPr>
        <w:pStyle w:val="114"/>
        <w:keepNext w:val="0"/>
        <w:keepLines w:val="0"/>
        <w:pageBreakBefore w:val="0"/>
        <w:widowControl w:val="0"/>
        <w:numPr>
          <w:ilvl w:val="0"/>
          <w:numId w:val="3"/>
        </w:numPr>
        <w:kinsoku/>
        <w:wordWrap/>
        <w:overflowPunct/>
        <w:topLinePunct w:val="0"/>
        <w:autoSpaceDE/>
        <w:autoSpaceDN/>
        <w:bidi w:val="0"/>
        <w:adjustRightInd w:val="0"/>
        <w:snapToGrid/>
        <w:spacing w:before="0" w:beforeLines="100" w:line="360" w:lineRule="auto"/>
        <w:ind w:left="0" w:leftChars="0" w:firstLine="0" w:firstLineChars="0"/>
        <w:textAlignment w:val="baseline"/>
        <w:rPr>
          <w:rFonts w:hint="eastAsia"/>
          <w:highlight w:val="none"/>
          <w:lang w:val="en-US" w:eastAsia="zh-CN"/>
        </w:rPr>
      </w:pPr>
      <w:r>
        <w:rPr>
          <w:rFonts w:hint="eastAsia"/>
          <w:highlight w:val="none"/>
          <w:lang w:val="en-US" w:eastAsia="zh-CN"/>
        </w:rPr>
        <w:t>云医院对接</w:t>
      </w:r>
    </w:p>
    <w:p>
      <w:pPr>
        <w:pStyle w:val="114"/>
        <w:keepNext w:val="0"/>
        <w:keepLines w:val="0"/>
        <w:pageBreakBefore w:val="0"/>
        <w:widowControl w:val="0"/>
        <w:numPr>
          <w:ilvl w:val="0"/>
          <w:numId w:val="0"/>
        </w:numPr>
        <w:kinsoku/>
        <w:wordWrap/>
        <w:overflowPunct/>
        <w:topLinePunct w:val="0"/>
        <w:autoSpaceDE/>
        <w:autoSpaceDN/>
        <w:bidi w:val="0"/>
        <w:adjustRightInd w:val="0"/>
        <w:snapToGrid/>
        <w:spacing w:before="0" w:beforeLines="100" w:line="360" w:lineRule="auto"/>
        <w:ind w:leftChars="0"/>
        <w:textAlignment w:val="baseline"/>
        <w:rPr>
          <w:rFonts w:hint="eastAsia"/>
          <w:highlight w:val="none"/>
          <w:lang w:val="en-US" w:eastAsia="zh-CN"/>
        </w:rPr>
      </w:pPr>
      <w:r>
        <w:rPr>
          <w:rFonts w:hint="eastAsia"/>
          <w:highlight w:val="none"/>
          <w:lang w:val="en-US" w:eastAsia="zh-CN"/>
        </w:rPr>
        <w:t>24.1、云医院预约挂号平台对接</w:t>
      </w:r>
    </w:p>
    <w:tbl>
      <w:tblPr>
        <w:tblStyle w:val="26"/>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547"/>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序号</w:t>
            </w:r>
          </w:p>
        </w:tc>
        <w:tc>
          <w:tcPr>
            <w:tcW w:w="1547" w:type="dxa"/>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功能要求</w:t>
            </w:r>
          </w:p>
        </w:tc>
        <w:tc>
          <w:tcPr>
            <w:tcW w:w="6345" w:type="dxa"/>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w:t>
            </w:r>
          </w:p>
        </w:tc>
        <w:tc>
          <w:tcPr>
            <w:tcW w:w="1547"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内部号源体系的改造</w:t>
            </w: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针对云医院单独开辟号源，实现号源的独立管理。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w:t>
            </w:r>
          </w:p>
        </w:tc>
        <w:tc>
          <w:tcPr>
            <w:tcW w:w="1547" w:type="dxa"/>
            <w:vMerge w:val="restart"/>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号源数据的交换</w:t>
            </w: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HIS提供服务用于接收云平台提供的</w:t>
            </w:r>
            <w:r>
              <w:rPr>
                <w:rFonts w:hint="eastAsia" w:ascii="宋体" w:hAnsi="宋体" w:eastAsia="宋体" w:cs="宋体"/>
                <w:color w:val="000000"/>
                <w:kern w:val="0"/>
                <w:sz w:val="21"/>
                <w:szCs w:val="21"/>
                <w:highlight w:val="none"/>
                <w:lang w:val="en-US" w:eastAsia="zh-CN" w:bidi="ar-SA"/>
              </w:rPr>
              <w:t>预约信息，以进行医疗机构内部锁号。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w:t>
            </w:r>
          </w:p>
        </w:tc>
        <w:tc>
          <w:tcPr>
            <w:tcW w:w="1547"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HIS提供服务用于接收云平台提供的</w:t>
            </w:r>
            <w:r>
              <w:rPr>
                <w:rFonts w:hint="eastAsia" w:ascii="宋体" w:hAnsi="宋体" w:eastAsia="宋体" w:cs="宋体"/>
                <w:color w:val="000000"/>
                <w:kern w:val="0"/>
                <w:sz w:val="21"/>
                <w:szCs w:val="21"/>
                <w:highlight w:val="none"/>
                <w:lang w:val="en-US" w:eastAsia="zh-CN" w:bidi="ar-SA"/>
              </w:rPr>
              <w:t>取消预约信息，以取消医疗机构内部锁号。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w:t>
            </w:r>
          </w:p>
        </w:tc>
        <w:tc>
          <w:tcPr>
            <w:tcW w:w="1547" w:type="dxa"/>
            <w:vMerge w:val="restart"/>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医生排班数据的交换</w:t>
            </w: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从云医院平台下载云医院平台提供的完整科室编码表信息。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w:t>
            </w:r>
          </w:p>
        </w:tc>
        <w:tc>
          <w:tcPr>
            <w:tcW w:w="1547"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向云医院平台上传医疗机构可选的云医院就诊科室信息。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w:t>
            </w:r>
          </w:p>
        </w:tc>
        <w:tc>
          <w:tcPr>
            <w:tcW w:w="1547"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向云医院平台上传医疗机构在云医院中出科看诊的医生信息。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7</w:t>
            </w:r>
          </w:p>
        </w:tc>
        <w:tc>
          <w:tcPr>
            <w:tcW w:w="1547"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向云医院平台上传医疗机构的医生云医院初诊排班信息（号源）。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w:t>
            </w:r>
          </w:p>
        </w:tc>
        <w:tc>
          <w:tcPr>
            <w:tcW w:w="1547"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向云医院平台上传医疗机构已排班医生的停诊表（取消排班）。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9</w:t>
            </w:r>
          </w:p>
        </w:tc>
        <w:tc>
          <w:tcPr>
            <w:tcW w:w="1547" w:type="dxa"/>
            <w:vMerge w:val="restart"/>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预约挂号的相关数据处理</w:t>
            </w: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取号申请处理，HIS提供服务给平台调用，医院需要实现内部挂号数据的临时存储、预约挂号相关信息处理。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10</w:t>
            </w:r>
          </w:p>
        </w:tc>
        <w:tc>
          <w:tcPr>
            <w:tcW w:w="1547"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患者完成支付后，医院HIS生成结算数据并推送给云平台。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11</w:t>
            </w:r>
          </w:p>
        </w:tc>
        <w:tc>
          <w:tcPr>
            <w:tcW w:w="1547"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HIS提供服务用于接收云平台的未支付退号申请信息，取消挂号订单。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12</w:t>
            </w:r>
          </w:p>
        </w:tc>
        <w:tc>
          <w:tcPr>
            <w:tcW w:w="1547" w:type="dxa"/>
            <w:vMerge w:val="restart"/>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退号处理</w:t>
            </w: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患者退号时，HIS接收并保持退号申请信息。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13</w:t>
            </w:r>
          </w:p>
        </w:tc>
        <w:tc>
          <w:tcPr>
            <w:tcW w:w="1547" w:type="dxa"/>
            <w:vMerge w:val="continue"/>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患者到医院退号时，若有云平台的退号申请则HIS进行挂号作废。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14</w:t>
            </w:r>
          </w:p>
        </w:tc>
        <w:tc>
          <w:tcPr>
            <w:tcW w:w="1547" w:type="dxa"/>
            <w:vMerge w:val="continue"/>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挂号作废后，HIS将退号成功信息推送给云平台。</w:t>
            </w:r>
          </w:p>
        </w:tc>
      </w:tr>
    </w:tbl>
    <w:p>
      <w:pPr>
        <w:pStyle w:val="114"/>
        <w:keepNext w:val="0"/>
        <w:keepLines w:val="0"/>
        <w:pageBreakBefore w:val="0"/>
        <w:widowControl w:val="0"/>
        <w:numPr>
          <w:ilvl w:val="0"/>
          <w:numId w:val="0"/>
        </w:numPr>
        <w:kinsoku/>
        <w:wordWrap/>
        <w:overflowPunct/>
        <w:topLinePunct w:val="0"/>
        <w:autoSpaceDE/>
        <w:autoSpaceDN/>
        <w:bidi w:val="0"/>
        <w:adjustRightInd w:val="0"/>
        <w:snapToGrid/>
        <w:spacing w:before="0" w:beforeLines="100" w:line="360" w:lineRule="auto"/>
        <w:ind w:leftChars="0"/>
        <w:textAlignment w:val="baseline"/>
        <w:rPr>
          <w:rFonts w:hint="default"/>
          <w:highlight w:val="none"/>
          <w:lang w:val="en-US" w:eastAsia="zh-CN"/>
        </w:rPr>
      </w:pPr>
    </w:p>
    <w:p>
      <w:pPr>
        <w:rPr>
          <w:rFonts w:ascii="黑体" w:hAnsi="宋体" w:eastAsia="黑体"/>
          <w:color w:val="auto"/>
          <w:sz w:val="30"/>
          <w:szCs w:val="30"/>
          <w:highlight w:val="none"/>
        </w:rPr>
      </w:pPr>
      <w:r>
        <w:rPr>
          <w:color w:val="auto"/>
          <w:sz w:val="28"/>
          <w:szCs w:val="28"/>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24.2医保通结算处理对接</w:t>
      </w:r>
    </w:p>
    <w:tbl>
      <w:tblPr>
        <w:tblStyle w:val="26"/>
        <w:tblW w:w="882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530"/>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530" w:type="dxa"/>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345" w:type="dxa"/>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45"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530" w:type="dxa"/>
            <w:vMerge w:val="restart"/>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HIS系统</w:t>
            </w:r>
            <w:r>
              <w:rPr>
                <w:rFonts w:hint="eastAsia" w:ascii="宋体" w:hAnsi="宋体" w:eastAsia="宋体" w:cs="Times New Roman"/>
                <w:kern w:val="0"/>
                <w:sz w:val="21"/>
                <w:szCs w:val="21"/>
                <w:highlight w:val="none"/>
                <w:lang w:val="en-US" w:eastAsia="zh-CN" w:bidi="ar-SA"/>
              </w:rPr>
              <w:t>内部相关业务及数据处理</w:t>
            </w:r>
          </w:p>
        </w:tc>
        <w:tc>
          <w:tcPr>
            <w:tcW w:w="634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通过挂号订单推送交易生成挂号结算相关数据</w:t>
            </w:r>
            <w:r>
              <w:rPr>
                <w:rFonts w:hint="eastAsia" w:ascii="宋体" w:hAnsi="宋体" w:eastAsia="宋体" w:cs="Times New Roman"/>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45"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530" w:type="dxa"/>
            <w:vMerge w:val="continue"/>
            <w:vAlign w:val="center"/>
          </w:tcPr>
          <w:p>
            <w:pPr>
              <w:widowControl/>
              <w:spacing w:line="360" w:lineRule="atLeast"/>
              <w:jc w:val="center"/>
              <w:rPr>
                <w:rFonts w:ascii="宋体" w:hAnsi="宋体" w:eastAsia="宋体" w:cs="Times New Roman"/>
                <w:kern w:val="0"/>
                <w:sz w:val="21"/>
                <w:szCs w:val="21"/>
                <w:highlight w:val="none"/>
                <w:lang w:val="en-US" w:eastAsia="zh-CN" w:bidi="ar-SA"/>
              </w:rPr>
            </w:pPr>
          </w:p>
        </w:tc>
        <w:tc>
          <w:tcPr>
            <w:tcW w:w="634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通过</w:t>
            </w:r>
            <w:r>
              <w:rPr>
                <w:rFonts w:hint="eastAsia" w:ascii="宋体" w:hAnsi="宋体" w:eastAsia="宋体" w:cs="Times New Roman"/>
                <w:kern w:val="0"/>
                <w:sz w:val="21"/>
                <w:szCs w:val="21"/>
                <w:highlight w:val="none"/>
                <w:lang w:val="en-US" w:eastAsia="zh-CN" w:bidi="ar-SA"/>
              </w:rPr>
              <w:t>医保通推送的挂号结算信息完成HIS本地的挂号结算相关流程。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5"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3</w:t>
            </w:r>
          </w:p>
        </w:tc>
        <w:tc>
          <w:tcPr>
            <w:tcW w:w="1530" w:type="dxa"/>
            <w:vMerge w:val="restart"/>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与医保通进行结算数据的交换</w:t>
            </w:r>
          </w:p>
        </w:tc>
        <w:tc>
          <w:tcPr>
            <w:tcW w:w="634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患者取号时时，HIS生成挂号订单并将挂号订单推送给医保通。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45"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4</w:t>
            </w:r>
          </w:p>
        </w:tc>
        <w:tc>
          <w:tcPr>
            <w:tcW w:w="1530" w:type="dxa"/>
            <w:vMerge w:val="continue"/>
            <w:vAlign w:val="center"/>
          </w:tcPr>
          <w:p>
            <w:pPr>
              <w:widowControl/>
              <w:spacing w:line="360" w:lineRule="atLeast"/>
              <w:jc w:val="both"/>
              <w:rPr>
                <w:rFonts w:ascii="宋体" w:hAnsi="宋体" w:eastAsia="宋体" w:cs="Times New Roman"/>
                <w:kern w:val="0"/>
                <w:sz w:val="21"/>
                <w:szCs w:val="21"/>
                <w:highlight w:val="none"/>
                <w:lang w:val="en-US" w:eastAsia="zh-CN" w:bidi="ar-SA"/>
              </w:rPr>
            </w:pPr>
          </w:p>
        </w:tc>
        <w:tc>
          <w:tcPr>
            <w:tcW w:w="634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患者完成挂号支付时，HIS接收医保通的完成结算信息。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45"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5</w:t>
            </w:r>
          </w:p>
        </w:tc>
        <w:tc>
          <w:tcPr>
            <w:tcW w:w="1530" w:type="dxa"/>
            <w:vMerge w:val="continue"/>
            <w:vAlign w:val="center"/>
          </w:tcPr>
          <w:p>
            <w:pPr>
              <w:widowControl/>
              <w:spacing w:line="360" w:lineRule="atLeast"/>
              <w:jc w:val="both"/>
              <w:rPr>
                <w:rFonts w:ascii="宋体" w:hAnsi="宋体" w:eastAsia="宋体" w:cs="Times New Roman"/>
                <w:kern w:val="0"/>
                <w:sz w:val="21"/>
                <w:szCs w:val="21"/>
                <w:highlight w:val="none"/>
                <w:lang w:val="en-US" w:eastAsia="zh-CN" w:bidi="ar-SA"/>
              </w:rPr>
            </w:pPr>
          </w:p>
        </w:tc>
        <w:tc>
          <w:tcPr>
            <w:tcW w:w="634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患者未支付退号时，HIS取消挂号订单后并将信息推送给医保通。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45"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6</w:t>
            </w:r>
          </w:p>
        </w:tc>
        <w:tc>
          <w:tcPr>
            <w:tcW w:w="1530" w:type="dxa"/>
            <w:vMerge w:val="continue"/>
            <w:vAlign w:val="center"/>
          </w:tcPr>
          <w:p>
            <w:pPr>
              <w:widowControl/>
              <w:spacing w:line="360" w:lineRule="atLeast"/>
              <w:jc w:val="both"/>
              <w:rPr>
                <w:rFonts w:ascii="宋体" w:hAnsi="宋体" w:eastAsia="宋体" w:cs="Times New Roman"/>
                <w:kern w:val="0"/>
                <w:sz w:val="21"/>
                <w:szCs w:val="21"/>
                <w:highlight w:val="none"/>
                <w:lang w:val="en-US" w:eastAsia="zh-CN" w:bidi="ar-SA"/>
              </w:rPr>
            </w:pPr>
          </w:p>
        </w:tc>
        <w:tc>
          <w:tcPr>
            <w:tcW w:w="634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HIS诊疗信息生成后将信息推送给医保通。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45"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7</w:t>
            </w:r>
          </w:p>
        </w:tc>
        <w:tc>
          <w:tcPr>
            <w:tcW w:w="1530" w:type="dxa"/>
            <w:vMerge w:val="continue"/>
            <w:vAlign w:val="center"/>
          </w:tcPr>
          <w:p>
            <w:pPr>
              <w:widowControl/>
              <w:spacing w:line="360" w:lineRule="atLeast"/>
              <w:jc w:val="both"/>
              <w:rPr>
                <w:rFonts w:ascii="宋体" w:hAnsi="宋体" w:eastAsia="宋体" w:cs="Times New Roman"/>
                <w:kern w:val="0"/>
                <w:sz w:val="21"/>
                <w:szCs w:val="21"/>
                <w:highlight w:val="none"/>
                <w:lang w:val="en-US" w:eastAsia="zh-CN" w:bidi="ar-SA"/>
              </w:rPr>
            </w:pPr>
          </w:p>
        </w:tc>
        <w:tc>
          <w:tcPr>
            <w:tcW w:w="634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就诊处方取消时，HIS取消支付订单并将信息推送给医保通，HIS本地删除处方数据。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45"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8</w:t>
            </w:r>
          </w:p>
        </w:tc>
        <w:tc>
          <w:tcPr>
            <w:tcW w:w="1530" w:type="dxa"/>
            <w:vMerge w:val="continue"/>
            <w:vAlign w:val="center"/>
          </w:tcPr>
          <w:p>
            <w:pPr>
              <w:widowControl/>
              <w:spacing w:line="360" w:lineRule="atLeast"/>
              <w:jc w:val="both"/>
              <w:rPr>
                <w:rFonts w:ascii="宋体" w:hAnsi="宋体" w:eastAsia="宋体" w:cs="Times New Roman"/>
                <w:kern w:val="0"/>
                <w:sz w:val="21"/>
                <w:szCs w:val="21"/>
                <w:highlight w:val="none"/>
                <w:lang w:val="en-US" w:eastAsia="zh-CN" w:bidi="ar-SA"/>
              </w:rPr>
            </w:pPr>
          </w:p>
        </w:tc>
        <w:tc>
          <w:tcPr>
            <w:tcW w:w="634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诊疗处方结算时，HIS接收医保通的支付信息并在本地生成结算数据。</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24.3云医院平台接口对接</w:t>
      </w:r>
    </w:p>
    <w:tbl>
      <w:tblPr>
        <w:tblStyle w:val="26"/>
        <w:tblW w:w="8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530"/>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序号</w:t>
            </w:r>
          </w:p>
        </w:tc>
        <w:tc>
          <w:tcPr>
            <w:tcW w:w="1530" w:type="dxa"/>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功能要求</w:t>
            </w:r>
          </w:p>
        </w:tc>
        <w:tc>
          <w:tcPr>
            <w:tcW w:w="6345" w:type="dxa"/>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w:t>
            </w:r>
          </w:p>
        </w:tc>
        <w:tc>
          <w:tcPr>
            <w:tcW w:w="1530" w:type="dxa"/>
            <w:vMerge w:val="restart"/>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基础数据交换</w:t>
            </w: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医疗机构药品目录上传。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w:t>
            </w:r>
          </w:p>
        </w:tc>
        <w:tc>
          <w:tcPr>
            <w:tcW w:w="1530"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医疗机构药品用法字典信息上传。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w:t>
            </w:r>
          </w:p>
        </w:tc>
        <w:tc>
          <w:tcPr>
            <w:tcW w:w="1530"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医疗机构药品频次字典信息上传。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w:t>
            </w:r>
          </w:p>
        </w:tc>
        <w:tc>
          <w:tcPr>
            <w:tcW w:w="1530"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医疗机构诊疗项目信息上传。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w:t>
            </w:r>
          </w:p>
        </w:tc>
        <w:tc>
          <w:tcPr>
            <w:tcW w:w="1530" w:type="dxa"/>
            <w:vMerge w:val="restart"/>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诊疗数据交换</w:t>
            </w: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HIS提供服务用于接收云平台推送的病历信息。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w:t>
            </w:r>
          </w:p>
        </w:tc>
        <w:tc>
          <w:tcPr>
            <w:tcW w:w="1530"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HIS系统需要设计单独的表结构接收并预存病历信息。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7</w:t>
            </w:r>
          </w:p>
        </w:tc>
        <w:tc>
          <w:tcPr>
            <w:tcW w:w="1530"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HIS提供服务用于接收云平台推送的诊断信息。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w:t>
            </w:r>
          </w:p>
        </w:tc>
        <w:tc>
          <w:tcPr>
            <w:tcW w:w="1530"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HIS系统需要设计单独的表结构接收并预存诊断信息。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9</w:t>
            </w:r>
          </w:p>
        </w:tc>
        <w:tc>
          <w:tcPr>
            <w:tcW w:w="1530" w:type="dxa"/>
            <w:vMerge w:val="restart"/>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处方数据交换</w:t>
            </w: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HIS提供服务用于接收云平台的下发的处方信息，并在医院端生成处方信息。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10</w:t>
            </w:r>
          </w:p>
        </w:tc>
        <w:tc>
          <w:tcPr>
            <w:tcW w:w="1530"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HIS提供服务用于接收云平台的未支付处方取消信息。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11</w:t>
            </w:r>
          </w:p>
        </w:tc>
        <w:tc>
          <w:tcPr>
            <w:tcW w:w="1530"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HIS取消支付订单后删除本地就诊处方数据，并将就诊处方取消信息推送给云平台。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12</w:t>
            </w:r>
          </w:p>
        </w:tc>
        <w:tc>
          <w:tcPr>
            <w:tcW w:w="1530" w:type="dxa"/>
            <w:vMerge w:val="continue"/>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处方结算时，HIS结算数据生成后将支付成功信息推送给云平台。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13</w:t>
            </w:r>
          </w:p>
        </w:tc>
        <w:tc>
          <w:tcPr>
            <w:tcW w:w="1530" w:type="dxa"/>
            <w:vMerge w:val="restart"/>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退药数据交换</w:t>
            </w: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HIS提供服务用于接收云平台确认的退药申请信息。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30" w:type="dxa"/>
            <w:vAlign w:val="center"/>
          </w:tcPr>
          <w:p>
            <w:pPr>
              <w:widowControl/>
              <w:spacing w:line="360" w:lineRule="atLeas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14</w:t>
            </w:r>
          </w:p>
        </w:tc>
        <w:tc>
          <w:tcPr>
            <w:tcW w:w="1530" w:type="dxa"/>
            <w:vMerge w:val="continue"/>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p>
        </w:tc>
        <w:tc>
          <w:tcPr>
            <w:tcW w:w="6345" w:type="dxa"/>
            <w:vAlign w:val="center"/>
          </w:tcPr>
          <w:p>
            <w:pPr>
              <w:widowControl/>
              <w:spacing w:line="360" w:lineRule="atLeast"/>
              <w:jc w:val="both"/>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云平台订单在医院窗口退药后，HIS将退药完毕信息推送给云平台。</w:t>
            </w:r>
          </w:p>
        </w:tc>
      </w:tr>
    </w:tbl>
    <w:p>
      <w:pPr>
        <w:rPr>
          <w:color w:val="auto"/>
          <w:sz w:val="28"/>
          <w:szCs w:val="28"/>
          <w:highlight w:val="none"/>
        </w:rPr>
      </w:pPr>
      <w:r>
        <w:rPr>
          <w:color w:val="auto"/>
          <w:sz w:val="28"/>
          <w:szCs w:val="28"/>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24.4</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HIS内部业务处理改造</w:t>
      </w:r>
    </w:p>
    <w:tbl>
      <w:tblPr>
        <w:tblStyle w:val="26"/>
        <w:tblW w:w="8835"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00"/>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500" w:type="dxa"/>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375" w:type="dxa"/>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6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50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医保匹配备案功能改造</w:t>
            </w:r>
          </w:p>
        </w:tc>
        <w:tc>
          <w:tcPr>
            <w:tcW w:w="637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医保基础数据备案调整，包括：科室、医生、收费终端。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6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500" w:type="dxa"/>
            <w:vMerge w:val="restart"/>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挂号适应性改造</w:t>
            </w:r>
          </w:p>
        </w:tc>
        <w:tc>
          <w:tcPr>
            <w:tcW w:w="637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挂号功能针对互联网排班进行控制，窗口挂号不能挂云平台号源，相反云平台不能挂窗口号源。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6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3</w:t>
            </w:r>
          </w:p>
        </w:tc>
        <w:tc>
          <w:tcPr>
            <w:tcW w:w="1500" w:type="dxa"/>
            <w:vMerge w:val="continue"/>
            <w:vAlign w:val="center"/>
          </w:tcPr>
          <w:p>
            <w:pPr>
              <w:widowControl/>
              <w:spacing w:line="360" w:lineRule="atLeast"/>
              <w:jc w:val="center"/>
              <w:rPr>
                <w:rFonts w:ascii="宋体" w:hAnsi="宋体" w:eastAsia="宋体" w:cs="Times New Roman"/>
                <w:kern w:val="0"/>
                <w:sz w:val="21"/>
                <w:szCs w:val="21"/>
                <w:highlight w:val="none"/>
                <w:lang w:val="en-US" w:eastAsia="zh-CN" w:bidi="ar-SA"/>
              </w:rPr>
            </w:pPr>
          </w:p>
        </w:tc>
        <w:tc>
          <w:tcPr>
            <w:tcW w:w="637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针对云平台预约取号开发单独的业务处理对象，专门处理云平台取号挂号的数据。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6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4</w:t>
            </w:r>
          </w:p>
        </w:tc>
        <w:tc>
          <w:tcPr>
            <w:tcW w:w="150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退号适应性改造</w:t>
            </w:r>
          </w:p>
        </w:tc>
        <w:tc>
          <w:tcPr>
            <w:tcW w:w="637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HIS系统针对退号作控制，针对云平台预约取号的，只有通过云平台确认的才可以在窗口进行退号，退号完成通知云平台退号结果。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6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5</w:t>
            </w:r>
          </w:p>
        </w:tc>
        <w:tc>
          <w:tcPr>
            <w:tcW w:w="1500" w:type="dxa"/>
            <w:vMerge w:val="restart"/>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门诊诊断、电子病历、处方适应性改造</w:t>
            </w:r>
          </w:p>
        </w:tc>
        <w:tc>
          <w:tcPr>
            <w:tcW w:w="637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HIS系统需要接收云平台的诊断，相应设计独立的临时存储数据结构，保存云医院相关信息，同时做到和医院内部的诊断进行兼容，生成完整的内部诊断信息。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6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6</w:t>
            </w:r>
          </w:p>
        </w:tc>
        <w:tc>
          <w:tcPr>
            <w:tcW w:w="1500" w:type="dxa"/>
            <w:vMerge w:val="continue"/>
            <w:vAlign w:val="center"/>
          </w:tcPr>
          <w:p>
            <w:pPr>
              <w:widowControl/>
              <w:spacing w:line="360" w:lineRule="atLeast"/>
              <w:jc w:val="center"/>
              <w:rPr>
                <w:rFonts w:ascii="宋体" w:hAnsi="宋体" w:eastAsia="宋体" w:cs="Times New Roman"/>
                <w:kern w:val="0"/>
                <w:sz w:val="21"/>
                <w:szCs w:val="21"/>
                <w:highlight w:val="none"/>
                <w:lang w:val="en-US" w:eastAsia="zh-CN" w:bidi="ar-SA"/>
              </w:rPr>
            </w:pPr>
          </w:p>
        </w:tc>
        <w:tc>
          <w:tcPr>
            <w:tcW w:w="637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HIS系统需要接收云平台的病历，相应设计独立的临时存储数据结构，保存云医院相关信息，同时做到和医院内部的病历进行兼容，生成完整的内部病历信息。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6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7</w:t>
            </w:r>
          </w:p>
        </w:tc>
        <w:tc>
          <w:tcPr>
            <w:tcW w:w="1500" w:type="dxa"/>
            <w:vMerge w:val="continue"/>
            <w:vAlign w:val="center"/>
          </w:tcPr>
          <w:p>
            <w:pPr>
              <w:widowControl/>
              <w:spacing w:line="360" w:lineRule="atLeast"/>
              <w:jc w:val="center"/>
              <w:rPr>
                <w:rFonts w:ascii="宋体" w:hAnsi="宋体" w:eastAsia="宋体" w:cs="Times New Roman"/>
                <w:kern w:val="0"/>
                <w:sz w:val="21"/>
                <w:szCs w:val="21"/>
                <w:highlight w:val="none"/>
                <w:lang w:val="en-US" w:eastAsia="zh-CN" w:bidi="ar-SA"/>
              </w:rPr>
            </w:pPr>
          </w:p>
        </w:tc>
        <w:tc>
          <w:tcPr>
            <w:tcW w:w="637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HIS系统需要接收云平台的处方，相应设计独立的临时存储数据结构，保存云医院相关信息，同时做到和医院内部的处方进行兼容，生成完整的内部处方信息。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6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8</w:t>
            </w:r>
          </w:p>
        </w:tc>
        <w:tc>
          <w:tcPr>
            <w:tcW w:w="150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门诊收费适应性改造</w:t>
            </w:r>
          </w:p>
        </w:tc>
        <w:tc>
          <w:tcPr>
            <w:tcW w:w="637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门诊收费针对云平台和医院内部处方加以识别，控制窗口收费只能收取医院内部处方，云平台处方通过医保通进行收费。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6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9</w:t>
            </w:r>
          </w:p>
        </w:tc>
        <w:tc>
          <w:tcPr>
            <w:tcW w:w="150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处方退费适应性改造</w:t>
            </w:r>
          </w:p>
        </w:tc>
        <w:tc>
          <w:tcPr>
            <w:tcW w:w="637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处方退费针对云平台的处方进行控制，只有云平台确认过的处方才能退费，退费信息的获取途径进行相应的调整，退费成功后通知云平台。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6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10</w:t>
            </w:r>
          </w:p>
        </w:tc>
        <w:tc>
          <w:tcPr>
            <w:tcW w:w="150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ascii="宋体" w:hAnsi="宋体" w:eastAsia="宋体" w:cs="Times New Roman"/>
                <w:kern w:val="0"/>
                <w:sz w:val="21"/>
                <w:szCs w:val="21"/>
                <w:highlight w:val="none"/>
                <w:lang w:val="en-US" w:eastAsia="zh-CN" w:bidi="ar-SA"/>
              </w:rPr>
              <w:t>医保通业务适应性改造</w:t>
            </w:r>
          </w:p>
        </w:tc>
        <w:tc>
          <w:tcPr>
            <w:tcW w:w="637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根据医保通针对互联网诊疗结算的要求，扩展订单的相关字段，包括内部数据的存储处理和服务交互。</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24.5 统计报表</w:t>
      </w:r>
    </w:p>
    <w:tbl>
      <w:tblPr>
        <w:tblStyle w:val="26"/>
        <w:tblW w:w="889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500"/>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序号</w:t>
            </w:r>
          </w:p>
        </w:tc>
        <w:tc>
          <w:tcPr>
            <w:tcW w:w="150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功能要求</w:t>
            </w:r>
          </w:p>
        </w:tc>
        <w:tc>
          <w:tcPr>
            <w:tcW w:w="6405"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1</w:t>
            </w:r>
          </w:p>
        </w:tc>
        <w:tc>
          <w:tcPr>
            <w:tcW w:w="1500" w:type="dxa"/>
            <w:vMerge w:val="restart"/>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相关统计需求</w:t>
            </w:r>
          </w:p>
        </w:tc>
        <w:tc>
          <w:tcPr>
            <w:tcW w:w="640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在现有的门诊个人日报、门诊汇总日报的基础上，增加云平台支付的应收款。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widowControl/>
              <w:spacing w:line="360" w:lineRule="atLeast"/>
              <w:jc w:val="center"/>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2</w:t>
            </w:r>
          </w:p>
        </w:tc>
        <w:tc>
          <w:tcPr>
            <w:tcW w:w="1500" w:type="dxa"/>
            <w:vMerge w:val="continue"/>
            <w:vAlign w:val="center"/>
          </w:tcPr>
          <w:p>
            <w:pPr>
              <w:widowControl/>
              <w:spacing w:line="360" w:lineRule="atLeast"/>
              <w:jc w:val="both"/>
              <w:rPr>
                <w:rFonts w:ascii="宋体" w:hAnsi="宋体" w:eastAsia="宋体" w:cs="Times New Roman"/>
                <w:kern w:val="0"/>
                <w:sz w:val="21"/>
                <w:szCs w:val="21"/>
                <w:highlight w:val="none"/>
                <w:lang w:val="en-US" w:eastAsia="zh-CN" w:bidi="ar-SA"/>
              </w:rPr>
            </w:pPr>
          </w:p>
        </w:tc>
        <w:tc>
          <w:tcPr>
            <w:tcW w:w="6405" w:type="dxa"/>
            <w:vAlign w:val="center"/>
          </w:tcPr>
          <w:p>
            <w:pPr>
              <w:widowControl/>
              <w:spacing w:line="360" w:lineRule="atLeast"/>
              <w:jc w:val="both"/>
              <w:rPr>
                <w:rFonts w:ascii="宋体" w:hAnsi="宋体" w:eastAsia="宋体" w:cs="Times New Roman"/>
                <w:kern w:val="0"/>
                <w:sz w:val="21"/>
                <w:szCs w:val="21"/>
                <w:highlight w:val="none"/>
                <w:lang w:val="en-US" w:eastAsia="zh-CN" w:bidi="ar-SA"/>
              </w:rPr>
            </w:pPr>
            <w:r>
              <w:rPr>
                <w:rFonts w:hint="eastAsia" w:ascii="宋体" w:hAnsi="宋体" w:eastAsia="宋体" w:cs="Times New Roman"/>
                <w:kern w:val="0"/>
                <w:sz w:val="21"/>
                <w:szCs w:val="21"/>
                <w:highlight w:val="none"/>
                <w:lang w:val="en-US" w:eastAsia="zh-CN" w:bidi="ar-SA"/>
              </w:rPr>
              <w:t>收费查询、凭证补打发票、门诊收费账单表处理、发票重打体现</w:t>
            </w:r>
            <w:bookmarkStart w:id="37" w:name="OLE_LINK272"/>
            <w:bookmarkStart w:id="38" w:name="OLE_LINK273"/>
            <w:r>
              <w:rPr>
                <w:rFonts w:hint="eastAsia" w:ascii="宋体" w:hAnsi="宋体" w:eastAsia="宋体" w:cs="Times New Roman"/>
                <w:kern w:val="0"/>
                <w:sz w:val="21"/>
                <w:szCs w:val="21"/>
                <w:highlight w:val="none"/>
                <w:lang w:val="en-US" w:eastAsia="zh-CN" w:bidi="ar-SA"/>
              </w:rPr>
              <w:t>云平台支付金额</w:t>
            </w:r>
            <w:bookmarkEnd w:id="37"/>
            <w:bookmarkEnd w:id="38"/>
            <w:r>
              <w:rPr>
                <w:rFonts w:hint="eastAsia" w:ascii="宋体" w:hAnsi="宋体" w:eastAsia="宋体" w:cs="Times New Roman"/>
                <w:kern w:val="0"/>
                <w:sz w:val="21"/>
                <w:szCs w:val="21"/>
                <w:highlight w:val="none"/>
                <w:lang w:val="en-US" w:eastAsia="zh-CN" w:bidi="ar-SA"/>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jc w:val="left"/>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25、2020年年包服务</w:t>
      </w:r>
    </w:p>
    <w:tbl>
      <w:tblPr>
        <w:tblStyle w:val="26"/>
        <w:tblW w:w="8910"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485"/>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序号</w:t>
            </w:r>
          </w:p>
        </w:tc>
        <w:tc>
          <w:tcPr>
            <w:tcW w:w="148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Cs/>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功能要求</w:t>
            </w:r>
          </w:p>
        </w:tc>
        <w:tc>
          <w:tcPr>
            <w:tcW w:w="640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w:t>
            </w:r>
          </w:p>
        </w:tc>
        <w:tc>
          <w:tcPr>
            <w:tcW w:w="1485" w:type="dxa"/>
            <w:vMerge w:val="restart"/>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基本维护要求</w:t>
            </w:r>
          </w:p>
        </w:tc>
        <w:tc>
          <w:tcPr>
            <w:tcW w:w="640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为宁波市第一医院的医院信息管理系统的功能修改和扩充功能提供长期服务。当软件及数据发生故障时通过电脑网络和上门现场维修，判断故障原因，并作出相应处理。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21"/>
                <w:szCs w:val="21"/>
                <w:highlight w:val="none"/>
                <w:lang w:val="en-US" w:eastAsia="zh-CN" w:bidi="ar-SA"/>
              </w:rPr>
            </w:pPr>
          </w:p>
        </w:tc>
        <w:tc>
          <w:tcPr>
            <w:tcW w:w="1485" w:type="dxa"/>
            <w:vMerge w:val="continue"/>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Cs/>
                <w:kern w:val="0"/>
                <w:sz w:val="21"/>
                <w:szCs w:val="21"/>
                <w:highlight w:val="none"/>
                <w:lang w:val="en-US" w:eastAsia="zh-CN" w:bidi="ar-SA"/>
              </w:rPr>
            </w:pPr>
          </w:p>
        </w:tc>
        <w:tc>
          <w:tcPr>
            <w:tcW w:w="640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上门服务响应时间：</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一级故障：当软件发生故障使医院无法正常营业时，服务商必须在2小时内到达现场提供技术支持，查出故障原因，制定解决办法。</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二级故障：当软件发上故障但不影响具体业务时在收到医院通知2小时内响应，并与医院协商具体解决办法。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w:t>
            </w:r>
          </w:p>
        </w:tc>
        <w:tc>
          <w:tcPr>
            <w:tcW w:w="148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服务保障</w:t>
            </w:r>
          </w:p>
        </w:tc>
        <w:tc>
          <w:tcPr>
            <w:tcW w:w="640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软件行业归根到底应该属于服务行业，投标人要以为用户提供优质的服务为公司服务宗旨，以用户是否满意为衡量服务质量的唯一标准。倡导“当好参谋，做好保姆”的服务理念，为用户提供售前、售中、售后全方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w:t>
            </w:r>
          </w:p>
        </w:tc>
        <w:tc>
          <w:tcPr>
            <w:tcW w:w="148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售前服务</w:t>
            </w:r>
          </w:p>
        </w:tc>
        <w:tc>
          <w:tcPr>
            <w:tcW w:w="640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1、售前服务：</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内容：医院信息化建设的方案讨论、策划、咨询。比较各医院信息管理软件的优缺点及市场应用情况，针对用户实际情况设计适合用户情况的医院管理系统实施方案。</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方式：</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1）投标人公司网站上信息发布</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2）投标人公司技术人员与用户通过电子邮件、传真、信函等方式互相探讨</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3）投标人公司技术人员上门或用户去投标人公司咨询服务。</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服务人员：投标人的软件产品研究部资深软件及医学专家、网络部、市场部技术人员。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w:t>
            </w:r>
          </w:p>
        </w:tc>
        <w:tc>
          <w:tcPr>
            <w:tcW w:w="148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售中服务</w:t>
            </w:r>
          </w:p>
        </w:tc>
        <w:tc>
          <w:tcPr>
            <w:tcW w:w="640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2、售中服务：</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内容：</w:t>
            </w:r>
            <w:r>
              <w:rPr>
                <w:rFonts w:hint="eastAsia" w:ascii="宋体" w:hAnsi="宋体" w:eastAsia="宋体" w:cs="宋体"/>
                <w:kern w:val="0"/>
                <w:sz w:val="21"/>
                <w:szCs w:val="21"/>
                <w:highlight w:val="none"/>
                <w:lang w:val="en-US" w:eastAsia="zh-CN" w:bidi="ar-SA"/>
              </w:rPr>
              <w:tab/>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1）医院管理系统软件的客户化修改服务</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2）医院管理系统软件的安装、初始化服务</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3）医院管理系统软件的操作、使用、培训服务，包括：（a、计算机基础知识b、投标人的软件产品的操作使用培训）</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方式：</w:t>
            </w:r>
            <w:r>
              <w:rPr>
                <w:rFonts w:hint="eastAsia" w:ascii="宋体" w:hAnsi="宋体" w:eastAsia="宋体" w:cs="宋体"/>
                <w:kern w:val="0"/>
                <w:sz w:val="21"/>
                <w:szCs w:val="21"/>
                <w:highlight w:val="none"/>
                <w:lang w:val="en-US" w:eastAsia="zh-CN" w:bidi="ar-SA"/>
              </w:rPr>
              <w:tab/>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1）投标人公司软件技术人员上门服务。</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2）统一组织、用户集中分批培训。</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3）用户到投标人公司接受专项培训。</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4）用户到厂商接受培训</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服务人员：投标人公司软件开发部及技术服务部的技术人员。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w:t>
            </w:r>
          </w:p>
        </w:tc>
        <w:tc>
          <w:tcPr>
            <w:tcW w:w="148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售后服务</w:t>
            </w:r>
          </w:p>
        </w:tc>
        <w:tc>
          <w:tcPr>
            <w:tcW w:w="640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3、售后服务：</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内容：</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投标人公司医院管理系统软件上线运行后的服务。以保证软件的正常运行，排除所有故障，包括：</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软件运行过程中发生的故障的维护工作；</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对用户提出的新的功能要求进行软件改正与扩充；</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调整系统所需的软硬件环境；</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免费提供不断更新的升级版本（网上发布）；</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无偿终身技术咨询服务。</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方式：</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远程网络服务：定期对医院管理信息系统进行远程系统检查，内容包括：</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软件更新；</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检查系统数据是否正常；</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对软件进行数据整理等日常维护；</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解答用户疑问；</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电话服务：为用户的软件使用提供日常电话咨询指导服务；</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互连网服务：投标人在其公司网站上提供软件下载、技术讨论、服务投诉等服务；</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软件发生故障时，通过电脑网络或上门进行现场维修，判定故障原因，并作出相应处理。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w:t>
            </w:r>
          </w:p>
        </w:tc>
        <w:tc>
          <w:tcPr>
            <w:tcW w:w="148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Cs/>
                <w:kern w:val="0"/>
                <w:sz w:val="21"/>
                <w:szCs w:val="21"/>
                <w:highlight w:val="none"/>
                <w:lang w:val="en-US" w:eastAsia="zh-CN" w:bidi="ar-SA"/>
              </w:rPr>
            </w:pPr>
            <w:r>
              <w:rPr>
                <w:rFonts w:hint="eastAsia" w:ascii="宋体" w:hAnsi="宋体" w:eastAsia="宋体" w:cs="宋体"/>
                <w:bCs/>
                <w:kern w:val="0"/>
                <w:sz w:val="21"/>
                <w:szCs w:val="21"/>
                <w:highlight w:val="none"/>
                <w:lang w:val="en-US" w:eastAsia="zh-CN" w:bidi="ar-SA"/>
              </w:rPr>
              <w:t>服务人员</w:t>
            </w:r>
          </w:p>
        </w:tc>
        <w:tc>
          <w:tcPr>
            <w:tcW w:w="6405" w:type="dxa"/>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服务人员：</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1）投标人公司软件产品研究部资深软件专家，软件开发部技术服务的技术人员。</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 xml:space="preserve"> 2）受投标人公司邀请的第三方厂商的工程技术人员。</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bookmarkStart w:id="39" w:name="_Toc249176208"/>
            <w:bookmarkStart w:id="40" w:name="_Toc302054732"/>
            <w:r>
              <w:rPr>
                <w:rFonts w:hint="eastAsia" w:ascii="宋体" w:hAnsi="宋体" w:eastAsia="宋体" w:cs="宋体"/>
                <w:kern w:val="0"/>
                <w:sz w:val="21"/>
                <w:szCs w:val="21"/>
                <w:highlight w:val="none"/>
                <w:lang w:val="en-US" w:eastAsia="zh-CN" w:bidi="ar-SA"/>
              </w:rPr>
              <w:t>7×24小时服务</w:t>
            </w:r>
            <w:bookmarkEnd w:id="39"/>
            <w:bookmarkEnd w:id="40"/>
            <w:r>
              <w:rPr>
                <w:rFonts w:hint="eastAsia" w:ascii="宋体" w:hAnsi="宋体" w:eastAsia="宋体" w:cs="宋体"/>
                <w:kern w:val="0"/>
                <w:sz w:val="21"/>
                <w:szCs w:val="21"/>
                <w:highlight w:val="none"/>
                <w:lang w:val="en-US" w:eastAsia="zh-CN" w:bidi="ar-SA"/>
              </w:rPr>
              <w:t xml:space="preserve">。 </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投标人公司应设有7×24小时服务热线，可以24小时响应医院的服务请求。</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26、</w:t>
      </w:r>
      <w:r>
        <w:rPr>
          <w:rFonts w:hint="eastAsia" w:ascii="宋体" w:hAnsi="宋体" w:eastAsia="宋体" w:cs="宋体"/>
          <w:color w:val="auto"/>
          <w:sz w:val="21"/>
          <w:szCs w:val="21"/>
          <w:highlight w:val="none"/>
          <w:lang w:val="en-US" w:eastAsia="zh-CN"/>
        </w:rPr>
        <w:t>其他需求类改造</w:t>
      </w:r>
    </w:p>
    <w:tbl>
      <w:tblPr>
        <w:tblStyle w:val="26"/>
        <w:tblW w:w="894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500"/>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序号</w:t>
            </w:r>
          </w:p>
        </w:tc>
        <w:tc>
          <w:tcPr>
            <w:tcW w:w="1500" w:type="dxa"/>
            <w:vAlign w:val="center"/>
          </w:tcPr>
          <w:p>
            <w:pPr>
              <w:widowControl/>
              <w:snapToGrid w:val="0"/>
              <w:spacing w:line="400" w:lineRule="exact"/>
              <w:jc w:val="center"/>
              <w:rPr>
                <w:rFonts w:hint="eastAsia" w:ascii="宋体" w:hAnsi="宋体" w:eastAsia="宋体" w:cs="宋体"/>
                <w:bCs/>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功能要求</w:t>
            </w:r>
          </w:p>
        </w:tc>
        <w:tc>
          <w:tcPr>
            <w:tcW w:w="6420"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w:t>
            </w:r>
          </w:p>
        </w:tc>
        <w:tc>
          <w:tcPr>
            <w:tcW w:w="1500"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预住院流程优化</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病区支持医生在预住院时可对患者进行检查化验项目的开嘱。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w:t>
            </w:r>
          </w:p>
        </w:tc>
        <w:tc>
          <w:tcPr>
            <w:tcW w:w="1500" w:type="dxa"/>
            <w:vMerge w:val="continue"/>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病区支持打印检查条码，化验条码。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w:t>
            </w:r>
          </w:p>
        </w:tc>
        <w:tc>
          <w:tcPr>
            <w:tcW w:w="1500" w:type="dxa"/>
            <w:vMerge w:val="continue"/>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病区支持收取静脉采血费和管子。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4</w:t>
            </w:r>
          </w:p>
        </w:tc>
        <w:tc>
          <w:tcPr>
            <w:tcW w:w="1500"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人员信息同步</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实现通过集成平台，同步人事系统的职工基本信息和权限信息给HIS处理。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5</w:t>
            </w:r>
          </w:p>
        </w:tc>
        <w:tc>
          <w:tcPr>
            <w:tcW w:w="1500"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自助机改造</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实现自助机挂号特病与科室一对多关系，患者通过自助机能够选择特殊病种挂对应的科室。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6</w:t>
            </w:r>
          </w:p>
        </w:tc>
        <w:tc>
          <w:tcPr>
            <w:tcW w:w="1500"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新增自助机特病与科室对应关系维护界面。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7</w:t>
            </w:r>
          </w:p>
        </w:tc>
        <w:tc>
          <w:tcPr>
            <w:tcW w:w="1500"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支持新增科室或者多个科室变动时候，能够通过病种关联科室。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8</w:t>
            </w:r>
          </w:p>
        </w:tc>
        <w:tc>
          <w:tcPr>
            <w:tcW w:w="1500"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包药机二维码改造</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部分药品由包药机包药完成，包药机会自动生成二维码供护士PDA扫描执行。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9</w:t>
            </w:r>
          </w:p>
        </w:tc>
        <w:tc>
          <w:tcPr>
            <w:tcW w:w="1500" w:type="dxa"/>
            <w:vMerge w:val="continue"/>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在包药机发送界面，新增功能可以打印没有进行包药的药品。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10</w:t>
            </w:r>
          </w:p>
        </w:tc>
        <w:tc>
          <w:tcPr>
            <w:tcW w:w="1500" w:type="dxa"/>
            <w:vMerge w:val="continue"/>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添加打印标志，对已经打印过的药品列表，默认隐藏，也可以手动选择出进行补打。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11</w:t>
            </w:r>
          </w:p>
        </w:tc>
        <w:tc>
          <w:tcPr>
            <w:tcW w:w="1500" w:type="dxa"/>
            <w:vMerge w:val="continue"/>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可以单选、多选、全选当前某几条进行打印到一张条码上。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12</w:t>
            </w:r>
          </w:p>
        </w:tc>
        <w:tc>
          <w:tcPr>
            <w:tcW w:w="1500" w:type="dxa"/>
            <w:vMerge w:val="continue"/>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条码格式和纸张大小可按照医院要求，可本地指定打印机。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13</w:t>
            </w:r>
          </w:p>
        </w:tc>
        <w:tc>
          <w:tcPr>
            <w:tcW w:w="1500"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门诊赠药处方</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新增门诊赠药处方功能和查询打印功能。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14</w:t>
            </w:r>
          </w:p>
        </w:tc>
        <w:tc>
          <w:tcPr>
            <w:tcW w:w="1500"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新生儿听力筛查登记表</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新增新生儿听力筛查登记表，查询条件包括出生日期（儿童）、筛查日期、母亲姓名、婴儿住院号、病区等，支持打印和导出，选择结果数据的记录双击弹出登记界面，听力筛查的内容填报功能，包含筛查日期、高危病史、筛查结果、复筛结果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15</w:t>
            </w:r>
          </w:p>
        </w:tc>
        <w:tc>
          <w:tcPr>
            <w:tcW w:w="1500"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胰岛素笔标签</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申请胰岛素笔外贴标签。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16</w:t>
            </w:r>
          </w:p>
        </w:tc>
        <w:tc>
          <w:tcPr>
            <w:tcW w:w="1500"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新增重点监控药品金额统计报表。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17</w:t>
            </w:r>
          </w:p>
        </w:tc>
        <w:tc>
          <w:tcPr>
            <w:tcW w:w="1500"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支持全院科室(门诊和住院)与筛选日期条件筛选。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18</w:t>
            </w:r>
          </w:p>
        </w:tc>
        <w:tc>
          <w:tcPr>
            <w:tcW w:w="1500"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治疗单费用控制</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治疗单费用在诊疗中开单科室的控制功能。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19</w:t>
            </w:r>
          </w:p>
        </w:tc>
        <w:tc>
          <w:tcPr>
            <w:tcW w:w="1500"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可通过限制科室，在科室的医生无法在诊疗中开具治疗费用。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20</w:t>
            </w:r>
          </w:p>
        </w:tc>
        <w:tc>
          <w:tcPr>
            <w:tcW w:w="1500"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住院处方打印功能</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赠药及科研用药住院医生中新增医嘱开具及打印功能。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21</w:t>
            </w:r>
          </w:p>
        </w:tc>
        <w:tc>
          <w:tcPr>
            <w:tcW w:w="1500"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医类饮食医嘱</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饮食医嘱新增特医类食品医嘱开嘱。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22</w:t>
            </w:r>
          </w:p>
        </w:tc>
        <w:tc>
          <w:tcPr>
            <w:tcW w:w="1500"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特医类饮食医嘱控制只能临时医嘱去开，控制不能开长期医嘱。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23</w:t>
            </w:r>
          </w:p>
        </w:tc>
        <w:tc>
          <w:tcPr>
            <w:tcW w:w="1500"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新冠管控升级</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支持门诊医生在开具入院电子卡片之前增加新冠核酸、抗体检测等提示。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24</w:t>
            </w:r>
          </w:p>
        </w:tc>
        <w:tc>
          <w:tcPr>
            <w:tcW w:w="1500" w:type="dxa"/>
            <w:vMerge w:val="continue"/>
            <w:vAlign w:val="center"/>
          </w:tcPr>
          <w:p>
            <w:pPr>
              <w:widowControl/>
              <w:snapToGrid w:val="0"/>
              <w:spacing w:line="400" w:lineRule="exact"/>
              <w:jc w:val="center"/>
              <w:rPr>
                <w:rFonts w:hint="eastAsia" w:ascii="宋体" w:hAnsi="宋体" w:eastAsia="宋体" w:cs="宋体"/>
                <w:color w:val="000000"/>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支持新开手术申请，需要新冠核酸、抗体检测等提示。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25</w:t>
            </w:r>
          </w:p>
        </w:tc>
        <w:tc>
          <w:tcPr>
            <w:tcW w:w="1500"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自备药品用量</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当药品发药方式选择自备时，去除剂量和每次用量的限制。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26</w:t>
            </w:r>
          </w:p>
        </w:tc>
        <w:tc>
          <w:tcPr>
            <w:tcW w:w="1500" w:type="dxa"/>
            <w:vMerge w:val="restart"/>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发药提醒改造</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门诊发药对指定科室病人处方进行监控提醒。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27</w:t>
            </w:r>
          </w:p>
        </w:tc>
        <w:tc>
          <w:tcPr>
            <w:tcW w:w="1500" w:type="dxa"/>
            <w:vMerge w:val="continue"/>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p>
        </w:tc>
        <w:tc>
          <w:tcPr>
            <w:tcW w:w="6420" w:type="dxa"/>
            <w:vAlign w:val="center"/>
          </w:tcPr>
          <w:p>
            <w:pPr>
              <w:widowControl/>
              <w:snapToGrid w:val="0"/>
              <w:spacing w:line="400" w:lineRule="exact"/>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门诊药房发药界面对指定（发热门诊）的挂号科室具有标红指示。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28</w:t>
            </w:r>
          </w:p>
        </w:tc>
        <w:tc>
          <w:tcPr>
            <w:tcW w:w="1500"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处方签名</w:t>
            </w:r>
          </w:p>
        </w:tc>
        <w:tc>
          <w:tcPr>
            <w:tcW w:w="6420" w:type="dxa"/>
            <w:vAlign w:val="center"/>
          </w:tcPr>
          <w:p>
            <w:pPr>
              <w:widowControl/>
              <w:snapToGrid w:val="0"/>
              <w:spacing w:line="40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处方签名支持签名采用图片的格式。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29</w:t>
            </w:r>
          </w:p>
        </w:tc>
        <w:tc>
          <w:tcPr>
            <w:tcW w:w="1500"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病理条码模式</w:t>
            </w:r>
          </w:p>
        </w:tc>
        <w:tc>
          <w:tcPr>
            <w:tcW w:w="6420" w:type="dxa"/>
            <w:vAlign w:val="center"/>
          </w:tcPr>
          <w:p>
            <w:pPr>
              <w:widowControl/>
              <w:snapToGrid w:val="0"/>
              <w:spacing w:line="400" w:lineRule="exact"/>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支持病理采用条码模式发送。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020" w:type="dxa"/>
            <w:vAlign w:val="center"/>
          </w:tcPr>
          <w:p>
            <w:pPr>
              <w:widowControl/>
              <w:numPr>
                <w:ilvl w:val="0"/>
                <w:numId w:val="0"/>
              </w:numPr>
              <w:snapToGrid w:val="0"/>
              <w:spacing w:line="400" w:lineRule="exact"/>
              <w:ind w:leftChars="0"/>
              <w:jc w:val="center"/>
              <w:rPr>
                <w:rFonts w:hint="default"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30</w:t>
            </w:r>
          </w:p>
        </w:tc>
        <w:tc>
          <w:tcPr>
            <w:tcW w:w="1500" w:type="dxa"/>
            <w:vAlign w:val="center"/>
          </w:tcPr>
          <w:p>
            <w:pPr>
              <w:widowControl/>
              <w:snapToGrid w:val="0"/>
              <w:spacing w:line="40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心衰患者提醒</w:t>
            </w:r>
          </w:p>
        </w:tc>
        <w:tc>
          <w:tcPr>
            <w:tcW w:w="6420" w:type="dxa"/>
            <w:vAlign w:val="center"/>
          </w:tcPr>
          <w:p>
            <w:pPr>
              <w:widowControl/>
              <w:snapToGrid w:val="0"/>
              <w:spacing w:line="400" w:lineRule="exact"/>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支持心衰患者信息提醒。</w:t>
            </w:r>
          </w:p>
        </w:tc>
      </w:tr>
    </w:tbl>
    <w:p>
      <w:pPr>
        <w:pStyle w:val="114"/>
        <w:numPr>
          <w:ilvl w:val="0"/>
          <w:numId w:val="0"/>
        </w:numPr>
        <w:ind w:leftChars="0"/>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100" w:line="360" w:lineRule="auto"/>
        <w:ind w:leftChars="0"/>
        <w:jc w:val="center"/>
        <w:textAlignment w:val="auto"/>
        <w:outlineLvl w:val="0"/>
        <w:rPr>
          <w:rFonts w:ascii="黑体" w:hAnsi="宋体" w:eastAsia="黑体"/>
          <w:color w:val="auto"/>
          <w:sz w:val="30"/>
          <w:szCs w:val="30"/>
          <w:highlight w:val="none"/>
        </w:rPr>
      </w:pPr>
      <w:r>
        <w:rPr>
          <w:color w:val="auto"/>
          <w:sz w:val="28"/>
          <w:szCs w:val="28"/>
          <w:highlight w:val="none"/>
        </w:rPr>
        <w:br w:type="page"/>
      </w:r>
      <w:bookmarkStart w:id="41" w:name="_Toc8354"/>
      <w:r>
        <w:rPr>
          <w:rFonts w:hint="eastAsia"/>
          <w:color w:val="auto"/>
          <w:sz w:val="28"/>
          <w:szCs w:val="28"/>
          <w:highlight w:val="none"/>
        </w:rPr>
        <w:t>第三章供应商须知</w:t>
      </w:r>
      <w:bookmarkEnd w:id="41"/>
    </w:p>
    <w:p>
      <w:pPr>
        <w:spacing w:line="320" w:lineRule="exact"/>
        <w:jc w:val="center"/>
        <w:rPr>
          <w:color w:val="auto"/>
          <w:highlight w:val="none"/>
        </w:rPr>
      </w:pPr>
      <w:r>
        <w:rPr>
          <w:rFonts w:hint="eastAsia"/>
          <w:color w:val="auto"/>
          <w:highlight w:val="none"/>
        </w:rPr>
        <w:t>前附表</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
        <w:gridCol w:w="75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序号</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color w:val="auto"/>
                <w:szCs w:val="21"/>
                <w:highlight w:val="none"/>
              </w:rPr>
            </w:pPr>
            <w:r>
              <w:rPr>
                <w:rFonts w:hint="eastAsia"/>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w:t>
            </w:r>
            <w:r>
              <w:rPr>
                <w:color w:val="auto"/>
                <w:szCs w:val="21"/>
                <w:highlight w:val="none"/>
              </w:rPr>
              <w:t>1</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highlight w:val="none"/>
              </w:rPr>
            </w:pPr>
            <w:r>
              <w:rPr>
                <w:rFonts w:hint="eastAsia"/>
                <w:color w:val="auto"/>
                <w:highlight w:val="none"/>
              </w:rPr>
              <w:t>投标报价及费用：</w:t>
            </w:r>
          </w:p>
          <w:p>
            <w:pPr>
              <w:spacing w:line="300" w:lineRule="exact"/>
              <w:rPr>
                <w:color w:val="auto"/>
                <w:highlight w:val="none"/>
              </w:rPr>
            </w:pPr>
            <w:r>
              <w:rPr>
                <w:color w:val="auto"/>
                <w:highlight w:val="none"/>
              </w:rPr>
              <w:t>1</w:t>
            </w:r>
            <w:r>
              <w:rPr>
                <w:rFonts w:hint="eastAsia"/>
                <w:color w:val="auto"/>
                <w:highlight w:val="none"/>
              </w:rPr>
              <w:t>、本项目投标应以人民币报价；</w:t>
            </w:r>
          </w:p>
          <w:p>
            <w:pPr>
              <w:rPr>
                <w:color w:val="auto"/>
                <w:highlight w:val="none"/>
              </w:rPr>
            </w:pPr>
            <w:r>
              <w:rPr>
                <w:color w:val="auto"/>
                <w:highlight w:val="none"/>
              </w:rPr>
              <w:t>2</w:t>
            </w:r>
            <w:r>
              <w:rPr>
                <w:rFonts w:hint="eastAsia"/>
                <w:color w:val="auto"/>
                <w:highlight w:val="none"/>
              </w:rPr>
              <w:t>、投标费用是履行合同的最终价格，包括但不限于</w:t>
            </w:r>
            <w:r>
              <w:rPr>
                <w:rFonts w:hint="eastAsia"/>
                <w:color w:val="auto"/>
                <w:highlight w:val="none"/>
                <w:lang w:eastAsia="zh-CN"/>
              </w:rPr>
              <w:t>产品</w:t>
            </w:r>
            <w:r>
              <w:rPr>
                <w:rFonts w:hint="eastAsia"/>
                <w:color w:val="auto"/>
                <w:highlight w:val="none"/>
              </w:rPr>
              <w:t>的</w:t>
            </w:r>
            <w:r>
              <w:rPr>
                <w:rFonts w:hint="eastAsia"/>
                <w:color w:val="auto"/>
                <w:highlight w:val="none"/>
                <w:lang w:eastAsia="zh-CN"/>
              </w:rPr>
              <w:t>制作</w:t>
            </w:r>
            <w:r>
              <w:rPr>
                <w:rFonts w:hint="eastAsia"/>
                <w:color w:val="auto"/>
                <w:highlight w:val="none"/>
              </w:rPr>
              <w:t>、调试、产品保护、试运行、检测费、验收费、技术培训、维护、售后服务等一切费用。</w:t>
            </w:r>
          </w:p>
          <w:p>
            <w:pPr>
              <w:spacing w:line="300" w:lineRule="exact"/>
              <w:rPr>
                <w:color w:val="auto"/>
                <w:highlight w:val="none"/>
              </w:rPr>
            </w:pPr>
            <w:r>
              <w:rPr>
                <w:color w:val="auto"/>
                <w:highlight w:val="none"/>
              </w:rPr>
              <w:t>3</w:t>
            </w:r>
            <w:r>
              <w:rPr>
                <w:rFonts w:hint="eastAsia"/>
                <w:color w:val="auto"/>
                <w:highlight w:val="none"/>
              </w:rPr>
              <w:t>、不论投标结果如何，供应商均应自行承担所有与投标有关的全部费用；</w:t>
            </w:r>
          </w:p>
          <w:p>
            <w:pPr>
              <w:rPr>
                <w:color w:val="auto"/>
                <w:highlight w:val="none"/>
              </w:rPr>
            </w:pPr>
            <w:r>
              <w:rPr>
                <w:color w:val="auto"/>
                <w:highlight w:val="none"/>
              </w:rPr>
              <w:t>4</w:t>
            </w:r>
            <w:r>
              <w:rPr>
                <w:rFonts w:hint="eastAsia"/>
                <w:color w:val="auto"/>
                <w:highlight w:val="none"/>
              </w:rPr>
              <w:t>、采购代理机构按下表中</w:t>
            </w:r>
            <w:r>
              <w:rPr>
                <w:rFonts w:hint="eastAsia"/>
                <w:color w:val="auto"/>
                <w:highlight w:val="none"/>
                <w:lang w:eastAsia="zh-CN"/>
              </w:rPr>
              <w:t>服务</w:t>
            </w:r>
            <w:r>
              <w:rPr>
                <w:rFonts w:hint="eastAsia"/>
                <w:color w:val="auto"/>
                <w:highlight w:val="none"/>
              </w:rPr>
              <w:t>招标的标准，根据</w:t>
            </w:r>
            <w:r>
              <w:rPr>
                <w:rFonts w:hint="eastAsia"/>
                <w:color w:val="auto"/>
                <w:highlight w:val="none"/>
                <w:lang w:eastAsia="zh-CN"/>
              </w:rPr>
              <w:t>预算</w:t>
            </w:r>
            <w:r>
              <w:rPr>
                <w:rFonts w:hint="eastAsia"/>
                <w:color w:val="auto"/>
                <w:highlight w:val="none"/>
              </w:rPr>
              <w:t>金额，向中标人收取中标服务费。</w:t>
            </w:r>
          </w:p>
          <w:tbl>
            <w:tblPr>
              <w:tblStyle w:val="26"/>
              <w:tblW w:w="0" w:type="auto"/>
              <w:jc w:val="center"/>
              <w:tblLayout w:type="fixed"/>
              <w:tblCellMar>
                <w:top w:w="0" w:type="dxa"/>
                <w:left w:w="108" w:type="dxa"/>
                <w:bottom w:w="0" w:type="dxa"/>
                <w:right w:w="108" w:type="dxa"/>
              </w:tblCellMar>
            </w:tblPr>
            <w:tblGrid>
              <w:gridCol w:w="2369"/>
              <w:gridCol w:w="1417"/>
              <w:gridCol w:w="1665"/>
              <w:gridCol w:w="1627"/>
            </w:tblGrid>
            <w:tr>
              <w:tblPrEx>
                <w:tblCellMar>
                  <w:top w:w="0" w:type="dxa"/>
                  <w:left w:w="108" w:type="dxa"/>
                  <w:bottom w:w="0" w:type="dxa"/>
                  <w:right w:w="108" w:type="dxa"/>
                </w:tblCellMar>
              </w:tblPrEx>
              <w:trPr>
                <w:trHeight w:val="544" w:hRule="atLeast"/>
                <w:jc w:val="center"/>
              </w:trPr>
              <w:tc>
                <w:tcPr>
                  <w:tcW w:w="2369" w:type="dxa"/>
                  <w:tcBorders>
                    <w:top w:val="single" w:color="auto" w:sz="4" w:space="0"/>
                    <w:left w:val="single" w:color="auto" w:sz="6" w:space="0"/>
                    <w:bottom w:val="single" w:color="auto" w:sz="4" w:space="0"/>
                    <w:right w:val="single" w:color="auto" w:sz="4" w:space="0"/>
                    <w:tl2br w:val="single" w:color="auto" w:sz="4" w:space="0"/>
                  </w:tcBorders>
                  <w:tcMar>
                    <w:top w:w="30" w:type="dxa"/>
                    <w:left w:w="150" w:type="dxa"/>
                    <w:bottom w:w="30" w:type="dxa"/>
                    <w:right w:w="150" w:type="dxa"/>
                  </w:tcMar>
                  <w:vAlign w:val="center"/>
                </w:tcPr>
                <w:p>
                  <w:pPr>
                    <w:spacing w:line="360" w:lineRule="atLeast"/>
                    <w:ind w:firstLine="630" w:firstLineChars="300"/>
                    <w:jc w:val="right"/>
                    <w:rPr>
                      <w:color w:val="auto"/>
                      <w:highlight w:val="none"/>
                    </w:rPr>
                  </w:pPr>
                  <w:r>
                    <w:rPr>
                      <w:rFonts w:hint="eastAsia"/>
                      <w:color w:val="auto"/>
                      <w:highlight w:val="none"/>
                    </w:rPr>
                    <w:t>服费务类率型</w:t>
                  </w:r>
                </w:p>
                <w:p>
                  <w:pPr>
                    <w:spacing w:line="360" w:lineRule="atLeast"/>
                    <w:rPr>
                      <w:color w:val="auto"/>
                      <w:highlight w:val="none"/>
                    </w:rPr>
                  </w:pPr>
                  <w:r>
                    <w:rPr>
                      <w:rFonts w:hint="eastAsia"/>
                      <w:color w:val="auto"/>
                      <w:highlight w:val="none"/>
                    </w:rPr>
                    <w:t>金额（万元）</w:t>
                  </w:r>
                </w:p>
              </w:tc>
              <w:tc>
                <w:tcPr>
                  <w:tcW w:w="141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rFonts w:hint="eastAsia"/>
                      <w:color w:val="auto"/>
                      <w:highlight w:val="none"/>
                    </w:rPr>
                    <w:t>货物招标</w:t>
                  </w:r>
                </w:p>
              </w:tc>
              <w:tc>
                <w:tcPr>
                  <w:tcW w:w="1665"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rFonts w:hint="eastAsia"/>
                      <w:color w:val="auto"/>
                      <w:highlight w:val="none"/>
                    </w:rPr>
                    <w:t>服务招标</w:t>
                  </w:r>
                </w:p>
              </w:tc>
              <w:tc>
                <w:tcPr>
                  <w:tcW w:w="162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rFonts w:hint="eastAsia"/>
                      <w:color w:val="auto"/>
                      <w:highlight w:val="none"/>
                    </w:rPr>
                    <w:t>工程招标</w:t>
                  </w:r>
                </w:p>
              </w:tc>
            </w:tr>
            <w:tr>
              <w:tblPrEx>
                <w:tblCellMar>
                  <w:top w:w="0" w:type="dxa"/>
                  <w:left w:w="108" w:type="dxa"/>
                  <w:bottom w:w="0" w:type="dxa"/>
                  <w:right w:w="108" w:type="dxa"/>
                </w:tblCellMar>
              </w:tblPrEx>
              <w:trPr>
                <w:trHeight w:val="325" w:hRule="atLeast"/>
                <w:jc w:val="center"/>
              </w:trPr>
              <w:tc>
                <w:tcPr>
                  <w:tcW w:w="2369"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100</w:t>
                  </w:r>
                  <w:r>
                    <w:rPr>
                      <w:rFonts w:hint="eastAsia"/>
                      <w:color w:val="auto"/>
                      <w:highlight w:val="none"/>
                    </w:rPr>
                    <w:t>以下</w:t>
                  </w:r>
                </w:p>
              </w:tc>
              <w:tc>
                <w:tcPr>
                  <w:tcW w:w="141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1.5%</w:t>
                  </w:r>
                </w:p>
              </w:tc>
              <w:tc>
                <w:tcPr>
                  <w:tcW w:w="1665"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1.5%</w:t>
                  </w:r>
                </w:p>
              </w:tc>
              <w:tc>
                <w:tcPr>
                  <w:tcW w:w="162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1.0%</w:t>
                  </w:r>
                </w:p>
              </w:tc>
            </w:tr>
            <w:tr>
              <w:tblPrEx>
                <w:tblCellMar>
                  <w:top w:w="0" w:type="dxa"/>
                  <w:left w:w="108" w:type="dxa"/>
                  <w:bottom w:w="0" w:type="dxa"/>
                  <w:right w:w="108" w:type="dxa"/>
                </w:tblCellMar>
              </w:tblPrEx>
              <w:trPr>
                <w:trHeight w:val="306" w:hRule="atLeast"/>
                <w:jc w:val="center"/>
              </w:trPr>
              <w:tc>
                <w:tcPr>
                  <w:tcW w:w="2369"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100-500</w:t>
                  </w:r>
                </w:p>
              </w:tc>
              <w:tc>
                <w:tcPr>
                  <w:tcW w:w="141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1.1%</w:t>
                  </w:r>
                </w:p>
              </w:tc>
              <w:tc>
                <w:tcPr>
                  <w:tcW w:w="1665"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0.8%</w:t>
                  </w:r>
                </w:p>
              </w:tc>
              <w:tc>
                <w:tcPr>
                  <w:tcW w:w="162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0.7%</w:t>
                  </w:r>
                </w:p>
              </w:tc>
            </w:tr>
            <w:tr>
              <w:tblPrEx>
                <w:tblCellMar>
                  <w:top w:w="0" w:type="dxa"/>
                  <w:left w:w="108" w:type="dxa"/>
                  <w:bottom w:w="0" w:type="dxa"/>
                  <w:right w:w="108" w:type="dxa"/>
                </w:tblCellMar>
              </w:tblPrEx>
              <w:trPr>
                <w:trHeight w:val="341" w:hRule="atLeast"/>
                <w:jc w:val="center"/>
              </w:trPr>
              <w:tc>
                <w:tcPr>
                  <w:tcW w:w="2369"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500-1000</w:t>
                  </w:r>
                </w:p>
              </w:tc>
              <w:tc>
                <w:tcPr>
                  <w:tcW w:w="141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0.8%</w:t>
                  </w:r>
                </w:p>
              </w:tc>
              <w:tc>
                <w:tcPr>
                  <w:tcW w:w="1665"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0.45%</w:t>
                  </w:r>
                </w:p>
              </w:tc>
              <w:tc>
                <w:tcPr>
                  <w:tcW w:w="162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0.55%</w:t>
                  </w:r>
                </w:p>
              </w:tc>
            </w:tr>
            <w:tr>
              <w:tblPrEx>
                <w:tblCellMar>
                  <w:top w:w="0" w:type="dxa"/>
                  <w:left w:w="108" w:type="dxa"/>
                  <w:bottom w:w="0" w:type="dxa"/>
                  <w:right w:w="108" w:type="dxa"/>
                </w:tblCellMar>
              </w:tblPrEx>
              <w:trPr>
                <w:trHeight w:val="296" w:hRule="atLeast"/>
                <w:jc w:val="center"/>
              </w:trPr>
              <w:tc>
                <w:tcPr>
                  <w:tcW w:w="2369"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1000-5000</w:t>
                  </w:r>
                </w:p>
              </w:tc>
              <w:tc>
                <w:tcPr>
                  <w:tcW w:w="141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0.5%</w:t>
                  </w:r>
                </w:p>
              </w:tc>
              <w:tc>
                <w:tcPr>
                  <w:tcW w:w="1665"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0.25%</w:t>
                  </w:r>
                </w:p>
              </w:tc>
              <w:tc>
                <w:tcPr>
                  <w:tcW w:w="162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0.35%</w:t>
                  </w:r>
                </w:p>
              </w:tc>
            </w:tr>
            <w:tr>
              <w:tblPrEx>
                <w:tblCellMar>
                  <w:top w:w="0" w:type="dxa"/>
                  <w:left w:w="108" w:type="dxa"/>
                  <w:bottom w:w="0" w:type="dxa"/>
                  <w:right w:w="108" w:type="dxa"/>
                </w:tblCellMar>
              </w:tblPrEx>
              <w:trPr>
                <w:trHeight w:val="296" w:hRule="atLeast"/>
                <w:jc w:val="center"/>
              </w:trPr>
              <w:tc>
                <w:tcPr>
                  <w:tcW w:w="2369"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5000-10000</w:t>
                  </w:r>
                </w:p>
              </w:tc>
              <w:tc>
                <w:tcPr>
                  <w:tcW w:w="141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0.25%</w:t>
                  </w:r>
                </w:p>
              </w:tc>
              <w:tc>
                <w:tcPr>
                  <w:tcW w:w="1665"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0.1%</w:t>
                  </w:r>
                </w:p>
              </w:tc>
              <w:tc>
                <w:tcPr>
                  <w:tcW w:w="162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0.2%</w:t>
                  </w:r>
                </w:p>
              </w:tc>
            </w:tr>
            <w:tr>
              <w:tblPrEx>
                <w:tblCellMar>
                  <w:top w:w="0" w:type="dxa"/>
                  <w:left w:w="108" w:type="dxa"/>
                  <w:bottom w:w="0" w:type="dxa"/>
                  <w:right w:w="108" w:type="dxa"/>
                </w:tblCellMar>
              </w:tblPrEx>
              <w:trPr>
                <w:trHeight w:val="413" w:hRule="atLeast"/>
                <w:jc w:val="center"/>
              </w:trPr>
              <w:tc>
                <w:tcPr>
                  <w:tcW w:w="2369"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1</w:t>
                  </w:r>
                  <w:r>
                    <w:rPr>
                      <w:rFonts w:hint="eastAsia"/>
                      <w:color w:val="auto"/>
                      <w:highlight w:val="none"/>
                    </w:rPr>
                    <w:t>亿～</w:t>
                  </w:r>
                  <w:r>
                    <w:rPr>
                      <w:color w:val="auto"/>
                      <w:highlight w:val="none"/>
                    </w:rPr>
                    <w:t>5</w:t>
                  </w:r>
                  <w:r>
                    <w:rPr>
                      <w:rFonts w:hint="eastAsia"/>
                      <w:color w:val="auto"/>
                      <w:highlight w:val="none"/>
                    </w:rPr>
                    <w:t>亿</w:t>
                  </w:r>
                </w:p>
              </w:tc>
              <w:tc>
                <w:tcPr>
                  <w:tcW w:w="141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0.05%</w:t>
                  </w:r>
                </w:p>
              </w:tc>
              <w:tc>
                <w:tcPr>
                  <w:tcW w:w="1665"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0.05%</w:t>
                  </w:r>
                </w:p>
              </w:tc>
              <w:tc>
                <w:tcPr>
                  <w:tcW w:w="1627"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spacing w:line="360" w:lineRule="atLeast"/>
                    <w:jc w:val="center"/>
                    <w:rPr>
                      <w:color w:val="auto"/>
                      <w:highlight w:val="none"/>
                    </w:rPr>
                  </w:pPr>
                  <w:r>
                    <w:rPr>
                      <w:color w:val="auto"/>
                      <w:highlight w:val="none"/>
                    </w:rPr>
                    <w:t>0.05%</w:t>
                  </w:r>
                </w:p>
              </w:tc>
            </w:tr>
          </w:tbl>
          <w:p>
            <w:pPr>
              <w:rPr>
                <w:color w:val="auto"/>
                <w:highlight w:val="none"/>
              </w:rPr>
            </w:pPr>
            <w:r>
              <w:rPr>
                <w:color w:val="auto"/>
                <w:highlight w:val="none"/>
              </w:rPr>
              <w:t>5</w:t>
            </w:r>
            <w:r>
              <w:rPr>
                <w:rFonts w:hint="eastAsia"/>
                <w:color w:val="auto"/>
                <w:highlight w:val="none"/>
              </w:rPr>
              <w:t>、采购代理机构财务信息：</w:t>
            </w:r>
          </w:p>
          <w:p>
            <w:pPr>
              <w:rPr>
                <w:color w:val="auto"/>
                <w:highlight w:val="none"/>
              </w:rPr>
            </w:pPr>
            <w:r>
              <w:rPr>
                <w:rFonts w:hint="eastAsia"/>
                <w:color w:val="auto"/>
                <w:highlight w:val="none"/>
              </w:rPr>
              <w:t>开户银行：宁波银行科技支行</w:t>
            </w:r>
          </w:p>
          <w:p>
            <w:pPr>
              <w:rPr>
                <w:color w:val="auto"/>
                <w:highlight w:val="none"/>
              </w:rPr>
            </w:pPr>
            <w:r>
              <w:rPr>
                <w:rFonts w:hint="eastAsia"/>
                <w:color w:val="auto"/>
                <w:highlight w:val="none"/>
              </w:rPr>
              <w:t>帐号：</w:t>
            </w:r>
            <w:r>
              <w:rPr>
                <w:color w:val="auto"/>
                <w:highlight w:val="none"/>
              </w:rPr>
              <w:t xml:space="preserve"> 31010122000005488</w:t>
            </w:r>
          </w:p>
          <w:p>
            <w:pPr>
              <w:rPr>
                <w:color w:val="auto"/>
                <w:highlight w:val="none"/>
              </w:rPr>
            </w:pPr>
            <w:r>
              <w:rPr>
                <w:rFonts w:hint="eastAsia"/>
                <w:color w:val="auto"/>
                <w:highlight w:val="none"/>
              </w:rPr>
              <w:t>户名：宁波中基国际招标有限公司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color w:val="auto"/>
                <w:szCs w:val="21"/>
                <w:highlight w:val="none"/>
              </w:rPr>
              <w:t>2</w:t>
            </w:r>
          </w:p>
        </w:tc>
        <w:tc>
          <w:tcPr>
            <w:tcW w:w="75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投标文件组成与份数：</w:t>
            </w:r>
          </w:p>
          <w:p>
            <w:pPr>
              <w:numPr>
                <w:ilvl w:val="0"/>
                <w:numId w:val="4"/>
              </w:num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上传到政府采购云平台的电子投标文件（含资格文件、商务技术文件、报价文件）1份。</w:t>
            </w:r>
          </w:p>
          <w:p>
            <w:pPr>
              <w:numPr>
                <w:ilvl w:val="0"/>
                <w:numId w:val="4"/>
              </w:num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以U盘存储的电子备份投标文件（含资格文件、商务技术文件、报价文件）1份。</w:t>
            </w:r>
          </w:p>
          <w:p>
            <w:pPr>
              <w:spacing w:line="300" w:lineRule="exact"/>
              <w:rPr>
                <w:color w:val="auto"/>
                <w:szCs w:val="21"/>
                <w:highlight w:val="none"/>
              </w:rPr>
            </w:pPr>
            <w:r>
              <w:rPr>
                <w:rFonts w:hint="eastAsia" w:ascii="宋体" w:hAnsi="宋体" w:cs="宋体"/>
                <w:color w:val="auto"/>
                <w:szCs w:val="21"/>
                <w:highlight w:val="none"/>
              </w:rPr>
              <w:t>（3）纸质备份投标文件：资格文件、商务技术文件（正本1份，副本4份）、报价文件（正本1份，副本4份）。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color w:val="auto"/>
                <w:szCs w:val="21"/>
                <w:highlight w:val="none"/>
              </w:rPr>
              <w:t>3</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评标结果公示：评标结束后，评标结果公示于</w:t>
            </w:r>
            <w:r>
              <w:rPr>
                <w:rFonts w:hint="eastAsia" w:ascii="宋体" w:hAnsi="宋体" w:cs="宋体"/>
                <w:color w:val="auto"/>
                <w:szCs w:val="21"/>
                <w:highlight w:val="none"/>
              </w:rPr>
              <w:t>浙江政府采购网、</w:t>
            </w:r>
            <w:r>
              <w:rPr>
                <w:rFonts w:hint="eastAsia" w:cs="Arial"/>
                <w:color w:val="auto"/>
                <w:szCs w:val="21"/>
                <w:highlight w:val="none"/>
              </w:rPr>
              <w:t>宁波市政府采购网、宁波中基国际招标有限公司等网站。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color w:val="auto"/>
                <w:szCs w:val="21"/>
                <w:highlight w:val="none"/>
              </w:rPr>
              <w:t>4</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签订合同时间：中标通知书发出后</w:t>
            </w:r>
            <w:r>
              <w:rPr>
                <w:color w:val="auto"/>
                <w:szCs w:val="21"/>
                <w:highlight w:val="none"/>
              </w:rPr>
              <w:t>30</w:t>
            </w:r>
            <w:r>
              <w:rPr>
                <w:rFonts w:hint="eastAsia"/>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color w:val="auto"/>
                <w:szCs w:val="21"/>
                <w:highlight w:val="none"/>
              </w:rPr>
              <w:t>5</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color w:val="auto"/>
                <w:szCs w:val="21"/>
                <w:highlight w:val="none"/>
              </w:rPr>
              <w:t>6</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投标文件有效期：</w:t>
            </w:r>
            <w:r>
              <w:rPr>
                <w:color w:val="auto"/>
                <w:szCs w:val="21"/>
                <w:highlight w:val="none"/>
              </w:rPr>
              <w:t>90</w:t>
            </w:r>
            <w:r>
              <w:rPr>
                <w:rFonts w:hint="eastAsia"/>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color w:val="auto"/>
                <w:szCs w:val="21"/>
                <w:highlight w:val="none"/>
              </w:rPr>
              <w:t>7</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解释：本招标文件的解释权属于招标采购单位。</w:t>
            </w:r>
          </w:p>
        </w:tc>
      </w:tr>
    </w:tbl>
    <w:p>
      <w:pPr>
        <w:spacing w:line="360" w:lineRule="auto"/>
        <w:rPr>
          <w:rFonts w:hint="eastAsia"/>
          <w:b/>
          <w:bCs/>
          <w:color w:val="auto"/>
          <w:szCs w:val="21"/>
          <w:highlight w:val="none"/>
        </w:rPr>
      </w:pPr>
    </w:p>
    <w:p>
      <w:pPr>
        <w:spacing w:line="360" w:lineRule="auto"/>
        <w:rPr>
          <w:rFonts w:hint="eastAsia"/>
          <w:b/>
          <w:bCs/>
          <w:color w:val="auto"/>
          <w:szCs w:val="21"/>
          <w:highlight w:val="none"/>
        </w:rPr>
      </w:pPr>
    </w:p>
    <w:p>
      <w:pPr>
        <w:spacing w:line="360" w:lineRule="auto"/>
        <w:rPr>
          <w:rFonts w:hint="eastAsia"/>
          <w:b/>
          <w:bCs/>
          <w:color w:val="auto"/>
          <w:szCs w:val="21"/>
          <w:highlight w:val="none"/>
        </w:rPr>
      </w:pPr>
    </w:p>
    <w:p>
      <w:pPr>
        <w:spacing w:line="360" w:lineRule="auto"/>
        <w:rPr>
          <w:rFonts w:hint="eastAsia"/>
          <w:b/>
          <w:bCs/>
          <w:color w:val="auto"/>
          <w:szCs w:val="21"/>
          <w:highlight w:val="none"/>
        </w:rPr>
      </w:pPr>
    </w:p>
    <w:p>
      <w:pPr>
        <w:spacing w:line="360" w:lineRule="auto"/>
        <w:rPr>
          <w:color w:val="auto"/>
          <w:szCs w:val="21"/>
          <w:highlight w:val="none"/>
        </w:rPr>
      </w:pPr>
      <w:r>
        <w:rPr>
          <w:rFonts w:hint="eastAsia"/>
          <w:b/>
          <w:bCs/>
          <w:color w:val="auto"/>
          <w:szCs w:val="21"/>
          <w:highlight w:val="none"/>
        </w:rPr>
        <w:t>一、总则</w:t>
      </w:r>
    </w:p>
    <w:p>
      <w:pPr>
        <w:spacing w:line="360" w:lineRule="auto"/>
        <w:rPr>
          <w:color w:val="auto"/>
          <w:szCs w:val="21"/>
          <w:highlight w:val="none"/>
        </w:rPr>
      </w:pPr>
      <w:r>
        <w:rPr>
          <w:rFonts w:hint="eastAsia"/>
          <w:color w:val="auto"/>
          <w:szCs w:val="21"/>
          <w:highlight w:val="none"/>
        </w:rPr>
        <w:t>（一）适用范围</w:t>
      </w:r>
    </w:p>
    <w:p>
      <w:pPr>
        <w:spacing w:line="360" w:lineRule="auto"/>
        <w:ind w:firstLine="420" w:firstLineChars="200"/>
        <w:rPr>
          <w:color w:val="auto"/>
          <w:szCs w:val="21"/>
          <w:highlight w:val="none"/>
        </w:rPr>
      </w:pPr>
      <w:r>
        <w:rPr>
          <w:rFonts w:hint="eastAsia"/>
          <w:color w:val="auto"/>
          <w:szCs w:val="21"/>
          <w:highlight w:val="none"/>
        </w:rPr>
        <w:t>本招标文件适用于</w:t>
      </w:r>
      <w:r>
        <w:rPr>
          <w:rFonts w:hint="eastAsia" w:ascii="宋体" w:hAnsi="宋体"/>
          <w:color w:val="auto"/>
          <w:szCs w:val="21"/>
          <w:highlight w:val="none"/>
          <w:lang w:eastAsia="zh-CN"/>
        </w:rPr>
        <w:t>HIS软件升级改造服务项目</w:t>
      </w:r>
      <w:r>
        <w:rPr>
          <w:rFonts w:hint="eastAsia"/>
          <w:color w:val="auto"/>
          <w:szCs w:val="21"/>
          <w:highlight w:val="none"/>
        </w:rPr>
        <w:t>的招标、投标、评标、定标、验收、合同履约、付款等行为（法律、法规另有规定的，从其规定）。</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（二）定义</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1、“招标采购单位”系指组织本次招标的采购代理机构和采购人。</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2、“供应商”系指向采购人提交投标文件的单位或个人。</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3、“产品”系指供应商按招标文件规定，须向采购人提供的一切设备、保险、税金、备品备件、工具、手册及其它有关技术资料和材料。</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4、“服务”系指招标文件规定供应商须承担的安装、调试、技术协助、校准、培训、技术指导以及其他类似的义务。</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5、“项目”系指供应商按招标文件规定向采购人提供的产品和服务。</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6、“书面形式”包括信函、传真、电函等。</w:t>
      </w:r>
    </w:p>
    <w:p>
      <w:pPr>
        <w:widowControl/>
        <w:spacing w:line="360" w:lineRule="auto"/>
        <w:ind w:firstLine="420" w:firstLineChars="200"/>
        <w:jc w:val="left"/>
        <w:rPr>
          <w:rFonts w:ascii="宋体" w:hAnsi="宋体" w:cs="宋体"/>
          <w:b/>
          <w:color w:val="auto"/>
          <w:kern w:val="0"/>
          <w:szCs w:val="21"/>
          <w:highlight w:val="none"/>
        </w:rPr>
      </w:pPr>
      <w:r>
        <w:rPr>
          <w:rFonts w:hint="eastAsia" w:ascii="宋体" w:hAnsi="宋体" w:cs="宋体"/>
          <w:color w:val="auto"/>
          <w:kern w:val="0"/>
          <w:szCs w:val="21"/>
          <w:highlight w:val="none"/>
        </w:rPr>
        <w:t>7、“★”系指实质性要求条款，供应商的投标对任何带“★”号的重要商务和技术条款的偏离和未作实质性响应都将直接导致投标无效。</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（三）招标方式</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本次招标采用公开招标方式进行。</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（四）投标委托</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如供应商派授权代表出席开标会议，授权代表须携带有效身份证件。如供应商代表不是法定代表人，须有法定代表人出具的授权委托书（正本用原件，副本用复印件，格式见第六章）。</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（五）投标费用</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不论投标结果如何，供应商均应自行承担所有与投标有关的全部费用（招标文件有其他规定除外）。</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（六）联合体投标</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本项目不接受联合体投标。</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（七）转包与分包</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本项目不允许转包；未经采购人同意，不允许分包。</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（八）特别说明：</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1、提供相同品牌产品且通过资格审查、符合性审查的不同供应商参加同一合同项下投标的，按一家供应商计算。</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若采用综合评分法进行评审的，评审后得分最高的同品牌供应商获得中标人推荐资格；评审得分相同的，由评标委员会按照招标文件规定的方式确定一个供应商获得中标人的推荐资格，招标文件未规定的采取随机抽取的方式确定，其他同品牌供应商不作为中标候选人。</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若采用最低评标价法进行评审的，以报价最低的供应商参加评审，报价相同的，由评标委员会按照招标文件规定的方式确定一个供应商获得中标人的推荐资格，招标文件未规定的采取随机抽取的方式确定，其他投标无效。</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非单一产品采购项目，供应商使用相同制造产品（相同制造产品是指招标文件中指定的“核心产品”）作为其项目的一部分，按一家供应商认定。</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2、供应商在投标活动中提供任何虚假材料,其投标无效，并报监管部门查处；</w:t>
      </w:r>
      <w:r>
        <w:rPr>
          <w:rFonts w:hint="eastAsia" w:ascii="宋体" w:hAnsi="宋体" w:cs="宋体"/>
          <w:bCs/>
          <w:color w:val="auto"/>
          <w:kern w:val="0"/>
          <w:szCs w:val="20"/>
          <w:highlight w:val="none"/>
        </w:rPr>
        <w:t>中标后发现的,中标人须依照相关规定赔偿采购人，且民事赔偿并不免除违法供应商的行政与刑事责任。</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 xml:space="preserve">3、招标文件的澄清与修改 </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（1）采购人或者采购代理机构对招标文件进行必要的澄清或者修改的，澄清或者修改在原公告发布媒体上发布澄清公告。澄清或者修改的内容可能影响投标文件编制的，澄清公告</w:t>
      </w:r>
      <w:r>
        <w:rPr>
          <w:rFonts w:hint="eastAsia" w:ascii="宋体" w:hAnsi="宋体" w:cs="宋体"/>
          <w:color w:val="auto"/>
          <w:szCs w:val="20"/>
          <w:highlight w:val="none"/>
        </w:rPr>
        <w:t>在投标截止时间至少15日前发出；</w:t>
      </w:r>
      <w:r>
        <w:rPr>
          <w:rFonts w:hint="eastAsia" w:ascii="宋体" w:hAnsi="宋体" w:cs="宋体"/>
          <w:bCs/>
          <w:color w:val="auto"/>
          <w:szCs w:val="20"/>
          <w:highlight w:val="none"/>
        </w:rPr>
        <w:t>不足15日的，顺延提交投标文件的截止时间。</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（2）澄清公告为招标文件的组成部分，一经在网站发布，视同已通知所有招标文件的收受人，不再采用其它方式传达相关信息, 若因未能及时了解到上述网站上发布的相关信息而导致的一切后果自行承担。</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（3）招标文件澄清、答复、修改、补充的内容为招标文件的组成部分。当招标文件与招标文件的答复、澄清、修改、补充通知就同一内容的表述不一致时，以最后发出的澄清公告为准。</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（4）招标文件的澄清、答复、修改或补充都应该通过本代理机构以法定形式发布，采购人非通过本机构，不得擅自澄清、答复、修改或补充招标文件。</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4、关于分公司投标</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5、关于知识产权</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（2）投标报价应包含所有应向所有权人支付的专利权、商标权或其它知识产权的一切相关费用。</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（3）系统软件、通用软件必须是具有在中国境内的合法使用权或版权的正版软件，涉及到第三方提出侵权或知识产权的起诉及支付版税等费用由供应商承担所有责任及费用。</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6、供应商的风险</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（1）供应商应详细阅读招标文件中的全部内容和要求，按照招标文件的要求提交投标文件，没有按照招标文件要求提供投标文件和资料导致的风险由供应商承担,并对所提供的全部资料的真实性承担法律责任。</w:t>
      </w:r>
    </w:p>
    <w:p>
      <w:pPr>
        <w:widowControl/>
        <w:snapToGrid w:val="0"/>
        <w:spacing w:line="360" w:lineRule="auto"/>
        <w:ind w:left="2" w:leftChars="1" w:firstLine="420" w:firstLineChars="200"/>
        <w:jc w:val="left"/>
        <w:rPr>
          <w:rFonts w:ascii="宋体" w:hAnsi="宋体" w:cs="宋体"/>
          <w:bCs/>
          <w:color w:val="auto"/>
          <w:szCs w:val="20"/>
          <w:highlight w:val="none"/>
        </w:rPr>
      </w:pPr>
      <w:r>
        <w:rPr>
          <w:rFonts w:hint="eastAsia" w:ascii="宋体" w:hAnsi="宋体" w:cs="宋体"/>
          <w:bCs/>
          <w:color w:val="auto"/>
          <w:szCs w:val="20"/>
          <w:highlight w:val="none"/>
        </w:rPr>
        <w:t>（2）无论因何种原因导致本次采购活动终止致供应商损失的，相关责任人均不承担任何责任。</w:t>
      </w:r>
    </w:p>
    <w:p>
      <w:pPr>
        <w:widowControl/>
        <w:snapToGrid w:val="0"/>
        <w:spacing w:line="360" w:lineRule="auto"/>
        <w:ind w:left="2" w:leftChars="1" w:firstLine="420" w:firstLineChars="200"/>
        <w:jc w:val="left"/>
        <w:rPr>
          <w:rFonts w:ascii="宋体" w:hAnsi="宋体" w:cs="宋体"/>
          <w:b/>
          <w:color w:val="auto"/>
          <w:szCs w:val="20"/>
          <w:highlight w:val="none"/>
        </w:rPr>
      </w:pPr>
      <w:r>
        <w:rPr>
          <w:rFonts w:hint="eastAsia" w:ascii="宋体" w:hAnsi="宋体" w:cs="宋体"/>
          <w:bCs/>
          <w:color w:val="auto"/>
          <w:szCs w:val="20"/>
          <w:highlight w:val="none"/>
        </w:rPr>
        <w:t>7、解释：本招标文件的解释权属于采购人。</w:t>
      </w:r>
    </w:p>
    <w:p>
      <w:pPr>
        <w:widowControl/>
        <w:spacing w:line="360" w:lineRule="auto"/>
        <w:jc w:val="left"/>
        <w:rPr>
          <w:rFonts w:ascii="宋体" w:hAnsi="宋体" w:cs="宋体"/>
          <w:color w:val="auto"/>
          <w:kern w:val="0"/>
          <w:szCs w:val="21"/>
          <w:highlight w:val="none"/>
        </w:rPr>
      </w:pPr>
      <w:bookmarkStart w:id="42" w:name="_Toc13650"/>
      <w:r>
        <w:rPr>
          <w:rFonts w:hint="eastAsia" w:ascii="宋体" w:hAnsi="宋体" w:cs="宋体"/>
          <w:color w:val="auto"/>
          <w:kern w:val="0"/>
          <w:szCs w:val="21"/>
          <w:highlight w:val="none"/>
        </w:rPr>
        <w:t>（九）质疑和投诉</w:t>
      </w:r>
      <w:bookmarkEnd w:id="42"/>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3、供应商提出质疑应当提交质疑函和必要的证明材料，质疑函应当面以书面形式提出，质疑函格式和内容须符合财政部《质疑函范本》要求，供应商可到浙江政府采购网下载专区下载。</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有关联系方式。</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5、供应商对采购人或采购代理机构的质疑答复不满意或者采购人或采购代理机构未在规定时间内作出答复的，可以在答复期满后十五个工作日内向同级采购监管部门投诉。质疑函范本、投诉书范本请到浙江政府采购网下载专区下载。</w:t>
      </w:r>
    </w:p>
    <w:p>
      <w:pPr>
        <w:widowControl/>
        <w:spacing w:line="360" w:lineRule="auto"/>
        <w:jc w:val="left"/>
        <w:rPr>
          <w:rFonts w:ascii="宋体" w:hAnsi="宋体" w:cs="宋体"/>
          <w:b/>
          <w:color w:val="auto"/>
          <w:kern w:val="0"/>
          <w:szCs w:val="21"/>
          <w:highlight w:val="none"/>
        </w:rPr>
      </w:pPr>
      <w:r>
        <w:rPr>
          <w:rFonts w:hint="eastAsia" w:ascii="宋体" w:hAnsi="宋体" w:cs="宋体"/>
          <w:b/>
          <w:color w:val="auto"/>
          <w:kern w:val="0"/>
          <w:szCs w:val="21"/>
          <w:highlight w:val="none"/>
        </w:rPr>
        <w:t>二、招标文件</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（一）招标文件的构成。本招标文件由以下部分组成：</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1、公开招标公告</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2、采购需求</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3、供应商须知</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4、评标办法及评分标准</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5、政府采购合同主要条款</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6、投标文件格式</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7、本项目招标文件的澄清、答复、修改、补充的内容</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（二）供应商的风险</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供应商没有按照招标文件要求提供全部资料，或者供应商没有对招标文件在各方面作出实质性响应是供应商的风险，并可能导致其投标被拒绝。</w:t>
      </w:r>
    </w:p>
    <w:p>
      <w:pPr>
        <w:widowControl/>
        <w:spacing w:line="360" w:lineRule="auto"/>
        <w:jc w:val="left"/>
        <w:rPr>
          <w:rFonts w:ascii="宋体" w:hAnsi="宋体" w:cs="宋体"/>
          <w:b/>
          <w:color w:val="auto"/>
          <w:kern w:val="0"/>
          <w:szCs w:val="21"/>
          <w:highlight w:val="none"/>
        </w:rPr>
      </w:pPr>
      <w:r>
        <w:rPr>
          <w:rFonts w:hint="eastAsia" w:ascii="宋体" w:hAnsi="宋体" w:cs="宋体"/>
          <w:b/>
          <w:color w:val="auto"/>
          <w:kern w:val="0"/>
          <w:szCs w:val="21"/>
          <w:highlight w:val="none"/>
        </w:rPr>
        <w:t>三、投标文件的编制</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（一）投标文件的组成</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投标文件由资格文件、商务技术文件和报价文件三部分组成。</w:t>
      </w:r>
      <w:r>
        <w:rPr>
          <w:rFonts w:hint="eastAsia" w:ascii="宋体" w:hAnsi="宋体" w:cs="宋体"/>
          <w:b/>
          <w:bCs/>
          <w:color w:val="auto"/>
          <w:kern w:val="0"/>
          <w:szCs w:val="21"/>
          <w:highlight w:val="none"/>
        </w:rPr>
        <w:t>（纸质备份投标文件：</w:t>
      </w:r>
      <w:r>
        <w:rPr>
          <w:rFonts w:hint="eastAsia" w:ascii="宋体" w:hAnsi="宋体" w:cs="宋体"/>
          <w:b/>
          <w:bCs/>
          <w:color w:val="auto"/>
          <w:kern w:val="0"/>
          <w:szCs w:val="20"/>
          <w:highlight w:val="none"/>
        </w:rPr>
        <w:t>资格文件、商务技术文件二部分可一起装订成册，报价文件须单独装订成册）</w:t>
      </w:r>
    </w:p>
    <w:p>
      <w:pPr>
        <w:snapToGrid w:val="0"/>
        <w:spacing w:line="360" w:lineRule="auto"/>
        <w:ind w:left="210" w:leftChars="1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1、资格文件：</w:t>
      </w:r>
    </w:p>
    <w:p>
      <w:pPr>
        <w:widowControl/>
        <w:numPr>
          <w:ilvl w:val="0"/>
          <w:numId w:val="5"/>
        </w:numPr>
        <w:snapToGrid w:val="0"/>
        <w:spacing w:line="360" w:lineRule="auto"/>
        <w:ind w:left="210" w:leftChars="100"/>
        <w:jc w:val="left"/>
        <w:rPr>
          <w:rFonts w:ascii="宋体" w:hAnsi="宋体" w:cs="宋体"/>
          <w:color w:val="auto"/>
          <w:kern w:val="0"/>
          <w:szCs w:val="20"/>
          <w:highlight w:val="none"/>
        </w:rPr>
      </w:pPr>
      <w:r>
        <w:rPr>
          <w:rFonts w:hint="eastAsia" w:ascii="宋体" w:hAnsi="宋体" w:cs="宋体"/>
          <w:color w:val="auto"/>
          <w:kern w:val="0"/>
          <w:szCs w:val="20"/>
          <w:highlight w:val="none"/>
        </w:rPr>
        <w:t>供应商资格声明函（格式见附件）；</w:t>
      </w:r>
    </w:p>
    <w:p>
      <w:pPr>
        <w:widowControl/>
        <w:numPr>
          <w:ilvl w:val="0"/>
          <w:numId w:val="5"/>
        </w:numPr>
        <w:snapToGrid w:val="0"/>
        <w:spacing w:line="360" w:lineRule="auto"/>
        <w:ind w:left="210" w:leftChars="100"/>
        <w:jc w:val="left"/>
        <w:rPr>
          <w:rFonts w:ascii="宋体" w:hAnsi="宋体" w:cs="宋体"/>
          <w:color w:val="auto"/>
          <w:kern w:val="0"/>
          <w:szCs w:val="20"/>
          <w:highlight w:val="none"/>
        </w:rPr>
      </w:pPr>
      <w:r>
        <w:rPr>
          <w:rFonts w:hint="eastAsia" w:ascii="宋体" w:hAnsi="宋体" w:cs="宋体"/>
          <w:color w:val="auto"/>
          <w:kern w:val="0"/>
          <w:szCs w:val="20"/>
          <w:highlight w:val="none"/>
        </w:rPr>
        <w:t>有效的企业法人营业执照（或事业法人登记证）、其他组织（个体工商户）的营业执照或者民办非企业单位登记证书复印件；</w:t>
      </w:r>
      <w:r>
        <w:rPr>
          <w:rFonts w:hint="eastAsia" w:ascii="宋体" w:hAnsi="宋体" w:cs="宋体"/>
          <w:color w:val="auto"/>
          <w:kern w:val="0"/>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kern w:val="0"/>
          <w:szCs w:val="20"/>
          <w:highlight w:val="none"/>
        </w:rPr>
        <w:t>；</w:t>
      </w:r>
    </w:p>
    <w:p>
      <w:pPr>
        <w:widowControl/>
        <w:numPr>
          <w:ilvl w:val="0"/>
          <w:numId w:val="5"/>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0"/>
          <w:highlight w:val="none"/>
        </w:rPr>
        <w:t>供应商特定资格条件的证明文件：详见“第一章  公开招标公告 二、申请人的资格要求：3.本项目的特定资格要求”；</w:t>
      </w:r>
    </w:p>
    <w:p>
      <w:p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2"/>
          <w:highlight w:val="none"/>
        </w:rPr>
        <w:t>（4）招标文件</w:t>
      </w:r>
      <w:r>
        <w:rPr>
          <w:rFonts w:hint="eastAsia" w:ascii="宋体" w:hAnsi="宋体" w:cs="宋体"/>
          <w:color w:val="auto"/>
          <w:kern w:val="0"/>
          <w:szCs w:val="21"/>
          <w:highlight w:val="none"/>
        </w:rPr>
        <w:t>要求的其他资格条件证明材料（如有）；</w:t>
      </w:r>
    </w:p>
    <w:p>
      <w:pPr>
        <w:snapToGrid w:val="0"/>
        <w:spacing w:line="360" w:lineRule="auto"/>
        <w:ind w:left="210" w:leftChars="1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2、商务技术文件</w:t>
      </w:r>
    </w:p>
    <w:p>
      <w:pPr>
        <w:widowControl/>
        <w:numPr>
          <w:ilvl w:val="0"/>
          <w:numId w:val="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符合性自查表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供应商响应表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技术部分：针对本项目第二章采购需求及第四章评分标准中的条款拟定各种方案，格式自拟；</w:t>
      </w:r>
    </w:p>
    <w:p>
      <w:pPr>
        <w:widowControl/>
        <w:numPr>
          <w:ilvl w:val="0"/>
          <w:numId w:val="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投标函</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法定代表人身份证明或法定代表人授权委托书</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技术（服务）条款偏离表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r>
        <w:rPr>
          <w:rFonts w:hint="eastAsia" w:ascii="宋体" w:hAnsi="宋体" w:cs="宋体"/>
          <w:color w:val="auto"/>
          <w:kern w:val="0"/>
          <w:szCs w:val="21"/>
          <w:highlight w:val="none"/>
        </w:rPr>
        <w:tab/>
      </w:r>
    </w:p>
    <w:p>
      <w:pPr>
        <w:widowControl/>
        <w:numPr>
          <w:ilvl w:val="0"/>
          <w:numId w:val="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商务条款偏离表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供应商情况一览表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第四章评标办法及评分标准中需提供的其他相关资质证书及合同复印件加盖公章；</w:t>
      </w:r>
    </w:p>
    <w:p>
      <w:pPr>
        <w:widowControl/>
        <w:numPr>
          <w:ilvl w:val="0"/>
          <w:numId w:val="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供应商认为有需要提供的其它证明资料。</w:t>
      </w:r>
    </w:p>
    <w:p>
      <w:pPr>
        <w:snapToGrid w:val="0"/>
        <w:spacing w:line="360" w:lineRule="auto"/>
        <w:ind w:left="210" w:leftChars="1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3、报价文件：</w:t>
      </w:r>
    </w:p>
    <w:p>
      <w:pPr>
        <w:widowControl/>
        <w:numPr>
          <w:ilvl w:val="0"/>
          <w:numId w:val="7"/>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开标一览表（格式见附件）；</w:t>
      </w:r>
    </w:p>
    <w:p>
      <w:pPr>
        <w:widowControl/>
        <w:numPr>
          <w:ilvl w:val="0"/>
          <w:numId w:val="7"/>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投标报价明细表（格式见附件）；</w:t>
      </w:r>
    </w:p>
    <w:p>
      <w:pPr>
        <w:widowControl/>
        <w:numPr>
          <w:ilvl w:val="0"/>
          <w:numId w:val="7"/>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中小企业声明函（如有，</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7"/>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残疾人福利性单位声明函（如有）（</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7"/>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供应商针对报价需要说明的其他文件和说明（</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 注：法定代表人授权委托书必须由法定代表人签署（签名或印章）并加盖单位公章；供应商资格声明函、投标函、开标一览表必须由法定代表人或授权代表签署（签名或印章）并加盖单位公章。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（二）投标文件的语言及计量</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★1、投标文件以及供应商与采购人就有关投标事宜的所有来往函电，均应以中文汉语书写。除签名、盖章、专用名称等特殊情形外，以中文汉语以外的文字表述的投标文件视同未提供。</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★2、投标计量单位，招标文件已有明确规定的，使用招标文件规定的计量单位；招标文件没有规定的，应采用中华人民共和国法定计量单位（货币单位：人民币元），否则视同未响应。</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（三）投标报价</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1、投标报价应按招标文件中相关附表格式填写。</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★2、投标报价是履行合同的最终价格，具体详见第三章 供应商须知。</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★3、投标文件只允许有一个报价，有选择的或有条件的报价将不予接受。</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（四）投标文件的有效期</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★1、自投标截止日起90 天投标文件应保持有效。</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2、在特殊情况下，采购人可与供应商协商延长投标书的有效期，这种要求和答复均以书面形式进行。</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3、供应商同意延长有效期的，不能修改投标文件。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4、中标人的投标文件自开标之日起至合同履行完毕止均应保持有效。</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（五）投标文件的签署和份数</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1</w:t>
      </w:r>
      <w:r>
        <w:rPr>
          <w:rFonts w:hint="eastAsia" w:ascii="宋体" w:hAnsi="宋体" w:cs="宋体"/>
          <w:color w:val="auto"/>
          <w:kern w:val="0"/>
          <w:szCs w:val="21"/>
          <w:highlight w:val="none"/>
        </w:rPr>
        <w:t>、</w:t>
      </w:r>
      <w:r>
        <w:rPr>
          <w:rFonts w:hint="eastAsia" w:ascii="宋体" w:hAnsi="宋体" w:cs="宋体"/>
          <w:color w:val="auto"/>
          <w:kern w:val="0"/>
          <w:szCs w:val="20"/>
          <w:highlight w:val="none"/>
        </w:rPr>
        <w:t>供应商应按本招标文件规定的格式和顺序编制、装订投标文件</w:t>
      </w:r>
      <w:r>
        <w:rPr>
          <w:rFonts w:hint="eastAsia" w:ascii="宋体" w:hAnsi="宋体" w:cs="宋体"/>
          <w:color w:val="auto"/>
          <w:kern w:val="0"/>
          <w:szCs w:val="21"/>
          <w:highlight w:val="none"/>
        </w:rPr>
        <w:t>，投标文件要求有目录并标注页码</w:t>
      </w:r>
      <w:r>
        <w:rPr>
          <w:rFonts w:hint="eastAsia" w:ascii="宋体" w:hAnsi="宋体" w:cs="宋体"/>
          <w:color w:val="auto"/>
          <w:kern w:val="0"/>
          <w:szCs w:val="20"/>
          <w:highlight w:val="none"/>
        </w:rPr>
        <w:t>，投标文件内容不完整、编排混乱导致投标文件被误读、漏读或者查找不到相关内容的，是供应商的责任。</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2、投标文件的份数：</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本项目实行网上投标，供应商应准备以下投标文件：</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（1）上传到政府采购云平台的电子投标文件（含资格文件、商务技术文件、报价文件）1份。</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（2）以U盘存储的电子备份投标文件（含资格文件、商务技术文件、报价文件）1份。</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（3）纸质备份投标文件：资格、商务技术文件（正本1份，副本4份）、报价文件（正本1份，副本4份）。 </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3、电子投标文件：</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3.1供应商应根据</w:t>
      </w:r>
      <w:r>
        <w:rPr>
          <w:rFonts w:hint="eastAsia" w:ascii="宋体" w:hAnsi="宋体" w:cs="宋体"/>
          <w:color w:val="auto"/>
          <w:kern w:val="0"/>
          <w:szCs w:val="21"/>
          <w:highlight w:val="none"/>
        </w:rPr>
        <w:t>政府采购云平台的要求</w:t>
      </w:r>
      <w:r>
        <w:rPr>
          <w:rFonts w:hint="eastAsia" w:ascii="宋体" w:hAnsi="宋体" w:cs="宋体"/>
          <w:color w:val="auto"/>
          <w:kern w:val="0"/>
          <w:szCs w:val="20"/>
          <w:highlight w:val="none"/>
        </w:rPr>
        <w:t>及本招标文件规定的格式和顺序编制电子投标文件并进行关联定位。</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4、纸质备份投标文件：</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4.1投标文件应按招标文件要求由资格文件、商务技术文件和报价文件三部分组成。资格文件、商务技术文件二部分可一起装订成册，报价文件须单独装订成册。投标文件的封面应注明“正本”、“副本”字样。</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4.2若有多个标项，资格文件、商务技术文件二部分可装订成一册，报价文件应按标项分别装订、密封、包装，未按规定装订、密封、包装的投标文件将被拒绝。</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4.3投标文件的正本需打印或用不褪色的墨水填写，投标文件正本除本《供应商须知》中规定的可提供复印件外均须提供原件。副本可以为正本的复印件，投标文件正、副本内容不一致的，以正本为准。</w:t>
      </w:r>
    </w:p>
    <w:p>
      <w:pPr>
        <w:widowControl/>
        <w:spacing w:line="360" w:lineRule="auto"/>
        <w:ind w:firstLine="525" w:firstLineChars="250"/>
        <w:jc w:val="left"/>
        <w:rPr>
          <w:rFonts w:ascii="宋体" w:hAnsi="宋体" w:cs="宋体"/>
          <w:color w:val="auto"/>
          <w:kern w:val="0"/>
          <w:szCs w:val="20"/>
          <w:highlight w:val="none"/>
        </w:rPr>
      </w:pPr>
      <w:r>
        <w:rPr>
          <w:rFonts w:hint="eastAsia" w:ascii="宋体" w:hAnsi="宋体" w:cs="宋体"/>
          <w:color w:val="auto"/>
          <w:kern w:val="0"/>
          <w:szCs w:val="20"/>
          <w:highlight w:val="none"/>
        </w:rPr>
        <w:t>4.4投标文件不得涂改，若有修改错漏处，须加盖单位公章或者法定代表人或授权委托人签名或盖章。投标文件因字迹潦草或表达不清所引起的后果由供应商负责。</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0"/>
          <w:highlight w:val="none"/>
        </w:rPr>
        <w:t>4.5投标文件须由供应商在规定位置盖章并由法定代表人或法定代表人的授权委托人签署，供应商应写全称。</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（六）投标文件的包装、递交、修改和撤回</w:t>
      </w:r>
    </w:p>
    <w:p>
      <w:pPr>
        <w:widowControl/>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1、以U盘存储的电子备份投标文件用封袋密封后递交。</w:t>
      </w:r>
    </w:p>
    <w:p>
      <w:pPr>
        <w:widowControl/>
        <w:snapToGrid w:val="0"/>
        <w:spacing w:line="360" w:lineRule="auto"/>
        <w:ind w:firstLine="420"/>
        <w:jc w:val="left"/>
        <w:rPr>
          <w:rFonts w:ascii="宋体" w:hAnsi="宋体" w:cs="宋体"/>
          <w:bCs/>
          <w:color w:val="auto"/>
          <w:kern w:val="0"/>
          <w:szCs w:val="21"/>
          <w:highlight w:val="none"/>
        </w:rPr>
      </w:pPr>
      <w:r>
        <w:rPr>
          <w:rFonts w:hint="eastAsia" w:ascii="宋体" w:hAnsi="宋体" w:cs="宋体"/>
          <w:color w:val="auto"/>
          <w:kern w:val="0"/>
          <w:szCs w:val="21"/>
          <w:highlight w:val="none"/>
        </w:rPr>
        <w:t>2、纸质备份投标文件</w:t>
      </w:r>
      <w:r>
        <w:rPr>
          <w:rFonts w:hint="eastAsia" w:ascii="宋体" w:hAnsi="宋体" w:cs="宋体"/>
          <w:bCs/>
          <w:color w:val="auto"/>
          <w:kern w:val="0"/>
          <w:szCs w:val="21"/>
          <w:highlight w:val="none"/>
        </w:rPr>
        <w:t>，要求分别按</w:t>
      </w:r>
      <w:r>
        <w:rPr>
          <w:rFonts w:hint="eastAsia" w:ascii="宋体" w:hAnsi="宋体" w:cs="宋体"/>
          <w:color w:val="auto"/>
          <w:kern w:val="0"/>
          <w:szCs w:val="21"/>
          <w:highlight w:val="none"/>
        </w:rPr>
        <w:t>资格、商务技术文件和报价文件二部分</w:t>
      </w:r>
      <w:r>
        <w:rPr>
          <w:rFonts w:hint="eastAsia" w:ascii="宋体" w:hAnsi="宋体" w:cs="宋体"/>
          <w:bCs/>
          <w:color w:val="auto"/>
          <w:kern w:val="0"/>
          <w:szCs w:val="21"/>
          <w:highlight w:val="none"/>
        </w:rPr>
        <w:t>分开包装。</w:t>
      </w:r>
    </w:p>
    <w:p>
      <w:pPr>
        <w:widowControl/>
        <w:snapToGrid w:val="0"/>
        <w:spacing w:line="360" w:lineRule="auto"/>
        <w:ind w:firstLine="420"/>
        <w:jc w:val="left"/>
        <w:rPr>
          <w:rFonts w:ascii="宋体" w:hAnsi="宋体" w:cs="宋体"/>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color w:val="auto"/>
          <w:kern w:val="0"/>
          <w:szCs w:val="21"/>
          <w:highlight w:val="none"/>
        </w:rPr>
        <w:t>投标文件的包装封面上应注明供应商名称、供应商地址、投标文件名称(电子备份投标文件/资格文件/商务技术文件/报价文件/资格、商务技术文件)、投标项目名称、项目编号、标项号，并加盖供应商公章。</w:t>
      </w:r>
    </w:p>
    <w:p>
      <w:pPr>
        <w:widowControl/>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4、未按规定密封或标记的投标文件将被拒绝，由此造成投标文件被误投或提前拆封的风险由供应商承担。</w:t>
      </w:r>
    </w:p>
    <w:p>
      <w:pPr>
        <w:widowControl/>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5、供应商在投标截止时间之前，可以对已提交的电子备份投标文件和纸质备份投标文件进行修改或撤回，并书面通知招标采购单位；投标截止时间后，供应商不得撤回、修改投标文件。修改后重新递交的电子备份投标文件和纸质备份投标文件应当按本招标文件的要求签署、盖章和密封。</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widowControl/>
        <w:spacing w:line="360" w:lineRule="auto"/>
        <w:jc w:val="left"/>
        <w:rPr>
          <w:rFonts w:ascii="宋体" w:hAnsi="宋体" w:cs="宋体"/>
          <w:b/>
          <w:color w:val="auto"/>
          <w:kern w:val="0"/>
          <w:szCs w:val="21"/>
          <w:highlight w:val="none"/>
        </w:rPr>
      </w:pPr>
      <w:r>
        <w:rPr>
          <w:rFonts w:hint="eastAsia" w:ascii="宋体" w:hAnsi="宋体" w:cs="宋体"/>
          <w:b/>
          <w:color w:val="auto"/>
          <w:kern w:val="0"/>
          <w:szCs w:val="21"/>
          <w:highlight w:val="none"/>
        </w:rPr>
        <w:t>四、特别说明</w:t>
      </w:r>
    </w:p>
    <w:p>
      <w:pPr>
        <w:widowControl/>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  政府采购活动中有关中小企业的相关规定（采购进口产品的项目不适用）</w:t>
      </w:r>
    </w:p>
    <w:p>
      <w:pPr>
        <w:widowControl/>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1.1  参加政府采购活动的中小企业（含中型、小型、微型企业，其他地方同）应当同时符合以下条件：</w:t>
      </w:r>
    </w:p>
    <w:p>
      <w:pPr>
        <w:widowControl/>
        <w:spacing w:line="360" w:lineRule="auto"/>
        <w:ind w:left="420" w:leftChars="200"/>
        <w:jc w:val="left"/>
        <w:rPr>
          <w:rFonts w:ascii="宋体" w:hAnsi="宋体" w:cs="宋体"/>
          <w:color w:val="auto"/>
          <w:kern w:val="0"/>
          <w:szCs w:val="21"/>
          <w:highlight w:val="none"/>
        </w:rPr>
      </w:pPr>
      <w:r>
        <w:rPr>
          <w:rFonts w:hint="eastAsia" w:ascii="宋体" w:hAnsi="宋体" w:cs="宋体"/>
          <w:color w:val="auto"/>
          <w:kern w:val="0"/>
          <w:szCs w:val="21"/>
          <w:highlight w:val="none"/>
        </w:rPr>
        <w:t>（一）符合中小企业划分标准（具体见工信部联企业[2011]300号）；</w:t>
      </w:r>
    </w:p>
    <w:p>
      <w:pPr>
        <w:widowControl/>
        <w:spacing w:line="360" w:lineRule="auto"/>
        <w:ind w:left="420" w:leftChars="200"/>
        <w:jc w:val="left"/>
        <w:rPr>
          <w:rFonts w:ascii="宋体" w:hAnsi="宋体" w:cs="宋体"/>
          <w:color w:val="auto"/>
          <w:kern w:val="0"/>
          <w:szCs w:val="21"/>
          <w:highlight w:val="none"/>
        </w:rPr>
      </w:pPr>
      <w:r>
        <w:rPr>
          <w:rFonts w:hint="eastAsia" w:ascii="宋体" w:hAnsi="宋体" w:cs="宋体"/>
          <w:color w:val="auto"/>
          <w:kern w:val="0"/>
          <w:szCs w:val="21"/>
          <w:highlight w:val="none"/>
        </w:rPr>
        <w:t>（二）提供本企业制造的货物、承担的工程或者服务，或者提供其他中小企业制造的货物。本项所称货物不包括使用大型企业注册商标的货物。</w:t>
      </w:r>
    </w:p>
    <w:p>
      <w:pPr>
        <w:widowControl/>
        <w:spacing w:line="360" w:lineRule="auto"/>
        <w:ind w:left="420" w:leftChars="200"/>
        <w:jc w:val="left"/>
        <w:rPr>
          <w:rFonts w:ascii="宋体" w:hAnsi="宋体" w:cs="宋体"/>
          <w:color w:val="auto"/>
          <w:kern w:val="0"/>
          <w:szCs w:val="21"/>
          <w:highlight w:val="none"/>
        </w:rPr>
      </w:pPr>
      <w:r>
        <w:rPr>
          <w:rFonts w:hint="eastAsia" w:ascii="宋体" w:hAnsi="宋体" w:cs="宋体"/>
          <w:color w:val="auto"/>
          <w:kern w:val="0"/>
          <w:szCs w:val="21"/>
          <w:highlight w:val="none"/>
        </w:rPr>
        <w:t>（三）小型、微型企业提供中型企业制造的货物的，视同为中型企业。</w:t>
      </w:r>
    </w:p>
    <w:p>
      <w:pPr>
        <w:widowControl/>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1.2  参加政府采购活动的中小企业应当提供《中小企业声明函》。</w:t>
      </w:r>
    </w:p>
    <w:p>
      <w:pPr>
        <w:widowControl/>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1.3  对于非专门面向中小企业的项目，对小型和微型企业产品的价格应给予6%-10%的扣除，用扣除后的价格参与评审。具体扣除比例见第四章 评标办法及评分标准（如有）。</w:t>
      </w:r>
    </w:p>
    <w:p>
      <w:pPr>
        <w:widowControl/>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1.4  根据《财政部司法部关于政府采购支持监狱企业发展有关问题的通知》（财库[2014]68号）规定，监狱企业视同小型、微型企业。监狱企业参加政府采购活动时，应当提供由省级及以上监狱管理局、戒毒管理局（含新疆生产建设兵团）出具的属于监狱企业的证明文件。</w:t>
      </w:r>
    </w:p>
    <w:p>
      <w:pPr>
        <w:widowControl/>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rPr>
        <w:t>1</w:t>
      </w:r>
      <w:r>
        <w:rPr>
          <w:rFonts w:hint="eastAsia" w:ascii="宋体" w:hAnsi="宋体" w:cs="宋体"/>
          <w:color w:val="auto"/>
          <w:szCs w:val="21"/>
          <w:highlight w:val="none"/>
          <w:lang w:val="zh-CN"/>
        </w:rPr>
        <w:t>.</w:t>
      </w:r>
      <w:r>
        <w:rPr>
          <w:rFonts w:hint="eastAsia" w:ascii="宋体" w:hAnsi="宋体" w:cs="宋体"/>
          <w:color w:val="auto"/>
          <w:szCs w:val="21"/>
          <w:highlight w:val="none"/>
        </w:rPr>
        <w:t>5</w:t>
      </w:r>
      <w:r>
        <w:rPr>
          <w:rFonts w:hint="eastAsia" w:ascii="宋体" w:hAnsi="宋体" w:cs="宋体"/>
          <w:color w:val="auto"/>
          <w:szCs w:val="21"/>
          <w:highlight w:val="none"/>
          <w:lang w:val="zh-CN"/>
        </w:rPr>
        <w:t xml:space="preserve"> 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w:t>
      </w:r>
      <w:r>
        <w:rPr>
          <w:rFonts w:hint="eastAsia" w:ascii="宋体" w:hAnsi="宋体" w:cs="宋体"/>
          <w:color w:val="auto"/>
          <w:szCs w:val="21"/>
          <w:highlight w:val="none"/>
        </w:rPr>
        <w:t>第四章 评标办法及评分标准</w:t>
      </w:r>
      <w:r>
        <w:rPr>
          <w:rFonts w:hint="eastAsia" w:ascii="宋体" w:hAnsi="宋体" w:cs="宋体"/>
          <w:color w:val="auto"/>
          <w:szCs w:val="21"/>
          <w:highlight w:val="none"/>
          <w:lang w:val="zh-CN"/>
        </w:rPr>
        <w:t>（如有）。</w:t>
      </w:r>
    </w:p>
    <w:p>
      <w:pPr>
        <w:widowControl/>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联合体各方均为小型、微型企业的，联合体视同为小型、微型企业。组成联合体的大中型企业和其他自然人、法人或者其他组织，与小型、微型企业之间不得存在投资关系。</w:t>
      </w:r>
    </w:p>
    <w:p>
      <w:pPr>
        <w:widowControl/>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rPr>
        <w:t>1</w:t>
      </w:r>
      <w:r>
        <w:rPr>
          <w:rFonts w:hint="eastAsia" w:ascii="宋体" w:hAnsi="宋体" w:cs="宋体"/>
          <w:color w:val="auto"/>
          <w:szCs w:val="21"/>
          <w:highlight w:val="none"/>
          <w:lang w:val="zh-CN"/>
        </w:rPr>
        <w:t>.</w:t>
      </w:r>
      <w:r>
        <w:rPr>
          <w:rFonts w:hint="eastAsia" w:ascii="宋体" w:hAnsi="宋体" w:cs="宋体"/>
          <w:color w:val="auto"/>
          <w:szCs w:val="21"/>
          <w:highlight w:val="none"/>
        </w:rPr>
        <w:t>6</w:t>
      </w:r>
      <w:r>
        <w:rPr>
          <w:rFonts w:hint="eastAsia" w:ascii="宋体" w:hAnsi="宋体" w:cs="宋体"/>
          <w:color w:val="auto"/>
          <w:szCs w:val="21"/>
          <w:highlight w:val="none"/>
          <w:lang w:val="zh-CN"/>
        </w:rPr>
        <w:t xml:space="preserve">  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widowControl/>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并对声明的真实性负责。</w:t>
      </w:r>
    </w:p>
    <w:p>
      <w:pPr>
        <w:widowControl/>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1.8供应商为小型、微型企业的，所投的货物只有部分为小微企业提供的，不认定为小微企业，不享受小微企业的价格优惠。</w:t>
      </w:r>
    </w:p>
    <w:p>
      <w:pPr>
        <w:spacing w:line="360" w:lineRule="auto"/>
        <w:jc w:val="center"/>
        <w:outlineLvl w:val="0"/>
        <w:rPr>
          <w:rFonts w:ascii="黑体" w:hAnsi="宋体" w:eastAsia="黑体"/>
          <w:color w:val="auto"/>
          <w:sz w:val="30"/>
          <w:szCs w:val="30"/>
          <w:highlight w:val="none"/>
        </w:rPr>
      </w:pPr>
      <w:r>
        <w:rPr>
          <w:color w:val="auto"/>
          <w:sz w:val="28"/>
          <w:szCs w:val="28"/>
          <w:highlight w:val="none"/>
        </w:rPr>
        <w:br w:type="page"/>
      </w:r>
      <w:bookmarkStart w:id="43" w:name="_Toc24415"/>
      <w:r>
        <w:rPr>
          <w:rFonts w:hint="eastAsia"/>
          <w:color w:val="auto"/>
          <w:sz w:val="28"/>
          <w:szCs w:val="28"/>
          <w:highlight w:val="none"/>
        </w:rPr>
        <w:t>第四章评标办法及评分标准</w:t>
      </w:r>
      <w:bookmarkEnd w:id="43"/>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 xml:space="preserve">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6%的扣除，对联合体投标（如有）中满足要求的小型和微型企业产品的价格给予2%的扣除，用扣除后的价格参与评审。 </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一、开标准备</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采购代理机构将在规定的时间和地点进行开标，供应商的法定代表人或其授权代表可参加开标会。供应商的法定代表人或其授权代表未参加开标会的，视同放弃开标监督权利、认可开标结果。</w:t>
      </w: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二、开标程序：</w:t>
      </w:r>
    </w:p>
    <w:p>
      <w:pPr>
        <w:spacing w:line="40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1、电子招投标开标程序：</w:t>
      </w:r>
    </w:p>
    <w:p>
      <w:pPr>
        <w:numPr>
          <w:ilvl w:val="0"/>
          <w:numId w:val="8"/>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投标截止时间后，供应商登录政府采购云平台，用“项目采购-开标评标”功能对电子投标文件进行在线解密，在线解密电子投标文件时间为开标时间后30分钟内。</w:t>
      </w:r>
    </w:p>
    <w:p>
      <w:pPr>
        <w:numPr>
          <w:ilvl w:val="0"/>
          <w:numId w:val="8"/>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在政府采购云平台开启已解密供应商的“资格文件、商务技术文件、报价文件”，并做开标记录；</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公布评审结果。</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（4）开标会议结束。</w:t>
      </w:r>
    </w:p>
    <w:p>
      <w:pPr>
        <w:numPr>
          <w:ilvl w:val="0"/>
          <w:numId w:val="9"/>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线下开标程序：</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（1）开标会由采购代理机构主持，主持人宣布开标会议开始；</w:t>
      </w:r>
    </w:p>
    <w:p>
      <w:pPr>
        <w:spacing w:line="400" w:lineRule="exact"/>
        <w:ind w:firstLine="420" w:firstLineChars="200"/>
        <w:jc w:val="left"/>
        <w:rPr>
          <w:rFonts w:ascii="宋体" w:hAnsi="宋体" w:cs="宋体"/>
          <w:color w:val="auto"/>
          <w:szCs w:val="21"/>
          <w:highlight w:val="none"/>
        </w:rPr>
      </w:pPr>
      <w:bookmarkStart w:id="44" w:name="_Toc396115155"/>
      <w:r>
        <w:rPr>
          <w:rFonts w:hint="eastAsia" w:ascii="宋体" w:hAnsi="宋体" w:cs="宋体"/>
          <w:color w:val="auto"/>
          <w:szCs w:val="21"/>
          <w:highlight w:val="none"/>
        </w:rPr>
        <w:t>（2）主持人介绍参加开标会的人员名单；</w:t>
      </w:r>
      <w:bookmarkEnd w:id="44"/>
    </w:p>
    <w:p>
      <w:pPr>
        <w:spacing w:line="400" w:lineRule="exact"/>
        <w:ind w:firstLine="420" w:firstLineChars="200"/>
        <w:jc w:val="left"/>
        <w:rPr>
          <w:rFonts w:ascii="宋体" w:hAnsi="宋体" w:cs="宋体"/>
          <w:color w:val="auto"/>
          <w:szCs w:val="21"/>
          <w:highlight w:val="none"/>
        </w:rPr>
      </w:pPr>
      <w:bookmarkStart w:id="45" w:name="_Toc396115156"/>
      <w:r>
        <w:rPr>
          <w:rFonts w:hint="eastAsia" w:ascii="宋体" w:hAnsi="宋体" w:cs="宋体"/>
          <w:color w:val="auto"/>
          <w:szCs w:val="21"/>
          <w:highlight w:val="none"/>
        </w:rPr>
        <w:t>（3）主持人宣布评标期间的有关事项，告知应当回避的情形,提请有关人员回避；</w:t>
      </w:r>
      <w:bookmarkEnd w:id="45"/>
    </w:p>
    <w:p>
      <w:pPr>
        <w:spacing w:line="400" w:lineRule="exact"/>
        <w:ind w:firstLine="420" w:firstLineChars="200"/>
        <w:jc w:val="left"/>
        <w:rPr>
          <w:rFonts w:ascii="宋体" w:hAnsi="宋体" w:cs="宋体"/>
          <w:color w:val="auto"/>
          <w:szCs w:val="21"/>
          <w:highlight w:val="none"/>
        </w:rPr>
      </w:pPr>
      <w:bookmarkStart w:id="46" w:name="_Toc396115157"/>
      <w:r>
        <w:rPr>
          <w:rFonts w:hint="eastAsia" w:ascii="宋体" w:hAnsi="宋体" w:cs="宋体"/>
          <w:color w:val="auto"/>
          <w:szCs w:val="21"/>
          <w:highlight w:val="none"/>
        </w:rPr>
        <w:t>（4）由供应商或其当场推荐的代表检查资格、商务技术文件、报价文件密封的完整性；</w:t>
      </w:r>
      <w:bookmarkEnd w:id="46"/>
      <w:bookmarkStart w:id="47" w:name="_Toc396115158"/>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（5）按各供应商提交投标文件时间的先后顺序打开投标文件的资格、商务技术文件、报价文件外包装，清点投标文件正本、副本数量</w:t>
      </w:r>
      <w:bookmarkEnd w:id="47"/>
      <w:r>
        <w:rPr>
          <w:rFonts w:hint="eastAsia" w:ascii="宋体" w:hAnsi="宋体" w:cs="宋体"/>
          <w:color w:val="auto"/>
          <w:szCs w:val="21"/>
          <w:highlight w:val="none"/>
        </w:rPr>
        <w:t>，由主持人宣读《开标一览表》中的供应商名称及在其投标文件中承诺的投标报价、交货期（服务期限）等投标内容，以及采购代理机构认为有必要宣读的其他内容，并做开标记录；同时由记录人、监督人当场签字确认；</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（6）主持人公布评审结果。</w:t>
      </w:r>
    </w:p>
    <w:p>
      <w:pPr>
        <w:spacing w:line="400" w:lineRule="exact"/>
        <w:ind w:firstLine="420" w:firstLineChars="200"/>
        <w:jc w:val="left"/>
        <w:rPr>
          <w:rFonts w:ascii="宋体" w:hAnsi="宋体" w:cs="宋体"/>
          <w:color w:val="auto"/>
          <w:szCs w:val="21"/>
          <w:highlight w:val="none"/>
        </w:rPr>
      </w:pPr>
      <w:bookmarkStart w:id="48" w:name="_Toc396115163"/>
      <w:r>
        <w:rPr>
          <w:rFonts w:hint="eastAsia" w:ascii="宋体" w:hAnsi="宋体" w:cs="宋体"/>
          <w:color w:val="auto"/>
          <w:szCs w:val="21"/>
          <w:highlight w:val="none"/>
        </w:rPr>
        <w:t>（7）开标会议结束。</w:t>
      </w:r>
      <w:bookmarkEnd w:id="48"/>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3、特别说明：</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如对电子化开标及评审程序有调整的，按调整后的程序操作。</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本项目原则上采用政采云</w:t>
      </w:r>
      <w:r>
        <w:rPr>
          <w:rFonts w:hint="eastAsia" w:ascii="宋体" w:hAnsi="宋体" w:cs="宋体"/>
          <w:bCs/>
          <w:color w:val="auto"/>
          <w:szCs w:val="21"/>
          <w:highlight w:val="none"/>
        </w:rPr>
        <w:t>电子招投标开标程序</w:t>
      </w:r>
      <w:r>
        <w:rPr>
          <w:rFonts w:hint="eastAsia" w:ascii="宋体" w:hAnsi="宋体" w:cs="宋体"/>
          <w:color w:val="auto"/>
          <w:szCs w:val="21"/>
          <w:highlight w:val="none"/>
        </w:rPr>
        <w:t>，但有以下情形之一的，按以下情况处理：</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（1）若有供应商在规定时间内无法解密或解密失败，代理机构将开启该供应商递交的</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，上传至政采云平台项目采购模块，以完成开标，电子投标文件自动失效。</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（2）若因</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原因无法读取或电子开评标无法正常进行，代理机构将开启所有供应商递交的纸质备份投标文件，以完成开标，电子投标文件及</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自动失效。</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3.1电子交易平台发生故障而无法登录访问的；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3.2电子交易平台应用或数据库出现错误，不能进行正常操作的；</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3.3电子交易平台发现严重安全漏洞，有潜在泄密危险的；</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3.4病毒发作导致不能进行正常操作的；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3.5其他无法保证电子交易的公平、公正和安全的情况。</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（4）未开启的备份投标文件现场予以退还。</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三、评标委员会</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（一）本次招标依法组建评标委员会。</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（三）评审专家有下列情形之一的，受到邀请应主动提出回避，采购当事人也可以要求该评审专家回避：</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1、本人、配偶或直系亲属3年内曾在参加该采购项目的供应商中任职（包括一般工作）或担任顾问，或与参加该采购项目的供应商发生过法律纠纷；</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2、任职单位与采购人或参加该采购项目供应商存在行政隶属关系；</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3、曾经参加过该采购项目的进口产品或招标文件、采购需求、采购方式的论证和咨询服务工作；</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4、是参加该采购项目供应商的上级主管部门、控股或参股单位的工作人员，或与该供应商存在其他经济利益关系；</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5、评审委员会成员之间具有配偶、近亲属关系；</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6、法律、法规、规章规定应当回避以及其他可能影响公正评审的。</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四、评标方法</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（一）本次采购项目的评标方法为：综合评分法。</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采用综合评分法的，评标结果按评审后得分由高到低顺序推荐3名及以上中标候选人。得分相同的，按投标报价由低到高顺序排列。得分且投标报价相同的并列，则抽签决定。</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（三）投标文件的澄清</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1、对于投标文件中含义不明确、同类问题表述不一致或者有明显文字和计算错误的内容，评标委员会应当以书面形式要求供应商作出必要的澄清、说明或者补正。</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（四）投标文件错误修正原则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1、投标文件中开标一览表（报价表）内容与投标文件中相应内容不一致的，以开标一览表（报价表）为准；</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2、大写金额和小写金额不一致的，以大写金额为准；</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3、单价金额小数点或者百分比有明显错位的，以开标一览表的总价为准，并修改单价；</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4、总价金额与按单价汇总金额不一致的，以单价金额计算结果为准。</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5、政采云平台填报的开标一览表中的价格与上传的报价文件中开标一览表的报价不一致的，以上传的报价文件为准。</w:t>
      </w:r>
    </w:p>
    <w:p>
      <w:pPr>
        <w:pStyle w:val="15"/>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同时出现两种以上不一致的，按照前款规定的顺序修正。修正后的报价按照投标文件澄清第二款的规定经供应商确认后产生约束力，供应商不确认的，其投标无效。</w:t>
      </w:r>
    </w:p>
    <w:p>
      <w:pPr>
        <w:numPr>
          <w:ilvl w:val="0"/>
          <w:numId w:val="10"/>
        </w:numPr>
        <w:spacing w:line="360" w:lineRule="auto"/>
        <w:rPr>
          <w:rFonts w:ascii="宋体" w:hAnsi="宋体" w:cs="宋体"/>
          <w:b/>
          <w:bCs/>
          <w:color w:val="auto"/>
          <w:szCs w:val="21"/>
          <w:highlight w:val="none"/>
        </w:rPr>
      </w:pPr>
      <w:bookmarkStart w:id="49" w:name="_Toc481567077"/>
      <w:bookmarkStart w:id="50" w:name="_Toc493058318"/>
      <w:r>
        <w:rPr>
          <w:rFonts w:hint="eastAsia" w:ascii="宋体" w:hAnsi="宋体" w:cs="宋体"/>
          <w:b/>
          <w:bCs/>
          <w:color w:val="auto"/>
          <w:szCs w:val="21"/>
          <w:highlight w:val="none"/>
        </w:rPr>
        <w:t>评标</w:t>
      </w:r>
      <w:bookmarkEnd w:id="49"/>
      <w:r>
        <w:rPr>
          <w:rFonts w:hint="eastAsia" w:ascii="宋体" w:hAnsi="宋体" w:cs="宋体"/>
          <w:b/>
          <w:bCs/>
          <w:color w:val="auto"/>
          <w:szCs w:val="21"/>
          <w:highlight w:val="none"/>
        </w:rPr>
        <w:t>程序</w:t>
      </w:r>
      <w:bookmarkEnd w:id="50"/>
    </w:p>
    <w:p>
      <w:pPr>
        <w:widowControl/>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rPr>
        <w:t>（一）资格条件审查</w:t>
      </w:r>
    </w:p>
    <w:p>
      <w:pPr>
        <w:widowControl/>
        <w:spacing w:line="360" w:lineRule="auto"/>
        <w:ind w:firstLine="522" w:firstLineChars="249"/>
        <w:jc w:val="left"/>
        <w:rPr>
          <w:rFonts w:ascii="宋体" w:hAnsi="宋体" w:cs="宋体"/>
          <w:color w:val="auto"/>
          <w:kern w:val="0"/>
          <w:szCs w:val="21"/>
          <w:highlight w:val="none"/>
        </w:rPr>
      </w:pPr>
      <w:r>
        <w:rPr>
          <w:rFonts w:hint="eastAsia" w:ascii="宋体" w:hAnsi="宋体" w:cs="宋体"/>
          <w:color w:val="auto"/>
          <w:kern w:val="0"/>
          <w:szCs w:val="21"/>
          <w:highlight w:val="none"/>
        </w:rPr>
        <w:t>由采购人或采购代理机构对供应商的资格进行审查。</w:t>
      </w:r>
    </w:p>
    <w:tbl>
      <w:tblPr>
        <w:tblStyle w:val="2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Borders>
              <w:top w:val="single" w:color="auto" w:sz="4" w:space="0"/>
              <w:left w:val="single" w:color="auto" w:sz="4" w:space="0"/>
              <w:bottom w:val="single" w:color="auto" w:sz="4" w:space="0"/>
              <w:right w:val="single" w:color="auto" w:sz="4" w:space="0"/>
            </w:tcBorders>
          </w:tcPr>
          <w:p>
            <w:pPr>
              <w:spacing w:line="336"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审查类别</w:t>
            </w:r>
          </w:p>
        </w:tc>
        <w:tc>
          <w:tcPr>
            <w:tcW w:w="6794" w:type="dxa"/>
            <w:tcBorders>
              <w:top w:val="single" w:color="auto" w:sz="4" w:space="0"/>
              <w:left w:val="single" w:color="auto" w:sz="4" w:space="0"/>
              <w:bottom w:val="single" w:color="auto" w:sz="4" w:space="0"/>
              <w:right w:val="single" w:color="auto" w:sz="4" w:space="0"/>
            </w:tcBorders>
          </w:tcPr>
          <w:p>
            <w:pPr>
              <w:spacing w:line="336" w:lineRule="auto"/>
              <w:jc w:val="center"/>
              <w:rPr>
                <w:rFonts w:ascii="宋体" w:hAnsi="宋体" w:cs="宋体"/>
                <w:b/>
                <w:color w:val="auto"/>
                <w:kern w:val="0"/>
                <w:szCs w:val="21"/>
                <w:highlight w:val="none"/>
              </w:rPr>
            </w:pPr>
            <w:r>
              <w:rPr>
                <w:rFonts w:hint="eastAsia" w:ascii="宋体" w:hAnsi="宋体" w:cs="宋体"/>
                <w:b/>
                <w:color w:val="auto"/>
                <w:kern w:val="0"/>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资格条件审查</w:t>
            </w:r>
          </w:p>
        </w:tc>
        <w:tc>
          <w:tcPr>
            <w:tcW w:w="6794" w:type="dxa"/>
            <w:tcBorders>
              <w:top w:val="single" w:color="auto" w:sz="4" w:space="0"/>
              <w:left w:val="single" w:color="auto" w:sz="4" w:space="0"/>
              <w:bottom w:val="single" w:color="auto" w:sz="4" w:space="0"/>
              <w:right w:val="single" w:color="auto" w:sz="4" w:space="0"/>
            </w:tcBorders>
          </w:tcPr>
          <w:p>
            <w:pPr>
              <w:numPr>
                <w:ilvl w:val="0"/>
                <w:numId w:val="11"/>
              </w:numPr>
              <w:spacing w:line="336" w:lineRule="auto"/>
              <w:jc w:val="left"/>
              <w:rPr>
                <w:rFonts w:ascii="宋体" w:hAnsi="宋体" w:cs="宋体"/>
                <w:color w:val="auto"/>
                <w:kern w:val="0"/>
                <w:szCs w:val="20"/>
                <w:highlight w:val="none"/>
              </w:rPr>
            </w:pPr>
            <w:r>
              <w:rPr>
                <w:rFonts w:hint="eastAsia" w:ascii="宋体" w:hAnsi="宋体" w:cs="宋体"/>
                <w:color w:val="auto"/>
                <w:kern w:val="0"/>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6794" w:type="dxa"/>
            <w:tcBorders>
              <w:top w:val="single" w:color="auto" w:sz="4" w:space="0"/>
              <w:left w:val="single" w:color="auto" w:sz="4" w:space="0"/>
              <w:bottom w:val="single" w:color="auto" w:sz="4" w:space="0"/>
              <w:right w:val="single" w:color="auto" w:sz="4" w:space="0"/>
            </w:tcBorders>
          </w:tcPr>
          <w:p>
            <w:pPr>
              <w:numPr>
                <w:ilvl w:val="0"/>
                <w:numId w:val="11"/>
              </w:numPr>
              <w:spacing w:line="336"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36"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（三）特定资格条件：详见“第一章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36" w:lineRule="auto"/>
              <w:jc w:val="left"/>
              <w:rPr>
                <w:rFonts w:ascii="宋体" w:hAnsi="宋体" w:cs="宋体"/>
                <w:color w:val="auto"/>
                <w:kern w:val="0"/>
                <w:szCs w:val="20"/>
                <w:highlight w:val="none"/>
              </w:rPr>
            </w:pPr>
            <w:r>
              <w:rPr>
                <w:rFonts w:hint="eastAsia" w:ascii="宋体" w:hAnsi="宋体" w:cs="宋体"/>
                <w:color w:val="auto"/>
                <w:kern w:val="0"/>
                <w:szCs w:val="21"/>
                <w:highlight w:val="none"/>
              </w:rPr>
              <w:t>（四）</w:t>
            </w:r>
            <w:r>
              <w:rPr>
                <w:rFonts w:hint="eastAsia" w:ascii="宋体" w:hAnsi="宋体" w:cs="宋体"/>
                <w:color w:val="auto"/>
                <w:kern w:val="0"/>
                <w:szCs w:val="2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36" w:lineRule="auto"/>
              <w:jc w:val="left"/>
              <w:rPr>
                <w:rFonts w:ascii="宋体" w:hAnsi="宋体" w:cs="宋体"/>
                <w:color w:val="auto"/>
                <w:kern w:val="0"/>
                <w:szCs w:val="20"/>
                <w:highlight w:val="none"/>
              </w:rPr>
            </w:pPr>
            <w:r>
              <w:rPr>
                <w:rFonts w:hint="eastAsia" w:ascii="宋体" w:hAnsi="宋体" w:cs="宋体"/>
                <w:color w:val="auto"/>
                <w:kern w:val="0"/>
                <w:szCs w:val="21"/>
                <w:highlight w:val="none"/>
              </w:rPr>
              <w:t>（五）招标文件要求的其他资格条件（如有）。</w:t>
            </w:r>
          </w:p>
        </w:tc>
      </w:tr>
    </w:tbl>
    <w:p>
      <w:pPr>
        <w:widowControl/>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rPr>
        <w:t>（二）符合性审查</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评标委员会应当对符合资格的供应商的投标文件进行符合性审查，以确定其是否满足招标文件的实质性要求。</w:t>
      </w:r>
    </w:p>
    <w:tbl>
      <w:tblPr>
        <w:tblStyle w:val="2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Cs w:val="21"/>
                <w:highlight w:val="none"/>
              </w:rPr>
            </w:pPr>
            <w:bookmarkStart w:id="51" w:name="_Toc259108323"/>
            <w:bookmarkStart w:id="52" w:name="_Toc249866767"/>
            <w:r>
              <w:rPr>
                <w:rFonts w:hint="eastAsia" w:ascii="宋体" w:hAnsi="宋体" w:cs="宋体"/>
                <w:b/>
                <w:color w:val="auto"/>
                <w:szCs w:val="21"/>
                <w:highlight w:val="none"/>
              </w:rPr>
              <w:t>审查类别</w:t>
            </w:r>
          </w:p>
        </w:tc>
        <w:tc>
          <w:tcPr>
            <w:tcW w:w="652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（商务技术文件）</w:t>
            </w: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（一）投标函已提交并符合招标文件要求；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（二）按照招标文件规定要求签署或盖章；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（三）投标文件有法定代表人签署本人姓名（或印盖本人姓名章），或签署人提供有效的法定代表人授权委托书且授权委托书填写项目齐全的；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（四）投标文件项目齐全；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kern w:val="0"/>
                <w:szCs w:val="21"/>
                <w:highlight w:val="none"/>
              </w:rPr>
            </w:pPr>
            <w:r>
              <w:rPr>
                <w:rFonts w:hint="eastAsia" w:ascii="宋体" w:hAnsi="宋体" w:cs="宋体"/>
                <w:color w:val="auto"/>
                <w:szCs w:val="21"/>
                <w:highlight w:val="none"/>
              </w:rPr>
              <w:t>（五）投标文件标明的响应或偏离与事实相符且无虚假投标的；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（六）投标文件的实质性内容使用中文表述且意思表述明确，前后无矛盾且使用计量单位符合招标文件要求的；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（七）带“★”的条款满足招标文件要求、已实质性响应招标文件要求且投标文件无采购人不能接受的附加条件的；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（八）允许偏离的技术、性能指标或者辅助功能项目发生负偏离未达20项（含）以上的；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（九）投标技术方案明确，不存在一个或一个以上备选（替代）投标方案的；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（十）商务技术文件中未出现报价或单价的；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（十一）不存在法律、法规和招标文件规定的其他无效情形；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（十二）不存在投标文件的有效期不满足招标文件要求情形；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60" w:lineRule="auto"/>
              <w:ind w:firstLine="210" w:firstLineChars="100"/>
              <w:jc w:val="center"/>
              <w:rPr>
                <w:rFonts w:ascii="宋体" w:hAnsi="宋体" w:cs="宋体"/>
                <w:color w:val="auto"/>
                <w:szCs w:val="21"/>
                <w:highlight w:val="none"/>
              </w:rPr>
            </w:pPr>
            <w:r>
              <w:rPr>
                <w:rFonts w:hint="eastAsia" w:ascii="宋体" w:hAnsi="宋体" w:cs="宋体"/>
                <w:color w:val="auto"/>
                <w:szCs w:val="21"/>
                <w:highlight w:val="none"/>
              </w:rPr>
              <w:t>（报价文件）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（一）按照招标文件规定要求签署或盖章；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（三）采用人民币报价或者按照招标文件标明的币种报价的；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（七）不存在评标委员会认为供应商的报价明显低于其他通过符合性审查供应商的报价，有可能影响产品质量或者不能诚信履约的且不能在评标现场合理时间内提供相关证明材料说明其报价的合理性的情形；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（八）投标文件（报价文件）内容与投标文件（商务技术文件）内容不存在重大差异的；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（九）不存在法律、法规和招标文件规定的其他无效情形；</w:t>
            </w:r>
          </w:p>
        </w:tc>
      </w:tr>
    </w:tbl>
    <w:p>
      <w:pPr>
        <w:widowControl/>
        <w:spacing w:line="360" w:lineRule="auto"/>
        <w:ind w:firstLine="422" w:firstLineChars="200"/>
        <w:jc w:val="left"/>
        <w:rPr>
          <w:rFonts w:ascii="宋体" w:hAnsi="宋体" w:cs="宋体"/>
          <w:b/>
          <w:color w:val="auto"/>
          <w:kern w:val="0"/>
          <w:szCs w:val="20"/>
          <w:highlight w:val="none"/>
        </w:rPr>
      </w:pPr>
      <w:r>
        <w:rPr>
          <w:rFonts w:hint="eastAsia" w:ascii="宋体" w:hAnsi="宋体" w:cs="宋体"/>
          <w:b/>
          <w:color w:val="auto"/>
          <w:kern w:val="0"/>
          <w:szCs w:val="20"/>
          <w:highlight w:val="none"/>
        </w:rPr>
        <w:t>（三）投标无效的情形</w:t>
      </w:r>
      <w:bookmarkEnd w:id="51"/>
      <w:bookmarkEnd w:id="52"/>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没有响应招标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widowControl/>
        <w:numPr>
          <w:ilvl w:val="0"/>
          <w:numId w:val="12"/>
        </w:numPr>
        <w:spacing w:line="360" w:lineRule="auto"/>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在资格审查时，如发现下列情形之一的，将被视为无效投标文件：</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1、资格证明文件不全的或者不符合招标文件标明的资格要求的；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2、供应商资格声明函无法定代表人或授权代表签名或盖章；</w:t>
      </w:r>
    </w:p>
    <w:p>
      <w:pPr>
        <w:widowControl/>
        <w:spacing w:line="360" w:lineRule="auto"/>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B、在符合性审查（商务技术文件）时，如发现下列情形之一的，将被视为无效投标文件：</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1、未</w:t>
      </w:r>
      <w:r>
        <w:rPr>
          <w:rFonts w:hint="eastAsia" w:ascii="宋体" w:hAnsi="宋体" w:cs="宋体"/>
          <w:color w:val="auto"/>
          <w:kern w:val="0"/>
          <w:szCs w:val="20"/>
          <w:highlight w:val="none"/>
        </w:rPr>
        <w:t>提交投标函或投标函内容不符合招标文件要求；</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2、未按照招标文件规定要求签署或盖章；</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3、投标文件无法定代表人签署本人姓名（或印盖本人姓名章），或签署人未提供有效的法定代表人授权委托书或授权委托书填写项目不齐全的；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4、投标文件项目不齐全；</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5、投标文件标明的响应或偏离与事实不符或虚假投标的；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6、投标文件的实质性内容未使用中文表述、意思表述不明确、前后矛盾或者使用计量单位不符合招标文件要求的（经评标委员会认定并允许其当场更正的笔误除外）；</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7、带“★”的条款不能满足招标文件要求、未实质性响应招标文件要求或者投标文件有采购人不能接受的附加条件的；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8、允许偏离的技术、性能指标或者辅助功能项目发生负偏离达20项（含）以上的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9、投标技术方案不明确，存在一个或一个以上备选（替代）投标方案的；</w:t>
      </w:r>
    </w:p>
    <w:p>
      <w:pPr>
        <w:widowControl/>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10、法律、法规和招标文件规定的其他无效情形；</w:t>
      </w:r>
    </w:p>
    <w:p>
      <w:pPr>
        <w:widowControl/>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11、投标文件的有效期不满足招标文件要求。</w:t>
      </w:r>
    </w:p>
    <w:p>
      <w:pPr>
        <w:widowControl/>
        <w:spacing w:line="360" w:lineRule="auto"/>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C、在符合性审查（报价文件）时，如发现下列情形之一的，将被视为无效投标文件：</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1、未按照招标文件规定要求签署或盖章；</w:t>
      </w:r>
    </w:p>
    <w:p>
      <w:pPr>
        <w:widowControl/>
        <w:spacing w:line="360" w:lineRule="auto"/>
        <w:ind w:firstLine="420" w:firstLineChars="200"/>
        <w:jc w:val="left"/>
        <w:rPr>
          <w:rFonts w:ascii="宋体" w:hAnsi="宋体" w:cs="宋体"/>
          <w:color w:val="auto"/>
          <w:kern w:val="0"/>
          <w:szCs w:val="20"/>
          <w:highlight w:val="none"/>
        </w:rPr>
      </w:pPr>
      <w:r>
        <w:rPr>
          <w:rFonts w:hint="eastAsia" w:ascii="宋体" w:hAnsi="宋体" w:cs="宋体"/>
          <w:color w:val="auto"/>
          <w:kern w:val="0"/>
          <w:szCs w:val="21"/>
          <w:highlight w:val="none"/>
        </w:rPr>
        <w:t>2、投标文件项目不齐全；</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3、未采用人民币报价或者未按照招标文件标明的币种报价的；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4、报价超出最高限价，或者超出采购预算金额，采购人不能支付的；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5、投标报价具有选择性的；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6、投标报价中出现重大缺项、漏项；</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8、投标文件（报价文件）内容与投标文件（商务技术文件）内容有重大差异的；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9、法律、法规和招标文件规定的其他无效情形</w:t>
      </w:r>
      <w:r>
        <w:rPr>
          <w:rFonts w:hint="eastAsia" w:ascii="宋体" w:hAnsi="宋体" w:cs="宋体"/>
          <w:color w:val="auto"/>
          <w:szCs w:val="21"/>
          <w:highlight w:val="none"/>
        </w:rPr>
        <w:t>。</w:t>
      </w:r>
    </w:p>
    <w:p>
      <w:pPr>
        <w:numPr>
          <w:ilvl w:val="0"/>
          <w:numId w:val="13"/>
        </w:numPr>
        <w:spacing w:line="360" w:lineRule="exact"/>
        <w:rPr>
          <w:rFonts w:ascii="宋体" w:hAnsi="宋体" w:cs="宋体"/>
          <w:b/>
          <w:color w:val="auto"/>
          <w:szCs w:val="21"/>
          <w:highlight w:val="none"/>
        </w:rPr>
      </w:pPr>
      <w:r>
        <w:rPr>
          <w:rFonts w:hint="eastAsia" w:ascii="宋体" w:hAnsi="宋体" w:cs="宋体"/>
          <w:b/>
          <w:color w:val="auto"/>
          <w:szCs w:val="21"/>
          <w:highlight w:val="none"/>
        </w:rPr>
        <w:t xml:space="preserve">评分标准（兼评委打分表） </w:t>
      </w:r>
    </w:p>
    <w:p>
      <w:pPr>
        <w:spacing w:line="360" w:lineRule="auto"/>
        <w:jc w:val="center"/>
        <w:rPr>
          <w:rFonts w:ascii="宋体" w:hAnsi="宋体"/>
          <w:b/>
          <w:bCs/>
          <w:color w:val="auto"/>
          <w:highlight w:val="none"/>
        </w:rPr>
      </w:pPr>
      <w:r>
        <w:rPr>
          <w:rFonts w:hint="eastAsia" w:ascii="宋体" w:hAnsi="宋体"/>
          <w:b/>
          <w:bCs/>
          <w:color w:val="auto"/>
          <w:highlight w:val="none"/>
        </w:rPr>
        <w:t>评分标准表</w:t>
      </w:r>
    </w:p>
    <w:tbl>
      <w:tblPr>
        <w:tblStyle w:val="26"/>
        <w:tblW w:w="924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370"/>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highlight w:val="none"/>
              </w:rPr>
            </w:pPr>
            <w:r>
              <w:rPr>
                <w:rFonts w:hint="eastAsia" w:ascii="宋体" w:hAnsi="宋体" w:cs="宋体"/>
                <w:bCs/>
                <w:color w:val="auto"/>
                <w:szCs w:val="21"/>
                <w:highlight w:val="none"/>
              </w:rPr>
              <w:t>考核项目</w:t>
            </w:r>
          </w:p>
        </w:tc>
        <w:tc>
          <w:tcPr>
            <w:tcW w:w="81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highlight w:val="none"/>
              </w:rPr>
            </w:pPr>
            <w:r>
              <w:rPr>
                <w:rFonts w:hint="eastAsia" w:ascii="宋体" w:hAnsi="宋体" w:cs="宋体"/>
                <w:bCs/>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80" w:type="dxa"/>
            <w:vMerge w:val="restart"/>
            <w:tcBorders>
              <w:top w:val="single" w:color="auto" w:sz="4" w:space="0"/>
              <w:left w:val="single" w:color="auto" w:sz="4" w:space="0"/>
              <w:right w:val="single" w:color="auto" w:sz="4" w:space="0"/>
            </w:tcBorders>
            <w:vAlign w:val="center"/>
          </w:tcPr>
          <w:p>
            <w:pPr>
              <w:spacing w:line="320" w:lineRule="exact"/>
              <w:rPr>
                <w:color w:val="auto"/>
                <w:highlight w:val="none"/>
              </w:rPr>
            </w:pPr>
          </w:p>
          <w:p>
            <w:pPr>
              <w:spacing w:line="320" w:lineRule="exact"/>
              <w:rPr>
                <w:color w:val="auto"/>
                <w:highlight w:val="none"/>
              </w:rPr>
            </w:pPr>
          </w:p>
          <w:p>
            <w:pPr>
              <w:spacing w:line="320" w:lineRule="exact"/>
              <w:rPr>
                <w:color w:val="auto"/>
                <w:highlight w:val="none"/>
              </w:rPr>
            </w:pPr>
          </w:p>
          <w:p>
            <w:pPr>
              <w:spacing w:line="320" w:lineRule="exact"/>
              <w:rPr>
                <w:color w:val="auto"/>
                <w:highlight w:val="none"/>
              </w:rPr>
            </w:pPr>
          </w:p>
          <w:p>
            <w:pPr>
              <w:spacing w:line="320" w:lineRule="exact"/>
              <w:rPr>
                <w:color w:val="auto"/>
                <w:highlight w:val="none"/>
              </w:rPr>
            </w:pPr>
          </w:p>
          <w:p>
            <w:pPr>
              <w:spacing w:line="320" w:lineRule="exact"/>
              <w:rPr>
                <w:color w:val="auto"/>
                <w:highlight w:val="none"/>
              </w:rPr>
            </w:pPr>
            <w:r>
              <w:rPr>
                <w:rFonts w:hint="eastAsia"/>
                <w:color w:val="auto"/>
                <w:highlight w:val="none"/>
              </w:rPr>
              <w:t>商务、技术分（</w:t>
            </w:r>
            <w:r>
              <w:rPr>
                <w:rFonts w:hint="eastAsia"/>
                <w:color w:val="auto"/>
                <w:highlight w:val="none"/>
                <w:lang w:val="en-US" w:eastAsia="zh-CN"/>
              </w:rPr>
              <w:t>80</w:t>
            </w:r>
            <w:r>
              <w:rPr>
                <w:rFonts w:hint="eastAsia"/>
                <w:color w:val="auto"/>
                <w:highlight w:val="none"/>
              </w:rPr>
              <w:t>分）</w:t>
            </w:r>
          </w:p>
        </w:tc>
        <w:tc>
          <w:tcPr>
            <w:tcW w:w="1370" w:type="dxa"/>
            <w:vMerge w:val="restart"/>
            <w:tcBorders>
              <w:top w:val="single" w:color="auto" w:sz="4" w:space="0"/>
              <w:left w:val="single" w:color="auto" w:sz="4" w:space="0"/>
              <w:right w:val="single" w:color="auto" w:sz="4" w:space="0"/>
            </w:tcBorders>
            <w:vAlign w:val="center"/>
          </w:tcPr>
          <w:p>
            <w:pPr>
              <w:spacing w:line="320" w:lineRule="exact"/>
              <w:rPr>
                <w:rFonts w:hint="eastAsia" w:eastAsia="宋体"/>
                <w:color w:val="auto"/>
                <w:highlight w:val="none"/>
                <w:lang w:val="en-US" w:eastAsia="zh-CN"/>
              </w:rPr>
            </w:pPr>
            <w:r>
              <w:rPr>
                <w:rFonts w:hint="eastAsia"/>
                <w:color w:val="auto"/>
                <w:highlight w:val="none"/>
                <w:lang w:val="en-US" w:eastAsia="zh-CN"/>
              </w:rPr>
              <w:t>1、参数响应情况（25分）</w:t>
            </w: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auto"/>
                <w:highlight w:val="none"/>
              </w:rPr>
            </w:pPr>
            <w:r>
              <w:rPr>
                <w:color w:val="auto"/>
                <w:highlight w:val="none"/>
              </w:rPr>
              <w:t>1</w:t>
            </w:r>
            <w:r>
              <w:rPr>
                <w:rFonts w:hint="eastAsia"/>
                <w:color w:val="auto"/>
                <w:highlight w:val="none"/>
              </w:rPr>
              <w:t>、对本招标文件第二章采购需求</w:t>
            </w:r>
            <w:r>
              <w:rPr>
                <w:rFonts w:hint="eastAsia"/>
                <w:color w:val="auto"/>
                <w:highlight w:val="none"/>
                <w:lang w:eastAsia="zh-CN"/>
              </w:rPr>
              <w:t>三</w:t>
            </w:r>
            <w:r>
              <w:rPr>
                <w:rFonts w:hint="eastAsia"/>
                <w:color w:val="auto"/>
                <w:highlight w:val="none"/>
              </w:rPr>
              <w:t>、</w:t>
            </w:r>
            <w:r>
              <w:rPr>
                <w:rFonts w:hint="eastAsia"/>
                <w:color w:val="auto"/>
                <w:highlight w:val="none"/>
                <w:lang w:eastAsia="zh-CN"/>
              </w:rPr>
              <w:t>产品具体参数要求中“医保工伤接口、</w:t>
            </w:r>
            <w:r>
              <w:rPr>
                <w:rFonts w:hint="eastAsia"/>
                <w:color w:val="auto"/>
                <w:highlight w:val="none"/>
                <w:lang w:val="en-US" w:eastAsia="zh-CN"/>
              </w:rPr>
              <w:t>电子身份证就诊</w:t>
            </w:r>
            <w:r>
              <w:rPr>
                <w:rFonts w:hint="eastAsia"/>
                <w:color w:val="auto"/>
                <w:highlight w:val="none"/>
                <w:lang w:eastAsia="zh-CN"/>
              </w:rPr>
              <w:t>、刷脸就医接口、预约爽约功能、等级医院评审”</w:t>
            </w:r>
            <w:r>
              <w:rPr>
                <w:rFonts w:hint="eastAsia"/>
                <w:color w:val="auto"/>
                <w:highlight w:val="none"/>
              </w:rPr>
              <w:t>的响应情况进行评议</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80" w:type="dxa"/>
            <w:vMerge w:val="continue"/>
            <w:tcBorders>
              <w:left w:val="single" w:color="auto" w:sz="4" w:space="0"/>
              <w:right w:val="single" w:color="auto" w:sz="4" w:space="0"/>
            </w:tcBorders>
            <w:vAlign w:val="center"/>
          </w:tcPr>
          <w:p>
            <w:pPr>
              <w:spacing w:line="320" w:lineRule="exact"/>
              <w:rPr>
                <w:rFonts w:hint="eastAsia"/>
                <w:color w:val="auto"/>
                <w:highlight w:val="none"/>
              </w:rPr>
            </w:pPr>
          </w:p>
        </w:tc>
        <w:tc>
          <w:tcPr>
            <w:tcW w:w="1370" w:type="dxa"/>
            <w:vMerge w:val="continue"/>
            <w:tcBorders>
              <w:left w:val="single" w:color="auto" w:sz="4" w:space="0"/>
              <w:right w:val="single" w:color="auto" w:sz="4" w:space="0"/>
            </w:tcBorders>
            <w:vAlign w:val="center"/>
          </w:tcPr>
          <w:p>
            <w:pPr>
              <w:spacing w:line="320" w:lineRule="exact"/>
              <w:rPr>
                <w:color w:val="auto"/>
                <w:highlight w:val="none"/>
              </w:rPr>
            </w:pP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auto"/>
                <w:highlight w:val="none"/>
                <w:lang w:val="en-US" w:eastAsia="zh-CN"/>
              </w:rPr>
            </w:pPr>
            <w:r>
              <w:rPr>
                <w:rFonts w:hint="eastAsia"/>
                <w:color w:val="auto"/>
                <w:highlight w:val="none"/>
                <w:lang w:val="en-US" w:eastAsia="zh-CN"/>
              </w:rPr>
              <w:t>2</w:t>
            </w:r>
            <w:r>
              <w:rPr>
                <w:rFonts w:hint="eastAsia"/>
                <w:color w:val="auto"/>
                <w:highlight w:val="none"/>
              </w:rPr>
              <w:t>、对本招标文件第二章采购需求</w:t>
            </w:r>
            <w:r>
              <w:rPr>
                <w:rFonts w:hint="eastAsia"/>
                <w:color w:val="auto"/>
                <w:highlight w:val="none"/>
                <w:lang w:eastAsia="zh-CN"/>
              </w:rPr>
              <w:t>三</w:t>
            </w:r>
            <w:r>
              <w:rPr>
                <w:rFonts w:hint="eastAsia"/>
                <w:color w:val="auto"/>
                <w:highlight w:val="none"/>
              </w:rPr>
              <w:t>、</w:t>
            </w:r>
            <w:r>
              <w:rPr>
                <w:rFonts w:hint="eastAsia"/>
                <w:color w:val="auto"/>
                <w:highlight w:val="none"/>
                <w:lang w:eastAsia="zh-CN"/>
              </w:rPr>
              <w:t>产品具体参数要求中“集团内医共体改造（联众平台）、两卡融合改造、配合电子病历测评、床管中心改造、电子治疗单预约”</w:t>
            </w:r>
            <w:r>
              <w:rPr>
                <w:rFonts w:hint="eastAsia"/>
                <w:color w:val="auto"/>
                <w:highlight w:val="none"/>
              </w:rPr>
              <w:t>的响应情况进行评议</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80" w:type="dxa"/>
            <w:vMerge w:val="continue"/>
            <w:tcBorders>
              <w:left w:val="single" w:color="auto" w:sz="4" w:space="0"/>
              <w:right w:val="single" w:color="auto" w:sz="4" w:space="0"/>
            </w:tcBorders>
            <w:vAlign w:val="center"/>
          </w:tcPr>
          <w:p>
            <w:pPr>
              <w:spacing w:line="320" w:lineRule="exact"/>
              <w:rPr>
                <w:rFonts w:hint="eastAsia"/>
                <w:color w:val="auto"/>
                <w:highlight w:val="none"/>
              </w:rPr>
            </w:pPr>
          </w:p>
        </w:tc>
        <w:tc>
          <w:tcPr>
            <w:tcW w:w="1370" w:type="dxa"/>
            <w:vMerge w:val="continue"/>
            <w:tcBorders>
              <w:left w:val="single" w:color="auto" w:sz="4" w:space="0"/>
              <w:right w:val="single" w:color="auto" w:sz="4" w:space="0"/>
            </w:tcBorders>
            <w:vAlign w:val="center"/>
          </w:tcPr>
          <w:p>
            <w:pPr>
              <w:spacing w:line="320" w:lineRule="exact"/>
              <w:rPr>
                <w:rFonts w:hint="eastAsia"/>
                <w:color w:val="auto"/>
                <w:highlight w:val="none"/>
                <w:lang w:val="en-US" w:eastAsia="zh-CN"/>
              </w:rPr>
            </w:pP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auto"/>
                <w:highlight w:val="none"/>
                <w:lang w:val="en-US" w:eastAsia="zh-CN"/>
              </w:rPr>
            </w:pPr>
            <w:r>
              <w:rPr>
                <w:rFonts w:hint="eastAsia"/>
                <w:color w:val="auto"/>
                <w:highlight w:val="none"/>
                <w:lang w:val="en-US" w:eastAsia="zh-CN"/>
              </w:rPr>
              <w:t>3、对本招标文件第二章采购需求三、产品具体参数要求中“纳里健康接口、81890接口、物资接口、登革热监测功能、长三角地区门诊异地医保结算接口、在线取号”的响应情况进行评议（5分）。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80" w:type="dxa"/>
            <w:vMerge w:val="continue"/>
            <w:tcBorders>
              <w:left w:val="single" w:color="auto" w:sz="4" w:space="0"/>
              <w:right w:val="single" w:color="auto" w:sz="4" w:space="0"/>
            </w:tcBorders>
            <w:vAlign w:val="center"/>
          </w:tcPr>
          <w:p>
            <w:pPr>
              <w:spacing w:line="320" w:lineRule="exact"/>
              <w:rPr>
                <w:rFonts w:hint="eastAsia"/>
                <w:color w:val="auto"/>
                <w:highlight w:val="none"/>
              </w:rPr>
            </w:pPr>
          </w:p>
        </w:tc>
        <w:tc>
          <w:tcPr>
            <w:tcW w:w="1370" w:type="dxa"/>
            <w:vMerge w:val="continue"/>
            <w:tcBorders>
              <w:left w:val="single" w:color="auto" w:sz="4" w:space="0"/>
              <w:right w:val="single" w:color="auto" w:sz="4" w:space="0"/>
            </w:tcBorders>
            <w:vAlign w:val="center"/>
          </w:tcPr>
          <w:p>
            <w:pPr>
              <w:spacing w:line="320" w:lineRule="exact"/>
              <w:rPr>
                <w:rFonts w:hint="eastAsia"/>
                <w:color w:val="auto"/>
                <w:highlight w:val="none"/>
                <w:lang w:val="en-US" w:eastAsia="zh-CN"/>
              </w:rPr>
            </w:pP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auto"/>
                <w:highlight w:val="none"/>
                <w:lang w:val="en-US" w:eastAsia="zh-CN"/>
              </w:rPr>
            </w:pPr>
            <w:r>
              <w:rPr>
                <w:rFonts w:hint="eastAsia"/>
                <w:color w:val="auto"/>
                <w:highlight w:val="none"/>
                <w:lang w:val="en-US" w:eastAsia="zh-CN"/>
              </w:rPr>
              <w:t>4、对本招标文件第二章采购需求三、产品具体参数要求中“4+7带量采购药品、诊间专科退号功能、自助机退号功能、医保诊断库与手术编码库升级、民政接口”的响应情况进行评议（5分）。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80" w:type="dxa"/>
            <w:vMerge w:val="continue"/>
            <w:tcBorders>
              <w:left w:val="single" w:color="auto" w:sz="4" w:space="0"/>
              <w:right w:val="single" w:color="auto" w:sz="4" w:space="0"/>
            </w:tcBorders>
            <w:vAlign w:val="center"/>
          </w:tcPr>
          <w:p>
            <w:pPr>
              <w:spacing w:line="320" w:lineRule="exact"/>
              <w:rPr>
                <w:rFonts w:hint="eastAsia"/>
                <w:color w:val="auto"/>
                <w:highlight w:val="none"/>
              </w:rPr>
            </w:pPr>
          </w:p>
        </w:tc>
        <w:tc>
          <w:tcPr>
            <w:tcW w:w="1370" w:type="dxa"/>
            <w:vMerge w:val="continue"/>
            <w:tcBorders>
              <w:left w:val="single" w:color="auto" w:sz="4" w:space="0"/>
              <w:bottom w:val="single" w:color="auto" w:sz="4" w:space="0"/>
              <w:right w:val="single" w:color="auto" w:sz="4" w:space="0"/>
            </w:tcBorders>
            <w:vAlign w:val="center"/>
          </w:tcPr>
          <w:p>
            <w:pPr>
              <w:spacing w:line="320" w:lineRule="exact"/>
              <w:rPr>
                <w:rFonts w:hint="eastAsia"/>
                <w:color w:val="auto"/>
                <w:highlight w:val="none"/>
                <w:lang w:val="en-US" w:eastAsia="zh-CN"/>
              </w:rPr>
            </w:pP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auto"/>
                <w:highlight w:val="none"/>
                <w:lang w:val="en-US" w:eastAsia="zh-CN"/>
              </w:rPr>
            </w:pPr>
            <w:r>
              <w:rPr>
                <w:rFonts w:hint="eastAsia"/>
                <w:color w:val="auto"/>
                <w:highlight w:val="none"/>
                <w:lang w:val="en-US" w:eastAsia="zh-CN"/>
              </w:rPr>
              <w:t>5、对本招标文件第二章采购需求三、产品具体参数要求中“港澳台取号、罕见病接口、云医院对接、2020年年包服务、其他需求类改造”的响应情况进行评议（5分）。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trPr>
        <w:tc>
          <w:tcPr>
            <w:tcW w:w="1080" w:type="dxa"/>
            <w:vMerge w:val="continue"/>
            <w:tcBorders>
              <w:left w:val="single" w:color="auto" w:sz="4" w:space="0"/>
              <w:right w:val="single" w:color="auto" w:sz="4" w:space="0"/>
            </w:tcBorders>
            <w:vAlign w:val="center"/>
          </w:tcPr>
          <w:p>
            <w:pPr>
              <w:widowControl/>
              <w:jc w:val="left"/>
              <w:rPr>
                <w:color w:val="auto"/>
                <w:highlight w:val="none"/>
              </w:rPr>
            </w:pPr>
          </w:p>
        </w:tc>
        <w:tc>
          <w:tcPr>
            <w:tcW w:w="137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宋体"/>
                <w:color w:val="auto"/>
                <w:highlight w:val="none"/>
                <w:lang w:eastAsia="zh-CN"/>
              </w:rPr>
            </w:pPr>
            <w:r>
              <w:rPr>
                <w:color w:val="auto"/>
                <w:highlight w:val="none"/>
              </w:rPr>
              <w:t>2</w:t>
            </w:r>
            <w:r>
              <w:rPr>
                <w:rFonts w:hint="eastAsia"/>
                <w:color w:val="auto"/>
                <w:highlight w:val="none"/>
              </w:rPr>
              <w:t>、</w:t>
            </w:r>
            <w:r>
              <w:rPr>
                <w:rFonts w:hint="eastAsia"/>
                <w:color w:val="auto"/>
                <w:highlight w:val="none"/>
                <w:lang w:eastAsia="zh-CN"/>
              </w:rPr>
              <w:t>设计方案（</w:t>
            </w:r>
            <w:r>
              <w:rPr>
                <w:rFonts w:hint="eastAsia"/>
                <w:color w:val="auto"/>
                <w:highlight w:val="none"/>
                <w:lang w:val="en-US" w:eastAsia="zh-CN"/>
              </w:rPr>
              <w:t>10分</w:t>
            </w:r>
            <w:r>
              <w:rPr>
                <w:rFonts w:hint="eastAsia"/>
                <w:color w:val="auto"/>
                <w:highlight w:val="none"/>
                <w:lang w:eastAsia="zh-CN"/>
              </w:rPr>
              <w:t>）</w:t>
            </w:r>
          </w:p>
          <w:p>
            <w:pPr>
              <w:spacing w:line="320" w:lineRule="exact"/>
              <w:rPr>
                <w:color w:val="auto"/>
                <w:highlight w:val="none"/>
              </w:rPr>
            </w:pP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宋体"/>
                <w:color w:val="auto"/>
                <w:highlight w:val="none"/>
                <w:lang w:eastAsia="zh-CN"/>
              </w:rPr>
            </w:pPr>
            <w:r>
              <w:rPr>
                <w:rFonts w:hint="eastAsia"/>
                <w:color w:val="auto"/>
                <w:highlight w:val="none"/>
                <w:lang w:val="en-US" w:eastAsia="zh-CN"/>
              </w:rPr>
              <w:t>1、</w:t>
            </w:r>
            <w:r>
              <w:rPr>
                <w:rFonts w:hint="eastAsia"/>
                <w:color w:val="auto"/>
                <w:highlight w:val="none"/>
                <w:lang w:eastAsia="zh-CN"/>
              </w:rPr>
              <w:t>评委根据供应商总体设计方案技术架构等与本项目需求的契合程度以及其先进性、成熟性，业务流程的合理性进行综合评议（</w:t>
            </w:r>
            <w:r>
              <w:rPr>
                <w:rFonts w:hint="eastAsia"/>
                <w:color w:val="auto"/>
                <w:highlight w:val="none"/>
                <w:lang w:val="en-US" w:eastAsia="zh-CN"/>
              </w:rPr>
              <w:t>5分</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80" w:type="dxa"/>
            <w:vMerge w:val="continue"/>
            <w:tcBorders>
              <w:left w:val="single" w:color="auto" w:sz="4" w:space="0"/>
              <w:right w:val="single" w:color="auto" w:sz="4" w:space="0"/>
            </w:tcBorders>
            <w:vAlign w:val="center"/>
          </w:tcPr>
          <w:p>
            <w:pPr>
              <w:widowControl/>
              <w:jc w:val="left"/>
              <w:rPr>
                <w:color w:val="auto"/>
                <w:highlight w:val="none"/>
              </w:rPr>
            </w:pPr>
          </w:p>
        </w:tc>
        <w:tc>
          <w:tcPr>
            <w:tcW w:w="13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highlight w:val="none"/>
              </w:rPr>
            </w:pP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宋体"/>
                <w:color w:val="auto"/>
                <w:highlight w:val="none"/>
                <w:lang w:eastAsia="zh-CN"/>
              </w:rPr>
            </w:pPr>
            <w:r>
              <w:rPr>
                <w:rFonts w:hint="eastAsia"/>
                <w:color w:val="auto"/>
                <w:highlight w:val="none"/>
                <w:lang w:val="en-US" w:eastAsia="zh-CN"/>
              </w:rPr>
              <w:t>2、评委根据供应商的设计方案是否充分满足用户当前和未来发展的使用需求进行综合评议（5分）。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80" w:type="dxa"/>
            <w:vMerge w:val="continue"/>
            <w:tcBorders>
              <w:left w:val="single" w:color="auto" w:sz="4" w:space="0"/>
              <w:right w:val="single" w:color="auto" w:sz="4" w:space="0"/>
            </w:tcBorders>
            <w:vAlign w:val="center"/>
          </w:tcPr>
          <w:p>
            <w:pPr>
              <w:widowControl/>
              <w:jc w:val="left"/>
              <w:rPr>
                <w:color w:val="auto"/>
                <w:highlight w:val="none"/>
              </w:rPr>
            </w:pPr>
          </w:p>
        </w:tc>
        <w:tc>
          <w:tcPr>
            <w:tcW w:w="1370" w:type="dxa"/>
            <w:vMerge w:val="restart"/>
            <w:tcBorders>
              <w:top w:val="single" w:color="auto" w:sz="4" w:space="0"/>
              <w:left w:val="single" w:color="auto" w:sz="4" w:space="0"/>
              <w:right w:val="single" w:color="auto" w:sz="4" w:space="0"/>
            </w:tcBorders>
            <w:vAlign w:val="center"/>
          </w:tcPr>
          <w:p>
            <w:pPr>
              <w:widowControl/>
              <w:jc w:val="left"/>
              <w:rPr>
                <w:rFonts w:hint="eastAsia" w:eastAsia="宋体"/>
                <w:color w:val="auto"/>
                <w:highlight w:val="none"/>
                <w:lang w:val="en-US" w:eastAsia="zh-CN"/>
              </w:rPr>
            </w:pPr>
            <w:r>
              <w:rPr>
                <w:rFonts w:hint="eastAsia"/>
                <w:color w:val="auto"/>
                <w:highlight w:val="none"/>
                <w:lang w:val="en-US" w:eastAsia="zh-CN"/>
              </w:rPr>
              <w:t>3、实施方案（9分）</w:t>
            </w: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color w:val="auto"/>
                <w:highlight w:val="none"/>
                <w:lang w:val="en-US" w:eastAsia="zh-CN"/>
              </w:rPr>
            </w:pPr>
            <w:r>
              <w:rPr>
                <w:rFonts w:hint="eastAsia"/>
                <w:color w:val="auto"/>
                <w:highlight w:val="none"/>
                <w:lang w:val="en-US" w:eastAsia="zh-CN"/>
              </w:rPr>
              <w:t>1、评委根据供应商提供的项目实施方案的完整性、先进性、合理性进行综合评议（5分）。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80" w:type="dxa"/>
            <w:vMerge w:val="continue"/>
            <w:tcBorders>
              <w:left w:val="single" w:color="auto" w:sz="4" w:space="0"/>
              <w:right w:val="single" w:color="auto" w:sz="4" w:space="0"/>
            </w:tcBorders>
            <w:vAlign w:val="center"/>
          </w:tcPr>
          <w:p>
            <w:pPr>
              <w:spacing w:line="320" w:lineRule="exact"/>
              <w:rPr>
                <w:highlight w:val="none"/>
              </w:rPr>
            </w:pPr>
          </w:p>
        </w:tc>
        <w:tc>
          <w:tcPr>
            <w:tcW w:w="1370" w:type="dxa"/>
            <w:vMerge w:val="continue"/>
            <w:tcBorders>
              <w:left w:val="single" w:color="auto" w:sz="4" w:space="0"/>
              <w:bottom w:val="single" w:color="auto" w:sz="4" w:space="0"/>
              <w:right w:val="single" w:color="auto" w:sz="4" w:space="0"/>
            </w:tcBorders>
            <w:vAlign w:val="center"/>
          </w:tcPr>
          <w:p>
            <w:pPr>
              <w:spacing w:line="320" w:lineRule="exact"/>
              <w:rPr>
                <w:highlight w:val="none"/>
              </w:rPr>
            </w:pP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color w:val="auto"/>
                <w:highlight w:val="none"/>
                <w:lang w:val="en-US" w:eastAsia="zh-CN"/>
              </w:rPr>
            </w:pPr>
            <w:r>
              <w:rPr>
                <w:rFonts w:hint="eastAsia"/>
                <w:color w:val="auto"/>
                <w:highlight w:val="none"/>
                <w:lang w:val="en-US" w:eastAsia="zh-CN"/>
              </w:rPr>
              <w:t>2、供应商拟投入本项目实施团队的成员有信息系统项目管理师、数据库系统工程师等拥有中高级职称的技术人员的，每投入一名得2分，最高得4分，没有不得分（投标文件需附相应中高级职称证书复印件加盖投标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trPr>
        <w:tc>
          <w:tcPr>
            <w:tcW w:w="1080" w:type="dxa"/>
            <w:vMerge w:val="continue"/>
            <w:tcBorders>
              <w:left w:val="single" w:color="auto" w:sz="4" w:space="0"/>
              <w:right w:val="single" w:color="auto" w:sz="4" w:space="0"/>
            </w:tcBorders>
            <w:vAlign w:val="center"/>
          </w:tcPr>
          <w:p>
            <w:pPr>
              <w:widowControl/>
              <w:jc w:val="left"/>
              <w:rPr>
                <w:color w:val="auto"/>
                <w:highlight w:val="none"/>
              </w:rPr>
            </w:pPr>
          </w:p>
        </w:tc>
        <w:tc>
          <w:tcPr>
            <w:tcW w:w="1370" w:type="dxa"/>
            <w:vMerge w:val="restart"/>
            <w:tcBorders>
              <w:top w:val="single" w:color="auto" w:sz="4" w:space="0"/>
              <w:left w:val="single" w:color="auto" w:sz="4" w:space="0"/>
              <w:right w:val="single" w:color="auto" w:sz="4" w:space="0"/>
            </w:tcBorders>
            <w:vAlign w:val="center"/>
          </w:tcPr>
          <w:p>
            <w:pPr>
              <w:widowControl/>
              <w:jc w:val="left"/>
              <w:rPr>
                <w:rFonts w:hint="eastAsia" w:eastAsia="宋体"/>
                <w:color w:val="auto"/>
                <w:highlight w:val="none"/>
                <w:lang w:val="en-US" w:eastAsia="zh-CN"/>
              </w:rPr>
            </w:pPr>
            <w:r>
              <w:rPr>
                <w:rFonts w:hint="eastAsia"/>
                <w:color w:val="auto"/>
                <w:highlight w:val="none"/>
                <w:lang w:val="en-US" w:eastAsia="zh-CN"/>
              </w:rPr>
              <w:t>4、与现有信息系统的融合性（20分）</w:t>
            </w: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color w:val="auto"/>
                <w:highlight w:val="none"/>
                <w:lang w:val="en-US" w:eastAsia="zh-CN"/>
              </w:rPr>
            </w:pPr>
            <w:r>
              <w:rPr>
                <w:rFonts w:hint="eastAsia"/>
                <w:color w:val="auto"/>
                <w:highlight w:val="none"/>
                <w:lang w:val="en-US" w:eastAsia="zh-CN"/>
              </w:rPr>
              <w:t>1、本项目需实现与宁波市云医院的对接，包括数据及应用层的对接整合，评委根据供应商提供的合理可行的对接方案以及现有的HIS系统适应性改造方案进行综合评议（5分）。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trPr>
        <w:tc>
          <w:tcPr>
            <w:tcW w:w="1080" w:type="dxa"/>
            <w:vMerge w:val="continue"/>
            <w:tcBorders>
              <w:left w:val="single" w:color="auto" w:sz="4" w:space="0"/>
              <w:right w:val="single" w:color="auto" w:sz="4" w:space="0"/>
            </w:tcBorders>
            <w:vAlign w:val="center"/>
          </w:tcPr>
          <w:p>
            <w:pPr>
              <w:spacing w:line="320" w:lineRule="exact"/>
              <w:rPr>
                <w:highlight w:val="none"/>
              </w:rPr>
            </w:pPr>
          </w:p>
        </w:tc>
        <w:tc>
          <w:tcPr>
            <w:tcW w:w="1370" w:type="dxa"/>
            <w:vMerge w:val="continue"/>
            <w:tcBorders>
              <w:left w:val="single" w:color="auto" w:sz="4" w:space="0"/>
              <w:right w:val="single" w:color="auto" w:sz="4" w:space="0"/>
            </w:tcBorders>
            <w:vAlign w:val="center"/>
          </w:tcPr>
          <w:p>
            <w:pPr>
              <w:spacing w:line="320" w:lineRule="exact"/>
              <w:rPr>
                <w:highlight w:val="none"/>
              </w:rPr>
            </w:pP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color w:val="auto"/>
                <w:highlight w:val="none"/>
                <w:lang w:val="en-US" w:eastAsia="zh-CN"/>
              </w:rPr>
            </w:pPr>
            <w:r>
              <w:rPr>
                <w:rFonts w:hint="eastAsia"/>
                <w:color w:val="auto"/>
                <w:highlight w:val="none"/>
                <w:lang w:val="en-US" w:eastAsia="zh-CN"/>
              </w:rPr>
              <w:t>2、本项目中两卡融合需与医院HIS系统充分融合，包括数据及应用层的对接整合，评委根据供应商提供的合理可行的对接方案以及现有的HIS系统适应性改造方案进行综合评议（5分）。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trPr>
        <w:tc>
          <w:tcPr>
            <w:tcW w:w="1080" w:type="dxa"/>
            <w:vMerge w:val="continue"/>
            <w:tcBorders>
              <w:left w:val="single" w:color="auto" w:sz="4" w:space="0"/>
              <w:right w:val="single" w:color="auto" w:sz="4" w:space="0"/>
            </w:tcBorders>
            <w:vAlign w:val="center"/>
          </w:tcPr>
          <w:p>
            <w:pPr>
              <w:spacing w:line="320" w:lineRule="exact"/>
              <w:rPr>
                <w:rFonts w:hint="eastAsia"/>
                <w:color w:val="auto"/>
                <w:highlight w:val="none"/>
                <w:lang w:val="en-US" w:eastAsia="zh-CN"/>
              </w:rPr>
            </w:pPr>
          </w:p>
        </w:tc>
        <w:tc>
          <w:tcPr>
            <w:tcW w:w="1370" w:type="dxa"/>
            <w:vMerge w:val="continue"/>
            <w:tcBorders>
              <w:left w:val="single" w:color="auto" w:sz="4" w:space="0"/>
              <w:right w:val="single" w:color="auto" w:sz="4" w:space="0"/>
            </w:tcBorders>
            <w:vAlign w:val="center"/>
          </w:tcPr>
          <w:p>
            <w:pPr>
              <w:spacing w:line="320" w:lineRule="exact"/>
              <w:rPr>
                <w:rFonts w:hint="eastAsia"/>
                <w:color w:val="auto"/>
                <w:highlight w:val="none"/>
                <w:lang w:val="en-US" w:eastAsia="zh-CN"/>
              </w:rPr>
            </w:pP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color w:val="auto"/>
                <w:highlight w:val="none"/>
                <w:lang w:val="en-US" w:eastAsia="zh-CN"/>
              </w:rPr>
            </w:pPr>
            <w:r>
              <w:rPr>
                <w:rFonts w:hint="eastAsia"/>
                <w:color w:val="auto"/>
                <w:highlight w:val="none"/>
                <w:lang w:val="en-US" w:eastAsia="zh-CN"/>
              </w:rPr>
              <w:t>3、本项目中省异地医保需与医院HIS系统充分融合，包括数据及应用层的对接整合，评委根据供应商提供的合理可行的对接方案以及现有的HIS系统适应性改造方案进行综合评议（5分）。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trPr>
        <w:tc>
          <w:tcPr>
            <w:tcW w:w="1080" w:type="dxa"/>
            <w:vMerge w:val="continue"/>
            <w:tcBorders>
              <w:left w:val="single" w:color="auto" w:sz="4" w:space="0"/>
              <w:right w:val="single" w:color="auto" w:sz="4" w:space="0"/>
            </w:tcBorders>
            <w:vAlign w:val="center"/>
          </w:tcPr>
          <w:p>
            <w:pPr>
              <w:spacing w:line="320" w:lineRule="exact"/>
              <w:rPr>
                <w:rFonts w:hint="eastAsia"/>
                <w:color w:val="auto"/>
                <w:highlight w:val="none"/>
                <w:lang w:val="en-US" w:eastAsia="zh-CN"/>
              </w:rPr>
            </w:pPr>
          </w:p>
        </w:tc>
        <w:tc>
          <w:tcPr>
            <w:tcW w:w="1370" w:type="dxa"/>
            <w:vMerge w:val="continue"/>
            <w:tcBorders>
              <w:left w:val="single" w:color="auto" w:sz="4" w:space="0"/>
              <w:bottom w:val="single" w:color="auto" w:sz="4" w:space="0"/>
              <w:right w:val="single" w:color="auto" w:sz="4" w:space="0"/>
            </w:tcBorders>
            <w:vAlign w:val="center"/>
          </w:tcPr>
          <w:p>
            <w:pPr>
              <w:spacing w:line="320" w:lineRule="exact"/>
              <w:rPr>
                <w:rFonts w:hint="eastAsia"/>
                <w:color w:val="auto"/>
                <w:highlight w:val="none"/>
                <w:lang w:val="en-US" w:eastAsia="zh-CN"/>
              </w:rPr>
            </w:pPr>
          </w:p>
        </w:tc>
        <w:tc>
          <w:tcPr>
            <w:tcW w:w="6790"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color w:val="auto"/>
                <w:highlight w:val="none"/>
                <w:lang w:val="en-US" w:eastAsia="zh-CN"/>
              </w:rPr>
            </w:pPr>
            <w:r>
              <w:rPr>
                <w:rFonts w:hint="eastAsia"/>
                <w:color w:val="auto"/>
                <w:highlight w:val="none"/>
                <w:lang w:val="en-US" w:eastAsia="zh-CN"/>
              </w:rPr>
              <w:t>4、本项目中登革热监测功能需与医院HIS系统充分融合，包括数据及应用层的对接整合，评委根据供应商提供的合理可行的对接方案以及现有的HIS系统适应性改造方案进行综合评议（5分）。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1080" w:type="dxa"/>
            <w:vMerge w:val="continue"/>
            <w:tcBorders>
              <w:left w:val="single" w:color="auto" w:sz="4" w:space="0"/>
              <w:right w:val="single" w:color="auto" w:sz="4" w:space="0"/>
            </w:tcBorders>
            <w:vAlign w:val="center"/>
          </w:tcPr>
          <w:p>
            <w:pPr>
              <w:widowControl/>
              <w:jc w:val="left"/>
              <w:rPr>
                <w:color w:val="auto"/>
                <w:highlight w:val="none"/>
              </w:rPr>
            </w:pPr>
          </w:p>
        </w:tc>
        <w:tc>
          <w:tcPr>
            <w:tcW w:w="8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eastAsia="宋体"/>
                <w:color w:val="auto"/>
                <w:highlight w:val="none"/>
                <w:lang w:eastAsia="zh-CN"/>
              </w:rPr>
            </w:pPr>
            <w:r>
              <w:rPr>
                <w:rFonts w:hint="eastAsia"/>
                <w:color w:val="auto"/>
                <w:highlight w:val="none"/>
                <w:lang w:val="en-US" w:eastAsia="zh-CN"/>
              </w:rPr>
              <w:t>5、</w:t>
            </w:r>
            <w:r>
              <w:rPr>
                <w:rFonts w:hint="eastAsia"/>
                <w:color w:val="auto"/>
                <w:highlight w:val="none"/>
                <w:lang w:eastAsia="zh-CN"/>
              </w:rPr>
              <w:t>培训方案</w:t>
            </w:r>
            <w:r>
              <w:rPr>
                <w:rFonts w:hint="eastAsia"/>
                <w:color w:val="auto"/>
                <w:highlight w:val="none"/>
              </w:rPr>
              <w:t>（</w:t>
            </w:r>
            <w:r>
              <w:rPr>
                <w:rFonts w:hint="eastAsia"/>
                <w:color w:val="auto"/>
                <w:highlight w:val="none"/>
                <w:lang w:val="en-US" w:eastAsia="zh-CN"/>
              </w:rPr>
              <w:t>5</w:t>
            </w:r>
            <w:r>
              <w:rPr>
                <w:rFonts w:hint="eastAsia"/>
                <w:color w:val="auto"/>
                <w:highlight w:val="none"/>
              </w:rPr>
              <w:t>分）</w:t>
            </w:r>
            <w:r>
              <w:rPr>
                <w:rFonts w:hint="eastAsia"/>
                <w:color w:val="auto"/>
                <w:highlight w:val="none"/>
                <w:lang w:eastAsia="zh-CN"/>
              </w:rPr>
              <w:t>：评委根据供应商提供的针对本项目培训方案的科学合理性、可行性及其相应的培训承诺进行综合评议（</w:t>
            </w:r>
            <w:r>
              <w:rPr>
                <w:rFonts w:hint="eastAsia"/>
                <w:color w:val="auto"/>
                <w:highlight w:val="none"/>
                <w:lang w:val="en-US" w:eastAsia="zh-CN"/>
              </w:rPr>
              <w:t>5分</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1080" w:type="dxa"/>
            <w:vMerge w:val="continue"/>
            <w:tcBorders>
              <w:left w:val="single" w:color="auto" w:sz="4" w:space="0"/>
              <w:right w:val="single" w:color="auto" w:sz="4" w:space="0"/>
            </w:tcBorders>
            <w:vAlign w:val="center"/>
          </w:tcPr>
          <w:p>
            <w:pPr>
              <w:widowControl/>
              <w:jc w:val="left"/>
              <w:rPr>
                <w:color w:val="auto"/>
                <w:highlight w:val="none"/>
              </w:rPr>
            </w:pPr>
          </w:p>
        </w:tc>
        <w:tc>
          <w:tcPr>
            <w:tcW w:w="816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auto"/>
                <w:highlight w:val="none"/>
              </w:rPr>
            </w:pPr>
            <w:r>
              <w:rPr>
                <w:rFonts w:hint="eastAsia"/>
                <w:color w:val="auto"/>
                <w:highlight w:val="none"/>
                <w:lang w:val="en-US" w:eastAsia="zh-CN"/>
              </w:rPr>
              <w:t>6</w:t>
            </w:r>
            <w:r>
              <w:rPr>
                <w:rFonts w:hint="eastAsia"/>
                <w:color w:val="auto"/>
                <w:highlight w:val="none"/>
              </w:rPr>
              <w:t>、售后服务方案（</w:t>
            </w:r>
            <w:r>
              <w:rPr>
                <w:rFonts w:hint="eastAsia"/>
                <w:color w:val="auto"/>
                <w:highlight w:val="none"/>
                <w:lang w:val="en-US" w:eastAsia="zh-CN"/>
              </w:rPr>
              <w:t>5</w:t>
            </w:r>
            <w:r>
              <w:rPr>
                <w:rFonts w:hint="eastAsia"/>
                <w:color w:val="auto"/>
                <w:highlight w:val="none"/>
              </w:rPr>
              <w:t>分）</w:t>
            </w:r>
            <w:r>
              <w:rPr>
                <w:rFonts w:hint="eastAsia"/>
                <w:color w:val="auto"/>
                <w:highlight w:val="none"/>
                <w:lang w:eastAsia="zh-CN"/>
              </w:rPr>
              <w:t>：根据供应商售后服务响应时间、售后人员的投入、售后维护方案及承诺；是否有完整、可行、合理的售后维护方案、服务保障及服务方案进行综合评议（</w:t>
            </w:r>
            <w:r>
              <w:rPr>
                <w:rFonts w:hint="eastAsia"/>
                <w:color w:val="auto"/>
                <w:highlight w:val="none"/>
                <w:lang w:val="en-US" w:eastAsia="zh-CN"/>
              </w:rPr>
              <w:t>5分</w:t>
            </w:r>
            <w:r>
              <w:rPr>
                <w:rFonts w:hint="eastAsia"/>
                <w:color w:val="auto"/>
                <w:highlight w:val="none"/>
                <w:lang w:eastAsia="zh-CN"/>
              </w:rPr>
              <w:t>）</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080" w:type="dxa"/>
            <w:vMerge w:val="continue"/>
            <w:tcBorders>
              <w:left w:val="single" w:color="auto" w:sz="4" w:space="0"/>
              <w:right w:val="single" w:color="auto" w:sz="4" w:space="0"/>
            </w:tcBorders>
            <w:vAlign w:val="center"/>
          </w:tcPr>
          <w:p>
            <w:pPr>
              <w:spacing w:line="320" w:lineRule="exact"/>
              <w:rPr>
                <w:highlight w:val="none"/>
              </w:rPr>
            </w:pPr>
          </w:p>
        </w:tc>
        <w:tc>
          <w:tcPr>
            <w:tcW w:w="1370" w:type="dxa"/>
            <w:vMerge w:val="restart"/>
            <w:tcBorders>
              <w:left w:val="single" w:color="auto" w:sz="4" w:space="0"/>
              <w:right w:val="single" w:color="auto" w:sz="4" w:space="0"/>
            </w:tcBorders>
            <w:vAlign w:val="center"/>
          </w:tcPr>
          <w:p>
            <w:pPr>
              <w:spacing w:line="320" w:lineRule="exact"/>
              <w:rPr>
                <w:rFonts w:hint="default"/>
                <w:color w:val="auto"/>
                <w:highlight w:val="none"/>
                <w:lang w:val="en-US" w:eastAsia="zh-CN"/>
              </w:rPr>
            </w:pPr>
            <w:r>
              <w:rPr>
                <w:rFonts w:hint="eastAsia"/>
                <w:color w:val="auto"/>
                <w:highlight w:val="none"/>
                <w:lang w:val="en-US" w:eastAsia="zh-CN"/>
              </w:rPr>
              <w:t>7、履约能力（6分）</w:t>
            </w:r>
          </w:p>
        </w:tc>
        <w:tc>
          <w:tcPr>
            <w:tcW w:w="6790" w:type="dxa"/>
            <w:tcBorders>
              <w:left w:val="single" w:color="auto" w:sz="4" w:space="0"/>
              <w:right w:val="single" w:color="auto" w:sz="4" w:space="0"/>
            </w:tcBorders>
            <w:vAlign w:val="center"/>
          </w:tcPr>
          <w:p>
            <w:pPr>
              <w:spacing w:line="320" w:lineRule="exact"/>
              <w:rPr>
                <w:rFonts w:hint="default"/>
                <w:color w:val="auto"/>
                <w:highlight w:val="none"/>
                <w:lang w:val="en-US" w:eastAsia="zh-CN"/>
              </w:rPr>
            </w:pPr>
            <w:r>
              <w:rPr>
                <w:rFonts w:hint="eastAsia"/>
                <w:color w:val="auto"/>
                <w:highlight w:val="none"/>
                <w:lang w:val="en-US" w:eastAsia="zh-CN"/>
              </w:rPr>
              <w:t>1、</w:t>
            </w:r>
            <w:r>
              <w:rPr>
                <w:rFonts w:hint="default"/>
                <w:color w:val="auto"/>
                <w:highlight w:val="none"/>
                <w:lang w:val="en-US" w:eastAsia="zh-CN"/>
              </w:rPr>
              <w:t>供应商具有ISO9001质量管理体系认证的得3分，没有不得分。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080" w:type="dxa"/>
            <w:vMerge w:val="continue"/>
            <w:tcBorders>
              <w:left w:val="single" w:color="auto" w:sz="4" w:space="0"/>
              <w:right w:val="single" w:color="auto" w:sz="4" w:space="0"/>
            </w:tcBorders>
            <w:vAlign w:val="center"/>
          </w:tcPr>
          <w:p>
            <w:pPr>
              <w:spacing w:line="320" w:lineRule="exact"/>
              <w:rPr>
                <w:highlight w:val="none"/>
              </w:rPr>
            </w:pPr>
          </w:p>
        </w:tc>
        <w:tc>
          <w:tcPr>
            <w:tcW w:w="1370" w:type="dxa"/>
            <w:vMerge w:val="continue"/>
            <w:tcBorders>
              <w:left w:val="single" w:color="auto" w:sz="4" w:space="0"/>
              <w:right w:val="single" w:color="auto" w:sz="4" w:space="0"/>
            </w:tcBorders>
            <w:vAlign w:val="center"/>
          </w:tcPr>
          <w:p>
            <w:pPr>
              <w:spacing w:line="320" w:lineRule="exact"/>
              <w:rPr>
                <w:highlight w:val="none"/>
              </w:rPr>
            </w:pPr>
          </w:p>
        </w:tc>
        <w:tc>
          <w:tcPr>
            <w:tcW w:w="6790" w:type="dxa"/>
            <w:tcBorders>
              <w:left w:val="single" w:color="auto" w:sz="4" w:space="0"/>
              <w:right w:val="single" w:color="auto" w:sz="4" w:space="0"/>
            </w:tcBorders>
            <w:vAlign w:val="center"/>
          </w:tcPr>
          <w:p>
            <w:pPr>
              <w:spacing w:line="320" w:lineRule="exact"/>
              <w:rPr>
                <w:rFonts w:hint="default"/>
                <w:color w:val="auto"/>
                <w:highlight w:val="none"/>
                <w:lang w:val="en-US" w:eastAsia="zh-CN"/>
              </w:rPr>
            </w:pPr>
            <w:r>
              <w:rPr>
                <w:rFonts w:hint="eastAsia"/>
                <w:color w:val="auto"/>
                <w:highlight w:val="none"/>
                <w:lang w:val="en-US" w:eastAsia="zh-CN"/>
              </w:rPr>
              <w:t>2、供应商具有CMMI软件能力成熟度模式整合认证证书，CMMI3级及以上的得3分, 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rPr>
                <w:color w:val="auto"/>
                <w:highlight w:val="none"/>
              </w:rPr>
            </w:pPr>
            <w:r>
              <w:rPr>
                <w:rFonts w:hint="eastAsia"/>
                <w:color w:val="auto"/>
                <w:highlight w:val="none"/>
              </w:rPr>
              <w:t>价格分（</w:t>
            </w:r>
            <w:r>
              <w:rPr>
                <w:rFonts w:hint="eastAsia"/>
                <w:color w:val="auto"/>
                <w:highlight w:val="none"/>
                <w:lang w:val="en-US" w:eastAsia="zh-CN"/>
              </w:rPr>
              <w:t>20</w:t>
            </w:r>
            <w:r>
              <w:rPr>
                <w:rFonts w:hint="eastAsia"/>
                <w:color w:val="auto"/>
                <w:highlight w:val="none"/>
              </w:rPr>
              <w:t>分）</w:t>
            </w:r>
          </w:p>
        </w:tc>
        <w:tc>
          <w:tcPr>
            <w:tcW w:w="816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2" w:leftChars="-1"/>
              <w:rPr>
                <w:rFonts w:ascii="宋体" w:hAnsi="宋体"/>
                <w:color w:val="auto"/>
                <w:szCs w:val="21"/>
                <w:highlight w:val="none"/>
                <w:lang w:val="zh-CN"/>
              </w:rPr>
            </w:pPr>
            <w:r>
              <w:rPr>
                <w:rFonts w:hint="eastAsia" w:ascii="宋体" w:hAnsi="宋体"/>
                <w:color w:val="auto"/>
                <w:szCs w:val="21"/>
                <w:highlight w:val="none"/>
                <w:lang w:val="zh-CN"/>
              </w:rPr>
              <w:t>参与评审的价格=投标报价-（小微企业货物及服务价格×小微企业优惠）（如有）；</w:t>
            </w:r>
          </w:p>
          <w:p>
            <w:pPr>
              <w:spacing w:line="280" w:lineRule="exact"/>
              <w:ind w:left="-2" w:leftChars="-1"/>
              <w:rPr>
                <w:rFonts w:ascii="宋体" w:hAnsi="宋体"/>
                <w:color w:val="auto"/>
                <w:szCs w:val="21"/>
                <w:highlight w:val="none"/>
                <w:lang w:val="zh-CN"/>
              </w:rPr>
            </w:pPr>
            <w:r>
              <w:rPr>
                <w:rFonts w:hint="eastAsia" w:ascii="宋体" w:hAnsi="宋体"/>
                <w:color w:val="auto"/>
                <w:szCs w:val="21"/>
                <w:highlight w:val="none"/>
                <w:lang w:val="zh-CN"/>
              </w:rPr>
              <w:t>满足采购要求的有效投标且参与评审的价格最低的参与评审的价格为评标基准价，得</w:t>
            </w:r>
            <w:r>
              <w:rPr>
                <w:rFonts w:hint="eastAsia" w:ascii="宋体" w:hAnsi="宋体"/>
                <w:color w:val="auto"/>
                <w:szCs w:val="21"/>
                <w:highlight w:val="none"/>
                <w:lang w:val="en-US" w:eastAsia="zh-CN"/>
              </w:rPr>
              <w:t>20</w:t>
            </w:r>
            <w:r>
              <w:rPr>
                <w:rFonts w:hint="eastAsia" w:ascii="宋体" w:hAnsi="宋体"/>
                <w:color w:val="auto"/>
                <w:szCs w:val="21"/>
                <w:highlight w:val="none"/>
                <w:lang w:val="zh-CN"/>
              </w:rPr>
              <w:t>分；</w:t>
            </w:r>
          </w:p>
          <w:p>
            <w:pPr>
              <w:spacing w:line="280" w:lineRule="exact"/>
              <w:ind w:left="-2" w:leftChars="-1"/>
              <w:rPr>
                <w:color w:val="auto"/>
                <w:highlight w:val="none"/>
              </w:rPr>
            </w:pPr>
            <w:r>
              <w:rPr>
                <w:rFonts w:hint="eastAsia" w:ascii="宋体" w:hAnsi="宋体"/>
                <w:color w:val="auto"/>
                <w:szCs w:val="21"/>
                <w:highlight w:val="none"/>
                <w:lang w:val="zh-CN"/>
              </w:rPr>
              <w:t>其他投标报价得分计算公式如下：投标报价得分=（评标基准价/参与评审的价格）×</w:t>
            </w:r>
            <w:r>
              <w:rPr>
                <w:rFonts w:hint="eastAsia" w:ascii="宋体" w:hAnsi="宋体"/>
                <w:color w:val="auto"/>
                <w:szCs w:val="21"/>
                <w:highlight w:val="none"/>
                <w:lang w:val="en-US" w:eastAsia="zh-CN"/>
              </w:rPr>
              <w:t>20</w:t>
            </w:r>
            <w:r>
              <w:rPr>
                <w:rFonts w:hint="eastAsia" w:ascii="宋体" w:hAnsi="宋体"/>
                <w:color w:val="auto"/>
                <w:szCs w:val="21"/>
                <w:highlight w:val="none"/>
                <w:lang w:val="zh-CN"/>
              </w:rPr>
              <w:t>%×100。</w:t>
            </w:r>
          </w:p>
        </w:tc>
      </w:tr>
    </w:tbl>
    <w:p>
      <w:pPr>
        <w:spacing w:line="320" w:lineRule="exact"/>
        <w:rPr>
          <w:color w:val="auto"/>
          <w:highlight w:val="none"/>
        </w:rPr>
      </w:pPr>
      <w:r>
        <w:rPr>
          <w:rFonts w:hint="eastAsia"/>
          <w:color w:val="auto"/>
          <w:highlight w:val="none"/>
        </w:rPr>
        <w:t>注：1、小数点后保留一位数。2、各评标委员会成员自行按以上参考分值评分。3、重大事件由评标委员会集体讨论，应当按照少数服从多数的原则作出结论。</w:t>
      </w:r>
    </w:p>
    <w:p>
      <w:pPr>
        <w:pStyle w:val="13"/>
        <w:snapToGrid w:val="0"/>
        <w:spacing w:line="360" w:lineRule="auto"/>
        <w:rPr>
          <w:rFonts w:ascii="宋体" w:hAnsi="宋体" w:eastAsia="宋体" w:cs="宋体"/>
          <w:b/>
          <w:color w:val="auto"/>
          <w:szCs w:val="21"/>
          <w:highlight w:val="none"/>
        </w:rPr>
      </w:pPr>
      <w:bookmarkStart w:id="53" w:name="_Toc9029"/>
      <w:r>
        <w:rPr>
          <w:rFonts w:hint="eastAsia" w:ascii="宋体" w:hAnsi="宋体" w:eastAsia="宋体" w:cs="宋体"/>
          <w:b/>
          <w:color w:val="auto"/>
          <w:szCs w:val="21"/>
          <w:highlight w:val="none"/>
        </w:rPr>
        <w:t>六、定标</w:t>
      </w:r>
      <w:bookmarkEnd w:id="53"/>
    </w:p>
    <w:p>
      <w:pPr>
        <w:pStyle w:val="13"/>
        <w:snapToGrid w:val="0"/>
        <w:spacing w:line="360" w:lineRule="auto"/>
        <w:ind w:firstLine="413" w:firstLineChars="196"/>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（一）确定中标人。本项目由采购人（或采购人事先授权评标委员会）确定中标人。</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1.采购代理机构在评标结束后将评标报告交采购人确认。</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2.供应商对评标结果无异议的，采购人应在收到评标报告后5个工作日内对评标结果进行确认。如有供应商对评标结果提出质疑的，采购人可在质疑处理完毕后确定中标人。</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3.采购人依法确定中标人后2个工作日内，采购代理机构以书面形式发出《中标通知书》,并同时在相关网站上发布中标公告。</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项目公告期限为1个工作日，各参加政府采购活动的供应商认为该中标/成交结果和采购过程等使自己的权益受到损害的，可以自公告期限届满之日（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4.若中标人放弃中标，或因不可抗力提出不能履行合同，或不按招标文件规定提交履约担保，或其它原因被依法撤销中标资格，则采购人可确定排名次之的中标候选人为中标人或重新组织招标。</w:t>
      </w:r>
    </w:p>
    <w:p>
      <w:pPr>
        <w:snapToGrid w:val="0"/>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七、评标过程的监控与保密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1、本项目评标过程实行全程录音、录像监控，供应商在评标过程中所进行的试图影响评标结果的不公正活动，可能导致其投标被拒绝。</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2、开标后到中标通知书发出之前，所有涉及评标委员会名单以及对投标文件的澄清、评价、比较等情况，评标委员会成员、采购人和采购代理机构的有关人员均不得向供应商或其他无关人员透露。</w:t>
      </w:r>
    </w:p>
    <w:p>
      <w:pPr>
        <w:snapToGrid w:val="0"/>
        <w:spacing w:line="360" w:lineRule="auto"/>
        <w:rPr>
          <w:rFonts w:ascii="宋体" w:hAnsi="宋体" w:cs="宋体"/>
          <w:b/>
          <w:bCs/>
          <w:color w:val="auto"/>
          <w:szCs w:val="21"/>
          <w:highlight w:val="none"/>
        </w:rPr>
      </w:pPr>
      <w:bookmarkStart w:id="54" w:name="_Toc17747"/>
      <w:r>
        <w:rPr>
          <w:rFonts w:hint="eastAsia" w:ascii="宋体" w:hAnsi="宋体" w:cs="宋体"/>
          <w:b/>
          <w:color w:val="auto"/>
          <w:szCs w:val="21"/>
          <w:highlight w:val="none"/>
        </w:rPr>
        <w:t>八、合同授予</w:t>
      </w:r>
      <w:bookmarkEnd w:id="54"/>
      <w:r>
        <w:rPr>
          <w:rFonts w:hint="eastAsia" w:ascii="宋体" w:hAnsi="宋体" w:cs="宋体"/>
          <w:b/>
          <w:color w:val="auto"/>
          <w:szCs w:val="21"/>
          <w:highlight w:val="none"/>
        </w:rPr>
        <w:t>：</w:t>
      </w:r>
      <w:r>
        <w:rPr>
          <w:rFonts w:hint="eastAsia" w:ascii="宋体" w:hAnsi="宋体" w:cs="宋体"/>
          <w:b/>
          <w:bCs/>
          <w:color w:val="auto"/>
          <w:szCs w:val="21"/>
          <w:highlight w:val="none"/>
        </w:rPr>
        <w:t>签订合同</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采购人应当自中标通知书发出之日起30日内，按照招标文件和中标人投标文件的规定，与中标人签订书面合同。所签订的合同不得对招标文件确定的事项和中标人投标文件作实质性修改。</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采购人不</w:t>
      </w:r>
      <w:r>
        <w:rPr>
          <w:rFonts w:hint="eastAsia" w:ascii="宋体" w:hAnsi="宋体" w:cs="宋体"/>
          <w:color w:val="auto"/>
          <w:szCs w:val="21"/>
          <w:highlight w:val="none"/>
        </w:rPr>
        <w:t>得向中标人提出任何不合理的要求作为签订合同的条件。</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2.采购人在签订合同时，在合同金额变更范围内，如需审批的办理相关审批手续。有权变更采购项目的数量和服务内容，但不能对单价或其他条款和条件作任何改变。</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3.招标文件、中标人的投标文件及评标过程中有关的澄清文件均应作为合同签订的附件。</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4.中标或者成交供应商拒绝与采购人签订合同的，采购人应重新招标。</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九、履约验收：</w:t>
      </w:r>
    </w:p>
    <w:p>
      <w:pPr>
        <w:pStyle w:val="2"/>
        <w:spacing w:after="0" w:line="360" w:lineRule="auto"/>
        <w:ind w:firstLine="420" w:firstLineChars="200"/>
        <w:rPr>
          <w:rFonts w:ascii="宋体" w:hAnsi="宋体"/>
          <w:b/>
          <w:bCs/>
          <w:color w:val="auto"/>
          <w:highlight w:val="none"/>
        </w:rPr>
      </w:pPr>
      <w:r>
        <w:rPr>
          <w:rFonts w:hint="eastAsia" w:ascii="宋体" w:hAnsi="宋体" w:cs="宋体"/>
          <w:bCs/>
          <w:color w:val="auto"/>
          <w:sz w:val="21"/>
          <w:szCs w:val="21"/>
          <w:highlight w:val="none"/>
        </w:rPr>
        <w:t>采购人负责对</w:t>
      </w:r>
      <w:r>
        <w:rPr>
          <w:rFonts w:hint="eastAsia" w:ascii="宋体" w:hAnsi="宋体" w:cs="宋体"/>
          <w:color w:val="auto"/>
          <w:sz w:val="21"/>
          <w:szCs w:val="21"/>
          <w:highlight w:val="none"/>
        </w:rPr>
        <w:t>中标人</w:t>
      </w:r>
      <w:r>
        <w:rPr>
          <w:rFonts w:hint="eastAsia" w:ascii="宋体" w:hAnsi="宋体" w:cs="宋体"/>
          <w:bCs/>
          <w:color w:val="auto"/>
          <w:sz w:val="21"/>
          <w:szCs w:val="21"/>
          <w:highlight w:val="none"/>
        </w:rPr>
        <w:t>的履约行为进行验收。政府向社会公众提供的公共服务项目，验收时应当邀请服务对象参与并出具意见，验收结果应当向社会公告。</w:t>
      </w:r>
    </w:p>
    <w:p>
      <w:pPr>
        <w:spacing w:line="360" w:lineRule="exact"/>
        <w:jc w:val="center"/>
        <w:outlineLvl w:val="0"/>
        <w:rPr>
          <w:rFonts w:hint="eastAsia"/>
          <w:color w:val="auto"/>
          <w:sz w:val="28"/>
          <w:szCs w:val="28"/>
          <w:highlight w:val="none"/>
        </w:rPr>
      </w:pPr>
      <w:bookmarkStart w:id="55" w:name="_Toc8298"/>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p>
      <w:pPr>
        <w:spacing w:line="360" w:lineRule="exact"/>
        <w:jc w:val="center"/>
        <w:outlineLvl w:val="0"/>
        <w:rPr>
          <w:rFonts w:hint="eastAsia"/>
          <w:color w:val="auto"/>
          <w:sz w:val="28"/>
          <w:szCs w:val="28"/>
          <w:highlight w:val="none"/>
        </w:rPr>
      </w:pPr>
    </w:p>
    <w:bookmarkEnd w:id="55"/>
    <w:p>
      <w:pPr>
        <w:spacing w:line="360" w:lineRule="exact"/>
        <w:jc w:val="center"/>
        <w:outlineLvl w:val="0"/>
        <w:rPr>
          <w:rFonts w:hAnsi="宋体"/>
          <w:color w:val="auto"/>
          <w:sz w:val="30"/>
          <w:szCs w:val="30"/>
          <w:highlight w:val="none"/>
        </w:rPr>
      </w:pPr>
    </w:p>
    <w:p>
      <w:pPr>
        <w:keepNext/>
        <w:keepLines/>
        <w:widowControl w:val="0"/>
        <w:spacing w:before="340" w:beforeLines="0" w:after="330" w:afterLines="0" w:line="360" w:lineRule="auto"/>
        <w:jc w:val="center"/>
        <w:outlineLvl w:val="0"/>
        <w:rPr>
          <w:rFonts w:ascii="Times New Roman" w:hAnsi="宋体" w:eastAsia="宋体" w:cs="Times New Roman"/>
          <w:b w:val="0"/>
          <w:bCs/>
          <w:color w:val="auto"/>
          <w:kern w:val="44"/>
          <w:sz w:val="30"/>
          <w:szCs w:val="30"/>
          <w:highlight w:val="none"/>
          <w:lang w:val="en-US" w:eastAsia="zh-CN" w:bidi="ar-SA"/>
        </w:rPr>
      </w:pPr>
      <w:bookmarkStart w:id="56" w:name="_Toc375060226"/>
      <w:r>
        <w:rPr>
          <w:rFonts w:hint="eastAsia" w:ascii="Times New Roman" w:hAnsi="Times New Roman" w:eastAsia="宋体" w:cs="Times New Roman"/>
          <w:b w:val="0"/>
          <w:bCs w:val="0"/>
          <w:color w:val="auto"/>
          <w:kern w:val="44"/>
          <w:sz w:val="28"/>
          <w:szCs w:val="28"/>
          <w:highlight w:val="none"/>
          <w:lang w:val="en-US" w:eastAsia="zh-CN" w:bidi="ar-SA"/>
        </w:rPr>
        <w:t>第五章 政府采购合同主要条款</w:t>
      </w:r>
      <w:bookmarkEnd w:id="56"/>
    </w:p>
    <w:p>
      <w:pPr>
        <w:spacing w:line="36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甲方：</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（以下简称甲方）</w:t>
      </w:r>
    </w:p>
    <w:p>
      <w:pPr>
        <w:spacing w:line="36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乙方：</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（以下简称乙方）</w:t>
      </w:r>
    </w:p>
    <w:p>
      <w:pPr>
        <w:spacing w:line="360" w:lineRule="atLeast"/>
        <w:rPr>
          <w:rFonts w:hint="eastAsia" w:ascii="宋体" w:hAnsi="宋体" w:cs="宋体"/>
          <w:color w:val="auto"/>
          <w:sz w:val="21"/>
          <w:szCs w:val="21"/>
          <w:highlight w:val="none"/>
        </w:rPr>
      </w:pP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根据《中华人民共和国政府采购法》、《中华人民共和国政府采购法实施条例》、《政府采购货物和服务招标投标管理办法》等法律法规，</w:t>
      </w:r>
      <w:r>
        <w:rPr>
          <w:rFonts w:hint="eastAsia" w:ascii="宋体" w:hAnsi="宋体" w:cs="宋体"/>
          <w:color w:val="auto"/>
          <w:sz w:val="21"/>
          <w:szCs w:val="21"/>
          <w:highlight w:val="none"/>
          <w:u w:val="single"/>
        </w:rPr>
        <w:t>项目名称（项目编号：）</w:t>
      </w:r>
      <w:r>
        <w:rPr>
          <w:rFonts w:hint="eastAsia" w:ascii="宋体" w:hAnsi="宋体" w:cs="宋体"/>
          <w:color w:val="auto"/>
          <w:sz w:val="21"/>
          <w:szCs w:val="21"/>
          <w:highlight w:val="none"/>
        </w:rPr>
        <w:t xml:space="preserve">于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日，在</w:t>
      </w:r>
      <w:r>
        <w:rPr>
          <w:rFonts w:hint="eastAsia" w:ascii="宋体" w:hAnsi="宋体" w:cs="Arial"/>
          <w:color w:val="auto"/>
          <w:szCs w:val="21"/>
          <w:highlight w:val="none"/>
        </w:rPr>
        <w:t>中基招标</w:t>
      </w:r>
      <w:r>
        <w:rPr>
          <w:rFonts w:hint="eastAsia" w:ascii="宋体" w:hAnsi="宋体" w:cs="Arial"/>
          <w:color w:val="auto"/>
          <w:szCs w:val="21"/>
          <w:highlight w:val="none"/>
          <w:lang w:val="en-US" w:eastAsia="zh-CN"/>
        </w:rPr>
        <w:t>会议中心</w:t>
      </w:r>
      <w:r>
        <w:rPr>
          <w:rFonts w:hint="eastAsia" w:ascii="宋体" w:hAnsi="宋体" w:cs="Arial"/>
          <w:color w:val="auto"/>
          <w:szCs w:val="21"/>
          <w:highlight w:val="none"/>
        </w:rPr>
        <w:t>开标室</w:t>
      </w:r>
      <w:r>
        <w:rPr>
          <w:rFonts w:hint="eastAsia" w:ascii="宋体" w:hAnsi="宋体" w:cs="宋体"/>
          <w:color w:val="auto"/>
          <w:sz w:val="21"/>
          <w:szCs w:val="21"/>
          <w:highlight w:val="none"/>
        </w:rPr>
        <w:t>进行公开招标，确定由乙方中标。按照《中华人民共和国合同法》的有关规定，在自愿、平等、公平、诚信的基础上，经双方协商一致，签订本合同。</w:t>
      </w:r>
    </w:p>
    <w:p>
      <w:pPr>
        <w:widowControl w:val="0"/>
        <w:spacing w:before="0" w:beforeLines="0" w:after="0" w:afterLines="0" w:line="360" w:lineRule="auto"/>
        <w:ind w:firstLine="420" w:firstLineChars="200"/>
        <w:jc w:val="both"/>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下述文件作为附件，是合同的一部分，并与本合同一起阅读和解释：</w:t>
      </w:r>
    </w:p>
    <w:p>
      <w:pPr>
        <w:widowControl w:val="0"/>
        <w:spacing w:before="0" w:beforeLines="0" w:after="0" w:afterLines="0" w:line="360" w:lineRule="auto"/>
        <w:ind w:firstLine="420" w:firstLineChars="200"/>
        <w:jc w:val="both"/>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a.</w:t>
      </w:r>
      <w:r>
        <w:rPr>
          <w:rFonts w:hint="eastAsia" w:ascii="宋体" w:hAnsi="宋体" w:eastAsia="宋体" w:cs="宋体"/>
          <w:color w:val="auto"/>
          <w:kern w:val="2"/>
          <w:sz w:val="21"/>
          <w:szCs w:val="21"/>
          <w:highlight w:val="none"/>
          <w:lang w:val="en-US" w:eastAsia="zh-CN" w:bidi="ar-SA"/>
        </w:rPr>
        <w:t>招标</w:t>
      </w:r>
      <w:r>
        <w:rPr>
          <w:rFonts w:ascii="宋体" w:hAnsi="宋体" w:eastAsia="宋体" w:cs="宋体"/>
          <w:color w:val="auto"/>
          <w:kern w:val="2"/>
          <w:sz w:val="21"/>
          <w:szCs w:val="21"/>
          <w:highlight w:val="none"/>
          <w:lang w:val="en-US" w:eastAsia="zh-CN" w:bidi="ar-SA"/>
        </w:rPr>
        <w:t>文件；</w:t>
      </w:r>
    </w:p>
    <w:p>
      <w:pPr>
        <w:widowControl w:val="0"/>
        <w:spacing w:before="0" w:beforeLines="0" w:after="0" w:afterLines="0" w:line="360" w:lineRule="auto"/>
        <w:ind w:firstLine="420" w:firstLineChars="200"/>
        <w:jc w:val="both"/>
        <w:rPr>
          <w:rFonts w:ascii="宋体" w:hAnsi="宋体" w:eastAsia="宋体" w:cs="宋体"/>
          <w:color w:val="auto"/>
          <w:kern w:val="2"/>
          <w:sz w:val="21"/>
          <w:szCs w:val="21"/>
          <w:highlight w:val="none"/>
          <w:lang w:val="en-US" w:eastAsia="zh-CN" w:bidi="ar-SA"/>
        </w:rPr>
      </w:pPr>
      <w:r>
        <w:rPr>
          <w:rFonts w:ascii="宋体" w:hAnsi="宋体" w:eastAsia="宋体" w:cs="宋体"/>
          <w:color w:val="auto"/>
          <w:kern w:val="2"/>
          <w:sz w:val="21"/>
          <w:szCs w:val="21"/>
          <w:highlight w:val="none"/>
          <w:lang w:val="en-US" w:eastAsia="zh-CN" w:bidi="ar-SA"/>
        </w:rPr>
        <w:t>b.投标文件及澄清文件；</w:t>
      </w:r>
    </w:p>
    <w:p>
      <w:pPr>
        <w:widowControl w:val="0"/>
        <w:spacing w:before="0" w:beforeLines="0" w:after="0" w:afterLines="0" w:line="360" w:lineRule="auto"/>
        <w:ind w:firstLine="420" w:firstLineChars="200"/>
        <w:jc w:val="both"/>
        <w:rPr>
          <w:rFonts w:ascii="宋体" w:hAnsi="宋体" w:eastAsia="宋体" w:cs="宋体"/>
          <w:b w:val="0"/>
          <w:bCs w:val="0"/>
          <w:color w:val="auto"/>
          <w:kern w:val="2"/>
          <w:sz w:val="21"/>
          <w:szCs w:val="21"/>
          <w:highlight w:val="none"/>
          <w:lang w:val="en-US" w:eastAsia="zh-CN" w:bidi="ar-SA"/>
        </w:rPr>
      </w:pPr>
      <w:r>
        <w:rPr>
          <w:rFonts w:ascii="宋体" w:hAnsi="宋体" w:eastAsia="宋体" w:cs="宋体"/>
          <w:b w:val="0"/>
          <w:bCs w:val="0"/>
          <w:color w:val="auto"/>
          <w:kern w:val="2"/>
          <w:sz w:val="21"/>
          <w:szCs w:val="21"/>
          <w:highlight w:val="none"/>
          <w:lang w:val="en-US" w:eastAsia="zh-CN" w:bidi="ar-SA"/>
        </w:rPr>
        <w:t>c.中标通知书；</w:t>
      </w:r>
    </w:p>
    <w:p>
      <w:pPr>
        <w:widowControl w:val="0"/>
        <w:spacing w:before="0" w:beforeLines="0" w:after="0" w:afterLines="0" w:line="360" w:lineRule="auto"/>
        <w:ind w:firstLine="420" w:firstLineChars="200"/>
        <w:jc w:val="both"/>
        <w:rPr>
          <w:rFonts w:ascii="宋体" w:hAnsi="宋体" w:eastAsia="宋体" w:cs="宋体"/>
          <w:b w:val="0"/>
          <w:bCs w:val="0"/>
          <w:color w:val="auto"/>
          <w:kern w:val="2"/>
          <w:sz w:val="21"/>
          <w:szCs w:val="21"/>
          <w:highlight w:val="none"/>
          <w:lang w:val="en-US" w:eastAsia="zh-CN" w:bidi="ar-SA"/>
        </w:rPr>
      </w:pPr>
      <w:r>
        <w:rPr>
          <w:rFonts w:ascii="宋体" w:hAnsi="宋体" w:eastAsia="宋体" w:cs="宋体"/>
          <w:b w:val="0"/>
          <w:bCs w:val="0"/>
          <w:color w:val="auto"/>
          <w:kern w:val="2"/>
          <w:sz w:val="21"/>
          <w:szCs w:val="21"/>
          <w:highlight w:val="none"/>
          <w:lang w:val="en-US" w:eastAsia="zh-CN" w:bidi="ar-SA"/>
        </w:rPr>
        <w:t>上述文件与合同若有不一致之处，优先次序第一应为合同、第二应为附件(附件的优先次序为 c,b,a)。</w:t>
      </w:r>
    </w:p>
    <w:p>
      <w:pPr>
        <w:widowControl w:val="0"/>
        <w:spacing w:before="0" w:beforeLines="0" w:after="0" w:afterLines="0" w:line="360" w:lineRule="auto"/>
        <w:jc w:val="both"/>
        <w:rPr>
          <w:rFonts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一、</w:t>
      </w:r>
      <w:r>
        <w:rPr>
          <w:rFonts w:ascii="宋体" w:hAnsi="宋体" w:eastAsia="宋体" w:cs="宋体"/>
          <w:b w:val="0"/>
          <w:bCs w:val="0"/>
          <w:color w:val="auto"/>
          <w:kern w:val="2"/>
          <w:sz w:val="21"/>
          <w:szCs w:val="21"/>
          <w:highlight w:val="none"/>
          <w:lang w:val="en-US" w:eastAsia="zh-CN" w:bidi="ar-SA"/>
        </w:rPr>
        <w:t>项目名称、服务期限、服务内容</w:t>
      </w:r>
    </w:p>
    <w:p>
      <w:pPr>
        <w:widowControl w:val="0"/>
        <w:spacing w:before="0" w:beforeLines="0" w:after="0" w:afterLines="0" w:line="360" w:lineRule="auto"/>
        <w:jc w:val="both"/>
        <w:rPr>
          <w:rFonts w:ascii="宋体" w:hAnsi="宋体" w:eastAsia="宋体" w:cs="宋体"/>
          <w:b w:val="0"/>
          <w:bCs w:val="0"/>
          <w:color w:val="auto"/>
          <w:kern w:val="2"/>
          <w:sz w:val="21"/>
          <w:szCs w:val="21"/>
          <w:highlight w:val="none"/>
          <w:lang w:val="en-US" w:eastAsia="zh-CN" w:bidi="ar-SA"/>
        </w:rPr>
      </w:pPr>
      <w:r>
        <w:rPr>
          <w:rFonts w:ascii="宋体" w:hAnsi="宋体" w:eastAsia="宋体" w:cs="宋体"/>
          <w:b w:val="0"/>
          <w:bCs w:val="0"/>
          <w:color w:val="auto"/>
          <w:kern w:val="2"/>
          <w:sz w:val="21"/>
          <w:szCs w:val="21"/>
          <w:highlight w:val="none"/>
          <w:lang w:val="en-US" w:eastAsia="zh-CN" w:bidi="ar-SA"/>
        </w:rPr>
        <w:t>1.1项目名称：</w:t>
      </w:r>
    </w:p>
    <w:p>
      <w:pPr>
        <w:widowControl w:val="0"/>
        <w:spacing w:before="0" w:beforeLines="0" w:after="0" w:afterLines="0" w:line="360" w:lineRule="auto"/>
        <w:jc w:val="both"/>
        <w:rPr>
          <w:rFonts w:ascii="宋体" w:hAnsi="宋体" w:eastAsia="宋体" w:cs="宋体"/>
          <w:b w:val="0"/>
          <w:bCs w:val="0"/>
          <w:color w:val="auto"/>
          <w:kern w:val="2"/>
          <w:sz w:val="21"/>
          <w:szCs w:val="21"/>
          <w:highlight w:val="none"/>
          <w:lang w:val="en-US" w:eastAsia="zh-CN" w:bidi="ar-SA"/>
        </w:rPr>
      </w:pPr>
      <w:r>
        <w:rPr>
          <w:rFonts w:ascii="宋体" w:hAnsi="宋体" w:eastAsia="宋体" w:cs="宋体"/>
          <w:b w:val="0"/>
          <w:bCs w:val="0"/>
          <w:color w:val="auto"/>
          <w:kern w:val="2"/>
          <w:sz w:val="21"/>
          <w:szCs w:val="21"/>
          <w:highlight w:val="none"/>
          <w:lang w:val="en-US" w:eastAsia="zh-CN" w:bidi="ar-SA"/>
        </w:rPr>
        <w:t>1.2服务期限：</w:t>
      </w:r>
    </w:p>
    <w:p>
      <w:pPr>
        <w:widowControl w:val="0"/>
        <w:spacing w:before="0" w:beforeLines="0" w:after="0" w:afterLines="0" w:line="360" w:lineRule="auto"/>
        <w:jc w:val="both"/>
        <w:rPr>
          <w:rFonts w:ascii="宋体" w:hAnsi="宋体" w:eastAsia="宋体" w:cs="宋体"/>
          <w:b w:val="0"/>
          <w:bCs w:val="0"/>
          <w:color w:val="auto"/>
          <w:kern w:val="2"/>
          <w:sz w:val="21"/>
          <w:szCs w:val="21"/>
          <w:highlight w:val="none"/>
          <w:lang w:val="en-US" w:eastAsia="zh-CN" w:bidi="ar-SA"/>
        </w:rPr>
      </w:pPr>
      <w:r>
        <w:rPr>
          <w:rFonts w:ascii="宋体" w:hAnsi="宋体" w:eastAsia="宋体" w:cs="宋体"/>
          <w:b w:val="0"/>
          <w:bCs w:val="0"/>
          <w:color w:val="auto"/>
          <w:kern w:val="2"/>
          <w:sz w:val="21"/>
          <w:szCs w:val="21"/>
          <w:highlight w:val="none"/>
          <w:lang w:val="en-US" w:eastAsia="zh-CN" w:bidi="ar-SA"/>
        </w:rPr>
        <w:t>1.3服务内容：</w:t>
      </w:r>
    </w:p>
    <w:p>
      <w:pPr>
        <w:widowControl w:val="0"/>
        <w:spacing w:before="0" w:beforeLines="0" w:after="0" w:afterLines="0" w:line="360" w:lineRule="auto"/>
        <w:jc w:val="both"/>
        <w:rPr>
          <w:rFonts w:ascii="宋体" w:hAnsi="宋体" w:eastAsia="宋体" w:cs="宋体"/>
          <w:b w:val="0"/>
          <w:bCs w:val="0"/>
          <w:color w:val="auto"/>
          <w:kern w:val="2"/>
          <w:sz w:val="21"/>
          <w:szCs w:val="21"/>
          <w:highlight w:val="none"/>
          <w:lang w:val="en-US" w:eastAsia="zh-CN" w:bidi="ar-SA"/>
        </w:rPr>
      </w:pPr>
      <w:r>
        <w:rPr>
          <w:rFonts w:ascii="宋体" w:hAnsi="宋体" w:eastAsia="宋体" w:cs="宋体"/>
          <w:b w:val="0"/>
          <w:bCs w:val="0"/>
          <w:color w:val="auto"/>
          <w:kern w:val="2"/>
          <w:sz w:val="21"/>
          <w:szCs w:val="21"/>
          <w:highlight w:val="none"/>
          <w:lang w:val="en-US" w:eastAsia="zh-CN" w:bidi="ar-SA"/>
        </w:rPr>
        <w:t>二、合同金额</w:t>
      </w:r>
    </w:p>
    <w:p>
      <w:pPr>
        <w:widowControl w:val="0"/>
        <w:spacing w:before="0" w:beforeLines="0" w:after="0" w:afterLines="0" w:line="360" w:lineRule="auto"/>
        <w:ind w:left="359" w:hanging="359" w:hangingChars="171"/>
        <w:jc w:val="both"/>
        <w:rPr>
          <w:rFonts w:ascii="宋体" w:hAnsi="宋体" w:eastAsia="宋体" w:cs="宋体"/>
          <w:b w:val="0"/>
          <w:bCs w:val="0"/>
          <w:color w:val="auto"/>
          <w:kern w:val="2"/>
          <w:sz w:val="21"/>
          <w:szCs w:val="21"/>
          <w:highlight w:val="none"/>
          <w:lang w:val="en-US" w:eastAsia="zh-CN" w:bidi="ar-SA"/>
        </w:rPr>
      </w:pPr>
      <w:r>
        <w:rPr>
          <w:rFonts w:ascii="宋体" w:hAnsi="宋体" w:eastAsia="宋体" w:cs="宋体"/>
          <w:b w:val="0"/>
          <w:bCs w:val="0"/>
          <w:color w:val="auto"/>
          <w:kern w:val="2"/>
          <w:sz w:val="21"/>
          <w:szCs w:val="21"/>
          <w:highlight w:val="none"/>
          <w:lang w:val="en-US" w:eastAsia="zh-CN" w:bidi="ar-SA"/>
        </w:rPr>
        <w:t>2.1本合同金额为（大写）：</w:t>
      </w:r>
      <w:r>
        <w:rPr>
          <w:rFonts w:ascii="宋体" w:hAnsi="宋体" w:eastAsia="宋体" w:cs="宋体"/>
          <w:b w:val="0"/>
          <w:bCs w:val="0"/>
          <w:color w:val="auto"/>
          <w:kern w:val="2"/>
          <w:sz w:val="21"/>
          <w:szCs w:val="21"/>
          <w:highlight w:val="none"/>
          <w:u w:val="single"/>
          <w:lang w:val="en-US" w:eastAsia="zh-CN" w:bidi="ar-SA"/>
        </w:rPr>
        <w:t xml:space="preserve">                   </w:t>
      </w:r>
      <w:r>
        <w:rPr>
          <w:rFonts w:ascii="宋体" w:hAnsi="宋体" w:eastAsia="宋体" w:cs="宋体"/>
          <w:b w:val="0"/>
          <w:bCs w:val="0"/>
          <w:color w:val="auto"/>
          <w:kern w:val="2"/>
          <w:sz w:val="21"/>
          <w:szCs w:val="21"/>
          <w:highlight w:val="none"/>
          <w:lang w:val="en-US" w:eastAsia="zh-CN" w:bidi="ar-SA"/>
        </w:rPr>
        <w:t>元</w:t>
      </w:r>
      <w:r>
        <w:rPr>
          <w:rFonts w:ascii="宋体" w:hAnsi="宋体" w:eastAsia="宋体" w:cs="宋体"/>
          <w:b w:val="0"/>
          <w:bCs w:val="0"/>
          <w:color w:val="auto"/>
          <w:kern w:val="2"/>
          <w:sz w:val="21"/>
          <w:szCs w:val="21"/>
          <w:highlight w:val="none"/>
          <w:u w:val="single"/>
          <w:lang w:val="en-US" w:eastAsia="zh-CN" w:bidi="ar-SA"/>
        </w:rPr>
        <w:t>（￥              元）</w:t>
      </w:r>
      <w:r>
        <w:rPr>
          <w:rFonts w:ascii="宋体" w:hAnsi="宋体" w:eastAsia="宋体" w:cs="宋体"/>
          <w:b w:val="0"/>
          <w:bCs w:val="0"/>
          <w:color w:val="auto"/>
          <w:kern w:val="2"/>
          <w:sz w:val="21"/>
          <w:szCs w:val="21"/>
          <w:highlight w:val="none"/>
          <w:lang w:val="en-US" w:eastAsia="zh-CN" w:bidi="ar-SA"/>
        </w:rPr>
        <w:t>人民币。</w:t>
      </w:r>
    </w:p>
    <w:p>
      <w:pPr>
        <w:widowControl w:val="0"/>
        <w:spacing w:before="0" w:beforeLines="0" w:after="0" w:afterLines="0" w:line="360" w:lineRule="auto"/>
        <w:ind w:left="358" w:hanging="357" w:hangingChars="170"/>
        <w:jc w:val="both"/>
        <w:rPr>
          <w:rFonts w:ascii="宋体" w:hAnsi="宋体" w:eastAsia="宋体" w:cs="宋体"/>
          <w:b w:val="0"/>
          <w:bCs w:val="0"/>
          <w:color w:val="auto"/>
          <w:kern w:val="2"/>
          <w:sz w:val="21"/>
          <w:szCs w:val="21"/>
          <w:highlight w:val="none"/>
          <w:lang w:val="en-US" w:eastAsia="zh-CN" w:bidi="ar-SA"/>
        </w:rPr>
      </w:pPr>
      <w:r>
        <w:rPr>
          <w:rFonts w:ascii="宋体" w:hAnsi="宋体" w:eastAsia="宋体" w:cs="宋体"/>
          <w:b w:val="0"/>
          <w:bCs w:val="0"/>
          <w:color w:val="auto"/>
          <w:kern w:val="2"/>
          <w:sz w:val="21"/>
          <w:szCs w:val="21"/>
          <w:highlight w:val="none"/>
          <w:lang w:val="en-US" w:eastAsia="zh-CN" w:bidi="ar-SA"/>
        </w:rPr>
        <w:t>三、履约保证金</w:t>
      </w:r>
    </w:p>
    <w:p>
      <w:pPr>
        <w:widowControl w:val="0"/>
        <w:spacing w:before="0" w:beforeLines="0" w:after="0" w:afterLines="0" w:line="360" w:lineRule="auto"/>
        <w:ind w:left="357" w:hanging="357" w:hangingChars="170"/>
        <w:jc w:val="both"/>
        <w:rPr>
          <w:rFonts w:ascii="宋体" w:hAnsi="宋体" w:eastAsia="宋体" w:cs="宋体"/>
          <w:b w:val="0"/>
          <w:bCs w:val="0"/>
          <w:color w:val="auto"/>
          <w:kern w:val="2"/>
          <w:sz w:val="21"/>
          <w:szCs w:val="21"/>
          <w:highlight w:val="none"/>
          <w:lang w:val="en-US" w:eastAsia="zh-CN" w:bidi="ar-SA"/>
        </w:rPr>
      </w:pPr>
      <w:r>
        <w:rPr>
          <w:rFonts w:ascii="宋体" w:hAnsi="宋体" w:eastAsia="宋体" w:cs="宋体"/>
          <w:b w:val="0"/>
          <w:bCs w:val="0"/>
          <w:color w:val="auto"/>
          <w:kern w:val="2"/>
          <w:sz w:val="21"/>
          <w:szCs w:val="21"/>
          <w:highlight w:val="none"/>
          <w:lang w:val="en-US" w:eastAsia="zh-CN" w:bidi="ar-SA"/>
        </w:rPr>
        <w:t>3.1乙方交纳合同履约保证金：</w:t>
      </w:r>
      <w:r>
        <w:rPr>
          <w:rFonts w:ascii="宋体" w:hAnsi="宋体" w:eastAsia="宋体" w:cs="宋体"/>
          <w:b w:val="0"/>
          <w:bCs w:val="0"/>
          <w:color w:val="auto"/>
          <w:kern w:val="2"/>
          <w:sz w:val="21"/>
          <w:szCs w:val="21"/>
          <w:highlight w:val="none"/>
          <w:u w:val="single"/>
          <w:lang w:val="en-US" w:eastAsia="zh-CN" w:bidi="ar-SA"/>
        </w:rPr>
        <w:t xml:space="preserve">    </w:t>
      </w:r>
      <w:r>
        <w:rPr>
          <w:rFonts w:ascii="宋体" w:hAnsi="宋体" w:eastAsia="宋体" w:cs="宋体"/>
          <w:b w:val="0"/>
          <w:bCs w:val="0"/>
          <w:color w:val="auto"/>
          <w:kern w:val="2"/>
          <w:sz w:val="21"/>
          <w:szCs w:val="21"/>
          <w:highlight w:val="none"/>
          <w:lang w:val="en-US" w:eastAsia="zh-CN" w:bidi="ar-SA"/>
        </w:rPr>
        <w:t>元；</w:t>
      </w:r>
    </w:p>
    <w:p>
      <w:pPr>
        <w:spacing w:line="360" w:lineRule="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3.2在乙方完成所有合同履约后无息退还（但如乙方未能履行合同规定的任何义务，甲方有权从履约保证金中得到补偿）。</w:t>
      </w:r>
    </w:p>
    <w:p>
      <w:pPr>
        <w:spacing w:line="360" w:lineRule="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四、转包或分包</w:t>
      </w:r>
    </w:p>
    <w:p>
      <w:pPr>
        <w:spacing w:line="360" w:lineRule="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4.1本合同范围的服务，应由乙方直接提供，不得转让他人；</w:t>
      </w:r>
    </w:p>
    <w:p>
      <w:pPr>
        <w:spacing w:line="360" w:lineRule="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4.2 除非得到甲方的书面同意，乙方不得部分分包给他人。甲方有绝对权力阻止分包。</w:t>
      </w:r>
    </w:p>
    <w:p>
      <w:pPr>
        <w:spacing w:line="360" w:lineRule="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4.3如有转让和未经甲方同意的分包行为，甲方有权给予终止合同。</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五、服务质量保证期和服务质量保证金(注：选用)</w:t>
      </w:r>
    </w:p>
    <w:p>
      <w:pPr>
        <w:widowControl/>
        <w:spacing w:before="0" w:beforeLines="0" w:beforeAutospacing="0" w:after="0" w:afterLines="0" w:afterAutospacing="0" w:line="360" w:lineRule="auto"/>
        <w:ind w:left="357" w:hanging="357" w:hangingChars="170"/>
        <w:contextualSpacing/>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SA"/>
        </w:rPr>
        <w:t>5.1 服务质量保证期</w:t>
      </w:r>
      <w:r>
        <w:rPr>
          <w:rFonts w:hint="eastAsia" w:ascii="宋体" w:hAnsi="宋体" w:eastAsia="宋体" w:cs="宋体"/>
          <w:b w:val="0"/>
          <w:bCs w:val="0"/>
          <w:color w:val="auto"/>
          <w:kern w:val="2"/>
          <w:sz w:val="21"/>
          <w:szCs w:val="20"/>
          <w:highlight w:val="none"/>
          <w:u w:val="single"/>
          <w:lang w:val="en-US" w:eastAsia="zh-CN" w:bidi="ar-SA"/>
        </w:rPr>
        <w:t xml:space="preserve">      </w:t>
      </w:r>
      <w:r>
        <w:rPr>
          <w:rFonts w:hint="eastAsia" w:ascii="宋体" w:hAnsi="宋体" w:eastAsia="宋体" w:cs="宋体"/>
          <w:b w:val="0"/>
          <w:bCs w:val="0"/>
          <w:color w:val="auto"/>
          <w:kern w:val="2"/>
          <w:sz w:val="21"/>
          <w:szCs w:val="20"/>
          <w:highlight w:val="none"/>
          <w:lang w:val="en-US" w:eastAsia="zh-CN" w:bidi="ar-SA"/>
        </w:rPr>
        <w:t>年。（自验收合格之日起计）</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六、合同履行时间、履行方式及履行地点</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6.1 履行时间：</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6.2 履行方式：</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6.3 履行地点：</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七、款项支付</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
        </w:rPr>
      </w:pPr>
      <w:r>
        <w:rPr>
          <w:rFonts w:hint="eastAsia" w:ascii="宋体" w:hAnsi="宋体" w:eastAsia="宋体" w:cs="宋体"/>
          <w:b w:val="0"/>
          <w:bCs w:val="0"/>
          <w:color w:val="auto"/>
          <w:kern w:val="2"/>
          <w:sz w:val="21"/>
          <w:szCs w:val="20"/>
          <w:highlight w:val="none"/>
          <w:lang w:val="en-US" w:eastAsia="zh-CN" w:bidi="ar"/>
        </w:rPr>
        <w:t>7.1第一次付款：</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
        </w:rPr>
      </w:pPr>
      <w:r>
        <w:rPr>
          <w:rFonts w:hint="eastAsia" w:ascii="宋体" w:hAnsi="宋体" w:eastAsia="宋体" w:cs="宋体"/>
          <w:b w:val="0"/>
          <w:bCs w:val="0"/>
          <w:color w:val="auto"/>
          <w:kern w:val="2"/>
          <w:sz w:val="21"/>
          <w:szCs w:val="20"/>
          <w:highlight w:val="none"/>
          <w:lang w:val="en-US" w:eastAsia="zh-CN" w:bidi="ar"/>
        </w:rPr>
        <w:t>7.2第二次付款：</w:t>
      </w:r>
    </w:p>
    <w:p>
      <w:pPr>
        <w:spacing w:line="360" w:lineRule="auto"/>
        <w:rPr>
          <w:rFonts w:hint="eastAsia" w:ascii="宋体" w:hAnsi="宋体" w:cs="宋体"/>
          <w:b w:val="0"/>
          <w:bCs w:val="0"/>
          <w:color w:val="auto"/>
          <w:highlight w:val="none"/>
        </w:rPr>
      </w:pPr>
      <w:r>
        <w:rPr>
          <w:rFonts w:hint="eastAsia" w:ascii="宋体" w:hAnsi="宋体" w:cs="宋体"/>
          <w:b w:val="0"/>
          <w:bCs w:val="0"/>
          <w:color w:val="auto"/>
          <w:szCs w:val="20"/>
          <w:highlight w:val="none"/>
          <w:lang w:eastAsia="zh-CN" w:bidi="ar"/>
        </w:rPr>
        <w:t>八</w:t>
      </w:r>
      <w:r>
        <w:rPr>
          <w:rFonts w:hint="eastAsia" w:ascii="宋体" w:hAnsi="宋体" w:cs="宋体"/>
          <w:b w:val="0"/>
          <w:bCs w:val="0"/>
          <w:color w:val="auto"/>
          <w:szCs w:val="20"/>
          <w:highlight w:val="none"/>
          <w:lang w:bidi="ar"/>
        </w:rPr>
        <w:t>、税费</w:t>
      </w:r>
    </w:p>
    <w:p>
      <w:pPr>
        <w:spacing w:line="360" w:lineRule="auto"/>
        <w:ind w:firstLine="420" w:firstLineChars="200"/>
        <w:rPr>
          <w:rFonts w:hint="eastAsia" w:ascii="宋体" w:hAnsi="宋体" w:cs="宋体"/>
          <w:b w:val="0"/>
          <w:bCs w:val="0"/>
          <w:color w:val="auto"/>
          <w:highlight w:val="none"/>
        </w:rPr>
      </w:pPr>
      <w:r>
        <w:rPr>
          <w:rFonts w:hint="eastAsia" w:ascii="宋体" w:hAnsi="宋体" w:cs="宋体"/>
          <w:b w:val="0"/>
          <w:bCs w:val="0"/>
          <w:color w:val="auto"/>
          <w:szCs w:val="20"/>
          <w:highlight w:val="none"/>
          <w:lang w:bidi="ar"/>
        </w:rPr>
        <w:t>本合同执行中相关的一切税费均由乙方负担。</w:t>
      </w:r>
    </w:p>
    <w:p>
      <w:pPr>
        <w:widowControl/>
        <w:spacing w:before="0" w:beforeLines="0" w:beforeAutospacing="0" w:after="0" w:afterLines="0" w:afterAutospacing="0" w:line="360" w:lineRule="auto"/>
        <w:ind w:left="357" w:hanging="357" w:hangingChars="170"/>
        <w:contextualSpacing/>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SA"/>
        </w:rPr>
        <w:t>九、质量保证及后续服务</w:t>
      </w:r>
    </w:p>
    <w:p>
      <w:pPr>
        <w:widowControl/>
        <w:spacing w:before="0" w:beforeLines="0" w:beforeAutospacing="0" w:after="0" w:afterLines="0" w:afterAutospacing="0" w:line="360" w:lineRule="auto"/>
        <w:ind w:left="357" w:hanging="357" w:hangingChars="170"/>
        <w:contextualSpacing/>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SA"/>
        </w:rPr>
        <w:t>9.1 乙方应按采购文件规定向甲方提供服务。</w:t>
      </w:r>
    </w:p>
    <w:p>
      <w:pPr>
        <w:widowControl/>
        <w:spacing w:before="0" w:beforeLines="0" w:beforeAutospacing="0" w:after="0" w:afterLines="0" w:afterAutospacing="0" w:line="360" w:lineRule="auto"/>
        <w:ind w:left="420" w:hanging="420" w:hangingChars="200"/>
        <w:contextualSpacing/>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SA"/>
        </w:rPr>
        <w:t>9.2 乙方提供的服务成果在服务质量保证期内发生故障，乙方应负责免费提供后续服务。对达不到要求的，根据实际情况，经双方协商，可按以下办法处理：</w:t>
      </w:r>
    </w:p>
    <w:p>
      <w:pPr>
        <w:widowControl/>
        <w:overflowPunct w:val="0"/>
        <w:autoSpaceDE w:val="0"/>
        <w:autoSpaceDN w:val="0"/>
        <w:adjustRightInd w:val="0"/>
        <w:spacing w:before="0" w:beforeLines="0" w:beforeAutospacing="0" w:after="0" w:afterLines="0" w:afterAutospacing="0" w:line="360" w:lineRule="auto"/>
        <w:ind w:firstLine="420"/>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⑴重做：由乙方承担所发生的全部费用。</w:t>
      </w:r>
    </w:p>
    <w:p>
      <w:pPr>
        <w:widowControl/>
        <w:overflowPunct w:val="0"/>
        <w:autoSpaceDE w:val="0"/>
        <w:autoSpaceDN w:val="0"/>
        <w:adjustRightInd w:val="0"/>
        <w:spacing w:before="0" w:beforeLines="0" w:beforeAutospacing="0" w:after="0" w:afterLines="0" w:afterAutospacing="0" w:line="360" w:lineRule="auto"/>
        <w:ind w:firstLine="420"/>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⑵贬值处理：由甲乙双方合议定价。</w:t>
      </w:r>
    </w:p>
    <w:p>
      <w:pPr>
        <w:widowControl/>
        <w:spacing w:before="0" w:beforeLines="0" w:beforeAutospacing="0" w:after="0" w:afterLines="0" w:afterAutospacing="0" w:line="360" w:lineRule="auto"/>
        <w:ind w:left="420" w:leftChars="200"/>
        <w:contextualSpacing/>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SA"/>
        </w:rPr>
        <w:t>⑶解除合同。</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9.3 如在使用过程中发生问题，乙方在接到甲方通知后在</w:t>
      </w:r>
      <w:r>
        <w:rPr>
          <w:rFonts w:hint="eastAsia" w:ascii="宋体" w:hAnsi="宋体" w:eastAsia="宋体" w:cs="宋体"/>
          <w:b w:val="0"/>
          <w:bCs w:val="0"/>
          <w:color w:val="auto"/>
          <w:kern w:val="2"/>
          <w:sz w:val="21"/>
          <w:szCs w:val="20"/>
          <w:highlight w:val="none"/>
          <w:u w:val="single"/>
          <w:lang w:val="en-US" w:eastAsia="zh-CN" w:bidi="ar"/>
        </w:rPr>
        <w:t xml:space="preserve">      </w:t>
      </w:r>
      <w:r>
        <w:rPr>
          <w:rFonts w:hint="eastAsia" w:ascii="宋体" w:hAnsi="宋体" w:eastAsia="宋体" w:cs="宋体"/>
          <w:b w:val="0"/>
          <w:bCs w:val="0"/>
          <w:color w:val="auto"/>
          <w:kern w:val="2"/>
          <w:sz w:val="21"/>
          <w:szCs w:val="20"/>
          <w:highlight w:val="none"/>
          <w:lang w:val="en-US" w:eastAsia="zh-CN" w:bidi="ar"/>
        </w:rPr>
        <w:t>小时内到达甲方现场。</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9.4 在服务质量保证期内，乙方应对出现的质量及安全问题负责处理解决并承担一切费用。</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十、违约责任</w:t>
      </w:r>
    </w:p>
    <w:p>
      <w:pPr>
        <w:widowControl/>
        <w:spacing w:before="0" w:beforeLines="0" w:beforeAutospacing="0" w:after="0" w:afterLines="0" w:afterAutospacing="0" w:line="360" w:lineRule="auto"/>
        <w:ind w:left="357" w:hanging="357" w:hangingChars="170"/>
        <w:contextualSpacing/>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SA"/>
        </w:rPr>
        <w:t>10.1 甲方无正当理由拒绝接受服务的，甲方向乙方偿付合同款项百分之五的违约金。</w:t>
      </w:r>
    </w:p>
    <w:p>
      <w:pPr>
        <w:widowControl/>
        <w:spacing w:before="0" w:beforeLines="0" w:beforeAutospacing="0" w:after="0" w:afterLines="0" w:afterAutospacing="0" w:line="360" w:lineRule="auto"/>
        <w:ind w:left="357" w:hanging="357" w:hangingChars="170"/>
        <w:contextualSpacing/>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SA"/>
        </w:rPr>
        <w:t>10.2 甲方无故逾期验收和办理款项支付手续的,甲方应按逾期付款总额每日万分之五向乙方支付违约金。</w:t>
      </w:r>
    </w:p>
    <w:p>
      <w:pPr>
        <w:widowControl/>
        <w:spacing w:before="0" w:beforeLines="0" w:beforeAutospacing="0" w:after="0" w:afterLines="0" w:afterAutospacing="0" w:line="360" w:lineRule="auto"/>
        <w:ind w:left="357" w:hanging="357" w:hangingChars="170"/>
        <w:contextualSpacing/>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SA"/>
        </w:rPr>
        <w:t xml:space="preserve">10.3 乙方逾期提供服务的，每日向甲方支付千分之六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十一、不可抗力事件处理</w:t>
      </w:r>
    </w:p>
    <w:p>
      <w:pPr>
        <w:widowControl/>
        <w:spacing w:before="0" w:beforeLines="0" w:beforeAutospacing="0" w:after="0" w:afterLines="0" w:afterAutospacing="0" w:line="360" w:lineRule="auto"/>
        <w:ind w:left="420" w:hanging="420" w:hangingChars="200"/>
        <w:contextualSpacing/>
        <w:jc w:val="left"/>
        <w:rPr>
          <w:rFonts w:hint="eastAsia" w:ascii="宋体" w:hAnsi="宋体" w:eastAsia="宋体" w:cs="宋体"/>
          <w:b w:val="0"/>
          <w:bCs w:val="0"/>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SA"/>
        </w:rPr>
        <w:t>11.1 在合同有效期内，任何一方因不可抗力事件导致不能履行合同，则合同履行期可延长，其延长期与不可抗力影响期相同。</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b w:val="0"/>
          <w:bCs w:val="0"/>
          <w:color w:val="auto"/>
          <w:kern w:val="2"/>
          <w:sz w:val="21"/>
          <w:szCs w:val="20"/>
          <w:highlight w:val="none"/>
          <w:lang w:val="en-US" w:eastAsia="zh-CN" w:bidi="ar"/>
        </w:rPr>
        <w:t>11.2 不</w:t>
      </w:r>
      <w:r>
        <w:rPr>
          <w:rFonts w:hint="eastAsia" w:ascii="宋体" w:hAnsi="宋体" w:eastAsia="宋体" w:cs="宋体"/>
          <w:color w:val="auto"/>
          <w:kern w:val="2"/>
          <w:sz w:val="21"/>
          <w:szCs w:val="20"/>
          <w:highlight w:val="none"/>
          <w:lang w:val="en-US" w:eastAsia="zh-CN" w:bidi="ar"/>
        </w:rPr>
        <w:t>可抗力事件发生后，应立即通知对方，并寄送有关权威机构出具的证明。</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color w:val="auto"/>
          <w:kern w:val="2"/>
          <w:sz w:val="21"/>
          <w:szCs w:val="20"/>
          <w:highlight w:val="none"/>
          <w:lang w:val="en-US" w:eastAsia="zh-CN" w:bidi="ar"/>
        </w:rPr>
        <w:t>11.3 不可抗力事件延续120天以上，双方应通过友好协商，确定是否继续履行合同。</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color w:val="auto"/>
          <w:kern w:val="2"/>
          <w:sz w:val="21"/>
          <w:szCs w:val="20"/>
          <w:highlight w:val="none"/>
          <w:lang w:val="en-US" w:eastAsia="zh-CN" w:bidi="ar"/>
        </w:rPr>
        <w:t>十二、诉讼</w:t>
      </w:r>
    </w:p>
    <w:p>
      <w:pPr>
        <w:widowControl/>
        <w:overflowPunct w:val="0"/>
        <w:autoSpaceDE w:val="0"/>
        <w:autoSpaceDN w:val="0"/>
        <w:adjustRightInd w:val="0"/>
        <w:spacing w:before="0" w:beforeLines="0" w:beforeAutospacing="0" w:after="0" w:afterLines="0" w:afterAutospacing="0" w:line="360" w:lineRule="auto"/>
        <w:ind w:firstLine="420" w:firstLineChars="200"/>
        <w:jc w:val="left"/>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color w:val="auto"/>
          <w:kern w:val="2"/>
          <w:sz w:val="21"/>
          <w:szCs w:val="20"/>
          <w:highlight w:val="none"/>
          <w:lang w:val="en-US" w:eastAsia="zh-CN" w:bidi="ar"/>
        </w:rPr>
        <w:t>双方在执行合同中所发生的一切争议，应通过协商解决。如协商不成，可向合同签订地法院起诉。</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color w:val="auto"/>
          <w:kern w:val="2"/>
          <w:sz w:val="21"/>
          <w:szCs w:val="20"/>
          <w:highlight w:val="none"/>
          <w:lang w:val="en-US" w:eastAsia="zh-CN" w:bidi="ar"/>
        </w:rPr>
        <w:t>十三、合同生效及其它</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color w:val="auto"/>
          <w:kern w:val="2"/>
          <w:sz w:val="21"/>
          <w:szCs w:val="20"/>
          <w:highlight w:val="none"/>
          <w:lang w:val="en-US" w:eastAsia="zh-CN" w:bidi="ar"/>
        </w:rPr>
        <w:t>13.1 合同经双方法定代表人或授权委托代理人签字并加盖单位公章后生效。</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color w:val="auto"/>
          <w:kern w:val="2"/>
          <w:sz w:val="21"/>
          <w:szCs w:val="20"/>
          <w:highlight w:val="none"/>
          <w:lang w:val="en-US" w:eastAsia="zh-CN" w:bidi="ar"/>
        </w:rPr>
        <w:t>13.2合同执行中涉及招标资金和招标内容修改或补充的，须经财政部门审批，并签书面补充协议报招标监督管理部门备案，方可作为主合同不可分割的一部分。</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color w:val="auto"/>
          <w:kern w:val="2"/>
          <w:sz w:val="21"/>
          <w:szCs w:val="20"/>
          <w:highlight w:val="none"/>
          <w:lang w:val="en-US" w:eastAsia="zh-CN" w:bidi="ar"/>
        </w:rPr>
        <w:t>13.3本项目采购文件与投标文件作为合同不可分割的部分。</w:t>
      </w:r>
    </w:p>
    <w:p>
      <w:pPr>
        <w:widowControl/>
        <w:spacing w:before="0" w:beforeLines="0" w:beforeAutospacing="0" w:after="0" w:afterLines="0" w:afterAutospacing="0" w:line="360" w:lineRule="auto"/>
        <w:ind w:left="420" w:hanging="420" w:hangingChars="200"/>
        <w:contextualSpacing/>
        <w:jc w:val="left"/>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color w:val="auto"/>
          <w:kern w:val="2"/>
          <w:sz w:val="21"/>
          <w:szCs w:val="20"/>
          <w:highlight w:val="none"/>
          <w:lang w:val="en-US" w:eastAsia="zh-CN" w:bidi="ar-SA"/>
        </w:rPr>
        <w:t>13.4本合同未尽事宜，遵照《合同法》有关条文执行。</w:t>
      </w:r>
    </w:p>
    <w:p>
      <w:pPr>
        <w:widowControl/>
        <w:spacing w:before="0" w:beforeLines="0" w:beforeAutospacing="0" w:after="0" w:afterLines="0" w:afterAutospacing="0" w:line="360" w:lineRule="auto"/>
        <w:ind w:left="420" w:hanging="420" w:hangingChars="200"/>
        <w:contextualSpacing/>
        <w:jc w:val="left"/>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color w:val="auto"/>
          <w:kern w:val="2"/>
          <w:sz w:val="21"/>
          <w:szCs w:val="20"/>
          <w:highlight w:val="none"/>
          <w:lang w:val="en-US" w:eastAsia="zh-CN" w:bidi="ar-SA"/>
        </w:rPr>
        <w:t>13.5本合同正本一式</w:t>
      </w:r>
      <w:r>
        <w:rPr>
          <w:rFonts w:hint="eastAsia" w:ascii="宋体" w:hAnsi="宋体" w:eastAsia="宋体" w:cs="宋体"/>
          <w:color w:val="auto"/>
          <w:kern w:val="2"/>
          <w:sz w:val="21"/>
          <w:szCs w:val="20"/>
          <w:highlight w:val="none"/>
          <w:u w:val="single"/>
          <w:lang w:val="en-US" w:eastAsia="zh-CN" w:bidi="ar-SA"/>
        </w:rPr>
        <w:t xml:space="preserve">    </w:t>
      </w:r>
      <w:r>
        <w:rPr>
          <w:rFonts w:hint="eastAsia" w:ascii="宋体" w:hAnsi="宋体" w:eastAsia="宋体" w:cs="宋体"/>
          <w:color w:val="auto"/>
          <w:kern w:val="2"/>
          <w:sz w:val="21"/>
          <w:szCs w:val="20"/>
          <w:highlight w:val="none"/>
          <w:lang w:val="en-US" w:eastAsia="zh-CN" w:bidi="ar-SA"/>
        </w:rPr>
        <w:t>份，具有同等法律效力，甲乙双方各执</w:t>
      </w:r>
      <w:r>
        <w:rPr>
          <w:rFonts w:hint="eastAsia" w:ascii="宋体" w:hAnsi="宋体" w:eastAsia="宋体" w:cs="宋体"/>
          <w:color w:val="auto"/>
          <w:kern w:val="2"/>
          <w:sz w:val="21"/>
          <w:szCs w:val="20"/>
          <w:highlight w:val="none"/>
          <w:u w:val="single"/>
          <w:lang w:val="en-US" w:eastAsia="zh-CN" w:bidi="ar-SA"/>
        </w:rPr>
        <w:t xml:space="preserve">    </w:t>
      </w:r>
      <w:r>
        <w:rPr>
          <w:rFonts w:hint="eastAsia" w:ascii="宋体" w:hAnsi="宋体" w:eastAsia="宋体" w:cs="宋体"/>
          <w:color w:val="auto"/>
          <w:kern w:val="2"/>
          <w:sz w:val="21"/>
          <w:szCs w:val="20"/>
          <w:highlight w:val="none"/>
          <w:lang w:val="en-US" w:eastAsia="zh-CN" w:bidi="ar-SA"/>
        </w:rPr>
        <w:t>份，代理机构</w:t>
      </w:r>
      <w:r>
        <w:rPr>
          <w:rFonts w:hint="eastAsia" w:ascii="宋体" w:hAnsi="宋体" w:eastAsia="宋体" w:cs="宋体"/>
          <w:color w:val="auto"/>
          <w:kern w:val="2"/>
          <w:sz w:val="21"/>
          <w:szCs w:val="20"/>
          <w:highlight w:val="none"/>
          <w:u w:val="single"/>
          <w:lang w:val="en-US" w:eastAsia="zh-CN" w:bidi="ar-SA"/>
        </w:rPr>
        <w:t xml:space="preserve">    </w:t>
      </w:r>
      <w:r>
        <w:rPr>
          <w:rFonts w:hint="eastAsia" w:ascii="宋体" w:hAnsi="宋体" w:eastAsia="宋体" w:cs="宋体"/>
          <w:color w:val="auto"/>
          <w:kern w:val="2"/>
          <w:sz w:val="21"/>
          <w:szCs w:val="20"/>
          <w:highlight w:val="none"/>
          <w:lang w:val="en-US" w:eastAsia="zh-CN" w:bidi="ar-SA"/>
        </w:rPr>
        <w:t>份。</w:t>
      </w:r>
    </w:p>
    <w:p>
      <w:pPr>
        <w:widowControl/>
        <w:spacing w:before="0" w:beforeLines="0" w:beforeAutospacing="0" w:after="0" w:afterLines="0" w:afterAutospacing="0" w:line="360" w:lineRule="auto"/>
        <w:ind w:left="420" w:hanging="420" w:hangingChars="200"/>
        <w:contextualSpacing/>
        <w:jc w:val="left"/>
        <w:rPr>
          <w:rFonts w:hint="eastAsia" w:ascii="宋体" w:hAnsi="宋体" w:eastAsia="宋体" w:cs="宋体"/>
          <w:color w:val="auto"/>
          <w:kern w:val="2"/>
          <w:sz w:val="21"/>
          <w:szCs w:val="20"/>
          <w:highlight w:val="none"/>
          <w:lang w:val="en-US" w:eastAsia="zh-CN" w:bidi="ar-SA"/>
        </w:rPr>
      </w:pP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color w:val="auto"/>
          <w:kern w:val="2"/>
          <w:sz w:val="21"/>
          <w:szCs w:val="20"/>
          <w:highlight w:val="none"/>
          <w:lang w:val="en-US" w:eastAsia="zh-CN" w:bidi="ar"/>
        </w:rPr>
      </w:pPr>
      <w:r>
        <w:rPr>
          <w:rFonts w:hint="eastAsia" w:ascii="宋体" w:hAnsi="宋体" w:eastAsia="宋体" w:cs="宋体"/>
          <w:color w:val="auto"/>
          <w:kern w:val="2"/>
          <w:sz w:val="21"/>
          <w:szCs w:val="20"/>
          <w:highlight w:val="none"/>
          <w:lang w:val="en-US" w:eastAsia="zh-CN" w:bidi="ar"/>
        </w:rPr>
        <w:t xml:space="preserve">甲方：                                            乙方： </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color w:val="auto"/>
          <w:kern w:val="2"/>
          <w:sz w:val="21"/>
          <w:szCs w:val="20"/>
          <w:highlight w:val="none"/>
          <w:lang w:val="en-US" w:eastAsia="zh-CN" w:bidi="ar"/>
        </w:rPr>
      </w:pPr>
      <w:r>
        <w:rPr>
          <w:rFonts w:hint="eastAsia" w:ascii="宋体" w:hAnsi="宋体" w:eastAsia="宋体" w:cs="宋体"/>
          <w:color w:val="auto"/>
          <w:kern w:val="2"/>
          <w:sz w:val="21"/>
          <w:szCs w:val="20"/>
          <w:highlight w:val="none"/>
          <w:lang w:val="en-US" w:eastAsia="zh-CN" w:bidi="ar"/>
        </w:rPr>
        <w:t xml:space="preserve">地址：                                            地址： </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color w:val="auto"/>
          <w:kern w:val="2"/>
          <w:sz w:val="21"/>
          <w:szCs w:val="20"/>
          <w:highlight w:val="none"/>
          <w:lang w:val="en-US" w:eastAsia="zh-CN" w:bidi="ar"/>
        </w:rPr>
      </w:pPr>
      <w:r>
        <w:rPr>
          <w:rFonts w:hint="eastAsia" w:ascii="宋体" w:hAnsi="宋体" w:eastAsia="宋体" w:cs="宋体"/>
          <w:color w:val="auto"/>
          <w:kern w:val="2"/>
          <w:sz w:val="21"/>
          <w:szCs w:val="20"/>
          <w:highlight w:val="none"/>
          <w:lang w:val="en-US" w:eastAsia="zh-CN" w:bidi="ar"/>
        </w:rPr>
        <w:t>法定代表人：                                      法定代表人：</w:t>
      </w:r>
    </w:p>
    <w:p>
      <w:pPr>
        <w:widowControl/>
        <w:overflowPunct w:val="0"/>
        <w:autoSpaceDE w:val="0"/>
        <w:autoSpaceDN w:val="0"/>
        <w:adjustRightInd w:val="0"/>
        <w:spacing w:before="0" w:beforeLines="0" w:beforeAutospacing="0" w:after="0" w:afterLines="0" w:afterAutospacing="0" w:line="360" w:lineRule="auto"/>
        <w:jc w:val="left"/>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color w:val="auto"/>
          <w:kern w:val="2"/>
          <w:sz w:val="21"/>
          <w:szCs w:val="20"/>
          <w:highlight w:val="none"/>
          <w:lang w:val="en-US" w:eastAsia="zh-CN" w:bidi="ar"/>
        </w:rPr>
        <w:t xml:space="preserve">签订地点：                                        签订地点：                    </w:t>
      </w:r>
    </w:p>
    <w:p>
      <w:pPr>
        <w:snapToGrid w:val="0"/>
        <w:spacing w:beforeLines="50" w:afterLines="50" w:line="400" w:lineRule="exact"/>
        <w:rPr>
          <w:rFonts w:ascii="宋体" w:hAnsi="宋体" w:cs="宋体"/>
          <w:bCs/>
          <w:color w:val="auto"/>
          <w:szCs w:val="21"/>
          <w:highlight w:val="none"/>
        </w:rPr>
      </w:pPr>
      <w:r>
        <w:rPr>
          <w:rFonts w:hint="eastAsia" w:ascii="宋体" w:hAnsi="宋体" w:cs="宋体"/>
          <w:color w:val="auto"/>
          <w:kern w:val="2"/>
          <w:sz w:val="21"/>
          <w:szCs w:val="20"/>
          <w:highlight w:val="none"/>
          <w:lang w:bidi="ar"/>
        </w:rPr>
        <w:t>签订日期：      年  月  日                        签订日期：      年  月  日</w:t>
      </w:r>
    </w:p>
    <w:p>
      <w:pPr>
        <w:snapToGrid w:val="0"/>
        <w:spacing w:beforeLines="50" w:afterLines="50" w:line="400" w:lineRule="exact"/>
        <w:jc w:val="center"/>
        <w:rPr>
          <w:rFonts w:ascii="黑体" w:hAnsi="宋体" w:eastAsia="黑体"/>
          <w:color w:val="auto"/>
          <w:sz w:val="24"/>
          <w:highlight w:val="none"/>
        </w:rPr>
      </w:pPr>
      <w:r>
        <w:rPr>
          <w:rFonts w:hAnsi="宋体"/>
          <w:color w:val="auto"/>
          <w:highlight w:val="none"/>
        </w:rPr>
        <w:br w:type="page"/>
      </w:r>
      <w:bookmarkStart w:id="57" w:name="_Toc625"/>
      <w:r>
        <w:rPr>
          <w:rFonts w:hint="eastAsia"/>
          <w:color w:val="auto"/>
          <w:sz w:val="28"/>
          <w:szCs w:val="28"/>
          <w:highlight w:val="none"/>
        </w:rPr>
        <w:t>第六章　投标文件格式</w:t>
      </w:r>
      <w:bookmarkEnd w:id="57"/>
    </w:p>
    <w:p>
      <w:pPr>
        <w:widowControl/>
        <w:numPr>
          <w:ilvl w:val="0"/>
          <w:numId w:val="14"/>
        </w:numPr>
        <w:jc w:val="center"/>
        <w:rPr>
          <w:rFonts w:ascii="宋体" w:hAnsi="宋体" w:cs="宋体"/>
          <w:color w:val="auto"/>
          <w:kern w:val="0"/>
          <w:szCs w:val="20"/>
          <w:highlight w:val="none"/>
        </w:rPr>
      </w:pPr>
      <w:r>
        <w:rPr>
          <w:rFonts w:hint="eastAsia" w:ascii="宋体" w:hAnsi="宋体" w:cs="宋体"/>
          <w:color w:val="auto"/>
          <w:kern w:val="0"/>
          <w:szCs w:val="20"/>
          <w:highlight w:val="none"/>
        </w:rPr>
        <w:t>资格文件、商务技术文件格式</w:t>
      </w:r>
    </w:p>
    <w:p>
      <w:pPr>
        <w:widowControl/>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r>
        <w:rPr>
          <w:rFonts w:hint="eastAsia" w:ascii="宋体" w:hAnsi="宋体" w:cs="宋体"/>
          <w:color w:val="auto"/>
          <w:kern w:val="0"/>
          <w:szCs w:val="20"/>
          <w:highlight w:val="none"/>
        </w:rPr>
        <w:t>1.资格、商务技术文件的外包装封面格式：</w:t>
      </w: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snapToGrid w:val="0"/>
        <w:spacing w:beforeLines="50" w:after="50"/>
        <w:ind w:firstLine="3675" w:firstLineChars="1750"/>
        <w:jc w:val="left"/>
        <w:rPr>
          <w:rFonts w:ascii="宋体" w:hAnsi="宋体" w:cs="宋体"/>
          <w:color w:val="auto"/>
          <w:kern w:val="0"/>
          <w:szCs w:val="21"/>
          <w:highlight w:val="none"/>
        </w:rPr>
      </w:pPr>
      <w:r>
        <w:rPr>
          <w:rFonts w:hint="eastAsia" w:ascii="宋体" w:hAnsi="宋体" w:cs="宋体"/>
          <w:color w:val="auto"/>
          <w:kern w:val="0"/>
          <w:szCs w:val="21"/>
          <w:highlight w:val="none"/>
        </w:rPr>
        <w:t>资格、商务技术文件</w:t>
      </w:r>
    </w:p>
    <w:p>
      <w:pPr>
        <w:widowControl/>
        <w:jc w:val="left"/>
        <w:rPr>
          <w:rFonts w:ascii="宋体" w:hAnsi="宋体" w:cs="宋体"/>
          <w:color w:val="auto"/>
          <w:kern w:val="0"/>
          <w:szCs w:val="20"/>
          <w:highlight w:val="none"/>
        </w:rPr>
      </w:pP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项目名称：                        </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项目编号： </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标项号:</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供应商名称：</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供应商地址：</w:t>
      </w:r>
    </w:p>
    <w:p>
      <w:pPr>
        <w:snapToGrid w:val="0"/>
        <w:spacing w:before="50" w:after="50"/>
        <w:ind w:firstLine="932" w:firstLineChars="444"/>
        <w:jc w:val="center"/>
        <w:rPr>
          <w:rFonts w:ascii="宋体" w:hAnsi="宋体" w:cs="宋体"/>
          <w:bCs/>
          <w:color w:val="auto"/>
          <w:szCs w:val="21"/>
          <w:highlight w:val="none"/>
        </w:rPr>
      </w:pPr>
      <w:r>
        <w:rPr>
          <w:rFonts w:hint="eastAsia" w:ascii="宋体" w:hAnsi="宋体" w:cs="宋体"/>
          <w:color w:val="auto"/>
          <w:highlight w:val="none"/>
        </w:rPr>
        <w:t>开标时启封</w:t>
      </w:r>
    </w:p>
    <w:p>
      <w:pPr>
        <w:widowControl/>
        <w:spacing w:line="360" w:lineRule="auto"/>
        <w:jc w:val="left"/>
        <w:rPr>
          <w:rFonts w:ascii="宋体" w:hAnsi="宋体" w:cs="宋体"/>
          <w:color w:val="auto"/>
          <w:kern w:val="0"/>
          <w:szCs w:val="20"/>
          <w:highlight w:val="none"/>
        </w:rPr>
      </w:pP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（供应商公章）</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2.资格、商务技术文件封面格式： </w:t>
      </w:r>
    </w:p>
    <w:p>
      <w:pPr>
        <w:widowControl/>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正本/或副本</w:t>
      </w: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snapToGrid w:val="0"/>
        <w:spacing w:beforeLines="50" w:after="50"/>
        <w:ind w:firstLine="3675" w:firstLineChars="1750"/>
        <w:jc w:val="left"/>
        <w:rPr>
          <w:rFonts w:ascii="宋体" w:hAnsi="宋体" w:cs="宋体"/>
          <w:color w:val="auto"/>
          <w:kern w:val="0"/>
          <w:szCs w:val="21"/>
          <w:highlight w:val="none"/>
        </w:rPr>
      </w:pPr>
      <w:r>
        <w:rPr>
          <w:rFonts w:hint="eastAsia" w:ascii="宋体" w:hAnsi="宋体" w:cs="宋体"/>
          <w:color w:val="auto"/>
          <w:kern w:val="0"/>
          <w:szCs w:val="20"/>
          <w:highlight w:val="none"/>
        </w:rPr>
        <w:t>资格、商务技术文件</w:t>
      </w:r>
    </w:p>
    <w:p>
      <w:pPr>
        <w:widowControl/>
        <w:jc w:val="left"/>
        <w:rPr>
          <w:rFonts w:ascii="宋体" w:hAnsi="宋体" w:cs="宋体"/>
          <w:color w:val="auto"/>
          <w:kern w:val="0"/>
          <w:szCs w:val="20"/>
          <w:highlight w:val="none"/>
        </w:rPr>
      </w:pP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项目名称：                       </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项目编号： </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标项号:</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供应商名称：</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供应商地址：</w:t>
      </w:r>
    </w:p>
    <w:p>
      <w:pPr>
        <w:widowControl/>
        <w:spacing w:line="360" w:lineRule="auto"/>
        <w:jc w:val="left"/>
        <w:rPr>
          <w:rFonts w:ascii="宋体" w:hAnsi="宋体" w:cs="宋体"/>
          <w:color w:val="auto"/>
          <w:kern w:val="0"/>
          <w:szCs w:val="20"/>
          <w:highlight w:val="none"/>
        </w:rPr>
      </w:pPr>
    </w:p>
    <w:p>
      <w:pPr>
        <w:widowControl/>
        <w:spacing w:line="360" w:lineRule="auto"/>
        <w:ind w:firstLine="5355" w:firstLineChars="2550"/>
        <w:jc w:val="left"/>
        <w:rPr>
          <w:rFonts w:ascii="宋体" w:hAnsi="宋体" w:cs="宋体"/>
          <w:color w:val="auto"/>
          <w:kern w:val="0"/>
          <w:szCs w:val="20"/>
          <w:highlight w:val="none"/>
        </w:rPr>
      </w:pPr>
      <w:r>
        <w:rPr>
          <w:rFonts w:hint="eastAsia" w:ascii="宋体" w:hAnsi="宋体" w:cs="宋体"/>
          <w:color w:val="auto"/>
          <w:kern w:val="0"/>
          <w:szCs w:val="20"/>
          <w:highlight w:val="none"/>
        </w:rPr>
        <w:t>（供应商公章）</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jc w:val="center"/>
        <w:rPr>
          <w:rFonts w:ascii="宋体" w:hAnsi="宋体" w:cs="宋体"/>
          <w:color w:val="auto"/>
          <w:kern w:val="0"/>
          <w:szCs w:val="20"/>
          <w:highlight w:val="none"/>
        </w:rPr>
      </w:pP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br w:type="page"/>
      </w:r>
      <w:r>
        <w:rPr>
          <w:rFonts w:hint="eastAsia" w:ascii="宋体" w:hAnsi="宋体" w:cs="宋体"/>
          <w:color w:val="auto"/>
          <w:kern w:val="0"/>
          <w:szCs w:val="20"/>
          <w:highlight w:val="none"/>
        </w:rPr>
        <w:t>3.资格文件：</w:t>
      </w:r>
    </w:p>
    <w:p>
      <w:pPr>
        <w:widowControl/>
        <w:numPr>
          <w:ilvl w:val="0"/>
          <w:numId w:val="15"/>
        </w:numPr>
        <w:snapToGrid w:val="0"/>
        <w:spacing w:line="360" w:lineRule="auto"/>
        <w:ind w:left="210" w:leftChars="100"/>
        <w:jc w:val="left"/>
        <w:rPr>
          <w:rFonts w:ascii="宋体" w:hAnsi="宋体" w:cs="宋体"/>
          <w:color w:val="auto"/>
          <w:kern w:val="0"/>
          <w:szCs w:val="20"/>
          <w:highlight w:val="none"/>
        </w:rPr>
      </w:pPr>
      <w:r>
        <w:rPr>
          <w:rFonts w:hint="eastAsia" w:ascii="宋体" w:hAnsi="宋体" w:cs="宋体"/>
          <w:color w:val="auto"/>
          <w:kern w:val="0"/>
          <w:szCs w:val="20"/>
          <w:highlight w:val="none"/>
        </w:rPr>
        <w:t>供应商资格声明函（格式见附件）；</w:t>
      </w:r>
    </w:p>
    <w:p>
      <w:pPr>
        <w:widowControl/>
        <w:numPr>
          <w:ilvl w:val="0"/>
          <w:numId w:val="15"/>
        </w:numPr>
        <w:snapToGrid w:val="0"/>
        <w:spacing w:line="360" w:lineRule="auto"/>
        <w:ind w:left="210" w:leftChars="100"/>
        <w:jc w:val="left"/>
        <w:rPr>
          <w:rFonts w:ascii="宋体" w:hAnsi="宋体" w:cs="宋体"/>
          <w:color w:val="auto"/>
          <w:kern w:val="0"/>
          <w:szCs w:val="20"/>
          <w:highlight w:val="none"/>
        </w:rPr>
      </w:pPr>
      <w:r>
        <w:rPr>
          <w:rFonts w:hint="eastAsia" w:ascii="宋体" w:hAnsi="宋体" w:cs="宋体"/>
          <w:color w:val="auto"/>
          <w:kern w:val="0"/>
          <w:szCs w:val="20"/>
          <w:highlight w:val="none"/>
        </w:rPr>
        <w:t>有效的企业法人营业执照（或事业法人登记证）、其他组织（个体工商户）的营业执照或者民办非企业单位登记证书复印件；</w:t>
      </w:r>
      <w:r>
        <w:rPr>
          <w:rFonts w:hint="eastAsia" w:ascii="宋体" w:hAnsi="宋体" w:cs="宋体"/>
          <w:color w:val="auto"/>
          <w:kern w:val="0"/>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kern w:val="0"/>
          <w:szCs w:val="20"/>
          <w:highlight w:val="none"/>
        </w:rPr>
        <w:t>；</w:t>
      </w:r>
    </w:p>
    <w:p>
      <w:pPr>
        <w:widowControl/>
        <w:numPr>
          <w:ilvl w:val="0"/>
          <w:numId w:val="15"/>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0"/>
          <w:highlight w:val="none"/>
        </w:rPr>
        <w:t>供应商特定资格条件的证明文件：详见“第一章  公开招标公告 二、申请人的资格要求：3.本项目的特定资格要求”；</w:t>
      </w:r>
    </w:p>
    <w:p>
      <w:pPr>
        <w:widowControl/>
        <w:numPr>
          <w:ilvl w:val="0"/>
          <w:numId w:val="15"/>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2"/>
          <w:highlight w:val="none"/>
        </w:rPr>
        <w:t>招标文件</w:t>
      </w:r>
      <w:r>
        <w:rPr>
          <w:rFonts w:hint="eastAsia" w:ascii="宋体" w:hAnsi="宋体" w:cs="宋体"/>
          <w:color w:val="auto"/>
          <w:kern w:val="0"/>
          <w:szCs w:val="21"/>
          <w:highlight w:val="none"/>
        </w:rPr>
        <w:t>要求的其他资格条件证明材料（如有）；</w:t>
      </w:r>
    </w:p>
    <w:p>
      <w:pPr>
        <w:widowControl/>
        <w:snapToGrid w:val="0"/>
        <w:spacing w:line="360" w:lineRule="auto"/>
        <w:jc w:val="left"/>
        <w:rPr>
          <w:rFonts w:ascii="宋体" w:hAnsi="宋体" w:cs="宋体"/>
          <w:color w:val="auto"/>
          <w:kern w:val="0"/>
          <w:szCs w:val="21"/>
          <w:highlight w:val="none"/>
        </w:rPr>
      </w:pPr>
    </w:p>
    <w:p>
      <w:pPr>
        <w:widowControl/>
        <w:spacing w:line="360" w:lineRule="auto"/>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jc w:val="left"/>
        <w:rPr>
          <w:rFonts w:ascii="宋体" w:hAnsi="宋体" w:cs="宋体"/>
          <w:b/>
          <w:color w:val="auto"/>
          <w:kern w:val="0"/>
          <w:szCs w:val="20"/>
          <w:highlight w:val="none"/>
        </w:rPr>
      </w:pPr>
      <w:r>
        <w:rPr>
          <w:rFonts w:hint="eastAsia" w:ascii="宋体" w:hAnsi="宋体" w:cs="宋体"/>
          <w:b/>
          <w:color w:val="auto"/>
          <w:kern w:val="0"/>
          <w:szCs w:val="20"/>
          <w:highlight w:val="none"/>
        </w:rPr>
        <w:br w:type="page"/>
      </w:r>
      <w:r>
        <w:rPr>
          <w:rFonts w:hint="eastAsia" w:ascii="宋体" w:hAnsi="宋体" w:cs="宋体"/>
          <w:b/>
          <w:color w:val="auto"/>
          <w:kern w:val="0"/>
          <w:szCs w:val="20"/>
          <w:highlight w:val="none"/>
        </w:rPr>
        <w:t>4.供应商资格声明函</w:t>
      </w:r>
    </w:p>
    <w:p>
      <w:pPr>
        <w:widowControl/>
        <w:jc w:val="center"/>
        <w:rPr>
          <w:rFonts w:ascii="宋体" w:hAnsi="宋体" w:cs="宋体"/>
          <w:b/>
          <w:color w:val="auto"/>
          <w:kern w:val="0"/>
          <w:sz w:val="28"/>
          <w:szCs w:val="28"/>
          <w:highlight w:val="none"/>
        </w:rPr>
      </w:pPr>
      <w:bookmarkStart w:id="58" w:name="_Toc275865606"/>
    </w:p>
    <w:bookmarkEnd w:id="58"/>
    <w:p>
      <w:pPr>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供应商资格声明函</w:t>
      </w:r>
    </w:p>
    <w:p>
      <w:pPr>
        <w:widowControl/>
        <w:jc w:val="left"/>
        <w:rPr>
          <w:rFonts w:ascii="宋体" w:hAnsi="宋体" w:cs="宋体"/>
          <w:b/>
          <w:color w:val="auto"/>
          <w:kern w:val="0"/>
          <w:szCs w:val="20"/>
          <w:highlight w:val="none"/>
        </w:rPr>
      </w:pPr>
    </w:p>
    <w:p>
      <w:pPr>
        <w:widowControl/>
        <w:jc w:val="left"/>
        <w:rPr>
          <w:rFonts w:ascii="宋体" w:hAnsi="宋体" w:cs="宋体"/>
          <w:b/>
          <w:color w:val="auto"/>
          <w:kern w:val="0"/>
          <w:szCs w:val="20"/>
          <w:highlight w:val="none"/>
        </w:rPr>
      </w:pPr>
      <w:r>
        <w:rPr>
          <w:rFonts w:hint="eastAsia" w:ascii="宋体" w:hAnsi="宋体" w:cs="宋体"/>
          <w:b/>
          <w:color w:val="auto"/>
          <w:kern w:val="0"/>
          <w:szCs w:val="20"/>
          <w:highlight w:val="none"/>
        </w:rPr>
        <w:t>宁波中基国际招标有限公司：</w:t>
      </w:r>
    </w:p>
    <w:p>
      <w:pPr>
        <w:widowControl/>
        <w:snapToGrid w:val="0"/>
        <w:spacing w:beforeLines="50" w:line="360" w:lineRule="auto"/>
        <w:ind w:firstLine="424" w:firstLineChars="202"/>
        <w:jc w:val="left"/>
        <w:rPr>
          <w:rFonts w:ascii="宋体" w:hAnsi="宋体" w:cs="宋体"/>
          <w:color w:val="auto"/>
          <w:kern w:val="0"/>
          <w:szCs w:val="20"/>
          <w:highlight w:val="none"/>
        </w:rPr>
      </w:pPr>
      <w:r>
        <w:rPr>
          <w:rFonts w:hint="eastAsia" w:ascii="宋体" w:hAnsi="宋体" w:cs="宋体"/>
          <w:color w:val="auto"/>
          <w:kern w:val="0"/>
          <w:szCs w:val="20"/>
          <w:highlight w:val="none"/>
        </w:rPr>
        <w:t>关于贵司年</w:t>
      </w:r>
      <w:r>
        <w:rPr>
          <w:rFonts w:hint="eastAsia" w:ascii="宋体" w:hAnsi="宋体" w:cs="宋体"/>
          <w:color w:val="auto"/>
          <w:kern w:val="0"/>
          <w:szCs w:val="20"/>
          <w:highlight w:val="none"/>
          <w:u w:val="single"/>
        </w:rPr>
        <w:t>　　</w:t>
      </w:r>
      <w:r>
        <w:rPr>
          <w:rFonts w:hint="eastAsia" w:ascii="宋体" w:hAnsi="宋体" w:cs="宋体"/>
          <w:color w:val="auto"/>
          <w:kern w:val="0"/>
          <w:szCs w:val="20"/>
          <w:highlight w:val="none"/>
        </w:rPr>
        <w:t>月</w:t>
      </w:r>
      <w:r>
        <w:rPr>
          <w:rFonts w:hint="eastAsia" w:ascii="宋体" w:hAnsi="宋体" w:cs="宋体"/>
          <w:color w:val="auto"/>
          <w:kern w:val="0"/>
          <w:szCs w:val="20"/>
          <w:highlight w:val="none"/>
          <w:u w:val="single"/>
        </w:rPr>
        <w:t>　　</w:t>
      </w:r>
      <w:r>
        <w:rPr>
          <w:rFonts w:hint="eastAsia" w:ascii="宋体" w:hAnsi="宋体" w:cs="宋体"/>
          <w:color w:val="auto"/>
          <w:kern w:val="0"/>
          <w:szCs w:val="20"/>
          <w:highlight w:val="none"/>
        </w:rPr>
        <w:t>日发布</w:t>
      </w:r>
      <w:r>
        <w:rPr>
          <w:rFonts w:hint="eastAsia" w:ascii="宋体" w:hAnsi="宋体" w:cs="宋体"/>
          <w:color w:val="auto"/>
          <w:kern w:val="28"/>
          <w:szCs w:val="20"/>
          <w:highlight w:val="none"/>
          <w:u w:val="single"/>
        </w:rPr>
        <w:t>XXXXXXXXXXXXXXXXXXXXXXXXXXXX</w:t>
      </w:r>
      <w:r>
        <w:rPr>
          <w:rFonts w:hint="eastAsia" w:ascii="宋体" w:hAnsi="宋体" w:cs="宋体"/>
          <w:color w:val="auto"/>
          <w:kern w:val="0"/>
          <w:szCs w:val="20"/>
          <w:highlight w:val="none"/>
        </w:rPr>
        <w:t>项目（项目编号：　　　）的公开招标公告，本公司（企业）愿意参加投标，并声明：</w:t>
      </w:r>
    </w:p>
    <w:p>
      <w:pPr>
        <w:widowControl/>
        <w:snapToGrid w:val="0"/>
        <w:spacing w:line="360" w:lineRule="auto"/>
        <w:ind w:firstLine="424" w:firstLineChars="202"/>
        <w:jc w:val="left"/>
        <w:rPr>
          <w:rFonts w:ascii="宋体" w:hAnsi="宋体" w:cs="宋体"/>
          <w:color w:val="auto"/>
          <w:kern w:val="0"/>
          <w:szCs w:val="20"/>
          <w:highlight w:val="none"/>
        </w:rPr>
      </w:pPr>
      <w:r>
        <w:rPr>
          <w:rFonts w:hint="eastAsia" w:ascii="宋体" w:hAnsi="宋体" w:cs="宋体"/>
          <w:color w:val="auto"/>
          <w:kern w:val="0"/>
          <w:szCs w:val="20"/>
          <w:highlight w:val="none"/>
        </w:rPr>
        <w:t>本公司（企业）具备</w:t>
      </w:r>
      <w:r>
        <w:rPr>
          <w:rFonts w:hint="eastAsia" w:ascii="宋体" w:hAnsi="宋体" w:cs="宋体"/>
          <w:bCs/>
          <w:color w:val="auto"/>
          <w:kern w:val="0"/>
          <w:szCs w:val="21"/>
          <w:highlight w:val="none"/>
        </w:rPr>
        <w:t>《中华人民共和国政府采购法》第二十二条资格条件：1、具有独立承担民事责任的能力；2、具有良好的商业信誉和健全的</w:t>
      </w:r>
      <w:r>
        <w:rPr>
          <w:color w:val="auto"/>
          <w:highlight w:val="none"/>
        </w:rPr>
        <w:fldChar w:fldCharType="begin"/>
      </w:r>
      <w:r>
        <w:rPr>
          <w:color w:val="auto"/>
          <w:highlight w:val="none"/>
        </w:rPr>
        <w:instrText xml:space="preserve"> HYPERLINK "http://www.so.com/s?q=%E8%B4%A2%E5%8A%A1%E4%BC%9A%E8%AE%A1%E5%88%B6%E5%BA%A6&amp;ie=utf-8&amp;src=internal_wenda_recommend_textn" \t "https://wenda.so.com/q/_blank" </w:instrText>
      </w:r>
      <w:r>
        <w:rPr>
          <w:color w:val="auto"/>
          <w:highlight w:val="none"/>
        </w:rPr>
        <w:fldChar w:fldCharType="separate"/>
      </w:r>
      <w:r>
        <w:rPr>
          <w:rStyle w:val="30"/>
          <w:rFonts w:hint="eastAsia" w:ascii="宋体" w:hAnsi="宋体" w:cs="宋体"/>
          <w:bCs/>
          <w:color w:val="auto"/>
          <w:kern w:val="0"/>
          <w:szCs w:val="21"/>
          <w:highlight w:val="none"/>
        </w:rPr>
        <w:t>财务会计制度</w:t>
      </w:r>
      <w:r>
        <w:rPr>
          <w:rStyle w:val="30"/>
          <w:rFonts w:hint="eastAsia" w:ascii="宋体" w:hAnsi="宋体" w:cs="宋体"/>
          <w:bCs/>
          <w:color w:val="auto"/>
          <w:kern w:val="0"/>
          <w:szCs w:val="21"/>
          <w:highlight w:val="none"/>
        </w:rPr>
        <w:fldChar w:fldCharType="end"/>
      </w:r>
      <w:r>
        <w:rPr>
          <w:rFonts w:hint="eastAsia" w:ascii="宋体" w:hAnsi="宋体" w:cs="宋体"/>
          <w:bCs/>
          <w:color w:val="auto"/>
          <w:kern w:val="0"/>
          <w:szCs w:val="21"/>
          <w:highlight w:val="none"/>
        </w:rPr>
        <w:t>；3、具有履行合同所必需的设备和专业技术能力；4、有依法缴纳税收和</w:t>
      </w:r>
      <w:r>
        <w:rPr>
          <w:color w:val="auto"/>
          <w:highlight w:val="none"/>
        </w:rPr>
        <w:fldChar w:fldCharType="begin"/>
      </w:r>
      <w:r>
        <w:rPr>
          <w:color w:val="auto"/>
          <w:highlight w:val="none"/>
        </w:rPr>
        <w:instrText xml:space="preserve"> HYPERLINK "http://www.so.com/s?q=%E7%A4%BE%E4%BC%9A%E4%BF%9D%E9%9A%9C%E8%B5%84%E9%87%91&amp;ie=utf-8&amp;src=internal_wenda_recommend_textn" \t "https://wenda.so.com/q/_blank" </w:instrText>
      </w:r>
      <w:r>
        <w:rPr>
          <w:color w:val="auto"/>
          <w:highlight w:val="none"/>
        </w:rPr>
        <w:fldChar w:fldCharType="separate"/>
      </w:r>
      <w:r>
        <w:rPr>
          <w:rStyle w:val="30"/>
          <w:rFonts w:hint="eastAsia" w:ascii="宋体" w:hAnsi="宋体" w:cs="宋体"/>
          <w:bCs/>
          <w:color w:val="auto"/>
          <w:kern w:val="0"/>
          <w:szCs w:val="21"/>
          <w:highlight w:val="none"/>
        </w:rPr>
        <w:t>社会保障资金</w:t>
      </w:r>
      <w:r>
        <w:rPr>
          <w:rStyle w:val="30"/>
          <w:rFonts w:hint="eastAsia" w:ascii="宋体" w:hAnsi="宋体" w:cs="宋体"/>
          <w:bCs/>
          <w:color w:val="auto"/>
          <w:kern w:val="0"/>
          <w:szCs w:val="21"/>
          <w:highlight w:val="none"/>
        </w:rPr>
        <w:fldChar w:fldCharType="end"/>
      </w:r>
      <w:r>
        <w:rPr>
          <w:rFonts w:hint="eastAsia" w:ascii="宋体" w:hAnsi="宋体" w:cs="宋体"/>
          <w:bCs/>
          <w:color w:val="auto"/>
          <w:kern w:val="0"/>
          <w:szCs w:val="21"/>
          <w:highlight w:val="none"/>
        </w:rPr>
        <w:t>的良好记录；5、参加政府采购活动前三年内，在经营活动中没有重大违法记录；6、法律、行政法规规定的其他条件；</w:t>
      </w:r>
      <w:r>
        <w:rPr>
          <w:rFonts w:hint="eastAsia" w:ascii="宋体" w:hAnsi="宋体" w:cs="宋体"/>
          <w:color w:val="auto"/>
          <w:kern w:val="0"/>
          <w:szCs w:val="20"/>
          <w:highlight w:val="none"/>
        </w:rPr>
        <w:t>并已清楚招标文件的要求及有关文件规定。</w:t>
      </w:r>
    </w:p>
    <w:p>
      <w:pPr>
        <w:widowControl/>
        <w:spacing w:line="360" w:lineRule="auto"/>
        <w:ind w:firstLine="630" w:firstLineChars="300"/>
        <w:jc w:val="left"/>
        <w:rPr>
          <w:rFonts w:ascii="宋体" w:hAnsi="宋体" w:cs="宋体"/>
          <w:color w:val="auto"/>
          <w:kern w:val="0"/>
          <w:szCs w:val="21"/>
          <w:highlight w:val="none"/>
        </w:rPr>
      </w:pPr>
      <w:r>
        <w:rPr>
          <w:rFonts w:hint="eastAsia" w:ascii="宋体" w:hAnsi="宋体" w:cs="宋体"/>
          <w:color w:val="auto"/>
          <w:kern w:val="0"/>
          <w:szCs w:val="20"/>
          <w:highlight w:val="none"/>
        </w:rPr>
        <w:t>本公司（企业）的法定代表人或单位负责人与所参投的本采购项目的其他供应商的法定代表人或单位负责人不为同一人且与其他供应商之间不存在直接控股、管理关系。</w:t>
      </w:r>
    </w:p>
    <w:p>
      <w:pPr>
        <w:widowControl/>
        <w:snapToGrid w:val="0"/>
        <w:spacing w:line="380" w:lineRule="exact"/>
        <w:ind w:firstLine="420" w:firstLineChars="200"/>
        <w:jc w:val="left"/>
        <w:rPr>
          <w:rFonts w:ascii="宋体" w:hAnsi="宋体" w:cs="宋体"/>
          <w:color w:val="auto"/>
          <w:kern w:val="0"/>
          <w:szCs w:val="20"/>
          <w:highlight w:val="none"/>
        </w:rPr>
      </w:pPr>
      <w:r>
        <w:rPr>
          <w:rFonts w:hint="eastAsia" w:ascii="宋体" w:hAnsi="宋体" w:cs="宋体"/>
          <w:color w:val="auto"/>
          <w:kern w:val="0"/>
          <w:szCs w:val="20"/>
          <w:highlight w:val="none"/>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widowControl/>
        <w:snapToGrid w:val="0"/>
        <w:spacing w:line="360" w:lineRule="auto"/>
        <w:ind w:firstLine="426" w:firstLineChars="202"/>
        <w:jc w:val="left"/>
        <w:rPr>
          <w:rFonts w:ascii="宋体" w:hAnsi="宋体" w:cs="宋体"/>
          <w:color w:val="auto"/>
          <w:kern w:val="0"/>
          <w:szCs w:val="20"/>
          <w:highlight w:val="none"/>
        </w:rPr>
      </w:pPr>
      <w:r>
        <w:rPr>
          <w:rFonts w:hint="eastAsia" w:ascii="宋体" w:hAnsi="宋体" w:cs="宋体"/>
          <w:b/>
          <w:color w:val="auto"/>
          <w:kern w:val="0"/>
          <w:szCs w:val="20"/>
          <w:highlight w:val="none"/>
        </w:rPr>
        <w:t>本公司（企业）具有履行合同所必需的设备和专业技术能力，且本公司（企业）参加政府采购活动前3年内在经营活动中没有重大违法记录。</w:t>
      </w:r>
      <w:r>
        <w:rPr>
          <w:rFonts w:hint="eastAsia" w:ascii="宋体" w:hAnsi="宋体" w:cs="宋体"/>
          <w:color w:val="auto"/>
          <w:kern w:val="0"/>
          <w:szCs w:val="20"/>
          <w:highlight w:val="none"/>
        </w:rPr>
        <w:t>否则，由此所造成的损失、不良后果及法律责任，一律由我公司（企业）承担。</w:t>
      </w:r>
    </w:p>
    <w:p>
      <w:pPr>
        <w:widowControl/>
        <w:snapToGrid w:val="0"/>
        <w:spacing w:line="360" w:lineRule="auto"/>
        <w:ind w:firstLine="426" w:firstLineChars="202"/>
        <w:jc w:val="left"/>
        <w:rPr>
          <w:rFonts w:ascii="宋体" w:hAnsi="宋体" w:cs="宋体"/>
          <w:b/>
          <w:bCs/>
          <w:color w:val="auto"/>
          <w:kern w:val="0"/>
          <w:szCs w:val="20"/>
          <w:highlight w:val="none"/>
        </w:rPr>
      </w:pPr>
      <w:r>
        <w:rPr>
          <w:rFonts w:hint="eastAsia" w:ascii="宋体" w:hAnsi="宋体"/>
          <w:b/>
          <w:bCs/>
          <w:color w:val="auto"/>
          <w:kern w:val="0"/>
          <w:szCs w:val="20"/>
          <w:highlight w:val="none"/>
        </w:rPr>
        <w:t>本公司（企业）</w:t>
      </w:r>
      <w:r>
        <w:rPr>
          <w:rFonts w:hint="eastAsia" w:ascii="宋体" w:hAnsi="宋体"/>
          <w:b/>
          <w:bCs/>
          <w:color w:val="auto"/>
          <w:kern w:val="0"/>
          <w:szCs w:val="21"/>
          <w:highlight w:val="none"/>
        </w:rPr>
        <w:t>未被列入“信用中国”网站(www.creditchina.gov.cn)“失信被执行人或重大税收违法案件当事人名单或政府采购严重违法失信行为”记录名单；不处于中国政府采购网(www.ccgp.gov.cn)“政府采购严重违法失信行为信息记录”</w:t>
      </w:r>
      <w:r>
        <w:rPr>
          <w:rFonts w:hint="eastAsia" w:ascii="宋体" w:hAnsi="宋体" w:cs="宋体"/>
          <w:b/>
          <w:bCs/>
          <w:color w:val="auto"/>
          <w:kern w:val="0"/>
          <w:szCs w:val="22"/>
          <w:highlight w:val="none"/>
        </w:rPr>
        <w:t>中的禁止参加政府采购活</w:t>
      </w:r>
      <w:r>
        <w:rPr>
          <w:rFonts w:hint="eastAsia" w:ascii="宋体" w:hAnsi="宋体" w:cs="宋体"/>
          <w:b/>
          <w:bCs/>
          <w:color w:val="auto"/>
          <w:kern w:val="0"/>
          <w:szCs w:val="20"/>
          <w:highlight w:val="none"/>
        </w:rPr>
        <w:t>动期间。否则，由此所造成的损失、不良后果及法律责任，一律由我公司（企业）承担。</w:t>
      </w:r>
    </w:p>
    <w:p>
      <w:pPr>
        <w:widowControl/>
        <w:snapToGrid w:val="0"/>
        <w:spacing w:line="360" w:lineRule="auto"/>
        <w:ind w:firstLine="424" w:firstLineChars="202"/>
        <w:jc w:val="left"/>
        <w:rPr>
          <w:rFonts w:ascii="宋体" w:hAnsi="宋体" w:cs="宋体"/>
          <w:color w:val="auto"/>
          <w:kern w:val="0"/>
          <w:szCs w:val="20"/>
          <w:highlight w:val="none"/>
        </w:rPr>
      </w:pPr>
      <w:r>
        <w:rPr>
          <w:rFonts w:hint="eastAsia" w:ascii="宋体" w:hAnsi="宋体" w:cs="宋体"/>
          <w:color w:val="auto"/>
          <w:kern w:val="0"/>
          <w:szCs w:val="20"/>
          <w:highlight w:val="none"/>
        </w:rPr>
        <w:t>本次招标采购活动中，如有违法、违规、弄虚作假行为，所造成的损失、不良后果及法律责任，一律由我公司（企业）承担。</w:t>
      </w:r>
    </w:p>
    <w:p>
      <w:pPr>
        <w:widowControl/>
        <w:spacing w:line="360" w:lineRule="auto"/>
        <w:ind w:firstLine="420"/>
        <w:jc w:val="left"/>
        <w:rPr>
          <w:rFonts w:ascii="宋体" w:hAnsi="宋体" w:cs="宋体"/>
          <w:b/>
          <w:color w:val="auto"/>
          <w:kern w:val="0"/>
          <w:szCs w:val="20"/>
          <w:highlight w:val="none"/>
        </w:rPr>
      </w:pPr>
      <w:r>
        <w:rPr>
          <w:rFonts w:hint="eastAsia" w:ascii="宋体" w:hAnsi="宋体" w:cs="宋体"/>
          <w:b/>
          <w:color w:val="auto"/>
          <w:kern w:val="0"/>
          <w:szCs w:val="20"/>
          <w:highlight w:val="none"/>
        </w:rPr>
        <w:t>特此声明！</w:t>
      </w:r>
    </w:p>
    <w:p>
      <w:pPr>
        <w:widowControl/>
        <w:adjustRightInd w:val="0"/>
        <w:snapToGrid w:val="0"/>
        <w:spacing w:line="360" w:lineRule="auto"/>
        <w:ind w:left="425"/>
        <w:jc w:val="left"/>
        <w:rPr>
          <w:rFonts w:ascii="宋体" w:hAnsi="宋体" w:cs="宋体"/>
          <w:color w:val="auto"/>
          <w:spacing w:val="4"/>
          <w:kern w:val="0"/>
          <w:szCs w:val="20"/>
          <w:highlight w:val="none"/>
        </w:rPr>
      </w:pPr>
    </w:p>
    <w:p>
      <w:pPr>
        <w:widowControl/>
        <w:spacing w:line="360" w:lineRule="auto"/>
        <w:ind w:right="420" w:firstLine="3150" w:firstLineChars="1500"/>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法定代表人或授权代表（签名或盖章）：     </w:t>
      </w:r>
    </w:p>
    <w:p>
      <w:pPr>
        <w:widowControl/>
        <w:spacing w:line="360" w:lineRule="auto"/>
        <w:ind w:right="420" w:firstLine="3150" w:firstLineChars="1500"/>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供应商公章：                               </w:t>
      </w:r>
    </w:p>
    <w:p>
      <w:pPr>
        <w:widowControl/>
        <w:spacing w:line="360" w:lineRule="auto"/>
        <w:ind w:right="420" w:firstLine="3045" w:firstLineChars="1450"/>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jc w:val="left"/>
        <w:rPr>
          <w:rFonts w:ascii="宋体" w:hAnsi="宋体" w:cs="宋体"/>
          <w:color w:val="auto"/>
          <w:kern w:val="0"/>
          <w:szCs w:val="20"/>
          <w:highlight w:val="none"/>
        </w:rPr>
      </w:pPr>
      <w:r>
        <w:rPr>
          <w:rFonts w:hint="eastAsia" w:ascii="宋体" w:hAnsi="宋体" w:cs="宋体"/>
          <w:b/>
          <w:color w:val="auto"/>
          <w:kern w:val="0"/>
          <w:szCs w:val="20"/>
          <w:highlight w:val="none"/>
        </w:rPr>
        <w:br w:type="page"/>
      </w:r>
      <w:r>
        <w:rPr>
          <w:rFonts w:hint="eastAsia" w:ascii="宋体" w:hAnsi="宋体" w:cs="宋体"/>
          <w:b/>
          <w:color w:val="auto"/>
          <w:kern w:val="0"/>
          <w:szCs w:val="20"/>
          <w:highlight w:val="none"/>
        </w:rPr>
        <w:t>5.</w:t>
      </w:r>
      <w:r>
        <w:rPr>
          <w:rFonts w:hint="eastAsia" w:ascii="宋体" w:hAnsi="宋体" w:cs="宋体"/>
          <w:color w:val="auto"/>
          <w:kern w:val="0"/>
          <w:szCs w:val="20"/>
          <w:highlight w:val="none"/>
        </w:rPr>
        <w:t>有效的企业法人营业执照（或事业法人登记证）、其他组织（个体工商户）的营业执照或者民办非企业单位登记证书复印件；</w:t>
      </w:r>
      <w:r>
        <w:rPr>
          <w:rFonts w:hint="eastAsia" w:ascii="宋体" w:hAnsi="宋体" w:cs="宋体"/>
          <w:color w:val="auto"/>
          <w:kern w:val="0"/>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kern w:val="0"/>
          <w:szCs w:val="20"/>
          <w:highlight w:val="none"/>
        </w:rPr>
        <w:t>；</w:t>
      </w:r>
    </w:p>
    <w:p>
      <w:pPr>
        <w:widowControl/>
        <w:spacing w:line="360" w:lineRule="auto"/>
        <w:ind w:firstLine="420" w:firstLineChars="200"/>
        <w:jc w:val="left"/>
        <w:rPr>
          <w:rFonts w:ascii="宋体" w:hAnsi="宋体" w:cs="宋体"/>
          <w:color w:val="auto"/>
          <w:kern w:val="0"/>
          <w:szCs w:val="20"/>
          <w:highlight w:val="none"/>
        </w:rPr>
      </w:pPr>
    </w:p>
    <w:p>
      <w:pPr>
        <w:widowControl/>
        <w:spacing w:line="360" w:lineRule="auto"/>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spacing w:line="480" w:lineRule="exact"/>
        <w:rPr>
          <w:rFonts w:ascii="宋体" w:hAnsi="宋体" w:cs="宋体"/>
          <w:b/>
          <w:bCs/>
          <w:color w:val="auto"/>
          <w:kern w:val="0"/>
          <w:szCs w:val="21"/>
          <w:highlight w:val="none"/>
        </w:rPr>
      </w:pPr>
      <w:r>
        <w:rPr>
          <w:rFonts w:hint="eastAsia" w:ascii="宋体" w:hAnsi="宋体" w:cs="宋体"/>
          <w:color w:val="auto"/>
          <w:kern w:val="0"/>
          <w:szCs w:val="20"/>
          <w:highlight w:val="none"/>
        </w:rPr>
        <w:br w:type="page"/>
      </w:r>
      <w:r>
        <w:rPr>
          <w:rFonts w:hint="eastAsia" w:ascii="宋体" w:hAnsi="宋体" w:cs="宋体"/>
          <w:color w:val="auto"/>
          <w:kern w:val="0"/>
          <w:szCs w:val="20"/>
          <w:highlight w:val="none"/>
        </w:rPr>
        <w:t>6</w:t>
      </w:r>
      <w:r>
        <w:rPr>
          <w:rFonts w:hint="eastAsia" w:ascii="宋体" w:hAnsi="宋体" w:cs="宋体"/>
          <w:b/>
          <w:bCs/>
          <w:color w:val="auto"/>
          <w:kern w:val="0"/>
          <w:szCs w:val="21"/>
          <w:highlight w:val="none"/>
        </w:rPr>
        <w:t>.</w:t>
      </w:r>
      <w:r>
        <w:rPr>
          <w:rFonts w:hint="eastAsia" w:ascii="Times New Roman" w:hAnsi="Times New Roman"/>
          <w:b/>
          <w:color w:val="auto"/>
          <w:kern w:val="0"/>
          <w:szCs w:val="20"/>
          <w:highlight w:val="none"/>
        </w:rPr>
        <w:t>供应商的特定条件的证明文件：</w:t>
      </w:r>
      <w:r>
        <w:rPr>
          <w:rFonts w:hint="eastAsia" w:ascii="宋体" w:hAnsi="宋体" w:cs="宋体"/>
          <w:color w:val="auto"/>
          <w:kern w:val="0"/>
          <w:szCs w:val="20"/>
          <w:highlight w:val="none"/>
        </w:rPr>
        <w:t>详见“第一章  公开招标公告 二、申请人的资格要求：3.本项目的特定资格要求”</w:t>
      </w:r>
      <w:r>
        <w:rPr>
          <w:rFonts w:hint="eastAsia" w:ascii="宋体" w:hAnsi="宋体" w:cs="宋体"/>
          <w:color w:val="auto"/>
          <w:kern w:val="0"/>
          <w:szCs w:val="21"/>
          <w:highlight w:val="none"/>
        </w:rPr>
        <w:t>；</w:t>
      </w:r>
    </w:p>
    <w:p>
      <w:pPr>
        <w:widowControl/>
        <w:snapToGrid w:val="0"/>
        <w:spacing w:before="50" w:afterLines="50"/>
        <w:jc w:val="left"/>
        <w:rPr>
          <w:rFonts w:ascii="宋体" w:hAnsi="宋体" w:cs="宋体"/>
          <w:b/>
          <w:color w:val="auto"/>
          <w:kern w:val="0"/>
          <w:sz w:val="24"/>
          <w:szCs w:val="20"/>
          <w:highlight w:val="none"/>
        </w:rPr>
      </w:pPr>
    </w:p>
    <w:p>
      <w:pPr>
        <w:widowControl/>
        <w:spacing w:line="400" w:lineRule="exact"/>
        <w:jc w:val="left"/>
        <w:rPr>
          <w:rFonts w:ascii="宋体" w:hAnsi="宋体" w:cs="宋体"/>
          <w:b/>
          <w:color w:val="auto"/>
          <w:kern w:val="0"/>
          <w:szCs w:val="20"/>
          <w:highlight w:val="none"/>
        </w:rPr>
      </w:pPr>
    </w:p>
    <w:p>
      <w:pPr>
        <w:widowControl/>
        <w:spacing w:line="400" w:lineRule="exact"/>
        <w:jc w:val="left"/>
        <w:rPr>
          <w:rFonts w:ascii="宋体" w:hAnsi="宋体" w:cs="宋体"/>
          <w:b/>
          <w:color w:val="auto"/>
          <w:kern w:val="0"/>
          <w:szCs w:val="20"/>
          <w:highlight w:val="none"/>
        </w:rPr>
      </w:pPr>
    </w:p>
    <w:p>
      <w:pPr>
        <w:widowControl/>
        <w:spacing w:line="400" w:lineRule="exact"/>
        <w:jc w:val="left"/>
        <w:rPr>
          <w:rFonts w:ascii="宋体" w:hAnsi="宋体" w:cs="宋体"/>
          <w:b/>
          <w:color w:val="auto"/>
          <w:kern w:val="0"/>
          <w:szCs w:val="20"/>
          <w:highlight w:val="none"/>
        </w:rPr>
      </w:pPr>
    </w:p>
    <w:p>
      <w:pPr>
        <w:widowControl/>
        <w:spacing w:line="400" w:lineRule="exact"/>
        <w:jc w:val="left"/>
        <w:rPr>
          <w:rFonts w:ascii="宋体" w:hAnsi="宋体" w:cs="宋体"/>
          <w:b/>
          <w:color w:val="auto"/>
          <w:kern w:val="0"/>
          <w:szCs w:val="20"/>
          <w:highlight w:val="none"/>
        </w:rPr>
      </w:pPr>
    </w:p>
    <w:p>
      <w:pPr>
        <w:widowControl/>
        <w:spacing w:line="400" w:lineRule="exact"/>
        <w:jc w:val="left"/>
        <w:rPr>
          <w:rFonts w:ascii="宋体" w:hAnsi="宋体" w:cs="宋体"/>
          <w:b/>
          <w:color w:val="auto"/>
          <w:kern w:val="0"/>
          <w:szCs w:val="20"/>
          <w:highlight w:val="none"/>
        </w:rPr>
      </w:pPr>
    </w:p>
    <w:p>
      <w:pPr>
        <w:widowControl/>
        <w:spacing w:line="500" w:lineRule="exact"/>
        <w:jc w:val="left"/>
        <w:rPr>
          <w:rFonts w:ascii="宋体" w:hAnsi="宋体" w:cs="宋体"/>
          <w:color w:val="auto"/>
          <w:kern w:val="0"/>
          <w:szCs w:val="20"/>
          <w:highlight w:val="none"/>
        </w:rPr>
      </w:pPr>
      <w:r>
        <w:rPr>
          <w:rFonts w:hint="eastAsia" w:ascii="宋体" w:hAnsi="宋体" w:cs="宋体"/>
          <w:b/>
          <w:color w:val="auto"/>
          <w:kern w:val="0"/>
          <w:szCs w:val="20"/>
          <w:highlight w:val="none"/>
        </w:rPr>
        <w:t>7.招标文件要求的其他资格条件证明材料（如有）；</w:t>
      </w:r>
    </w:p>
    <w:p>
      <w:pPr>
        <w:widowControl/>
        <w:spacing w:line="500" w:lineRule="exact"/>
        <w:jc w:val="left"/>
        <w:rPr>
          <w:rFonts w:ascii="宋体" w:hAnsi="宋体" w:cs="宋体"/>
          <w:color w:val="auto"/>
          <w:kern w:val="0"/>
          <w:szCs w:val="20"/>
          <w:highlight w:val="none"/>
        </w:rPr>
      </w:pPr>
    </w:p>
    <w:p>
      <w:pPr>
        <w:widowControl/>
        <w:spacing w:line="500" w:lineRule="exact"/>
        <w:ind w:firstLine="420" w:firstLineChars="200"/>
        <w:jc w:val="left"/>
        <w:rPr>
          <w:rFonts w:ascii="宋体" w:hAnsi="宋体" w:cs="宋体"/>
          <w:color w:val="auto"/>
          <w:kern w:val="0"/>
          <w:szCs w:val="20"/>
          <w:highlight w:val="none"/>
        </w:rPr>
      </w:pP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0"/>
          <w:highlight w:val="none"/>
        </w:rPr>
        <w:br w:type="page"/>
      </w:r>
      <w:r>
        <w:rPr>
          <w:rFonts w:hint="eastAsia" w:ascii="宋体" w:hAnsi="宋体" w:cs="宋体"/>
          <w:color w:val="auto"/>
          <w:kern w:val="0"/>
          <w:szCs w:val="21"/>
          <w:highlight w:val="none"/>
        </w:rPr>
        <w:t>8.</w:t>
      </w:r>
      <w:r>
        <w:rPr>
          <w:rFonts w:hint="eastAsia" w:ascii="宋体" w:hAnsi="宋体" w:cs="宋体"/>
          <w:b/>
          <w:bCs/>
          <w:color w:val="auto"/>
          <w:kern w:val="0"/>
          <w:szCs w:val="21"/>
          <w:highlight w:val="none"/>
        </w:rPr>
        <w:t xml:space="preserve"> 商务技术文件目录</w:t>
      </w:r>
    </w:p>
    <w:p>
      <w:pPr>
        <w:widowControl/>
        <w:numPr>
          <w:ilvl w:val="0"/>
          <w:numId w:val="1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符合性自查表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供应商响应表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技术部分：针对本项目第二章采购需求及第四章评分标准中的条款拟定各种方案，格式自拟；</w:t>
      </w:r>
    </w:p>
    <w:p>
      <w:pPr>
        <w:widowControl/>
        <w:numPr>
          <w:ilvl w:val="0"/>
          <w:numId w:val="1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投标函</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法定代表人身份证明或法定代表人授权委托书</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技术（服务）条款偏离表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r>
        <w:rPr>
          <w:rFonts w:hint="eastAsia" w:ascii="宋体" w:hAnsi="宋体" w:cs="宋体"/>
          <w:color w:val="auto"/>
          <w:kern w:val="0"/>
          <w:szCs w:val="21"/>
          <w:highlight w:val="none"/>
        </w:rPr>
        <w:tab/>
      </w:r>
    </w:p>
    <w:p>
      <w:pPr>
        <w:widowControl/>
        <w:numPr>
          <w:ilvl w:val="0"/>
          <w:numId w:val="1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商务条款偏离表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供应商情况一览表</w:t>
      </w:r>
      <w:r>
        <w:rPr>
          <w:rFonts w:hint="eastAsia" w:ascii="宋体" w:hAnsi="宋体" w:cs="宋体"/>
          <w:color w:val="auto"/>
          <w:kern w:val="0"/>
          <w:szCs w:val="20"/>
          <w:highlight w:val="none"/>
        </w:rPr>
        <w:t>（格式见附件）</w:t>
      </w:r>
      <w:r>
        <w:rPr>
          <w:rFonts w:hint="eastAsia" w:ascii="宋体" w:hAnsi="宋体" w:cs="宋体"/>
          <w:color w:val="auto"/>
          <w:kern w:val="0"/>
          <w:szCs w:val="21"/>
          <w:highlight w:val="none"/>
        </w:rPr>
        <w:t>；</w:t>
      </w:r>
    </w:p>
    <w:p>
      <w:pPr>
        <w:widowControl/>
        <w:numPr>
          <w:ilvl w:val="0"/>
          <w:numId w:val="16"/>
        </w:numPr>
        <w:snapToGrid w:val="0"/>
        <w:spacing w:line="360" w:lineRule="auto"/>
        <w:ind w:left="210" w:leftChars="100"/>
        <w:jc w:val="left"/>
        <w:rPr>
          <w:rFonts w:ascii="宋体" w:hAnsi="宋体" w:cs="宋体"/>
          <w:color w:val="auto"/>
          <w:kern w:val="0"/>
          <w:szCs w:val="21"/>
          <w:highlight w:val="none"/>
        </w:rPr>
      </w:pPr>
      <w:r>
        <w:rPr>
          <w:rFonts w:hint="eastAsia" w:ascii="宋体" w:hAnsi="宋体" w:cs="宋体"/>
          <w:color w:val="auto"/>
          <w:kern w:val="0"/>
          <w:szCs w:val="21"/>
          <w:highlight w:val="none"/>
        </w:rPr>
        <w:t>第四章评标办法及评分标准中需提供的其他相关资质证书及合同复印件加盖公章；</w:t>
      </w:r>
    </w:p>
    <w:p>
      <w:pPr>
        <w:widowControl/>
        <w:numPr>
          <w:ilvl w:val="0"/>
          <w:numId w:val="16"/>
        </w:numPr>
        <w:snapToGrid w:val="0"/>
        <w:spacing w:line="360" w:lineRule="auto"/>
        <w:ind w:left="210" w:leftChars="100"/>
        <w:jc w:val="left"/>
        <w:rPr>
          <w:rFonts w:ascii="宋体" w:hAnsi="宋体" w:cs="宋体"/>
          <w:color w:val="auto"/>
          <w:kern w:val="0"/>
          <w:szCs w:val="20"/>
          <w:highlight w:val="none"/>
        </w:rPr>
      </w:pPr>
      <w:r>
        <w:rPr>
          <w:rFonts w:hint="eastAsia" w:ascii="宋体" w:hAnsi="宋体" w:cs="宋体"/>
          <w:color w:val="auto"/>
          <w:kern w:val="0"/>
          <w:szCs w:val="21"/>
          <w:highlight w:val="none"/>
        </w:rPr>
        <w:t>供应商认为有需要提供的其它证明资料。</w:t>
      </w:r>
    </w:p>
    <w:p>
      <w:pPr>
        <w:widowControl/>
        <w:ind w:firstLine="105" w:firstLineChars="50"/>
        <w:jc w:val="left"/>
        <w:rPr>
          <w:rFonts w:ascii="宋体" w:hAnsi="宋体" w:cs="宋体"/>
          <w:b/>
          <w:color w:val="auto"/>
          <w:kern w:val="0"/>
          <w:szCs w:val="20"/>
          <w:highlight w:val="none"/>
        </w:rPr>
      </w:pPr>
      <w:r>
        <w:rPr>
          <w:rFonts w:hint="eastAsia" w:ascii="宋体" w:hAnsi="宋体" w:cs="宋体"/>
          <w:b/>
          <w:bCs/>
          <w:color w:val="auto"/>
          <w:kern w:val="0"/>
          <w:szCs w:val="21"/>
          <w:highlight w:val="none"/>
        </w:rPr>
        <w:br w:type="page"/>
      </w:r>
      <w:r>
        <w:rPr>
          <w:rFonts w:hint="eastAsia" w:ascii="宋体" w:hAnsi="宋体" w:cs="宋体"/>
          <w:b/>
          <w:bCs/>
          <w:color w:val="auto"/>
          <w:kern w:val="0"/>
          <w:szCs w:val="21"/>
          <w:highlight w:val="none"/>
        </w:rPr>
        <w:t>9.符合性自查表</w:t>
      </w:r>
    </w:p>
    <w:p>
      <w:pPr>
        <w:widowControl/>
        <w:adjustRightInd w:val="0"/>
        <w:snapToGrid w:val="0"/>
        <w:jc w:val="center"/>
        <w:rPr>
          <w:rFonts w:ascii="宋体" w:hAnsi="宋体" w:cs="宋体"/>
          <w:b/>
          <w:color w:val="auto"/>
          <w:kern w:val="0"/>
          <w:sz w:val="24"/>
          <w:szCs w:val="20"/>
          <w:highlight w:val="none"/>
        </w:rPr>
      </w:pPr>
    </w:p>
    <w:p>
      <w:pPr>
        <w:widowControl/>
        <w:snapToGrid w:val="0"/>
        <w:spacing w:beforeLines="50" w:after="50"/>
        <w:jc w:val="center"/>
        <w:rPr>
          <w:rFonts w:ascii="宋体" w:hAnsi="宋体" w:cs="宋体"/>
          <w:b/>
          <w:color w:val="auto"/>
          <w:kern w:val="0"/>
          <w:szCs w:val="21"/>
          <w:highlight w:val="none"/>
        </w:rPr>
      </w:pPr>
      <w:r>
        <w:rPr>
          <w:rFonts w:hint="eastAsia" w:ascii="宋体" w:hAnsi="宋体" w:cs="宋体"/>
          <w:b/>
          <w:color w:val="auto"/>
          <w:kern w:val="0"/>
          <w:szCs w:val="21"/>
          <w:highlight w:val="none"/>
        </w:rPr>
        <w:t>符合性自查表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4313"/>
        <w:gridCol w:w="126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评审内容</w:t>
            </w:r>
          </w:p>
        </w:tc>
        <w:tc>
          <w:tcPr>
            <w:tcW w:w="43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自查结论</w:t>
            </w:r>
          </w:p>
        </w:tc>
        <w:tc>
          <w:tcPr>
            <w:tcW w:w="1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符合性审</w:t>
            </w:r>
          </w:p>
          <w:p>
            <w:pPr>
              <w:rPr>
                <w:rFonts w:ascii="宋体" w:hAnsi="宋体" w:cs="宋体"/>
                <w:color w:val="auto"/>
                <w:highlight w:val="none"/>
              </w:rPr>
            </w:pPr>
            <w:r>
              <w:rPr>
                <w:rFonts w:hint="eastAsia" w:ascii="宋体" w:hAnsi="宋体" w:cs="宋体"/>
                <w:color w:val="auto"/>
                <w:highlight w:val="none"/>
              </w:rPr>
              <w:t>查（商务技术文件）</w:t>
            </w: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（一）</w:t>
            </w:r>
            <w:r>
              <w:rPr>
                <w:rFonts w:hint="eastAsia" w:ascii="宋体" w:hAnsi="宋体" w:cs="宋体"/>
                <w:color w:val="auto"/>
                <w:highlight w:val="none"/>
              </w:rPr>
              <w:t>投标函已提交并符合招标文件要求；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（二）</w:t>
            </w:r>
            <w:r>
              <w:rPr>
                <w:rFonts w:hint="eastAsia" w:ascii="宋体" w:hAnsi="宋体" w:cs="宋体"/>
                <w:color w:val="auto"/>
                <w:highlight w:val="none"/>
              </w:rPr>
              <w:t>按照招标文件规定要求签署或盖章；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7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（三）</w:t>
            </w:r>
            <w:r>
              <w:rPr>
                <w:rFonts w:hint="eastAsia" w:ascii="宋体" w:hAnsi="宋体" w:cs="宋体"/>
                <w:color w:val="auto"/>
                <w:highlight w:val="none"/>
              </w:rPr>
              <w:t>投标文件有法定代表人签署本人姓名（或印盖本人姓名章），或签署人提供有效的法定代表人授权委托书且授权委托书填写项目齐全的；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投标文件项目齐全；</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kern w:val="0"/>
                <w:highlight w:val="none"/>
              </w:rPr>
            </w:pPr>
            <w:r>
              <w:rPr>
                <w:rFonts w:hint="eastAsia" w:ascii="宋体" w:hAnsi="宋体" w:cs="宋体"/>
                <w:color w:val="auto"/>
                <w:szCs w:val="21"/>
                <w:highlight w:val="none"/>
              </w:rPr>
              <w:t>（五）</w:t>
            </w:r>
            <w:r>
              <w:rPr>
                <w:rFonts w:hint="eastAsia" w:ascii="宋体" w:hAnsi="宋体" w:cs="宋体"/>
                <w:color w:val="auto"/>
                <w:highlight w:val="none"/>
              </w:rPr>
              <w:t>投标文件标明的响应或偏离与事实相符且无虚假投标的；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（六）</w:t>
            </w:r>
            <w:r>
              <w:rPr>
                <w:rFonts w:hint="eastAsia" w:ascii="宋体" w:hAnsi="宋体" w:cs="宋体"/>
                <w:color w:val="auto"/>
                <w:highlight w:val="none"/>
              </w:rPr>
              <w:t>投标文件的实质性内容使用中文表述且意思表述明确，前后无矛盾且使用计量单位符合招标文件要求的；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（七）</w:t>
            </w:r>
            <w:r>
              <w:rPr>
                <w:rFonts w:hint="eastAsia" w:ascii="宋体" w:hAnsi="宋体" w:cs="宋体"/>
                <w:color w:val="auto"/>
                <w:highlight w:val="none"/>
              </w:rPr>
              <w:t>带“★”的条款满足招标文件要求、已实质性响应招标文件要求且投标文件无采购人不能接受的附加条件的；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（八）</w:t>
            </w:r>
            <w:r>
              <w:rPr>
                <w:rFonts w:hint="eastAsia" w:ascii="宋体" w:hAnsi="宋体" w:cs="宋体"/>
                <w:color w:val="auto"/>
                <w:highlight w:val="none"/>
              </w:rPr>
              <w:t>允许偏离的技术、性能指标或者辅助功能项目发生负偏离未达20项（含）以上的；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（九）</w:t>
            </w:r>
            <w:r>
              <w:rPr>
                <w:rFonts w:hint="eastAsia" w:ascii="宋体" w:hAnsi="宋体" w:cs="宋体"/>
                <w:color w:val="auto"/>
                <w:highlight w:val="none"/>
              </w:rPr>
              <w:t>投标技术方案明确，不存在一个或一个以上备选（替代）投标方案的；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（十）</w:t>
            </w:r>
            <w:r>
              <w:rPr>
                <w:rFonts w:hint="eastAsia" w:ascii="宋体" w:hAnsi="宋体" w:cs="宋体"/>
                <w:color w:val="auto"/>
                <w:highlight w:val="none"/>
              </w:rPr>
              <w:t>不存在法律、法规和招标文件规定的其他无效情形；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（十一）</w:t>
            </w:r>
            <w:r>
              <w:rPr>
                <w:rFonts w:hint="eastAsia" w:ascii="宋体" w:hAnsi="宋体" w:cs="宋体"/>
                <w:color w:val="auto"/>
                <w:highlight w:val="none"/>
              </w:rPr>
              <w:t>不存在投标文件的有效期不满足招标文件要求情形；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highlight w:val="none"/>
              </w:rPr>
              <w:t>第（ ）页</w:t>
            </w:r>
          </w:p>
        </w:tc>
      </w:tr>
    </w:tbl>
    <w:p>
      <w:pPr>
        <w:widowControl/>
        <w:adjustRightInd w:val="0"/>
        <w:snapToGrid w:val="0"/>
        <w:spacing w:line="440" w:lineRule="exact"/>
        <w:jc w:val="left"/>
        <w:rPr>
          <w:rFonts w:ascii="宋体" w:hAnsi="宋体" w:cs="宋体"/>
          <w:b/>
          <w:color w:val="auto"/>
          <w:kern w:val="0"/>
          <w:szCs w:val="21"/>
          <w:highlight w:val="none"/>
        </w:rPr>
      </w:pPr>
      <w:r>
        <w:rPr>
          <w:rFonts w:hint="eastAsia" w:ascii="宋体" w:hAnsi="宋体" w:cs="宋体"/>
          <w:b/>
          <w:color w:val="auto"/>
          <w:kern w:val="0"/>
          <w:szCs w:val="21"/>
          <w:highlight w:val="none"/>
        </w:rPr>
        <w:t xml:space="preserve">备注：供应商自查表将作为供应商有效性审查的重要内容之一，供应商必须严格按照其内容及序列要求在投标文件中对应如实提供，对符合性证明文件的任何缺漏和不符合项将会直接导致投标无效！ </w:t>
      </w: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jc w:val="left"/>
        <w:rPr>
          <w:rFonts w:ascii="宋体" w:hAnsi="宋体" w:cs="宋体"/>
          <w:b/>
          <w:color w:val="auto"/>
          <w:kern w:val="0"/>
          <w:szCs w:val="20"/>
          <w:highlight w:val="none"/>
        </w:rPr>
      </w:pPr>
      <w:r>
        <w:rPr>
          <w:rFonts w:hint="eastAsia" w:ascii="宋体" w:hAnsi="宋体" w:cs="宋体"/>
          <w:color w:val="auto"/>
          <w:kern w:val="0"/>
          <w:szCs w:val="20"/>
          <w:highlight w:val="none"/>
        </w:rPr>
        <w:br w:type="page"/>
      </w:r>
      <w:r>
        <w:rPr>
          <w:rFonts w:hint="eastAsia" w:ascii="宋体" w:hAnsi="宋体" w:cs="宋体"/>
          <w:b/>
          <w:bCs/>
          <w:color w:val="auto"/>
          <w:kern w:val="0"/>
          <w:szCs w:val="21"/>
          <w:highlight w:val="none"/>
        </w:rPr>
        <w:t>10.供应商响应表：</w:t>
      </w:r>
    </w:p>
    <w:p>
      <w:pPr>
        <w:widowControl/>
        <w:jc w:val="left"/>
        <w:rPr>
          <w:rFonts w:ascii="宋体" w:hAnsi="宋体" w:cs="宋体"/>
          <w:color w:val="auto"/>
          <w:kern w:val="0"/>
          <w:szCs w:val="20"/>
          <w:highlight w:val="none"/>
        </w:rPr>
      </w:pPr>
    </w:p>
    <w:p>
      <w:pPr>
        <w:widowControl/>
        <w:snapToGrid w:val="0"/>
        <w:spacing w:beforeLines="50" w:after="50"/>
        <w:jc w:val="center"/>
        <w:rPr>
          <w:rFonts w:ascii="宋体" w:hAnsi="宋体" w:cs="宋体"/>
          <w:b/>
          <w:color w:val="auto"/>
          <w:kern w:val="0"/>
          <w:szCs w:val="21"/>
          <w:highlight w:val="none"/>
        </w:rPr>
      </w:pPr>
      <w:r>
        <w:rPr>
          <w:rFonts w:hint="eastAsia" w:ascii="宋体" w:hAnsi="宋体" w:cs="宋体"/>
          <w:b/>
          <w:color w:val="auto"/>
          <w:kern w:val="0"/>
          <w:szCs w:val="21"/>
          <w:highlight w:val="none"/>
        </w:rPr>
        <w:t>供应商响应表</w:t>
      </w: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招标项目编号                      标项号                 </w:t>
      </w:r>
    </w:p>
    <w:tbl>
      <w:tblPr>
        <w:tblStyle w:val="26"/>
        <w:tblW w:w="0" w:type="auto"/>
        <w:tblInd w:w="-20" w:type="dxa"/>
        <w:tblLayout w:type="fixed"/>
        <w:tblCellMar>
          <w:top w:w="0" w:type="dxa"/>
          <w:left w:w="108" w:type="dxa"/>
          <w:bottom w:w="0" w:type="dxa"/>
          <w:right w:w="108" w:type="dxa"/>
        </w:tblCellMar>
      </w:tblPr>
      <w:tblGrid>
        <w:gridCol w:w="574"/>
        <w:gridCol w:w="4942"/>
        <w:gridCol w:w="1460"/>
        <w:gridCol w:w="1458"/>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序号</w:t>
            </w:r>
          </w:p>
        </w:tc>
        <w:tc>
          <w:tcPr>
            <w:tcW w:w="49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评审内容</w:t>
            </w: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证明文件</w:t>
            </w:r>
          </w:p>
        </w:tc>
        <w:tc>
          <w:tcPr>
            <w:tcW w:w="14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自评分</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0"/>
                <w:highlight w:val="none"/>
              </w:rPr>
            </w:pPr>
          </w:p>
        </w:tc>
        <w:tc>
          <w:tcPr>
            <w:tcW w:w="14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r>
              <w:rPr>
                <w:rFonts w:hint="eastAsia" w:ascii="宋体" w:hAnsi="宋体" w:cs="宋体"/>
                <w:color w:val="auto"/>
                <w:kern w:val="0"/>
                <w:szCs w:val="20"/>
                <w:highlight w:val="none"/>
              </w:rPr>
              <w:t>见（  ）页</w:t>
            </w:r>
          </w:p>
        </w:tc>
        <w:tc>
          <w:tcPr>
            <w:tcW w:w="14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0"/>
                <w:highlight w:val="none"/>
              </w:rPr>
            </w:pPr>
          </w:p>
        </w:tc>
      </w:tr>
    </w:tbl>
    <w:p>
      <w:pPr>
        <w:widowControl/>
        <w:jc w:val="left"/>
        <w:rPr>
          <w:rFonts w:ascii="宋体" w:hAnsi="宋体" w:cs="宋体"/>
          <w:b/>
          <w:color w:val="auto"/>
          <w:kern w:val="0"/>
          <w:szCs w:val="20"/>
          <w:highlight w:val="none"/>
        </w:rPr>
      </w:pPr>
      <w:r>
        <w:rPr>
          <w:rFonts w:hint="eastAsia" w:ascii="宋体" w:hAnsi="宋体" w:cs="宋体"/>
          <w:b/>
          <w:color w:val="auto"/>
          <w:kern w:val="0"/>
          <w:szCs w:val="20"/>
          <w:highlight w:val="none"/>
        </w:rPr>
        <w:t>注：1）根据评分标准中技术内容逐条填写，并针对客观分部分进行自评。</w:t>
      </w:r>
    </w:p>
    <w:p>
      <w:pPr>
        <w:widowControl/>
        <w:numPr>
          <w:ilvl w:val="0"/>
          <w:numId w:val="17"/>
        </w:numPr>
        <w:jc w:val="left"/>
        <w:rPr>
          <w:rFonts w:ascii="宋体" w:hAnsi="宋体" w:cs="宋体"/>
          <w:b/>
          <w:color w:val="auto"/>
          <w:kern w:val="0"/>
          <w:szCs w:val="20"/>
          <w:highlight w:val="none"/>
        </w:rPr>
      </w:pPr>
      <w:r>
        <w:rPr>
          <w:rFonts w:hint="eastAsia" w:ascii="宋体" w:hAnsi="宋体" w:cs="宋体"/>
          <w:b/>
          <w:color w:val="auto"/>
          <w:kern w:val="0"/>
          <w:szCs w:val="20"/>
          <w:highlight w:val="none"/>
        </w:rPr>
        <w:t>请将此表编制在目录页前。</w:t>
      </w:r>
    </w:p>
    <w:p>
      <w:pPr>
        <w:widowControl/>
        <w:jc w:val="left"/>
        <w:rPr>
          <w:rFonts w:ascii="宋体" w:hAnsi="宋体" w:cs="宋体"/>
          <w:b/>
          <w:color w:val="auto"/>
          <w:kern w:val="0"/>
          <w:szCs w:val="20"/>
          <w:highlight w:val="none"/>
        </w:rPr>
      </w:pPr>
    </w:p>
    <w:p>
      <w:pPr>
        <w:widowControl/>
        <w:jc w:val="left"/>
        <w:rPr>
          <w:rFonts w:ascii="宋体" w:hAnsi="宋体" w:cs="宋体"/>
          <w:color w:val="auto"/>
          <w:kern w:val="0"/>
          <w:szCs w:val="20"/>
          <w:highlight w:val="none"/>
        </w:rPr>
      </w:pPr>
    </w:p>
    <w:p>
      <w:pPr>
        <w:widowControl/>
        <w:ind w:firstLine="6090" w:firstLineChars="2900"/>
        <w:jc w:val="left"/>
        <w:rPr>
          <w:rFonts w:ascii="宋体" w:hAnsi="宋体" w:cs="宋体"/>
          <w:color w:val="auto"/>
          <w:kern w:val="0"/>
          <w:szCs w:val="20"/>
          <w:highlight w:val="none"/>
        </w:rPr>
      </w:pPr>
      <w:r>
        <w:rPr>
          <w:rFonts w:hint="eastAsia" w:ascii="宋体" w:hAnsi="宋体" w:cs="宋体"/>
          <w:color w:val="auto"/>
          <w:kern w:val="0"/>
          <w:szCs w:val="20"/>
          <w:highlight w:val="none"/>
        </w:rPr>
        <w:t>供应商名称（盖章）：</w:t>
      </w:r>
    </w:p>
    <w:p>
      <w:pPr>
        <w:widowControl/>
        <w:jc w:val="left"/>
        <w:rPr>
          <w:rFonts w:ascii="宋体" w:hAnsi="宋体" w:cs="宋体"/>
          <w:color w:val="auto"/>
          <w:kern w:val="0"/>
          <w:szCs w:val="20"/>
          <w:highlight w:val="none"/>
        </w:rPr>
      </w:pPr>
    </w:p>
    <w:p>
      <w:pPr>
        <w:widowControl/>
        <w:ind w:firstLine="6090" w:firstLineChars="2900"/>
        <w:jc w:val="left"/>
        <w:rPr>
          <w:rFonts w:ascii="宋体" w:hAnsi="宋体" w:cs="宋体"/>
          <w:color w:val="auto"/>
          <w:kern w:val="0"/>
          <w:szCs w:val="20"/>
          <w:highlight w:val="none"/>
        </w:rPr>
      </w:pPr>
      <w:r>
        <w:rPr>
          <w:rFonts w:hint="eastAsia" w:ascii="宋体" w:hAnsi="宋体" w:cs="宋体"/>
          <w:color w:val="auto"/>
          <w:kern w:val="0"/>
          <w:szCs w:val="20"/>
          <w:highlight w:val="none"/>
        </w:rPr>
        <w:t>年  月  日</w:t>
      </w: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snapToGrid w:val="0"/>
        <w:spacing w:before="50" w:after="50"/>
        <w:jc w:val="left"/>
        <w:rPr>
          <w:rFonts w:ascii="宋体" w:hAnsi="宋体" w:cs="宋体"/>
          <w:b/>
          <w:bCs/>
          <w:color w:val="auto"/>
          <w:kern w:val="0"/>
          <w:szCs w:val="21"/>
          <w:highlight w:val="none"/>
        </w:rPr>
      </w:pPr>
      <w:r>
        <w:rPr>
          <w:rFonts w:hint="eastAsia" w:ascii="宋体" w:hAnsi="宋体" w:cs="宋体"/>
          <w:color w:val="auto"/>
          <w:kern w:val="0"/>
          <w:szCs w:val="20"/>
          <w:highlight w:val="none"/>
        </w:rPr>
        <w:br w:type="page"/>
      </w:r>
      <w:r>
        <w:rPr>
          <w:rFonts w:hint="eastAsia" w:ascii="宋体" w:hAnsi="宋体" w:cs="宋体"/>
          <w:b/>
          <w:bCs/>
          <w:color w:val="auto"/>
          <w:kern w:val="0"/>
          <w:szCs w:val="21"/>
          <w:highlight w:val="none"/>
        </w:rPr>
        <w:t>11.技术部分：针对本项目第二章采购需求及第四章评分标准中的条款拟定各种方案，格式自拟；</w:t>
      </w:r>
    </w:p>
    <w:p>
      <w:pPr>
        <w:widowControl/>
        <w:snapToGrid w:val="0"/>
        <w:spacing w:beforeLines="50" w:after="50"/>
        <w:jc w:val="left"/>
        <w:rPr>
          <w:rFonts w:ascii="宋体" w:hAnsi="宋体" w:cs="宋体"/>
          <w:color w:val="auto"/>
          <w:kern w:val="0"/>
          <w:szCs w:val="21"/>
          <w:highlight w:val="none"/>
        </w:rPr>
      </w:pPr>
      <w:r>
        <w:rPr>
          <w:rFonts w:hint="eastAsia" w:ascii="宋体" w:hAnsi="宋体" w:cs="宋体"/>
          <w:b/>
          <w:bCs/>
          <w:color w:val="auto"/>
          <w:kern w:val="0"/>
          <w:szCs w:val="21"/>
          <w:highlight w:val="none"/>
        </w:rPr>
        <w:br w:type="page"/>
      </w:r>
      <w:r>
        <w:rPr>
          <w:rFonts w:hint="eastAsia" w:ascii="宋体" w:hAnsi="宋体" w:cs="宋体"/>
          <w:b/>
          <w:bCs/>
          <w:color w:val="auto"/>
          <w:kern w:val="0"/>
          <w:szCs w:val="21"/>
          <w:highlight w:val="none"/>
        </w:rPr>
        <w:t>12. 投标函</w:t>
      </w:r>
    </w:p>
    <w:p>
      <w:pPr>
        <w:widowControl/>
        <w:snapToGrid w:val="0"/>
        <w:spacing w:beforeLines="50" w:after="50"/>
        <w:jc w:val="center"/>
        <w:rPr>
          <w:rFonts w:ascii="宋体" w:hAnsi="宋体" w:cs="宋体"/>
          <w:b/>
          <w:color w:val="auto"/>
          <w:kern w:val="0"/>
          <w:szCs w:val="21"/>
          <w:highlight w:val="none"/>
        </w:rPr>
      </w:pPr>
      <w:r>
        <w:rPr>
          <w:rFonts w:hint="eastAsia" w:ascii="宋体" w:hAnsi="宋体" w:cs="宋体"/>
          <w:b/>
          <w:color w:val="auto"/>
          <w:kern w:val="0"/>
          <w:szCs w:val="21"/>
          <w:highlight w:val="none"/>
        </w:rPr>
        <w:t>投 标 函</w:t>
      </w:r>
    </w:p>
    <w:p>
      <w:pPr>
        <w:widowControl/>
        <w:snapToGrid w:val="0"/>
        <w:spacing w:beforeLines="50" w:after="50"/>
        <w:jc w:val="center"/>
        <w:rPr>
          <w:rFonts w:ascii="宋体" w:hAnsi="宋体" w:cs="宋体"/>
          <w:b/>
          <w:color w:val="auto"/>
          <w:kern w:val="0"/>
          <w:szCs w:val="21"/>
          <w:highlight w:val="none"/>
        </w:rPr>
      </w:pP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致：（招标采购单位名称）：</w:t>
      </w:r>
    </w:p>
    <w:p>
      <w:pPr>
        <w:widowControl/>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根据贵方为项目的采购公告/投标邀请书（项目编号：</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，标项号：</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），签字代表（全名）经正式授权并代表供应商（供应商名称）提交投标文件。</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据此函，签字代表宣布同意如下：</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1.供应商已详细审查全部“招标文件”，包括修改文件（如有的话）以及全部参考资料和有关附件，已经了解我方对于招标文件、采购过程、采购结果有依法进行询问、质疑、投诉的权利及相关渠道和要求。</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2.供应商在投标之前已经与贵方进行了充分的沟通，完全理解并接受招标文件的各项规定和要求，对招标文件的合理性、合法性不再有异议。</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3.本投标有效期自开标日起______个日历日。</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4.如中标，本投标文件至本项目合同履行完毕止均保持有效，本供应商将按“招标文件”及政府采购法律、法规的规定履行合同责任和义务。</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5.供应商同意按照贵方要求提供与投标有关的一切数据或资料。</w:t>
      </w:r>
    </w:p>
    <w:p>
      <w:pPr>
        <w:widowControl/>
        <w:snapToGrid w:val="0"/>
        <w:spacing w:line="360" w:lineRule="auto"/>
        <w:ind w:firstLine="420" w:firstLineChars="200"/>
        <w:jc w:val="left"/>
        <w:rPr>
          <w:rFonts w:ascii="宋体" w:hAnsi="宋体" w:cs="宋体"/>
          <w:color w:val="auto"/>
          <w:kern w:val="0"/>
          <w:szCs w:val="20"/>
          <w:highlight w:val="none"/>
          <w:lang w:val="zh-CN"/>
        </w:rPr>
      </w:pPr>
      <w:r>
        <w:rPr>
          <w:rFonts w:hint="eastAsia" w:ascii="宋体" w:hAnsi="宋体" w:cs="宋体"/>
          <w:color w:val="auto"/>
          <w:kern w:val="0"/>
          <w:szCs w:val="21"/>
          <w:highlight w:val="none"/>
        </w:rPr>
        <w:t>6.</w:t>
      </w:r>
      <w:r>
        <w:rPr>
          <w:rFonts w:hint="eastAsia" w:ascii="宋体" w:hAnsi="宋体" w:cs="宋体"/>
          <w:color w:val="auto"/>
          <w:kern w:val="0"/>
          <w:szCs w:val="20"/>
          <w:highlight w:val="none"/>
          <w:lang w:val="zh-CN"/>
        </w:rPr>
        <w:t>我们郑重声明：本投标文件提供的情况和文件完全是真实的。</w:t>
      </w:r>
    </w:p>
    <w:p>
      <w:pPr>
        <w:widowControl/>
        <w:snapToGrid w:val="0"/>
        <w:spacing w:line="360" w:lineRule="auto"/>
        <w:ind w:firstLine="420" w:firstLineChars="200"/>
        <w:jc w:val="left"/>
        <w:rPr>
          <w:rFonts w:ascii="宋体" w:hAnsi="宋体" w:cs="宋体"/>
          <w:color w:val="auto"/>
          <w:kern w:val="0"/>
          <w:szCs w:val="21"/>
          <w:highlight w:val="none"/>
          <w:lang w:val="zh-CN"/>
        </w:rPr>
      </w:pPr>
      <w:r>
        <w:rPr>
          <w:rFonts w:hint="eastAsia" w:ascii="宋体" w:hAnsi="宋体" w:cs="宋体"/>
          <w:color w:val="auto"/>
          <w:kern w:val="0"/>
          <w:szCs w:val="21"/>
          <w:highlight w:val="none"/>
        </w:rPr>
        <w:t>7.</w:t>
      </w:r>
      <w:r>
        <w:rPr>
          <w:rFonts w:hint="eastAsia" w:ascii="宋体" w:hAnsi="宋体" w:cs="宋体"/>
          <w:color w:val="auto"/>
          <w:kern w:val="0"/>
          <w:szCs w:val="21"/>
          <w:highlight w:val="none"/>
          <w:lang w:val="zh-CN"/>
        </w:rPr>
        <w:t>按照</w:t>
      </w:r>
      <w:r>
        <w:rPr>
          <w:rFonts w:hint="eastAsia" w:ascii="宋体" w:hAnsi="宋体" w:cs="宋体"/>
          <w:color w:val="auto"/>
          <w:kern w:val="0"/>
          <w:szCs w:val="21"/>
          <w:highlight w:val="none"/>
        </w:rPr>
        <w:t>招标文件</w:t>
      </w:r>
      <w:r>
        <w:rPr>
          <w:rFonts w:hint="eastAsia" w:ascii="宋体" w:hAnsi="宋体" w:cs="宋体"/>
          <w:color w:val="auto"/>
          <w:kern w:val="0"/>
          <w:szCs w:val="21"/>
          <w:highlight w:val="none"/>
          <w:lang w:val="zh-CN"/>
        </w:rPr>
        <w:t>的规定，在中标后向</w:t>
      </w:r>
      <w:r>
        <w:rPr>
          <w:rFonts w:hint="eastAsia" w:ascii="宋体" w:hAnsi="宋体" w:cs="宋体"/>
          <w:color w:val="auto"/>
          <w:kern w:val="0"/>
          <w:szCs w:val="21"/>
          <w:highlight w:val="none"/>
        </w:rPr>
        <w:t>采购代理机构</w:t>
      </w:r>
      <w:r>
        <w:rPr>
          <w:rFonts w:hint="eastAsia" w:ascii="宋体" w:hAnsi="宋体" w:cs="宋体"/>
          <w:color w:val="auto"/>
          <w:kern w:val="0"/>
          <w:szCs w:val="21"/>
          <w:highlight w:val="none"/>
          <w:lang w:val="zh-CN"/>
        </w:rPr>
        <w:t>一次性支付招标代理费。</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8.与本投标有关的一切正式往来信函请寄：</w:t>
      </w: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地址：邮编：__________   电话：______________</w:t>
      </w: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传真：______________供应商代表姓名 ___________  职务：_____________</w:t>
      </w: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供应商名称(公章):___________________</w:t>
      </w:r>
    </w:p>
    <w:p>
      <w:pPr>
        <w:widowControl/>
        <w:snapToGrid w:val="0"/>
        <w:spacing w:line="360" w:lineRule="auto"/>
        <w:jc w:val="left"/>
        <w:rPr>
          <w:rFonts w:hint="default" w:ascii="宋体" w:hAnsi="宋体" w:eastAsia="宋体" w:cs="宋体"/>
          <w:color w:val="auto"/>
          <w:kern w:val="0"/>
          <w:szCs w:val="21"/>
          <w:highlight w:val="none"/>
          <w:u w:val="single"/>
          <w:lang w:val="en-US" w:eastAsia="zh-CN"/>
        </w:rPr>
      </w:pPr>
      <w:r>
        <w:rPr>
          <w:rFonts w:hint="eastAsia" w:ascii="宋体" w:hAnsi="宋体" w:cs="宋体"/>
          <w:color w:val="auto"/>
          <w:kern w:val="0"/>
          <w:szCs w:val="21"/>
          <w:highlight w:val="none"/>
        </w:rPr>
        <w:t>开户银行：</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银行帐号：</w:t>
      </w:r>
      <w:r>
        <w:rPr>
          <w:rFonts w:hint="eastAsia" w:ascii="宋体" w:hAnsi="宋体" w:cs="宋体"/>
          <w:color w:val="auto"/>
          <w:kern w:val="0"/>
          <w:szCs w:val="21"/>
          <w:highlight w:val="none"/>
          <w:u w:val="single"/>
          <w:lang w:val="en-US" w:eastAsia="zh-CN"/>
        </w:rPr>
        <w:t xml:space="preserve">         </w:t>
      </w:r>
    </w:p>
    <w:p>
      <w:pPr>
        <w:widowControl/>
        <w:snapToGrid w:val="0"/>
        <w:spacing w:before="50" w:afterLines="50"/>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法定代表人或授权代表</w:t>
      </w:r>
      <w:r>
        <w:rPr>
          <w:rFonts w:hint="eastAsia" w:ascii="宋体" w:hAnsi="宋体" w:cs="宋体"/>
          <w:color w:val="auto"/>
          <w:kern w:val="0"/>
          <w:szCs w:val="20"/>
          <w:highlight w:val="none"/>
        </w:rPr>
        <w:t>（签名或印章）</w:t>
      </w:r>
      <w:r>
        <w:rPr>
          <w:rFonts w:hint="eastAsia" w:ascii="宋体" w:hAnsi="宋体" w:cs="宋体"/>
          <w:color w:val="auto"/>
          <w:kern w:val="0"/>
          <w:szCs w:val="21"/>
          <w:highlight w:val="none"/>
        </w:rPr>
        <w:t>:___________          日期:_____年___月___日</w:t>
      </w:r>
    </w:p>
    <w:p>
      <w:pPr>
        <w:widowControl/>
        <w:jc w:val="left"/>
        <w:rPr>
          <w:rFonts w:ascii="宋体" w:hAnsi="宋体" w:cs="宋体"/>
          <w:b/>
          <w:color w:val="auto"/>
          <w:kern w:val="0"/>
          <w:szCs w:val="20"/>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13.法</w:t>
      </w:r>
      <w:r>
        <w:rPr>
          <w:rFonts w:hint="eastAsia" w:ascii="宋体" w:hAnsi="宋体" w:cs="宋体"/>
          <w:b/>
          <w:color w:val="auto"/>
          <w:kern w:val="0"/>
          <w:szCs w:val="20"/>
          <w:highlight w:val="none"/>
        </w:rPr>
        <w:t>定代表人身份证明及授权委托书格式：</w:t>
      </w: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snapToGrid w:val="0"/>
        <w:spacing w:beforeLines="50" w:after="50"/>
        <w:jc w:val="center"/>
        <w:rPr>
          <w:rFonts w:ascii="宋体" w:hAnsi="宋体" w:cs="宋体"/>
          <w:b/>
          <w:color w:val="auto"/>
          <w:kern w:val="0"/>
          <w:szCs w:val="21"/>
          <w:highlight w:val="none"/>
        </w:rPr>
      </w:pPr>
      <w:r>
        <w:rPr>
          <w:rFonts w:hint="eastAsia" w:ascii="宋体" w:hAnsi="宋体" w:cs="宋体"/>
          <w:b/>
          <w:color w:val="auto"/>
          <w:kern w:val="0"/>
          <w:szCs w:val="21"/>
          <w:highlight w:val="none"/>
        </w:rPr>
        <w:t>法定代表人身份证明</w:t>
      </w:r>
    </w:p>
    <w:p>
      <w:pPr>
        <w:widowControl/>
        <w:spacing w:line="480" w:lineRule="auto"/>
        <w:jc w:val="center"/>
        <w:rPr>
          <w:rFonts w:ascii="宋体" w:hAnsi="宋体" w:cs="宋体"/>
          <w:b/>
          <w:color w:val="auto"/>
          <w:kern w:val="0"/>
          <w:sz w:val="24"/>
          <w:szCs w:val="20"/>
          <w:highlight w:val="none"/>
        </w:rPr>
      </w:pPr>
      <w:r>
        <w:rPr>
          <w:rFonts w:hint="eastAsia" w:ascii="宋体" w:hAnsi="宋体" w:cs="宋体"/>
          <w:bCs/>
          <w:color w:val="auto"/>
          <w:kern w:val="0"/>
          <w:sz w:val="24"/>
          <w:szCs w:val="20"/>
          <w:highlight w:val="none"/>
        </w:rPr>
        <w:t>（法定代表人不来投标的，此表不用）</w:t>
      </w:r>
    </w:p>
    <w:p>
      <w:pPr>
        <w:widowControl/>
        <w:spacing w:line="48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供应商名称：</w:t>
      </w:r>
    </w:p>
    <w:p>
      <w:pPr>
        <w:widowControl/>
        <w:spacing w:line="48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单位性质：</w:t>
      </w:r>
    </w:p>
    <w:p>
      <w:pPr>
        <w:widowControl/>
        <w:spacing w:line="48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地址：</w:t>
      </w:r>
    </w:p>
    <w:p>
      <w:pPr>
        <w:widowControl/>
        <w:spacing w:line="48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日</w:t>
      </w:r>
    </w:p>
    <w:p>
      <w:pPr>
        <w:widowControl/>
        <w:spacing w:line="48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经营期限：</w:t>
      </w:r>
    </w:p>
    <w:p>
      <w:pPr>
        <w:widowControl/>
        <w:spacing w:line="48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姓名：性别：年龄：</w:t>
      </w:r>
      <w:r>
        <w:rPr>
          <w:rFonts w:hint="eastAsia" w:ascii="宋体" w:hAnsi="宋体" w:cs="宋体"/>
          <w:color w:val="auto"/>
          <w:kern w:val="0"/>
          <w:szCs w:val="21"/>
          <w:highlight w:val="none"/>
          <w:u w:val="single"/>
        </w:rPr>
        <w:t xml:space="preserve">    周岁  </w:t>
      </w:r>
      <w:r>
        <w:rPr>
          <w:rFonts w:hint="eastAsia" w:ascii="宋体" w:hAnsi="宋体" w:cs="宋体"/>
          <w:color w:val="auto"/>
          <w:kern w:val="0"/>
          <w:szCs w:val="21"/>
          <w:highlight w:val="none"/>
        </w:rPr>
        <w:t>职务：</w:t>
      </w:r>
      <w:r>
        <w:rPr>
          <w:rFonts w:hint="eastAsia" w:ascii="宋体" w:hAnsi="宋体" w:cs="宋体"/>
          <w:color w:val="auto"/>
          <w:kern w:val="0"/>
          <w:szCs w:val="21"/>
          <w:highlight w:val="none"/>
          <w:u w:val="single"/>
          <w:lang w:val="en-US" w:eastAsia="zh-CN"/>
        </w:rPr>
        <w:t xml:space="preserve">   </w:t>
      </w:r>
    </w:p>
    <w:p>
      <w:pPr>
        <w:widowControl/>
        <w:spacing w:line="48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身份证号码：</w:t>
      </w:r>
    </w:p>
    <w:p>
      <w:pPr>
        <w:widowControl/>
        <w:spacing w:line="48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系（供应商名称）的法定代表人。</w:t>
      </w:r>
    </w:p>
    <w:p>
      <w:pPr>
        <w:widowControl/>
        <w:spacing w:line="480" w:lineRule="auto"/>
        <w:ind w:firstLine="840" w:firstLineChars="400"/>
        <w:jc w:val="left"/>
        <w:rPr>
          <w:rFonts w:ascii="宋体" w:hAnsi="宋体" w:cs="宋体"/>
          <w:color w:val="auto"/>
          <w:kern w:val="0"/>
          <w:szCs w:val="21"/>
          <w:highlight w:val="none"/>
        </w:rPr>
      </w:pPr>
      <w:r>
        <w:rPr>
          <w:rFonts w:hint="eastAsia" w:ascii="宋体" w:hAnsi="宋体" w:cs="宋体"/>
          <w:color w:val="auto"/>
          <w:kern w:val="0"/>
          <w:szCs w:val="21"/>
          <w:highlight w:val="none"/>
        </w:rPr>
        <w:t>特此证明。</w:t>
      </w:r>
    </w:p>
    <w:p>
      <w:pPr>
        <w:widowControl/>
        <w:spacing w:line="360" w:lineRule="auto"/>
        <w:ind w:firstLine="420" w:firstLineChars="200"/>
        <w:jc w:val="left"/>
        <w:rPr>
          <w:rFonts w:ascii="宋体" w:hAnsi="宋体" w:cs="宋体"/>
          <w:color w:val="auto"/>
          <w:kern w:val="0"/>
          <w:szCs w:val="21"/>
          <w:highlight w:val="none"/>
        </w:rPr>
      </w:pPr>
    </w:p>
    <w:p>
      <w:pPr>
        <w:widowControl/>
        <w:spacing w:line="360" w:lineRule="auto"/>
        <w:ind w:firstLine="420" w:firstLineChars="200"/>
        <w:jc w:val="left"/>
        <w:rPr>
          <w:rFonts w:ascii="宋体" w:hAnsi="宋体" w:cs="宋体"/>
          <w:color w:val="auto"/>
          <w:kern w:val="0"/>
          <w:szCs w:val="21"/>
          <w:highlight w:val="none"/>
        </w:rPr>
      </w:pPr>
    </w:p>
    <w:p>
      <w:pPr>
        <w:widowControl/>
        <w:wordWrap w:val="0"/>
        <w:spacing w:line="360" w:lineRule="auto"/>
        <w:jc w:val="right"/>
        <w:rPr>
          <w:rFonts w:ascii="宋体" w:hAnsi="宋体" w:cs="宋体"/>
          <w:color w:val="auto"/>
          <w:kern w:val="0"/>
          <w:szCs w:val="21"/>
          <w:highlight w:val="none"/>
        </w:rPr>
      </w:pPr>
      <w:r>
        <w:rPr>
          <w:rFonts w:hint="eastAsia" w:ascii="宋体" w:hAnsi="宋体" w:cs="宋体"/>
          <w:color w:val="auto"/>
          <w:kern w:val="0"/>
          <w:szCs w:val="21"/>
          <w:highlight w:val="none"/>
        </w:rPr>
        <w:t>供应商：（盖单位公章）</w:t>
      </w:r>
    </w:p>
    <w:p>
      <w:pPr>
        <w:widowControl/>
        <w:spacing w:line="360" w:lineRule="auto"/>
        <w:ind w:firstLine="4515" w:firstLineChars="2150"/>
        <w:jc w:val="left"/>
        <w:rPr>
          <w:rFonts w:ascii="宋体" w:hAnsi="宋体" w:cs="宋体"/>
          <w:color w:val="auto"/>
          <w:kern w:val="0"/>
          <w:szCs w:val="21"/>
          <w:highlight w:val="none"/>
          <w:u w:val="single"/>
        </w:rPr>
      </w:pPr>
    </w:p>
    <w:p>
      <w:pPr>
        <w:widowControl/>
        <w:spacing w:line="360" w:lineRule="auto"/>
        <w:ind w:firstLine="3675" w:firstLineChars="1750"/>
        <w:jc w:val="right"/>
        <w:rPr>
          <w:rFonts w:ascii="宋体" w:hAnsi="宋体" w:cs="宋体"/>
          <w:color w:val="auto"/>
          <w:kern w:val="0"/>
          <w:szCs w:val="21"/>
          <w:highlight w:val="none"/>
        </w:rPr>
      </w:pP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日</w:t>
      </w:r>
    </w:p>
    <w:p>
      <w:pPr>
        <w:widowControl/>
        <w:spacing w:line="360" w:lineRule="auto"/>
        <w:jc w:val="left"/>
        <w:rPr>
          <w:rFonts w:ascii="宋体" w:hAnsi="宋体" w:cs="宋体"/>
          <w:color w:val="auto"/>
          <w:kern w:val="0"/>
          <w:sz w:val="24"/>
          <w:szCs w:val="20"/>
          <w:highlight w:val="none"/>
        </w:rPr>
      </w:pPr>
    </w:p>
    <w:p>
      <w:pPr>
        <w:widowControl/>
        <w:spacing w:line="360" w:lineRule="auto"/>
        <w:jc w:val="left"/>
        <w:rPr>
          <w:rFonts w:ascii="宋体" w:hAnsi="宋体" w:cs="宋体"/>
          <w:b/>
          <w:color w:val="auto"/>
          <w:kern w:val="0"/>
          <w:szCs w:val="21"/>
          <w:highlight w:val="none"/>
        </w:rPr>
      </w:pPr>
    </w:p>
    <w:p>
      <w:pPr>
        <w:widowControl/>
        <w:spacing w:line="360" w:lineRule="auto"/>
        <w:jc w:val="left"/>
        <w:rPr>
          <w:rFonts w:ascii="宋体" w:hAnsi="宋体" w:cs="宋体"/>
          <w:b/>
          <w:color w:val="auto"/>
          <w:kern w:val="0"/>
          <w:szCs w:val="21"/>
          <w:highlight w:val="none"/>
        </w:rPr>
      </w:pPr>
    </w:p>
    <w:p>
      <w:pPr>
        <w:widowControl/>
        <w:spacing w:line="360" w:lineRule="auto"/>
        <w:jc w:val="left"/>
        <w:rPr>
          <w:rFonts w:ascii="宋体" w:hAnsi="宋体" w:cs="宋体"/>
          <w:b/>
          <w:color w:val="auto"/>
          <w:kern w:val="0"/>
          <w:szCs w:val="21"/>
          <w:highlight w:val="none"/>
        </w:rPr>
      </w:pPr>
      <w:r>
        <w:rPr>
          <w:rFonts w:hint="eastAsia" w:ascii="宋体" w:hAnsi="宋体" w:cs="宋体"/>
          <w:b/>
          <w:color w:val="auto"/>
          <w:kern w:val="0"/>
          <w:szCs w:val="21"/>
          <w:highlight w:val="none"/>
        </w:rPr>
        <w:t>附法定代表人身份证复印件（正反面）：</w:t>
      </w:r>
    </w:p>
    <w:p>
      <w:pPr>
        <w:widowControl/>
        <w:jc w:val="left"/>
        <w:rPr>
          <w:rFonts w:ascii="宋体" w:hAnsi="宋体" w:cs="宋体"/>
          <w:color w:val="auto"/>
          <w:kern w:val="0"/>
          <w:szCs w:val="20"/>
          <w:highlight w:val="none"/>
        </w:rPr>
      </w:pPr>
    </w:p>
    <w:p>
      <w:pPr>
        <w:widowControl/>
        <w:jc w:val="left"/>
        <w:rPr>
          <w:rFonts w:ascii="宋体" w:hAnsi="宋体" w:cs="宋体"/>
          <w:b/>
          <w:color w:val="auto"/>
          <w:kern w:val="0"/>
          <w:sz w:val="32"/>
          <w:szCs w:val="32"/>
          <w:highlight w:val="none"/>
        </w:rPr>
      </w:pPr>
    </w:p>
    <w:p>
      <w:pPr>
        <w:widowControl/>
        <w:jc w:val="left"/>
        <w:rPr>
          <w:rFonts w:ascii="宋体" w:hAnsi="宋体" w:cs="宋体"/>
          <w:b/>
          <w:color w:val="auto"/>
          <w:kern w:val="0"/>
          <w:sz w:val="32"/>
          <w:szCs w:val="32"/>
          <w:highlight w:val="none"/>
        </w:rPr>
      </w:pPr>
    </w:p>
    <w:p>
      <w:pPr>
        <w:widowControl/>
        <w:jc w:val="left"/>
        <w:rPr>
          <w:rFonts w:ascii="宋体" w:hAnsi="宋体" w:cs="宋体"/>
          <w:b/>
          <w:color w:val="auto"/>
          <w:kern w:val="0"/>
          <w:sz w:val="32"/>
          <w:szCs w:val="32"/>
          <w:highlight w:val="none"/>
        </w:rPr>
      </w:pPr>
    </w:p>
    <w:p>
      <w:pPr>
        <w:widowControl/>
        <w:jc w:val="center"/>
        <w:rPr>
          <w:rFonts w:ascii="宋体" w:hAnsi="宋体" w:cs="宋体"/>
          <w:b/>
          <w:color w:val="auto"/>
          <w:kern w:val="0"/>
          <w:sz w:val="32"/>
          <w:szCs w:val="32"/>
          <w:highlight w:val="none"/>
        </w:rPr>
      </w:pPr>
      <w:r>
        <w:rPr>
          <w:rFonts w:hint="eastAsia" w:ascii="宋体" w:hAnsi="宋体" w:cs="宋体"/>
          <w:b/>
          <w:bCs/>
          <w:color w:val="auto"/>
          <w:kern w:val="0"/>
          <w:sz w:val="28"/>
          <w:szCs w:val="28"/>
          <w:highlight w:val="none"/>
        </w:rPr>
        <w:br w:type="page"/>
      </w:r>
      <w:r>
        <w:rPr>
          <w:rFonts w:hint="eastAsia" w:ascii="宋体" w:hAnsi="宋体" w:cs="宋体"/>
          <w:b/>
          <w:color w:val="auto"/>
          <w:kern w:val="0"/>
          <w:szCs w:val="21"/>
          <w:highlight w:val="none"/>
        </w:rPr>
        <w:t>法定代表人授权委托书</w:t>
      </w:r>
    </w:p>
    <w:p>
      <w:pPr>
        <w:widowControl/>
        <w:jc w:val="center"/>
        <w:rPr>
          <w:rFonts w:ascii="宋体" w:hAnsi="宋体" w:cs="宋体"/>
          <w:b/>
          <w:color w:val="auto"/>
          <w:kern w:val="0"/>
          <w:sz w:val="32"/>
          <w:szCs w:val="32"/>
          <w:highlight w:val="none"/>
        </w:rPr>
      </w:pPr>
      <w:r>
        <w:rPr>
          <w:rFonts w:hint="eastAsia" w:ascii="宋体" w:hAnsi="宋体" w:cs="宋体"/>
          <w:bCs/>
          <w:color w:val="auto"/>
          <w:kern w:val="0"/>
          <w:sz w:val="24"/>
          <w:szCs w:val="20"/>
          <w:highlight w:val="none"/>
        </w:rPr>
        <w:t>（法定代表人来投标的，此表不用）</w:t>
      </w:r>
    </w:p>
    <w:p>
      <w:pPr>
        <w:widowControl/>
        <w:snapToGrid w:val="0"/>
        <w:spacing w:line="360" w:lineRule="auto"/>
        <w:jc w:val="left"/>
        <w:rPr>
          <w:rFonts w:ascii="宋体" w:hAnsi="宋体" w:cs="宋体"/>
          <w:bCs/>
          <w:color w:val="auto"/>
          <w:kern w:val="0"/>
          <w:sz w:val="24"/>
          <w:szCs w:val="20"/>
          <w:highlight w:val="none"/>
        </w:rPr>
      </w:pPr>
    </w:p>
    <w:p>
      <w:pPr>
        <w:widowControl/>
        <w:snapToGrid w:val="0"/>
        <w:spacing w:line="360" w:lineRule="auto"/>
        <w:jc w:val="left"/>
        <w:rPr>
          <w:rFonts w:ascii="宋体" w:hAnsi="宋体" w:cs="宋体"/>
          <w:color w:val="auto"/>
          <w:kern w:val="0"/>
          <w:szCs w:val="21"/>
          <w:highlight w:val="none"/>
        </w:rPr>
      </w:pPr>
      <w:r>
        <w:rPr>
          <w:rFonts w:hint="eastAsia" w:ascii="宋体" w:hAnsi="宋体" w:cs="宋体"/>
          <w:bCs/>
          <w:color w:val="auto"/>
          <w:kern w:val="0"/>
          <w:szCs w:val="21"/>
          <w:highlight w:val="none"/>
        </w:rPr>
        <w:t>致：</w:t>
      </w:r>
      <w:r>
        <w:rPr>
          <w:rFonts w:hint="eastAsia" w:ascii="宋体" w:hAnsi="宋体" w:cs="宋体"/>
          <w:color w:val="auto"/>
          <w:kern w:val="0"/>
          <w:szCs w:val="21"/>
          <w:highlight w:val="none"/>
        </w:rPr>
        <w:t>（采购单位名称）：</w:t>
      </w:r>
    </w:p>
    <w:p>
      <w:pPr>
        <w:widowControl/>
        <w:snapToGrid w:val="0"/>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我（姓名）系（供应商名称）的法定代表人，现授权委托本单位在职职工 （姓名）以我方的名义参加</w:t>
      </w:r>
      <w:r>
        <w:rPr>
          <w:rFonts w:hint="eastAsia" w:ascii="宋体" w:hAnsi="宋体" w:cs="宋体"/>
          <w:color w:val="auto"/>
          <w:kern w:val="0"/>
          <w:szCs w:val="21"/>
          <w:highlight w:val="none"/>
          <w:u w:val="single"/>
        </w:rPr>
        <w:t xml:space="preserve">                       政府采购 </w:t>
      </w:r>
      <w:r>
        <w:rPr>
          <w:rFonts w:hint="eastAsia" w:ascii="宋体" w:hAnsi="宋体" w:cs="宋体"/>
          <w:color w:val="auto"/>
          <w:kern w:val="0"/>
          <w:szCs w:val="21"/>
          <w:highlight w:val="none"/>
        </w:rPr>
        <w:t>项目的投标活动，并代表我方全权办理针对上述项目的投标、开标、评标、签约等具体事务和签署相关文件。</w:t>
      </w:r>
    </w:p>
    <w:p>
      <w:pPr>
        <w:widowControl/>
        <w:snapToGrid w:val="0"/>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我方对被授权人的签名事项负全部责任。</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在撤销授权的书面通知以前，本授权书一直有效。被授权人在授权书有效期内签署的所有文件不因授权的撤销而失效。</w:t>
      </w:r>
    </w:p>
    <w:p>
      <w:pPr>
        <w:widowControl/>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被授权人无转委托权，特此委托。</w:t>
      </w:r>
    </w:p>
    <w:p>
      <w:pPr>
        <w:widowControl/>
        <w:snapToGrid w:val="0"/>
        <w:spacing w:line="360" w:lineRule="auto"/>
        <w:jc w:val="left"/>
        <w:rPr>
          <w:rFonts w:ascii="宋体" w:hAnsi="宋体" w:cs="宋体"/>
          <w:color w:val="auto"/>
          <w:kern w:val="0"/>
          <w:szCs w:val="21"/>
          <w:highlight w:val="none"/>
        </w:rPr>
      </w:pPr>
    </w:p>
    <w:p>
      <w:pPr>
        <w:widowControl/>
        <w:snapToGrid w:val="0"/>
        <w:spacing w:line="360" w:lineRule="auto"/>
        <w:jc w:val="left"/>
        <w:rPr>
          <w:rFonts w:ascii="宋体" w:hAnsi="宋体" w:cs="宋体"/>
          <w:color w:val="auto"/>
          <w:kern w:val="0"/>
          <w:szCs w:val="21"/>
          <w:highlight w:val="none"/>
        </w:rPr>
      </w:pPr>
    </w:p>
    <w:p>
      <w:pPr>
        <w:widowControl/>
        <w:snapToGrid w:val="0"/>
        <w:spacing w:line="360" w:lineRule="auto"/>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被授权人</w:t>
      </w:r>
      <w:r>
        <w:rPr>
          <w:rFonts w:hint="eastAsia" w:ascii="宋体" w:hAnsi="宋体" w:cs="宋体"/>
          <w:color w:val="auto"/>
          <w:kern w:val="0"/>
          <w:szCs w:val="20"/>
          <w:highlight w:val="none"/>
        </w:rPr>
        <w:t>（签名或印章）</w:t>
      </w:r>
      <w:r>
        <w:rPr>
          <w:rFonts w:hint="eastAsia" w:ascii="宋体" w:hAnsi="宋体" w:cs="宋体"/>
          <w:color w:val="auto"/>
          <w:kern w:val="0"/>
          <w:szCs w:val="21"/>
          <w:highlight w:val="none"/>
        </w:rPr>
        <w:t>：                 法定代表人</w:t>
      </w:r>
      <w:r>
        <w:rPr>
          <w:rFonts w:hint="eastAsia" w:ascii="宋体" w:hAnsi="宋体" w:cs="宋体"/>
          <w:color w:val="auto"/>
          <w:kern w:val="0"/>
          <w:szCs w:val="20"/>
          <w:highlight w:val="none"/>
        </w:rPr>
        <w:t>（签名或印章）</w:t>
      </w:r>
      <w:r>
        <w:rPr>
          <w:rFonts w:hint="eastAsia" w:ascii="宋体" w:hAnsi="宋体" w:cs="宋体"/>
          <w:color w:val="auto"/>
          <w:kern w:val="0"/>
          <w:szCs w:val="21"/>
          <w:highlight w:val="none"/>
        </w:rPr>
        <w:t>：</w:t>
      </w:r>
    </w:p>
    <w:p>
      <w:pPr>
        <w:widowControl/>
        <w:snapToGrid w:val="0"/>
        <w:spacing w:line="360" w:lineRule="auto"/>
        <w:ind w:firstLine="840" w:firstLineChars="400"/>
        <w:jc w:val="left"/>
        <w:rPr>
          <w:rFonts w:ascii="宋体" w:hAnsi="宋体" w:cs="宋体"/>
          <w:color w:val="auto"/>
          <w:kern w:val="0"/>
          <w:szCs w:val="21"/>
          <w:highlight w:val="none"/>
        </w:rPr>
      </w:pPr>
      <w:r>
        <w:rPr>
          <w:rFonts w:hint="eastAsia" w:ascii="宋体" w:hAnsi="宋体" w:cs="宋体"/>
          <w:color w:val="auto"/>
          <w:kern w:val="0"/>
          <w:szCs w:val="21"/>
          <w:highlight w:val="none"/>
        </w:rPr>
        <w:t>职务：                          职务：</w:t>
      </w:r>
    </w:p>
    <w:p>
      <w:pPr>
        <w:widowControl/>
        <w:snapToGrid w:val="0"/>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被授权人身份证号码：</w:t>
      </w:r>
    </w:p>
    <w:p>
      <w:pPr>
        <w:widowControl/>
        <w:snapToGrid w:val="0"/>
        <w:spacing w:line="360" w:lineRule="auto"/>
        <w:jc w:val="left"/>
        <w:rPr>
          <w:rFonts w:ascii="宋体" w:hAnsi="宋体" w:cs="宋体"/>
          <w:color w:val="auto"/>
          <w:kern w:val="0"/>
          <w:szCs w:val="21"/>
          <w:highlight w:val="none"/>
        </w:rPr>
      </w:pPr>
    </w:p>
    <w:p>
      <w:pPr>
        <w:widowControl/>
        <w:snapToGrid w:val="0"/>
        <w:spacing w:line="360" w:lineRule="auto"/>
        <w:jc w:val="left"/>
        <w:rPr>
          <w:rFonts w:ascii="宋体" w:hAnsi="宋体" w:cs="宋体"/>
          <w:color w:val="auto"/>
          <w:kern w:val="0"/>
          <w:szCs w:val="21"/>
          <w:highlight w:val="none"/>
        </w:rPr>
      </w:pPr>
    </w:p>
    <w:p>
      <w:pPr>
        <w:widowControl/>
        <w:snapToGrid w:val="0"/>
        <w:spacing w:line="360" w:lineRule="auto"/>
        <w:ind w:firstLine="4830" w:firstLineChars="2300"/>
        <w:jc w:val="left"/>
        <w:rPr>
          <w:rFonts w:ascii="宋体" w:hAnsi="宋体" w:cs="宋体"/>
          <w:color w:val="auto"/>
          <w:kern w:val="0"/>
          <w:szCs w:val="21"/>
          <w:highlight w:val="none"/>
        </w:rPr>
      </w:pPr>
      <w:r>
        <w:rPr>
          <w:rFonts w:hint="eastAsia" w:ascii="宋体" w:hAnsi="宋体" w:cs="宋体"/>
          <w:color w:val="auto"/>
          <w:kern w:val="0"/>
          <w:szCs w:val="21"/>
          <w:highlight w:val="none"/>
        </w:rPr>
        <w:t>供应商公章：</w:t>
      </w:r>
    </w:p>
    <w:p>
      <w:pPr>
        <w:widowControl/>
        <w:snapToGrid w:val="0"/>
        <w:spacing w:line="360" w:lineRule="auto"/>
        <w:ind w:firstLine="4830" w:firstLineChars="2300"/>
        <w:jc w:val="left"/>
        <w:rPr>
          <w:rFonts w:ascii="宋体" w:hAnsi="宋体" w:cs="宋体"/>
          <w:color w:val="auto"/>
          <w:kern w:val="0"/>
          <w:szCs w:val="21"/>
          <w:highlight w:val="none"/>
        </w:rPr>
      </w:pPr>
    </w:p>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widowControl/>
        <w:spacing w:line="360" w:lineRule="auto"/>
        <w:jc w:val="left"/>
        <w:rPr>
          <w:rFonts w:ascii="宋体" w:hAnsi="宋体" w:cs="宋体"/>
          <w:b/>
          <w:color w:val="auto"/>
          <w:kern w:val="0"/>
          <w:szCs w:val="21"/>
          <w:highlight w:val="none"/>
        </w:rPr>
      </w:pPr>
    </w:p>
    <w:p>
      <w:pPr>
        <w:widowControl/>
        <w:spacing w:line="360" w:lineRule="auto"/>
        <w:jc w:val="left"/>
        <w:rPr>
          <w:rFonts w:ascii="宋体" w:hAnsi="宋体" w:cs="宋体"/>
          <w:b/>
          <w:color w:val="auto"/>
          <w:kern w:val="0"/>
          <w:szCs w:val="21"/>
          <w:highlight w:val="none"/>
        </w:rPr>
      </w:pPr>
    </w:p>
    <w:p>
      <w:pPr>
        <w:widowControl/>
        <w:snapToGrid w:val="0"/>
        <w:spacing w:before="50" w:after="50"/>
        <w:jc w:val="left"/>
        <w:rPr>
          <w:rFonts w:ascii="宋体" w:hAnsi="宋体" w:cs="宋体"/>
          <w:b/>
          <w:color w:val="auto"/>
          <w:kern w:val="0"/>
          <w:szCs w:val="21"/>
          <w:highlight w:val="none"/>
        </w:rPr>
      </w:pPr>
      <w:r>
        <w:rPr>
          <w:rFonts w:hint="eastAsia" w:ascii="宋体" w:hAnsi="宋体" w:cs="宋体"/>
          <w:b/>
          <w:color w:val="auto"/>
          <w:kern w:val="0"/>
          <w:szCs w:val="21"/>
          <w:highlight w:val="none"/>
        </w:rPr>
        <w:t>附：法定代表人身份证复印件（正反面）、授权代表身份证复印件（正反面）及开标日前近三个月当地相关部门出具的社保证明。</w:t>
      </w:r>
    </w:p>
    <w:p>
      <w:pPr>
        <w:widowControl/>
        <w:snapToGrid w:val="0"/>
        <w:spacing w:before="50" w:after="50"/>
        <w:jc w:val="left"/>
        <w:rPr>
          <w:rFonts w:ascii="宋体" w:hAnsi="宋体" w:cs="宋体"/>
          <w:color w:val="auto"/>
          <w:kern w:val="0"/>
          <w:szCs w:val="21"/>
          <w:highlight w:val="none"/>
        </w:rPr>
      </w:pPr>
      <w:r>
        <w:rPr>
          <w:rFonts w:hint="eastAsia" w:ascii="宋体" w:hAnsi="宋体" w:cs="宋体"/>
          <w:b/>
          <w:color w:val="auto"/>
          <w:kern w:val="0"/>
          <w:szCs w:val="21"/>
          <w:highlight w:val="none"/>
        </w:rPr>
        <w:br w:type="page"/>
      </w:r>
      <w:r>
        <w:rPr>
          <w:rFonts w:hint="eastAsia" w:ascii="宋体" w:hAnsi="宋体" w:cs="宋体"/>
          <w:b/>
          <w:bCs/>
          <w:color w:val="auto"/>
          <w:kern w:val="0"/>
          <w:szCs w:val="21"/>
          <w:highlight w:val="none"/>
        </w:rPr>
        <w:t>14.技术（服务）条款偏离表</w:t>
      </w:r>
    </w:p>
    <w:p>
      <w:pPr>
        <w:widowControl/>
        <w:snapToGrid w:val="0"/>
        <w:spacing w:before="50" w:afterLines="50" w:line="360" w:lineRule="auto"/>
        <w:jc w:val="center"/>
        <w:rPr>
          <w:rFonts w:ascii="宋体" w:hAnsi="宋体" w:cs="宋体"/>
          <w:b/>
          <w:bCs/>
          <w:color w:val="auto"/>
          <w:kern w:val="0"/>
          <w:szCs w:val="20"/>
          <w:highlight w:val="none"/>
        </w:rPr>
      </w:pPr>
      <w:r>
        <w:rPr>
          <w:rFonts w:hint="eastAsia" w:ascii="宋体" w:hAnsi="宋体" w:cs="宋体"/>
          <w:b/>
          <w:bCs/>
          <w:color w:val="auto"/>
          <w:kern w:val="0"/>
          <w:szCs w:val="20"/>
          <w:highlight w:val="none"/>
        </w:rPr>
        <w:t>技术（服务）条款偏离表</w:t>
      </w:r>
    </w:p>
    <w:p>
      <w:pPr>
        <w:widowControl/>
        <w:snapToGrid w:val="0"/>
        <w:spacing w:before="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项目编号：                   项目名称：                       标项号：</w:t>
      </w:r>
    </w:p>
    <w:tbl>
      <w:tblPr>
        <w:tblStyle w:val="2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r>
              <w:rPr>
                <w:rFonts w:hint="eastAsia" w:ascii="宋体" w:hAnsi="宋体" w:cs="宋体"/>
                <w:color w:val="auto"/>
                <w:kern w:val="0"/>
                <w:szCs w:val="20"/>
                <w:highlight w:val="none"/>
              </w:rPr>
              <w:t>条款号</w:t>
            </w: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r>
              <w:rPr>
                <w:rFonts w:hint="eastAsia" w:ascii="宋体" w:hAnsi="宋体" w:cs="宋体"/>
                <w:color w:val="auto"/>
                <w:kern w:val="0"/>
                <w:szCs w:val="20"/>
                <w:highlight w:val="none"/>
              </w:rPr>
              <w:t>招标文件的技术（服务）条款</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r>
              <w:rPr>
                <w:rFonts w:hint="eastAsia" w:ascii="宋体" w:hAnsi="宋体" w:cs="宋体"/>
                <w:color w:val="auto"/>
                <w:kern w:val="0"/>
                <w:szCs w:val="20"/>
                <w:highlight w:val="none"/>
              </w:rPr>
              <w:t>投标文件的</w:t>
            </w:r>
          </w:p>
          <w:p>
            <w:pPr>
              <w:widowControl/>
              <w:spacing w:line="360" w:lineRule="auto"/>
              <w:jc w:val="center"/>
              <w:rPr>
                <w:rFonts w:ascii="宋体" w:hAnsi="宋体" w:cs="宋体"/>
                <w:color w:val="auto"/>
                <w:kern w:val="0"/>
                <w:szCs w:val="20"/>
                <w:highlight w:val="none"/>
              </w:rPr>
            </w:pPr>
            <w:r>
              <w:rPr>
                <w:rFonts w:hint="eastAsia" w:ascii="宋体" w:hAnsi="宋体" w:cs="宋体"/>
                <w:color w:val="auto"/>
                <w:kern w:val="0"/>
                <w:szCs w:val="20"/>
                <w:highlight w:val="none"/>
              </w:rPr>
              <w:t>响应情况</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r>
              <w:rPr>
                <w:rFonts w:hint="eastAsia" w:ascii="宋体" w:hAnsi="宋体" w:cs="宋体"/>
                <w:color w:val="auto"/>
                <w:kern w:val="0"/>
                <w:szCs w:val="20"/>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bl>
    <w:p>
      <w:pPr>
        <w:widowControl/>
        <w:snapToGrid w:val="0"/>
        <w:spacing w:before="50"/>
        <w:jc w:val="left"/>
        <w:rPr>
          <w:rFonts w:ascii="宋体" w:hAnsi="宋体" w:cs="宋体"/>
          <w:color w:val="auto"/>
          <w:kern w:val="0"/>
          <w:szCs w:val="21"/>
          <w:highlight w:val="none"/>
        </w:rPr>
      </w:pP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供应商名称（公章）：</w:t>
      </w: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法定代表或授权代表</w:t>
      </w:r>
      <w:r>
        <w:rPr>
          <w:rFonts w:hint="eastAsia" w:ascii="宋体" w:hAnsi="宋体" w:cs="宋体"/>
          <w:color w:val="auto"/>
          <w:kern w:val="0"/>
          <w:szCs w:val="20"/>
          <w:highlight w:val="none"/>
        </w:rPr>
        <w:t>（签名或印章）</w:t>
      </w:r>
      <w:r>
        <w:rPr>
          <w:rFonts w:hint="eastAsia" w:ascii="宋体" w:hAnsi="宋体" w:cs="宋体"/>
          <w:color w:val="auto"/>
          <w:kern w:val="0"/>
          <w:szCs w:val="21"/>
          <w:highlight w:val="none"/>
        </w:rPr>
        <w:t>：</w:t>
      </w:r>
    </w:p>
    <w:p>
      <w:pPr>
        <w:widowControl/>
        <w:snapToGrid w:val="0"/>
        <w:spacing w:before="50"/>
        <w:jc w:val="left"/>
        <w:rPr>
          <w:rFonts w:ascii="宋体" w:hAnsi="宋体" w:cs="宋体"/>
          <w:color w:val="auto"/>
          <w:kern w:val="0"/>
          <w:szCs w:val="21"/>
          <w:highlight w:val="none"/>
        </w:rPr>
      </w:pP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widowControl/>
        <w:snapToGrid w:val="0"/>
        <w:spacing w:before="50"/>
        <w:jc w:val="left"/>
        <w:rPr>
          <w:rFonts w:ascii="宋体" w:hAnsi="宋体" w:cs="宋体"/>
          <w:color w:val="auto"/>
          <w:kern w:val="0"/>
          <w:szCs w:val="21"/>
          <w:highlight w:val="none"/>
        </w:rPr>
      </w:pPr>
    </w:p>
    <w:p>
      <w:pPr>
        <w:widowControl/>
        <w:snapToGrid w:val="0"/>
        <w:spacing w:before="50"/>
        <w:jc w:val="left"/>
        <w:rPr>
          <w:rFonts w:ascii="宋体" w:hAnsi="宋体" w:cs="宋体"/>
          <w:color w:val="auto"/>
          <w:kern w:val="0"/>
          <w:szCs w:val="21"/>
          <w:highlight w:val="none"/>
        </w:rPr>
      </w:pPr>
    </w:p>
    <w:p>
      <w:pPr>
        <w:widowControl/>
        <w:snapToGrid w:val="0"/>
        <w:spacing w:before="50"/>
        <w:jc w:val="left"/>
        <w:rPr>
          <w:rFonts w:ascii="宋体" w:hAnsi="宋体" w:cs="宋体"/>
          <w:color w:val="auto"/>
          <w:kern w:val="0"/>
          <w:szCs w:val="21"/>
          <w:highlight w:val="none"/>
        </w:rPr>
      </w:pP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color w:val="auto"/>
          <w:kern w:val="0"/>
          <w:szCs w:val="21"/>
          <w:highlight w:val="none"/>
        </w:rPr>
        <w:t>15</w:t>
      </w:r>
      <w:r>
        <w:rPr>
          <w:rFonts w:hint="eastAsia" w:ascii="宋体" w:hAnsi="宋体" w:cs="宋体"/>
          <w:b/>
          <w:bCs/>
          <w:color w:val="auto"/>
          <w:kern w:val="0"/>
          <w:szCs w:val="21"/>
          <w:highlight w:val="none"/>
        </w:rPr>
        <w:t>. 商务条款偏离表</w:t>
      </w:r>
    </w:p>
    <w:p>
      <w:pPr>
        <w:widowControl/>
        <w:snapToGrid w:val="0"/>
        <w:spacing w:before="50" w:afterLines="50" w:line="360" w:lineRule="auto"/>
        <w:jc w:val="center"/>
        <w:rPr>
          <w:rFonts w:ascii="宋体" w:hAnsi="宋体" w:cs="宋体"/>
          <w:b/>
          <w:bCs/>
          <w:color w:val="auto"/>
          <w:kern w:val="0"/>
          <w:szCs w:val="20"/>
          <w:highlight w:val="none"/>
        </w:rPr>
      </w:pPr>
      <w:r>
        <w:rPr>
          <w:rFonts w:hint="eastAsia" w:ascii="宋体" w:hAnsi="宋体" w:cs="宋体"/>
          <w:b/>
          <w:bCs/>
          <w:color w:val="auto"/>
          <w:kern w:val="0"/>
          <w:szCs w:val="20"/>
          <w:highlight w:val="none"/>
        </w:rPr>
        <w:t>商务条款偏离表</w:t>
      </w:r>
    </w:p>
    <w:p>
      <w:pPr>
        <w:widowControl/>
        <w:snapToGrid w:val="0"/>
        <w:spacing w:before="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项目编号：                   项目名称：                       标项号：</w:t>
      </w:r>
    </w:p>
    <w:tbl>
      <w:tblPr>
        <w:tblStyle w:val="2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r>
              <w:rPr>
                <w:rFonts w:hint="eastAsia" w:ascii="宋体" w:hAnsi="宋体" w:cs="宋体"/>
                <w:color w:val="auto"/>
                <w:kern w:val="0"/>
                <w:szCs w:val="20"/>
                <w:highlight w:val="none"/>
              </w:rPr>
              <w:t>条款号</w:t>
            </w: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r>
              <w:rPr>
                <w:rFonts w:hint="eastAsia" w:ascii="宋体" w:hAnsi="宋体" w:cs="宋体"/>
                <w:color w:val="auto"/>
                <w:kern w:val="0"/>
                <w:szCs w:val="20"/>
                <w:highlight w:val="none"/>
              </w:rPr>
              <w:t>招标文件的商务条款</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r>
              <w:rPr>
                <w:rFonts w:hint="eastAsia" w:ascii="宋体" w:hAnsi="宋体" w:cs="宋体"/>
                <w:color w:val="auto"/>
                <w:kern w:val="0"/>
                <w:szCs w:val="20"/>
                <w:highlight w:val="none"/>
              </w:rPr>
              <w:t>投标文件的</w:t>
            </w:r>
          </w:p>
          <w:p>
            <w:pPr>
              <w:widowControl/>
              <w:spacing w:line="360" w:lineRule="auto"/>
              <w:jc w:val="center"/>
              <w:rPr>
                <w:rFonts w:ascii="宋体" w:hAnsi="宋体" w:cs="宋体"/>
                <w:color w:val="auto"/>
                <w:kern w:val="0"/>
                <w:szCs w:val="20"/>
                <w:highlight w:val="none"/>
              </w:rPr>
            </w:pPr>
            <w:r>
              <w:rPr>
                <w:rFonts w:hint="eastAsia" w:ascii="宋体" w:hAnsi="宋体" w:cs="宋体"/>
                <w:color w:val="auto"/>
                <w:kern w:val="0"/>
                <w:szCs w:val="20"/>
                <w:highlight w:val="none"/>
              </w:rPr>
              <w:t>响应情况</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r>
              <w:rPr>
                <w:rFonts w:hint="eastAsia" w:ascii="宋体" w:hAnsi="宋体" w:cs="宋体"/>
                <w:color w:val="auto"/>
                <w:kern w:val="0"/>
                <w:szCs w:val="20"/>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Cs w:val="20"/>
                <w:highlight w:val="none"/>
              </w:rPr>
            </w:pPr>
          </w:p>
        </w:tc>
        <w:tc>
          <w:tcPr>
            <w:tcW w:w="464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Cs w:val="20"/>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szCs w:val="20"/>
                <w:highlight w:val="none"/>
              </w:rPr>
            </w:pPr>
          </w:p>
        </w:tc>
      </w:tr>
    </w:tbl>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0"/>
          <w:highlight w:val="none"/>
        </w:rPr>
        <w:t>供应商须按第二章《采购需求》</w:t>
      </w:r>
      <w:r>
        <w:rPr>
          <w:rFonts w:hint="eastAsia" w:ascii="宋体" w:hAnsi="宋体" w:cs="宋体"/>
          <w:color w:val="auto"/>
          <w:kern w:val="0"/>
          <w:szCs w:val="21"/>
          <w:highlight w:val="none"/>
        </w:rPr>
        <w:t>“</w:t>
      </w:r>
      <w:r>
        <w:rPr>
          <w:rFonts w:hint="eastAsia" w:ascii="宋体" w:hAnsi="宋体" w:cs="宋体"/>
          <w:color w:val="auto"/>
          <w:kern w:val="0"/>
          <w:szCs w:val="20"/>
          <w:highlight w:val="none"/>
        </w:rPr>
        <w:t>一、重要商务要求一览表”逐项填写，并根据“第五章 政府采购合同主要条款”内容自行补充。</w:t>
      </w:r>
    </w:p>
    <w:p>
      <w:pPr>
        <w:widowControl/>
        <w:snapToGrid w:val="0"/>
        <w:spacing w:before="50"/>
        <w:jc w:val="left"/>
        <w:rPr>
          <w:rFonts w:ascii="宋体" w:hAnsi="宋体" w:cs="宋体"/>
          <w:color w:val="auto"/>
          <w:kern w:val="0"/>
          <w:szCs w:val="20"/>
          <w:highlight w:val="none"/>
        </w:rPr>
      </w:pPr>
    </w:p>
    <w:p>
      <w:pPr>
        <w:widowControl/>
        <w:snapToGrid w:val="0"/>
        <w:spacing w:before="50"/>
        <w:jc w:val="left"/>
        <w:rPr>
          <w:rFonts w:ascii="宋体" w:hAnsi="宋体" w:cs="宋体"/>
          <w:color w:val="auto"/>
          <w:kern w:val="0"/>
          <w:szCs w:val="20"/>
          <w:highlight w:val="none"/>
        </w:rPr>
      </w:pP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供应商名称（公章）：</w:t>
      </w: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法定代表或授权代表</w:t>
      </w:r>
      <w:r>
        <w:rPr>
          <w:rFonts w:hint="eastAsia" w:ascii="宋体" w:hAnsi="宋体" w:cs="宋体"/>
          <w:color w:val="auto"/>
          <w:kern w:val="0"/>
          <w:szCs w:val="20"/>
          <w:highlight w:val="none"/>
        </w:rPr>
        <w:t>（签名或印章）</w:t>
      </w:r>
      <w:r>
        <w:rPr>
          <w:rFonts w:hint="eastAsia" w:ascii="宋体" w:hAnsi="宋体" w:cs="宋体"/>
          <w:color w:val="auto"/>
          <w:kern w:val="0"/>
          <w:szCs w:val="21"/>
          <w:highlight w:val="none"/>
        </w:rPr>
        <w:t>：</w:t>
      </w:r>
    </w:p>
    <w:p>
      <w:pPr>
        <w:widowControl/>
        <w:snapToGrid w:val="0"/>
        <w:spacing w:before="50"/>
        <w:jc w:val="left"/>
        <w:rPr>
          <w:rFonts w:ascii="宋体" w:hAnsi="宋体" w:cs="宋体"/>
          <w:color w:val="auto"/>
          <w:kern w:val="0"/>
          <w:szCs w:val="21"/>
          <w:highlight w:val="none"/>
        </w:rPr>
      </w:pPr>
    </w:p>
    <w:p>
      <w:pPr>
        <w:widowControl/>
        <w:snapToGrid w:val="0"/>
        <w:spacing w:before="5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年    月    日</w:t>
      </w:r>
    </w:p>
    <w:p>
      <w:pPr>
        <w:widowControl/>
        <w:snapToGrid w:val="0"/>
        <w:spacing w:before="50"/>
        <w:jc w:val="left"/>
        <w:rPr>
          <w:rFonts w:ascii="宋体" w:hAnsi="宋体" w:cs="宋体"/>
          <w:color w:val="auto"/>
          <w:kern w:val="0"/>
          <w:szCs w:val="21"/>
          <w:highlight w:val="none"/>
        </w:rPr>
      </w:pPr>
    </w:p>
    <w:p>
      <w:pPr>
        <w:widowControl/>
        <w:snapToGrid w:val="0"/>
        <w:spacing w:beforeLines="50" w:after="50"/>
        <w:jc w:val="left"/>
        <w:rPr>
          <w:rFonts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b/>
          <w:bCs/>
          <w:color w:val="auto"/>
          <w:kern w:val="0"/>
          <w:szCs w:val="21"/>
          <w:highlight w:val="none"/>
        </w:rPr>
        <w:t>16.供应商情况一览表</w:t>
      </w:r>
    </w:p>
    <w:p>
      <w:pPr>
        <w:widowControl/>
        <w:snapToGrid w:val="0"/>
        <w:spacing w:beforeLines="50" w:after="50"/>
        <w:jc w:val="left"/>
        <w:rPr>
          <w:rFonts w:ascii="宋体" w:hAnsi="宋体" w:cs="宋体"/>
          <w:color w:val="auto"/>
          <w:kern w:val="0"/>
          <w:szCs w:val="21"/>
          <w:highlight w:val="none"/>
        </w:rPr>
      </w:pPr>
    </w:p>
    <w:p>
      <w:pPr>
        <w:widowControl/>
        <w:snapToGrid w:val="0"/>
        <w:spacing w:before="50" w:afterLines="50" w:line="360" w:lineRule="auto"/>
        <w:jc w:val="center"/>
        <w:rPr>
          <w:rFonts w:ascii="宋体" w:hAnsi="宋体" w:cs="宋体"/>
          <w:b/>
          <w:bCs/>
          <w:color w:val="auto"/>
          <w:kern w:val="0"/>
          <w:szCs w:val="20"/>
          <w:highlight w:val="none"/>
        </w:rPr>
      </w:pPr>
      <w:r>
        <w:rPr>
          <w:rFonts w:hint="eastAsia" w:ascii="宋体" w:hAnsi="宋体" w:cs="宋体"/>
          <w:b/>
          <w:bCs/>
          <w:color w:val="auto"/>
          <w:kern w:val="0"/>
          <w:szCs w:val="20"/>
          <w:highlight w:val="none"/>
        </w:rPr>
        <w:t>供应商情况一览表</w:t>
      </w:r>
    </w:p>
    <w:tbl>
      <w:tblPr>
        <w:tblStyle w:val="26"/>
        <w:tblW w:w="0" w:type="auto"/>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86"/>
        <w:gridCol w:w="986"/>
        <w:gridCol w:w="584"/>
        <w:gridCol w:w="402"/>
        <w:gridCol w:w="986"/>
        <w:gridCol w:w="284"/>
        <w:gridCol w:w="702"/>
        <w:gridCol w:w="875"/>
        <w:gridCol w:w="11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8318" w:type="dxa"/>
            <w:gridSpan w:val="11"/>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单位名称</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地  址</w:t>
            </w:r>
          </w:p>
        </w:tc>
        <w:tc>
          <w:tcPr>
            <w:tcW w:w="4228"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法定代表人</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成立时间</w:t>
            </w:r>
          </w:p>
        </w:tc>
        <w:tc>
          <w:tcPr>
            <w:tcW w:w="4228"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注册资本</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开户银行</w:t>
            </w:r>
          </w:p>
        </w:tc>
        <w:tc>
          <w:tcPr>
            <w:tcW w:w="2556"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c>
          <w:tcPr>
            <w:tcW w:w="1672"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帐  号</w:t>
            </w:r>
          </w:p>
        </w:tc>
        <w:tc>
          <w:tcPr>
            <w:tcW w:w="2676" w:type="dxa"/>
            <w:gridSpan w:val="4"/>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联系电话</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企业总人数</w:t>
            </w: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管理</w:t>
            </w:r>
          </w:p>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人员</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技术</w:t>
            </w:r>
          </w:p>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人员</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c>
          <w:tcPr>
            <w:tcW w:w="98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职工</w:t>
            </w:r>
          </w:p>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人员</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经营范围</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trPr>
        <w:tc>
          <w:tcPr>
            <w:tcW w:w="141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企业现有的资质证书</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宋体" w:hAnsi="宋体" w:cs="宋体"/>
                <w:color w:val="auto"/>
                <w:kern w:val="0"/>
                <w:szCs w:val="21"/>
                <w:highlight w:val="none"/>
              </w:rPr>
            </w:pPr>
          </w:p>
        </w:tc>
      </w:tr>
    </w:tbl>
    <w:p>
      <w:pPr>
        <w:widowControl/>
        <w:snapToGrid w:val="0"/>
        <w:spacing w:before="50" w:afterLines="50"/>
        <w:jc w:val="left"/>
        <w:rPr>
          <w:rFonts w:ascii="宋体" w:hAnsi="宋体" w:cs="宋体"/>
          <w:color w:val="auto"/>
          <w:kern w:val="0"/>
          <w:szCs w:val="21"/>
          <w:highlight w:val="none"/>
        </w:rPr>
      </w:pPr>
    </w:p>
    <w:p>
      <w:pPr>
        <w:widowControl/>
        <w:snapToGrid w:val="0"/>
        <w:spacing w:before="50" w:afterLines="50"/>
        <w:jc w:val="left"/>
        <w:rPr>
          <w:rFonts w:ascii="宋体" w:hAnsi="宋体" w:cs="宋体"/>
          <w:color w:val="auto"/>
          <w:kern w:val="0"/>
          <w:szCs w:val="21"/>
          <w:highlight w:val="none"/>
        </w:rPr>
      </w:pPr>
    </w:p>
    <w:p>
      <w:pPr>
        <w:widowControl/>
        <w:jc w:val="left"/>
        <w:rPr>
          <w:rFonts w:ascii="宋体" w:hAnsi="宋体" w:cs="宋体"/>
          <w:color w:val="auto"/>
          <w:szCs w:val="21"/>
          <w:highlight w:val="none"/>
        </w:rPr>
        <w:sectPr>
          <w:footerReference r:id="rId3" w:type="default"/>
          <w:pgSz w:w="11906" w:h="16838"/>
          <w:pgMar w:top="1304" w:right="1797" w:bottom="1247" w:left="1797" w:header="851" w:footer="851" w:gutter="0"/>
          <w:pgNumType w:start="1"/>
          <w:cols w:space="720" w:num="1"/>
        </w:sectPr>
      </w:pPr>
    </w:p>
    <w:p>
      <w:pPr>
        <w:widowControl/>
        <w:snapToGrid w:val="0"/>
        <w:spacing w:beforeLines="50" w:after="5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.第四章评标办法及评分标准中需提供的其他相关资质证书及合同复印件加盖公章；</w:t>
      </w:r>
    </w:p>
    <w:p>
      <w:pPr>
        <w:widowControl/>
        <w:snapToGrid w:val="0"/>
        <w:spacing w:beforeLines="50" w:after="50"/>
        <w:jc w:val="left"/>
        <w:rPr>
          <w:rFonts w:ascii="宋体" w:hAnsi="宋体" w:cs="宋体"/>
          <w:b/>
          <w:bCs/>
          <w:color w:val="auto"/>
          <w:kern w:val="0"/>
          <w:szCs w:val="21"/>
          <w:highlight w:val="none"/>
        </w:rPr>
      </w:pPr>
    </w:p>
    <w:p>
      <w:pPr>
        <w:widowControl/>
        <w:snapToGrid w:val="0"/>
        <w:spacing w:beforeLines="50" w:after="50"/>
        <w:jc w:val="left"/>
        <w:rPr>
          <w:rFonts w:ascii="宋体" w:hAnsi="宋体" w:cs="宋体"/>
          <w:b/>
          <w:bCs/>
          <w:color w:val="auto"/>
          <w:kern w:val="0"/>
          <w:szCs w:val="21"/>
          <w:highlight w:val="none"/>
        </w:rPr>
      </w:pPr>
    </w:p>
    <w:p>
      <w:pPr>
        <w:widowControl/>
        <w:snapToGrid w:val="0"/>
        <w:spacing w:beforeLines="50" w:after="50"/>
        <w:jc w:val="left"/>
        <w:rPr>
          <w:rFonts w:ascii="宋体" w:hAnsi="宋体" w:cs="宋体"/>
          <w:b/>
          <w:bCs/>
          <w:color w:val="auto"/>
          <w:kern w:val="0"/>
          <w:szCs w:val="21"/>
          <w:highlight w:val="none"/>
        </w:rPr>
      </w:pPr>
    </w:p>
    <w:p>
      <w:pPr>
        <w:widowControl/>
        <w:snapToGrid w:val="0"/>
        <w:spacing w:beforeLines="50" w:after="50"/>
        <w:jc w:val="left"/>
        <w:rPr>
          <w:rFonts w:ascii="宋体" w:hAnsi="宋体" w:cs="宋体"/>
          <w:b/>
          <w:bCs/>
          <w:color w:val="auto"/>
          <w:kern w:val="0"/>
          <w:szCs w:val="21"/>
          <w:highlight w:val="none"/>
        </w:rPr>
      </w:pPr>
    </w:p>
    <w:p>
      <w:pPr>
        <w:widowControl/>
        <w:snapToGrid w:val="0"/>
        <w:spacing w:beforeLines="50" w:after="5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.供应商认为有需要提供的其它有关证明资料。</w:t>
      </w:r>
    </w:p>
    <w:p>
      <w:pPr>
        <w:widowControl/>
        <w:snapToGrid w:val="0"/>
        <w:spacing w:before="50" w:afterLines="50"/>
        <w:jc w:val="center"/>
        <w:rPr>
          <w:rFonts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color w:val="auto"/>
          <w:kern w:val="0"/>
          <w:szCs w:val="21"/>
          <w:highlight w:val="none"/>
        </w:rPr>
        <w:t>二、报价文件格式</w:t>
      </w:r>
    </w:p>
    <w:p>
      <w:pPr>
        <w:widowControl/>
        <w:snapToGrid w:val="0"/>
        <w:spacing w:beforeLines="50" w:after="50"/>
        <w:jc w:val="left"/>
        <w:rPr>
          <w:rFonts w:ascii="宋体" w:hAnsi="宋体" w:cs="宋体"/>
          <w:b/>
          <w:bCs/>
          <w:color w:val="auto"/>
          <w:kern w:val="0"/>
          <w:szCs w:val="21"/>
          <w:highlight w:val="none"/>
        </w:rPr>
      </w:pPr>
      <w:r>
        <w:rPr>
          <w:rFonts w:hint="eastAsia" w:ascii="宋体" w:hAnsi="宋体" w:cs="宋体"/>
          <w:b/>
          <w:color w:val="auto"/>
          <w:kern w:val="0"/>
          <w:szCs w:val="21"/>
          <w:highlight w:val="none"/>
        </w:rPr>
        <w:t>1.</w:t>
      </w:r>
      <w:r>
        <w:rPr>
          <w:rFonts w:hint="eastAsia" w:ascii="宋体" w:hAnsi="宋体" w:cs="宋体"/>
          <w:b/>
          <w:bCs/>
          <w:color w:val="auto"/>
          <w:kern w:val="0"/>
          <w:szCs w:val="21"/>
          <w:highlight w:val="none"/>
        </w:rPr>
        <w:t>报价文件的外包装封面格式（不可缺）：</w:t>
      </w:r>
    </w:p>
    <w:p>
      <w:pPr>
        <w:widowControl/>
        <w:snapToGrid w:val="0"/>
        <w:spacing w:beforeLines="50" w:after="50"/>
        <w:jc w:val="left"/>
        <w:rPr>
          <w:rFonts w:ascii="宋体" w:hAnsi="宋体" w:cs="宋体"/>
          <w:bCs/>
          <w:color w:val="auto"/>
          <w:kern w:val="0"/>
          <w:szCs w:val="21"/>
          <w:highlight w:val="none"/>
        </w:rPr>
      </w:pPr>
    </w:p>
    <w:p>
      <w:pPr>
        <w:widowControl/>
        <w:snapToGrid w:val="0"/>
        <w:spacing w:beforeLines="50" w:after="50"/>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报价文件</w:t>
      </w:r>
    </w:p>
    <w:p>
      <w:pPr>
        <w:widowControl/>
        <w:snapToGrid w:val="0"/>
        <w:spacing w:beforeLines="50" w:after="50"/>
        <w:jc w:val="left"/>
        <w:rPr>
          <w:rFonts w:ascii="宋体" w:hAnsi="宋体" w:cs="宋体"/>
          <w:bCs/>
          <w:color w:val="auto"/>
          <w:kern w:val="0"/>
          <w:szCs w:val="21"/>
          <w:highlight w:val="none"/>
        </w:rPr>
      </w:pPr>
    </w:p>
    <w:p>
      <w:pPr>
        <w:widowControl/>
        <w:snapToGrid w:val="0"/>
        <w:spacing w:beforeLines="50" w:after="50"/>
        <w:ind w:firstLine="932" w:firstLineChars="444"/>
        <w:jc w:val="left"/>
        <w:rPr>
          <w:rFonts w:ascii="宋体" w:hAnsi="宋体" w:cs="宋体"/>
          <w:color w:val="auto"/>
          <w:kern w:val="0"/>
          <w:szCs w:val="20"/>
          <w:highlight w:val="none"/>
        </w:rPr>
      </w:pPr>
      <w:r>
        <w:rPr>
          <w:rFonts w:hint="eastAsia" w:ascii="宋体" w:hAnsi="宋体" w:cs="宋体"/>
          <w:bCs/>
          <w:color w:val="auto"/>
          <w:kern w:val="0"/>
          <w:szCs w:val="21"/>
          <w:highlight w:val="none"/>
        </w:rPr>
        <w:t>项目名称：</w:t>
      </w:r>
    </w:p>
    <w:p>
      <w:pPr>
        <w:widowControl/>
        <w:snapToGrid w:val="0"/>
        <w:spacing w:beforeLines="50" w:after="50"/>
        <w:ind w:firstLine="932" w:firstLineChars="444"/>
        <w:jc w:val="left"/>
        <w:rPr>
          <w:rFonts w:ascii="宋体" w:hAnsi="宋体" w:cs="宋体"/>
          <w:bCs/>
          <w:color w:val="auto"/>
          <w:kern w:val="0"/>
          <w:szCs w:val="21"/>
          <w:highlight w:val="none"/>
        </w:rPr>
      </w:pPr>
      <w:r>
        <w:rPr>
          <w:rFonts w:hint="eastAsia" w:ascii="宋体" w:hAnsi="宋体" w:cs="宋体"/>
          <w:bCs/>
          <w:color w:val="auto"/>
          <w:kern w:val="0"/>
          <w:szCs w:val="21"/>
          <w:highlight w:val="none"/>
        </w:rPr>
        <w:t xml:space="preserve">项目编号：   </w:t>
      </w:r>
    </w:p>
    <w:p>
      <w:pPr>
        <w:widowControl/>
        <w:snapToGrid w:val="0"/>
        <w:spacing w:beforeLines="50" w:after="50"/>
        <w:ind w:firstLine="932" w:firstLineChars="444"/>
        <w:jc w:val="left"/>
        <w:rPr>
          <w:rFonts w:ascii="宋体" w:hAnsi="宋体" w:cs="宋体"/>
          <w:bCs/>
          <w:color w:val="auto"/>
          <w:kern w:val="0"/>
          <w:szCs w:val="21"/>
          <w:highlight w:val="none"/>
        </w:rPr>
      </w:pPr>
      <w:r>
        <w:rPr>
          <w:rFonts w:hint="eastAsia" w:ascii="宋体" w:hAnsi="宋体" w:cs="宋体"/>
          <w:bCs/>
          <w:color w:val="auto"/>
          <w:kern w:val="0"/>
          <w:szCs w:val="21"/>
          <w:highlight w:val="none"/>
        </w:rPr>
        <w:t>标项号：</w:t>
      </w:r>
    </w:p>
    <w:p>
      <w:pPr>
        <w:widowControl/>
        <w:snapToGrid w:val="0"/>
        <w:spacing w:beforeLines="50" w:after="50"/>
        <w:ind w:firstLine="932" w:firstLineChars="444"/>
        <w:jc w:val="left"/>
        <w:rPr>
          <w:rFonts w:ascii="宋体" w:hAnsi="宋体" w:cs="宋体"/>
          <w:bCs/>
          <w:color w:val="auto"/>
          <w:kern w:val="0"/>
          <w:szCs w:val="21"/>
          <w:highlight w:val="none"/>
        </w:rPr>
      </w:pPr>
    </w:p>
    <w:p>
      <w:pPr>
        <w:snapToGrid w:val="0"/>
        <w:spacing w:before="50" w:after="50"/>
        <w:ind w:firstLine="932" w:firstLineChars="444"/>
        <w:rPr>
          <w:rFonts w:ascii="宋体" w:hAnsi="宋体" w:cs="宋体"/>
          <w:bCs/>
          <w:color w:val="auto"/>
          <w:szCs w:val="21"/>
          <w:highlight w:val="none"/>
        </w:rPr>
      </w:pPr>
      <w:r>
        <w:rPr>
          <w:rFonts w:hint="eastAsia" w:ascii="宋体" w:hAnsi="宋体" w:cs="宋体"/>
          <w:bCs/>
          <w:color w:val="auto"/>
          <w:szCs w:val="21"/>
          <w:highlight w:val="none"/>
        </w:rPr>
        <w:t>供应商名称：</w:t>
      </w:r>
    </w:p>
    <w:p>
      <w:pPr>
        <w:snapToGrid w:val="0"/>
        <w:spacing w:before="50" w:after="50"/>
        <w:ind w:firstLine="932" w:firstLineChars="444"/>
        <w:rPr>
          <w:rFonts w:ascii="宋体" w:hAnsi="宋体" w:cs="宋体"/>
          <w:bCs/>
          <w:color w:val="auto"/>
          <w:szCs w:val="21"/>
          <w:highlight w:val="none"/>
        </w:rPr>
      </w:pPr>
      <w:r>
        <w:rPr>
          <w:rFonts w:hint="eastAsia" w:ascii="宋体" w:hAnsi="宋体" w:cs="宋体"/>
          <w:bCs/>
          <w:color w:val="auto"/>
          <w:szCs w:val="21"/>
          <w:highlight w:val="none"/>
        </w:rPr>
        <w:t>供应商地址：</w:t>
      </w:r>
    </w:p>
    <w:p>
      <w:pPr>
        <w:snapToGrid w:val="0"/>
        <w:spacing w:before="50" w:after="50"/>
        <w:ind w:firstLine="932" w:firstLineChars="444"/>
        <w:jc w:val="center"/>
        <w:rPr>
          <w:rFonts w:ascii="宋体" w:hAnsi="宋体" w:cs="宋体"/>
          <w:bCs/>
          <w:color w:val="auto"/>
          <w:szCs w:val="21"/>
          <w:highlight w:val="none"/>
        </w:rPr>
      </w:pPr>
      <w:r>
        <w:rPr>
          <w:rFonts w:hint="eastAsia" w:ascii="宋体" w:hAnsi="宋体" w:cs="宋体"/>
          <w:bCs/>
          <w:color w:val="auto"/>
          <w:szCs w:val="21"/>
          <w:highlight w:val="none"/>
        </w:rPr>
        <w:t>开标时启封</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（供应商公章）</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jc w:val="left"/>
        <w:rPr>
          <w:rFonts w:ascii="宋体" w:hAnsi="宋体" w:cs="宋体"/>
          <w:color w:val="auto"/>
          <w:kern w:val="0"/>
          <w:szCs w:val="20"/>
          <w:highlight w:val="none"/>
        </w:rPr>
      </w:pPr>
    </w:p>
    <w:p>
      <w:pPr>
        <w:widowControl/>
        <w:jc w:val="left"/>
        <w:rPr>
          <w:rFonts w:ascii="宋体" w:hAnsi="宋体" w:cs="宋体"/>
          <w:color w:val="auto"/>
          <w:kern w:val="0"/>
          <w:szCs w:val="20"/>
          <w:highlight w:val="none"/>
        </w:rPr>
      </w:pPr>
    </w:p>
    <w:p>
      <w:pPr>
        <w:widowControl/>
        <w:snapToGrid w:val="0"/>
        <w:spacing w:beforeLines="50" w:after="50"/>
        <w:jc w:val="left"/>
        <w:rPr>
          <w:rFonts w:ascii="宋体" w:hAnsi="宋体" w:cs="宋体"/>
          <w:color w:val="auto"/>
          <w:kern w:val="0"/>
          <w:szCs w:val="21"/>
          <w:highlight w:val="none"/>
        </w:rPr>
      </w:pPr>
      <w:r>
        <w:rPr>
          <w:rFonts w:hint="eastAsia" w:ascii="宋体" w:hAnsi="宋体" w:cs="宋体"/>
          <w:b/>
          <w:bCs/>
          <w:color w:val="auto"/>
          <w:kern w:val="0"/>
          <w:szCs w:val="21"/>
          <w:highlight w:val="none"/>
        </w:rPr>
        <w:t>2.报价文件封面格式：</w:t>
      </w:r>
    </w:p>
    <w:p>
      <w:pPr>
        <w:widowControl/>
        <w:snapToGrid w:val="0"/>
        <w:spacing w:beforeLines="50" w:after="5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正本/或副本</w:t>
      </w:r>
    </w:p>
    <w:p>
      <w:pPr>
        <w:widowControl/>
        <w:snapToGrid w:val="0"/>
        <w:spacing w:beforeLines="50" w:after="50"/>
        <w:jc w:val="left"/>
        <w:rPr>
          <w:rFonts w:ascii="宋体" w:hAnsi="宋体" w:cs="宋体"/>
          <w:color w:val="auto"/>
          <w:kern w:val="0"/>
          <w:szCs w:val="21"/>
          <w:highlight w:val="none"/>
        </w:rPr>
      </w:pPr>
    </w:p>
    <w:p>
      <w:pPr>
        <w:widowControl/>
        <w:snapToGrid w:val="0"/>
        <w:spacing w:beforeLines="50" w:after="50"/>
        <w:jc w:val="center"/>
        <w:rPr>
          <w:rFonts w:ascii="宋体" w:hAnsi="宋体" w:cs="宋体"/>
          <w:bCs/>
          <w:color w:val="auto"/>
          <w:kern w:val="0"/>
          <w:szCs w:val="21"/>
          <w:highlight w:val="none"/>
        </w:rPr>
      </w:pPr>
      <w:r>
        <w:rPr>
          <w:rFonts w:hint="eastAsia" w:ascii="宋体" w:hAnsi="宋体" w:cs="宋体"/>
          <w:bCs/>
          <w:color w:val="auto"/>
          <w:kern w:val="0"/>
          <w:szCs w:val="21"/>
          <w:highlight w:val="none"/>
        </w:rPr>
        <w:t>报价文件</w:t>
      </w:r>
    </w:p>
    <w:p>
      <w:pPr>
        <w:widowControl/>
        <w:snapToGrid w:val="0"/>
        <w:spacing w:beforeLines="50" w:after="50"/>
        <w:jc w:val="left"/>
        <w:rPr>
          <w:rFonts w:ascii="宋体" w:hAnsi="宋体" w:cs="宋体"/>
          <w:bCs/>
          <w:color w:val="auto"/>
          <w:kern w:val="0"/>
          <w:szCs w:val="21"/>
          <w:highlight w:val="none"/>
        </w:rPr>
      </w:pPr>
    </w:p>
    <w:p>
      <w:pPr>
        <w:widowControl/>
        <w:snapToGrid w:val="0"/>
        <w:spacing w:beforeLines="50" w:after="50"/>
        <w:jc w:val="left"/>
        <w:rPr>
          <w:rFonts w:ascii="宋体" w:hAnsi="宋体" w:cs="宋体"/>
          <w:bCs/>
          <w:color w:val="auto"/>
          <w:kern w:val="0"/>
          <w:szCs w:val="21"/>
          <w:highlight w:val="none"/>
        </w:rPr>
      </w:pPr>
      <w:r>
        <w:rPr>
          <w:rFonts w:hint="eastAsia" w:ascii="宋体" w:hAnsi="宋体" w:cs="宋体"/>
          <w:bCs/>
          <w:color w:val="auto"/>
          <w:kern w:val="0"/>
          <w:szCs w:val="21"/>
          <w:highlight w:val="none"/>
        </w:rPr>
        <w:t xml:space="preserve">     项目名称：</w:t>
      </w:r>
    </w:p>
    <w:p>
      <w:pPr>
        <w:widowControl/>
        <w:snapToGrid w:val="0"/>
        <w:spacing w:beforeLines="50" w:after="50"/>
        <w:ind w:firstLine="504" w:firstLineChars="240"/>
        <w:jc w:val="left"/>
        <w:rPr>
          <w:rFonts w:ascii="宋体" w:hAnsi="宋体" w:cs="宋体"/>
          <w:bCs/>
          <w:color w:val="auto"/>
          <w:kern w:val="0"/>
          <w:szCs w:val="21"/>
          <w:highlight w:val="none"/>
        </w:rPr>
      </w:pPr>
      <w:r>
        <w:rPr>
          <w:rFonts w:hint="eastAsia" w:ascii="宋体" w:hAnsi="宋体" w:cs="宋体"/>
          <w:bCs/>
          <w:color w:val="auto"/>
          <w:kern w:val="0"/>
          <w:szCs w:val="21"/>
          <w:highlight w:val="none"/>
        </w:rPr>
        <w:t xml:space="preserve">项目编号： </w:t>
      </w:r>
    </w:p>
    <w:p>
      <w:pPr>
        <w:widowControl/>
        <w:snapToGrid w:val="0"/>
        <w:spacing w:beforeLines="50" w:after="50"/>
        <w:ind w:firstLine="525" w:firstLineChars="250"/>
        <w:jc w:val="left"/>
        <w:rPr>
          <w:rFonts w:ascii="宋体" w:hAnsi="宋体" w:cs="宋体"/>
          <w:bCs/>
          <w:color w:val="auto"/>
          <w:kern w:val="0"/>
          <w:szCs w:val="21"/>
          <w:highlight w:val="none"/>
        </w:rPr>
      </w:pPr>
      <w:r>
        <w:rPr>
          <w:rFonts w:hint="eastAsia" w:ascii="宋体" w:hAnsi="宋体" w:cs="宋体"/>
          <w:bCs/>
          <w:color w:val="auto"/>
          <w:kern w:val="0"/>
          <w:szCs w:val="21"/>
          <w:highlight w:val="none"/>
        </w:rPr>
        <w:t>标项号：</w:t>
      </w:r>
    </w:p>
    <w:p>
      <w:pPr>
        <w:widowControl/>
        <w:snapToGrid w:val="0"/>
        <w:spacing w:beforeLines="50" w:after="50"/>
        <w:ind w:firstLine="525" w:firstLineChars="250"/>
        <w:jc w:val="left"/>
        <w:rPr>
          <w:rFonts w:ascii="宋体" w:hAnsi="宋体" w:cs="宋体"/>
          <w:bCs/>
          <w:color w:val="auto"/>
          <w:kern w:val="0"/>
          <w:szCs w:val="21"/>
          <w:highlight w:val="none"/>
        </w:rPr>
      </w:pPr>
    </w:p>
    <w:p>
      <w:pPr>
        <w:widowControl/>
        <w:snapToGrid w:val="0"/>
        <w:spacing w:beforeLines="50" w:after="50"/>
        <w:ind w:firstLine="504" w:firstLineChars="240"/>
        <w:jc w:val="left"/>
        <w:rPr>
          <w:rFonts w:ascii="宋体" w:hAnsi="宋体" w:cs="宋体"/>
          <w:bCs/>
          <w:color w:val="auto"/>
          <w:kern w:val="0"/>
          <w:szCs w:val="21"/>
          <w:highlight w:val="none"/>
        </w:rPr>
      </w:pPr>
      <w:r>
        <w:rPr>
          <w:rFonts w:hint="eastAsia" w:ascii="宋体" w:hAnsi="宋体" w:cs="宋体"/>
          <w:bCs/>
          <w:color w:val="auto"/>
          <w:kern w:val="0"/>
          <w:szCs w:val="21"/>
          <w:highlight w:val="none"/>
        </w:rPr>
        <w:t>供应商名称：</w:t>
      </w:r>
    </w:p>
    <w:p>
      <w:pPr>
        <w:snapToGrid w:val="0"/>
        <w:spacing w:before="50" w:after="50"/>
        <w:ind w:firstLine="504" w:firstLineChars="240"/>
        <w:rPr>
          <w:rFonts w:ascii="宋体" w:hAnsi="宋体" w:cs="宋体"/>
          <w:bCs/>
          <w:color w:val="auto"/>
          <w:szCs w:val="21"/>
          <w:highlight w:val="none"/>
        </w:rPr>
      </w:pPr>
      <w:r>
        <w:rPr>
          <w:rFonts w:hint="eastAsia" w:ascii="宋体" w:hAnsi="宋体" w:cs="宋体"/>
          <w:bCs/>
          <w:color w:val="auto"/>
          <w:szCs w:val="21"/>
          <w:highlight w:val="none"/>
        </w:rPr>
        <w:t>供应商地址：</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（供应商公章）</w:t>
      </w:r>
    </w:p>
    <w:p>
      <w:pPr>
        <w:widowControl/>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 xml:space="preserve">                                                      年  月  日</w:t>
      </w:r>
    </w:p>
    <w:p>
      <w:pPr>
        <w:widowControl/>
        <w:snapToGrid w:val="0"/>
        <w:spacing w:before="295" w:after="295"/>
        <w:jc w:val="center"/>
        <w:rPr>
          <w:rFonts w:ascii="宋体" w:hAnsi="宋体" w:cs="宋体"/>
          <w:color w:val="auto"/>
          <w:szCs w:val="21"/>
          <w:highlight w:val="none"/>
        </w:rPr>
      </w:pPr>
    </w:p>
    <w:p>
      <w:pPr>
        <w:widowControl/>
        <w:snapToGrid w:val="0"/>
        <w:spacing w:before="50" w:after="50"/>
        <w:jc w:val="left"/>
        <w:rPr>
          <w:rFonts w:ascii="宋体" w:hAnsi="宋体" w:cs="宋体"/>
          <w:color w:val="auto"/>
          <w:kern w:val="0"/>
          <w:szCs w:val="21"/>
          <w:highlight w:val="none"/>
        </w:rPr>
      </w:pPr>
      <w:r>
        <w:rPr>
          <w:rFonts w:hint="eastAsia" w:ascii="宋体" w:hAnsi="宋体" w:cs="宋体"/>
          <w:color w:val="auto"/>
          <w:kern w:val="0"/>
          <w:szCs w:val="21"/>
          <w:highlight w:val="none"/>
        </w:rPr>
        <w:br w:type="page"/>
      </w:r>
      <w:r>
        <w:rPr>
          <w:rFonts w:hint="eastAsia" w:ascii="宋体" w:hAnsi="宋体" w:cs="宋体"/>
          <w:color w:val="auto"/>
          <w:kern w:val="0"/>
          <w:szCs w:val="21"/>
          <w:highlight w:val="none"/>
        </w:rPr>
        <w:t>3.</w:t>
      </w:r>
      <w:r>
        <w:rPr>
          <w:rFonts w:hint="eastAsia" w:ascii="宋体" w:hAnsi="宋体" w:cs="宋体"/>
          <w:b/>
          <w:bCs/>
          <w:color w:val="auto"/>
          <w:kern w:val="0"/>
          <w:szCs w:val="21"/>
          <w:highlight w:val="none"/>
        </w:rPr>
        <w:t xml:space="preserve"> 报价文件目录</w:t>
      </w:r>
    </w:p>
    <w:p>
      <w:pPr>
        <w:widowControl/>
        <w:spacing w:line="360" w:lineRule="auto"/>
        <w:jc w:val="left"/>
        <w:rPr>
          <w:rFonts w:ascii="宋体" w:hAnsi="宋体" w:cs="宋体"/>
          <w:color w:val="auto"/>
          <w:kern w:val="0"/>
          <w:szCs w:val="21"/>
          <w:highlight w:val="none"/>
        </w:rPr>
      </w:pPr>
    </w:p>
    <w:p>
      <w:pPr>
        <w:widowControl/>
        <w:numPr>
          <w:ilvl w:val="0"/>
          <w:numId w:val="18"/>
        </w:numPr>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开标一览表（格式见附件）；</w:t>
      </w:r>
    </w:p>
    <w:p>
      <w:pPr>
        <w:widowControl/>
        <w:numPr>
          <w:ilvl w:val="0"/>
          <w:numId w:val="18"/>
        </w:numPr>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投标报价明细表格式（格式见附件）；</w:t>
      </w:r>
    </w:p>
    <w:p>
      <w:pPr>
        <w:widowControl/>
        <w:numPr>
          <w:ilvl w:val="0"/>
          <w:numId w:val="18"/>
        </w:numPr>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中小企业声明函（如有）（格式见附件）；</w:t>
      </w:r>
    </w:p>
    <w:p>
      <w:pPr>
        <w:widowControl/>
        <w:numPr>
          <w:ilvl w:val="0"/>
          <w:numId w:val="18"/>
        </w:numPr>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残疾人福利性单位声明函（如有）（格式见附件）；</w:t>
      </w:r>
    </w:p>
    <w:p>
      <w:pPr>
        <w:widowControl/>
        <w:numPr>
          <w:ilvl w:val="0"/>
          <w:numId w:val="18"/>
        </w:numPr>
        <w:spacing w:line="360" w:lineRule="auto"/>
        <w:jc w:val="left"/>
        <w:rPr>
          <w:rFonts w:ascii="宋体" w:hAnsi="宋体" w:cs="宋体"/>
          <w:color w:val="auto"/>
          <w:kern w:val="0"/>
          <w:szCs w:val="20"/>
          <w:highlight w:val="none"/>
        </w:rPr>
      </w:pPr>
      <w:r>
        <w:rPr>
          <w:rFonts w:hint="eastAsia" w:ascii="宋体" w:hAnsi="宋体" w:cs="宋体"/>
          <w:color w:val="auto"/>
          <w:kern w:val="0"/>
          <w:szCs w:val="20"/>
          <w:highlight w:val="none"/>
        </w:rPr>
        <w:t>供应商针对报价需要说明的其他文件和说明（格式见附件）；</w:t>
      </w:r>
    </w:p>
    <w:p>
      <w:pPr>
        <w:widowControl/>
        <w:jc w:val="left"/>
        <w:rPr>
          <w:rFonts w:ascii="宋体" w:hAnsi="宋体" w:cs="宋体"/>
          <w:b/>
          <w:bCs/>
          <w:color w:val="auto"/>
          <w:szCs w:val="21"/>
          <w:highlight w:val="none"/>
        </w:rPr>
        <w:sectPr>
          <w:pgSz w:w="11906" w:h="16838"/>
          <w:pgMar w:top="1304" w:right="1797" w:bottom="1247" w:left="1797" w:header="720" w:footer="720" w:gutter="0"/>
          <w:cols w:space="720" w:num="1"/>
        </w:sectPr>
      </w:pPr>
    </w:p>
    <w:p>
      <w:pPr>
        <w:widowControl/>
        <w:snapToGrid w:val="0"/>
        <w:spacing w:beforeLines="50" w:after="50"/>
        <w:jc w:val="left"/>
        <w:rPr>
          <w:rFonts w:ascii="宋体" w:hAnsi="宋体" w:cs="宋体"/>
          <w:color w:val="auto"/>
          <w:kern w:val="0"/>
          <w:szCs w:val="21"/>
          <w:highlight w:val="none"/>
          <w:u w:val="single"/>
        </w:rPr>
      </w:pPr>
      <w:r>
        <w:rPr>
          <w:rFonts w:hint="eastAsia" w:ascii="宋体" w:hAnsi="宋体" w:cs="宋体"/>
          <w:b/>
          <w:bCs/>
          <w:color w:val="auto"/>
          <w:kern w:val="0"/>
          <w:szCs w:val="21"/>
          <w:highlight w:val="none"/>
        </w:rPr>
        <w:t>4. 开标一览表</w:t>
      </w:r>
    </w:p>
    <w:p>
      <w:pPr>
        <w:widowControl/>
        <w:snapToGrid w:val="0"/>
        <w:spacing w:beforeLines="50" w:after="50"/>
        <w:jc w:val="center"/>
        <w:rPr>
          <w:rFonts w:ascii="宋体" w:hAnsi="宋体" w:cs="宋体"/>
          <w:b/>
          <w:color w:val="auto"/>
          <w:kern w:val="0"/>
          <w:szCs w:val="21"/>
          <w:highlight w:val="none"/>
        </w:rPr>
      </w:pPr>
      <w:r>
        <w:rPr>
          <w:rFonts w:hint="eastAsia" w:ascii="宋体" w:hAnsi="宋体" w:cs="宋体"/>
          <w:b/>
          <w:color w:val="auto"/>
          <w:kern w:val="0"/>
          <w:szCs w:val="21"/>
          <w:highlight w:val="none"/>
        </w:rPr>
        <w:t>开标一览表</w:t>
      </w:r>
    </w:p>
    <w:p>
      <w:pPr>
        <w:widowControl/>
        <w:snapToGrid w:val="0"/>
        <w:spacing w:before="50" w:after="50"/>
        <w:jc w:val="center"/>
        <w:rPr>
          <w:rFonts w:ascii="宋体" w:hAnsi="宋体" w:cs="宋体"/>
          <w:b/>
          <w:color w:val="auto"/>
          <w:kern w:val="0"/>
          <w:szCs w:val="21"/>
          <w:highlight w:val="none"/>
        </w:rPr>
      </w:pPr>
    </w:p>
    <w:p>
      <w:pPr>
        <w:widowControl/>
        <w:snapToGrid w:val="0"/>
        <w:spacing w:before="50" w:after="50"/>
        <w:ind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项目编号：                   项目名称：                   标项号：</w:t>
      </w:r>
    </w:p>
    <w:p>
      <w:pPr>
        <w:ind w:firstLine="420"/>
        <w:jc w:val="right"/>
        <w:rPr>
          <w:rFonts w:ascii="宋体" w:hAnsi="宋体" w:cs="宋体"/>
          <w:color w:val="auto"/>
          <w:highlight w:val="none"/>
        </w:rPr>
      </w:pPr>
      <w:r>
        <w:rPr>
          <w:rFonts w:hint="eastAsia" w:ascii="宋体" w:hAnsi="宋体" w:cs="宋体"/>
          <w:color w:val="auto"/>
          <w:highlight w:val="none"/>
        </w:rPr>
        <w:t>单位：元</w:t>
      </w:r>
    </w:p>
    <w:tbl>
      <w:tblPr>
        <w:tblStyle w:val="26"/>
        <w:tblW w:w="89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4223"/>
        <w:gridCol w:w="774"/>
        <w:gridCol w:w="3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标项</w:t>
            </w: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b/>
                <w:color w:val="auto"/>
                <w:szCs w:val="21"/>
                <w:highlight w:val="none"/>
              </w:rPr>
            </w:pPr>
            <w:r>
              <w:rPr>
                <w:rFonts w:hint="eastAsia" w:ascii="宋体" w:hAnsi="宋体" w:cs="宋体"/>
                <w:b/>
                <w:color w:val="auto"/>
                <w:szCs w:val="21"/>
                <w:highlight w:val="none"/>
              </w:rPr>
              <w:t>采购内容</w:t>
            </w:r>
          </w:p>
        </w:tc>
        <w:tc>
          <w:tcPr>
            <w:tcW w:w="7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b/>
                <w:color w:val="auto"/>
                <w:szCs w:val="21"/>
                <w:highlight w:val="none"/>
              </w:rPr>
            </w:pPr>
            <w:r>
              <w:rPr>
                <w:rFonts w:hint="eastAsia" w:ascii="宋体" w:hAnsi="宋体" w:cs="宋体"/>
                <w:b/>
                <w:color w:val="auto"/>
                <w:szCs w:val="21"/>
                <w:highlight w:val="none"/>
              </w:rPr>
              <w:t>数量</w:t>
            </w:r>
          </w:p>
        </w:tc>
        <w:tc>
          <w:tcPr>
            <w:tcW w:w="322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15" w:type="dxa"/>
            <w:tcBorders>
              <w:top w:val="single" w:color="auto" w:sz="4" w:space="0"/>
              <w:left w:val="single" w:color="auto" w:sz="4" w:space="0"/>
              <w:bottom w:val="nil"/>
              <w:right w:val="single" w:color="auto" w:sz="4" w:space="0"/>
            </w:tcBorders>
            <w:vAlign w:val="center"/>
          </w:tcPr>
          <w:p>
            <w:pPr>
              <w:adjustRightInd w:val="0"/>
              <w:snapToGrid w:val="0"/>
              <w:spacing w:line="300" w:lineRule="exact"/>
              <w:jc w:val="center"/>
              <w:rPr>
                <w:rFonts w:ascii="宋体" w:hAnsi="宋体" w:cs="宋体"/>
                <w:bCs/>
                <w:color w:val="auto"/>
                <w:szCs w:val="21"/>
                <w:highlight w:val="none"/>
              </w:rPr>
            </w:pPr>
          </w:p>
        </w:tc>
        <w:tc>
          <w:tcPr>
            <w:tcW w:w="42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cs="宋体"/>
                <w:bCs/>
                <w:color w:val="auto"/>
                <w:szCs w:val="21"/>
                <w:highlight w:val="none"/>
              </w:rPr>
            </w:pPr>
          </w:p>
        </w:tc>
        <w:tc>
          <w:tcPr>
            <w:tcW w:w="7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cs="宋体"/>
                <w:bCs/>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2" w:hRule="atLeast"/>
          <w:jc w:val="center"/>
        </w:trPr>
        <w:tc>
          <w:tcPr>
            <w:tcW w:w="8933"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auto"/>
                <w:szCs w:val="21"/>
                <w:highlight w:val="none"/>
                <w:u w:val="single"/>
              </w:rPr>
            </w:pPr>
            <w:r>
              <w:rPr>
                <w:rFonts w:hint="eastAsia" w:ascii="宋体" w:hAnsi="宋体"/>
                <w:color w:val="auto"/>
                <w:szCs w:val="21"/>
                <w:highlight w:val="none"/>
              </w:rPr>
              <w:t>投标总价：</w:t>
            </w:r>
            <w:r>
              <w:rPr>
                <w:rFonts w:hint="eastAsia" w:ascii="宋体" w:hAnsi="宋体"/>
                <w:color w:val="auto"/>
                <w:szCs w:val="21"/>
                <w:highlight w:val="none"/>
                <w:u w:val="single"/>
              </w:rPr>
              <w:t xml:space="preserve">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9" w:hRule="atLeast"/>
          <w:jc w:val="center"/>
        </w:trPr>
        <w:tc>
          <w:tcPr>
            <w:tcW w:w="8933"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auto"/>
                <w:szCs w:val="21"/>
                <w:highlight w:val="none"/>
              </w:rPr>
            </w:pPr>
            <w:r>
              <w:rPr>
                <w:rFonts w:hint="eastAsia" w:ascii="宋体" w:hAnsi="宋体"/>
                <w:color w:val="auto"/>
                <w:szCs w:val="21"/>
                <w:highlight w:val="none"/>
              </w:rPr>
              <w:t>投标声明：</w:t>
            </w:r>
          </w:p>
        </w:tc>
      </w:tr>
    </w:tbl>
    <w:p>
      <w:pPr>
        <w:widowControl/>
        <w:snapToGrid w:val="0"/>
        <w:spacing w:before="50" w:after="50"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1、报价一经涂改，应在涂改处加盖单位公章或者由法定代表人或授权委托人签字或盖章，否则其投标作无效标处理。</w:t>
      </w:r>
    </w:p>
    <w:p>
      <w:pPr>
        <w:widowControl/>
        <w:snapToGrid w:val="0"/>
        <w:spacing w:before="50" w:after="50"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2、以上报价应与“投标报价明细表”中的“投标总价”相一致。</w:t>
      </w:r>
    </w:p>
    <w:p>
      <w:pPr>
        <w:widowControl/>
        <w:snapToGrid w:val="0"/>
        <w:spacing w:before="50" w:after="50" w:line="360" w:lineRule="auto"/>
        <w:jc w:val="left"/>
        <w:rPr>
          <w:rFonts w:ascii="宋体" w:hAnsi="宋体" w:cs="宋体"/>
          <w:color w:val="auto"/>
          <w:kern w:val="0"/>
          <w:szCs w:val="21"/>
          <w:highlight w:val="none"/>
        </w:rPr>
      </w:pPr>
    </w:p>
    <w:p>
      <w:pPr>
        <w:widowControl/>
        <w:snapToGrid w:val="0"/>
        <w:spacing w:before="50" w:after="50" w:line="360" w:lineRule="auto"/>
        <w:ind w:right="-817" w:rightChars="-389"/>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法定代表人或授权代表（签名或盖章）：                    </w:t>
      </w:r>
    </w:p>
    <w:p>
      <w:pPr>
        <w:widowControl/>
        <w:snapToGrid w:val="0"/>
        <w:spacing w:before="50" w:after="50" w:line="360" w:lineRule="auto"/>
        <w:ind w:right="-817" w:rightChars="-389"/>
        <w:jc w:val="left"/>
        <w:rPr>
          <w:rFonts w:ascii="宋体" w:hAnsi="宋体" w:cs="宋体"/>
          <w:color w:val="auto"/>
          <w:kern w:val="0"/>
          <w:szCs w:val="21"/>
          <w:highlight w:val="none"/>
        </w:rPr>
      </w:pPr>
      <w:r>
        <w:rPr>
          <w:rFonts w:hint="eastAsia" w:ascii="宋体" w:hAnsi="宋体" w:cs="宋体"/>
          <w:color w:val="auto"/>
          <w:kern w:val="0"/>
          <w:szCs w:val="21"/>
          <w:highlight w:val="none"/>
        </w:rPr>
        <w:t>供应商名称（盖章）：                                     日期：    年   月   日</w:t>
      </w:r>
    </w:p>
    <w:p>
      <w:pPr>
        <w:widowControl/>
        <w:jc w:val="left"/>
        <w:rPr>
          <w:rFonts w:ascii="宋体" w:hAnsi="宋体" w:cs="宋体"/>
          <w:color w:val="auto"/>
          <w:szCs w:val="21"/>
          <w:highlight w:val="none"/>
        </w:rPr>
        <w:sectPr>
          <w:pgSz w:w="11906" w:h="16838"/>
          <w:pgMar w:top="1304" w:right="1797" w:bottom="1247" w:left="1797" w:header="720" w:footer="720" w:gutter="0"/>
          <w:cols w:space="720" w:num="1"/>
        </w:sectPr>
      </w:pPr>
    </w:p>
    <w:p>
      <w:pPr>
        <w:snapToGrid w:val="0"/>
        <w:rPr>
          <w:rFonts w:ascii="宋体" w:hAnsi="宋体" w:cs="宋体"/>
          <w:b/>
          <w:bCs/>
          <w:color w:val="auto"/>
          <w:szCs w:val="21"/>
          <w:highlight w:val="none"/>
        </w:rPr>
      </w:pPr>
      <w:r>
        <w:rPr>
          <w:rFonts w:hint="eastAsia" w:ascii="宋体" w:hAnsi="宋体" w:cs="宋体"/>
          <w:b/>
          <w:bCs/>
          <w:color w:val="auto"/>
          <w:szCs w:val="21"/>
          <w:highlight w:val="none"/>
        </w:rPr>
        <w:t>5.投标报价明细表格式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投标报价明细表</w:t>
      </w:r>
    </w:p>
    <w:p>
      <w:pPr>
        <w:rPr>
          <w:rFonts w:ascii="宋体" w:hAnsi="宋体" w:cs="宋体"/>
          <w:color w:val="auto"/>
          <w:spacing w:val="-4"/>
          <w:szCs w:val="21"/>
          <w:highlight w:val="none"/>
        </w:rPr>
      </w:pPr>
      <w:r>
        <w:rPr>
          <w:rFonts w:hint="eastAsia" w:ascii="宋体" w:hAnsi="宋体" w:cs="宋体"/>
          <w:color w:val="auto"/>
          <w:spacing w:val="-4"/>
          <w:szCs w:val="21"/>
          <w:highlight w:val="none"/>
        </w:rPr>
        <w:t>采购项目：</w:t>
      </w:r>
    </w:p>
    <w:p>
      <w:pPr>
        <w:rPr>
          <w:rFonts w:ascii="宋体" w:hAnsi="宋体" w:cs="宋体"/>
          <w:color w:val="auto"/>
          <w:spacing w:val="-4"/>
          <w:szCs w:val="21"/>
          <w:highlight w:val="none"/>
        </w:rPr>
      </w:pPr>
      <w:r>
        <w:rPr>
          <w:rFonts w:hint="eastAsia" w:ascii="宋体" w:hAnsi="宋体" w:cs="宋体"/>
          <w:color w:val="auto"/>
          <w:spacing w:val="-4"/>
          <w:szCs w:val="21"/>
          <w:highlight w:val="none"/>
        </w:rPr>
        <w:t>项目编号：</w:t>
      </w:r>
    </w:p>
    <w:tbl>
      <w:tblPr>
        <w:tblStyle w:val="26"/>
        <w:tblW w:w="8940" w:type="dxa"/>
        <w:jc w:val="center"/>
        <w:tblLayout w:type="fixed"/>
        <w:tblCellMar>
          <w:top w:w="0" w:type="dxa"/>
          <w:left w:w="108" w:type="dxa"/>
          <w:bottom w:w="0" w:type="dxa"/>
          <w:right w:w="108" w:type="dxa"/>
        </w:tblCellMar>
      </w:tblPr>
      <w:tblGrid>
        <w:gridCol w:w="816"/>
        <w:gridCol w:w="3832"/>
        <w:gridCol w:w="1609"/>
        <w:gridCol w:w="1252"/>
        <w:gridCol w:w="1431"/>
      </w:tblGrid>
      <w:tr>
        <w:tblPrEx>
          <w:tblCellMar>
            <w:top w:w="0" w:type="dxa"/>
            <w:left w:w="108" w:type="dxa"/>
            <w:bottom w:w="0" w:type="dxa"/>
            <w:right w:w="108" w:type="dxa"/>
          </w:tblCellMar>
        </w:tblPrEx>
        <w:trPr>
          <w:trHeight w:val="67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zCs w:val="21"/>
                <w:highlight w:val="none"/>
              </w:rPr>
              <w:t>序号</w:t>
            </w:r>
          </w:p>
        </w:tc>
        <w:tc>
          <w:tcPr>
            <w:tcW w:w="3835" w:type="dxa"/>
            <w:tcBorders>
              <w:top w:val="single" w:color="auto" w:sz="4" w:space="0"/>
              <w:left w:val="nil"/>
              <w:bottom w:val="single" w:color="auto" w:sz="4" w:space="0"/>
              <w:right w:val="single" w:color="auto" w:sz="4" w:space="0"/>
            </w:tcBorders>
            <w:vAlign w:val="center"/>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pacing w:val="20"/>
                <w:szCs w:val="21"/>
                <w:highlight w:val="none"/>
              </w:rPr>
              <w:t>项目内容</w:t>
            </w:r>
          </w:p>
        </w:tc>
        <w:tc>
          <w:tcPr>
            <w:tcW w:w="1610" w:type="dxa"/>
            <w:tcBorders>
              <w:top w:val="single" w:color="auto" w:sz="4" w:space="0"/>
              <w:left w:val="nil"/>
              <w:bottom w:val="single" w:color="auto" w:sz="4" w:space="0"/>
              <w:right w:val="single" w:color="auto" w:sz="4" w:space="0"/>
            </w:tcBorders>
            <w:vAlign w:val="center"/>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zCs w:val="21"/>
                <w:highlight w:val="none"/>
              </w:rPr>
              <w:t>单位及数量</w:t>
            </w:r>
          </w:p>
        </w:tc>
        <w:tc>
          <w:tcPr>
            <w:tcW w:w="1253" w:type="dxa"/>
            <w:tcBorders>
              <w:top w:val="single" w:color="auto" w:sz="4" w:space="0"/>
              <w:left w:val="nil"/>
              <w:bottom w:val="single" w:color="auto" w:sz="4" w:space="0"/>
              <w:right w:val="single" w:color="auto" w:sz="4" w:space="0"/>
            </w:tcBorders>
            <w:vAlign w:val="center"/>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zCs w:val="21"/>
                <w:highlight w:val="none"/>
              </w:rPr>
              <w:t>单价（元）</w:t>
            </w:r>
          </w:p>
        </w:tc>
        <w:tc>
          <w:tcPr>
            <w:tcW w:w="1432" w:type="dxa"/>
            <w:tcBorders>
              <w:top w:val="single" w:color="auto" w:sz="4" w:space="0"/>
              <w:left w:val="nil"/>
              <w:bottom w:val="single" w:color="auto" w:sz="4" w:space="0"/>
              <w:right w:val="single" w:color="auto" w:sz="4" w:space="0"/>
            </w:tcBorders>
            <w:vAlign w:val="center"/>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zCs w:val="21"/>
                <w:highlight w:val="none"/>
              </w:rPr>
              <w:t>金额（元）</w:t>
            </w: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trHeight w:val="351" w:hRule="atLeast"/>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trHeight w:val="452" w:hRule="atLeast"/>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tcPr>
          <w:p>
            <w:pPr>
              <w:snapToGrid w:val="0"/>
              <w:spacing w:before="50" w:after="50" w:line="360" w:lineRule="auto"/>
              <w:rPr>
                <w:rFonts w:ascii="宋体" w:hAnsi="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r>
        <w:tblPrEx>
          <w:tblCellMar>
            <w:top w:w="0" w:type="dxa"/>
            <w:left w:w="108" w:type="dxa"/>
            <w:bottom w:w="0" w:type="dxa"/>
            <w:right w:w="108" w:type="dxa"/>
          </w:tblCellMar>
        </w:tblPrEx>
        <w:trPr>
          <w:jc w:val="center"/>
        </w:trPr>
        <w:tc>
          <w:tcPr>
            <w:tcW w:w="7515" w:type="dxa"/>
            <w:gridSpan w:val="4"/>
            <w:tcBorders>
              <w:top w:val="single" w:color="auto" w:sz="4" w:space="0"/>
              <w:left w:val="single" w:color="auto" w:sz="4" w:space="0"/>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r>
              <w:rPr>
                <w:rFonts w:hint="eastAsia" w:ascii="宋体" w:hAnsi="宋体" w:cs="宋体"/>
                <w:color w:val="auto"/>
                <w:spacing w:val="20"/>
                <w:szCs w:val="21"/>
                <w:highlight w:val="none"/>
              </w:rPr>
              <w:t>投标总价（元）</w:t>
            </w:r>
          </w:p>
        </w:tc>
        <w:tc>
          <w:tcPr>
            <w:tcW w:w="1432" w:type="dxa"/>
            <w:tcBorders>
              <w:top w:val="single" w:color="auto" w:sz="4" w:space="0"/>
              <w:left w:val="nil"/>
              <w:bottom w:val="single" w:color="auto" w:sz="4" w:space="0"/>
              <w:right w:val="single" w:color="auto" w:sz="4" w:space="0"/>
            </w:tcBorders>
          </w:tcPr>
          <w:p>
            <w:pPr>
              <w:snapToGrid w:val="0"/>
              <w:spacing w:before="50" w:after="50" w:line="360" w:lineRule="auto"/>
              <w:jc w:val="center"/>
              <w:rPr>
                <w:rFonts w:ascii="宋体" w:hAnsi="宋体" w:cs="宋体"/>
                <w:color w:val="auto"/>
                <w:spacing w:val="20"/>
                <w:szCs w:val="21"/>
                <w:highlight w:val="none"/>
              </w:rPr>
            </w:pPr>
          </w:p>
        </w:tc>
      </w:tr>
    </w:tbl>
    <w:p>
      <w:pPr>
        <w:rPr>
          <w:rFonts w:ascii="宋体" w:hAnsi="宋体" w:cs="宋体"/>
          <w:bCs/>
          <w:color w:val="auto"/>
          <w:szCs w:val="21"/>
          <w:highlight w:val="none"/>
        </w:rPr>
      </w:pPr>
      <w:r>
        <w:rPr>
          <w:rFonts w:hint="eastAsia" w:ascii="宋体" w:hAnsi="宋体" w:cs="宋体"/>
          <w:bCs/>
          <w:color w:val="auto"/>
          <w:szCs w:val="21"/>
          <w:highlight w:val="none"/>
        </w:rPr>
        <w:t>注：1、投标单位可根据实际情况自行调整表格；</w:t>
      </w:r>
    </w:p>
    <w:p>
      <w:pPr>
        <w:rPr>
          <w:rFonts w:ascii="宋体" w:hAnsi="宋体" w:cs="宋体"/>
          <w:color w:val="auto"/>
          <w:highlight w:val="none"/>
        </w:rPr>
      </w:pPr>
    </w:p>
    <w:p>
      <w:pPr>
        <w:spacing w:line="360" w:lineRule="auto"/>
        <w:ind w:firstLine="4095" w:firstLineChars="1950"/>
        <w:rPr>
          <w:rFonts w:ascii="宋体" w:hAnsi="宋体" w:cs="宋体"/>
          <w:color w:val="auto"/>
          <w:highlight w:val="none"/>
        </w:rPr>
      </w:pPr>
    </w:p>
    <w:p>
      <w:pPr>
        <w:spacing w:line="360" w:lineRule="auto"/>
        <w:ind w:firstLine="4095" w:firstLineChars="1950"/>
        <w:rPr>
          <w:rFonts w:ascii="宋体" w:hAnsi="宋体" w:cs="宋体"/>
          <w:color w:val="auto"/>
          <w:highlight w:val="none"/>
        </w:rPr>
      </w:pPr>
    </w:p>
    <w:p>
      <w:pPr>
        <w:spacing w:line="360" w:lineRule="auto"/>
        <w:ind w:firstLine="4095" w:firstLineChars="1950"/>
        <w:rPr>
          <w:rFonts w:ascii="宋体" w:hAnsi="宋体" w:cs="宋体"/>
          <w:color w:val="auto"/>
          <w:highlight w:val="none"/>
        </w:rPr>
      </w:pPr>
      <w:r>
        <w:rPr>
          <w:rFonts w:hint="eastAsia" w:ascii="宋体" w:hAnsi="宋体" w:cs="宋体"/>
          <w:color w:val="auto"/>
          <w:highlight w:val="none"/>
        </w:rPr>
        <w:t xml:space="preserve">法定代表人或授权代表（签名或印章）：        </w:t>
      </w:r>
    </w:p>
    <w:p>
      <w:pPr>
        <w:spacing w:line="360" w:lineRule="auto"/>
        <w:ind w:firstLine="5460" w:firstLineChars="2600"/>
        <w:rPr>
          <w:rFonts w:ascii="宋体" w:hAnsi="宋体" w:cs="宋体"/>
          <w:color w:val="auto"/>
          <w:highlight w:val="none"/>
        </w:rPr>
      </w:pPr>
      <w:r>
        <w:rPr>
          <w:rFonts w:hint="eastAsia" w:ascii="宋体" w:hAnsi="宋体" w:cs="宋体"/>
          <w:color w:val="auto"/>
          <w:highlight w:val="none"/>
        </w:rPr>
        <w:t xml:space="preserve">供应商盖章：         </w:t>
      </w:r>
    </w:p>
    <w:p>
      <w:pPr>
        <w:spacing w:after="120"/>
        <w:ind w:firstLine="5460" w:firstLineChars="2600"/>
        <w:rPr>
          <w:rFonts w:ascii="宋体" w:hAnsi="宋体" w:cs="宋体"/>
          <w:color w:val="auto"/>
          <w:highlight w:val="none"/>
        </w:rPr>
      </w:pPr>
      <w:r>
        <w:rPr>
          <w:rFonts w:hint="eastAsia" w:ascii="宋体" w:hAnsi="宋体" w:cs="宋体"/>
          <w:color w:val="auto"/>
          <w:highlight w:val="none"/>
        </w:rPr>
        <w:t>日  期：</w:t>
      </w:r>
    </w:p>
    <w:p>
      <w:pPr>
        <w:spacing w:after="120"/>
        <w:rPr>
          <w:rFonts w:ascii="宋体" w:hAnsi="宋体" w:cs="宋体"/>
          <w:color w:val="auto"/>
          <w:szCs w:val="21"/>
          <w:highlight w:val="none"/>
        </w:rPr>
      </w:pPr>
      <w:r>
        <w:rPr>
          <w:rFonts w:hint="eastAsia" w:ascii="宋体" w:hAnsi="宋体" w:cs="宋体"/>
          <w:color w:val="auto"/>
          <w:highlight w:val="none"/>
        </w:rPr>
        <w:br w:type="page"/>
      </w:r>
      <w:r>
        <w:rPr>
          <w:rFonts w:hint="eastAsia" w:ascii="宋体" w:hAnsi="宋体" w:cs="宋体"/>
          <w:b/>
          <w:bCs/>
          <w:color w:val="auto"/>
          <w:highlight w:val="none"/>
        </w:rPr>
        <w:t>6.</w:t>
      </w:r>
      <w:r>
        <w:rPr>
          <w:rFonts w:hint="eastAsia" w:ascii="宋体" w:hAnsi="宋体" w:cs="宋体"/>
          <w:b/>
          <w:bCs/>
          <w:color w:val="auto"/>
          <w:szCs w:val="21"/>
          <w:highlight w:val="none"/>
        </w:rPr>
        <w:t>中小企业声明函</w:t>
      </w:r>
    </w:p>
    <w:p>
      <w:pPr>
        <w:spacing w:after="120" w:line="520" w:lineRule="exact"/>
        <w:ind w:left="420" w:leftChars="200"/>
        <w:jc w:val="center"/>
        <w:rPr>
          <w:rFonts w:ascii="宋体" w:hAnsi="宋体" w:cs="宋体"/>
          <w:b/>
          <w:color w:val="auto"/>
          <w:sz w:val="28"/>
          <w:highlight w:val="none"/>
        </w:rPr>
      </w:pPr>
      <w:r>
        <w:rPr>
          <w:rFonts w:hint="eastAsia" w:ascii="宋体" w:hAnsi="宋体" w:cs="宋体"/>
          <w:b/>
          <w:color w:val="auto"/>
          <w:sz w:val="28"/>
          <w:szCs w:val="28"/>
          <w:highlight w:val="none"/>
        </w:rPr>
        <w:t>中小企业声明函</w:t>
      </w:r>
    </w:p>
    <w:p>
      <w:pPr>
        <w:widowControl/>
        <w:spacing w:line="588" w:lineRule="exact"/>
        <w:jc w:val="left"/>
        <w:rPr>
          <w:rFonts w:ascii="宋体" w:hAnsi="宋体" w:cs="宋体"/>
          <w:b/>
          <w:color w:val="auto"/>
          <w:spacing w:val="6"/>
          <w:kern w:val="0"/>
          <w:sz w:val="30"/>
          <w:szCs w:val="30"/>
          <w:highlight w:val="none"/>
        </w:rPr>
      </w:pP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根据财政部《政府采购促进中小企业发展暂行办法》（财库[2011]181号）和宁波市财政局《关于政府采购促进中小企业发展若干问题的通知》（甬采购办[2012]1427号）的规定，本单位郑重声明：   </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本单位参加______项目（项目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3、本单位对上述声明的真实性负责。如有虚假，将依法承担相应责任。</w:t>
      </w:r>
    </w:p>
    <w:p>
      <w:pPr>
        <w:widowControl/>
        <w:spacing w:line="360" w:lineRule="auto"/>
        <w:jc w:val="left"/>
        <w:rPr>
          <w:rFonts w:ascii="宋体" w:hAnsi="宋体" w:cs="宋体"/>
          <w:color w:val="auto"/>
          <w:kern w:val="0"/>
          <w:szCs w:val="21"/>
          <w:highlight w:val="none"/>
        </w:rPr>
      </w:pP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供应商名称（盖章）：</w:t>
      </w:r>
    </w:p>
    <w:p>
      <w:pPr>
        <w:widowControl/>
        <w:spacing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日 期：</w:t>
      </w:r>
    </w:p>
    <w:p>
      <w:pPr>
        <w:spacing w:after="120" w:line="520" w:lineRule="exact"/>
        <w:ind w:left="420" w:leftChars="200"/>
        <w:rPr>
          <w:rFonts w:ascii="宋体" w:hAnsi="宋体" w:cs="宋体"/>
          <w:b/>
          <w:color w:val="auto"/>
          <w:szCs w:val="21"/>
          <w:highlight w:val="none"/>
        </w:rPr>
      </w:pPr>
      <w:r>
        <w:rPr>
          <w:rFonts w:hint="eastAsia" w:ascii="宋体" w:hAnsi="宋体" w:cs="宋体"/>
          <w:color w:val="auto"/>
          <w:szCs w:val="21"/>
          <w:highlight w:val="none"/>
        </w:rPr>
        <w:br w:type="page"/>
      </w:r>
      <w:r>
        <w:rPr>
          <w:rFonts w:hint="eastAsia" w:ascii="宋体" w:hAnsi="宋体" w:cs="宋体"/>
          <w:b/>
          <w:color w:val="auto"/>
          <w:szCs w:val="21"/>
          <w:highlight w:val="none"/>
        </w:rPr>
        <w:t>填写说明：</w:t>
      </w:r>
    </w:p>
    <w:p>
      <w:pPr>
        <w:spacing w:after="120" w:line="520" w:lineRule="exact"/>
        <w:ind w:left="420" w:leftChars="200"/>
        <w:rPr>
          <w:rFonts w:ascii="宋体" w:hAnsi="宋体" w:cs="宋体"/>
          <w:color w:val="auto"/>
          <w:szCs w:val="21"/>
          <w:highlight w:val="none"/>
        </w:rPr>
      </w:pPr>
      <w:r>
        <w:rPr>
          <w:rFonts w:hint="eastAsia" w:ascii="宋体" w:hAnsi="宋体" w:cs="宋体"/>
          <w:color w:val="auto"/>
          <w:szCs w:val="21"/>
          <w:highlight w:val="none"/>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after="120" w:line="520" w:lineRule="exact"/>
        <w:ind w:left="420" w:leftChars="200"/>
        <w:rPr>
          <w:rFonts w:ascii="宋体" w:hAnsi="宋体" w:cs="宋体"/>
          <w:color w:val="auto"/>
          <w:szCs w:val="21"/>
          <w:highlight w:val="none"/>
        </w:rPr>
      </w:pPr>
      <w:r>
        <w:rPr>
          <w:rFonts w:hint="eastAsia" w:ascii="宋体" w:hAnsi="宋体" w:cs="宋体"/>
          <w:color w:val="auto"/>
          <w:szCs w:val="21"/>
          <w:highlight w:val="none"/>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spacing w:after="120" w:line="520" w:lineRule="exact"/>
        <w:ind w:left="420" w:leftChars="200"/>
        <w:rPr>
          <w:rFonts w:ascii="宋体" w:hAnsi="宋体" w:cs="宋体"/>
          <w:color w:val="auto"/>
          <w:szCs w:val="21"/>
          <w:highlight w:val="none"/>
        </w:rPr>
      </w:pPr>
      <w:r>
        <w:rPr>
          <w:rFonts w:hint="eastAsia" w:ascii="宋体" w:hAnsi="宋体" w:cs="宋体"/>
          <w:color w:val="auto"/>
          <w:szCs w:val="21"/>
          <w:highlight w:val="none"/>
        </w:rPr>
        <w:t>3、第2条有多个标包的，须按每个标包分别填写，无此分类货物金额的应填“零”。</w:t>
      </w:r>
    </w:p>
    <w:p>
      <w:pPr>
        <w:spacing w:after="120" w:line="520" w:lineRule="exact"/>
        <w:ind w:left="420" w:leftChars="200"/>
        <w:rPr>
          <w:rFonts w:ascii="宋体" w:hAnsi="宋体" w:cs="宋体"/>
          <w:color w:val="auto"/>
          <w:szCs w:val="21"/>
          <w:highlight w:val="none"/>
        </w:rPr>
      </w:pPr>
      <w:r>
        <w:rPr>
          <w:rFonts w:hint="eastAsia" w:ascii="宋体" w:hAnsi="宋体" w:cs="宋体"/>
          <w:color w:val="auto"/>
          <w:szCs w:val="21"/>
          <w:highlight w:val="none"/>
        </w:rPr>
        <w:t>4、联合体投标的，由联合体主办方提供本表。</w:t>
      </w:r>
    </w:p>
    <w:p>
      <w:pPr>
        <w:spacing w:after="120" w:line="520" w:lineRule="exact"/>
        <w:ind w:left="420" w:leftChars="200"/>
        <w:rPr>
          <w:rFonts w:ascii="宋体" w:hAnsi="宋体" w:cs="宋体"/>
          <w:color w:val="auto"/>
          <w:szCs w:val="21"/>
          <w:highlight w:val="none"/>
        </w:rPr>
      </w:pPr>
      <w:r>
        <w:rPr>
          <w:rFonts w:hint="eastAsia" w:ascii="宋体" w:hAnsi="宋体" w:cs="宋体"/>
          <w:color w:val="auto"/>
          <w:szCs w:val="21"/>
          <w:highlight w:val="none"/>
        </w:rPr>
        <w:t>5、资格入围式项目（一个标包由多家中标入围）：采购人公布项目预算的，第2条有关金额按市场预估总价、投标预估总价除以入围数量填写；未公布预算的或入围数量的，供应商无需填写。</w:t>
      </w:r>
    </w:p>
    <w:p>
      <w:pPr>
        <w:spacing w:after="120" w:line="520" w:lineRule="exact"/>
        <w:ind w:left="420" w:leftChars="200"/>
        <w:rPr>
          <w:rFonts w:ascii="宋体" w:hAnsi="宋体" w:cs="宋体"/>
          <w:color w:val="auto"/>
          <w:szCs w:val="21"/>
          <w:highlight w:val="none"/>
        </w:rPr>
      </w:pPr>
      <w:r>
        <w:rPr>
          <w:rFonts w:hint="eastAsia" w:ascii="宋体" w:hAnsi="宋体" w:cs="宋体"/>
          <w:color w:val="auto"/>
          <w:szCs w:val="21"/>
          <w:highlight w:val="none"/>
        </w:rPr>
        <w:t>6、投标价格为费率的项目、中标价格按单价执行的项目：采购人公布项目预算的，第2条有关金额按市场预估总价、投标预估总价填写；未公布预算的，供应商无需填写。</w:t>
      </w:r>
    </w:p>
    <w:p>
      <w:pPr>
        <w:spacing w:after="120" w:line="520" w:lineRule="exact"/>
        <w:ind w:left="420" w:leftChars="200"/>
        <w:rPr>
          <w:rFonts w:ascii="宋体" w:hAnsi="宋体" w:cs="宋体"/>
          <w:color w:val="auto"/>
          <w:szCs w:val="21"/>
          <w:highlight w:val="none"/>
        </w:rPr>
      </w:pPr>
      <w:r>
        <w:rPr>
          <w:rFonts w:hint="eastAsia" w:ascii="宋体" w:hAnsi="宋体" w:cs="宋体"/>
          <w:color w:val="auto"/>
          <w:szCs w:val="21"/>
          <w:highlight w:val="none"/>
        </w:rPr>
        <w:t>7、列入国家节能产品清单、环保产品清单的产品以中国政府采购网(www.ccgp.gov.cn)上财政部发布的文件为准。</w:t>
      </w:r>
    </w:p>
    <w:p>
      <w:pPr>
        <w:widowControl/>
        <w:spacing w:line="360" w:lineRule="auto"/>
        <w:jc w:val="left"/>
        <w:rPr>
          <w:rFonts w:ascii="宋体" w:hAnsi="宋体" w:cs="宋体"/>
          <w:b/>
          <w:bCs/>
          <w:color w:val="auto"/>
          <w:kern w:val="0"/>
          <w:szCs w:val="20"/>
          <w:highlight w:val="none"/>
        </w:rPr>
      </w:pPr>
      <w:r>
        <w:rPr>
          <w:rFonts w:hint="eastAsia" w:ascii="宋体" w:hAnsi="宋体" w:cs="宋体"/>
          <w:b/>
          <w:color w:val="auto"/>
          <w:kern w:val="0"/>
          <w:szCs w:val="21"/>
          <w:highlight w:val="none"/>
        </w:rPr>
        <w:br w:type="page"/>
      </w:r>
      <w:r>
        <w:rPr>
          <w:rFonts w:hint="eastAsia" w:ascii="宋体" w:hAnsi="宋体" w:cs="宋体"/>
          <w:b/>
          <w:bCs/>
          <w:color w:val="auto"/>
          <w:kern w:val="0"/>
          <w:szCs w:val="21"/>
          <w:highlight w:val="none"/>
        </w:rPr>
        <w:t>7.残疾人福利性单位声明函</w:t>
      </w:r>
    </w:p>
    <w:p>
      <w:pPr>
        <w:widowControl/>
        <w:spacing w:line="588" w:lineRule="exact"/>
        <w:jc w:val="center"/>
        <w:rPr>
          <w:rFonts w:ascii="宋体" w:hAnsi="宋体" w:cs="宋体"/>
          <w:b/>
          <w:color w:val="auto"/>
          <w:spacing w:val="6"/>
          <w:kern w:val="0"/>
          <w:szCs w:val="21"/>
          <w:highlight w:val="none"/>
        </w:rPr>
      </w:pPr>
      <w:r>
        <w:rPr>
          <w:rFonts w:hint="eastAsia" w:ascii="宋体" w:hAnsi="宋体" w:cs="宋体"/>
          <w:b/>
          <w:color w:val="auto"/>
          <w:spacing w:val="6"/>
          <w:kern w:val="0"/>
          <w:szCs w:val="21"/>
          <w:highlight w:val="none"/>
        </w:rPr>
        <w:t>残疾人福利性单位声明函</w:t>
      </w:r>
    </w:p>
    <w:p>
      <w:pPr>
        <w:widowControl/>
        <w:spacing w:line="588" w:lineRule="exact"/>
        <w:jc w:val="left"/>
        <w:rPr>
          <w:rFonts w:ascii="宋体" w:hAnsi="宋体" w:cs="宋体"/>
          <w:b/>
          <w:color w:val="auto"/>
          <w:spacing w:val="6"/>
          <w:kern w:val="0"/>
          <w:szCs w:val="21"/>
          <w:highlight w:val="none"/>
        </w:rPr>
      </w:pPr>
    </w:p>
    <w:p>
      <w:pPr>
        <w:widowControl/>
        <w:spacing w:line="588" w:lineRule="exact"/>
        <w:ind w:firstLine="444" w:firstLineChars="200"/>
        <w:jc w:val="left"/>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本单位郑重声明，根据《财政部 民政部 中国残疾人联合会关于促进残疾人就业政府采购政策的通知》（财库</w:t>
      </w:r>
      <w:r>
        <w:rPr>
          <w:rFonts w:hint="eastAsia" w:ascii="宋体" w:hAnsi="宋体" w:cs="宋体"/>
          <w:color w:val="auto"/>
          <w:kern w:val="0"/>
          <w:szCs w:val="21"/>
          <w:highlight w:val="none"/>
        </w:rPr>
        <w:t>〔2017〕 141</w:t>
      </w:r>
      <w:r>
        <w:rPr>
          <w:rFonts w:hint="eastAsia" w:ascii="宋体" w:hAnsi="宋体" w:cs="宋体"/>
          <w:color w:val="auto"/>
          <w:spacing w:val="6"/>
          <w:kern w:val="0"/>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588" w:lineRule="exact"/>
        <w:ind w:firstLine="444" w:firstLineChars="200"/>
        <w:jc w:val="left"/>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本单位对上述声明的真实性负责。如有虚假，将依法承担相应责任。</w:t>
      </w:r>
    </w:p>
    <w:p>
      <w:pPr>
        <w:widowControl/>
        <w:spacing w:line="588" w:lineRule="exact"/>
        <w:ind w:firstLine="444" w:firstLineChars="200"/>
        <w:jc w:val="left"/>
        <w:rPr>
          <w:rFonts w:ascii="宋体" w:hAnsi="宋体" w:cs="宋体"/>
          <w:color w:val="auto"/>
          <w:spacing w:val="6"/>
          <w:kern w:val="0"/>
          <w:szCs w:val="21"/>
          <w:highlight w:val="none"/>
        </w:rPr>
      </w:pPr>
    </w:p>
    <w:p>
      <w:pPr>
        <w:widowControl/>
        <w:spacing w:line="588" w:lineRule="exact"/>
        <w:ind w:firstLine="444" w:firstLineChars="200"/>
        <w:jc w:val="left"/>
        <w:rPr>
          <w:rFonts w:ascii="宋体" w:hAnsi="宋体" w:cs="宋体"/>
          <w:color w:val="auto"/>
          <w:spacing w:val="6"/>
          <w:kern w:val="0"/>
          <w:szCs w:val="21"/>
          <w:highlight w:val="none"/>
        </w:rPr>
      </w:pPr>
    </w:p>
    <w:p>
      <w:pPr>
        <w:widowControl/>
        <w:tabs>
          <w:tab w:val="left" w:pos="4860"/>
        </w:tabs>
        <w:spacing w:line="588" w:lineRule="exact"/>
        <w:ind w:right="1560" w:firstLine="444" w:firstLineChars="200"/>
        <w:jc w:val="center"/>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 xml:space="preserve">               单位名称（盖章）：</w:t>
      </w:r>
    </w:p>
    <w:p>
      <w:pPr>
        <w:widowControl/>
        <w:tabs>
          <w:tab w:val="left" w:pos="4860"/>
        </w:tabs>
        <w:spacing w:line="588" w:lineRule="exact"/>
        <w:ind w:right="1560" w:firstLine="444" w:firstLineChars="200"/>
        <w:jc w:val="center"/>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 xml:space="preserve">       日  期：</w:t>
      </w:r>
    </w:p>
    <w:p>
      <w:pPr>
        <w:widowControl/>
        <w:spacing w:line="360" w:lineRule="auto"/>
        <w:jc w:val="left"/>
        <w:rPr>
          <w:rFonts w:ascii="宋体" w:hAnsi="宋体" w:cs="宋体"/>
          <w:b/>
          <w:bCs/>
          <w:color w:val="auto"/>
          <w:kern w:val="0"/>
          <w:szCs w:val="21"/>
          <w:highlight w:val="none"/>
        </w:rPr>
      </w:pPr>
    </w:p>
    <w:p>
      <w:pPr>
        <w:widowControl/>
        <w:spacing w:line="360" w:lineRule="auto"/>
        <w:jc w:val="left"/>
        <w:rPr>
          <w:rFonts w:ascii="宋体" w:hAnsi="宋体" w:cs="宋体"/>
          <w:b/>
          <w:bCs/>
          <w:color w:val="auto"/>
          <w:kern w:val="0"/>
          <w:szCs w:val="21"/>
          <w:highlight w:val="none"/>
        </w:rPr>
      </w:pPr>
    </w:p>
    <w:p>
      <w:pPr>
        <w:widowControl/>
        <w:spacing w:line="360" w:lineRule="auto"/>
        <w:jc w:val="left"/>
        <w:rPr>
          <w:rFonts w:ascii="宋体" w:hAnsi="宋体" w:cs="宋体"/>
          <w:b/>
          <w:bCs/>
          <w:color w:val="auto"/>
          <w:kern w:val="0"/>
          <w:szCs w:val="21"/>
          <w:highlight w:val="none"/>
        </w:rPr>
      </w:pPr>
    </w:p>
    <w:p>
      <w:pPr>
        <w:widowControl/>
        <w:spacing w:line="360" w:lineRule="auto"/>
        <w:jc w:val="left"/>
        <w:rPr>
          <w:rFonts w:ascii="宋体" w:hAnsi="宋体" w:cs="宋体"/>
          <w:b/>
          <w:bCs/>
          <w:color w:val="auto"/>
          <w:kern w:val="0"/>
          <w:szCs w:val="21"/>
          <w:highlight w:val="none"/>
        </w:rPr>
      </w:pPr>
    </w:p>
    <w:p>
      <w:pPr>
        <w:widowControl/>
        <w:spacing w:line="360" w:lineRule="auto"/>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8.供应商针对报价需要说明的其他文件和说明（格式自拟）。</w:t>
      </w:r>
    </w:p>
    <w:p>
      <w:pPr>
        <w:spacing w:after="120" w:line="520" w:lineRule="exact"/>
        <w:ind w:left="420" w:leftChars="200"/>
        <w:rPr>
          <w:rFonts w:ascii="宋体" w:hAnsi="宋体" w:cs="宋体"/>
          <w:color w:val="auto"/>
          <w:szCs w:val="21"/>
          <w:highlight w:val="none"/>
        </w:rPr>
      </w:pPr>
    </w:p>
    <w:p>
      <w:pPr>
        <w:widowControl/>
        <w:spacing w:line="480" w:lineRule="exact"/>
        <w:jc w:val="left"/>
        <w:rPr>
          <w:rFonts w:ascii="宋体" w:hAnsi="宋体" w:cs="宋体"/>
          <w:b/>
          <w:color w:val="auto"/>
          <w:kern w:val="0"/>
          <w:szCs w:val="21"/>
          <w:highlight w:val="none"/>
        </w:rPr>
      </w:pPr>
    </w:p>
    <w:p>
      <w:pPr>
        <w:widowControl/>
        <w:snapToGrid w:val="0"/>
        <w:spacing w:line="360" w:lineRule="auto"/>
        <w:jc w:val="center"/>
        <w:rPr>
          <w:rFonts w:ascii="宋体" w:hAnsi="宋体" w:cs="宋体"/>
          <w:b/>
          <w:bCs/>
          <w:color w:val="auto"/>
          <w:kern w:val="0"/>
          <w:sz w:val="28"/>
          <w:szCs w:val="28"/>
          <w:highlight w:val="none"/>
        </w:rPr>
      </w:pPr>
      <w:r>
        <w:rPr>
          <w:rFonts w:hint="eastAsia" w:ascii="宋体" w:hAnsi="宋体" w:cs="宋体"/>
          <w:b/>
          <w:color w:val="auto"/>
          <w:kern w:val="0"/>
          <w:szCs w:val="21"/>
          <w:highlight w:val="none"/>
        </w:rPr>
        <w:br w:type="page"/>
      </w:r>
      <w:r>
        <w:rPr>
          <w:rFonts w:hint="eastAsia" w:ascii="宋体" w:hAnsi="宋体" w:cs="宋体"/>
          <w:b/>
          <w:bCs/>
          <w:color w:val="auto"/>
          <w:kern w:val="0"/>
          <w:sz w:val="28"/>
          <w:szCs w:val="28"/>
          <w:highlight w:val="none"/>
        </w:rPr>
        <w:t>四、电子备份投标文件</w:t>
      </w:r>
    </w:p>
    <w:p>
      <w:pPr>
        <w:widowControl/>
        <w:snapToGrid w:val="0"/>
        <w:spacing w:line="360" w:lineRule="auto"/>
        <w:jc w:val="left"/>
        <w:rPr>
          <w:rFonts w:ascii="宋体" w:hAnsi="宋体" w:cs="宋体"/>
          <w:b/>
          <w:color w:val="auto"/>
          <w:kern w:val="0"/>
          <w:sz w:val="28"/>
          <w:szCs w:val="28"/>
          <w:highlight w:val="none"/>
        </w:rPr>
      </w:pPr>
      <w:r>
        <w:rPr>
          <w:rFonts w:hint="eastAsia" w:ascii="宋体" w:hAnsi="宋体" w:cs="宋体"/>
          <w:color w:val="auto"/>
          <w:kern w:val="0"/>
          <w:szCs w:val="20"/>
          <w:highlight w:val="none"/>
        </w:rPr>
        <w:t>（一）</w:t>
      </w:r>
      <w:r>
        <w:rPr>
          <w:rFonts w:hint="eastAsia" w:ascii="宋体" w:hAnsi="宋体" w:cs="宋体"/>
          <w:color w:val="auto"/>
          <w:kern w:val="0"/>
          <w:szCs w:val="21"/>
          <w:highlight w:val="none"/>
        </w:rPr>
        <w:t>电子备份投标文件</w:t>
      </w:r>
      <w:r>
        <w:rPr>
          <w:rFonts w:hint="eastAsia" w:ascii="宋体" w:hAnsi="宋体" w:cs="宋体"/>
          <w:color w:val="auto"/>
          <w:kern w:val="0"/>
          <w:szCs w:val="20"/>
          <w:highlight w:val="none"/>
        </w:rPr>
        <w:t>的外包装封面格式：</w:t>
      </w:r>
    </w:p>
    <w:p>
      <w:pPr>
        <w:widowControl/>
        <w:snapToGrid w:val="0"/>
        <w:spacing w:line="360" w:lineRule="auto"/>
        <w:ind w:firstLine="275" w:firstLineChars="98"/>
        <w:jc w:val="left"/>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外包装格式：</w:t>
      </w:r>
    </w:p>
    <w:p>
      <w:pPr>
        <w:widowControl/>
        <w:spacing w:line="360" w:lineRule="auto"/>
        <w:jc w:val="center"/>
        <w:rPr>
          <w:rFonts w:ascii="宋体" w:hAnsi="宋体" w:cs="宋体"/>
          <w:color w:val="auto"/>
          <w:kern w:val="0"/>
          <w:sz w:val="40"/>
          <w:szCs w:val="40"/>
          <w:highlight w:val="none"/>
        </w:rPr>
      </w:pPr>
      <w:r>
        <w:rPr>
          <w:rFonts w:hint="eastAsia" w:ascii="宋体" w:hAnsi="宋体" w:cs="宋体"/>
          <w:color w:val="auto"/>
          <w:kern w:val="0"/>
          <w:sz w:val="40"/>
          <w:szCs w:val="40"/>
          <w:highlight w:val="none"/>
        </w:rPr>
        <w:t>电子备份投标文件</w:t>
      </w:r>
    </w:p>
    <w:p>
      <w:pPr>
        <w:widowControl/>
        <w:spacing w:line="360" w:lineRule="auto"/>
        <w:ind w:firstLine="1080" w:firstLineChars="450"/>
        <w:jc w:val="left"/>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 xml:space="preserve">项目名称： </w:t>
      </w:r>
    </w:p>
    <w:p>
      <w:pPr>
        <w:widowControl/>
        <w:spacing w:line="360" w:lineRule="auto"/>
        <w:ind w:firstLine="1080" w:firstLineChars="450"/>
        <w:jc w:val="left"/>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项目编号：</w:t>
      </w:r>
    </w:p>
    <w:p>
      <w:pPr>
        <w:widowControl/>
        <w:spacing w:line="360" w:lineRule="auto"/>
        <w:ind w:firstLine="1080" w:firstLineChars="450"/>
        <w:jc w:val="left"/>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标项号：</w:t>
      </w:r>
    </w:p>
    <w:p>
      <w:pPr>
        <w:widowControl/>
        <w:spacing w:line="360" w:lineRule="auto"/>
        <w:ind w:firstLine="1080" w:firstLineChars="450"/>
        <w:jc w:val="left"/>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供应商名称（加盖公章）：</w:t>
      </w:r>
    </w:p>
    <w:p>
      <w:pPr>
        <w:widowControl/>
        <w:spacing w:line="360" w:lineRule="auto"/>
        <w:ind w:firstLine="1080" w:firstLineChars="450"/>
        <w:jc w:val="left"/>
        <w:rPr>
          <w:rFonts w:ascii="宋体" w:hAnsi="宋体" w:cs="宋体"/>
          <w:bCs/>
          <w:color w:val="auto"/>
          <w:kern w:val="0"/>
          <w:sz w:val="24"/>
          <w:szCs w:val="20"/>
          <w:highlight w:val="none"/>
        </w:rPr>
      </w:pPr>
      <w:r>
        <w:rPr>
          <w:rFonts w:hint="eastAsia" w:ascii="宋体" w:hAnsi="宋体" w:cs="宋体"/>
          <w:bCs/>
          <w:color w:val="auto"/>
          <w:kern w:val="0"/>
          <w:sz w:val="24"/>
          <w:szCs w:val="20"/>
          <w:highlight w:val="none"/>
        </w:rPr>
        <w:t>供应商地址：</w:t>
      </w:r>
    </w:p>
    <w:p>
      <w:pPr>
        <w:widowControl/>
        <w:spacing w:line="360" w:lineRule="auto"/>
        <w:jc w:val="left"/>
        <w:rPr>
          <w:rFonts w:ascii="宋体" w:hAnsi="宋体" w:cs="宋体"/>
          <w:color w:val="auto"/>
          <w:kern w:val="0"/>
          <w:szCs w:val="20"/>
          <w:highlight w:val="none"/>
        </w:rPr>
      </w:pPr>
      <w:r>
        <w:rPr>
          <w:rFonts w:hint="eastAsia" w:ascii="宋体" w:hAnsi="宋体" w:cs="宋体"/>
          <w:bCs/>
          <w:color w:val="auto"/>
          <w:kern w:val="0"/>
          <w:sz w:val="24"/>
          <w:szCs w:val="20"/>
          <w:highlight w:val="none"/>
        </w:rPr>
        <w:t xml:space="preserve">                        年  月  日</w:t>
      </w:r>
    </w:p>
    <w:p>
      <w:pPr>
        <w:snapToGrid w:val="0"/>
        <w:spacing w:line="500" w:lineRule="exact"/>
        <w:ind w:left="357" w:hanging="357"/>
        <w:rPr>
          <w:rFonts w:ascii="宋体" w:hAnsi="宋体" w:cs="宋体"/>
          <w:b/>
          <w:bCs/>
          <w:color w:val="auto"/>
          <w:highlight w:val="none"/>
        </w:rPr>
      </w:pPr>
      <w:r>
        <w:rPr>
          <w:rFonts w:hint="eastAsia" w:ascii="宋体" w:hAnsi="宋体" w:cs="宋体"/>
          <w:color w:val="auto"/>
          <w:highlight w:val="none"/>
        </w:rPr>
        <w:br w:type="page"/>
      </w:r>
      <w:r>
        <w:rPr>
          <w:rFonts w:hint="eastAsia" w:ascii="宋体" w:hAnsi="宋体" w:cs="宋体"/>
          <w:b/>
          <w:bCs/>
          <w:color w:val="auto"/>
          <w:highlight w:val="none"/>
        </w:rPr>
        <w:t>附件：</w:t>
      </w:r>
      <w:r>
        <w:rPr>
          <w:rFonts w:hint="eastAsia" w:ascii="宋体" w:hAnsi="宋体" w:cs="宋体"/>
          <w:b/>
          <w:bCs/>
          <w:color w:val="auto"/>
          <w:szCs w:val="21"/>
          <w:highlight w:val="none"/>
        </w:rPr>
        <w:t>请各位供应商认真填写下表，于投标截止时间后按采购代理公司规定要求单独递交。</w:t>
      </w:r>
    </w:p>
    <w:p>
      <w:pPr>
        <w:widowControl w:val="0"/>
        <w:numPr>
          <w:ilvl w:val="0"/>
          <w:numId w:val="0"/>
        </w:numPr>
        <w:adjustRightInd w:val="0"/>
        <w:snapToGrid w:val="0"/>
        <w:spacing w:line="500" w:lineRule="exact"/>
        <w:ind w:left="357" w:leftChars="0" w:hanging="357"/>
        <w:jc w:val="both"/>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附件：请各位供应商认真填写下表，于投标截止时间后按采购代理公司规定要求单独递交。</w:t>
      </w:r>
    </w:p>
    <w:p>
      <w:pPr>
        <w:widowControl w:val="0"/>
        <w:numPr>
          <w:ilvl w:val="0"/>
          <w:numId w:val="0"/>
        </w:numPr>
        <w:adjustRightInd w:val="0"/>
        <w:snapToGrid w:val="0"/>
        <w:spacing w:line="500" w:lineRule="exact"/>
        <w:ind w:left="357" w:leftChars="0" w:hanging="357"/>
        <w:jc w:val="center"/>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32"/>
          <w:szCs w:val="32"/>
          <w:highlight w:val="none"/>
          <w:lang w:val="en-US" w:eastAsia="zh-CN" w:bidi="ar-SA"/>
        </w:rPr>
        <w:t>政府采购活动现场确认声明书</w:t>
      </w:r>
    </w:p>
    <w:p>
      <w:pPr>
        <w:widowControl w:val="0"/>
        <w:numPr>
          <w:ilvl w:val="0"/>
          <w:numId w:val="0"/>
        </w:numPr>
        <w:adjustRightInd w:val="0"/>
        <w:snapToGrid w:val="0"/>
        <w:spacing w:line="440" w:lineRule="exact"/>
        <w:ind w:left="357" w:leftChars="0" w:hanging="357"/>
        <w:jc w:val="both"/>
        <w:textAlignment w:val="baseline"/>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宁波中基国际招标有限公司：</w:t>
      </w:r>
    </w:p>
    <w:p>
      <w:pPr>
        <w:widowControl w:val="0"/>
        <w:numPr>
          <w:ilvl w:val="0"/>
          <w:numId w:val="0"/>
        </w:numPr>
        <w:adjustRightInd w:val="0"/>
        <w:snapToGrid w:val="0"/>
        <w:spacing w:line="440" w:lineRule="exact"/>
        <w:ind w:left="420" w:leftChars="200" w:firstLine="444" w:firstLineChars="200"/>
        <w:jc w:val="both"/>
        <w:textAlignment w:val="baseline"/>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本人</w:t>
      </w:r>
      <w:r>
        <w:rPr>
          <w:rFonts w:hint="eastAsia" w:ascii="宋体" w:hAnsi="宋体" w:eastAsia="宋体" w:cs="宋体"/>
          <w:color w:val="auto"/>
          <w:spacing w:val="6"/>
          <w:kern w:val="2"/>
          <w:sz w:val="21"/>
          <w:szCs w:val="21"/>
          <w:highlight w:val="none"/>
          <w:u w:val="single"/>
          <w:lang w:val="en-US" w:eastAsia="zh-CN" w:bidi="ar-SA"/>
        </w:rPr>
        <w:t xml:space="preserve">        </w:t>
      </w:r>
      <w:r>
        <w:rPr>
          <w:rFonts w:hint="eastAsia" w:ascii="宋体" w:hAnsi="宋体" w:eastAsia="宋体" w:cs="宋体"/>
          <w:color w:val="auto"/>
          <w:spacing w:val="6"/>
          <w:kern w:val="2"/>
          <w:sz w:val="21"/>
          <w:szCs w:val="21"/>
          <w:highlight w:val="none"/>
          <w:lang w:val="en-US" w:eastAsia="zh-CN" w:bidi="ar-SA"/>
        </w:rPr>
        <w:t>（授权代表姓名），经由</w:t>
      </w:r>
      <w:r>
        <w:rPr>
          <w:rFonts w:hint="eastAsia" w:ascii="宋体" w:hAnsi="宋体" w:eastAsia="宋体" w:cs="宋体"/>
          <w:color w:val="auto"/>
          <w:spacing w:val="6"/>
          <w:kern w:val="2"/>
          <w:sz w:val="21"/>
          <w:szCs w:val="21"/>
          <w:highlight w:val="none"/>
          <w:u w:val="single"/>
          <w:lang w:val="en-US" w:eastAsia="zh-CN" w:bidi="ar-SA"/>
        </w:rPr>
        <w:t xml:space="preserve">           </w:t>
      </w:r>
      <w:r>
        <w:rPr>
          <w:rFonts w:hint="eastAsia" w:ascii="宋体" w:hAnsi="宋体" w:eastAsia="宋体" w:cs="宋体"/>
          <w:color w:val="auto"/>
          <w:spacing w:val="6"/>
          <w:kern w:val="2"/>
          <w:sz w:val="21"/>
          <w:szCs w:val="21"/>
          <w:highlight w:val="none"/>
          <w:lang w:val="en-US" w:eastAsia="zh-CN" w:bidi="ar-SA"/>
        </w:rPr>
        <w:t>（单位）</w:t>
      </w:r>
      <w:r>
        <w:rPr>
          <w:rFonts w:hint="eastAsia" w:ascii="宋体" w:hAnsi="宋体" w:eastAsia="宋体" w:cs="宋体"/>
          <w:color w:val="auto"/>
          <w:spacing w:val="6"/>
          <w:kern w:val="2"/>
          <w:sz w:val="21"/>
          <w:szCs w:val="21"/>
          <w:highlight w:val="none"/>
          <w:u w:val="single"/>
          <w:lang w:val="en-US" w:eastAsia="zh-CN" w:bidi="ar-SA"/>
        </w:rPr>
        <w:t xml:space="preserve">         </w:t>
      </w:r>
      <w:r>
        <w:rPr>
          <w:rFonts w:hint="eastAsia" w:ascii="宋体" w:hAnsi="宋体" w:eastAsia="宋体" w:cs="宋体"/>
          <w:color w:val="auto"/>
          <w:spacing w:val="6"/>
          <w:kern w:val="2"/>
          <w:sz w:val="21"/>
          <w:szCs w:val="21"/>
          <w:highlight w:val="none"/>
          <w:lang w:val="en-US" w:eastAsia="zh-CN" w:bidi="ar-SA"/>
        </w:rPr>
        <w:t>（法定代表人姓名）合法授权参加</w:t>
      </w:r>
      <w:r>
        <w:rPr>
          <w:rFonts w:hint="eastAsia" w:ascii="宋体" w:hAnsi="宋体" w:eastAsia="宋体" w:cs="宋体"/>
          <w:color w:val="auto"/>
          <w:spacing w:val="6"/>
          <w:kern w:val="2"/>
          <w:sz w:val="21"/>
          <w:szCs w:val="21"/>
          <w:highlight w:val="none"/>
          <w:u w:val="single"/>
          <w:lang w:val="en-US" w:eastAsia="zh-CN" w:bidi="ar-SA"/>
        </w:rPr>
        <w:t>HIS软件升级改造服务项目</w:t>
      </w:r>
      <w:r>
        <w:rPr>
          <w:rFonts w:hint="eastAsia" w:ascii="宋体" w:hAnsi="宋体" w:eastAsia="宋体" w:cs="宋体"/>
          <w:color w:val="auto"/>
          <w:spacing w:val="6"/>
          <w:kern w:val="2"/>
          <w:sz w:val="21"/>
          <w:szCs w:val="21"/>
          <w:highlight w:val="none"/>
          <w:lang w:val="en-US" w:eastAsia="zh-CN" w:bidi="ar-SA"/>
        </w:rPr>
        <w:t>（编号：</w:t>
      </w:r>
      <w:r>
        <w:rPr>
          <w:rFonts w:hint="eastAsia" w:ascii="宋体" w:hAnsi="宋体" w:eastAsia="宋体" w:cs="宋体"/>
          <w:color w:val="auto"/>
          <w:kern w:val="2"/>
          <w:sz w:val="21"/>
          <w:szCs w:val="21"/>
          <w:highlight w:val="none"/>
          <w:u w:val="single"/>
          <w:lang w:val="en-US" w:eastAsia="zh-CN" w:bidi="ar-SA"/>
        </w:rPr>
        <w:t>CBNB-20216009G</w:t>
      </w:r>
      <w:r>
        <w:rPr>
          <w:rFonts w:hint="eastAsia" w:ascii="宋体" w:hAnsi="宋体" w:eastAsia="宋体" w:cs="宋体"/>
          <w:color w:val="auto"/>
          <w:spacing w:val="6"/>
          <w:kern w:val="2"/>
          <w:sz w:val="21"/>
          <w:szCs w:val="21"/>
          <w:highlight w:val="none"/>
          <w:u w:val="single"/>
          <w:lang w:val="en-US" w:eastAsia="zh-CN" w:bidi="ar-SA"/>
        </w:rPr>
        <w:t>）</w:t>
      </w:r>
      <w:r>
        <w:rPr>
          <w:rFonts w:hint="eastAsia" w:ascii="宋体" w:hAnsi="宋体" w:eastAsia="宋体" w:cs="宋体"/>
          <w:color w:val="auto"/>
          <w:spacing w:val="6"/>
          <w:kern w:val="2"/>
          <w:sz w:val="21"/>
          <w:szCs w:val="21"/>
          <w:highlight w:val="none"/>
          <w:lang w:val="en-US" w:eastAsia="zh-CN" w:bidi="ar-SA"/>
        </w:rPr>
        <w:t xml:space="preserve">政府采购活动，经与本单位法人代表（负责人）联系确认，现就有关公平竞争事项郑重声明如下： </w:t>
      </w:r>
    </w:p>
    <w:p>
      <w:pPr>
        <w:widowControl/>
        <w:numPr>
          <w:ilvl w:val="0"/>
          <w:numId w:val="19"/>
        </w:numPr>
        <w:snapToGrid w:val="0"/>
        <w:spacing w:line="440" w:lineRule="exact"/>
        <w:ind w:left="357" w:firstLine="396" w:firstLineChars="189"/>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本单位与采购人之间 □不存在利害关系 □存在下列利害关系</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widowControl/>
        <w:numPr>
          <w:ilvl w:val="0"/>
          <w:numId w:val="0"/>
        </w:numPr>
        <w:snapToGrid w:val="0"/>
        <w:spacing w:line="440" w:lineRule="exact"/>
        <w:ind w:left="357" w:leftChars="0" w:hanging="357"/>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  A.投资关系    B.行政隶属关系    C.业务指导关系</w:t>
      </w:r>
    </w:p>
    <w:p>
      <w:pPr>
        <w:widowControl/>
        <w:numPr>
          <w:ilvl w:val="0"/>
          <w:numId w:val="0"/>
        </w:numPr>
        <w:snapToGrid w:val="0"/>
        <w:spacing w:line="440" w:lineRule="exact"/>
        <w:ind w:left="357" w:leftChars="0" w:hanging="357"/>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  D.其他可能</w:t>
      </w:r>
      <w:r>
        <w:rPr>
          <w:rFonts w:hint="eastAsia" w:ascii="宋体" w:hAnsi="宋体" w:eastAsia="宋体" w:cs="宋体"/>
          <w:color w:val="auto"/>
          <w:kern w:val="2"/>
          <w:sz w:val="21"/>
          <w:szCs w:val="21"/>
          <w:highlight w:val="none"/>
          <w:lang w:val="en-US" w:eastAsia="zh-CN" w:bidi="ar-SA"/>
        </w:rPr>
        <w:t>影响采购公正的</w:t>
      </w:r>
      <w:r>
        <w:rPr>
          <w:rFonts w:hint="eastAsia" w:ascii="宋体" w:hAnsi="宋体" w:eastAsia="宋体" w:cs="宋体"/>
          <w:color w:val="auto"/>
          <w:kern w:val="0"/>
          <w:sz w:val="21"/>
          <w:szCs w:val="21"/>
          <w:highlight w:val="none"/>
          <w:lang w:val="en-US" w:eastAsia="zh-CN" w:bidi="ar-SA"/>
        </w:rPr>
        <w:t xml:space="preserve">利害关系（如有，请如实说明） </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widowControl/>
        <w:numPr>
          <w:ilvl w:val="0"/>
          <w:numId w:val="19"/>
        </w:numPr>
        <w:snapToGrid w:val="0"/>
        <w:spacing w:line="440" w:lineRule="exact"/>
        <w:ind w:left="357" w:firstLine="396" w:firstLineChars="189"/>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现已清楚知道参加本项目采购活动的其他所有供应商名称，本单位 □与其他所有供应商之间均不存在利害关系 □与 </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（供应商名称）之间存在下列利害关系</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widowControl w:val="0"/>
        <w:numPr>
          <w:ilvl w:val="0"/>
          <w:numId w:val="0"/>
        </w:numPr>
        <w:adjustRightInd w:val="0"/>
        <w:snapToGrid w:val="0"/>
        <w:spacing w:line="440" w:lineRule="exact"/>
        <w:ind w:left="357" w:leftChars="0" w:hanging="357"/>
        <w:jc w:val="both"/>
        <w:textAlignment w:val="baseline"/>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  A.法定代表人或负责人或实际控制人是同一人</w:t>
      </w:r>
    </w:p>
    <w:p>
      <w:pPr>
        <w:widowControl w:val="0"/>
        <w:numPr>
          <w:ilvl w:val="0"/>
          <w:numId w:val="0"/>
        </w:numPr>
        <w:adjustRightInd w:val="0"/>
        <w:snapToGrid w:val="0"/>
        <w:spacing w:line="440" w:lineRule="exact"/>
        <w:ind w:left="357" w:leftChars="0" w:hanging="357"/>
        <w:jc w:val="both"/>
        <w:textAlignment w:val="baseline"/>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  B.法定代表人或负责人或实际控制人是夫妻关系</w:t>
      </w:r>
    </w:p>
    <w:p>
      <w:pPr>
        <w:widowControl w:val="0"/>
        <w:numPr>
          <w:ilvl w:val="0"/>
          <w:numId w:val="0"/>
        </w:numPr>
        <w:adjustRightInd w:val="0"/>
        <w:snapToGrid w:val="0"/>
        <w:spacing w:line="440" w:lineRule="exact"/>
        <w:ind w:left="357" w:leftChars="0" w:hanging="357"/>
        <w:jc w:val="both"/>
        <w:textAlignment w:val="baseline"/>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  C.法定代表人或负责人或实际控制人是直系血亲关系</w:t>
      </w:r>
    </w:p>
    <w:p>
      <w:pPr>
        <w:widowControl w:val="0"/>
        <w:numPr>
          <w:ilvl w:val="0"/>
          <w:numId w:val="0"/>
        </w:numPr>
        <w:adjustRightInd w:val="0"/>
        <w:snapToGrid w:val="0"/>
        <w:spacing w:line="440" w:lineRule="exact"/>
        <w:ind w:left="357" w:leftChars="0" w:hanging="357"/>
        <w:jc w:val="both"/>
        <w:textAlignment w:val="baseline"/>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  D.法定代表人或负责人或实际控制人存在三代以内旁系血亲关系</w:t>
      </w:r>
    </w:p>
    <w:p>
      <w:pPr>
        <w:widowControl w:val="0"/>
        <w:numPr>
          <w:ilvl w:val="0"/>
          <w:numId w:val="0"/>
        </w:numPr>
        <w:adjustRightInd w:val="0"/>
        <w:snapToGrid w:val="0"/>
        <w:spacing w:line="440" w:lineRule="exact"/>
        <w:ind w:left="357" w:leftChars="0" w:hanging="357"/>
        <w:jc w:val="both"/>
        <w:textAlignment w:val="baseline"/>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  E.法定代表人或负责人或实际控制人存在近姻亲关系</w:t>
      </w:r>
    </w:p>
    <w:p>
      <w:pPr>
        <w:widowControl w:val="0"/>
        <w:numPr>
          <w:ilvl w:val="0"/>
          <w:numId w:val="0"/>
        </w:numPr>
        <w:adjustRightInd w:val="0"/>
        <w:snapToGrid w:val="0"/>
        <w:spacing w:line="440" w:lineRule="exact"/>
        <w:ind w:left="357" w:leftChars="0" w:hanging="357"/>
        <w:jc w:val="both"/>
        <w:textAlignment w:val="baseline"/>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  F.法定代表人或负责人或实际控制人存在股份控制或实际控制关系</w:t>
      </w:r>
    </w:p>
    <w:p>
      <w:pPr>
        <w:widowControl w:val="0"/>
        <w:numPr>
          <w:ilvl w:val="0"/>
          <w:numId w:val="0"/>
        </w:numPr>
        <w:adjustRightInd w:val="0"/>
        <w:snapToGrid w:val="0"/>
        <w:spacing w:line="440" w:lineRule="exact"/>
        <w:ind w:left="357" w:leftChars="0" w:firstLine="210" w:firstLineChars="100"/>
        <w:jc w:val="both"/>
        <w:textAlignment w:val="baseline"/>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G.存在共同直接或间接投资设立子公司、联营企业和合营企业情况</w:t>
      </w:r>
    </w:p>
    <w:p>
      <w:pPr>
        <w:widowControl w:val="0"/>
        <w:numPr>
          <w:ilvl w:val="0"/>
          <w:numId w:val="0"/>
        </w:numPr>
        <w:adjustRightInd w:val="0"/>
        <w:snapToGrid w:val="0"/>
        <w:spacing w:line="440" w:lineRule="exact"/>
        <w:ind w:left="357" w:leftChars="0" w:hanging="357"/>
        <w:jc w:val="both"/>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  H.存在分级代理或代销关系、同一生产制造商关系、</w:t>
      </w:r>
      <w:r>
        <w:rPr>
          <w:rFonts w:hint="eastAsia" w:ascii="宋体" w:hAnsi="宋体" w:eastAsia="宋体" w:cs="宋体"/>
          <w:color w:val="auto"/>
          <w:kern w:val="2"/>
          <w:sz w:val="21"/>
          <w:szCs w:val="21"/>
          <w:highlight w:val="none"/>
          <w:lang w:val="en-US" w:eastAsia="zh-CN" w:bidi="ar-SA"/>
        </w:rPr>
        <w:t>管理关系、重要业务（占主营业务收入50%以上）或重要财务往来关系（如融资）等其他实质性控制关系</w:t>
      </w:r>
    </w:p>
    <w:p>
      <w:pPr>
        <w:widowControl w:val="0"/>
        <w:numPr>
          <w:ilvl w:val="0"/>
          <w:numId w:val="0"/>
        </w:numPr>
        <w:adjustRightInd w:val="0"/>
        <w:snapToGrid w:val="0"/>
        <w:spacing w:line="440" w:lineRule="exact"/>
        <w:ind w:left="357" w:leftChars="0" w:hanging="357"/>
        <w:jc w:val="both"/>
        <w:textAlignment w:val="baseline"/>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I</w:t>
      </w:r>
      <w:r>
        <w:rPr>
          <w:rFonts w:hint="eastAsia" w:ascii="宋体" w:hAnsi="宋体" w:eastAsia="宋体" w:cs="宋体"/>
          <w:color w:val="auto"/>
          <w:kern w:val="0"/>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其他利害关系情况</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widowControl/>
        <w:numPr>
          <w:ilvl w:val="0"/>
          <w:numId w:val="20"/>
        </w:numPr>
        <w:snapToGrid w:val="0"/>
        <w:spacing w:line="440" w:lineRule="exact"/>
        <w:ind w:left="357" w:firstLine="396" w:firstLineChars="189"/>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现已清楚知道并</w:t>
      </w:r>
      <w:r>
        <w:rPr>
          <w:rFonts w:hint="eastAsia" w:ascii="宋体" w:hAnsi="宋体" w:eastAsia="宋体" w:cs="宋体"/>
          <w:color w:val="auto"/>
          <w:kern w:val="0"/>
          <w:sz w:val="21"/>
          <w:szCs w:val="21"/>
          <w:highlight w:val="none"/>
          <w:lang w:val="en-US" w:eastAsia="zh-CN" w:bidi="ar-SA"/>
        </w:rPr>
        <w:t>严格遵守政府采购法律法规和现场纪律。</w:t>
      </w:r>
    </w:p>
    <w:p>
      <w:pPr>
        <w:widowControl/>
        <w:numPr>
          <w:ilvl w:val="0"/>
          <w:numId w:val="20"/>
        </w:numPr>
        <w:snapToGrid w:val="0"/>
        <w:spacing w:line="440" w:lineRule="exact"/>
        <w:ind w:left="357" w:firstLine="396" w:firstLineChars="189"/>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我发现</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供应商之间存在或可能存在上述第二条第</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项利害关系。</w:t>
      </w:r>
    </w:p>
    <w:p>
      <w:pPr>
        <w:widowControl/>
        <w:numPr>
          <w:ilvl w:val="0"/>
          <w:numId w:val="20"/>
        </w:numPr>
        <w:snapToGrid w:val="0"/>
        <w:spacing w:line="440" w:lineRule="exact"/>
        <w:ind w:left="357" w:firstLine="396" w:firstLineChars="189"/>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经检查确认所有投标人投标文件 □ 不存在密封包装问题□存在密封包装问题（具体指出）</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widowControl w:val="0"/>
        <w:numPr>
          <w:ilvl w:val="0"/>
          <w:numId w:val="0"/>
        </w:numPr>
        <w:adjustRightInd w:val="0"/>
        <w:snapToGrid w:val="0"/>
        <w:spacing w:line="440" w:lineRule="exact"/>
        <w:ind w:left="777" w:leftChars="200" w:hanging="357"/>
        <w:jc w:val="both"/>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（供应商代表签名）：</w:t>
      </w:r>
    </w:p>
    <w:p>
      <w:pPr>
        <w:snapToGrid w:val="0"/>
        <w:spacing w:line="440" w:lineRule="exact"/>
        <w:ind w:firstLine="420" w:firstLineChars="200"/>
        <w:rPr>
          <w:color w:val="auto"/>
          <w:highlight w:val="none"/>
        </w:rPr>
      </w:pPr>
      <w:r>
        <w:rPr>
          <w:rFonts w:hint="eastAsia" w:ascii="宋体" w:hAnsi="宋体" w:eastAsia="宋体" w:cs="宋体"/>
          <w:color w:val="auto"/>
          <w:kern w:val="2"/>
          <w:sz w:val="21"/>
          <w:szCs w:val="21"/>
          <w:highlight w:val="none"/>
          <w:lang w:val="en-US" w:eastAsia="zh-CN" w:bidi="ar-SA"/>
        </w:rPr>
        <w:t xml:space="preserve">                                        202</w:t>
      </w:r>
      <w:r>
        <w:rPr>
          <w:rFonts w:hint="eastAsia" w:ascii="宋体" w:hAnsi="宋体" w:cs="宋体"/>
          <w:color w:val="auto"/>
          <w:kern w:val="2"/>
          <w:sz w:val="21"/>
          <w:szCs w:val="21"/>
          <w:highlight w:val="none"/>
          <w:lang w:val="en-US" w:eastAsia="zh-CN" w:bidi="ar-SA"/>
        </w:rPr>
        <w:t>1</w:t>
      </w:r>
      <w:r>
        <w:rPr>
          <w:rFonts w:hint="eastAsia" w:ascii="宋体" w:hAnsi="宋体" w:eastAsia="宋体" w:cs="宋体"/>
          <w:color w:val="auto"/>
          <w:kern w:val="2"/>
          <w:sz w:val="21"/>
          <w:szCs w:val="21"/>
          <w:highlight w:val="none"/>
          <w:lang w:val="en-US" w:eastAsia="zh-CN" w:bidi="ar-SA"/>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rPr>
                              <w:rFonts w:eastAsia="宋体"/>
                            </w:rPr>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7"/>
                      <w:rPr>
                        <w:rFonts w:eastAsia="宋体"/>
                      </w:rPr>
                    </w:pPr>
                    <w:r>
                      <w:fldChar w:fldCharType="begin"/>
                    </w:r>
                    <w:r>
                      <w:instrText xml:space="preserve"> PAGE  \* MERGEFORMAT </w:instrText>
                    </w:r>
                    <w:r>
                      <w:fldChar w:fldCharType="separate"/>
                    </w:r>
                    <w: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255DD"/>
    <w:multiLevelType w:val="singleLevel"/>
    <w:tmpl w:val="862255DD"/>
    <w:lvl w:ilvl="0" w:tentative="0">
      <w:start w:val="19"/>
      <w:numFmt w:val="decimal"/>
      <w:suff w:val="nothing"/>
      <w:lvlText w:val="%1、"/>
      <w:lvlJc w:val="left"/>
    </w:lvl>
  </w:abstractNum>
  <w:abstractNum w:abstractNumId="1">
    <w:nsid w:val="AA9D7EAB"/>
    <w:multiLevelType w:val="singleLevel"/>
    <w:tmpl w:val="AA9D7EAB"/>
    <w:lvl w:ilvl="0" w:tentative="0">
      <w:start w:val="2"/>
      <w:numFmt w:val="decimal"/>
      <w:suff w:val="nothing"/>
      <w:lvlText w:val="%1、"/>
      <w:lvlJc w:val="left"/>
    </w:lvl>
  </w:abstractNum>
  <w:abstractNum w:abstractNumId="2">
    <w:nsid w:val="B2B43E19"/>
    <w:multiLevelType w:val="singleLevel"/>
    <w:tmpl w:val="B2B43E19"/>
    <w:lvl w:ilvl="0" w:tentative="0">
      <w:start w:val="14"/>
      <w:numFmt w:val="decimal"/>
      <w:suff w:val="nothing"/>
      <w:lvlText w:val="%1、"/>
      <w:lvlJc w:val="left"/>
    </w:lvl>
  </w:abstractNum>
  <w:abstractNum w:abstractNumId="3">
    <w:nsid w:val="CC1703E5"/>
    <w:multiLevelType w:val="singleLevel"/>
    <w:tmpl w:val="CC1703E5"/>
    <w:lvl w:ilvl="0" w:tentative="0">
      <w:start w:val="1"/>
      <w:numFmt w:val="decimal"/>
      <w:suff w:val="nothing"/>
      <w:lvlText w:val="（%1）"/>
      <w:lvlJc w:val="left"/>
      <w:pPr>
        <w:ind w:left="0" w:firstLine="0"/>
      </w:pPr>
    </w:lvl>
  </w:abstractNum>
  <w:abstractNum w:abstractNumId="4">
    <w:nsid w:val="0000000B"/>
    <w:multiLevelType w:val="singleLevel"/>
    <w:tmpl w:val="0000000B"/>
    <w:lvl w:ilvl="0" w:tentative="0">
      <w:start w:val="1"/>
      <w:numFmt w:val="upperLetter"/>
      <w:suff w:val="nothing"/>
      <w:lvlText w:val="%1、"/>
      <w:lvlJc w:val="left"/>
      <w:pPr>
        <w:ind w:left="0" w:firstLine="0"/>
      </w:pPr>
    </w:lvl>
  </w:abstractNum>
  <w:abstractNum w:abstractNumId="5">
    <w:nsid w:val="00000014"/>
    <w:multiLevelType w:val="singleLevel"/>
    <w:tmpl w:val="00000014"/>
    <w:lvl w:ilvl="0" w:tentative="0">
      <w:start w:val="5"/>
      <w:numFmt w:val="chineseCounting"/>
      <w:suff w:val="nothing"/>
      <w:lvlText w:val="%1、"/>
      <w:lvlJc w:val="left"/>
      <w:pPr>
        <w:ind w:left="0" w:firstLine="0"/>
      </w:pPr>
    </w:lvl>
  </w:abstractNum>
  <w:abstractNum w:abstractNumId="6">
    <w:nsid w:val="0000001C"/>
    <w:multiLevelType w:val="singleLevel"/>
    <w:tmpl w:val="0000001C"/>
    <w:lvl w:ilvl="0" w:tentative="0">
      <w:start w:val="1"/>
      <w:numFmt w:val="chineseCounting"/>
      <w:suff w:val="nothing"/>
      <w:lvlText w:val="%1、"/>
      <w:lvlJc w:val="left"/>
      <w:pPr>
        <w:ind w:left="0" w:firstLine="0"/>
      </w:pPr>
    </w:lvl>
  </w:abstractNum>
  <w:abstractNum w:abstractNumId="7">
    <w:nsid w:val="00000020"/>
    <w:multiLevelType w:val="singleLevel"/>
    <w:tmpl w:val="00000020"/>
    <w:lvl w:ilvl="0" w:tentative="0">
      <w:start w:val="1"/>
      <w:numFmt w:val="chineseCounting"/>
      <w:suff w:val="nothing"/>
      <w:lvlText w:val="（%1）"/>
      <w:lvlJc w:val="left"/>
      <w:pPr>
        <w:ind w:left="0" w:firstLine="0"/>
      </w:pPr>
    </w:lvl>
  </w:abstractNum>
  <w:abstractNum w:abstractNumId="8">
    <w:nsid w:val="15AE74FA"/>
    <w:multiLevelType w:val="singleLevel"/>
    <w:tmpl w:val="15AE74FA"/>
    <w:lvl w:ilvl="0" w:tentative="0">
      <w:start w:val="1"/>
      <w:numFmt w:val="decimal"/>
      <w:suff w:val="nothing"/>
      <w:lvlText w:val="（%1）"/>
      <w:lvlJc w:val="left"/>
      <w:pPr>
        <w:ind w:left="0" w:firstLine="0"/>
      </w:pPr>
    </w:lvl>
  </w:abstractNum>
  <w:abstractNum w:abstractNumId="9">
    <w:nsid w:val="18E11E98"/>
    <w:multiLevelType w:val="singleLevel"/>
    <w:tmpl w:val="18E11E98"/>
    <w:lvl w:ilvl="0" w:tentative="0">
      <w:start w:val="2"/>
      <w:numFmt w:val="decimal"/>
      <w:suff w:val="nothing"/>
      <w:lvlText w:val="%1）"/>
      <w:lvlJc w:val="left"/>
      <w:pPr>
        <w:ind w:left="0" w:firstLine="0"/>
      </w:pPr>
    </w:lvl>
  </w:abstractNum>
  <w:abstractNum w:abstractNumId="10">
    <w:nsid w:val="29D120CC"/>
    <w:multiLevelType w:val="singleLevel"/>
    <w:tmpl w:val="29D120CC"/>
    <w:lvl w:ilvl="0" w:tentative="0">
      <w:start w:val="1"/>
      <w:numFmt w:val="decimal"/>
      <w:suff w:val="nothing"/>
      <w:lvlText w:val="（%1）"/>
      <w:lvlJc w:val="left"/>
      <w:pPr>
        <w:ind w:left="0" w:firstLine="0"/>
      </w:pPr>
    </w:lvl>
  </w:abstractNum>
  <w:abstractNum w:abstractNumId="11">
    <w:nsid w:val="3292B99A"/>
    <w:multiLevelType w:val="singleLevel"/>
    <w:tmpl w:val="3292B99A"/>
    <w:lvl w:ilvl="0" w:tentative="0">
      <w:start w:val="1"/>
      <w:numFmt w:val="decimal"/>
      <w:suff w:val="nothing"/>
      <w:lvlText w:val="（%1）"/>
      <w:lvlJc w:val="left"/>
      <w:pPr>
        <w:ind w:left="0" w:firstLine="0"/>
      </w:pPr>
    </w:lvl>
  </w:abstractNum>
  <w:abstractNum w:abstractNumId="12">
    <w:nsid w:val="53F7068D"/>
    <w:multiLevelType w:val="singleLevel"/>
    <w:tmpl w:val="53F7068D"/>
    <w:lvl w:ilvl="0" w:tentative="0">
      <w:start w:val="1"/>
      <w:numFmt w:val="decimal"/>
      <w:suff w:val="nothing"/>
      <w:lvlText w:val="（%1）"/>
      <w:lvlJc w:val="left"/>
      <w:pPr>
        <w:ind w:left="0" w:firstLine="0"/>
      </w:pPr>
    </w:lvl>
  </w:abstractNum>
  <w:abstractNum w:abstractNumId="13">
    <w:nsid w:val="54F403B5"/>
    <w:multiLevelType w:val="singleLevel"/>
    <w:tmpl w:val="54F403B5"/>
    <w:lvl w:ilvl="0" w:tentative="0">
      <w:start w:val="1"/>
      <w:numFmt w:val="chineseCounting"/>
      <w:suff w:val="nothing"/>
      <w:lvlText w:val="%1、"/>
      <w:lvlJc w:val="left"/>
      <w:pPr>
        <w:ind w:left="0" w:firstLine="0"/>
      </w:pPr>
    </w:lvl>
  </w:abstractNum>
  <w:abstractNum w:abstractNumId="14">
    <w:nsid w:val="557FD3DA"/>
    <w:multiLevelType w:val="singleLevel"/>
    <w:tmpl w:val="557FD3DA"/>
    <w:lvl w:ilvl="0" w:tentative="0">
      <w:start w:val="3"/>
      <w:numFmt w:val="chineseCounting"/>
      <w:suff w:val="nothing"/>
      <w:lvlText w:val="%1、"/>
      <w:lvlJc w:val="left"/>
      <w:pPr>
        <w:ind w:left="0" w:firstLine="0"/>
      </w:pPr>
    </w:lvl>
  </w:abstractNum>
  <w:abstractNum w:abstractNumId="15">
    <w:nsid w:val="589A2FD8"/>
    <w:multiLevelType w:val="singleLevel"/>
    <w:tmpl w:val="589A2FD8"/>
    <w:lvl w:ilvl="0" w:tentative="0">
      <w:start w:val="1"/>
      <w:numFmt w:val="decimal"/>
      <w:suff w:val="nothing"/>
      <w:lvlText w:val="（%1）"/>
      <w:lvlJc w:val="left"/>
      <w:pPr>
        <w:ind w:left="0" w:firstLine="0"/>
      </w:pPr>
    </w:lvl>
  </w:abstractNum>
  <w:abstractNum w:abstractNumId="16">
    <w:nsid w:val="5950E9B0"/>
    <w:multiLevelType w:val="singleLevel"/>
    <w:tmpl w:val="5950E9B0"/>
    <w:lvl w:ilvl="0" w:tentative="0">
      <w:start w:val="2"/>
      <w:numFmt w:val="decimal"/>
      <w:suff w:val="nothing"/>
      <w:lvlText w:val="%1、"/>
      <w:lvlJc w:val="left"/>
      <w:pPr>
        <w:ind w:left="0" w:firstLine="0"/>
      </w:pPr>
    </w:lvl>
  </w:abstractNum>
  <w:abstractNum w:abstractNumId="17">
    <w:nsid w:val="59F1C7B7"/>
    <w:multiLevelType w:val="singleLevel"/>
    <w:tmpl w:val="59F1C7B7"/>
    <w:lvl w:ilvl="0" w:tentative="0">
      <w:start w:val="4"/>
      <w:numFmt w:val="chineseCounting"/>
      <w:suff w:val="nothing"/>
      <w:lvlText w:val="（%1）"/>
      <w:lvlJc w:val="left"/>
      <w:pPr>
        <w:ind w:left="0" w:firstLine="0"/>
      </w:pPr>
    </w:lvl>
  </w:abstractNum>
  <w:abstractNum w:abstractNumId="18">
    <w:nsid w:val="59F56D91"/>
    <w:multiLevelType w:val="singleLevel"/>
    <w:tmpl w:val="59F56D91"/>
    <w:lvl w:ilvl="0" w:tentative="0">
      <w:start w:val="1"/>
      <w:numFmt w:val="decimal"/>
      <w:suff w:val="nothing"/>
      <w:lvlText w:val="（%1）"/>
      <w:lvlJc w:val="left"/>
      <w:pPr>
        <w:ind w:left="0" w:firstLine="0"/>
      </w:pPr>
    </w:lvl>
  </w:abstractNum>
  <w:abstractNum w:abstractNumId="19">
    <w:nsid w:val="5A5F4D07"/>
    <w:multiLevelType w:val="singleLevel"/>
    <w:tmpl w:val="5A5F4D07"/>
    <w:lvl w:ilvl="0" w:tentative="0">
      <w:start w:val="1"/>
      <w:numFmt w:val="decimal"/>
      <w:suff w:val="nothing"/>
      <w:lvlText w:val="%1、"/>
      <w:lvlJc w:val="left"/>
      <w:pPr>
        <w:ind w:left="0" w:firstLine="403"/>
      </w:pPr>
    </w:lvl>
  </w:abstractNum>
  <w:num w:numId="1">
    <w:abstractNumId w:val="1"/>
  </w:num>
  <w:num w:numId="2">
    <w:abstractNumId w:val="2"/>
  </w:num>
  <w:num w:numId="3">
    <w:abstractNumId w:val="0"/>
  </w:num>
  <w:num w:numId="4">
    <w:abstractNumId w:val="15"/>
    <w:lvlOverride w:ilvl="0">
      <w:startOverride w:val="1"/>
    </w:lvlOverride>
  </w:num>
  <w:num w:numId="5">
    <w:abstractNumId w:val="18"/>
    <w:lvlOverride w:ilvl="0">
      <w:startOverride w:val="1"/>
    </w:lvlOverride>
  </w:num>
  <w:num w:numId="6">
    <w:abstractNumId w:val="12"/>
    <w:lvlOverride w:ilvl="0">
      <w:startOverride w:val="1"/>
    </w:lvlOverride>
  </w:num>
  <w:num w:numId="7">
    <w:abstractNumId w:val="3"/>
    <w:lvlOverride w:ilvl="0">
      <w:startOverride w:val="1"/>
    </w:lvlOverride>
  </w:num>
  <w:num w:numId="8">
    <w:abstractNumId w:val="10"/>
    <w:lvlOverride w:ilvl="0">
      <w:startOverride w:val="1"/>
    </w:lvlOverride>
  </w:num>
  <w:num w:numId="9">
    <w:abstractNumId w:val="16"/>
    <w:lvlOverride w:ilvl="0">
      <w:startOverride w:val="2"/>
    </w:lvlOverride>
  </w:num>
  <w:num w:numId="10">
    <w:abstractNumId w:val="5"/>
    <w:lvlOverride w:ilvl="0">
      <w:startOverride w:val="5"/>
    </w:lvlOverride>
  </w:num>
  <w:num w:numId="11">
    <w:abstractNumId w:val="7"/>
    <w:lvlOverride w:ilvl="0">
      <w:startOverride w:val="1"/>
    </w:lvlOverride>
  </w:num>
  <w:num w:numId="12">
    <w:abstractNumId w:val="4"/>
    <w:lvlOverride w:ilvl="0">
      <w:startOverride w:val="1"/>
    </w:lvlOverride>
  </w:num>
  <w:num w:numId="13">
    <w:abstractNumId w:val="17"/>
    <w:lvlOverride w:ilvl="0">
      <w:startOverride w:val="4"/>
    </w:lvlOverride>
  </w:num>
  <w:num w:numId="14">
    <w:abstractNumId w:val="6"/>
    <w:lvlOverride w:ilvl="0">
      <w:startOverride w:val="1"/>
    </w:lvlOverride>
  </w:num>
  <w:num w:numId="15">
    <w:abstractNumId w:val="8"/>
    <w:lvlOverride w:ilvl="0">
      <w:startOverride w:val="1"/>
    </w:lvlOverride>
  </w:num>
  <w:num w:numId="16">
    <w:abstractNumId w:val="11"/>
    <w:lvlOverride w:ilvl="0">
      <w:startOverride w:val="1"/>
    </w:lvlOverride>
  </w:num>
  <w:num w:numId="17">
    <w:abstractNumId w:val="9"/>
    <w:lvlOverride w:ilvl="0">
      <w:startOverride w:val="2"/>
    </w:lvlOverride>
  </w:num>
  <w:num w:numId="18">
    <w:abstractNumId w:val="19"/>
    <w:lvlOverride w:ilvl="0">
      <w:startOverride w:val="1"/>
    </w:lvlOverride>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6F"/>
    <w:rsid w:val="000B2340"/>
    <w:rsid w:val="000F0481"/>
    <w:rsid w:val="001D7C6F"/>
    <w:rsid w:val="001F4691"/>
    <w:rsid w:val="003B6321"/>
    <w:rsid w:val="00451F89"/>
    <w:rsid w:val="004B54F9"/>
    <w:rsid w:val="005D1506"/>
    <w:rsid w:val="00681D81"/>
    <w:rsid w:val="006F2417"/>
    <w:rsid w:val="00877ACD"/>
    <w:rsid w:val="009421EB"/>
    <w:rsid w:val="00A418FF"/>
    <w:rsid w:val="00C52600"/>
    <w:rsid w:val="00D57D04"/>
    <w:rsid w:val="00DB3C49"/>
    <w:rsid w:val="00E66C1F"/>
    <w:rsid w:val="01BB1F14"/>
    <w:rsid w:val="0493304A"/>
    <w:rsid w:val="0A79745B"/>
    <w:rsid w:val="0D6C5C03"/>
    <w:rsid w:val="1A3C5AAF"/>
    <w:rsid w:val="21E13ACD"/>
    <w:rsid w:val="2C081C83"/>
    <w:rsid w:val="2D1A763A"/>
    <w:rsid w:val="2D1C35DB"/>
    <w:rsid w:val="2F5710B6"/>
    <w:rsid w:val="2FB07BD5"/>
    <w:rsid w:val="327D27F5"/>
    <w:rsid w:val="35690BF5"/>
    <w:rsid w:val="3A315728"/>
    <w:rsid w:val="3B8A7640"/>
    <w:rsid w:val="3BD95E3B"/>
    <w:rsid w:val="3EEB08D0"/>
    <w:rsid w:val="43271A20"/>
    <w:rsid w:val="466609CE"/>
    <w:rsid w:val="49DF24A8"/>
    <w:rsid w:val="4D5F5478"/>
    <w:rsid w:val="4D657905"/>
    <w:rsid w:val="5526467B"/>
    <w:rsid w:val="5567575D"/>
    <w:rsid w:val="559878AE"/>
    <w:rsid w:val="5B88019D"/>
    <w:rsid w:val="5C78257E"/>
    <w:rsid w:val="61AA35E8"/>
    <w:rsid w:val="61B31546"/>
    <w:rsid w:val="66F71A34"/>
    <w:rsid w:val="6B1653CC"/>
    <w:rsid w:val="6BFB5DB2"/>
    <w:rsid w:val="749B6FD6"/>
    <w:rsid w:val="7799162C"/>
    <w:rsid w:val="77F23E79"/>
    <w:rsid w:val="794C048A"/>
    <w:rsid w:val="7ADA7F0D"/>
    <w:rsid w:val="7CCE28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name="List"/>
    <w:lsdException w:uiPriority="99" w:name="List Bullet"/>
    <w:lsdException w:qFormat="1" w:uiPriority="0" w:name="List Number"/>
    <w:lsdException w:qFormat="1" w:uiPriority="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iPriority="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qFormat="1" w:uiPriority="0" w:name="Body Text First Indent"/>
    <w:lsdException w:qFormat="1" w:uiPriority="0"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3"/>
    <w:qFormat/>
    <w:uiPriority w:val="0"/>
    <w:pPr>
      <w:keepNext/>
      <w:keepLines/>
      <w:spacing w:before="340" w:after="330" w:line="576" w:lineRule="auto"/>
      <w:outlineLvl w:val="0"/>
    </w:pPr>
    <w:rPr>
      <w:b/>
      <w:bCs/>
      <w:kern w:val="44"/>
      <w:sz w:val="44"/>
      <w:szCs w:val="44"/>
    </w:rPr>
  </w:style>
  <w:style w:type="paragraph" w:styleId="5">
    <w:name w:val="heading 2"/>
    <w:basedOn w:val="1"/>
    <w:next w:val="6"/>
    <w:link w:val="35"/>
    <w:semiHidden/>
    <w:unhideWhenUsed/>
    <w:qFormat/>
    <w:uiPriority w:val="0"/>
    <w:pPr>
      <w:keepNext/>
      <w:keepLines/>
      <w:spacing w:before="260" w:after="260" w:line="412" w:lineRule="auto"/>
      <w:outlineLvl w:val="1"/>
    </w:pPr>
    <w:rPr>
      <w:rFonts w:ascii="Arial" w:hAnsi="Arial" w:eastAsia="黑体"/>
      <w:b/>
      <w:bCs/>
      <w:sz w:val="32"/>
      <w:szCs w:val="32"/>
    </w:rPr>
  </w:style>
  <w:style w:type="paragraph" w:styleId="7">
    <w:name w:val="heading 3"/>
    <w:basedOn w:val="1"/>
    <w:next w:val="1"/>
    <w:link w:val="36"/>
    <w:semiHidden/>
    <w:unhideWhenUsed/>
    <w:qFormat/>
    <w:uiPriority w:val="0"/>
    <w:pPr>
      <w:keepNext/>
      <w:keepLines/>
      <w:spacing w:before="260" w:after="260" w:line="415" w:lineRule="auto"/>
      <w:outlineLvl w:val="2"/>
    </w:pPr>
    <w:rPr>
      <w:b/>
      <w:bCs/>
      <w:sz w:val="32"/>
      <w:szCs w:val="32"/>
    </w:rPr>
  </w:style>
  <w:style w:type="paragraph" w:styleId="8">
    <w:name w:val="heading 4"/>
    <w:basedOn w:val="1"/>
    <w:next w:val="1"/>
    <w:link w:val="34"/>
    <w:semiHidden/>
    <w:unhideWhenUsed/>
    <w:qFormat/>
    <w:uiPriority w:val="0"/>
    <w:pPr>
      <w:keepNext/>
      <w:keepLines/>
      <w:spacing w:before="280" w:after="290" w:line="372" w:lineRule="auto"/>
      <w:outlineLvl w:val="3"/>
    </w:pPr>
    <w:rPr>
      <w:rFonts w:ascii="Arial" w:hAnsi="Arial" w:eastAsia="黑体"/>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
    <w:semiHidden/>
    <w:unhideWhenUsed/>
    <w:qFormat/>
    <w:uiPriority w:val="0"/>
    <w:pPr>
      <w:spacing w:after="120"/>
    </w:pPr>
    <w:rPr>
      <w:sz w:val="28"/>
    </w:rPr>
  </w:style>
  <w:style w:type="paragraph" w:styleId="3">
    <w:name w:val="Body Text First Indent"/>
    <w:basedOn w:val="2"/>
    <w:link w:val="41"/>
    <w:semiHidden/>
    <w:unhideWhenUsed/>
    <w:qFormat/>
    <w:uiPriority w:val="0"/>
    <w:pPr>
      <w:autoSpaceDE w:val="0"/>
      <w:autoSpaceDN w:val="0"/>
      <w:adjustRightInd w:val="0"/>
      <w:spacing w:after="0"/>
      <w:jc w:val="left"/>
    </w:pPr>
    <w:rPr>
      <w:kern w:val="0"/>
      <w:szCs w:val="20"/>
    </w:rPr>
  </w:style>
  <w:style w:type="paragraph" w:styleId="6">
    <w:name w:val="Normal Indent"/>
    <w:basedOn w:val="1"/>
    <w:semiHidden/>
    <w:unhideWhenUsed/>
    <w:qFormat/>
    <w:uiPriority w:val="0"/>
    <w:pPr>
      <w:ind w:firstLine="420"/>
    </w:pPr>
    <w:rPr>
      <w:szCs w:val="20"/>
    </w:rPr>
  </w:style>
  <w:style w:type="paragraph" w:styleId="9">
    <w:name w:val="Document Map"/>
    <w:basedOn w:val="1"/>
    <w:link w:val="50"/>
    <w:semiHidden/>
    <w:unhideWhenUsed/>
    <w:qFormat/>
    <w:uiPriority w:val="99"/>
    <w:rPr>
      <w:rFonts w:ascii="宋体"/>
      <w:sz w:val="18"/>
      <w:szCs w:val="18"/>
    </w:rPr>
  </w:style>
  <w:style w:type="paragraph" w:styleId="10">
    <w:name w:val="annotation text"/>
    <w:basedOn w:val="1"/>
    <w:link w:val="38"/>
    <w:semiHidden/>
    <w:unhideWhenUsed/>
    <w:qFormat/>
    <w:uiPriority w:val="99"/>
    <w:pPr>
      <w:jc w:val="left"/>
    </w:pPr>
  </w:style>
  <w:style w:type="paragraph" w:styleId="11">
    <w:name w:val="Body Text 3"/>
    <w:basedOn w:val="1"/>
    <w:link w:val="47"/>
    <w:semiHidden/>
    <w:unhideWhenUsed/>
    <w:qFormat/>
    <w:uiPriority w:val="0"/>
    <w:pPr>
      <w:snapToGrid w:val="0"/>
      <w:spacing w:before="50" w:after="50"/>
    </w:pPr>
    <w:rPr>
      <w:rFonts w:hAnsi="宋体" w:eastAsia="仿宋_GB2312"/>
      <w:b/>
      <w:bCs/>
      <w:sz w:val="24"/>
      <w:szCs w:val="20"/>
    </w:rPr>
  </w:style>
  <w:style w:type="paragraph" w:styleId="12">
    <w:name w:val="Body Text Indent"/>
    <w:basedOn w:val="1"/>
    <w:link w:val="43"/>
    <w:semiHidden/>
    <w:unhideWhenUsed/>
    <w:qFormat/>
    <w:uiPriority w:val="0"/>
    <w:pPr>
      <w:spacing w:line="200" w:lineRule="exact"/>
      <w:ind w:firstLine="301"/>
    </w:pPr>
    <w:rPr>
      <w:rFonts w:ascii="宋体" w:hAnsi="Courier New"/>
      <w:spacing w:val="-4"/>
      <w:sz w:val="18"/>
      <w:szCs w:val="20"/>
    </w:rPr>
  </w:style>
  <w:style w:type="paragraph" w:styleId="13">
    <w:name w:val="Plain Text"/>
    <w:basedOn w:val="1"/>
    <w:link w:val="32"/>
    <w:semiHidden/>
    <w:unhideWhenUsed/>
    <w:qFormat/>
    <w:uiPriority w:val="0"/>
    <w:rPr>
      <w:rFonts w:hAnsi="Courier New" w:cs="Courier New" w:asciiTheme="minorEastAsia" w:eastAsiaTheme="minorEastAsia"/>
    </w:rPr>
  </w:style>
  <w:style w:type="paragraph" w:styleId="14">
    <w:name w:val="Date"/>
    <w:basedOn w:val="1"/>
    <w:next w:val="1"/>
    <w:link w:val="44"/>
    <w:semiHidden/>
    <w:unhideWhenUsed/>
    <w:qFormat/>
    <w:uiPriority w:val="0"/>
    <w:pPr>
      <w:ind w:left="2500" w:leftChars="2500"/>
    </w:pPr>
    <w:rPr>
      <w:rFonts w:eastAsia="楷体_GB2312"/>
      <w:sz w:val="32"/>
      <w:szCs w:val="20"/>
    </w:rPr>
  </w:style>
  <w:style w:type="paragraph" w:styleId="15">
    <w:name w:val="Body Text Indent 2"/>
    <w:basedOn w:val="1"/>
    <w:link w:val="48"/>
    <w:semiHidden/>
    <w:unhideWhenUsed/>
    <w:qFormat/>
    <w:uiPriority w:val="0"/>
    <w:pPr>
      <w:snapToGrid w:val="0"/>
      <w:ind w:firstLine="542" w:firstLineChars="225"/>
    </w:pPr>
    <w:rPr>
      <w:rFonts w:ascii="仿宋_GB2312" w:hAnsi="宋体" w:cs="Arial"/>
      <w:b/>
      <w:bCs/>
      <w:color w:val="000000"/>
      <w:sz w:val="24"/>
    </w:rPr>
  </w:style>
  <w:style w:type="paragraph" w:styleId="16">
    <w:name w:val="Balloon Text"/>
    <w:basedOn w:val="1"/>
    <w:link w:val="52"/>
    <w:semiHidden/>
    <w:unhideWhenUsed/>
    <w:qFormat/>
    <w:uiPriority w:val="0"/>
    <w:rPr>
      <w:sz w:val="18"/>
      <w:szCs w:val="18"/>
    </w:rPr>
  </w:style>
  <w:style w:type="paragraph" w:styleId="17">
    <w:name w:val="footer"/>
    <w:basedOn w:val="1"/>
    <w:link w:val="40"/>
    <w:semiHidden/>
    <w:unhideWhenUsed/>
    <w:qFormat/>
    <w:uiPriority w:val="99"/>
    <w:pPr>
      <w:tabs>
        <w:tab w:val="center" w:pos="4153"/>
        <w:tab w:val="right" w:pos="8306"/>
      </w:tabs>
      <w:snapToGrid w:val="0"/>
      <w:jc w:val="left"/>
    </w:pPr>
    <w:rPr>
      <w:rFonts w:eastAsia="黑体"/>
      <w:sz w:val="18"/>
      <w:szCs w:val="18"/>
    </w:rPr>
  </w:style>
  <w:style w:type="paragraph" w:styleId="18">
    <w:name w:val="header"/>
    <w:basedOn w:val="1"/>
    <w:link w:val="39"/>
    <w:semiHidden/>
    <w:unhideWhenUsed/>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19">
    <w:name w:val="toc 1"/>
    <w:basedOn w:val="1"/>
    <w:next w:val="1"/>
    <w:semiHidden/>
    <w:unhideWhenUsed/>
    <w:qFormat/>
    <w:uiPriority w:val="39"/>
  </w:style>
  <w:style w:type="paragraph" w:styleId="20">
    <w:name w:val="Body Text Indent 3"/>
    <w:basedOn w:val="1"/>
    <w:link w:val="49"/>
    <w:semiHidden/>
    <w:unhideWhenUsed/>
    <w:qFormat/>
    <w:uiPriority w:val="0"/>
    <w:pPr>
      <w:snapToGrid w:val="0"/>
      <w:ind w:firstLine="480" w:firstLineChars="200"/>
      <w:jc w:val="left"/>
    </w:pPr>
    <w:rPr>
      <w:rFonts w:ascii="仿宋_GB2312" w:hAnsi="宋体" w:eastAsia="仿宋_GB2312"/>
      <w:color w:val="000000"/>
      <w:sz w:val="24"/>
    </w:rPr>
  </w:style>
  <w:style w:type="paragraph" w:styleId="21">
    <w:name w:val="toc 2"/>
    <w:basedOn w:val="1"/>
    <w:next w:val="1"/>
    <w:semiHidden/>
    <w:unhideWhenUsed/>
    <w:qFormat/>
    <w:uiPriority w:val="39"/>
    <w:pPr>
      <w:ind w:left="420" w:leftChars="200"/>
    </w:pPr>
  </w:style>
  <w:style w:type="paragraph" w:styleId="22">
    <w:name w:val="Body Text 2"/>
    <w:basedOn w:val="1"/>
    <w:link w:val="46"/>
    <w:semiHidden/>
    <w:unhideWhenUsed/>
    <w:qFormat/>
    <w:uiPriority w:val="0"/>
    <w:pPr>
      <w:widowControl/>
      <w:snapToGrid w:val="0"/>
      <w:spacing w:before="50" w:afterLines="50" w:line="400" w:lineRule="exact"/>
      <w:jc w:val="left"/>
    </w:pPr>
    <w:rPr>
      <w:rFonts w:ascii="宋体" w:hAnsi="宋体"/>
      <w:color w:val="000000"/>
      <w:sz w:val="24"/>
    </w:rPr>
  </w:style>
  <w:style w:type="paragraph" w:styleId="23">
    <w:name w:val="Normal (Web)"/>
    <w:basedOn w:val="1"/>
    <w:qFormat/>
    <w:uiPriority w:val="0"/>
    <w:pPr>
      <w:widowControl/>
      <w:spacing w:before="100" w:beforeLines="0" w:beforeAutospacing="1" w:after="100" w:afterLines="0" w:afterAutospacing="1"/>
      <w:jc w:val="left"/>
    </w:pPr>
    <w:rPr>
      <w:kern w:val="0"/>
      <w:sz w:val="24"/>
    </w:rPr>
  </w:style>
  <w:style w:type="paragraph" w:styleId="24">
    <w:name w:val="annotation subject"/>
    <w:basedOn w:val="10"/>
    <w:next w:val="10"/>
    <w:link w:val="51"/>
    <w:semiHidden/>
    <w:unhideWhenUsed/>
    <w:qFormat/>
    <w:uiPriority w:val="99"/>
    <w:rPr>
      <w:b/>
      <w:bCs/>
    </w:rPr>
  </w:style>
  <w:style w:type="paragraph" w:styleId="25">
    <w:name w:val="Body Text First Indent 2"/>
    <w:basedOn w:val="12"/>
    <w:next w:val="1"/>
    <w:link w:val="45"/>
    <w:semiHidden/>
    <w:unhideWhenUsed/>
    <w:qFormat/>
    <w:uiPriority w:val="0"/>
    <w:pPr>
      <w:ind w:firstLine="420" w:firstLineChars="200"/>
    </w:pPr>
    <w:rPr>
      <w:rFonts w:ascii="Times New Roman" w:hAnsi="Times New Roman"/>
      <w:lang w:val="zh-CN"/>
    </w:rPr>
  </w:style>
  <w:style w:type="table" w:styleId="27">
    <w:name w:val="Table Grid"/>
    <w:basedOn w:val="26"/>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sz w:val="24"/>
      <w:szCs w:val="24"/>
    </w:rPr>
  </w:style>
  <w:style w:type="character" w:styleId="30">
    <w:name w:val="Hyperlink"/>
    <w:semiHidden/>
    <w:unhideWhenUsed/>
    <w:qFormat/>
    <w:uiPriority w:val="99"/>
    <w:rPr>
      <w:color w:val="0000FF"/>
      <w:u w:val="none"/>
    </w:rPr>
  </w:style>
  <w:style w:type="character" w:styleId="31">
    <w:name w:val="annotation reference"/>
    <w:semiHidden/>
    <w:unhideWhenUsed/>
    <w:qFormat/>
    <w:uiPriority w:val="99"/>
    <w:rPr>
      <w:sz w:val="21"/>
      <w:szCs w:val="21"/>
    </w:rPr>
  </w:style>
  <w:style w:type="character" w:customStyle="1" w:styleId="32">
    <w:name w:val="纯文本 Char"/>
    <w:basedOn w:val="28"/>
    <w:link w:val="13"/>
    <w:semiHidden/>
    <w:qFormat/>
    <w:uiPriority w:val="0"/>
    <w:rPr>
      <w:rFonts w:hAnsi="Courier New" w:cs="Courier New" w:asciiTheme="minorEastAsia"/>
      <w:szCs w:val="24"/>
    </w:rPr>
  </w:style>
  <w:style w:type="character" w:customStyle="1" w:styleId="33">
    <w:name w:val="标题 1 Char"/>
    <w:basedOn w:val="28"/>
    <w:link w:val="4"/>
    <w:qFormat/>
    <w:uiPriority w:val="0"/>
    <w:rPr>
      <w:rFonts w:ascii="Calibri" w:hAnsi="Calibri" w:eastAsia="宋体" w:cs="Times New Roman"/>
      <w:b/>
      <w:bCs/>
      <w:kern w:val="44"/>
      <w:sz w:val="44"/>
      <w:szCs w:val="44"/>
    </w:rPr>
  </w:style>
  <w:style w:type="character" w:customStyle="1" w:styleId="34">
    <w:name w:val="标题 4 Char"/>
    <w:basedOn w:val="28"/>
    <w:link w:val="8"/>
    <w:semiHidden/>
    <w:qFormat/>
    <w:uiPriority w:val="0"/>
    <w:rPr>
      <w:rFonts w:ascii="Arial" w:hAnsi="Arial" w:eastAsia="黑体" w:cs="Times New Roman"/>
      <w:b/>
      <w:bCs/>
      <w:sz w:val="28"/>
      <w:szCs w:val="28"/>
    </w:rPr>
  </w:style>
  <w:style w:type="character" w:customStyle="1" w:styleId="35">
    <w:name w:val="标题 2 Char"/>
    <w:basedOn w:val="28"/>
    <w:link w:val="5"/>
    <w:semiHidden/>
    <w:qFormat/>
    <w:uiPriority w:val="0"/>
    <w:rPr>
      <w:rFonts w:ascii="Arial" w:hAnsi="Arial" w:eastAsia="黑体" w:cs="Times New Roman"/>
      <w:b/>
      <w:bCs/>
      <w:sz w:val="32"/>
      <w:szCs w:val="32"/>
    </w:rPr>
  </w:style>
  <w:style w:type="character" w:customStyle="1" w:styleId="36">
    <w:name w:val="标题 3 Char"/>
    <w:basedOn w:val="28"/>
    <w:link w:val="7"/>
    <w:semiHidden/>
    <w:qFormat/>
    <w:uiPriority w:val="0"/>
    <w:rPr>
      <w:rFonts w:ascii="Calibri" w:hAnsi="Calibri" w:eastAsia="宋体" w:cs="Times New Roman"/>
      <w:b/>
      <w:bCs/>
      <w:sz w:val="32"/>
      <w:szCs w:val="32"/>
    </w:rPr>
  </w:style>
  <w:style w:type="paragraph" w:customStyle="1" w:styleId="37">
    <w:name w:val="msonormal"/>
    <w:basedOn w:val="1"/>
    <w:qFormat/>
    <w:uiPriority w:val="0"/>
    <w:pPr>
      <w:widowControl/>
      <w:spacing w:before="100" w:beforeAutospacing="1" w:after="100" w:afterAutospacing="1"/>
      <w:jc w:val="left"/>
    </w:pPr>
    <w:rPr>
      <w:kern w:val="0"/>
      <w:sz w:val="24"/>
    </w:rPr>
  </w:style>
  <w:style w:type="character" w:customStyle="1" w:styleId="38">
    <w:name w:val="批注文字 Char"/>
    <w:basedOn w:val="28"/>
    <w:link w:val="10"/>
    <w:semiHidden/>
    <w:qFormat/>
    <w:uiPriority w:val="99"/>
    <w:rPr>
      <w:rFonts w:ascii="Calibri" w:hAnsi="Calibri" w:eastAsia="宋体" w:cs="Times New Roman"/>
      <w:szCs w:val="24"/>
    </w:rPr>
  </w:style>
  <w:style w:type="character" w:customStyle="1" w:styleId="39">
    <w:name w:val="页眉 Char"/>
    <w:basedOn w:val="28"/>
    <w:link w:val="18"/>
    <w:semiHidden/>
    <w:qFormat/>
    <w:uiPriority w:val="99"/>
    <w:rPr>
      <w:rFonts w:ascii="Calibri" w:hAnsi="Calibri" w:eastAsia="仿宋_GB2312" w:cs="Times New Roman"/>
      <w:sz w:val="18"/>
      <w:szCs w:val="20"/>
    </w:rPr>
  </w:style>
  <w:style w:type="character" w:customStyle="1" w:styleId="40">
    <w:name w:val="页脚 Char"/>
    <w:basedOn w:val="28"/>
    <w:link w:val="17"/>
    <w:semiHidden/>
    <w:qFormat/>
    <w:uiPriority w:val="99"/>
    <w:rPr>
      <w:rFonts w:ascii="Calibri" w:hAnsi="Calibri" w:eastAsia="黑体" w:cs="Times New Roman"/>
      <w:sz w:val="18"/>
      <w:szCs w:val="18"/>
    </w:rPr>
  </w:style>
  <w:style w:type="character" w:customStyle="1" w:styleId="41">
    <w:name w:val="正文首行缩进 Char"/>
    <w:basedOn w:val="42"/>
    <w:link w:val="3"/>
    <w:semiHidden/>
    <w:qFormat/>
    <w:uiPriority w:val="0"/>
    <w:rPr>
      <w:rFonts w:ascii="Calibri" w:hAnsi="Calibri" w:eastAsia="宋体" w:cs="Times New Roman"/>
      <w:kern w:val="0"/>
      <w:sz w:val="28"/>
      <w:szCs w:val="20"/>
    </w:rPr>
  </w:style>
  <w:style w:type="character" w:customStyle="1" w:styleId="42">
    <w:name w:val="正文文本 Char"/>
    <w:basedOn w:val="28"/>
    <w:link w:val="2"/>
    <w:semiHidden/>
    <w:qFormat/>
    <w:uiPriority w:val="0"/>
    <w:rPr>
      <w:rFonts w:ascii="Calibri" w:hAnsi="Calibri" w:eastAsia="宋体" w:cs="Times New Roman"/>
      <w:sz w:val="28"/>
      <w:szCs w:val="24"/>
    </w:rPr>
  </w:style>
  <w:style w:type="character" w:customStyle="1" w:styleId="43">
    <w:name w:val="正文文本缩进 Char"/>
    <w:basedOn w:val="28"/>
    <w:link w:val="12"/>
    <w:semiHidden/>
    <w:qFormat/>
    <w:uiPriority w:val="0"/>
    <w:rPr>
      <w:rFonts w:ascii="宋体" w:hAnsi="Courier New" w:eastAsia="宋体" w:cs="Times New Roman"/>
      <w:spacing w:val="-4"/>
      <w:sz w:val="18"/>
      <w:szCs w:val="20"/>
    </w:rPr>
  </w:style>
  <w:style w:type="character" w:customStyle="1" w:styleId="44">
    <w:name w:val="日期 Char"/>
    <w:basedOn w:val="28"/>
    <w:link w:val="14"/>
    <w:semiHidden/>
    <w:qFormat/>
    <w:uiPriority w:val="0"/>
    <w:rPr>
      <w:rFonts w:ascii="Calibri" w:hAnsi="Calibri" w:eastAsia="楷体_GB2312" w:cs="Times New Roman"/>
      <w:sz w:val="32"/>
      <w:szCs w:val="20"/>
    </w:rPr>
  </w:style>
  <w:style w:type="character" w:customStyle="1" w:styleId="45">
    <w:name w:val="正文首行缩进 2 Char"/>
    <w:basedOn w:val="43"/>
    <w:link w:val="25"/>
    <w:semiHidden/>
    <w:qFormat/>
    <w:uiPriority w:val="0"/>
    <w:rPr>
      <w:rFonts w:ascii="Times New Roman" w:hAnsi="Times New Roman" w:eastAsia="宋体" w:cs="Times New Roman"/>
      <w:spacing w:val="-4"/>
      <w:sz w:val="18"/>
      <w:szCs w:val="20"/>
      <w:lang w:val="zh-CN"/>
    </w:rPr>
  </w:style>
  <w:style w:type="character" w:customStyle="1" w:styleId="46">
    <w:name w:val="正文文本 2 Char"/>
    <w:basedOn w:val="28"/>
    <w:link w:val="22"/>
    <w:semiHidden/>
    <w:qFormat/>
    <w:uiPriority w:val="0"/>
    <w:rPr>
      <w:rFonts w:ascii="宋体" w:hAnsi="宋体" w:eastAsia="宋体" w:cs="Times New Roman"/>
      <w:color w:val="000000"/>
      <w:sz w:val="24"/>
      <w:szCs w:val="24"/>
    </w:rPr>
  </w:style>
  <w:style w:type="character" w:customStyle="1" w:styleId="47">
    <w:name w:val="正文文本 3 Char"/>
    <w:basedOn w:val="28"/>
    <w:link w:val="11"/>
    <w:semiHidden/>
    <w:qFormat/>
    <w:uiPriority w:val="0"/>
    <w:rPr>
      <w:rFonts w:ascii="Calibri" w:hAnsi="宋体" w:eastAsia="仿宋_GB2312" w:cs="Times New Roman"/>
      <w:b/>
      <w:bCs/>
      <w:sz w:val="24"/>
      <w:szCs w:val="20"/>
    </w:rPr>
  </w:style>
  <w:style w:type="character" w:customStyle="1" w:styleId="48">
    <w:name w:val="正文文本缩进 2 Char"/>
    <w:basedOn w:val="28"/>
    <w:link w:val="15"/>
    <w:semiHidden/>
    <w:qFormat/>
    <w:uiPriority w:val="0"/>
    <w:rPr>
      <w:rFonts w:ascii="仿宋_GB2312" w:hAnsi="宋体" w:eastAsia="宋体" w:cs="Arial"/>
      <w:b/>
      <w:bCs/>
      <w:color w:val="000000"/>
      <w:sz w:val="24"/>
      <w:szCs w:val="24"/>
    </w:rPr>
  </w:style>
  <w:style w:type="character" w:customStyle="1" w:styleId="49">
    <w:name w:val="正文文本缩进 3 Char"/>
    <w:basedOn w:val="28"/>
    <w:link w:val="20"/>
    <w:semiHidden/>
    <w:qFormat/>
    <w:uiPriority w:val="0"/>
    <w:rPr>
      <w:rFonts w:ascii="仿宋_GB2312" w:hAnsi="宋体" w:eastAsia="仿宋_GB2312" w:cs="Times New Roman"/>
      <w:color w:val="000000"/>
      <w:sz w:val="24"/>
      <w:szCs w:val="24"/>
    </w:rPr>
  </w:style>
  <w:style w:type="character" w:customStyle="1" w:styleId="50">
    <w:name w:val="文档结构图 Char"/>
    <w:basedOn w:val="28"/>
    <w:link w:val="9"/>
    <w:semiHidden/>
    <w:qFormat/>
    <w:uiPriority w:val="99"/>
    <w:rPr>
      <w:rFonts w:ascii="宋体" w:hAnsi="Calibri" w:eastAsia="宋体" w:cs="Times New Roman"/>
      <w:sz w:val="18"/>
      <w:szCs w:val="18"/>
    </w:rPr>
  </w:style>
  <w:style w:type="character" w:customStyle="1" w:styleId="51">
    <w:name w:val="批注主题 Char"/>
    <w:basedOn w:val="38"/>
    <w:link w:val="24"/>
    <w:semiHidden/>
    <w:qFormat/>
    <w:uiPriority w:val="99"/>
    <w:rPr>
      <w:rFonts w:ascii="Calibri" w:hAnsi="Calibri" w:eastAsia="宋体" w:cs="Times New Roman"/>
      <w:b/>
      <w:bCs/>
      <w:szCs w:val="24"/>
    </w:rPr>
  </w:style>
  <w:style w:type="character" w:customStyle="1" w:styleId="52">
    <w:name w:val="批注框文本 Char"/>
    <w:basedOn w:val="28"/>
    <w:link w:val="16"/>
    <w:semiHidden/>
    <w:qFormat/>
    <w:uiPriority w:val="0"/>
    <w:rPr>
      <w:rFonts w:ascii="Calibri" w:hAnsi="Calibri" w:eastAsia="宋体" w:cs="Times New Roman"/>
      <w:sz w:val="18"/>
      <w:szCs w:val="18"/>
    </w:rPr>
  </w:style>
  <w:style w:type="character" w:customStyle="1" w:styleId="53">
    <w:name w:val="无间隔 Char"/>
    <w:link w:val="54"/>
    <w:qFormat/>
    <w:locked/>
    <w:uiPriority w:val="1"/>
    <w:rPr>
      <w:sz w:val="22"/>
    </w:rPr>
  </w:style>
  <w:style w:type="paragraph" w:styleId="54">
    <w:name w:val="No Spacing"/>
    <w:link w:val="53"/>
    <w:qFormat/>
    <w:uiPriority w:val="1"/>
    <w:rPr>
      <w:rFonts w:asciiTheme="minorHAnsi" w:hAnsiTheme="minorHAnsi" w:eastAsiaTheme="minorEastAsia" w:cstheme="minorBidi"/>
      <w:kern w:val="2"/>
      <w:sz w:val="22"/>
      <w:szCs w:val="22"/>
      <w:lang w:val="en-US" w:eastAsia="zh-CN" w:bidi="ar-SA"/>
    </w:rPr>
  </w:style>
  <w:style w:type="paragraph" w:customStyle="1" w:styleId="55">
    <w:name w:val="默认段落字体 Para Char Char Char Char Char Char Char Char Char1 Char Char Char Char"/>
    <w:basedOn w:val="1"/>
    <w:qFormat/>
    <w:uiPriority w:val="0"/>
    <w:rPr>
      <w:rFonts w:ascii="Tahoma" w:hAnsi="Tahoma"/>
      <w:sz w:val="24"/>
      <w:szCs w:val="20"/>
    </w:rPr>
  </w:style>
  <w:style w:type="paragraph" w:customStyle="1" w:styleId="56">
    <w:name w:val="正文1"/>
    <w:basedOn w:val="1"/>
    <w:next w:val="1"/>
    <w:qFormat/>
    <w:uiPriority w:val="0"/>
    <w:pPr>
      <w:tabs>
        <w:tab w:val="left" w:pos="360"/>
      </w:tabs>
      <w:spacing w:line="360" w:lineRule="auto"/>
      <w:ind w:left="357" w:hanging="357"/>
    </w:pPr>
    <w:rPr>
      <w:rFonts w:ascii="宋体" w:hAnsi="宋体"/>
      <w:color w:val="FF0000"/>
    </w:rPr>
  </w:style>
  <w:style w:type="paragraph" w:customStyle="1" w:styleId="57">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58">
    <w:name w:val="cm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9">
    <w:name w:val="列出段落1"/>
    <w:basedOn w:val="1"/>
    <w:qFormat/>
    <w:uiPriority w:val="34"/>
    <w:pPr>
      <w:ind w:firstLine="420" w:firstLineChars="200"/>
    </w:pPr>
  </w:style>
  <w:style w:type="paragraph" w:customStyle="1" w:styleId="60">
    <w:name w:val="正文段"/>
    <w:basedOn w:val="1"/>
    <w:qFormat/>
    <w:uiPriority w:val="0"/>
    <w:pPr>
      <w:widowControl/>
      <w:snapToGrid w:val="0"/>
      <w:spacing w:afterLines="50"/>
      <w:ind w:firstLine="200" w:firstLineChars="200"/>
    </w:pPr>
    <w:rPr>
      <w:kern w:val="0"/>
      <w:sz w:val="24"/>
      <w:szCs w:val="20"/>
    </w:rPr>
  </w:style>
  <w:style w:type="paragraph" w:customStyle="1" w:styleId="61">
    <w:name w:val="正文2"/>
    <w:basedOn w:val="1"/>
    <w:qFormat/>
    <w:uiPriority w:val="0"/>
    <w:pPr>
      <w:adjustRightInd w:val="0"/>
      <w:spacing w:line="318" w:lineRule="atLeast"/>
      <w:ind w:left="369" w:firstLine="369"/>
    </w:pPr>
    <w:rPr>
      <w:rFonts w:ascii="宋体" w:hAnsi="Times New Roman"/>
      <w:szCs w:val="20"/>
    </w:rPr>
  </w:style>
  <w:style w:type="character" w:customStyle="1" w:styleId="62">
    <w:name w:val="xl29 Char Char"/>
    <w:link w:val="63"/>
    <w:qFormat/>
    <w:locked/>
    <w:uiPriority w:val="0"/>
    <w:rPr>
      <w:rFonts w:ascii="Arial Unicode MS" w:hAnsi="Arial Unicode MS" w:eastAsia="Arial Unicode MS"/>
      <w:sz w:val="24"/>
      <w:szCs w:val="24"/>
    </w:rPr>
  </w:style>
  <w:style w:type="paragraph" w:customStyle="1" w:styleId="63">
    <w:name w:val="xl29"/>
    <w:basedOn w:val="1"/>
    <w:link w:val="62"/>
    <w:qFormat/>
    <w:uiPriority w:val="0"/>
    <w:pPr>
      <w:widowControl/>
      <w:spacing w:before="100" w:beforeAutospacing="1" w:after="100" w:afterAutospacing="1"/>
      <w:jc w:val="center"/>
    </w:pPr>
    <w:rPr>
      <w:rFonts w:ascii="Arial Unicode MS" w:hAnsi="Arial Unicode MS" w:eastAsia="Arial Unicode MS" w:cstheme="minorBidi"/>
      <w:sz w:val="24"/>
    </w:rPr>
  </w:style>
  <w:style w:type="paragraph" w:customStyle="1" w:styleId="64">
    <w:name w:val="列出段落2"/>
    <w:basedOn w:val="1"/>
    <w:qFormat/>
    <w:uiPriority w:val="99"/>
    <w:pPr>
      <w:ind w:firstLine="420" w:firstLineChars="200"/>
    </w:pPr>
  </w:style>
  <w:style w:type="paragraph" w:customStyle="1" w:styleId="65">
    <w:name w:val="_Style 6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6">
    <w:name w:val="列出段落4"/>
    <w:basedOn w:val="1"/>
    <w:qFormat/>
    <w:uiPriority w:val="34"/>
    <w:pPr>
      <w:ind w:firstLine="420" w:firstLineChars="200"/>
    </w:pPr>
    <w:rPr>
      <w:szCs w:val="22"/>
    </w:rPr>
  </w:style>
  <w:style w:type="paragraph" w:customStyle="1" w:styleId="67">
    <w:name w:val="纯文本1"/>
    <w:basedOn w:val="56"/>
    <w:qFormat/>
    <w:uiPriority w:val="0"/>
    <w:pPr>
      <w:adjustRightInd w:val="0"/>
    </w:pPr>
    <w:rPr>
      <w:rFonts w:hAnsi="Courier New" w:eastAsia="楷体_GB2312"/>
      <w:sz w:val="26"/>
      <w:szCs w:val="20"/>
    </w:rPr>
  </w:style>
  <w:style w:type="paragraph" w:customStyle="1" w:styleId="68">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69">
    <w:name w:val="列出段落11"/>
    <w:basedOn w:val="1"/>
    <w:qFormat/>
    <w:uiPriority w:val="34"/>
    <w:pPr>
      <w:ind w:firstLine="420" w:firstLineChars="200"/>
    </w:pPr>
  </w:style>
  <w:style w:type="paragraph" w:customStyle="1" w:styleId="70">
    <w:name w:val="Image"/>
    <w:basedOn w:val="59"/>
    <w:qFormat/>
    <w:uiPriority w:val="0"/>
    <w:pPr>
      <w:ind w:firstLine="0" w:firstLineChars="0"/>
      <w:jc w:val="center"/>
    </w:pPr>
  </w:style>
  <w:style w:type="paragraph" w:customStyle="1" w:styleId="71">
    <w:name w:val="Text"/>
    <w:basedOn w:val="1"/>
    <w:qFormat/>
    <w:uiPriority w:val="0"/>
    <w:pPr>
      <w:spacing w:line="360" w:lineRule="auto"/>
      <w:ind w:firstLine="200" w:firstLineChars="200"/>
    </w:pPr>
    <w:rPr>
      <w:sz w:val="24"/>
    </w:rPr>
  </w:style>
  <w:style w:type="paragraph" w:customStyle="1" w:styleId="72">
    <w:name w:val="默认段落字体 Para Char Char Char Char Char Char Char"/>
    <w:basedOn w:val="18"/>
    <w:next w:val="65"/>
    <w:qFormat/>
    <w:uiPriority w:val="0"/>
    <w:pPr>
      <w:pBdr>
        <w:bottom w:val="none" w:color="auto" w:sz="0" w:space="0"/>
      </w:pBdr>
      <w:shd w:val="clear" w:color="auto" w:fill="000080"/>
      <w:tabs>
        <w:tab w:val="clear" w:pos="4153"/>
        <w:tab w:val="clear" w:pos="8306"/>
      </w:tabs>
      <w:adjustRightInd w:val="0"/>
      <w:snapToGrid/>
      <w:spacing w:line="436" w:lineRule="exact"/>
      <w:ind w:left="357"/>
      <w:jc w:val="left"/>
      <w:outlineLvl w:val="3"/>
    </w:pPr>
    <w:rPr>
      <w:rFonts w:eastAsia="宋体"/>
      <w:sz w:val="21"/>
    </w:rPr>
  </w:style>
  <w:style w:type="paragraph" w:customStyle="1" w:styleId="73">
    <w:name w:val="Table"/>
    <w:basedOn w:val="70"/>
    <w:qFormat/>
    <w:uiPriority w:val="0"/>
    <w:rPr>
      <w:rFonts w:ascii="Times New Roman" w:hAnsi="Times New Roman" w:eastAsia="仿宋"/>
    </w:rPr>
  </w:style>
  <w:style w:type="paragraph" w:customStyle="1" w:styleId="74">
    <w:name w:val="BodyTextIndent"/>
    <w:basedOn w:val="1"/>
    <w:qFormat/>
    <w:uiPriority w:val="0"/>
    <w:pPr>
      <w:spacing w:line="200" w:lineRule="exact"/>
      <w:ind w:firstLine="301"/>
    </w:pPr>
    <w:rPr>
      <w:rFonts w:ascii="宋体" w:hAnsi="Courier New"/>
      <w:spacing w:val="-4"/>
      <w:sz w:val="18"/>
      <w:szCs w:val="20"/>
    </w:rPr>
  </w:style>
  <w:style w:type="paragraph" w:customStyle="1" w:styleId="7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6">
    <w:name w:val="纯文本2"/>
    <w:basedOn w:val="1"/>
    <w:qFormat/>
    <w:uiPriority w:val="0"/>
    <w:rPr>
      <w:rFonts w:ascii="宋体" w:hAnsi="Courier New"/>
      <w:szCs w:val="20"/>
    </w:rPr>
  </w:style>
  <w:style w:type="paragraph" w:customStyle="1" w:styleId="77">
    <w:name w:val="表格用"/>
    <w:basedOn w:val="1"/>
    <w:qFormat/>
    <w:uiPriority w:val="0"/>
    <w:rPr>
      <w:kern w:val="0"/>
    </w:rPr>
  </w:style>
  <w:style w:type="paragraph" w:customStyle="1" w:styleId="78">
    <w:name w:val="p0"/>
    <w:basedOn w:val="1"/>
    <w:qFormat/>
    <w:uiPriority w:val="0"/>
    <w:pPr>
      <w:widowControl/>
    </w:pPr>
    <w:rPr>
      <w:kern w:val="0"/>
      <w:szCs w:val="21"/>
    </w:rPr>
  </w:style>
  <w:style w:type="paragraph" w:customStyle="1" w:styleId="79">
    <w:name w:val="样式1"/>
    <w:basedOn w:val="8"/>
    <w:qFormat/>
    <w:uiPriority w:val="0"/>
  </w:style>
  <w:style w:type="paragraph" w:customStyle="1" w:styleId="80">
    <w:name w:val="Char1"/>
    <w:basedOn w:val="1"/>
    <w:qFormat/>
    <w:uiPriority w:val="0"/>
    <w:rPr>
      <w:rFonts w:ascii="Tahoma" w:hAnsi="Tahoma"/>
      <w:sz w:val="24"/>
      <w:szCs w:val="20"/>
    </w:rPr>
  </w:style>
  <w:style w:type="paragraph" w:customStyle="1" w:styleId="81">
    <w:name w:val="BodyText1I2"/>
    <w:basedOn w:val="74"/>
    <w:qFormat/>
    <w:uiPriority w:val="0"/>
    <w:pPr>
      <w:ind w:firstLine="420" w:firstLineChars="200"/>
    </w:pPr>
    <w:rPr>
      <w:rFonts w:ascii="Times New Roman" w:hAnsi="Times New Roman"/>
      <w:lang w:val="zh-CN"/>
    </w:rPr>
  </w:style>
  <w:style w:type="character" w:customStyle="1" w:styleId="82">
    <w:name w:val="del1"/>
    <w:qFormat/>
    <w:uiPriority w:val="0"/>
    <w:rPr>
      <w:vanish/>
      <w:color w:val="666666"/>
      <w:sz w:val="18"/>
      <w:szCs w:val="18"/>
      <w:u w:val="single"/>
    </w:rPr>
  </w:style>
  <w:style w:type="character" w:customStyle="1" w:styleId="83">
    <w:name w:val="now1"/>
    <w:basedOn w:val="28"/>
    <w:qFormat/>
    <w:uiPriority w:val="0"/>
  </w:style>
  <w:style w:type="character" w:customStyle="1" w:styleId="84">
    <w:name w:val="now3"/>
    <w:basedOn w:val="28"/>
    <w:qFormat/>
    <w:uiPriority w:val="0"/>
  </w:style>
  <w:style w:type="character" w:customStyle="1" w:styleId="85">
    <w:name w:val="inq"/>
    <w:qFormat/>
    <w:uiPriority w:val="0"/>
    <w:rPr>
      <w:color w:val="333333"/>
    </w:rPr>
  </w:style>
  <w:style w:type="character" w:customStyle="1" w:styleId="86">
    <w:name w:val="now2"/>
    <w:basedOn w:val="28"/>
    <w:qFormat/>
    <w:uiPriority w:val="0"/>
  </w:style>
  <w:style w:type="character" w:customStyle="1" w:styleId="87">
    <w:name w:val="样式 标题 1合同标题卷标题H1h1Level 1 Topic HeadingH11H12H111H13H1... Char"/>
    <w:qFormat/>
    <w:uiPriority w:val="0"/>
    <w:rPr>
      <w:rFonts w:hint="eastAsia" w:ascii="宋体" w:hAnsi="宋体" w:eastAsia="宋体"/>
      <w:b/>
      <w:bCs/>
      <w:kern w:val="44"/>
      <w:sz w:val="24"/>
      <w:szCs w:val="44"/>
      <w:lang w:val="en-US" w:eastAsia="zh-CN" w:bidi="ar-SA"/>
    </w:rPr>
  </w:style>
  <w:style w:type="character" w:customStyle="1" w:styleId="88">
    <w:name w:val="pl"/>
    <w:basedOn w:val="28"/>
    <w:qFormat/>
    <w:uiPriority w:val="0"/>
  </w:style>
  <w:style w:type="character" w:customStyle="1" w:styleId="89">
    <w:name w:val="tab"/>
    <w:qFormat/>
    <w:uiPriority w:val="0"/>
    <w:rPr>
      <w:color w:val="A4BCD6"/>
    </w:rPr>
  </w:style>
  <w:style w:type="character" w:customStyle="1" w:styleId="90">
    <w:name w:val="pl7"/>
    <w:basedOn w:val="28"/>
    <w:qFormat/>
    <w:uiPriority w:val="0"/>
  </w:style>
  <w:style w:type="character" w:customStyle="1" w:styleId="91">
    <w:name w:val="info"/>
    <w:qFormat/>
    <w:uiPriority w:val="0"/>
    <w:rPr>
      <w:color w:val="666666"/>
    </w:rPr>
  </w:style>
  <w:style w:type="character" w:customStyle="1" w:styleId="92">
    <w:name w:val="icon-doc"/>
    <w:basedOn w:val="28"/>
    <w:qFormat/>
    <w:uiPriority w:val="0"/>
  </w:style>
  <w:style w:type="character" w:customStyle="1" w:styleId="93">
    <w:name w:val="apple-converted-space"/>
    <w:basedOn w:val="28"/>
    <w:qFormat/>
    <w:uiPriority w:val="0"/>
  </w:style>
  <w:style w:type="character" w:customStyle="1" w:styleId="94">
    <w:name w:val="icon-game"/>
    <w:basedOn w:val="28"/>
    <w:qFormat/>
    <w:uiPriority w:val="0"/>
  </w:style>
  <w:style w:type="character" w:customStyle="1" w:styleId="95">
    <w:name w:val="不明显参考1"/>
    <w:qFormat/>
    <w:uiPriority w:val="31"/>
    <w:rPr>
      <w:smallCaps/>
      <w:color w:val="595959"/>
    </w:rPr>
  </w:style>
  <w:style w:type="character" w:customStyle="1" w:styleId="96">
    <w:name w:val="up"/>
    <w:basedOn w:val="28"/>
    <w:qFormat/>
    <w:uiPriority w:val="0"/>
  </w:style>
  <w:style w:type="character" w:customStyle="1" w:styleId="97">
    <w:name w:val="arr"/>
    <w:basedOn w:val="28"/>
    <w:qFormat/>
    <w:uiPriority w:val="0"/>
  </w:style>
  <w:style w:type="character" w:customStyle="1" w:styleId="98">
    <w:name w:val="del2"/>
    <w:qFormat/>
    <w:uiPriority w:val="0"/>
    <w:rPr>
      <w:vanish/>
    </w:rPr>
  </w:style>
  <w:style w:type="character" w:customStyle="1" w:styleId="99">
    <w:name w:val="Char Char"/>
    <w:qFormat/>
    <w:uiPriority w:val="0"/>
    <w:rPr>
      <w:rFonts w:hint="eastAsia" w:ascii="宋体" w:hAnsi="Courier New" w:eastAsia="宋体"/>
      <w:kern w:val="2"/>
      <w:sz w:val="24"/>
      <w:szCs w:val="24"/>
      <w:lang w:val="en-US" w:eastAsia="zh-CN" w:bidi="ar-SA"/>
    </w:rPr>
  </w:style>
  <w:style w:type="character" w:customStyle="1" w:styleId="100">
    <w:name w:val="inq1"/>
    <w:basedOn w:val="28"/>
    <w:qFormat/>
    <w:uiPriority w:val="0"/>
  </w:style>
  <w:style w:type="character" w:customStyle="1" w:styleId="101">
    <w:name w:val="icon-down"/>
    <w:basedOn w:val="28"/>
    <w:qFormat/>
    <w:uiPriority w:val="0"/>
  </w:style>
  <w:style w:type="character" w:customStyle="1" w:styleId="102">
    <w:name w:val="Char Char1"/>
    <w:qFormat/>
    <w:uiPriority w:val="0"/>
    <w:rPr>
      <w:rFonts w:hint="eastAsia" w:ascii="黑体" w:hAnsi="黑体" w:eastAsia="黑体"/>
      <w:snapToGrid/>
      <w:sz w:val="18"/>
      <w:szCs w:val="18"/>
      <w:lang w:val="en-US" w:eastAsia="zh-CN" w:bidi="ar-SA"/>
    </w:rPr>
  </w:style>
  <w:style w:type="character" w:customStyle="1" w:styleId="103">
    <w:name w:val="submit"/>
    <w:basedOn w:val="28"/>
    <w:qFormat/>
    <w:uiPriority w:val="0"/>
  </w:style>
  <w:style w:type="character" w:customStyle="1" w:styleId="104">
    <w:name w:val="apple-style-span"/>
    <w:basedOn w:val="28"/>
    <w:qFormat/>
    <w:uiPriority w:val="0"/>
  </w:style>
  <w:style w:type="character" w:customStyle="1" w:styleId="105">
    <w:name w:val="Char Char12"/>
    <w:qFormat/>
    <w:uiPriority w:val="0"/>
    <w:rPr>
      <w:rFonts w:hint="eastAsia" w:ascii="宋体" w:hAnsi="Courier New" w:eastAsia="宋体"/>
      <w:spacing w:val="-4"/>
      <w:kern w:val="2"/>
      <w:sz w:val="18"/>
    </w:rPr>
  </w:style>
  <w:style w:type="character" w:customStyle="1" w:styleId="106">
    <w:name w:val="up2"/>
    <w:basedOn w:val="28"/>
    <w:qFormat/>
    <w:uiPriority w:val="0"/>
  </w:style>
  <w:style w:type="character" w:customStyle="1" w:styleId="107">
    <w:name w:val="reason"/>
    <w:qFormat/>
    <w:uiPriority w:val="0"/>
    <w:rPr>
      <w:color w:val="999999"/>
    </w:rPr>
  </w:style>
  <w:style w:type="character" w:customStyle="1" w:styleId="108">
    <w:name w:val="del"/>
    <w:basedOn w:val="28"/>
    <w:qFormat/>
    <w:uiPriority w:val="0"/>
  </w:style>
  <w:style w:type="character" w:customStyle="1" w:styleId="109">
    <w:name w:val="pl8"/>
    <w:basedOn w:val="28"/>
    <w:qFormat/>
    <w:uiPriority w:val="0"/>
  </w:style>
  <w:style w:type="character" w:customStyle="1" w:styleId="110">
    <w:name w:val="now4"/>
    <w:basedOn w:val="28"/>
    <w:qFormat/>
    <w:uiPriority w:val="0"/>
  </w:style>
  <w:style w:type="character" w:customStyle="1" w:styleId="111">
    <w:name w:val="icon-play"/>
    <w:basedOn w:val="28"/>
    <w:qFormat/>
    <w:uiPriority w:val="0"/>
  </w:style>
  <w:style w:type="character" w:customStyle="1" w:styleId="112">
    <w:name w:val="icon-read"/>
    <w:basedOn w:val="28"/>
    <w:qFormat/>
    <w:uiPriority w:val="0"/>
  </w:style>
  <w:style w:type="character" w:customStyle="1" w:styleId="113">
    <w:name w:val="pl1"/>
    <w:basedOn w:val="28"/>
    <w:qFormat/>
    <w:uiPriority w:val="0"/>
  </w:style>
  <w:style w:type="paragraph" w:customStyle="1" w:styleId="114">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styleId="1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5531</Words>
  <Characters>31528</Characters>
  <Lines>262</Lines>
  <Paragraphs>73</Paragraphs>
  <TotalTime>9</TotalTime>
  <ScaleCrop>false</ScaleCrop>
  <LinksUpToDate>false</LinksUpToDate>
  <CharactersWithSpaces>36986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2020-12-01T01:00:00Z</dcterms:created>
  <dc:creator>xhl7386@outlook.com</dc:creator>
  <cp:lastModifiedBy>周旭坤</cp:lastModifiedBy>
  <cp:lastPrinted>2020-12-30T08:13:00Z</cp:lastPrinted>
  <dcterms:modified xsi:type="dcterms:W3CDTF">2020-12-31T07:54:49Z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