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after="120" w:afterLines="50" w:line="360" w:lineRule="auto"/>
        <w:rPr>
          <w:rFonts w:hint="eastAsia" w:ascii="宋体" w:hAnsi="宋体" w:cs="宋体"/>
          <w:b/>
          <w:bCs/>
          <w:color w:val="000000"/>
          <w:sz w:val="36"/>
          <w:szCs w:val="36"/>
        </w:rPr>
      </w:pPr>
      <w:bookmarkStart w:id="0" w:name="_Toc1485"/>
      <w:bookmarkStart w:id="1" w:name="_Toc28305"/>
      <w:bookmarkStart w:id="230" w:name="_GoBack"/>
      <w:bookmarkEnd w:id="230"/>
    </w:p>
    <w:p>
      <w:pPr>
        <w:rPr>
          <w:rFonts w:hint="eastAsia"/>
          <w:color w:val="000000"/>
        </w:rPr>
      </w:pPr>
    </w:p>
    <w:p>
      <w:pPr>
        <w:spacing w:before="120" w:beforeLines="50" w:line="360" w:lineRule="auto"/>
        <w:jc w:val="center"/>
        <w:rPr>
          <w:rFonts w:hint="eastAsia"/>
          <w:b/>
          <w:color w:val="000000"/>
          <w:sz w:val="72"/>
          <w:szCs w:val="72"/>
        </w:rPr>
      </w:pPr>
    </w:p>
    <w:p>
      <w:pPr>
        <w:spacing w:before="120" w:beforeLines="50" w:line="360" w:lineRule="auto"/>
        <w:jc w:val="center"/>
        <w:rPr>
          <w:b/>
          <w:color w:val="000000"/>
          <w:w w:val="90"/>
          <w:sz w:val="72"/>
          <w:szCs w:val="72"/>
        </w:rPr>
      </w:pPr>
      <w:r>
        <w:rPr>
          <w:rFonts w:hint="eastAsia"/>
          <w:b/>
          <w:color w:val="000000"/>
          <w:sz w:val="72"/>
          <w:szCs w:val="72"/>
        </w:rPr>
        <w:t>公开招标采购文件</w:t>
      </w:r>
    </w:p>
    <w:p>
      <w:pPr>
        <w:pStyle w:val="4"/>
        <w:ind w:left="0" w:leftChars="0" w:firstLine="0"/>
        <w:rPr>
          <w:b/>
          <w:color w:val="000000"/>
        </w:rPr>
      </w:pPr>
    </w:p>
    <w:p>
      <w:pPr>
        <w:pStyle w:val="4"/>
        <w:ind w:left="0" w:leftChars="0" w:firstLine="0"/>
        <w:rPr>
          <w:b/>
          <w:color w:val="000000"/>
        </w:rPr>
      </w:pPr>
    </w:p>
    <w:p>
      <w:pPr>
        <w:pStyle w:val="4"/>
        <w:ind w:left="0" w:leftChars="0" w:firstLine="0"/>
        <w:rPr>
          <w:b/>
          <w:color w:val="000000"/>
        </w:rPr>
      </w:pPr>
    </w:p>
    <w:p>
      <w:pPr>
        <w:pStyle w:val="4"/>
        <w:ind w:left="0" w:leftChars="0" w:firstLine="0"/>
        <w:rPr>
          <w:b/>
          <w:color w:val="000000"/>
        </w:rPr>
      </w:pPr>
    </w:p>
    <w:p>
      <w:pPr>
        <w:rPr>
          <w:color w:val="000000"/>
        </w:rPr>
      </w:pPr>
    </w:p>
    <w:p>
      <w:pPr>
        <w:pStyle w:val="4"/>
      </w:pPr>
    </w:p>
    <w:p>
      <w:pPr>
        <w:keepNext/>
        <w:keepLines/>
        <w:rPr>
          <w:color w:val="000000"/>
        </w:rPr>
      </w:pPr>
    </w:p>
    <w:p>
      <w:pPr>
        <w:keepNext w:val="0"/>
        <w:keepLines w:val="0"/>
        <w:pageBreakBefore w:val="0"/>
        <w:widowControl w:val="0"/>
        <w:kinsoku/>
        <w:wordWrap/>
        <w:overflowPunct/>
        <w:topLinePunct w:val="0"/>
        <w:autoSpaceDE/>
        <w:autoSpaceDN/>
        <w:bidi w:val="0"/>
        <w:adjustRightInd/>
        <w:snapToGrid/>
        <w:spacing w:before="120" w:beforeLines="50" w:line="360" w:lineRule="auto"/>
        <w:jc w:val="left"/>
        <w:textAlignment w:val="auto"/>
        <w:rPr>
          <w:rFonts w:hint="eastAsia" w:ascii="宋体" w:hAnsi="宋体" w:eastAsia="宋体" w:cs="宋体"/>
          <w:b/>
          <w:sz w:val="30"/>
          <w:szCs w:val="30"/>
          <w:lang w:eastAsia="zh-CN"/>
        </w:rPr>
      </w:pPr>
      <w:r>
        <w:rPr>
          <w:rFonts w:hint="eastAsia" w:ascii="宋体" w:hAnsi="宋体" w:cs="宋体"/>
          <w:b/>
          <w:sz w:val="30"/>
          <w:szCs w:val="30"/>
        </w:rPr>
        <w:t>项目编号：</w:t>
      </w:r>
      <w:r>
        <w:rPr>
          <w:rFonts w:hint="eastAsia" w:ascii="宋体" w:hAnsi="宋体" w:cs="宋体"/>
          <w:b/>
          <w:sz w:val="30"/>
          <w:szCs w:val="30"/>
          <w:lang w:eastAsia="zh-CN"/>
        </w:rPr>
        <w:t>KXZJ-2022010(1)</w:t>
      </w:r>
    </w:p>
    <w:p>
      <w:pPr>
        <w:keepNext w:val="0"/>
        <w:keepLines w:val="0"/>
        <w:pageBreakBefore w:val="0"/>
        <w:widowControl w:val="0"/>
        <w:kinsoku/>
        <w:wordWrap/>
        <w:overflowPunct/>
        <w:topLinePunct w:val="0"/>
        <w:autoSpaceDE/>
        <w:autoSpaceDN/>
        <w:bidi w:val="0"/>
        <w:adjustRightInd/>
        <w:snapToGrid/>
        <w:spacing w:before="120" w:beforeLines="50" w:line="360" w:lineRule="auto"/>
        <w:jc w:val="left"/>
        <w:textAlignment w:val="auto"/>
        <w:rPr>
          <w:rFonts w:hint="eastAsia" w:ascii="宋体" w:hAnsi="宋体" w:eastAsia="宋体" w:cs="宋体"/>
          <w:b/>
          <w:color w:val="000000"/>
          <w:sz w:val="30"/>
          <w:szCs w:val="30"/>
          <w:lang w:eastAsia="zh-CN"/>
        </w:rPr>
      </w:pPr>
      <w:r>
        <w:rPr>
          <w:rFonts w:hint="eastAsia" w:ascii="宋体" w:hAnsi="宋体" w:cs="宋体"/>
          <w:b/>
          <w:sz w:val="30"/>
          <w:szCs w:val="30"/>
        </w:rPr>
        <w:t>项目名称：</w:t>
      </w:r>
      <w:r>
        <w:rPr>
          <w:rFonts w:hint="eastAsia" w:ascii="宋体" w:hAnsi="宋体" w:cs="宋体"/>
          <w:b/>
          <w:spacing w:val="-11"/>
          <w:sz w:val="30"/>
          <w:szCs w:val="30"/>
          <w:lang w:eastAsia="zh-CN"/>
        </w:rPr>
        <w:t>宁波市鄞州区第二医院2022-2024年度安保服务采购项目</w:t>
      </w:r>
    </w:p>
    <w:p>
      <w:pPr>
        <w:keepNext w:val="0"/>
        <w:keepLines w:val="0"/>
        <w:pageBreakBefore w:val="0"/>
        <w:widowControl w:val="0"/>
        <w:kinsoku/>
        <w:wordWrap/>
        <w:overflowPunct/>
        <w:topLinePunct w:val="0"/>
        <w:autoSpaceDE/>
        <w:autoSpaceDN/>
        <w:bidi w:val="0"/>
        <w:adjustRightInd/>
        <w:snapToGrid/>
        <w:spacing w:before="120" w:beforeLines="50" w:line="360" w:lineRule="auto"/>
        <w:jc w:val="left"/>
        <w:textAlignment w:val="auto"/>
        <w:rPr>
          <w:rFonts w:hint="eastAsia" w:ascii="宋体" w:hAnsi="宋体" w:cs="宋体"/>
          <w:b/>
          <w:color w:val="000000"/>
          <w:sz w:val="30"/>
          <w:szCs w:val="30"/>
        </w:rPr>
      </w:pPr>
      <w:r>
        <w:rPr>
          <w:rFonts w:hint="eastAsia" w:ascii="宋体" w:hAnsi="宋体" w:cs="宋体"/>
          <w:b/>
          <w:color w:val="000000"/>
          <w:sz w:val="30"/>
          <w:szCs w:val="30"/>
        </w:rPr>
        <w:t>招标单位：宁波市鄞州区第二医院</w:t>
      </w:r>
    </w:p>
    <w:p>
      <w:pPr>
        <w:keepNext w:val="0"/>
        <w:keepLines w:val="0"/>
        <w:pageBreakBefore w:val="0"/>
        <w:widowControl w:val="0"/>
        <w:kinsoku/>
        <w:wordWrap/>
        <w:overflowPunct/>
        <w:topLinePunct w:val="0"/>
        <w:autoSpaceDE/>
        <w:autoSpaceDN/>
        <w:bidi w:val="0"/>
        <w:adjustRightInd/>
        <w:snapToGrid/>
        <w:spacing w:before="120" w:beforeLines="50" w:line="360" w:lineRule="auto"/>
        <w:jc w:val="left"/>
        <w:textAlignment w:val="auto"/>
        <w:rPr>
          <w:rFonts w:hint="eastAsia" w:ascii="宋体" w:hAnsi="宋体" w:cs="宋体"/>
          <w:b/>
          <w:color w:val="000000"/>
          <w:sz w:val="30"/>
          <w:szCs w:val="30"/>
        </w:rPr>
      </w:pPr>
      <w:r>
        <w:rPr>
          <w:rFonts w:hint="eastAsia" w:ascii="宋体" w:hAnsi="宋体" w:cs="宋体"/>
          <w:b/>
          <w:color w:val="000000"/>
          <w:sz w:val="30"/>
          <w:szCs w:val="30"/>
        </w:rPr>
        <w:t>代理单位：浙江凯翔工程咨询管理有限公司</w:t>
      </w:r>
    </w:p>
    <w:p>
      <w:pPr>
        <w:spacing w:before="120" w:beforeLines="50" w:line="360" w:lineRule="auto"/>
        <w:jc w:val="left"/>
        <w:rPr>
          <w:rFonts w:ascii="宋体" w:hAnsi="宋体" w:cs="宋体"/>
          <w:b/>
          <w:color w:val="000000"/>
          <w:sz w:val="32"/>
          <w:szCs w:val="32"/>
        </w:rPr>
      </w:pPr>
    </w:p>
    <w:p>
      <w:pPr>
        <w:rPr>
          <w:rFonts w:ascii="宋体" w:hAnsi="宋体" w:cs="宋体"/>
          <w:b/>
          <w:color w:val="000000"/>
          <w:sz w:val="32"/>
          <w:szCs w:val="32"/>
        </w:rPr>
      </w:pPr>
    </w:p>
    <w:p>
      <w:pPr>
        <w:rPr>
          <w:color w:val="000000"/>
        </w:rPr>
      </w:pPr>
    </w:p>
    <w:p>
      <w:pPr>
        <w:rPr>
          <w:color w:val="000000"/>
        </w:rPr>
      </w:pPr>
    </w:p>
    <w:p>
      <w:pPr>
        <w:spacing w:before="120" w:beforeLines="50" w:line="360" w:lineRule="auto"/>
        <w:jc w:val="center"/>
        <w:rPr>
          <w:rFonts w:hint="eastAsia" w:ascii="宋体" w:hAnsi="宋体" w:cs="宋体"/>
          <w:b/>
          <w:color w:val="000000"/>
          <w:sz w:val="32"/>
          <w:szCs w:val="32"/>
        </w:rPr>
      </w:pPr>
    </w:p>
    <w:p>
      <w:pPr>
        <w:rPr>
          <w:rFonts w:hint="eastAsia" w:ascii="宋体" w:hAnsi="宋体" w:cs="宋体"/>
          <w:b/>
          <w:color w:val="000000"/>
          <w:sz w:val="32"/>
          <w:szCs w:val="32"/>
        </w:rPr>
      </w:pPr>
    </w:p>
    <w:p>
      <w:pPr>
        <w:rPr>
          <w:rFonts w:hint="eastAsia"/>
          <w:color w:val="000000"/>
        </w:rPr>
      </w:pPr>
    </w:p>
    <w:p>
      <w:pPr>
        <w:rPr>
          <w:rFonts w:hint="eastAsia"/>
          <w:color w:val="000000"/>
        </w:rPr>
      </w:pPr>
    </w:p>
    <w:p>
      <w:pPr>
        <w:snapToGrid w:val="0"/>
        <w:spacing w:line="440" w:lineRule="exact"/>
        <w:jc w:val="center"/>
        <w:rPr>
          <w:rFonts w:hint="eastAsia" w:ascii="宋体" w:hAnsi="宋体" w:cs="宋体"/>
          <w:b/>
          <w:bCs/>
          <w:color w:val="000000"/>
          <w:sz w:val="24"/>
          <w:highlight w:val="none"/>
        </w:rPr>
      </w:pPr>
      <w:r>
        <w:rPr>
          <w:rFonts w:hint="eastAsia" w:ascii="宋体" w:hAnsi="宋体" w:cs="宋体"/>
          <w:b/>
          <w:color w:val="000000"/>
          <w:sz w:val="32"/>
          <w:szCs w:val="32"/>
        </w:rPr>
        <w:t>二〇二</w:t>
      </w:r>
      <w:r>
        <w:rPr>
          <w:rFonts w:hint="eastAsia" w:ascii="宋体" w:hAnsi="宋体" w:cs="宋体"/>
          <w:b/>
          <w:color w:val="000000"/>
          <w:sz w:val="32"/>
          <w:szCs w:val="32"/>
          <w:lang w:eastAsia="zh-CN"/>
        </w:rPr>
        <w:t>二</w:t>
      </w:r>
      <w:r>
        <w:rPr>
          <w:rFonts w:hint="eastAsia" w:ascii="宋体" w:hAnsi="宋体" w:cs="宋体"/>
          <w:b/>
          <w:color w:val="000000"/>
          <w:sz w:val="32"/>
          <w:szCs w:val="32"/>
        </w:rPr>
        <w:t>年</w:t>
      </w:r>
      <w:r>
        <w:rPr>
          <w:rFonts w:hint="eastAsia" w:ascii="宋体" w:hAnsi="宋体" w:cs="宋体"/>
          <w:b/>
          <w:color w:val="000000"/>
          <w:sz w:val="32"/>
          <w:szCs w:val="32"/>
          <w:lang w:eastAsia="zh-CN"/>
        </w:rPr>
        <w:t>一</w:t>
      </w:r>
      <w:r>
        <w:rPr>
          <w:rFonts w:hint="eastAsia" w:ascii="宋体" w:hAnsi="宋体" w:cs="宋体"/>
          <w:b/>
          <w:color w:val="000000"/>
          <w:sz w:val="32"/>
          <w:szCs w:val="32"/>
        </w:rPr>
        <w:t>月</w:t>
      </w:r>
    </w:p>
    <w:p>
      <w:pPr>
        <w:pStyle w:val="3"/>
        <w:keepNext w:val="0"/>
        <w:keepLines w:val="0"/>
        <w:snapToGrid w:val="0"/>
        <w:spacing w:before="0" w:after="0" w:line="440" w:lineRule="exact"/>
        <w:rPr>
          <w:rFonts w:hint="eastAsia" w:ascii="宋体" w:hAnsi="宋体" w:cs="宋体"/>
          <w:color w:val="000000"/>
          <w:sz w:val="24"/>
          <w:szCs w:val="24"/>
        </w:rPr>
        <w:sectPr>
          <w:pgSz w:w="11849" w:h="16781"/>
          <w:pgMar w:top="1247" w:right="1531" w:bottom="1304" w:left="1531" w:header="720" w:footer="720" w:gutter="0"/>
          <w:paperSrc/>
          <w:pgBorders>
            <w:top w:val="none" w:sz="0" w:space="0"/>
            <w:left w:val="none" w:sz="0" w:space="0"/>
            <w:bottom w:val="none" w:sz="0" w:space="0"/>
            <w:right w:val="none" w:sz="0" w:space="0"/>
          </w:pgBorders>
          <w:pgNumType w:start="0"/>
          <w:cols w:space="720" w:num="1"/>
          <w:rtlGutter w:val="0"/>
          <w:docGrid w:linePitch="312" w:charSpace="0"/>
        </w:sectPr>
      </w:pPr>
    </w:p>
    <w:p>
      <w:pPr>
        <w:pStyle w:val="3"/>
        <w:keepNext w:val="0"/>
        <w:keepLines w:val="0"/>
        <w:snapToGrid w:val="0"/>
        <w:spacing w:before="0" w:after="0" w:line="440" w:lineRule="exact"/>
        <w:rPr>
          <w:rFonts w:hint="eastAsia" w:ascii="宋体" w:hAnsi="宋体" w:cs="宋体"/>
          <w:color w:val="000000"/>
          <w:sz w:val="24"/>
          <w:szCs w:val="24"/>
        </w:rPr>
      </w:pPr>
      <w:bookmarkStart w:id="2" w:name="_Toc31695"/>
      <w:r>
        <w:rPr>
          <w:rFonts w:hint="eastAsia" w:ascii="宋体" w:hAnsi="宋体" w:cs="宋体"/>
          <w:color w:val="000000"/>
          <w:sz w:val="24"/>
          <w:szCs w:val="24"/>
        </w:rPr>
        <w:t>目  录</w:t>
      </w:r>
      <w:bookmarkEnd w:id="0"/>
      <w:bookmarkEnd w:id="1"/>
      <w:bookmarkEnd w:id="2"/>
    </w:p>
    <w:p>
      <w:pPr>
        <w:adjustRightInd w:val="0"/>
        <w:snapToGrid w:val="0"/>
        <w:spacing w:line="560" w:lineRule="exact"/>
        <w:rPr>
          <w:rFonts w:hint="eastAsia"/>
          <w:color w:val="000000"/>
        </w:rPr>
      </w:pPr>
    </w:p>
    <w:p>
      <w:pPr>
        <w:pStyle w:val="35"/>
        <w:pageBreakBefore w:val="0"/>
        <w:widowControl w:val="0"/>
        <w:tabs>
          <w:tab w:val="right" w:leader="dot" w:pos="8844"/>
        </w:tabs>
        <w:kinsoku/>
        <w:wordWrap/>
        <w:overflowPunct/>
        <w:topLinePunct w:val="0"/>
        <w:autoSpaceDE/>
        <w:autoSpaceDN/>
        <w:bidi w:val="0"/>
        <w:adjustRightInd w:val="0"/>
        <w:snapToGrid w:val="0"/>
        <w:spacing w:before="0" w:after="0" w:line="70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TOC \o "1-1" \h \u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HYPERLINK \l _Toc30529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第一章  公开招标公告</w:t>
      </w:r>
      <w:r>
        <w:rPr>
          <w:rFonts w:hint="eastAsia" w:ascii="宋体" w:hAnsi="宋体" w:eastAsia="宋体" w:cs="宋体"/>
          <w:b w:val="0"/>
          <w:bCs/>
          <w:color w:val="000000"/>
          <w:sz w:val="21"/>
          <w:szCs w:val="21"/>
        </w:rPr>
        <w:tab/>
      </w: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PAGEREF _Toc30529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2</w:t>
      </w:r>
      <w:r>
        <w:rPr>
          <w:rFonts w:hint="eastAsia" w:ascii="宋体" w:hAnsi="宋体" w:eastAsia="宋体" w:cs="宋体"/>
          <w:b w:val="0"/>
          <w:bCs/>
          <w:color w:val="000000"/>
          <w:sz w:val="21"/>
          <w:szCs w:val="21"/>
        </w:rPr>
        <w:fldChar w:fldCharType="end"/>
      </w:r>
      <w:r>
        <w:rPr>
          <w:rFonts w:hint="eastAsia" w:ascii="宋体" w:hAnsi="宋体" w:eastAsia="宋体" w:cs="宋体"/>
          <w:b w:val="0"/>
          <w:bCs/>
          <w:color w:val="000000"/>
          <w:sz w:val="21"/>
          <w:szCs w:val="21"/>
        </w:rPr>
        <w:fldChar w:fldCharType="end"/>
      </w:r>
    </w:p>
    <w:p>
      <w:pPr>
        <w:pStyle w:val="35"/>
        <w:pageBreakBefore w:val="0"/>
        <w:widowControl w:val="0"/>
        <w:tabs>
          <w:tab w:val="right" w:leader="dot" w:pos="8844"/>
        </w:tabs>
        <w:kinsoku/>
        <w:wordWrap/>
        <w:overflowPunct/>
        <w:topLinePunct w:val="0"/>
        <w:autoSpaceDE/>
        <w:autoSpaceDN/>
        <w:bidi w:val="0"/>
        <w:adjustRightInd w:val="0"/>
        <w:snapToGrid w:val="0"/>
        <w:spacing w:before="0" w:after="0" w:line="70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HYPERLINK \l _Toc12491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第二章  投标资料表</w:t>
      </w:r>
      <w:r>
        <w:rPr>
          <w:rFonts w:hint="eastAsia" w:ascii="宋体" w:hAnsi="宋体" w:eastAsia="宋体" w:cs="宋体"/>
          <w:b w:val="0"/>
          <w:bCs/>
          <w:color w:val="000000"/>
          <w:sz w:val="21"/>
          <w:szCs w:val="21"/>
        </w:rPr>
        <w:tab/>
      </w: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PAGEREF _Toc12491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6</w:t>
      </w:r>
      <w:r>
        <w:rPr>
          <w:rFonts w:hint="eastAsia" w:ascii="宋体" w:hAnsi="宋体" w:eastAsia="宋体" w:cs="宋体"/>
          <w:b w:val="0"/>
          <w:bCs/>
          <w:color w:val="000000"/>
          <w:sz w:val="21"/>
          <w:szCs w:val="21"/>
        </w:rPr>
        <w:fldChar w:fldCharType="end"/>
      </w:r>
      <w:r>
        <w:rPr>
          <w:rFonts w:hint="eastAsia" w:ascii="宋体" w:hAnsi="宋体" w:eastAsia="宋体" w:cs="宋体"/>
          <w:b w:val="0"/>
          <w:bCs/>
          <w:color w:val="000000"/>
          <w:sz w:val="21"/>
          <w:szCs w:val="21"/>
        </w:rPr>
        <w:fldChar w:fldCharType="end"/>
      </w:r>
    </w:p>
    <w:p>
      <w:pPr>
        <w:pStyle w:val="35"/>
        <w:pageBreakBefore w:val="0"/>
        <w:widowControl w:val="0"/>
        <w:tabs>
          <w:tab w:val="right" w:leader="dot" w:pos="8844"/>
        </w:tabs>
        <w:kinsoku/>
        <w:wordWrap/>
        <w:overflowPunct/>
        <w:topLinePunct w:val="0"/>
        <w:autoSpaceDE/>
        <w:autoSpaceDN/>
        <w:bidi w:val="0"/>
        <w:adjustRightInd w:val="0"/>
        <w:snapToGrid w:val="0"/>
        <w:spacing w:before="0" w:after="0" w:line="70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HYPERLINK \l _Toc19575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第三章</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 w:val="21"/>
          <w:szCs w:val="21"/>
        </w:rPr>
        <w:t>投标人须知</w:t>
      </w:r>
      <w:r>
        <w:rPr>
          <w:rFonts w:hint="eastAsia" w:ascii="宋体" w:hAnsi="宋体" w:eastAsia="宋体" w:cs="宋体"/>
          <w:b w:val="0"/>
          <w:bCs/>
          <w:color w:val="000000"/>
          <w:sz w:val="21"/>
          <w:szCs w:val="21"/>
        </w:rPr>
        <w:tab/>
      </w: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PAGEREF _Toc19575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8</w:t>
      </w:r>
      <w:r>
        <w:rPr>
          <w:rFonts w:hint="eastAsia" w:ascii="宋体" w:hAnsi="宋体" w:eastAsia="宋体" w:cs="宋体"/>
          <w:b w:val="0"/>
          <w:bCs/>
          <w:color w:val="000000"/>
          <w:sz w:val="21"/>
          <w:szCs w:val="21"/>
        </w:rPr>
        <w:fldChar w:fldCharType="end"/>
      </w:r>
      <w:r>
        <w:rPr>
          <w:rFonts w:hint="eastAsia" w:ascii="宋体" w:hAnsi="宋体" w:eastAsia="宋体" w:cs="宋体"/>
          <w:b w:val="0"/>
          <w:bCs/>
          <w:color w:val="000000"/>
          <w:sz w:val="21"/>
          <w:szCs w:val="21"/>
        </w:rPr>
        <w:fldChar w:fldCharType="end"/>
      </w:r>
    </w:p>
    <w:p>
      <w:pPr>
        <w:pStyle w:val="35"/>
        <w:pageBreakBefore w:val="0"/>
        <w:widowControl w:val="0"/>
        <w:tabs>
          <w:tab w:val="right" w:leader="dot" w:pos="8844"/>
        </w:tabs>
        <w:kinsoku/>
        <w:wordWrap/>
        <w:overflowPunct/>
        <w:topLinePunct w:val="0"/>
        <w:autoSpaceDE/>
        <w:autoSpaceDN/>
        <w:bidi w:val="0"/>
        <w:adjustRightInd w:val="0"/>
        <w:snapToGrid w:val="0"/>
        <w:spacing w:before="0" w:after="0" w:line="70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HYPERLINK \l _Toc31945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kern w:val="44"/>
          <w:sz w:val="21"/>
          <w:szCs w:val="21"/>
          <w:lang w:val="en-US" w:eastAsia="zh-CN" w:bidi="ar-SA"/>
        </w:rPr>
        <w:t>第四章  招标需求</w:t>
      </w:r>
      <w:r>
        <w:rPr>
          <w:rFonts w:hint="eastAsia" w:ascii="宋体" w:hAnsi="宋体" w:eastAsia="宋体" w:cs="宋体"/>
          <w:b w:val="0"/>
          <w:bCs/>
          <w:color w:val="000000"/>
          <w:sz w:val="21"/>
          <w:szCs w:val="21"/>
        </w:rPr>
        <w:tab/>
      </w: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PAGEREF _Toc31945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18</w:t>
      </w:r>
      <w:r>
        <w:rPr>
          <w:rFonts w:hint="eastAsia" w:ascii="宋体" w:hAnsi="宋体" w:eastAsia="宋体" w:cs="宋体"/>
          <w:b w:val="0"/>
          <w:bCs/>
          <w:color w:val="000000"/>
          <w:sz w:val="21"/>
          <w:szCs w:val="21"/>
        </w:rPr>
        <w:fldChar w:fldCharType="end"/>
      </w:r>
      <w:r>
        <w:rPr>
          <w:rFonts w:hint="eastAsia" w:ascii="宋体" w:hAnsi="宋体" w:eastAsia="宋体" w:cs="宋体"/>
          <w:b w:val="0"/>
          <w:bCs/>
          <w:color w:val="000000"/>
          <w:sz w:val="21"/>
          <w:szCs w:val="21"/>
        </w:rPr>
        <w:fldChar w:fldCharType="end"/>
      </w:r>
    </w:p>
    <w:p>
      <w:pPr>
        <w:pStyle w:val="35"/>
        <w:pageBreakBefore w:val="0"/>
        <w:widowControl w:val="0"/>
        <w:tabs>
          <w:tab w:val="right" w:leader="dot" w:pos="8844"/>
        </w:tabs>
        <w:kinsoku/>
        <w:wordWrap/>
        <w:overflowPunct/>
        <w:topLinePunct w:val="0"/>
        <w:autoSpaceDE/>
        <w:autoSpaceDN/>
        <w:bidi w:val="0"/>
        <w:adjustRightInd w:val="0"/>
        <w:snapToGrid w:val="0"/>
        <w:spacing w:before="0" w:after="0" w:line="70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HYPERLINK \l _Toc3397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kern w:val="44"/>
          <w:sz w:val="21"/>
          <w:szCs w:val="21"/>
        </w:rPr>
        <w:t>第五章  评标办法及评分标准</w:t>
      </w:r>
      <w:r>
        <w:rPr>
          <w:rFonts w:hint="eastAsia" w:ascii="宋体" w:hAnsi="宋体" w:eastAsia="宋体" w:cs="宋体"/>
          <w:b w:val="0"/>
          <w:bCs/>
          <w:color w:val="000000"/>
          <w:sz w:val="21"/>
          <w:szCs w:val="21"/>
        </w:rPr>
        <w:tab/>
      </w: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PAGEREF _Toc3397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20</w:t>
      </w:r>
      <w:r>
        <w:rPr>
          <w:rFonts w:hint="eastAsia" w:ascii="宋体" w:hAnsi="宋体" w:eastAsia="宋体" w:cs="宋体"/>
          <w:b w:val="0"/>
          <w:bCs/>
          <w:color w:val="000000"/>
          <w:sz w:val="21"/>
          <w:szCs w:val="21"/>
        </w:rPr>
        <w:fldChar w:fldCharType="end"/>
      </w:r>
      <w:r>
        <w:rPr>
          <w:rFonts w:hint="eastAsia" w:ascii="宋体" w:hAnsi="宋体" w:eastAsia="宋体" w:cs="宋体"/>
          <w:b w:val="0"/>
          <w:bCs/>
          <w:color w:val="000000"/>
          <w:sz w:val="21"/>
          <w:szCs w:val="21"/>
        </w:rPr>
        <w:fldChar w:fldCharType="end"/>
      </w:r>
    </w:p>
    <w:p>
      <w:pPr>
        <w:pStyle w:val="35"/>
        <w:pageBreakBefore w:val="0"/>
        <w:widowControl w:val="0"/>
        <w:tabs>
          <w:tab w:val="right" w:leader="dot" w:pos="8844"/>
        </w:tabs>
        <w:kinsoku/>
        <w:wordWrap/>
        <w:overflowPunct/>
        <w:topLinePunct w:val="0"/>
        <w:autoSpaceDE/>
        <w:autoSpaceDN/>
        <w:bidi w:val="0"/>
        <w:adjustRightInd w:val="0"/>
        <w:snapToGrid w:val="0"/>
        <w:spacing w:before="0" w:after="0" w:line="70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HYPERLINK \l _Toc13606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第六章  政府采购合同</w:t>
      </w:r>
      <w:r>
        <w:rPr>
          <w:rFonts w:hint="eastAsia" w:ascii="宋体" w:hAnsi="宋体" w:eastAsia="宋体" w:cs="宋体"/>
          <w:b w:val="0"/>
          <w:bCs/>
          <w:color w:val="000000"/>
          <w:sz w:val="21"/>
          <w:szCs w:val="21"/>
          <w:lang w:val="en-US" w:eastAsia="zh-CN"/>
        </w:rPr>
        <w:t>文本</w:t>
      </w:r>
      <w:r>
        <w:rPr>
          <w:rFonts w:hint="eastAsia" w:ascii="宋体" w:hAnsi="宋体" w:eastAsia="宋体" w:cs="宋体"/>
          <w:b w:val="0"/>
          <w:bCs/>
          <w:color w:val="000000"/>
          <w:sz w:val="21"/>
          <w:szCs w:val="21"/>
        </w:rPr>
        <w:tab/>
      </w: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PAGEREF _Toc13606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35</w:t>
      </w:r>
      <w:r>
        <w:rPr>
          <w:rFonts w:hint="eastAsia" w:ascii="宋体" w:hAnsi="宋体" w:eastAsia="宋体" w:cs="宋体"/>
          <w:b w:val="0"/>
          <w:bCs/>
          <w:color w:val="000000"/>
          <w:sz w:val="21"/>
          <w:szCs w:val="21"/>
        </w:rPr>
        <w:fldChar w:fldCharType="end"/>
      </w:r>
      <w:r>
        <w:rPr>
          <w:rFonts w:hint="eastAsia" w:ascii="宋体" w:hAnsi="宋体" w:eastAsia="宋体" w:cs="宋体"/>
          <w:b w:val="0"/>
          <w:bCs/>
          <w:color w:val="000000"/>
          <w:sz w:val="21"/>
          <w:szCs w:val="21"/>
        </w:rPr>
        <w:fldChar w:fldCharType="end"/>
      </w:r>
    </w:p>
    <w:p>
      <w:pPr>
        <w:pStyle w:val="35"/>
        <w:pageBreakBefore w:val="0"/>
        <w:widowControl w:val="0"/>
        <w:tabs>
          <w:tab w:val="right" w:leader="dot" w:pos="8844"/>
        </w:tabs>
        <w:kinsoku/>
        <w:wordWrap/>
        <w:overflowPunct/>
        <w:topLinePunct w:val="0"/>
        <w:autoSpaceDE/>
        <w:autoSpaceDN/>
        <w:bidi w:val="0"/>
        <w:adjustRightInd w:val="0"/>
        <w:snapToGrid w:val="0"/>
        <w:spacing w:before="0" w:after="0" w:line="700" w:lineRule="exac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HYPERLINK \l _Toc14452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第七章  投标文件格式及附件</w:t>
      </w:r>
      <w:r>
        <w:rPr>
          <w:rFonts w:hint="eastAsia" w:ascii="宋体" w:hAnsi="宋体" w:eastAsia="宋体" w:cs="宋体"/>
          <w:b w:val="0"/>
          <w:bCs/>
          <w:color w:val="000000"/>
          <w:sz w:val="21"/>
          <w:szCs w:val="21"/>
        </w:rPr>
        <w:tab/>
      </w:r>
      <w:r>
        <w:rPr>
          <w:rFonts w:hint="eastAsia" w:ascii="宋体" w:hAnsi="宋体" w:eastAsia="宋体" w:cs="宋体"/>
          <w:b w:val="0"/>
          <w:bCs/>
          <w:color w:val="000000"/>
          <w:sz w:val="21"/>
          <w:szCs w:val="21"/>
        </w:rPr>
        <w:fldChar w:fldCharType="begin"/>
      </w:r>
      <w:r>
        <w:rPr>
          <w:rFonts w:hint="eastAsia" w:ascii="宋体" w:hAnsi="宋体" w:eastAsia="宋体" w:cs="宋体"/>
          <w:b w:val="0"/>
          <w:bCs/>
          <w:color w:val="000000"/>
          <w:sz w:val="21"/>
          <w:szCs w:val="21"/>
        </w:rPr>
        <w:instrText xml:space="preserve"> PAGEREF _Toc14452 </w:instrText>
      </w:r>
      <w:r>
        <w:rPr>
          <w:rFonts w:hint="eastAsia" w:ascii="宋体" w:hAnsi="宋体" w:eastAsia="宋体" w:cs="宋体"/>
          <w:b w:val="0"/>
          <w:bCs/>
          <w:color w:val="000000"/>
          <w:sz w:val="21"/>
          <w:szCs w:val="21"/>
        </w:rPr>
        <w:fldChar w:fldCharType="separate"/>
      </w:r>
      <w:r>
        <w:rPr>
          <w:rFonts w:hint="eastAsia" w:ascii="宋体" w:hAnsi="宋体" w:eastAsia="宋体" w:cs="宋体"/>
          <w:b w:val="0"/>
          <w:bCs/>
          <w:color w:val="000000"/>
          <w:sz w:val="21"/>
          <w:szCs w:val="21"/>
        </w:rPr>
        <w:t>43</w:t>
      </w:r>
      <w:r>
        <w:rPr>
          <w:rFonts w:hint="eastAsia" w:ascii="宋体" w:hAnsi="宋体" w:eastAsia="宋体" w:cs="宋体"/>
          <w:b w:val="0"/>
          <w:bCs/>
          <w:color w:val="000000"/>
          <w:sz w:val="21"/>
          <w:szCs w:val="21"/>
        </w:rPr>
        <w:fldChar w:fldCharType="end"/>
      </w:r>
      <w:r>
        <w:rPr>
          <w:rFonts w:hint="eastAsia" w:ascii="宋体" w:hAnsi="宋体" w:eastAsia="宋体" w:cs="宋体"/>
          <w:b w:val="0"/>
          <w:bCs/>
          <w:color w:val="000000"/>
          <w:sz w:val="21"/>
          <w:szCs w:val="21"/>
        </w:rPr>
        <w:fldChar w:fldCharType="end"/>
      </w:r>
    </w:p>
    <w:p>
      <w:pPr>
        <w:pStyle w:val="3"/>
        <w:pageBreakBefore w:val="0"/>
        <w:widowControl w:val="0"/>
        <w:kinsoku/>
        <w:wordWrap/>
        <w:overflowPunct/>
        <w:topLinePunct w:val="0"/>
        <w:autoSpaceDE/>
        <w:autoSpaceDN/>
        <w:bidi w:val="0"/>
        <w:adjustRightInd w:val="0"/>
        <w:snapToGrid w:val="0"/>
        <w:spacing w:before="0" w:after="0" w:line="700" w:lineRule="exact"/>
        <w:textAlignment w:val="auto"/>
        <w:rPr>
          <w:rFonts w:hint="eastAsia"/>
          <w:color w:val="000000"/>
        </w:rPr>
        <w:sectPr>
          <w:footerReference r:id="rId3" w:type="default"/>
          <w:footerReference r:id="rId4" w:type="even"/>
          <w:pgSz w:w="11849" w:h="16781"/>
          <w:pgMar w:top="1247" w:right="1531" w:bottom="1304" w:left="1531" w:header="720" w:footer="720" w:gutter="0"/>
          <w:paperSrc/>
          <w:pgBorders>
            <w:top w:val="none" w:sz="0" w:space="0"/>
            <w:left w:val="none" w:sz="0" w:space="0"/>
            <w:bottom w:val="none" w:sz="0" w:space="0"/>
            <w:right w:val="none" w:sz="0" w:space="0"/>
          </w:pgBorders>
          <w:pgNumType w:start="1"/>
          <w:cols w:space="720" w:num="1"/>
          <w:rtlGutter w:val="0"/>
          <w:docGrid w:linePitch="312" w:charSpace="0"/>
        </w:sectPr>
      </w:pPr>
      <w:r>
        <w:rPr>
          <w:rFonts w:hint="eastAsia" w:ascii="宋体" w:hAnsi="宋体" w:eastAsia="宋体" w:cs="宋体"/>
          <w:b w:val="0"/>
          <w:bCs/>
          <w:color w:val="000000"/>
          <w:sz w:val="21"/>
          <w:szCs w:val="21"/>
        </w:rPr>
        <w:fldChar w:fldCharType="end"/>
      </w:r>
    </w:p>
    <w:p>
      <w:pPr>
        <w:pStyle w:val="3"/>
        <w:snapToGrid w:val="0"/>
        <w:spacing w:before="0" w:after="0" w:line="440" w:lineRule="exact"/>
        <w:rPr>
          <w:rFonts w:hint="eastAsia" w:ascii="宋体" w:hAnsi="宋体" w:cs="宋体"/>
          <w:color w:val="000000"/>
          <w:sz w:val="21"/>
          <w:szCs w:val="21"/>
        </w:rPr>
      </w:pPr>
      <w:bookmarkStart w:id="3" w:name="_Toc30529"/>
      <w:bookmarkStart w:id="4" w:name="_Toc18231"/>
      <w:bookmarkStart w:id="5" w:name="_Toc15427"/>
      <w:bookmarkStart w:id="6" w:name="_Toc22982"/>
      <w:r>
        <w:rPr>
          <w:rFonts w:hint="eastAsia" w:ascii="宋体" w:hAnsi="宋体" w:cs="宋体"/>
          <w:color w:val="000000"/>
          <w:sz w:val="24"/>
          <w:szCs w:val="24"/>
        </w:rPr>
        <w:t xml:space="preserve">第一章  </w:t>
      </w:r>
      <w:r>
        <w:rPr>
          <w:rFonts w:hint="eastAsia" w:ascii="宋体" w:hAnsi="宋体" w:cs="宋体"/>
          <w:color w:val="000000"/>
          <w:sz w:val="24"/>
          <w:szCs w:val="24"/>
          <w:lang w:eastAsia="zh-CN"/>
        </w:rPr>
        <w:t>公开招标</w:t>
      </w:r>
      <w:r>
        <w:rPr>
          <w:rFonts w:hint="eastAsia" w:ascii="宋体" w:hAnsi="宋体" w:cs="宋体"/>
          <w:color w:val="000000"/>
          <w:sz w:val="24"/>
          <w:szCs w:val="24"/>
        </w:rPr>
        <w:t>公告</w:t>
      </w:r>
      <w:bookmarkEnd w:id="3"/>
      <w:bookmarkEnd w:id="4"/>
      <w:bookmarkEnd w:id="5"/>
      <w:bookmarkEnd w:id="6"/>
    </w:p>
    <w:p>
      <w:pPr>
        <w:pStyle w:val="142"/>
        <w:widowControl w:val="0"/>
        <w:adjustRightInd w:val="0"/>
        <w:spacing w:after="0" w:afterLines="0" w:line="480" w:lineRule="exact"/>
        <w:ind w:firstLine="218" w:firstLineChars="104"/>
        <w:jc w:val="center"/>
        <w:rPr>
          <w:rFonts w:hint="eastAsia" w:ascii="宋体" w:hAnsi="宋体" w:cs="宋体"/>
          <w:color w:val="000000"/>
          <w:sz w:val="21"/>
          <w:szCs w:val="21"/>
        </w:rPr>
      </w:pPr>
    </w:p>
    <w:p>
      <w:pPr>
        <w:pStyle w:val="142"/>
        <w:widowControl w:val="0"/>
        <w:adjustRightInd w:val="0"/>
        <w:spacing w:after="0" w:afterLines="0" w:line="480" w:lineRule="exact"/>
        <w:ind w:firstLine="218" w:firstLineChars="104"/>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公告日期：202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w:t>
      </w:r>
    </w:p>
    <w:p>
      <w:pPr>
        <w:pBdr>
          <w:top w:val="single" w:color="auto" w:sz="4" w:space="1"/>
          <w:left w:val="single" w:color="auto" w:sz="4" w:space="4"/>
          <w:bottom w:val="single" w:color="auto" w:sz="4" w:space="1"/>
          <w:right w:val="single" w:color="auto" w:sz="4" w:space="4"/>
        </w:pBdr>
        <w:adjustRightInd w:val="0"/>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宁波市鄞州区第二医院2022-2024年度安保服务采购项目</w:t>
      </w:r>
      <w:r>
        <w:rPr>
          <w:rFonts w:hint="eastAsia" w:ascii="宋体" w:hAnsi="宋体" w:cs="宋体"/>
          <w:color w:val="auto"/>
          <w:szCs w:val="21"/>
          <w:highlight w:val="none"/>
        </w:rPr>
        <w:t>的潜在投标人应在</w:t>
      </w:r>
      <w:r>
        <w:rPr>
          <w:rFonts w:hint="eastAsia" w:ascii="宋体" w:hAnsi="宋体" w:cs="宋体"/>
          <w:color w:val="auto"/>
          <w:szCs w:val="21"/>
          <w:highlight w:val="none"/>
          <w:u w:val="single"/>
        </w:rPr>
        <w:t>政府采购云平台（</w:t>
      </w:r>
      <w:r>
        <w:rPr>
          <w:rFonts w:hint="eastAsia" w:ascii="宋体" w:hAnsi="宋体" w:cs="宋体"/>
          <w:color w:val="auto"/>
          <w:szCs w:val="21"/>
          <w:highlight w:val="none"/>
          <w:u w:val="single"/>
          <w:shd w:val="clear" w:color="auto" w:fill="FFFFFF"/>
        </w:rPr>
        <w:t>www.zcygov.cn）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 xml:space="preserve">:00 </w:t>
      </w:r>
      <w:r>
        <w:rPr>
          <w:rFonts w:hint="eastAsia" w:ascii="宋体" w:hAnsi="宋体" w:cs="宋体"/>
          <w:color w:val="auto"/>
          <w:szCs w:val="21"/>
          <w:highlight w:val="none"/>
        </w:rPr>
        <w:t>（北京时间）前递交（上传）投标文件。</w:t>
      </w:r>
    </w:p>
    <w:p>
      <w:pPr>
        <w:pStyle w:val="46"/>
        <w:adjustRightInd w:val="0"/>
        <w:snapToGrid w:val="0"/>
        <w:spacing w:before="0" w:beforeAutospacing="0" w:after="0" w:afterAutospacing="0" w:line="460" w:lineRule="exact"/>
        <w:jc w:val="both"/>
        <w:rPr>
          <w:rFonts w:hint="eastAsia" w:ascii="宋体" w:hAnsi="宋体" w:cs="宋体"/>
          <w:color w:val="auto"/>
          <w:sz w:val="21"/>
          <w:szCs w:val="21"/>
          <w:highlight w:val="none"/>
        </w:rPr>
      </w:pPr>
      <w:r>
        <w:rPr>
          <w:rStyle w:val="50"/>
          <w:rFonts w:hint="eastAsia" w:ascii="宋体" w:hAnsi="宋体" w:cs="宋体"/>
          <w:color w:val="auto"/>
          <w:sz w:val="21"/>
          <w:szCs w:val="21"/>
          <w:highlight w:val="none"/>
          <w:shd w:val="clear" w:color="auto" w:fill="FFFFFF"/>
        </w:rPr>
        <w:t>一、项目基本情况</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项目编号：</w:t>
      </w:r>
      <w:r>
        <w:rPr>
          <w:rFonts w:hint="eastAsia" w:ascii="宋体" w:hAnsi="宋体" w:cs="宋体"/>
          <w:color w:val="auto"/>
          <w:sz w:val="21"/>
          <w:szCs w:val="21"/>
          <w:highlight w:val="none"/>
          <w:lang w:eastAsia="zh-CN"/>
        </w:rPr>
        <w:t>KXZJ-2022010(1)</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项目名称：</w:t>
      </w:r>
      <w:r>
        <w:rPr>
          <w:rFonts w:hint="eastAsia" w:ascii="宋体" w:hAnsi="宋体" w:cs="宋体"/>
          <w:color w:val="auto"/>
          <w:sz w:val="21"/>
          <w:szCs w:val="21"/>
          <w:highlight w:val="none"/>
          <w:lang w:eastAsia="zh-CN"/>
        </w:rPr>
        <w:t>宁波市鄞州区第二医院2022-2024年度安保服务采购项目</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default" w:ascii="宋体" w:hAnsi="宋体" w:eastAsia="宋体" w:cs="宋体"/>
          <w:color w:val="auto"/>
          <w:sz w:val="21"/>
          <w:szCs w:val="21"/>
          <w:highlight w:val="none"/>
          <w:shd w:val="clear" w:color="auto" w:fill="FFFFFF"/>
          <w:lang w:val="en-US"/>
        </w:rPr>
      </w:pPr>
      <w:r>
        <w:rPr>
          <w:rFonts w:hint="eastAsia" w:ascii="宋体" w:hAnsi="宋体" w:cs="宋体"/>
          <w:color w:val="auto"/>
          <w:sz w:val="21"/>
          <w:szCs w:val="21"/>
          <w:highlight w:val="none"/>
          <w:shd w:val="clear" w:color="auto" w:fill="FFFFFF"/>
        </w:rPr>
        <w:t>预算金额（元</w:t>
      </w:r>
      <w:r>
        <w:rPr>
          <w:rFonts w:hint="eastAsia" w:ascii="宋体" w:hAnsi="宋体" w:cs="宋体"/>
          <w:color w:val="auto"/>
          <w:sz w:val="21"/>
          <w:szCs w:val="21"/>
          <w:highlight w:val="none"/>
          <w:shd w:val="clear" w:color="auto" w:fill="FFFFFF"/>
          <w:lang w:val="en-US" w:eastAsia="zh-CN"/>
        </w:rPr>
        <w:t>/年</w:t>
      </w:r>
      <w:r>
        <w:rPr>
          <w:rFonts w:hint="eastAsia" w:ascii="宋体" w:hAnsi="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5200000.00</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default" w:ascii="宋体" w:hAnsi="宋体" w:eastAsia="宋体" w:cs="宋体"/>
          <w:color w:val="auto"/>
          <w:sz w:val="21"/>
          <w:szCs w:val="21"/>
          <w:highlight w:val="none"/>
          <w:shd w:val="clear" w:color="auto" w:fill="FFFFFF"/>
          <w:lang w:val="en-US"/>
        </w:rPr>
      </w:pPr>
      <w:r>
        <w:rPr>
          <w:rFonts w:hint="eastAsia" w:ascii="宋体" w:hAnsi="宋体" w:cs="宋体"/>
          <w:color w:val="auto"/>
          <w:sz w:val="21"/>
          <w:szCs w:val="21"/>
          <w:highlight w:val="none"/>
          <w:shd w:val="clear" w:color="auto" w:fill="FFFFFF"/>
          <w:lang w:eastAsia="zh-CN"/>
        </w:rPr>
        <w:t>最高限价</w:t>
      </w:r>
      <w:r>
        <w:rPr>
          <w:rFonts w:hint="eastAsia" w:ascii="宋体" w:hAnsi="宋体" w:cs="宋体"/>
          <w:color w:val="auto"/>
          <w:sz w:val="21"/>
          <w:szCs w:val="21"/>
          <w:highlight w:val="none"/>
          <w:shd w:val="clear" w:color="auto" w:fill="FFFFFF"/>
        </w:rPr>
        <w:t>（元</w:t>
      </w:r>
      <w:r>
        <w:rPr>
          <w:rFonts w:hint="eastAsia" w:ascii="宋体" w:hAnsi="宋体" w:cs="宋体"/>
          <w:color w:val="auto"/>
          <w:sz w:val="21"/>
          <w:szCs w:val="21"/>
          <w:highlight w:val="none"/>
          <w:shd w:val="clear" w:color="auto" w:fill="FFFFFF"/>
          <w:lang w:val="en-US" w:eastAsia="zh-CN"/>
        </w:rPr>
        <w:t>/年</w:t>
      </w:r>
      <w:r>
        <w:rPr>
          <w:rFonts w:hint="eastAsia" w:ascii="宋体" w:hAnsi="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val="en-US" w:eastAsia="zh-CN"/>
        </w:rPr>
        <w:t>4000000.00</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采购需求：</w:t>
      </w:r>
      <w:r>
        <w:rPr>
          <w:rFonts w:hint="eastAsia" w:ascii="宋体" w:hAnsi="宋体" w:eastAsia="宋体" w:cs="宋体"/>
          <w:color w:val="auto"/>
          <w:sz w:val="21"/>
          <w:szCs w:val="21"/>
          <w:highlight w:val="none"/>
          <w:shd w:val="clear" w:color="auto" w:fill="FFFFFF"/>
          <w:lang w:val="en-US" w:eastAsia="zh-CN"/>
        </w:rPr>
        <w:t>宁波市鄞州区第二医院日常安保及应急安保服务</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标项一：</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标项名称：</w:t>
      </w:r>
      <w:r>
        <w:rPr>
          <w:rFonts w:hint="eastAsia" w:ascii="宋体" w:hAnsi="宋体" w:eastAsia="宋体" w:cs="宋体"/>
          <w:color w:val="auto"/>
          <w:sz w:val="21"/>
          <w:szCs w:val="21"/>
          <w:highlight w:val="none"/>
          <w:shd w:val="clear" w:color="auto" w:fill="FFFFFF"/>
          <w:lang w:val="en-US" w:eastAsia="zh-CN"/>
        </w:rPr>
        <w:t xml:space="preserve">宁波市鄞州区第二医院2022-2024年度安保服务采购项目 </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数量：1</w:t>
      </w:r>
      <w:r>
        <w:rPr>
          <w:rFonts w:hint="eastAsia" w:ascii="宋体" w:hAnsi="宋体" w:eastAsia="宋体" w:cs="宋体"/>
          <w:color w:val="auto"/>
          <w:sz w:val="21"/>
          <w:szCs w:val="21"/>
          <w:highlight w:val="none"/>
          <w:shd w:val="clear" w:color="auto" w:fill="FFFFFF"/>
          <w:lang w:eastAsia="zh-CN"/>
        </w:rPr>
        <w:t>项</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简要规格描述或项目基本概况介绍、用途：</w:t>
      </w:r>
      <w:r>
        <w:rPr>
          <w:rFonts w:hint="eastAsia" w:ascii="宋体" w:hAnsi="宋体" w:eastAsia="宋体" w:cs="宋体"/>
          <w:color w:val="auto"/>
          <w:sz w:val="21"/>
          <w:szCs w:val="21"/>
          <w:highlight w:val="none"/>
          <w:shd w:val="clear" w:color="auto" w:fill="FFFFFF"/>
          <w:lang w:val="en-US" w:eastAsia="zh-CN"/>
        </w:rPr>
        <w:t>院内日常安保、消防管理服务及</w:t>
      </w:r>
      <w:r>
        <w:rPr>
          <w:rFonts w:hint="eastAsia" w:ascii="宋体" w:hAnsi="宋体" w:eastAsia="宋体" w:cs="宋体"/>
          <w:color w:val="auto"/>
          <w:sz w:val="21"/>
          <w:szCs w:val="21"/>
          <w:highlight w:val="none"/>
          <w:shd w:val="clear" w:color="auto" w:fill="FFFFFF"/>
          <w:lang w:eastAsia="zh-CN"/>
        </w:rPr>
        <w:t>院内应急安保服务，</w:t>
      </w:r>
      <w:r>
        <w:rPr>
          <w:rFonts w:hint="eastAsia" w:ascii="宋体" w:hAnsi="宋体" w:eastAsia="宋体" w:cs="宋体"/>
          <w:color w:val="auto"/>
          <w:sz w:val="21"/>
          <w:szCs w:val="21"/>
          <w:highlight w:val="none"/>
          <w:shd w:val="clear" w:color="auto" w:fill="FFFFFF"/>
        </w:rPr>
        <w:t>具体详见招标文件</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第四章 招标需求</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480" w:lineRule="exact"/>
        <w:ind w:right="0" w:firstLine="420" w:firstLineChars="200"/>
        <w:textAlignment w:val="auto"/>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lang w:val="en-US" w:eastAsia="zh-CN"/>
        </w:rPr>
        <w:t>合同履约期限：</w:t>
      </w:r>
      <w:r>
        <w:rPr>
          <w:rFonts w:hint="default" w:ascii="宋体" w:hAnsi="宋体" w:eastAsia="宋体" w:cs="宋体"/>
          <w:i w:val="0"/>
          <w:caps w:val="0"/>
          <w:color w:val="auto"/>
          <w:spacing w:val="0"/>
          <w:sz w:val="21"/>
          <w:szCs w:val="21"/>
          <w:highlight w:val="none"/>
          <w:shd w:val="clear" w:color="auto" w:fill="FFFFFF"/>
          <w:lang w:val="en-US" w:eastAsia="zh-CN"/>
        </w:rPr>
        <w:t>三年，合同一年一签，采购人根据中标人上一年度的合同履约、考核及财政资金审批情况决定是否续签</w:t>
      </w:r>
      <w:r>
        <w:rPr>
          <w:rFonts w:hint="eastAsia" w:ascii="宋体" w:hAnsi="宋体" w:eastAsia="宋体" w:cs="宋体"/>
          <w:i w:val="0"/>
          <w:caps w:val="0"/>
          <w:color w:val="auto"/>
          <w:spacing w:val="0"/>
          <w:sz w:val="21"/>
          <w:szCs w:val="21"/>
          <w:highlight w:val="none"/>
          <w:shd w:val="clear" w:color="auto" w:fill="FFFFFF"/>
          <w:lang w:val="en-US" w:eastAsia="zh-CN"/>
        </w:rPr>
        <w:t>。</w:t>
      </w:r>
    </w:p>
    <w:p>
      <w:pPr>
        <w:pStyle w:val="4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本项目不接受联合体投标。</w:t>
      </w:r>
    </w:p>
    <w:p>
      <w:pPr>
        <w:pStyle w:val="46"/>
        <w:adjustRightInd w:val="0"/>
        <w:snapToGrid w:val="0"/>
        <w:spacing w:before="0" w:beforeAutospacing="0" w:after="0" w:afterAutospacing="0" w:line="460" w:lineRule="exact"/>
        <w:jc w:val="both"/>
        <w:rPr>
          <w:rFonts w:hint="eastAsia" w:ascii="宋体" w:hAnsi="宋体" w:cs="宋体"/>
          <w:color w:val="auto"/>
          <w:sz w:val="21"/>
          <w:szCs w:val="21"/>
          <w:highlight w:val="none"/>
        </w:rPr>
      </w:pPr>
      <w:r>
        <w:rPr>
          <w:rStyle w:val="50"/>
          <w:rFonts w:hint="eastAsia" w:ascii="宋体" w:hAnsi="宋体" w:cs="宋体"/>
          <w:color w:val="auto"/>
          <w:sz w:val="21"/>
          <w:szCs w:val="21"/>
          <w:highlight w:val="none"/>
          <w:shd w:val="clear" w:color="auto" w:fill="FFFFFF"/>
        </w:rPr>
        <w:t>二、申请人的资格要求：</w:t>
      </w:r>
    </w:p>
    <w:p>
      <w:pPr>
        <w:pStyle w:val="4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2.落实政府采购政策需满足的资格要求：</w:t>
      </w:r>
      <w:r>
        <w:rPr>
          <w:rFonts w:hint="eastAsia" w:ascii="宋体" w:hAnsi="宋体" w:eastAsia="宋体" w:cs="宋体"/>
          <w:color w:val="auto"/>
          <w:sz w:val="21"/>
          <w:szCs w:val="21"/>
          <w:highlight w:val="none"/>
          <w:shd w:val="clear" w:color="auto" w:fill="FFFFFF"/>
          <w:lang w:val="en-US" w:eastAsia="zh-CN"/>
        </w:rPr>
        <w:t>/。</w:t>
      </w:r>
    </w:p>
    <w:p>
      <w:pPr>
        <w:pStyle w:val="4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3.本项目的特定资格要求：</w:t>
      </w:r>
    </w:p>
    <w:p>
      <w:pPr>
        <w:pStyle w:val="4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460" w:lineRule="exact"/>
        <w:ind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3.1投标人具有公安机关核发的《保安服务许可证》；</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3.2</w:t>
      </w:r>
      <w:r>
        <w:rPr>
          <w:rFonts w:hint="eastAsia" w:ascii="宋体" w:hAnsi="宋体" w:eastAsia="宋体" w:cs="宋体"/>
          <w:color w:val="auto"/>
          <w:sz w:val="21"/>
          <w:szCs w:val="21"/>
          <w:highlight w:val="none"/>
          <w:shd w:val="clear" w:color="auto" w:fill="FFFFFF"/>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r>
        <w:rPr>
          <w:rFonts w:hint="eastAsia" w:ascii="宋体" w:hAnsi="宋体" w:eastAsia="宋体" w:cs="宋体"/>
          <w:color w:val="auto"/>
          <w:sz w:val="21"/>
          <w:szCs w:val="21"/>
          <w:highlight w:val="none"/>
          <w:shd w:val="clear" w:color="auto" w:fill="FFFFFF"/>
          <w:lang w:eastAsia="zh-CN"/>
        </w:rPr>
        <w:t>。</w:t>
      </w:r>
    </w:p>
    <w:p>
      <w:pPr>
        <w:pStyle w:val="4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48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lang w:val="en-US" w:eastAsia="zh-CN"/>
        </w:rPr>
        <w:t>4.</w:t>
      </w:r>
      <w:r>
        <w:rPr>
          <w:rFonts w:hint="eastAsia" w:ascii="宋体" w:hAnsi="宋体" w:eastAsia="宋体" w:cs="宋体"/>
          <w:i w:val="0"/>
          <w:caps w:val="0"/>
          <w:color w:val="auto"/>
          <w:spacing w:val="0"/>
          <w:sz w:val="21"/>
          <w:szCs w:val="21"/>
          <w:highlight w:val="none"/>
          <w:shd w:val="clear" w:color="auto" w:fill="FFFFFF"/>
          <w:lang w:eastAsia="zh-CN"/>
        </w:rPr>
        <w:t>资格审查采用资格后审。</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both"/>
        <w:textAlignment w:val="auto"/>
        <w:rPr>
          <w:rFonts w:hint="eastAsia" w:ascii="宋体" w:hAnsi="宋体" w:cs="宋体"/>
          <w:color w:val="auto"/>
          <w:sz w:val="21"/>
          <w:szCs w:val="21"/>
          <w:highlight w:val="none"/>
        </w:rPr>
      </w:pPr>
      <w:r>
        <w:rPr>
          <w:rStyle w:val="50"/>
          <w:rFonts w:hint="eastAsia" w:ascii="宋体" w:hAnsi="宋体" w:cs="宋体"/>
          <w:color w:val="auto"/>
          <w:sz w:val="21"/>
          <w:szCs w:val="21"/>
          <w:highlight w:val="none"/>
          <w:shd w:val="clear" w:color="auto" w:fill="FFFFFF"/>
        </w:rPr>
        <w:t>三、获取招标文件</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时间：</w:t>
      </w:r>
      <w:r>
        <w:rPr>
          <w:rFonts w:hint="eastAsia" w:ascii="宋体" w:hAnsi="宋体" w:cs="宋体"/>
          <w:color w:val="auto"/>
          <w:sz w:val="21"/>
          <w:szCs w:val="21"/>
          <w:highlight w:val="none"/>
          <w:u w:val="single"/>
          <w:shd w:val="clear" w:color="auto" w:fill="FFFFFF"/>
        </w:rPr>
        <w:t xml:space="preserve"> 202</w:t>
      </w:r>
      <w:r>
        <w:rPr>
          <w:rFonts w:hint="eastAsia" w:ascii="宋体" w:hAnsi="宋体" w:cs="宋体"/>
          <w:color w:val="auto"/>
          <w:sz w:val="21"/>
          <w:szCs w:val="21"/>
          <w:highlight w:val="none"/>
          <w:u w:val="single"/>
          <w:shd w:val="clear" w:color="auto" w:fill="FFFFFF"/>
          <w:lang w:val="en-US" w:eastAsia="zh-CN"/>
        </w:rPr>
        <w:t>2</w:t>
      </w:r>
      <w:r>
        <w:rPr>
          <w:rFonts w:hint="eastAsia" w:ascii="宋体" w:hAnsi="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01月30</w:t>
      </w:r>
      <w:r>
        <w:rPr>
          <w:rFonts w:hint="eastAsia" w:ascii="宋体" w:hAnsi="宋体" w:cs="宋体"/>
          <w:color w:val="auto"/>
          <w:sz w:val="21"/>
          <w:szCs w:val="21"/>
          <w:highlight w:val="none"/>
          <w:u w:val="single"/>
          <w:shd w:val="clear" w:color="auto" w:fill="FFFFFF"/>
        </w:rPr>
        <w:t>日</w:t>
      </w:r>
      <w:r>
        <w:rPr>
          <w:rFonts w:hint="eastAsia" w:ascii="宋体" w:hAnsi="宋体" w:cs="宋体"/>
          <w:color w:val="auto"/>
          <w:sz w:val="21"/>
          <w:szCs w:val="21"/>
          <w:highlight w:val="none"/>
          <w:shd w:val="clear" w:color="auto" w:fill="FFFFFF"/>
        </w:rPr>
        <w:t>至</w:t>
      </w:r>
      <w:r>
        <w:rPr>
          <w:rFonts w:hint="eastAsia" w:ascii="宋体" w:hAnsi="宋体" w:cs="宋体"/>
          <w:color w:val="auto"/>
          <w:sz w:val="21"/>
          <w:szCs w:val="21"/>
          <w:highlight w:val="none"/>
          <w:u w:val="single"/>
          <w:shd w:val="clear" w:color="auto" w:fill="FFFFFF"/>
        </w:rPr>
        <w:t xml:space="preserve"> 202</w:t>
      </w:r>
      <w:r>
        <w:rPr>
          <w:rFonts w:hint="eastAsia" w:ascii="宋体" w:hAnsi="宋体" w:cs="宋体"/>
          <w:color w:val="auto"/>
          <w:sz w:val="21"/>
          <w:szCs w:val="21"/>
          <w:highlight w:val="none"/>
          <w:u w:val="single"/>
          <w:shd w:val="clear" w:color="auto" w:fill="FFFFFF"/>
          <w:lang w:val="en-US" w:eastAsia="zh-CN"/>
        </w:rPr>
        <w:t>2</w:t>
      </w:r>
      <w:r>
        <w:rPr>
          <w:rFonts w:hint="eastAsia" w:ascii="宋体" w:hAnsi="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02月11</w:t>
      </w:r>
      <w:r>
        <w:rPr>
          <w:rFonts w:hint="eastAsia" w:ascii="宋体" w:hAnsi="宋体" w:cs="宋体"/>
          <w:color w:val="auto"/>
          <w:sz w:val="21"/>
          <w:szCs w:val="21"/>
          <w:highlight w:val="none"/>
          <w:u w:val="single"/>
          <w:shd w:val="clear" w:color="auto" w:fill="FFFFFF"/>
        </w:rPr>
        <w:t>日</w:t>
      </w:r>
      <w:r>
        <w:rPr>
          <w:rFonts w:hint="eastAsia" w:ascii="宋体" w:hAnsi="宋体" w:cs="宋体"/>
          <w:color w:val="auto"/>
          <w:sz w:val="21"/>
          <w:szCs w:val="21"/>
          <w:highlight w:val="none"/>
          <w:shd w:val="clear" w:color="auto" w:fill="FFFFFF"/>
        </w:rPr>
        <w:t>，每天上午</w:t>
      </w:r>
      <w:r>
        <w:rPr>
          <w:rFonts w:hint="eastAsia" w:ascii="宋体" w:hAnsi="宋体" w:cs="宋体"/>
          <w:color w:val="auto"/>
          <w:sz w:val="21"/>
          <w:szCs w:val="21"/>
          <w:highlight w:val="none"/>
          <w:u w:val="single"/>
          <w:shd w:val="clear" w:color="auto" w:fill="FFFFFF"/>
        </w:rPr>
        <w:t>00:00至12:00</w:t>
      </w:r>
      <w:r>
        <w:rPr>
          <w:rFonts w:hint="eastAsia" w:ascii="宋体" w:hAnsi="宋体" w:cs="宋体"/>
          <w:color w:val="auto"/>
          <w:sz w:val="21"/>
          <w:szCs w:val="21"/>
          <w:highlight w:val="none"/>
          <w:shd w:val="clear" w:color="auto" w:fill="FFFFFF"/>
        </w:rPr>
        <w:t>，下午</w:t>
      </w:r>
      <w:r>
        <w:rPr>
          <w:rFonts w:hint="eastAsia" w:ascii="宋体" w:hAnsi="宋体" w:cs="宋体"/>
          <w:color w:val="auto"/>
          <w:sz w:val="21"/>
          <w:szCs w:val="21"/>
          <w:highlight w:val="none"/>
          <w:u w:val="single"/>
          <w:shd w:val="clear" w:color="auto" w:fill="FFFFFF"/>
        </w:rPr>
        <w:t>12:00至23:59</w:t>
      </w:r>
      <w:r>
        <w:rPr>
          <w:rFonts w:hint="eastAsia" w:ascii="宋体" w:hAnsi="宋体" w:cs="宋体"/>
          <w:color w:val="auto"/>
          <w:sz w:val="21"/>
          <w:szCs w:val="21"/>
          <w:highlight w:val="none"/>
          <w:shd w:val="clear" w:color="auto" w:fill="FFFFFF"/>
        </w:rPr>
        <w:t>（北京时间）；</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地点（网址）：政府采购云平台</w:t>
      </w:r>
      <w:r>
        <w:rPr>
          <w:rFonts w:hint="eastAsia" w:ascii="宋体" w:hAnsi="宋体" w:cs="宋体"/>
          <w:color w:val="auto"/>
          <w:sz w:val="21"/>
          <w:szCs w:val="21"/>
          <w:highlight w:val="none"/>
        </w:rPr>
        <w:t>（www.zcygov.cn）</w:t>
      </w:r>
      <w:r>
        <w:rPr>
          <w:rFonts w:hint="eastAsia" w:ascii="宋体" w:hAnsi="宋体" w:cs="宋体"/>
          <w:color w:val="auto"/>
          <w:sz w:val="21"/>
          <w:szCs w:val="21"/>
          <w:highlight w:val="none"/>
          <w:shd w:val="clear" w:color="auto" w:fill="FFFFFF"/>
        </w:rPr>
        <w:t>；</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方式：供应商登录政采云平台https://www.zcygov.cn/在线申请获取采购文件（进入</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项目采购</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应用，在获取采购文件菜单中选择项目，申请获取采购文件）；</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售价（元）：0。 </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both"/>
        <w:textAlignment w:val="auto"/>
        <w:rPr>
          <w:rFonts w:hint="eastAsia" w:ascii="宋体" w:hAnsi="宋体" w:cs="宋体"/>
          <w:color w:val="auto"/>
          <w:sz w:val="21"/>
          <w:szCs w:val="21"/>
          <w:highlight w:val="none"/>
        </w:rPr>
      </w:pPr>
      <w:r>
        <w:rPr>
          <w:rStyle w:val="50"/>
          <w:rFonts w:hint="eastAsia" w:ascii="宋体" w:hAnsi="宋体" w:cs="宋体"/>
          <w:color w:val="auto"/>
          <w:sz w:val="21"/>
          <w:szCs w:val="21"/>
          <w:highlight w:val="none"/>
          <w:shd w:val="clear" w:color="auto" w:fill="FFFFFF"/>
        </w:rPr>
        <w:t>四、提交投标文件截止时间、开标时间和地点</w:t>
      </w:r>
    </w:p>
    <w:p>
      <w:pPr>
        <w:pStyle w:val="46"/>
        <w:keepNext w:val="0"/>
        <w:keepLines w:val="0"/>
        <w:pageBreakBefore w:val="0"/>
        <w:widowControl w:val="0"/>
        <w:kinsoku/>
        <w:wordWrap/>
        <w:overflowPunct/>
        <w:topLinePunct w:val="0"/>
        <w:autoSpaceDE/>
        <w:autoSpaceDN/>
        <w:bidi w:val="0"/>
        <w:spacing w:before="0" w:beforeAutospacing="0" w:after="0" w:afterAutospacing="0" w:line="480" w:lineRule="atLeast"/>
        <w:ind w:firstLine="420"/>
        <w:textAlignment w:val="auto"/>
        <w:rPr>
          <w:rFonts w:hint="eastAsia" w:ascii="微软雅黑" w:hAnsi="微软雅黑" w:eastAsia="宋体" w:cs="微软雅黑"/>
          <w:color w:val="auto"/>
          <w:sz w:val="27"/>
          <w:szCs w:val="27"/>
          <w:highlight w:val="none"/>
          <w:lang w:val="en-US" w:eastAsia="zh-CN"/>
        </w:rPr>
      </w:pPr>
      <w:r>
        <w:rPr>
          <w:rFonts w:hint="eastAsia" w:ascii="宋体" w:hAnsi="宋体" w:cs="宋体"/>
          <w:color w:val="auto"/>
          <w:sz w:val="21"/>
          <w:szCs w:val="21"/>
          <w:highlight w:val="none"/>
          <w:shd w:val="clear" w:color="auto" w:fill="FFFFFF"/>
        </w:rPr>
        <w:t>提交投标文件截止时间：</w:t>
      </w:r>
      <w:r>
        <w:rPr>
          <w:rFonts w:hint="eastAsia" w:ascii="宋体" w:hAnsi="宋体" w:cs="宋体"/>
          <w:color w:val="auto"/>
          <w:sz w:val="21"/>
          <w:szCs w:val="21"/>
          <w:highlight w:val="none"/>
          <w:u w:val="single"/>
          <w:shd w:val="clear" w:color="auto" w:fill="FFFFFF"/>
        </w:rPr>
        <w:t>202</w:t>
      </w:r>
      <w:r>
        <w:rPr>
          <w:rFonts w:hint="eastAsia" w:ascii="宋体" w:hAnsi="宋体" w:cs="宋体"/>
          <w:color w:val="auto"/>
          <w:sz w:val="21"/>
          <w:szCs w:val="21"/>
          <w:highlight w:val="none"/>
          <w:u w:val="single"/>
          <w:shd w:val="clear" w:color="auto" w:fill="FFFFFF"/>
          <w:lang w:val="en-US" w:eastAsia="zh-CN"/>
        </w:rPr>
        <w:t>2</w:t>
      </w:r>
      <w:r>
        <w:rPr>
          <w:rFonts w:hint="eastAsia" w:ascii="宋体" w:hAnsi="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02月21</w:t>
      </w:r>
      <w:r>
        <w:rPr>
          <w:rFonts w:hint="eastAsia" w:ascii="宋体" w:hAnsi="宋体" w:cs="宋体"/>
          <w:color w:val="auto"/>
          <w:sz w:val="21"/>
          <w:szCs w:val="21"/>
          <w:highlight w:val="none"/>
          <w:u w:val="single"/>
          <w:shd w:val="clear" w:color="auto" w:fill="FFFFFF"/>
        </w:rPr>
        <w:t>日</w:t>
      </w:r>
      <w:r>
        <w:rPr>
          <w:rFonts w:hint="eastAsia" w:ascii="宋体" w:hAnsi="宋体" w:cs="宋体"/>
          <w:color w:val="auto"/>
          <w:sz w:val="21"/>
          <w:szCs w:val="21"/>
          <w:highlight w:val="none"/>
          <w:u w:val="single"/>
          <w:shd w:val="clear" w:color="auto" w:fill="FFFFFF"/>
          <w:lang w:val="en-US" w:eastAsia="zh-CN"/>
        </w:rPr>
        <w:t>14</w:t>
      </w:r>
      <w:r>
        <w:rPr>
          <w:rFonts w:hint="eastAsia" w:ascii="宋体" w:hAnsi="宋体" w:cs="宋体"/>
          <w:color w:val="auto"/>
          <w:sz w:val="21"/>
          <w:szCs w:val="21"/>
          <w:highlight w:val="none"/>
          <w:u w:val="single"/>
          <w:shd w:val="clear" w:color="auto" w:fill="FFFFFF"/>
        </w:rPr>
        <w:t>:00（北京时间）前</w:t>
      </w:r>
      <w:r>
        <w:rPr>
          <w:rFonts w:hint="eastAsia" w:ascii="宋体" w:hAnsi="宋体" w:cs="宋体"/>
          <w:color w:val="auto"/>
          <w:sz w:val="21"/>
          <w:szCs w:val="21"/>
          <w:highlight w:val="none"/>
          <w:u w:val="single"/>
          <w:shd w:val="clear" w:color="auto" w:fill="FFFFFF"/>
          <w:lang w:eastAsia="zh-CN"/>
        </w:rPr>
        <w:t>；</w:t>
      </w:r>
    </w:p>
    <w:p>
      <w:pPr>
        <w:pStyle w:val="46"/>
        <w:keepNext w:val="0"/>
        <w:keepLines w:val="0"/>
        <w:pageBreakBefore w:val="0"/>
        <w:widowControl w:val="0"/>
        <w:kinsoku/>
        <w:wordWrap/>
        <w:overflowPunct/>
        <w:topLinePunct w:val="0"/>
        <w:autoSpaceDE/>
        <w:autoSpaceDN/>
        <w:bidi w:val="0"/>
        <w:spacing w:before="0" w:beforeAutospacing="0" w:after="0" w:afterAutospacing="0" w:line="480" w:lineRule="atLeast"/>
        <w:ind w:firstLine="420"/>
        <w:textAlignment w:val="auto"/>
        <w:rPr>
          <w:rFonts w:hint="eastAsia" w:ascii="微软雅黑" w:hAnsi="微软雅黑" w:eastAsia="微软雅黑" w:cs="微软雅黑"/>
          <w:color w:val="auto"/>
          <w:sz w:val="27"/>
          <w:szCs w:val="27"/>
          <w:highlight w:val="none"/>
        </w:rPr>
      </w:pPr>
      <w:r>
        <w:rPr>
          <w:rFonts w:hint="eastAsia" w:ascii="宋体" w:hAnsi="宋体" w:cs="宋体"/>
          <w:color w:val="auto"/>
          <w:sz w:val="21"/>
          <w:szCs w:val="21"/>
          <w:highlight w:val="none"/>
          <w:shd w:val="clear" w:color="auto" w:fill="FFFFFF"/>
        </w:rPr>
        <w:t>投标地点（网址）：</w:t>
      </w:r>
      <w:r>
        <w:rPr>
          <w:rFonts w:hint="eastAsia" w:ascii="宋体" w:hAnsi="宋体" w:cs="宋体"/>
          <w:color w:val="auto"/>
          <w:sz w:val="21"/>
          <w:szCs w:val="21"/>
          <w:highlight w:val="none"/>
          <w:u w:val="single"/>
          <w:shd w:val="clear" w:color="auto" w:fill="FFFFFF"/>
        </w:rPr>
        <w:t>本项目通过</w:t>
      </w:r>
      <w:r>
        <w:rPr>
          <w:rFonts w:hint="eastAsia" w:ascii="宋体" w:hAnsi="宋体" w:cs="宋体"/>
          <w:color w:val="auto"/>
          <w:sz w:val="21"/>
          <w:szCs w:val="21"/>
          <w:highlight w:val="none"/>
          <w:u w:val="single"/>
          <w:shd w:val="clear" w:color="auto" w:fill="FFFFFF"/>
          <w:lang w:eastAsia="zh-CN"/>
        </w:rPr>
        <w:t>“</w:t>
      </w:r>
      <w:r>
        <w:rPr>
          <w:rFonts w:hint="eastAsia" w:ascii="宋体" w:hAnsi="宋体" w:cs="宋体"/>
          <w:color w:val="auto"/>
          <w:sz w:val="21"/>
          <w:szCs w:val="21"/>
          <w:highlight w:val="none"/>
          <w:u w:val="single"/>
          <w:shd w:val="clear" w:color="auto" w:fill="FFFFFF"/>
        </w:rPr>
        <w:t>政府采购云平台（www.zcygov.cn）</w:t>
      </w:r>
      <w:r>
        <w:rPr>
          <w:rFonts w:hint="eastAsia" w:ascii="宋体" w:hAnsi="宋体" w:cs="宋体"/>
          <w:color w:val="auto"/>
          <w:sz w:val="21"/>
          <w:szCs w:val="21"/>
          <w:highlight w:val="none"/>
          <w:u w:val="single"/>
          <w:shd w:val="clear" w:color="auto" w:fill="FFFFFF"/>
          <w:lang w:eastAsia="zh-CN"/>
        </w:rPr>
        <w:t>”</w:t>
      </w:r>
      <w:r>
        <w:rPr>
          <w:rFonts w:hint="eastAsia" w:ascii="宋体" w:hAnsi="宋体" w:cs="宋体"/>
          <w:color w:val="auto"/>
          <w:sz w:val="21"/>
          <w:szCs w:val="21"/>
          <w:highlight w:val="none"/>
          <w:u w:val="single"/>
          <w:shd w:val="clear" w:color="auto" w:fill="FFFFFF"/>
        </w:rPr>
        <w:t>实行在线制作并提交投标文件（电子投标）。</w:t>
      </w:r>
    </w:p>
    <w:p>
      <w:pPr>
        <w:pStyle w:val="46"/>
        <w:keepNext w:val="0"/>
        <w:keepLines w:val="0"/>
        <w:pageBreakBefore w:val="0"/>
        <w:widowControl w:val="0"/>
        <w:kinsoku/>
        <w:wordWrap/>
        <w:overflowPunct/>
        <w:topLinePunct w:val="0"/>
        <w:autoSpaceDE/>
        <w:autoSpaceDN/>
        <w:bidi w:val="0"/>
        <w:spacing w:before="0" w:beforeAutospacing="0" w:after="0" w:afterAutospacing="0" w:line="480" w:lineRule="atLeast"/>
        <w:ind w:firstLine="420"/>
        <w:textAlignment w:val="auto"/>
        <w:rPr>
          <w:rFonts w:hint="eastAsia" w:ascii="微软雅黑" w:hAnsi="微软雅黑" w:eastAsia="宋体" w:cs="微软雅黑"/>
          <w:color w:val="auto"/>
          <w:sz w:val="27"/>
          <w:szCs w:val="27"/>
          <w:highlight w:val="none"/>
          <w:lang w:eastAsia="zh-CN"/>
        </w:rPr>
      </w:pPr>
      <w:r>
        <w:rPr>
          <w:rFonts w:hint="eastAsia" w:ascii="宋体" w:hAnsi="宋体" w:cs="宋体"/>
          <w:color w:val="auto"/>
          <w:sz w:val="21"/>
          <w:szCs w:val="21"/>
          <w:highlight w:val="none"/>
          <w:shd w:val="clear" w:color="auto" w:fill="FFFFFF"/>
        </w:rPr>
        <w:t>开标时间：</w:t>
      </w:r>
      <w:r>
        <w:rPr>
          <w:rFonts w:hint="eastAsia" w:ascii="宋体" w:hAnsi="宋体" w:cs="宋体"/>
          <w:color w:val="auto"/>
          <w:sz w:val="21"/>
          <w:szCs w:val="21"/>
          <w:highlight w:val="none"/>
          <w:u w:val="single"/>
          <w:shd w:val="clear" w:color="auto" w:fill="FFFFFF"/>
        </w:rPr>
        <w:t>202</w:t>
      </w:r>
      <w:r>
        <w:rPr>
          <w:rFonts w:hint="eastAsia" w:ascii="宋体" w:hAnsi="宋体" w:cs="宋体"/>
          <w:color w:val="auto"/>
          <w:sz w:val="21"/>
          <w:szCs w:val="21"/>
          <w:highlight w:val="none"/>
          <w:u w:val="single"/>
          <w:shd w:val="clear" w:color="auto" w:fill="FFFFFF"/>
          <w:lang w:val="en-US" w:eastAsia="zh-CN"/>
        </w:rPr>
        <w:t>2</w:t>
      </w:r>
      <w:r>
        <w:rPr>
          <w:rFonts w:hint="eastAsia" w:ascii="宋体" w:hAnsi="宋体" w:cs="宋体"/>
          <w:color w:val="auto"/>
          <w:sz w:val="21"/>
          <w:szCs w:val="21"/>
          <w:highlight w:val="none"/>
          <w:u w:val="single"/>
          <w:shd w:val="clear" w:color="auto" w:fill="FFFFFF"/>
        </w:rPr>
        <w:t>年</w:t>
      </w:r>
      <w:r>
        <w:rPr>
          <w:rFonts w:hint="eastAsia" w:ascii="宋体" w:hAnsi="宋体" w:cs="宋体"/>
          <w:color w:val="auto"/>
          <w:sz w:val="21"/>
          <w:szCs w:val="21"/>
          <w:highlight w:val="none"/>
          <w:u w:val="single"/>
          <w:shd w:val="clear" w:color="auto" w:fill="FFFFFF"/>
          <w:lang w:val="en-US" w:eastAsia="zh-CN"/>
        </w:rPr>
        <w:t>02月21</w:t>
      </w:r>
      <w:r>
        <w:rPr>
          <w:rFonts w:hint="eastAsia" w:ascii="宋体" w:hAnsi="宋体" w:cs="宋体"/>
          <w:color w:val="auto"/>
          <w:sz w:val="21"/>
          <w:szCs w:val="21"/>
          <w:highlight w:val="none"/>
          <w:u w:val="single"/>
          <w:shd w:val="clear" w:color="auto" w:fill="FFFFFF"/>
        </w:rPr>
        <w:t>日</w:t>
      </w:r>
      <w:r>
        <w:rPr>
          <w:rFonts w:hint="eastAsia" w:ascii="宋体" w:hAnsi="宋体" w:cs="宋体"/>
          <w:color w:val="auto"/>
          <w:sz w:val="21"/>
          <w:szCs w:val="21"/>
          <w:highlight w:val="none"/>
          <w:u w:val="single"/>
          <w:shd w:val="clear" w:color="auto" w:fill="FFFFFF"/>
          <w:lang w:val="en-US" w:eastAsia="zh-CN"/>
        </w:rPr>
        <w:t>14</w:t>
      </w:r>
      <w:r>
        <w:rPr>
          <w:rFonts w:hint="eastAsia" w:ascii="宋体" w:hAnsi="宋体" w:cs="宋体"/>
          <w:color w:val="auto"/>
          <w:sz w:val="21"/>
          <w:szCs w:val="21"/>
          <w:highlight w:val="none"/>
          <w:u w:val="single"/>
          <w:shd w:val="clear" w:color="auto" w:fill="FFFFFF"/>
        </w:rPr>
        <w:t>:00（北京时间）</w:t>
      </w:r>
      <w:r>
        <w:rPr>
          <w:rFonts w:hint="eastAsia" w:ascii="宋体" w:hAnsi="宋体" w:cs="宋体"/>
          <w:color w:val="auto"/>
          <w:sz w:val="21"/>
          <w:szCs w:val="21"/>
          <w:highlight w:val="none"/>
          <w:u w:val="single"/>
          <w:shd w:val="clear" w:color="auto" w:fill="FFFFFF"/>
          <w:lang w:eastAsia="zh-CN"/>
        </w:rPr>
        <w:t>；</w:t>
      </w:r>
    </w:p>
    <w:p>
      <w:pPr>
        <w:pStyle w:val="46"/>
        <w:keepNext w:val="0"/>
        <w:keepLines w:val="0"/>
        <w:pageBreakBefore w:val="0"/>
        <w:widowControl w:val="0"/>
        <w:kinsoku/>
        <w:wordWrap/>
        <w:overflowPunct/>
        <w:topLinePunct w:val="0"/>
        <w:autoSpaceDE/>
        <w:autoSpaceDN/>
        <w:bidi w:val="0"/>
        <w:spacing w:before="0" w:beforeAutospacing="0" w:after="0" w:afterAutospacing="0" w:line="480" w:lineRule="atLeast"/>
        <w:ind w:firstLine="420"/>
        <w:textAlignment w:val="auto"/>
        <w:rPr>
          <w:rFonts w:hint="eastAsia" w:ascii="微软雅黑" w:hAnsi="微软雅黑" w:eastAsia="微软雅黑" w:cs="微软雅黑"/>
          <w:color w:val="auto"/>
          <w:sz w:val="27"/>
          <w:szCs w:val="27"/>
          <w:highlight w:val="none"/>
        </w:rPr>
      </w:pPr>
      <w:r>
        <w:rPr>
          <w:rFonts w:hint="eastAsia" w:ascii="宋体" w:hAnsi="宋体" w:cs="宋体"/>
          <w:color w:val="auto"/>
          <w:sz w:val="21"/>
          <w:szCs w:val="21"/>
          <w:highlight w:val="none"/>
          <w:shd w:val="clear" w:color="auto" w:fill="FFFFFF"/>
        </w:rPr>
        <w:t>开标地点（网址）：</w:t>
      </w:r>
      <w:r>
        <w:rPr>
          <w:rFonts w:hint="eastAsia" w:ascii="宋体" w:hAnsi="宋体" w:cs="宋体"/>
          <w:color w:val="auto"/>
          <w:sz w:val="21"/>
          <w:szCs w:val="21"/>
          <w:highlight w:val="none"/>
          <w:u w:val="single"/>
          <w:shd w:val="clear" w:color="auto" w:fill="FFFFFF"/>
        </w:rPr>
        <w:t>宁波市鄞州区行政服务中心五楼（鄞州区</w:t>
      </w:r>
      <w:r>
        <w:rPr>
          <w:rFonts w:hint="eastAsia" w:ascii="宋体" w:hAnsi="宋体" w:cs="宋体"/>
          <w:color w:val="auto"/>
          <w:sz w:val="21"/>
          <w:szCs w:val="21"/>
          <w:highlight w:val="none"/>
          <w:u w:val="single"/>
          <w:shd w:val="clear" w:color="auto" w:fill="FFFFFF"/>
          <w:lang w:eastAsia="zh-CN"/>
        </w:rPr>
        <w:t>蕙江</w:t>
      </w:r>
      <w:r>
        <w:rPr>
          <w:rFonts w:hint="eastAsia" w:ascii="宋体" w:hAnsi="宋体" w:cs="宋体"/>
          <w:color w:val="auto"/>
          <w:sz w:val="21"/>
          <w:szCs w:val="21"/>
          <w:highlight w:val="none"/>
          <w:u w:val="single"/>
          <w:shd w:val="clear" w:color="auto" w:fill="FFFFFF"/>
        </w:rPr>
        <w:t>路567号，鄞州区妇儿医院对面，详见电子显示屏），本项目通过</w:t>
      </w:r>
      <w:r>
        <w:rPr>
          <w:rFonts w:hint="eastAsia" w:ascii="宋体" w:hAnsi="宋体" w:cs="宋体"/>
          <w:color w:val="auto"/>
          <w:sz w:val="21"/>
          <w:szCs w:val="21"/>
          <w:highlight w:val="none"/>
          <w:u w:val="single"/>
          <w:shd w:val="clear" w:color="auto" w:fill="FFFFFF"/>
          <w:lang w:eastAsia="zh-CN"/>
        </w:rPr>
        <w:t>“</w:t>
      </w:r>
      <w:r>
        <w:rPr>
          <w:rFonts w:hint="eastAsia" w:ascii="宋体" w:hAnsi="宋体" w:cs="宋体"/>
          <w:color w:val="auto"/>
          <w:sz w:val="21"/>
          <w:szCs w:val="21"/>
          <w:highlight w:val="none"/>
          <w:u w:val="single"/>
          <w:shd w:val="clear" w:color="auto" w:fill="FFFFFF"/>
        </w:rPr>
        <w:t>政府采购云平台</w:t>
      </w:r>
      <w:r>
        <w:rPr>
          <w:rFonts w:hint="eastAsia" w:ascii="宋体" w:hAnsi="宋体" w:cs="宋体"/>
          <w:color w:val="auto"/>
          <w:sz w:val="21"/>
          <w:szCs w:val="21"/>
          <w:highlight w:val="none"/>
          <w:u w:val="single"/>
          <w:shd w:val="clear" w:color="auto" w:fill="FFFFFF"/>
          <w:lang w:eastAsia="zh-CN"/>
        </w:rPr>
        <w:t>”</w:t>
      </w:r>
      <w:r>
        <w:rPr>
          <w:rFonts w:hint="eastAsia" w:ascii="宋体" w:hAnsi="宋体" w:cs="宋体"/>
          <w:color w:val="auto"/>
          <w:sz w:val="21"/>
          <w:szCs w:val="21"/>
          <w:highlight w:val="none"/>
          <w:u w:val="single"/>
          <w:shd w:val="clear" w:color="auto" w:fill="FFFFFF"/>
        </w:rPr>
        <w:t>实行在线电子评标，投标人可在线参加开标。</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both"/>
        <w:textAlignment w:val="auto"/>
        <w:rPr>
          <w:rFonts w:hint="eastAsia" w:ascii="宋体" w:hAnsi="宋体" w:cs="宋体"/>
          <w:color w:val="auto"/>
          <w:sz w:val="21"/>
          <w:szCs w:val="21"/>
          <w:highlight w:val="none"/>
        </w:rPr>
      </w:pPr>
      <w:r>
        <w:rPr>
          <w:rStyle w:val="50"/>
          <w:rFonts w:hint="eastAsia" w:ascii="宋体" w:hAnsi="宋体" w:cs="宋体"/>
          <w:color w:val="auto"/>
          <w:sz w:val="21"/>
          <w:szCs w:val="21"/>
          <w:highlight w:val="none"/>
          <w:shd w:val="clear" w:color="auto" w:fill="FFFFFF"/>
        </w:rPr>
        <w:t>五、公告期限</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自本公告发布之日起5个工作日。</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jc w:val="both"/>
        <w:textAlignment w:val="auto"/>
        <w:rPr>
          <w:rFonts w:hint="eastAsia" w:ascii="宋体" w:hAnsi="宋体" w:cs="宋体"/>
          <w:color w:val="auto"/>
          <w:sz w:val="21"/>
          <w:szCs w:val="21"/>
          <w:highlight w:val="none"/>
        </w:rPr>
      </w:pPr>
      <w:r>
        <w:rPr>
          <w:rStyle w:val="50"/>
          <w:rFonts w:hint="eastAsia" w:ascii="宋体" w:hAnsi="宋体" w:cs="宋体"/>
          <w:color w:val="auto"/>
          <w:sz w:val="21"/>
          <w:szCs w:val="21"/>
          <w:highlight w:val="none"/>
          <w:shd w:val="clear" w:color="auto" w:fill="FFFFFF"/>
        </w:rPr>
        <w:t>六、其他补充事宜</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2.落实政策：《关于促进残疾人就业政府采购政策的通知》（财库[2017]141号）、《政府采购促进中小企业发展管理办法》（财库﹝2020﹞46 号）、《关于政府采购支持监狱企业发展有关问题的通知》(财库[2014]68号)。</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lang w:eastAsia="zh-CN"/>
        </w:rPr>
      </w:pPr>
      <w:r>
        <w:rPr>
          <w:rFonts w:hint="eastAsia" w:ascii="宋体" w:hAnsi="宋体" w:cs="宋体"/>
          <w:color w:val="auto"/>
          <w:sz w:val="21"/>
          <w:szCs w:val="21"/>
          <w:highlight w:val="none"/>
          <w:shd w:val="clear" w:color="auto" w:fill="FFFFFF"/>
        </w:rPr>
        <w:t>4.本次政府采购活动有关信息在</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浙江政府采购网（http://zfcg.czt.zj.gov.cn/）</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宁波市政府采购网（www.nbzfcg.cn）</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宁波市公共资源交易网（鄞州区分网）（http://yinzhou.nbggzy.cn）</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网站上公布，公布信息视同送达所有潜在投标人</w:t>
      </w:r>
      <w:r>
        <w:rPr>
          <w:rFonts w:hint="eastAsia" w:ascii="宋体" w:hAnsi="宋体" w:cs="宋体"/>
          <w:color w:val="auto"/>
          <w:sz w:val="21"/>
          <w:szCs w:val="21"/>
          <w:highlight w:val="none"/>
          <w:shd w:val="clear" w:color="auto" w:fill="FFFFFF"/>
          <w:lang w:eastAsia="zh-CN"/>
        </w:rPr>
        <w:t>。</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5.疫情期间特别提醒事项（投标人提交备份投标文件方式）：</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（1）采用邮寄方式提交备份投标文件，需按以下要求递交：</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投标人须在202</w:t>
      </w:r>
      <w:r>
        <w:rPr>
          <w:rFonts w:hint="eastAsia" w:ascii="宋体" w:hAnsi="宋体" w:cs="宋体"/>
          <w:color w:val="auto"/>
          <w:sz w:val="21"/>
          <w:szCs w:val="21"/>
          <w:highlight w:val="none"/>
          <w:shd w:val="clear" w:color="auto" w:fill="FFFFFF"/>
          <w:lang w:val="en-US" w:eastAsia="zh-CN"/>
        </w:rPr>
        <w:t>2</w:t>
      </w:r>
      <w:r>
        <w:rPr>
          <w:rFonts w:hint="eastAsia" w:ascii="宋体" w:hAnsi="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02月21</w:t>
      </w:r>
      <w:r>
        <w:rPr>
          <w:rFonts w:hint="eastAsia" w:ascii="宋体" w:hAnsi="宋体" w:cs="宋体"/>
          <w:color w:val="auto"/>
          <w:sz w:val="21"/>
          <w:szCs w:val="21"/>
          <w:highlight w:val="none"/>
          <w:shd w:val="clear" w:color="auto" w:fill="FFFFFF"/>
        </w:rPr>
        <w:t>日</w:t>
      </w:r>
      <w:r>
        <w:rPr>
          <w:rFonts w:hint="eastAsia" w:ascii="宋体" w:hAnsi="宋体" w:cs="宋体"/>
          <w:color w:val="auto"/>
          <w:sz w:val="21"/>
          <w:szCs w:val="21"/>
          <w:highlight w:val="none"/>
          <w:shd w:val="clear" w:color="auto" w:fill="FFFFFF"/>
          <w:lang w:val="en-US" w:eastAsia="zh-CN"/>
        </w:rPr>
        <w:t>10</w:t>
      </w:r>
      <w:r>
        <w:rPr>
          <w:rFonts w:hint="eastAsia" w:ascii="宋体" w:hAnsi="宋体" w:cs="宋体"/>
          <w:color w:val="auto"/>
          <w:sz w:val="21"/>
          <w:szCs w:val="21"/>
          <w:highlight w:val="none"/>
          <w:shd w:val="clear" w:color="auto" w:fill="FFFFFF"/>
        </w:rPr>
        <w:t>:00（北京时间）前将备份</w:t>
      </w:r>
      <w:r>
        <w:rPr>
          <w:rFonts w:hint="eastAsia" w:ascii="宋体" w:hAnsi="宋体" w:cs="宋体"/>
          <w:b w:val="0"/>
          <w:bCs w:val="0"/>
          <w:color w:val="auto"/>
          <w:sz w:val="21"/>
          <w:szCs w:val="21"/>
          <w:highlight w:val="none"/>
          <w:shd w:val="clear" w:color="auto" w:fill="FFFFFF"/>
        </w:rPr>
        <w:t>投标文件</w:t>
      </w:r>
      <w:r>
        <w:rPr>
          <w:rFonts w:hint="eastAsia" w:ascii="宋体" w:hAnsi="宋体" w:cs="宋体"/>
          <w:color w:val="auto"/>
          <w:sz w:val="21"/>
          <w:szCs w:val="21"/>
          <w:highlight w:val="none"/>
          <w:shd w:val="clear" w:color="auto" w:fill="FFFFFF"/>
        </w:rPr>
        <w:t>邮寄至规定地点，由采购代理机构工作人员进行签收。各投标人自行考虑邮寄在途时间，邮寄过程中无论何种因素导致备份投标文件未按时递交的后果，均由投标人自行负责。备份投标文件递交时间以招标代理实际收到投标文件的时间为准。迟到的备份投标文件将被拒收。请各投标人确保密封包装在邮寄过程密封包装完好，并在邮寄包裹上注明项目名称，因邮寄过程的密封破损造成不符合开标要求的，本招标代理及采购人概不负责。</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备份投标文件邮寄地址为：宁波市鄞州区云龙镇云彩路487号</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收件人：王慧慧   联系方式：0574-83033198、13857873634</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（2）采用现场递交方式递交电子备份投标文件，在投标当天投标人员需持绿色</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甬行码</w:t>
      </w:r>
      <w:r>
        <w:rPr>
          <w:rFonts w:hint="eastAsia" w:ascii="宋体" w:hAnsi="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rPr>
        <w:t>、佩戴口罩且体温测量正常后（以开标当日测量体温为准）方可递交至开标室，详见电子显示屏。若投标人因未按上述要求办理而导致无法准时进入开标现场的，由投标人自行负责。</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textAlignment w:val="auto"/>
        <w:rPr>
          <w:rFonts w:hint="eastAsia" w:ascii="宋体" w:hAnsi="宋体" w:cs="宋体"/>
          <w:color w:val="auto"/>
          <w:sz w:val="21"/>
          <w:szCs w:val="21"/>
          <w:highlight w:val="none"/>
        </w:rPr>
      </w:pPr>
      <w:r>
        <w:rPr>
          <w:rStyle w:val="50"/>
          <w:rFonts w:hint="eastAsia" w:ascii="宋体" w:hAnsi="宋体" w:cs="宋体"/>
          <w:color w:val="auto"/>
          <w:sz w:val="21"/>
          <w:szCs w:val="21"/>
          <w:highlight w:val="none"/>
          <w:shd w:val="clear" w:color="auto" w:fill="FFFFFF"/>
        </w:rPr>
        <w:t>七、对本次招标提出询问、质疑、投诉，请按以下方式联系。</w:t>
      </w:r>
      <w:r>
        <w:rPr>
          <w:rFonts w:hint="eastAsia" w:ascii="宋体" w:hAnsi="宋体" w:cs="宋体"/>
          <w:color w:val="auto"/>
          <w:sz w:val="21"/>
          <w:szCs w:val="21"/>
          <w:highlight w:val="none"/>
          <w:shd w:val="clear" w:color="auto" w:fill="FFFFFF"/>
        </w:rPr>
        <w:t>　　　　　　　　　　　　</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1.采购人信息</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名    称：</w:t>
      </w:r>
      <w:r>
        <w:rPr>
          <w:rFonts w:hint="eastAsia" w:ascii="宋体" w:hAnsi="宋体" w:cs="宋体"/>
          <w:color w:val="auto"/>
          <w:sz w:val="21"/>
          <w:szCs w:val="21"/>
          <w:highlight w:val="none"/>
          <w:lang w:eastAsia="zh-CN"/>
        </w:rPr>
        <w:t>宁波市鄞州区第二医院</w:t>
      </w:r>
      <w:r>
        <w:rPr>
          <w:rFonts w:hint="eastAsia" w:ascii="宋体" w:hAnsi="宋体" w:cs="宋体"/>
          <w:color w:val="auto"/>
          <w:sz w:val="21"/>
          <w:szCs w:val="21"/>
          <w:highlight w:val="none"/>
          <w:shd w:val="clear" w:color="auto" w:fill="FFFFFF"/>
        </w:rPr>
        <w:t>　</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cs="宋体"/>
          <w:color w:val="auto"/>
          <w:sz w:val="21"/>
          <w:szCs w:val="21"/>
          <w:highlight w:val="none"/>
          <w:shd w:val="clear" w:color="auto" w:fill="FFFFFF"/>
        </w:rPr>
        <w:t>地    址：</w:t>
      </w:r>
      <w:r>
        <w:rPr>
          <w:rFonts w:hint="eastAsia" w:ascii="宋体" w:hAnsi="宋体" w:cs="宋体"/>
          <w:color w:val="auto"/>
          <w:sz w:val="21"/>
          <w:szCs w:val="21"/>
          <w:highlight w:val="none"/>
          <w:shd w:val="clear" w:color="auto" w:fill="FFFFFF"/>
          <w:lang w:eastAsia="zh-CN"/>
        </w:rPr>
        <w:t>宁波市鄞州中心区前河北路998号</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传    真：/</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项目联系人（询问）：郑晓波</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项目联系方式（询问）：0574-55662222</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eastAsia="宋体" w:cs="宋体"/>
          <w:color w:val="auto"/>
          <w:sz w:val="21"/>
          <w:szCs w:val="21"/>
          <w:shd w:val="clear" w:color="auto" w:fill="FFFFFF"/>
          <w:lang w:eastAsia="zh-CN"/>
        </w:rPr>
      </w:pPr>
      <w:r>
        <w:rPr>
          <w:rFonts w:hint="eastAsia" w:ascii="宋体" w:hAnsi="宋体" w:cs="宋体"/>
          <w:color w:val="auto"/>
          <w:sz w:val="21"/>
          <w:szCs w:val="21"/>
          <w:shd w:val="clear" w:color="auto" w:fill="FFFFFF"/>
        </w:rPr>
        <w:t>质疑联系人：</w:t>
      </w:r>
      <w:r>
        <w:rPr>
          <w:rFonts w:hint="eastAsia" w:ascii="宋体" w:hAnsi="宋体" w:cs="宋体"/>
          <w:color w:val="auto"/>
          <w:sz w:val="21"/>
          <w:szCs w:val="21"/>
          <w:shd w:val="clear" w:color="auto" w:fill="FFFFFF"/>
          <w:lang w:val="en-US" w:eastAsia="zh-CN"/>
        </w:rPr>
        <w:t>郑艳</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质疑联系方式：0574-55662943</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2.采购代理机构信息</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名    称：浙江凯翔工程咨询管理有限公司　</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地    址：宁波市鄞州区云龙镇云彩路487号218室 </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xml:space="preserve">传     真：/   </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项目联系人（询问）：王慧慧、史宇骁、周健、郑菊琴</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项目联系方式（询问）：0574-83033198 邮箱：kxzb02@126.com</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质疑联系人：陈斌武</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质疑联系方式：0574-83033198</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3.同级政府采购监督管理部门</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名    称：</w:t>
      </w:r>
      <w:r>
        <w:rPr>
          <w:rFonts w:hint="eastAsia" w:ascii="宋体" w:hAnsi="宋体" w:cs="宋体"/>
          <w:color w:val="auto"/>
          <w:sz w:val="21"/>
          <w:szCs w:val="21"/>
          <w:highlight w:val="none"/>
        </w:rPr>
        <w:t>宁波市鄞州区政府采购办</w:t>
      </w:r>
      <w:r>
        <w:rPr>
          <w:rFonts w:hint="eastAsia" w:ascii="宋体" w:hAnsi="宋体" w:cs="宋体"/>
          <w:color w:val="auto"/>
          <w:sz w:val="21"/>
          <w:szCs w:val="21"/>
          <w:highlight w:val="none"/>
          <w:shd w:val="clear" w:color="auto" w:fill="FFFFFF"/>
        </w:rPr>
        <w:t>　</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地    址：</w:t>
      </w:r>
      <w:r>
        <w:rPr>
          <w:rFonts w:hint="eastAsia" w:ascii="宋体" w:hAnsi="宋体" w:cs="宋体"/>
          <w:color w:val="auto"/>
          <w:sz w:val="21"/>
          <w:szCs w:val="21"/>
          <w:highlight w:val="none"/>
        </w:rPr>
        <w:t>宁波市鄞州区前河南路16号</w:t>
      </w:r>
      <w:r>
        <w:rPr>
          <w:rFonts w:hint="eastAsia" w:ascii="宋体" w:hAnsi="宋体" w:cs="宋体"/>
          <w:color w:val="auto"/>
          <w:sz w:val="21"/>
          <w:szCs w:val="21"/>
          <w:highlight w:val="none"/>
          <w:shd w:val="clear" w:color="auto" w:fill="FFFFFF"/>
        </w:rPr>
        <w:t> </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xml:space="preserve">传     真：/ 　  </w:t>
      </w:r>
    </w:p>
    <w:p>
      <w:pPr>
        <w:pStyle w:val="4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20" w:firstLineChars="200"/>
        <w:textAlignment w:val="auto"/>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联  系  人 ：</w:t>
      </w:r>
      <w:r>
        <w:rPr>
          <w:rFonts w:hint="eastAsia" w:ascii="宋体" w:hAnsi="宋体" w:cs="宋体"/>
          <w:color w:val="auto"/>
          <w:sz w:val="21"/>
          <w:szCs w:val="21"/>
          <w:highlight w:val="none"/>
        </w:rPr>
        <w:t>郑老师</w:t>
      </w:r>
      <w:r>
        <w:rPr>
          <w:rFonts w:hint="eastAsia" w:ascii="宋体" w:hAnsi="宋体" w:cs="宋体"/>
          <w:color w:val="auto"/>
          <w:sz w:val="21"/>
          <w:szCs w:val="21"/>
          <w:highlight w:val="none"/>
          <w:shd w:val="clear" w:color="auto" w:fill="FFFFFF"/>
        </w:rPr>
        <w:t>　</w:t>
      </w:r>
    </w:p>
    <w:p>
      <w:pPr>
        <w:pStyle w:val="4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60" w:lineRule="exact"/>
        <w:ind w:firstLine="420" w:firstLineChars="200"/>
        <w:textAlignment w:val="auto"/>
        <w:rPr>
          <w:rFonts w:hint="eastAsia" w:ascii="宋体" w:hAnsi="宋体" w:cs="宋体"/>
          <w:b/>
          <w:color w:val="000000"/>
          <w:szCs w:val="21"/>
        </w:rPr>
      </w:pPr>
      <w:r>
        <w:rPr>
          <w:rFonts w:hint="eastAsia" w:ascii="宋体" w:hAnsi="宋体" w:cs="宋体"/>
          <w:color w:val="auto"/>
          <w:sz w:val="21"/>
          <w:szCs w:val="21"/>
          <w:highlight w:val="none"/>
          <w:shd w:val="clear" w:color="auto" w:fill="FFFFFF"/>
        </w:rPr>
        <w:t>监督投诉电话：</w:t>
      </w:r>
      <w:r>
        <w:rPr>
          <w:rFonts w:hint="eastAsia" w:ascii="宋体" w:hAnsi="宋体" w:cs="宋体"/>
          <w:color w:val="auto"/>
          <w:sz w:val="21"/>
          <w:szCs w:val="21"/>
          <w:highlight w:val="none"/>
        </w:rPr>
        <w:t>0574-89295894</w:t>
      </w:r>
    </w:p>
    <w:p>
      <w:pPr>
        <w:pStyle w:val="3"/>
        <w:snapToGrid w:val="0"/>
        <w:spacing w:before="0" w:after="0" w:line="440" w:lineRule="exact"/>
        <w:rPr>
          <w:rFonts w:hint="eastAsia" w:ascii="宋体" w:hAnsi="宋体" w:cs="宋体"/>
          <w:color w:val="000000"/>
          <w:sz w:val="24"/>
          <w:szCs w:val="24"/>
        </w:rPr>
      </w:pPr>
      <w:bookmarkStart w:id="7" w:name="_Toc17629"/>
      <w:bookmarkStart w:id="8" w:name="_Toc11688"/>
      <w:bookmarkStart w:id="9" w:name="_Toc29498"/>
      <w:bookmarkStart w:id="10" w:name="_Toc2894"/>
      <w:r>
        <w:rPr>
          <w:rFonts w:hint="eastAsia" w:ascii="宋体" w:hAnsi="宋体" w:cs="宋体"/>
          <w:color w:val="000000"/>
          <w:sz w:val="24"/>
          <w:szCs w:val="24"/>
        </w:rPr>
        <w:br w:type="page"/>
      </w:r>
      <w:bookmarkStart w:id="11" w:name="_Toc12491"/>
      <w:r>
        <w:rPr>
          <w:rFonts w:hint="eastAsia" w:ascii="宋体" w:hAnsi="宋体" w:cs="宋体"/>
          <w:color w:val="000000"/>
          <w:sz w:val="24"/>
          <w:szCs w:val="24"/>
        </w:rPr>
        <w:t>第二章  投标资料表</w:t>
      </w:r>
      <w:bookmarkEnd w:id="7"/>
      <w:bookmarkEnd w:id="8"/>
      <w:bookmarkEnd w:id="9"/>
      <w:bookmarkEnd w:id="10"/>
      <w:bookmarkEnd w:id="11"/>
    </w:p>
    <w:p>
      <w:pPr>
        <w:pStyle w:val="4"/>
        <w:keepNext w:val="0"/>
        <w:keepLines w:val="0"/>
        <w:pageBreakBefore w:val="0"/>
        <w:widowControl w:val="0"/>
        <w:kinsoku/>
        <w:wordWrap/>
        <w:overflowPunct/>
        <w:topLinePunct w:val="0"/>
        <w:autoSpaceDE/>
        <w:autoSpaceDN/>
        <w:bidi w:val="0"/>
        <w:adjustRightInd/>
        <w:snapToGrid/>
        <w:ind w:firstLine="420"/>
        <w:textAlignment w:val="auto"/>
        <w:rPr>
          <w:rFonts w:hint="eastAsia"/>
        </w:rPr>
      </w:pPr>
    </w:p>
    <w:tbl>
      <w:tblPr>
        <w:tblStyle w:val="47"/>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2"/>
        <w:gridCol w:w="8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color w:val="auto"/>
                <w:szCs w:val="21"/>
                <w:highlight w:val="none"/>
                <w:lang w:eastAsia="zh-CN"/>
              </w:rPr>
              <w:t>宁波市鄞州区第二医院2022-2024年度安保服务采购项目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2</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Cs/>
                <w:color w:val="auto"/>
                <w:szCs w:val="21"/>
                <w:highlight w:val="none"/>
              </w:rPr>
            </w:pPr>
            <w:r>
              <w:rPr>
                <w:rFonts w:hint="eastAsia" w:ascii="宋体" w:hAnsi="宋体" w:cs="宋体"/>
                <w:b/>
                <w:color w:val="auto"/>
                <w:szCs w:val="21"/>
                <w:highlight w:val="none"/>
              </w:rPr>
              <w:t>1、报价方式：</w:t>
            </w:r>
            <w:r>
              <w:rPr>
                <w:rFonts w:hint="eastAsia" w:ascii="宋体" w:hAnsi="宋体" w:cs="宋体"/>
                <w:bCs/>
                <w:color w:val="auto"/>
                <w:szCs w:val="21"/>
                <w:highlight w:val="none"/>
              </w:rPr>
              <w:t>报</w:t>
            </w:r>
            <w:r>
              <w:rPr>
                <w:rFonts w:hint="eastAsia" w:ascii="宋体" w:hAnsi="宋体" w:cs="宋体"/>
                <w:bCs/>
                <w:color w:val="auto"/>
                <w:szCs w:val="21"/>
                <w:highlight w:val="none"/>
                <w:lang w:eastAsia="zh-CN"/>
              </w:rPr>
              <w:t>含税</w:t>
            </w:r>
            <w:r>
              <w:rPr>
                <w:rFonts w:hint="eastAsia" w:ascii="宋体" w:hAnsi="宋体" w:cs="宋体"/>
                <w:bCs/>
                <w:color w:val="auto"/>
                <w:szCs w:val="21"/>
                <w:highlight w:val="none"/>
                <w:lang w:val="en-US" w:eastAsia="zh-CN"/>
              </w:rPr>
              <w:t>单价及</w:t>
            </w:r>
            <w:r>
              <w:rPr>
                <w:rFonts w:hint="eastAsia" w:ascii="宋体" w:hAnsi="宋体" w:cs="宋体"/>
                <w:bCs/>
                <w:color w:val="auto"/>
                <w:szCs w:val="21"/>
                <w:highlight w:val="none"/>
              </w:rPr>
              <w:t>总价。</w:t>
            </w:r>
          </w:p>
          <w:p>
            <w:pPr>
              <w:keepNext w:val="0"/>
              <w:keepLines w:val="0"/>
              <w:pageBreakBefore w:val="0"/>
              <w:widowControl w:val="0"/>
              <w:kinsoku/>
              <w:wordWrap/>
              <w:topLinePunct w:val="0"/>
              <w:autoSpaceDE/>
              <w:autoSpaceDN/>
              <w:bidi w:val="0"/>
              <w:adjustRightInd w:val="0"/>
              <w:snapToGrid w:val="0"/>
              <w:spacing w:line="400" w:lineRule="exact"/>
              <w:ind w:left="-1"/>
              <w:textAlignment w:val="auto"/>
              <w:rPr>
                <w:rFonts w:hint="eastAsia" w:ascii="宋体" w:hAnsi="宋体" w:cs="宋体"/>
                <w:color w:val="auto"/>
                <w:szCs w:val="21"/>
                <w:highlight w:val="none"/>
              </w:rPr>
            </w:pPr>
            <w:r>
              <w:rPr>
                <w:rFonts w:hint="eastAsia" w:ascii="宋体" w:hAnsi="宋体" w:cs="宋体"/>
                <w:b/>
                <w:color w:val="auto"/>
                <w:szCs w:val="21"/>
                <w:highlight w:val="none"/>
              </w:rPr>
              <w:t>2、报价构成：</w:t>
            </w:r>
            <w:r>
              <w:rPr>
                <w:rFonts w:hint="eastAsia" w:ascii="宋体" w:hAnsi="宋体" w:cs="宋体"/>
                <w:bCs/>
                <w:color w:val="auto"/>
                <w:szCs w:val="21"/>
                <w:highlight w:val="none"/>
              </w:rPr>
              <w:t>本项目应以含税人民币报价，</w:t>
            </w:r>
            <w:r>
              <w:rPr>
                <w:rFonts w:hint="eastAsia" w:ascii="宋体" w:hAnsi="宋体" w:eastAsia="宋体" w:cs="宋体"/>
                <w:color w:val="auto"/>
                <w:szCs w:val="21"/>
                <w:highlight w:val="none"/>
                <w:lang w:val="en-US" w:eastAsia="zh-CN"/>
              </w:rPr>
              <w:t>投标总/单价为履行合同的最终价格，包括但不限于人员工资【包括人员基本工资、各类福利和补贴（如高温补贴、加班补贴等）、社保（五险）、各种保险】、服装费、护卫装备、通讯费、技术支持与培训费用、利润、管理费、税金、招标代理服务费、政策性文件规定及合同包含的所有风险、责任等各项应有的费用，即完成本项目服务涉及的全部费用。</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3、</w:t>
            </w:r>
            <w:r>
              <w:rPr>
                <w:rFonts w:hint="eastAsia" w:ascii="宋体" w:hAnsi="宋体" w:cs="宋体"/>
                <w:b/>
                <w:color w:val="auto"/>
                <w:szCs w:val="21"/>
                <w:highlight w:val="none"/>
                <w:lang w:eastAsia="zh-CN"/>
              </w:rPr>
              <w:t>预算金额</w:t>
            </w:r>
            <w:r>
              <w:rPr>
                <w:rFonts w:hint="eastAsia" w:ascii="宋体" w:hAnsi="宋体" w:cs="宋体"/>
                <w:b/>
                <w:color w:val="auto"/>
                <w:szCs w:val="21"/>
                <w:highlight w:val="none"/>
              </w:rPr>
              <w:t>：</w:t>
            </w:r>
            <w:r>
              <w:rPr>
                <w:rFonts w:hint="eastAsia" w:ascii="宋体" w:hAnsi="宋体" w:cs="宋体"/>
                <w:b/>
                <w:bCs/>
                <w:color w:val="auto"/>
                <w:szCs w:val="21"/>
                <w:highlight w:val="none"/>
              </w:rPr>
              <w:t>人民币</w:t>
            </w:r>
            <w:r>
              <w:rPr>
                <w:rFonts w:hint="eastAsia" w:ascii="宋体" w:hAnsi="宋体" w:eastAsia="宋体" w:cs="宋体"/>
                <w:b/>
                <w:bCs/>
                <w:color w:val="auto"/>
                <w:sz w:val="21"/>
                <w:szCs w:val="21"/>
                <w:highlight w:val="none"/>
                <w:shd w:val="clear" w:color="auto" w:fill="FFFFFF"/>
                <w:lang w:val="en-US" w:eastAsia="zh-CN"/>
              </w:rPr>
              <w:t>5200000.00元/年</w:t>
            </w:r>
            <w:r>
              <w:rPr>
                <w:rFonts w:hint="eastAsia" w:ascii="宋体" w:hAnsi="宋体" w:eastAsia="宋体" w:cs="宋体"/>
                <w:b/>
                <w:bCs/>
                <w:color w:val="auto"/>
                <w:szCs w:val="21"/>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hint="eastAsia" w:ascii="宋体" w:hAnsi="宋体" w:cs="宋体"/>
                <w:b/>
                <w:bCs/>
                <w:color w:val="auto"/>
                <w:szCs w:val="21"/>
                <w:highlight w:val="none"/>
              </w:rPr>
            </w:pPr>
            <w:r>
              <w:rPr>
                <w:rFonts w:hint="eastAsia" w:ascii="宋体" w:hAnsi="宋体" w:cs="宋体"/>
                <w:b/>
                <w:color w:val="auto"/>
                <w:szCs w:val="21"/>
                <w:highlight w:val="none"/>
              </w:rPr>
              <w:t>4、</w:t>
            </w:r>
            <w:r>
              <w:rPr>
                <w:rFonts w:hint="eastAsia" w:ascii="宋体" w:hAnsi="宋体" w:cs="宋体"/>
                <w:b/>
                <w:bCs/>
                <w:color w:val="auto"/>
                <w:szCs w:val="21"/>
                <w:highlight w:val="none"/>
                <w:lang w:eastAsia="zh-CN"/>
              </w:rPr>
              <w:t>最高</w:t>
            </w:r>
            <w:r>
              <w:rPr>
                <w:rFonts w:hint="eastAsia" w:ascii="宋体" w:hAnsi="宋体" w:cs="宋体"/>
                <w:b/>
                <w:bCs/>
                <w:color w:val="auto"/>
                <w:szCs w:val="21"/>
                <w:highlight w:val="none"/>
              </w:rPr>
              <w:t>限价：</w:t>
            </w:r>
            <w:r>
              <w:rPr>
                <w:rFonts w:hint="eastAsia" w:ascii="宋体" w:hAnsi="宋体" w:eastAsia="宋体" w:cs="宋体"/>
                <w:b/>
                <w:bCs/>
                <w:color w:val="auto"/>
                <w:szCs w:val="21"/>
                <w:highlight w:val="none"/>
                <w:lang w:val="en-US" w:eastAsia="zh-CN"/>
              </w:rPr>
              <w:t>日常安保服务人民币</w:t>
            </w:r>
            <w:r>
              <w:rPr>
                <w:rFonts w:hint="eastAsia" w:ascii="宋体" w:hAnsi="宋体" w:eastAsia="宋体" w:cs="宋体"/>
                <w:b/>
                <w:bCs/>
                <w:color w:val="auto"/>
                <w:w w:val="100"/>
                <w:sz w:val="21"/>
                <w:szCs w:val="21"/>
                <w:highlight w:val="none"/>
                <w:lang w:val="en-US" w:eastAsia="zh-CN"/>
              </w:rPr>
              <w:t>2900000.00元/年</w:t>
            </w:r>
            <w:r>
              <w:rPr>
                <w:rFonts w:hint="eastAsia" w:ascii="宋体" w:hAnsi="宋体" w:eastAsia="宋体" w:cs="宋体"/>
                <w:b/>
                <w:bCs/>
                <w:color w:val="auto"/>
                <w:w w:val="100"/>
                <w:sz w:val="21"/>
                <w:szCs w:val="21"/>
                <w:highlight w:val="none"/>
                <w:lang w:eastAsia="zh-CN"/>
              </w:rPr>
              <w:t>；</w:t>
            </w:r>
            <w:r>
              <w:rPr>
                <w:rFonts w:hint="eastAsia" w:ascii="宋体" w:hAnsi="宋体" w:eastAsia="宋体" w:cs="宋体"/>
                <w:b/>
                <w:bCs/>
                <w:color w:val="auto"/>
                <w:szCs w:val="21"/>
                <w:highlight w:val="none"/>
                <w:lang w:val="en-US" w:eastAsia="zh-CN"/>
              </w:rPr>
              <w:t>应急安保服务人民币110</w:t>
            </w:r>
            <w:r>
              <w:rPr>
                <w:rFonts w:hint="eastAsia" w:ascii="宋体" w:hAnsi="宋体" w:eastAsia="宋体" w:cs="宋体"/>
                <w:b/>
                <w:bCs/>
                <w:color w:val="auto"/>
                <w:w w:val="100"/>
                <w:sz w:val="21"/>
                <w:szCs w:val="21"/>
                <w:highlight w:val="none"/>
                <w:lang w:val="en-US" w:eastAsia="zh-CN"/>
              </w:rPr>
              <w:t>0000.00元/年，其中</w:t>
            </w:r>
            <w:r>
              <w:rPr>
                <w:rFonts w:hint="eastAsia" w:ascii="宋体" w:hAnsi="宋体" w:eastAsia="宋体" w:cs="宋体"/>
                <w:b/>
                <w:bCs/>
                <w:color w:val="auto"/>
                <w:szCs w:val="21"/>
                <w:highlight w:val="none"/>
                <w:lang w:val="en-US" w:eastAsia="zh-CN"/>
              </w:rPr>
              <w:t>单价限价：</w:t>
            </w:r>
            <w:r>
              <w:rPr>
                <w:rFonts w:hint="eastAsia" w:ascii="宋体" w:hAnsi="宋体" w:eastAsia="宋体" w:cs="宋体"/>
                <w:b/>
                <w:bCs/>
                <w:color w:val="auto"/>
                <w:w w:val="100"/>
                <w:sz w:val="21"/>
                <w:szCs w:val="21"/>
                <w:highlight w:val="none"/>
                <w:lang w:val="en-US" w:eastAsia="zh-CN"/>
              </w:rPr>
              <w:t>春节时段按工作12小时/天，劳务费最高限价400元/人，非春节时段按工作12小时/天，劳务费最高限价250元</w:t>
            </w:r>
            <w:r>
              <w:rPr>
                <w:rFonts w:hint="eastAsia" w:ascii="宋体" w:hAnsi="宋体" w:eastAsia="宋体" w:cs="宋体"/>
                <w:b/>
                <w:bCs/>
                <w:color w:val="auto"/>
                <w:w w:val="100"/>
                <w:sz w:val="21"/>
                <w:szCs w:val="21"/>
                <w:highlight w:val="none"/>
                <w:lang w:val="en-US" w:eastAsia="zh-CN"/>
              </w:rPr>
              <w:t>/人</w:t>
            </w:r>
            <w:r>
              <w:rPr>
                <w:rFonts w:hint="eastAsia" w:ascii="宋体" w:hAnsi="宋体" w:eastAsia="宋体" w:cs="宋体"/>
                <w:b/>
                <w:bCs/>
                <w:color w:val="auto"/>
                <w:w w:val="100"/>
                <w:sz w:val="21"/>
                <w:szCs w:val="21"/>
                <w:highlight w:val="none"/>
                <w:lang w:val="en-US" w:eastAsia="zh-CN"/>
              </w:rPr>
              <w:t>；</w:t>
            </w:r>
            <w:r>
              <w:rPr>
                <w:rFonts w:hint="eastAsia" w:ascii="宋体" w:hAnsi="宋体" w:eastAsia="宋体" w:cs="宋体"/>
                <w:b/>
                <w:bCs w:val="0"/>
                <w:color w:val="auto"/>
                <w:szCs w:val="21"/>
                <w:highlight w:val="none"/>
                <w:lang w:eastAsia="zh-CN"/>
              </w:rPr>
              <w:t>投标报价超过最高总价限价或单价限价的作无效标处理。</w:t>
            </w:r>
          </w:p>
          <w:p>
            <w:pPr>
              <w:keepNext w:val="0"/>
              <w:keepLines w:val="0"/>
              <w:pageBreakBefore w:val="0"/>
              <w:widowControl w:val="0"/>
              <w:kinsoku/>
              <w:wordWrap/>
              <w:topLinePunct w:val="0"/>
              <w:autoSpaceDE/>
              <w:autoSpaceDN/>
              <w:bidi w:val="0"/>
              <w:adjustRightInd w:val="0"/>
              <w:snapToGrid w:val="0"/>
              <w:spacing w:line="400" w:lineRule="exact"/>
              <w:ind w:left="277" w:hanging="304" w:hangingChars="145"/>
              <w:textAlignment w:val="auto"/>
              <w:rPr>
                <w:rFonts w:hint="eastAsia" w:ascii="宋体" w:hAnsi="宋体" w:eastAsia="宋体" w:cs="宋体"/>
                <w:b/>
                <w:color w:val="auto"/>
                <w:w w:val="100"/>
                <w:sz w:val="21"/>
                <w:szCs w:val="21"/>
                <w:highlight w:val="none"/>
              </w:rPr>
            </w:pPr>
            <w:r>
              <w:rPr>
                <w:rFonts w:hint="eastAsia" w:ascii="宋体" w:hAnsi="宋体" w:eastAsia="宋体" w:cs="宋体"/>
                <w:color w:val="auto"/>
                <w:w w:val="100"/>
                <w:sz w:val="21"/>
                <w:szCs w:val="21"/>
                <w:highlight w:val="none"/>
                <w:lang w:val="en-US" w:eastAsia="zh-CN"/>
              </w:rPr>
              <w:t>5</w:t>
            </w:r>
            <w:r>
              <w:rPr>
                <w:rFonts w:hint="eastAsia" w:ascii="宋体" w:hAnsi="宋体" w:eastAsia="宋体" w:cs="宋体"/>
                <w:color w:val="auto"/>
                <w:w w:val="100"/>
                <w:sz w:val="21"/>
                <w:szCs w:val="21"/>
                <w:highlight w:val="none"/>
              </w:rPr>
              <w:t>、合同期内，中标人承诺的</w:t>
            </w:r>
            <w:r>
              <w:rPr>
                <w:rFonts w:hint="eastAsia" w:ascii="宋体" w:hAnsi="宋体" w:eastAsia="宋体" w:cs="宋体"/>
                <w:color w:val="auto"/>
                <w:w w:val="100"/>
                <w:sz w:val="21"/>
                <w:szCs w:val="21"/>
                <w:highlight w:val="none"/>
                <w:lang w:eastAsia="zh-CN"/>
              </w:rPr>
              <w:t>中标</w:t>
            </w:r>
            <w:r>
              <w:rPr>
                <w:rFonts w:hint="eastAsia" w:ascii="宋体" w:hAnsi="宋体" w:eastAsia="宋体" w:cs="宋体"/>
                <w:color w:val="auto"/>
                <w:szCs w:val="21"/>
                <w:highlight w:val="none"/>
                <w:lang w:val="en-US" w:eastAsia="zh-CN"/>
              </w:rPr>
              <w:t>总/单</w:t>
            </w:r>
            <w:r>
              <w:rPr>
                <w:rFonts w:hint="eastAsia" w:ascii="宋体" w:hAnsi="宋体" w:eastAsia="宋体" w:cs="宋体"/>
                <w:color w:val="auto"/>
                <w:w w:val="100"/>
                <w:sz w:val="21"/>
                <w:szCs w:val="21"/>
                <w:highlight w:val="none"/>
                <w:lang w:eastAsia="zh-CN"/>
              </w:rPr>
              <w:t>价</w:t>
            </w:r>
            <w:r>
              <w:rPr>
                <w:rFonts w:hint="eastAsia" w:ascii="宋体" w:hAnsi="宋体" w:eastAsia="宋体" w:cs="宋体"/>
                <w:color w:val="auto"/>
                <w:w w:val="100"/>
                <w:sz w:val="21"/>
                <w:szCs w:val="21"/>
                <w:highlight w:val="none"/>
              </w:rPr>
              <w:t>不因市场因素和政策因素变动而调整。</w:t>
            </w:r>
          </w:p>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eastAsia="宋体" w:cs="宋体"/>
                <w:b/>
                <w:bCs/>
                <w:color w:val="auto"/>
                <w:w w:val="100"/>
                <w:sz w:val="21"/>
                <w:szCs w:val="21"/>
              </w:rPr>
            </w:pPr>
            <w:r>
              <w:rPr>
                <w:rFonts w:hint="eastAsia" w:ascii="宋体" w:hAnsi="宋体" w:eastAsia="宋体" w:cs="宋体"/>
                <w:b/>
                <w:bCs/>
                <w:color w:val="auto"/>
                <w:w w:val="100"/>
                <w:sz w:val="21"/>
                <w:szCs w:val="21"/>
                <w:highlight w:val="none"/>
                <w:lang w:val="en-US" w:eastAsia="zh-CN"/>
              </w:rPr>
              <w:t>6</w:t>
            </w:r>
            <w:r>
              <w:rPr>
                <w:rFonts w:hint="eastAsia" w:ascii="宋体" w:hAnsi="宋体" w:eastAsia="宋体" w:cs="宋体"/>
                <w:b/>
                <w:bCs/>
                <w:color w:val="auto"/>
                <w:w w:val="100"/>
                <w:sz w:val="21"/>
                <w:szCs w:val="21"/>
                <w:highlight w:val="none"/>
              </w:rPr>
              <w:t>、人员基本工资不得低于宁波市人力资源</w:t>
            </w:r>
            <w:r>
              <w:rPr>
                <w:rFonts w:hint="eastAsia" w:ascii="宋体" w:hAnsi="宋体" w:eastAsia="宋体" w:cs="宋体"/>
                <w:b/>
                <w:bCs/>
                <w:color w:val="auto"/>
                <w:w w:val="100"/>
                <w:sz w:val="21"/>
                <w:szCs w:val="21"/>
              </w:rPr>
              <w:t>和社会保障局最新发布的宁波市最低劳动工资标准。</w:t>
            </w:r>
          </w:p>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eastAsia="宋体" w:cs="宋体"/>
                <w:color w:val="auto"/>
                <w:w w:val="100"/>
                <w:sz w:val="21"/>
                <w:szCs w:val="21"/>
                <w:lang w:val="en-US" w:eastAsia="zh-CN"/>
              </w:rPr>
              <w:t>7</w:t>
            </w:r>
            <w:r>
              <w:rPr>
                <w:rFonts w:hint="eastAsia" w:ascii="宋体" w:hAnsi="宋体" w:eastAsia="宋体" w:cs="宋体"/>
                <w:color w:val="auto"/>
                <w:w w:val="100"/>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投标保证金：</w:t>
            </w:r>
            <w:r>
              <w:rPr>
                <w:rFonts w:hint="eastAsia" w:ascii="宋体" w:hAnsi="宋体" w:cs="宋体"/>
                <w:bCs/>
                <w:color w:val="auto"/>
                <w:szCs w:val="21"/>
                <w:highlight w:val="none"/>
              </w:rPr>
              <w:t>本项目不需要缴纳投标保证金。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
                <w:bCs/>
                <w:color w:val="auto"/>
                <w:szCs w:val="21"/>
                <w:highlight w:val="none"/>
              </w:rPr>
              <w:t>投标文件份数：</w:t>
            </w:r>
            <w:r>
              <w:rPr>
                <w:rFonts w:hint="eastAsia" w:ascii="宋体" w:hAnsi="宋体" w:cs="宋体"/>
                <w:color w:val="auto"/>
                <w:szCs w:val="21"/>
                <w:highlight w:val="none"/>
              </w:rPr>
              <w:t>本项目实行网上投标，投标人应准备以下投标文件：</w:t>
            </w:r>
          </w:p>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1、上传到政府采购云平台的电子投标文件（含资格文件、商务技术文件、报价文件）1份。</w:t>
            </w:r>
          </w:p>
          <w:p>
            <w:pPr>
              <w:keepNext w:val="0"/>
              <w:keepLines w:val="0"/>
              <w:pageBreakBefore w:val="0"/>
              <w:widowControl w:val="0"/>
              <w:kinsoku/>
              <w:wordWrap/>
              <w:topLinePunct w:val="0"/>
              <w:autoSpaceDE/>
              <w:autoSpaceDN/>
              <w:bidi w:val="0"/>
              <w:adjustRightInd w:val="0"/>
              <w:snapToGrid w:val="0"/>
              <w:spacing w:line="400" w:lineRule="exact"/>
              <w:ind w:left="304" w:hanging="304" w:hangingChars="145"/>
              <w:textAlignment w:val="auto"/>
              <w:rPr>
                <w:rFonts w:hint="eastAsia" w:ascii="宋体" w:hAnsi="宋体" w:cs="宋体"/>
                <w:color w:val="auto"/>
                <w:szCs w:val="21"/>
                <w:highlight w:val="none"/>
              </w:rPr>
            </w:pPr>
            <w:r>
              <w:rPr>
                <w:rFonts w:hint="eastAsia" w:ascii="宋体" w:hAnsi="宋体" w:cs="宋体"/>
                <w:color w:val="auto"/>
                <w:szCs w:val="21"/>
                <w:highlight w:val="none"/>
              </w:rPr>
              <w:t>2、以U盘形式存储的电子备份投标文件（含资格文件、商务技术文件、报价文件）1份。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投标截止时间和地点：</w:t>
            </w:r>
            <w:r>
              <w:rPr>
                <w:rFonts w:hint="eastAsia" w:ascii="宋体" w:hAnsi="宋体" w:cs="宋体"/>
                <w:bCs/>
                <w:color w:val="auto"/>
                <w:szCs w:val="21"/>
                <w:highlight w:val="none"/>
              </w:rPr>
              <w:t>详见第一章  采购公告</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投标截止时间和地点</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开标时间和地点：</w:t>
            </w:r>
            <w:r>
              <w:rPr>
                <w:rFonts w:hint="eastAsia" w:ascii="宋体" w:hAnsi="宋体" w:cs="宋体"/>
                <w:bCs/>
                <w:color w:val="auto"/>
                <w:szCs w:val="21"/>
                <w:highlight w:val="none"/>
              </w:rPr>
              <w:t>详见第一章  采购公告</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开标时间和地点</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
                <w:color w:val="auto"/>
                <w:szCs w:val="21"/>
                <w:highlight w:val="none"/>
              </w:rPr>
              <w:t>评标办法及评分标准：</w:t>
            </w:r>
            <w:r>
              <w:rPr>
                <w:rFonts w:hint="eastAsia" w:ascii="宋体" w:hAnsi="宋体" w:cs="宋体"/>
                <w:color w:val="auto"/>
                <w:szCs w:val="21"/>
                <w:highlight w:val="none"/>
              </w:rPr>
              <w:t>详见招标文件第五章</w:t>
            </w:r>
            <w:r>
              <w:rPr>
                <w:rFonts w:hint="eastAsia" w:ascii="宋体" w:hAnsi="宋体" w:cs="宋体"/>
                <w:color w:val="auto"/>
                <w:szCs w:val="21"/>
                <w:highlight w:val="none"/>
                <w:lang w:eastAsia="zh-CN"/>
              </w:rPr>
              <w:t>“</w:t>
            </w:r>
            <w:r>
              <w:rPr>
                <w:rFonts w:hint="eastAsia" w:ascii="宋体" w:hAnsi="宋体" w:cs="宋体"/>
                <w:color w:val="auto"/>
                <w:kern w:val="44"/>
                <w:szCs w:val="21"/>
                <w:highlight w:val="none"/>
              </w:rPr>
              <w:t>评标办法及评分标准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
                <w:color w:val="auto"/>
                <w:szCs w:val="21"/>
                <w:highlight w:val="none"/>
              </w:rPr>
              <w:t>评标结果公告：</w:t>
            </w:r>
            <w:r>
              <w:rPr>
                <w:rFonts w:hint="eastAsia" w:ascii="宋体" w:hAnsi="宋体" w:cs="宋体"/>
                <w:color w:val="auto"/>
                <w:szCs w:val="21"/>
                <w:highlight w:val="none"/>
              </w:rPr>
              <w:t>评标结束后，评标结果公示于浙江政府采购网、宁波政府采购站点、</w:t>
            </w:r>
            <w:r>
              <w:rPr>
                <w:rFonts w:hint="eastAsia" w:ascii="宋体" w:hAnsi="宋体" w:cs="宋体"/>
                <w:color w:val="auto"/>
                <w:szCs w:val="21"/>
                <w:highlight w:val="none"/>
                <w:lang w:eastAsia="zh-CN"/>
              </w:rPr>
              <w:t>宁波市公共资源交易网（鄞州区分网）</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9</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
                <w:color w:val="auto"/>
                <w:szCs w:val="21"/>
                <w:highlight w:val="none"/>
              </w:rPr>
              <w:t>签订合同时间：</w:t>
            </w:r>
            <w:r>
              <w:rPr>
                <w:rFonts w:hint="eastAsia" w:ascii="宋体" w:hAnsi="宋体" w:cs="宋体"/>
                <w:color w:val="auto"/>
                <w:szCs w:val="21"/>
                <w:highlight w:val="none"/>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
                <w:color w:val="auto"/>
                <w:szCs w:val="21"/>
                <w:highlight w:val="none"/>
              </w:rPr>
              <w:t>投标文件有效期：</w:t>
            </w:r>
            <w:r>
              <w:rPr>
                <w:rFonts w:hint="eastAsia" w:ascii="宋体" w:hAnsi="宋体" w:cs="宋体"/>
                <w:color w:val="auto"/>
                <w:szCs w:val="21"/>
                <w:highlight w:val="none"/>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11</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中标候选人及中标人数量：</w:t>
            </w:r>
            <w:r>
              <w:rPr>
                <w:rFonts w:hint="eastAsia" w:ascii="宋体" w:hAnsi="宋体" w:cs="宋体"/>
                <w:bCs/>
                <w:color w:val="auto"/>
                <w:szCs w:val="21"/>
                <w:highlight w:val="none"/>
              </w:rPr>
              <w:t>由评标委员会推荐</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名中标候选人，由采购人确定1名中标人。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12</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val="0"/>
                <w:bCs/>
                <w:color w:val="auto"/>
                <w:szCs w:val="21"/>
                <w:highlight w:val="none"/>
              </w:rPr>
            </w:pPr>
            <w:r>
              <w:rPr>
                <w:rFonts w:hint="eastAsia" w:ascii="宋体" w:hAnsi="宋体" w:cs="宋体"/>
                <w:b/>
                <w:color w:val="auto"/>
                <w:szCs w:val="21"/>
                <w:highlight w:val="none"/>
              </w:rPr>
              <w:t>履约保证金金额（人民币）：</w:t>
            </w:r>
            <w:r>
              <w:rPr>
                <w:rFonts w:hint="eastAsia" w:ascii="宋体" w:hAnsi="宋体" w:cs="宋体"/>
                <w:b w:val="0"/>
                <w:bCs/>
                <w:color w:val="auto"/>
                <w:szCs w:val="21"/>
                <w:highlight w:val="none"/>
                <w:lang w:eastAsia="zh-CN"/>
              </w:rPr>
              <w:t>人民币贰拾万元</w:t>
            </w:r>
            <w:r>
              <w:rPr>
                <w:rFonts w:hint="eastAsia" w:ascii="宋体" w:hAnsi="宋体" w:cs="宋体"/>
                <w:b w:val="0"/>
                <w:bCs/>
                <w:color w:val="auto"/>
                <w:szCs w:val="21"/>
                <w:highlight w:val="none"/>
              </w:rPr>
              <w:t>；</w:t>
            </w:r>
          </w:p>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Cs/>
                <w:color w:val="auto"/>
                <w:szCs w:val="21"/>
                <w:highlight w:val="none"/>
              </w:rPr>
            </w:pPr>
            <w:r>
              <w:rPr>
                <w:rFonts w:hint="eastAsia" w:ascii="宋体" w:hAnsi="宋体" w:cs="宋体"/>
                <w:b/>
                <w:color w:val="auto"/>
                <w:szCs w:val="21"/>
                <w:highlight w:val="none"/>
              </w:rPr>
              <w:t>履约保证金形式：</w:t>
            </w:r>
            <w:r>
              <w:rPr>
                <w:rFonts w:hint="eastAsia" w:ascii="宋体" w:hAnsi="宋体" w:cs="宋体"/>
                <w:bCs/>
                <w:color w:val="auto"/>
                <w:szCs w:val="21"/>
                <w:highlight w:val="none"/>
              </w:rPr>
              <w:t>支票、汇票、本票或者金融机构、担保机构出具的保函等非现金形式提交；</w:t>
            </w:r>
          </w:p>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提交时间：</w:t>
            </w:r>
            <w:r>
              <w:rPr>
                <w:rFonts w:hint="eastAsia" w:ascii="宋体" w:hAnsi="宋体" w:eastAsia="宋体" w:cs="宋体"/>
                <w:b w:val="0"/>
                <w:bCs/>
                <w:color w:val="auto"/>
                <w:w w:val="100"/>
                <w:sz w:val="21"/>
                <w:szCs w:val="21"/>
                <w:highlight w:val="none"/>
              </w:rPr>
              <w:t>合同签订后</w:t>
            </w:r>
            <w:r>
              <w:rPr>
                <w:rFonts w:hint="eastAsia" w:ascii="宋体" w:hAnsi="宋体" w:cs="宋体"/>
                <w:b w:val="0"/>
                <w:bCs/>
                <w:color w:val="auto"/>
                <w:w w:val="100"/>
                <w:sz w:val="21"/>
                <w:szCs w:val="21"/>
                <w:highlight w:val="none"/>
                <w:lang w:val="en-US" w:eastAsia="zh-CN"/>
              </w:rPr>
              <w:t>7</w:t>
            </w:r>
            <w:r>
              <w:rPr>
                <w:rFonts w:hint="eastAsia" w:ascii="宋体" w:hAnsi="宋体" w:eastAsia="宋体" w:cs="宋体"/>
                <w:b w:val="0"/>
                <w:bCs/>
                <w:color w:val="auto"/>
                <w:w w:val="100"/>
                <w:sz w:val="21"/>
                <w:szCs w:val="21"/>
                <w:highlight w:val="none"/>
                <w:lang w:val="en-US" w:eastAsia="zh-CN"/>
              </w:rPr>
              <w:t>个工作日内</w:t>
            </w:r>
            <w:r>
              <w:rPr>
                <w:rFonts w:hint="eastAsia" w:ascii="宋体" w:hAnsi="宋体" w:eastAsia="宋体" w:cs="宋体"/>
                <w:b w:val="0"/>
                <w:bCs/>
                <w:color w:val="auto"/>
                <w:w w:val="100"/>
                <w:sz w:val="21"/>
                <w:szCs w:val="21"/>
                <w:highlight w:val="none"/>
              </w:rPr>
              <w:t>；</w:t>
            </w:r>
          </w:p>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履约保证金的退还：</w:t>
            </w:r>
            <w:r>
              <w:rPr>
                <w:rFonts w:hint="eastAsia" w:ascii="宋体" w:hAnsi="宋体" w:cs="宋体"/>
                <w:bCs/>
                <w:color w:val="auto"/>
                <w:szCs w:val="21"/>
                <w:highlight w:val="none"/>
              </w:rPr>
              <w:t>合同</w:t>
            </w:r>
            <w:r>
              <w:rPr>
                <w:rFonts w:hint="eastAsia" w:ascii="宋体" w:hAnsi="宋体" w:cs="宋体"/>
                <w:bCs/>
                <w:color w:val="auto"/>
                <w:szCs w:val="21"/>
                <w:highlight w:val="none"/>
                <w:lang w:eastAsia="zh-CN"/>
              </w:rPr>
              <w:t>全部履约完毕后不计息退还</w:t>
            </w:r>
            <w:r>
              <w:rPr>
                <w:rFonts w:hint="eastAsia" w:ascii="宋体" w:hAnsi="宋体" w:cs="宋体"/>
                <w:bCs/>
                <w:color w:val="auto"/>
                <w:szCs w:val="21"/>
                <w:highlight w:val="none"/>
              </w:rPr>
              <w:t>，但如中标人未履行或未完全履行合同规定的任何义务，给采购人造成损失的，采购人有权在其提交的履约保证金中获得相应赔偿，不足部分采购人有权继续向中标人追偿。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13</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b/>
                <w:color w:val="auto"/>
                <w:szCs w:val="21"/>
                <w:highlight w:val="none"/>
              </w:rPr>
              <w:t>采购资金来源：</w:t>
            </w:r>
            <w:r>
              <w:rPr>
                <w:rFonts w:hint="eastAsia" w:ascii="宋体" w:hAnsi="宋体" w:cs="宋体"/>
                <w:color w:val="auto"/>
                <w:szCs w:val="21"/>
                <w:highlight w:val="none"/>
              </w:rPr>
              <w:t>预算资金，已落实。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14</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rFonts w:hint="eastAsia" w:ascii="宋体" w:hAnsi="宋体" w:eastAsia="宋体" w:cs="宋体"/>
                <w:b/>
                <w:color w:val="auto"/>
                <w:szCs w:val="21"/>
                <w:highlight w:val="none"/>
              </w:rPr>
              <w:t>付款方法：</w:t>
            </w:r>
            <w:r>
              <w:rPr>
                <w:rFonts w:hint="eastAsia" w:ascii="宋体" w:hAnsi="宋体" w:eastAsia="宋体" w:cs="宋体"/>
                <w:bCs/>
                <w:color w:val="auto"/>
                <w:w w:val="100"/>
                <w:sz w:val="21"/>
                <w:szCs w:val="21"/>
                <w:highlight w:val="none"/>
              </w:rPr>
              <w:t>服务经费按月结算并核拨一次；在每月25日前，中标人根据双方确认的考核结果以及符合采购人财务规定的正规发票，到采购人财务部门办理结算，采购人在下月20日前支付上月费用。由考核成绩所引起的经济处罚在所拨付的服务款项中直接予以扣除</w:t>
            </w:r>
            <w:r>
              <w:rPr>
                <w:rFonts w:hint="eastAsia" w:ascii="宋体" w:hAnsi="宋体" w:eastAsia="宋体" w:cs="宋体"/>
                <w:bCs/>
                <w:color w:val="auto"/>
                <w:w w:val="100"/>
                <w:sz w:val="21"/>
                <w:szCs w:val="21"/>
                <w:highlight w:val="none"/>
                <w:lang w:eastAsia="zh-CN"/>
              </w:rPr>
              <w:t>，具体详见“第四章</w:t>
            </w:r>
            <w:r>
              <w:rPr>
                <w:rFonts w:hint="eastAsia" w:ascii="宋体" w:hAnsi="宋体" w:eastAsia="宋体" w:cs="宋体"/>
                <w:bCs/>
                <w:color w:val="auto"/>
                <w:w w:val="100"/>
                <w:sz w:val="21"/>
                <w:szCs w:val="21"/>
                <w:highlight w:val="none"/>
                <w:lang w:val="en-US" w:eastAsia="zh-CN"/>
              </w:rPr>
              <w:t xml:space="preserve"> 招标需求</w:t>
            </w:r>
            <w:r>
              <w:rPr>
                <w:rFonts w:hint="eastAsia" w:ascii="宋体" w:hAnsi="宋体" w:eastAsia="宋体" w:cs="宋体"/>
                <w:bCs/>
                <w:color w:val="auto"/>
                <w:w w:val="1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Cs/>
                <w:color w:val="auto"/>
                <w:szCs w:val="21"/>
                <w:highlight w:val="none"/>
              </w:rPr>
              <w:t>15</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lang w:eastAsia="zh-CN"/>
              </w:rPr>
              <w:t>合同履约期限</w:t>
            </w:r>
            <w:r>
              <w:rPr>
                <w:rFonts w:hint="eastAsia" w:ascii="宋体" w:hAnsi="宋体" w:cs="宋体"/>
                <w:b/>
                <w:color w:val="auto"/>
                <w:szCs w:val="21"/>
                <w:highlight w:val="none"/>
              </w:rPr>
              <w:t>：</w:t>
            </w:r>
            <w:r>
              <w:rPr>
                <w:rFonts w:hint="eastAsia" w:ascii="宋体" w:hAnsi="宋体" w:eastAsia="宋体" w:cs="宋体"/>
                <w:color w:val="auto"/>
                <w:w w:val="100"/>
                <w:sz w:val="21"/>
                <w:szCs w:val="21"/>
                <w:highlight w:val="none"/>
                <w:lang w:eastAsia="zh-CN"/>
              </w:rPr>
              <w:t>三年，合同一年一签，采购人根据中标人上一年度的合同履约、考核及财政资金审批情况决定是否续签。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16</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宋体" w:hAnsi="宋体" w:eastAsia="宋体" w:cs="宋体"/>
                <w:b/>
                <w:color w:val="auto"/>
                <w:w w:val="100"/>
                <w:sz w:val="21"/>
                <w:szCs w:val="21"/>
                <w:highlight w:val="none"/>
              </w:rPr>
            </w:pPr>
            <w:r>
              <w:rPr>
                <w:rFonts w:hint="eastAsia" w:ascii="宋体" w:hAnsi="宋体" w:eastAsia="宋体" w:cs="宋体"/>
                <w:b/>
                <w:color w:val="auto"/>
                <w:w w:val="100"/>
                <w:sz w:val="21"/>
                <w:szCs w:val="21"/>
                <w:highlight w:val="none"/>
              </w:rPr>
              <w:t>服务有关要求：</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宋体" w:hAnsi="宋体" w:eastAsia="宋体" w:cs="宋体"/>
                <w:b w:val="0"/>
                <w:bCs/>
                <w:color w:val="auto"/>
                <w:w w:val="100"/>
                <w:sz w:val="21"/>
                <w:szCs w:val="21"/>
                <w:highlight w:val="none"/>
              </w:rPr>
            </w:pPr>
            <w:r>
              <w:rPr>
                <w:rFonts w:hint="eastAsia" w:ascii="宋体" w:hAnsi="宋体" w:eastAsia="宋体" w:cs="宋体"/>
                <w:b w:val="0"/>
                <w:bCs/>
                <w:color w:val="auto"/>
                <w:w w:val="100"/>
                <w:sz w:val="21"/>
                <w:szCs w:val="21"/>
                <w:highlight w:val="none"/>
                <w:lang w:val="en-US" w:eastAsia="zh-CN"/>
              </w:rPr>
              <w:t>1</w:t>
            </w:r>
            <w:r>
              <w:rPr>
                <w:rFonts w:hint="eastAsia" w:ascii="宋体" w:hAnsi="宋体" w:eastAsia="宋体" w:cs="宋体"/>
                <w:b w:val="0"/>
                <w:bCs/>
                <w:color w:val="auto"/>
                <w:w w:val="100"/>
                <w:sz w:val="21"/>
                <w:szCs w:val="21"/>
                <w:highlight w:val="none"/>
                <w:lang w:eastAsia="zh-CN"/>
              </w:rPr>
              <w:t>、</w:t>
            </w:r>
            <w:r>
              <w:rPr>
                <w:rFonts w:hint="eastAsia" w:ascii="宋体" w:hAnsi="宋体" w:eastAsia="宋体" w:cs="宋体"/>
                <w:b w:val="0"/>
                <w:bCs/>
                <w:color w:val="auto"/>
                <w:w w:val="100"/>
                <w:sz w:val="21"/>
                <w:szCs w:val="21"/>
                <w:highlight w:val="none"/>
              </w:rPr>
              <w:t>服务地点/服务现场：</w:t>
            </w:r>
            <w:r>
              <w:rPr>
                <w:rFonts w:hint="eastAsia" w:ascii="宋体" w:hAnsi="宋体" w:eastAsia="宋体" w:cs="宋体"/>
                <w:b w:val="0"/>
                <w:bCs/>
                <w:color w:val="auto"/>
                <w:w w:val="100"/>
                <w:sz w:val="21"/>
                <w:szCs w:val="21"/>
                <w:highlight w:val="none"/>
                <w:lang w:eastAsia="zh-CN"/>
              </w:rPr>
              <w:t>采购人</w:t>
            </w:r>
            <w:r>
              <w:rPr>
                <w:rFonts w:hint="eastAsia" w:ascii="宋体" w:hAnsi="宋体" w:eastAsia="宋体" w:cs="宋体"/>
                <w:b w:val="0"/>
                <w:bCs/>
                <w:color w:val="auto"/>
                <w:w w:val="100"/>
                <w:sz w:val="21"/>
                <w:szCs w:val="21"/>
                <w:highlight w:val="none"/>
              </w:rPr>
              <w:t>指定或认可地点。</w:t>
            </w:r>
          </w:p>
          <w:p>
            <w:pPr>
              <w:keepNext w:val="0"/>
              <w:keepLines w:val="0"/>
              <w:pageBreakBefore w:val="0"/>
              <w:widowControl w:val="0"/>
              <w:kinsoku/>
              <w:wordWrap/>
              <w:topLinePunct w:val="0"/>
              <w:autoSpaceDE/>
              <w:autoSpaceDN/>
              <w:bidi w:val="0"/>
              <w:adjustRightInd w:val="0"/>
              <w:snapToGrid w:val="0"/>
              <w:spacing w:line="400" w:lineRule="exact"/>
              <w:jc w:val="left"/>
              <w:textAlignment w:val="auto"/>
              <w:rPr>
                <w:rFonts w:hint="eastAsia" w:ascii="宋体" w:hAnsi="宋体" w:cs="宋体"/>
                <w:color w:val="auto"/>
                <w:szCs w:val="21"/>
                <w:highlight w:val="none"/>
              </w:rPr>
            </w:pPr>
            <w:r>
              <w:rPr>
                <w:rFonts w:hint="eastAsia" w:ascii="宋体" w:hAnsi="宋体" w:eastAsia="宋体" w:cs="宋体"/>
                <w:b w:val="0"/>
                <w:bCs/>
                <w:color w:val="auto"/>
                <w:w w:val="100"/>
                <w:sz w:val="21"/>
                <w:szCs w:val="21"/>
                <w:highlight w:val="none"/>
                <w:lang w:val="en-US" w:eastAsia="zh-CN"/>
              </w:rPr>
              <w:t>2</w:t>
            </w:r>
            <w:r>
              <w:rPr>
                <w:rFonts w:hint="eastAsia" w:ascii="宋体" w:hAnsi="宋体" w:eastAsia="宋体" w:cs="宋体"/>
                <w:b w:val="0"/>
                <w:bCs/>
                <w:color w:val="auto"/>
                <w:w w:val="100"/>
                <w:sz w:val="21"/>
                <w:szCs w:val="21"/>
                <w:highlight w:val="none"/>
                <w:lang w:eastAsia="zh-CN"/>
              </w:rPr>
              <w:t>、</w:t>
            </w:r>
            <w:r>
              <w:rPr>
                <w:rFonts w:hint="eastAsia" w:ascii="宋体" w:hAnsi="宋体" w:eastAsia="宋体" w:cs="宋体"/>
                <w:b w:val="0"/>
                <w:bCs/>
                <w:color w:val="auto"/>
                <w:w w:val="100"/>
                <w:sz w:val="21"/>
                <w:szCs w:val="21"/>
                <w:highlight w:val="none"/>
              </w:rPr>
              <w:t>应提供的其他辅助服务/工作任务：详见招标需求部分。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left"/>
              <w:textAlignment w:val="auto"/>
              <w:rPr>
                <w:rFonts w:hint="eastAsia" w:ascii="宋体" w:hAnsi="宋体" w:eastAsia="宋体" w:cs="宋体"/>
                <w:b w:val="0"/>
                <w:bCs/>
                <w:color w:val="auto"/>
                <w:w w:val="100"/>
                <w:sz w:val="21"/>
                <w:szCs w:val="21"/>
                <w:highlight w:val="none"/>
                <w:lang w:eastAsia="zh-CN"/>
              </w:rPr>
            </w:pPr>
            <w:r>
              <w:rPr>
                <w:rFonts w:hint="eastAsia" w:ascii="宋体" w:hAnsi="宋体" w:cs="宋体"/>
                <w:b/>
                <w:bCs w:val="0"/>
                <w:color w:val="auto"/>
                <w:w w:val="100"/>
                <w:sz w:val="21"/>
                <w:szCs w:val="21"/>
                <w:highlight w:val="none"/>
                <w:lang w:eastAsia="zh-CN"/>
              </w:rPr>
              <w:t>现场踏勘：</w:t>
            </w:r>
            <w:r>
              <w:rPr>
                <w:rFonts w:hint="eastAsia" w:ascii="宋体" w:hAnsi="宋体" w:cs="宋体"/>
                <w:b w:val="0"/>
                <w:bCs/>
                <w:color w:val="auto"/>
                <w:w w:val="100"/>
                <w:sz w:val="21"/>
                <w:szCs w:val="21"/>
                <w:highlight w:val="none"/>
                <w:lang w:eastAsia="zh-CN"/>
              </w:rPr>
              <w:t>本项目不组织统一现场踏勘，供应商自行前往现场，相关风险及费用自行承担。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left"/>
              <w:textAlignment w:val="auto"/>
              <w:rPr>
                <w:rFonts w:hint="eastAsia" w:ascii="宋体" w:hAnsi="宋体" w:cs="宋体"/>
                <w:b/>
                <w:color w:val="auto"/>
                <w:szCs w:val="21"/>
                <w:highlight w:val="none"/>
              </w:rPr>
            </w:pPr>
            <w:r>
              <w:rPr>
                <w:rFonts w:hint="eastAsia"/>
                <w:b/>
                <w:color w:val="auto"/>
                <w:szCs w:val="21"/>
                <w:highlight w:val="none"/>
              </w:rPr>
              <w:t>采购标的所属行业：</w:t>
            </w:r>
            <w:r>
              <w:rPr>
                <w:rFonts w:hint="eastAsia" w:ascii="宋体" w:hAnsi="宋体" w:cs="宋体"/>
                <w:color w:val="auto"/>
                <w:szCs w:val="21"/>
                <w:highlight w:val="none"/>
              </w:rPr>
              <w:t>本项目采购标的所属行业为</w:t>
            </w:r>
            <w:r>
              <w:rPr>
                <w:rFonts w:hint="eastAsia" w:ascii="宋体" w:hAnsi="宋体" w:cs="宋体"/>
                <w:b/>
                <w:bCs/>
                <w:color w:val="auto"/>
                <w:sz w:val="21"/>
                <w:szCs w:val="21"/>
                <w:highlight w:val="none"/>
                <w:u w:val="single"/>
                <w:lang w:val="en-US" w:eastAsia="zh-CN"/>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b/>
                <w:color w:val="auto"/>
                <w:szCs w:val="21"/>
                <w:highlight w:val="none"/>
              </w:rPr>
              <w:t>招标代理服务费：</w:t>
            </w:r>
            <w:r>
              <w:rPr>
                <w:rFonts w:hint="eastAsia"/>
                <w:b w:val="0"/>
                <w:bCs/>
                <w:color w:val="auto"/>
                <w:szCs w:val="21"/>
                <w:highlight w:val="none"/>
              </w:rPr>
              <w:t>按照宁波市中介超市网就本项目中选价格人民币</w:t>
            </w:r>
            <w:r>
              <w:rPr>
                <w:rFonts w:hint="eastAsia" w:ascii="宋体" w:hAnsi="宋体" w:cs="宋体"/>
                <w:b w:val="0"/>
                <w:bCs/>
                <w:color w:val="auto"/>
                <w:sz w:val="21"/>
                <w:szCs w:val="21"/>
                <w:highlight w:val="none"/>
                <w:lang w:val="en-US" w:eastAsia="zh-CN"/>
              </w:rPr>
              <w:t>元整（即</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59600.00）</w:t>
            </w:r>
            <w:r>
              <w:rPr>
                <w:rFonts w:hint="eastAsia"/>
                <w:b w:val="0"/>
                <w:bCs/>
                <w:color w:val="auto"/>
                <w:szCs w:val="21"/>
                <w:highlight w:val="none"/>
              </w:rPr>
              <w:t>向中标人收</w:t>
            </w:r>
            <w:r>
              <w:rPr>
                <w:rFonts w:hint="eastAsia" w:ascii="Times New Roman" w:hAnsi="Times New Roman" w:eastAsia="宋体" w:cs="Times New Roman"/>
                <w:b w:val="0"/>
                <w:bCs/>
                <w:color w:val="auto"/>
                <w:szCs w:val="21"/>
                <w:highlight w:val="none"/>
              </w:rPr>
              <w:t>取招标代理服务费。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8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autoSpaceDE/>
              <w:autoSpaceDN/>
              <w:bidi w:val="0"/>
              <w:adjustRightInd w:val="0"/>
              <w:snapToGrid w:val="0"/>
              <w:spacing w:line="400" w:lineRule="exact"/>
              <w:textAlignment w:val="auto"/>
              <w:rPr>
                <w:rFonts w:hint="eastAsia" w:ascii="宋体" w:hAnsi="宋体" w:cs="宋体"/>
                <w:b/>
                <w:color w:val="auto"/>
                <w:szCs w:val="21"/>
                <w:highlight w:val="none"/>
              </w:rPr>
            </w:pPr>
            <w:r>
              <w:rPr>
                <w:rFonts w:hint="eastAsia" w:ascii="宋体" w:hAnsi="宋体" w:cs="宋体"/>
                <w:bCs/>
                <w:color w:val="auto"/>
                <w:szCs w:val="21"/>
                <w:highlight w:val="none"/>
              </w:rPr>
              <w:t>根据浙财采购监字</w:t>
            </w:r>
            <w:r>
              <w:rPr>
                <w:rFonts w:hint="eastAsia" w:ascii="宋体" w:hAnsi="宋体" w:cs="宋体"/>
                <w:color w:val="auto"/>
                <w:szCs w:val="21"/>
                <w:highlight w:val="none"/>
                <w:shd w:val="clear" w:color="auto" w:fill="FFFFFF"/>
              </w:rPr>
              <w:t>〔2009〕</w:t>
            </w:r>
            <w:r>
              <w:rPr>
                <w:rFonts w:hint="eastAsia" w:ascii="宋体" w:hAnsi="宋体" w:cs="宋体"/>
                <w:bCs/>
                <w:color w:val="auto"/>
                <w:szCs w:val="21"/>
                <w:highlight w:val="none"/>
              </w:rPr>
              <w:t>28号文《浙江省财政厅关于印发浙江省政府采购投标人注册及诚信管理暂行办法的通知》的要求，凡参加投标的投标人应于投标前到</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浙江政府采购网（zfcg.czt.zj.gov.cn）</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上进行投标人注册申请，并通过财政部门的终审后登记加入到</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浙江省政府采购投标人库</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。中标或成交投标人必须注册并登记加入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浙江省政府采购投标人库</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。具体要求及注册申请流程详见《浙江省政府采购投标人注册及诚信管理暂行办法》（浙财采监字</w:t>
            </w:r>
            <w:r>
              <w:rPr>
                <w:rFonts w:hint="eastAsia" w:ascii="宋体" w:hAnsi="宋体" w:cs="宋体"/>
                <w:color w:val="auto"/>
                <w:szCs w:val="21"/>
                <w:highlight w:val="none"/>
                <w:shd w:val="clear" w:color="auto" w:fill="FFFFFF"/>
              </w:rPr>
              <w:t>〔2009〕</w:t>
            </w:r>
            <w:r>
              <w:rPr>
                <w:rFonts w:hint="eastAsia" w:ascii="宋体" w:hAnsi="宋体" w:cs="宋体"/>
                <w:bCs/>
                <w:color w:val="auto"/>
                <w:szCs w:val="21"/>
                <w:highlight w:val="none"/>
              </w:rPr>
              <w:t>28号）和浙江政府采购网</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网上办事指南</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的</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投标人注册申请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tc>
      </w:tr>
    </w:tbl>
    <w:p>
      <w:pPr>
        <w:pStyle w:val="3"/>
        <w:snapToGrid w:val="0"/>
        <w:spacing w:before="0" w:after="0" w:line="440" w:lineRule="exact"/>
        <w:rPr>
          <w:rFonts w:hint="eastAsia" w:ascii="宋体" w:hAnsi="宋体" w:cs="宋体"/>
          <w:color w:val="000000"/>
          <w:sz w:val="24"/>
          <w:szCs w:val="24"/>
        </w:rPr>
      </w:pPr>
      <w:bookmarkStart w:id="12" w:name="_Toc31199"/>
      <w:bookmarkStart w:id="13" w:name="_Toc19575"/>
      <w:bookmarkStart w:id="14" w:name="_Toc6500"/>
      <w:bookmarkStart w:id="15" w:name="_Toc8408"/>
      <w:bookmarkStart w:id="16" w:name="_Toc15961"/>
      <w:r>
        <w:rPr>
          <w:rFonts w:hint="eastAsia" w:ascii="宋体" w:hAnsi="宋体" w:cs="宋体"/>
          <w:color w:val="000000"/>
          <w:sz w:val="24"/>
          <w:szCs w:val="24"/>
        </w:rPr>
        <w:t>第三章</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投标人须知</w:t>
      </w:r>
      <w:bookmarkEnd w:id="12"/>
      <w:bookmarkEnd w:id="13"/>
      <w:bookmarkEnd w:id="14"/>
      <w:bookmarkEnd w:id="15"/>
      <w:bookmarkEnd w:id="16"/>
    </w:p>
    <w:p>
      <w:pPr>
        <w:pStyle w:val="6"/>
        <w:snapToGrid w:val="0"/>
        <w:spacing w:before="0" w:after="0" w:line="440" w:lineRule="exact"/>
        <w:rPr>
          <w:rFonts w:hint="eastAsia" w:ascii="宋体" w:hAnsi="宋体" w:eastAsia="宋体" w:cs="宋体"/>
          <w:color w:val="000000"/>
          <w:sz w:val="21"/>
          <w:szCs w:val="21"/>
        </w:rPr>
      </w:pPr>
      <w:bookmarkStart w:id="17" w:name="_Toc10469"/>
      <w:bookmarkStart w:id="18" w:name="_Toc10473"/>
      <w:r>
        <w:rPr>
          <w:rFonts w:hint="eastAsia" w:ascii="宋体" w:hAnsi="宋体" w:eastAsia="宋体" w:cs="宋体"/>
          <w:color w:val="000000"/>
          <w:sz w:val="21"/>
          <w:szCs w:val="21"/>
        </w:rPr>
        <w:t>一、总则</w:t>
      </w:r>
      <w:bookmarkEnd w:id="17"/>
      <w:bookmarkEnd w:id="18"/>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19" w:name="_Toc4585"/>
      <w:bookmarkStart w:id="20" w:name="_Toc29096"/>
      <w:r>
        <w:rPr>
          <w:rFonts w:hint="eastAsia" w:ascii="宋体" w:hAnsi="宋体" w:cs="宋体"/>
          <w:color w:val="000000"/>
          <w:sz w:val="21"/>
          <w:szCs w:val="21"/>
        </w:rPr>
        <w:t>（一）适用范围</w:t>
      </w:r>
      <w:bookmarkEnd w:id="19"/>
      <w:bookmarkEnd w:id="20"/>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本招标文件适用于</w:t>
      </w:r>
      <w:r>
        <w:rPr>
          <w:rFonts w:hint="eastAsia" w:hAnsi="宋体" w:cs="宋体"/>
          <w:b/>
          <w:bCs/>
          <w:color w:val="000000"/>
          <w:sz w:val="21"/>
          <w:szCs w:val="21"/>
          <w:u w:val="single"/>
          <w:lang w:eastAsia="zh-CN"/>
        </w:rPr>
        <w:t>宁波市鄞州区第二医院2022-2024年度安保服务采购项目</w:t>
      </w:r>
      <w:r>
        <w:rPr>
          <w:rFonts w:hint="eastAsia" w:hAnsi="宋体" w:cs="宋体"/>
          <w:color w:val="000000"/>
          <w:sz w:val="21"/>
          <w:szCs w:val="21"/>
        </w:rPr>
        <w:t>的招标、投标、评标、定标、验收、合同履约、付款等行为（法律、法规另有规定的，从其规定）。</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21" w:name="_Toc463726785"/>
      <w:bookmarkStart w:id="22" w:name="_Toc990"/>
      <w:bookmarkStart w:id="23" w:name="_Toc15890"/>
      <w:r>
        <w:rPr>
          <w:rFonts w:hint="eastAsia" w:ascii="宋体" w:hAnsi="宋体" w:cs="宋体"/>
          <w:color w:val="000000"/>
          <w:sz w:val="21"/>
          <w:szCs w:val="21"/>
        </w:rPr>
        <w:t>（二）定义</w:t>
      </w:r>
      <w:bookmarkEnd w:id="21"/>
      <w:bookmarkEnd w:id="22"/>
      <w:bookmarkEnd w:id="23"/>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1．“采购单位”系指组织本次招标的“</w:t>
      </w:r>
      <w:r>
        <w:rPr>
          <w:rFonts w:hint="eastAsia" w:hAnsi="宋体" w:cs="宋体"/>
          <w:b/>
          <w:bCs/>
          <w:color w:val="000000"/>
          <w:sz w:val="21"/>
          <w:szCs w:val="21"/>
          <w:lang w:eastAsia="zh-CN"/>
        </w:rPr>
        <w:t>宁波市鄞州区第二医院</w:t>
      </w:r>
      <w:r>
        <w:rPr>
          <w:rFonts w:hint="eastAsia" w:hAnsi="宋体" w:cs="宋体"/>
          <w:color w:val="000000"/>
          <w:sz w:val="21"/>
          <w:szCs w:val="21"/>
        </w:rPr>
        <w:t>”。</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2．“采购代理机构”系指组织本次招标的“</w:t>
      </w:r>
      <w:r>
        <w:rPr>
          <w:rFonts w:hint="eastAsia" w:hAnsi="宋体" w:cs="宋体"/>
          <w:b/>
          <w:bCs/>
          <w:color w:val="000000"/>
          <w:sz w:val="21"/>
          <w:szCs w:val="21"/>
        </w:rPr>
        <w:t>浙江凯翔工程咨询管理有限公司</w:t>
      </w:r>
      <w:r>
        <w:rPr>
          <w:rFonts w:hint="eastAsia" w:hAnsi="宋体" w:cs="宋体"/>
          <w:color w:val="000000"/>
          <w:sz w:val="21"/>
          <w:szCs w:val="21"/>
        </w:rPr>
        <w:t>”。</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3．“投标人”系指向招标采购单位提交投标文件的投标单位。</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4．“货物/产品”系指供方按招标文件规定，须向采购人提供的一切设备、保险、税金、备品备件、工具、手册、台账记录及其它有关技术资料和材料。</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5．“服务”系指招标文件规定投标人须承担的服务以及其他类似的义务；投标人应提供合格的服务，合格的服务应是在国内可合法提供的、不受第三方限制的、免受追索的、符合国家法律、法规及规章规定的。</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6．“项目”系指投标人按招标文件规定向采购人提供的货物/产品和服务。</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7．“书面形式”包括信函、传真、电报等。</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8．“★”系指实质性要求条款，</w:t>
      </w:r>
      <w:r>
        <w:rPr>
          <w:rFonts w:hint="eastAsia" w:hAnsi="宋体" w:cs="宋体"/>
          <w:color w:val="000000"/>
          <w:sz w:val="21"/>
          <w:szCs w:val="21"/>
          <w:lang w:eastAsia="zh-CN"/>
        </w:rPr>
        <w:t>投标人</w:t>
      </w:r>
      <w:r>
        <w:rPr>
          <w:rFonts w:hint="eastAsia" w:hAnsi="宋体" w:cs="宋体"/>
          <w:color w:val="000000"/>
          <w:sz w:val="21"/>
          <w:szCs w:val="21"/>
        </w:rPr>
        <w:t>的投标对任何带“★”号的重要商务和技术条款的偏离和未作实质性响应都将直接导致无效标。</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24" w:name="_Toc17292"/>
      <w:bookmarkStart w:id="25" w:name="_Toc13997"/>
      <w:bookmarkStart w:id="26" w:name="_Toc463726786"/>
      <w:r>
        <w:rPr>
          <w:rFonts w:hint="eastAsia" w:ascii="宋体" w:hAnsi="宋体" w:cs="宋体"/>
          <w:color w:val="000000"/>
          <w:sz w:val="21"/>
          <w:szCs w:val="21"/>
        </w:rPr>
        <w:t>（三）招标方式</w:t>
      </w:r>
      <w:bookmarkEnd w:id="24"/>
      <w:bookmarkEnd w:id="25"/>
      <w:bookmarkEnd w:id="26"/>
    </w:p>
    <w:p>
      <w:pPr>
        <w:pStyle w:val="27"/>
        <w:snapToGrid w:val="0"/>
        <w:spacing w:before="0" w:beforeLines="0" w:after="0" w:afterLines="0" w:line="440" w:lineRule="exact"/>
        <w:ind w:firstLine="422" w:firstLineChars="200"/>
        <w:rPr>
          <w:rFonts w:hint="eastAsia" w:hAnsi="宋体" w:cs="宋体"/>
          <w:b/>
          <w:color w:val="000000"/>
          <w:sz w:val="21"/>
          <w:szCs w:val="21"/>
        </w:rPr>
      </w:pPr>
      <w:r>
        <w:rPr>
          <w:rFonts w:hint="eastAsia" w:hAnsi="宋体" w:cs="宋体"/>
          <w:b/>
          <w:color w:val="000000"/>
          <w:sz w:val="21"/>
          <w:szCs w:val="21"/>
        </w:rPr>
        <w:t>本次招标采用公开招标方式进行。</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27" w:name="_Toc5400"/>
      <w:bookmarkStart w:id="28" w:name="_Toc5871"/>
      <w:bookmarkStart w:id="29" w:name="_Toc463726787"/>
      <w:r>
        <w:rPr>
          <w:rFonts w:hint="eastAsia" w:ascii="宋体" w:hAnsi="宋体" w:cs="宋体"/>
          <w:color w:val="000000"/>
          <w:sz w:val="21"/>
          <w:szCs w:val="21"/>
        </w:rPr>
        <w:t>（四）投标委托</w:t>
      </w:r>
      <w:bookmarkEnd w:id="27"/>
      <w:bookmarkEnd w:id="28"/>
      <w:bookmarkEnd w:id="29"/>
    </w:p>
    <w:p>
      <w:pPr>
        <w:pStyle w:val="27"/>
        <w:adjustRightInd w:val="0"/>
        <w:snapToGrid w:val="0"/>
        <w:spacing w:before="0" w:beforeLines="0" w:after="0" w:afterLines="0" w:line="420" w:lineRule="exact"/>
        <w:ind w:firstLine="422" w:firstLineChars="200"/>
        <w:rPr>
          <w:rFonts w:hint="eastAsia" w:hAnsi="宋体" w:cs="宋体"/>
          <w:b/>
          <w:color w:val="000000"/>
          <w:sz w:val="21"/>
          <w:szCs w:val="21"/>
        </w:rPr>
      </w:pPr>
      <w:bookmarkStart w:id="30" w:name="_Toc463726788"/>
      <w:bookmarkStart w:id="31" w:name="_Toc11329"/>
      <w:bookmarkStart w:id="32" w:name="_Toc15299"/>
      <w:r>
        <w:rPr>
          <w:rFonts w:hint="eastAsia" w:hAnsi="宋体" w:cs="宋体"/>
          <w:b/>
          <w:color w:val="000000"/>
          <w:sz w:val="21"/>
          <w:szCs w:val="21"/>
        </w:rPr>
        <w:t>疫情期间，在完成投标文件递交和人员登记后立即离开。同时递交加盖投标人公章参与微信开标的授权人姓名、职务、手机、微信号纸质说明材料。</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r>
        <w:rPr>
          <w:rFonts w:hint="eastAsia" w:ascii="宋体" w:hAnsi="宋体" w:cs="宋体"/>
          <w:color w:val="000000"/>
          <w:sz w:val="21"/>
          <w:szCs w:val="21"/>
        </w:rPr>
        <w:t>（五）投标费用</w:t>
      </w:r>
      <w:bookmarkEnd w:id="30"/>
      <w:bookmarkEnd w:id="31"/>
      <w:bookmarkEnd w:id="32"/>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不论投标结果如何，投标人均应自行承担所有与投标有关的全部费用。</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33" w:name="_Toc19724"/>
      <w:bookmarkStart w:id="34" w:name="_Toc20144"/>
      <w:bookmarkStart w:id="35" w:name="_Toc463726789"/>
      <w:r>
        <w:rPr>
          <w:rFonts w:hint="eastAsia" w:ascii="宋体" w:hAnsi="宋体" w:cs="宋体"/>
          <w:color w:val="000000"/>
          <w:sz w:val="21"/>
          <w:szCs w:val="21"/>
        </w:rPr>
        <w:t>（六）联合体投标</w:t>
      </w:r>
      <w:bookmarkEnd w:id="33"/>
      <w:bookmarkEnd w:id="34"/>
      <w:bookmarkEnd w:id="35"/>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本项目不接受联合体投标。</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36" w:name="_Toc23253"/>
      <w:bookmarkStart w:id="37" w:name="_Toc463726790"/>
      <w:bookmarkStart w:id="38" w:name="_Toc23312"/>
      <w:r>
        <w:rPr>
          <w:rFonts w:hint="eastAsia" w:ascii="宋体" w:hAnsi="宋体" w:cs="宋体"/>
          <w:color w:val="000000"/>
          <w:sz w:val="21"/>
          <w:szCs w:val="21"/>
        </w:rPr>
        <w:t>（七）转包与分包</w:t>
      </w:r>
      <w:bookmarkEnd w:id="36"/>
      <w:bookmarkEnd w:id="37"/>
      <w:bookmarkEnd w:id="38"/>
    </w:p>
    <w:p>
      <w:pPr>
        <w:pStyle w:val="27"/>
        <w:snapToGrid w:val="0"/>
        <w:spacing w:before="0" w:beforeLines="0" w:after="0" w:afterLines="0" w:line="440" w:lineRule="exact"/>
        <w:ind w:firstLine="420" w:firstLineChars="200"/>
        <w:rPr>
          <w:rFonts w:hint="eastAsia" w:hAnsi="宋体" w:eastAsia="宋体" w:cs="宋体"/>
          <w:color w:val="000000"/>
          <w:sz w:val="21"/>
          <w:szCs w:val="21"/>
          <w:highlight w:val="none"/>
          <w:lang w:eastAsia="zh-CN"/>
        </w:rPr>
      </w:pPr>
      <w:r>
        <w:rPr>
          <w:rFonts w:hint="eastAsia" w:hAnsi="宋体" w:cs="宋体"/>
          <w:color w:val="000000"/>
          <w:sz w:val="21"/>
          <w:szCs w:val="21"/>
          <w:highlight w:val="none"/>
        </w:rPr>
        <w:t>本项目不得转包，除非得到</w:t>
      </w:r>
      <w:r>
        <w:rPr>
          <w:rFonts w:hint="eastAsia" w:hAnsi="宋体" w:cs="宋体"/>
          <w:color w:val="000000"/>
          <w:sz w:val="21"/>
          <w:szCs w:val="21"/>
          <w:highlight w:val="none"/>
          <w:lang w:eastAsia="zh-CN"/>
        </w:rPr>
        <w:t>采购人</w:t>
      </w:r>
      <w:r>
        <w:rPr>
          <w:rFonts w:hint="eastAsia" w:hAnsi="宋体" w:cs="宋体"/>
          <w:color w:val="000000"/>
          <w:sz w:val="21"/>
          <w:szCs w:val="21"/>
          <w:highlight w:val="none"/>
        </w:rPr>
        <w:t>的同意，</w:t>
      </w:r>
      <w:r>
        <w:rPr>
          <w:rFonts w:hint="eastAsia" w:hAnsi="宋体" w:cs="宋体"/>
          <w:color w:val="000000"/>
          <w:sz w:val="21"/>
          <w:szCs w:val="21"/>
          <w:highlight w:val="none"/>
          <w:lang w:eastAsia="zh-CN"/>
        </w:rPr>
        <w:t>否则中标人</w:t>
      </w:r>
      <w:r>
        <w:rPr>
          <w:rFonts w:hint="eastAsia" w:hAnsi="宋体" w:cs="宋体"/>
          <w:color w:val="000000"/>
          <w:sz w:val="21"/>
          <w:szCs w:val="21"/>
          <w:highlight w:val="none"/>
        </w:rPr>
        <w:t>不得分包给他人</w:t>
      </w:r>
      <w:r>
        <w:rPr>
          <w:rFonts w:hint="eastAsia" w:hAnsi="宋体" w:cs="宋体"/>
          <w:color w:val="000000"/>
          <w:sz w:val="21"/>
          <w:szCs w:val="21"/>
          <w:highlight w:val="none"/>
          <w:lang w:eastAsia="zh-CN"/>
        </w:rPr>
        <w:t>。</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39" w:name="_Toc6313"/>
      <w:bookmarkStart w:id="40" w:name="_Toc27052"/>
      <w:bookmarkStart w:id="41" w:name="_Toc463726791"/>
      <w:r>
        <w:rPr>
          <w:rFonts w:hint="eastAsia" w:ascii="宋体" w:hAnsi="宋体" w:cs="宋体"/>
          <w:color w:val="000000"/>
          <w:sz w:val="21"/>
          <w:szCs w:val="21"/>
        </w:rPr>
        <w:t>（八）特别说明</w:t>
      </w:r>
      <w:bookmarkEnd w:id="39"/>
      <w:bookmarkEnd w:id="40"/>
      <w:bookmarkEnd w:id="41"/>
    </w:p>
    <w:p>
      <w:pPr>
        <w:pStyle w:val="27"/>
        <w:snapToGrid w:val="0"/>
        <w:spacing w:before="0" w:beforeLines="0" w:after="0" w:afterLines="0" w:line="440" w:lineRule="exact"/>
        <w:ind w:firstLine="420" w:firstLineChars="200"/>
        <w:rPr>
          <w:rFonts w:hint="eastAsia" w:hAnsi="宋体" w:cs="宋体"/>
          <w:b/>
          <w:color w:val="000000"/>
          <w:sz w:val="21"/>
          <w:szCs w:val="21"/>
        </w:rPr>
      </w:pPr>
      <w:r>
        <w:rPr>
          <w:rFonts w:hint="eastAsia" w:hAnsi="宋体" w:cs="宋体"/>
          <w:color w:val="000000"/>
          <w:sz w:val="21"/>
          <w:szCs w:val="21"/>
        </w:rPr>
        <w:t>★</w:t>
      </w:r>
      <w:r>
        <w:rPr>
          <w:rFonts w:hint="eastAsia" w:hAnsi="宋体" w:cs="宋体"/>
          <w:b/>
          <w:color w:val="000000"/>
          <w:sz w:val="21"/>
          <w:szCs w:val="21"/>
        </w:rPr>
        <w:t>1．投标人投标所使用的资格、信誉、荣誉、业绩与企业认证必须为本法人所拥有（招标文件允许的除外）。</w:t>
      </w:r>
      <w:r>
        <w:rPr>
          <w:rFonts w:hint="eastAsia" w:hAnsi="宋体" w:cs="宋体"/>
          <w:b/>
          <w:color w:val="000000"/>
          <w:sz w:val="21"/>
          <w:szCs w:val="21"/>
          <w:lang w:eastAsia="zh-CN"/>
        </w:rPr>
        <w:t>投标人</w:t>
      </w:r>
      <w:r>
        <w:rPr>
          <w:rFonts w:hint="eastAsia" w:hAnsi="宋体" w:cs="宋体"/>
          <w:b/>
          <w:color w:val="000000"/>
          <w:sz w:val="21"/>
          <w:szCs w:val="21"/>
        </w:rPr>
        <w:t>投标所使用的采购项目实施人员必须为本法人员工（或必须为本法人或控股公司正式员工）。</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★2．</w:t>
      </w:r>
      <w:r>
        <w:rPr>
          <w:rFonts w:hint="eastAsia" w:hAnsi="宋体" w:cs="宋体"/>
          <w:color w:val="000000"/>
          <w:kern w:val="0"/>
          <w:sz w:val="21"/>
          <w:szCs w:val="21"/>
        </w:rPr>
        <w:t>投标人应仔细阅读招标文件的所有内容</w:t>
      </w:r>
      <w:r>
        <w:rPr>
          <w:rFonts w:hint="eastAsia" w:hAnsi="宋体" w:cs="宋体"/>
          <w:color w:val="000000"/>
          <w:sz w:val="21"/>
          <w:szCs w:val="21"/>
        </w:rPr>
        <w:t>，按照招标文件的要求提交投标文件，并对所提供的全部资料的真实性承担法律责任。</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★3．投标人在投标活动中提供任何虚假材料，其投标无效，并报监管部门查处。</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42" w:name="_Toc14980"/>
      <w:bookmarkStart w:id="43" w:name="_Toc24860"/>
      <w:bookmarkStart w:id="44" w:name="_Toc463726792"/>
      <w:r>
        <w:rPr>
          <w:rFonts w:hint="eastAsia" w:ascii="宋体" w:hAnsi="宋体" w:cs="宋体"/>
          <w:color w:val="000000"/>
          <w:sz w:val="21"/>
          <w:szCs w:val="21"/>
        </w:rPr>
        <w:t>（九）质疑和投诉</w:t>
      </w:r>
      <w:bookmarkEnd w:id="42"/>
      <w:bookmarkEnd w:id="43"/>
      <w:bookmarkEnd w:id="44"/>
    </w:p>
    <w:p>
      <w:pPr>
        <w:pStyle w:val="27"/>
        <w:snapToGrid w:val="0"/>
        <w:spacing w:before="0" w:beforeLines="0" w:after="0" w:afterLines="0" w:line="440" w:lineRule="exact"/>
        <w:ind w:left="3" w:firstLine="415" w:firstLineChars="198"/>
        <w:rPr>
          <w:rFonts w:hint="eastAsia" w:hAnsi="宋体" w:cs="宋体"/>
          <w:color w:val="000000"/>
          <w:sz w:val="21"/>
          <w:szCs w:val="21"/>
        </w:rPr>
      </w:pPr>
      <w:r>
        <w:rPr>
          <w:rFonts w:hint="eastAsia" w:hAnsi="宋体" w:cs="宋体"/>
          <w:color w:val="000000"/>
          <w:sz w:val="21"/>
          <w:szCs w:val="21"/>
        </w:rPr>
        <w:t>1．投标人认为招标文件、招标过程或中标结果使自己的合法权益受到损害的，应当在知道或者应知其权益受到损害之日起七个工作日内，以书面形式向采购人、采购代理机构提出质疑。投标人对采购人、采购代理机构的答复不满意或者采购人、采购代理机构未在规定的时间内作出答复的，可以在答复期满后十五个工作日内向同级采购监管部门投诉。</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7"/>
        <w:snapToGrid w:val="0"/>
        <w:spacing w:before="0" w:beforeLines="0" w:after="0" w:afterLines="0" w:line="440" w:lineRule="exact"/>
        <w:ind w:left="823" w:leftChars="200" w:hanging="403" w:hangingChars="192"/>
        <w:rPr>
          <w:rFonts w:hint="eastAsia" w:hAnsi="宋体" w:cs="宋体"/>
          <w:color w:val="000000"/>
          <w:sz w:val="21"/>
          <w:szCs w:val="21"/>
        </w:rPr>
      </w:pPr>
      <w:r>
        <w:rPr>
          <w:rFonts w:hint="eastAsia" w:hAnsi="宋体" w:cs="宋体"/>
          <w:color w:val="000000"/>
          <w:sz w:val="21"/>
          <w:szCs w:val="21"/>
        </w:rPr>
        <w:t>3．政府采购法第五十二条规定的</w:t>
      </w:r>
      <w:r>
        <w:rPr>
          <w:rFonts w:hint="eastAsia" w:hAnsi="宋体" w:cs="宋体"/>
          <w:color w:val="000000"/>
          <w:sz w:val="21"/>
          <w:szCs w:val="21"/>
          <w:lang w:eastAsia="zh-CN"/>
        </w:rPr>
        <w:t>投标人</w:t>
      </w:r>
      <w:r>
        <w:rPr>
          <w:rFonts w:hint="eastAsia" w:hAnsi="宋体" w:cs="宋体"/>
          <w:color w:val="000000"/>
          <w:sz w:val="21"/>
          <w:szCs w:val="21"/>
        </w:rPr>
        <w:t>应知其权益受到损害之日，是指：</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（1）对可以质疑的采购文件提出质疑的，为收到采购文件之日或者采购文件公告期限届满之日；</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（2）对采购过程提出质疑的，为各采购程序环节结束之日；</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（3）对中标或者成交结果提出质疑的，为中标或者成交结果公告期限届满之日。</w:t>
      </w:r>
    </w:p>
    <w:p>
      <w:pPr>
        <w:pStyle w:val="6"/>
        <w:snapToGrid w:val="0"/>
        <w:spacing w:before="0" w:after="0" w:line="440" w:lineRule="exact"/>
        <w:rPr>
          <w:rFonts w:hint="eastAsia" w:ascii="宋体" w:hAnsi="宋体" w:eastAsia="宋体" w:cs="宋体"/>
          <w:color w:val="000000"/>
          <w:sz w:val="21"/>
          <w:szCs w:val="21"/>
        </w:rPr>
      </w:pPr>
      <w:bookmarkStart w:id="45" w:name="_Toc463726793"/>
      <w:bookmarkStart w:id="46" w:name="_Toc7699"/>
      <w:bookmarkStart w:id="47" w:name="_Toc18365"/>
      <w:r>
        <w:rPr>
          <w:rFonts w:hint="eastAsia" w:ascii="宋体" w:hAnsi="宋体" w:eastAsia="宋体" w:cs="宋体"/>
          <w:color w:val="000000"/>
          <w:sz w:val="21"/>
          <w:szCs w:val="21"/>
        </w:rPr>
        <w:t>二、招标文件</w:t>
      </w:r>
      <w:bookmarkEnd w:id="45"/>
      <w:bookmarkEnd w:id="46"/>
      <w:bookmarkEnd w:id="47"/>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48" w:name="_Toc463726794"/>
      <w:bookmarkStart w:id="49" w:name="_Toc18655"/>
      <w:bookmarkStart w:id="50" w:name="_Toc18067"/>
      <w:r>
        <w:rPr>
          <w:rFonts w:hint="eastAsia" w:ascii="宋体" w:hAnsi="宋体" w:cs="宋体"/>
          <w:color w:val="000000"/>
          <w:sz w:val="21"/>
          <w:szCs w:val="21"/>
        </w:rPr>
        <w:t>（一）招标文件的构成</w:t>
      </w:r>
      <w:bookmarkEnd w:id="48"/>
      <w:bookmarkEnd w:id="49"/>
      <w:bookmarkEnd w:id="50"/>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本招标文件由以下部份组成：</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1．采购公告；</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2．投标资料表；</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3．投标人须知；</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4．招标需求；</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5．评标办法及评分标准；</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6．政府采购合同文本；</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7．投标文件格式；</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8．本项目招标文件的澄清、答复、修改、补充的内容。</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51" w:name="_Toc463726795"/>
      <w:bookmarkStart w:id="52" w:name="_Toc1942"/>
      <w:bookmarkStart w:id="53" w:name="_Toc4926"/>
      <w:r>
        <w:rPr>
          <w:rFonts w:hint="eastAsia" w:ascii="宋体" w:hAnsi="宋体" w:cs="宋体"/>
          <w:color w:val="000000"/>
          <w:sz w:val="21"/>
          <w:szCs w:val="21"/>
        </w:rPr>
        <w:t>（二）投标人的风险</w:t>
      </w:r>
      <w:bookmarkEnd w:id="51"/>
      <w:bookmarkEnd w:id="52"/>
      <w:bookmarkEnd w:id="53"/>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投标人没有按照招标文件要求提供全部资料，或者投标人没有对招标文件在各方面作出实质性响应是投标人的风险，并可能导致其投标被拒绝。</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54" w:name="_Toc463726796"/>
      <w:bookmarkStart w:id="55" w:name="_Toc8588"/>
      <w:bookmarkStart w:id="56" w:name="_Toc23467"/>
      <w:r>
        <w:rPr>
          <w:rFonts w:hint="eastAsia" w:ascii="宋体" w:hAnsi="宋体" w:cs="宋体"/>
          <w:color w:val="000000"/>
          <w:sz w:val="21"/>
          <w:szCs w:val="21"/>
        </w:rPr>
        <w:t>（三）招标文件的澄清与修改</w:t>
      </w:r>
      <w:bookmarkEnd w:id="54"/>
      <w:bookmarkEnd w:id="55"/>
      <w:bookmarkEnd w:id="56"/>
    </w:p>
    <w:p>
      <w:pPr>
        <w:pStyle w:val="27"/>
        <w:snapToGrid w:val="0"/>
        <w:spacing w:before="0" w:beforeLines="0" w:after="0" w:afterLines="0" w:line="440" w:lineRule="exact"/>
        <w:ind w:left="3" w:firstLine="415" w:firstLineChars="198"/>
        <w:rPr>
          <w:rFonts w:hint="eastAsia" w:hAnsi="宋体" w:cs="宋体"/>
          <w:color w:val="000000"/>
          <w:sz w:val="21"/>
          <w:szCs w:val="21"/>
        </w:rPr>
      </w:pPr>
      <w:r>
        <w:rPr>
          <w:rFonts w:hint="eastAsia" w:hAnsi="宋体" w:cs="宋体"/>
          <w:color w:val="000000"/>
          <w:sz w:val="21"/>
          <w:szCs w:val="21"/>
        </w:rPr>
        <w:t>1．采购单位、采购代理机构对已发出的招标文件进行必要的澄清或者修改时，澄清或者修改的内容可能影响投标文件编制的，将在招标公告规定的投标截止时间十五日前，以书面形式或在规定信息发布网站上通知所有已获取招标文件的潜在投标人，并要求潜在投标人进行传真或书面确认澄清和修改已收悉，澄清和修改的内容作为招标文件的组成部分。采购人或招标代理机构根据实际情况，延长投标截止时间的，在投标截止时间三日前告知所有已获取招标文件的潜在投标人，并要求回执确认。</w:t>
      </w:r>
    </w:p>
    <w:p>
      <w:pPr>
        <w:pStyle w:val="27"/>
        <w:snapToGrid w:val="0"/>
        <w:spacing w:before="0" w:beforeLines="0" w:after="0" w:afterLines="0" w:line="440" w:lineRule="exact"/>
        <w:ind w:left="3" w:firstLine="415" w:firstLineChars="198"/>
        <w:rPr>
          <w:rFonts w:hint="eastAsia" w:hAnsi="宋体" w:cs="宋体"/>
          <w:color w:val="000000"/>
          <w:sz w:val="21"/>
          <w:szCs w:val="21"/>
        </w:rPr>
      </w:pPr>
      <w:r>
        <w:rPr>
          <w:rFonts w:hint="eastAsia" w:hAnsi="宋体" w:cs="宋体"/>
          <w:color w:val="000000"/>
          <w:sz w:val="21"/>
          <w:szCs w:val="21"/>
        </w:rPr>
        <w:t>2．招标文件澄清、答复、修改、补充的内容为招标文件的组成部分。当招标文件与招标文件的答复、澄清、修改、补充通知就同一内容的表述不一致时，以最后发出的书面文件为准。</w:t>
      </w:r>
    </w:p>
    <w:p>
      <w:pPr>
        <w:pStyle w:val="27"/>
        <w:snapToGrid w:val="0"/>
        <w:spacing w:before="0" w:beforeLines="0" w:after="0" w:afterLines="0" w:line="440" w:lineRule="exact"/>
        <w:ind w:left="3" w:firstLine="415" w:firstLineChars="198"/>
        <w:rPr>
          <w:rFonts w:hint="eastAsia" w:hAnsi="宋体" w:cs="宋体"/>
          <w:color w:val="000000"/>
          <w:sz w:val="21"/>
          <w:szCs w:val="21"/>
        </w:rPr>
      </w:pPr>
      <w:r>
        <w:rPr>
          <w:rFonts w:hint="eastAsia" w:hAnsi="宋体" w:cs="宋体"/>
          <w:color w:val="000000"/>
          <w:sz w:val="21"/>
          <w:szCs w:val="21"/>
        </w:rPr>
        <w:t>3．招标文件的澄清、答复、修改或补充都应该通过本代理机构以法定形式发布，采购人非通过本机构，不得擅自澄清、答复、修改或补充招标文件。</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57" w:name="_Toc15370"/>
      <w:bookmarkStart w:id="58" w:name="_Toc13387"/>
      <w:bookmarkStart w:id="59" w:name="_Toc463726797"/>
      <w:r>
        <w:rPr>
          <w:rFonts w:hint="eastAsia" w:ascii="宋体" w:hAnsi="宋体" w:cs="宋体"/>
          <w:color w:val="000000"/>
          <w:sz w:val="21"/>
          <w:szCs w:val="21"/>
        </w:rPr>
        <w:t>（四）对招标文件的异议</w:t>
      </w:r>
      <w:bookmarkEnd w:id="57"/>
      <w:bookmarkEnd w:id="58"/>
      <w:bookmarkEnd w:id="59"/>
    </w:p>
    <w:p>
      <w:pPr>
        <w:pStyle w:val="27"/>
        <w:snapToGrid w:val="0"/>
        <w:spacing w:before="0" w:beforeLines="0" w:after="0" w:afterLines="0" w:line="440" w:lineRule="exact"/>
        <w:ind w:left="3" w:firstLine="415" w:firstLineChars="198"/>
        <w:rPr>
          <w:rFonts w:hint="eastAsia" w:hAnsi="宋体" w:cs="宋体"/>
          <w:color w:val="000000"/>
          <w:sz w:val="21"/>
          <w:szCs w:val="21"/>
        </w:rPr>
      </w:pPr>
      <w:r>
        <w:rPr>
          <w:rFonts w:hint="eastAsia" w:hAnsi="宋体" w:cs="宋体"/>
          <w:color w:val="000000"/>
          <w:sz w:val="21"/>
          <w:szCs w:val="21"/>
        </w:rPr>
        <w:t>1．已获取招标文件的潜在投标人对招标文件有异议，应知其权益受到损害之日起七个工作日内书面提出。逾期提出的将不予受理。对招标文件的异议应有法定代表人或其委托代理人签字，并盖投标人公章和注明日期。</w:t>
      </w:r>
    </w:p>
    <w:p>
      <w:pPr>
        <w:pStyle w:val="27"/>
        <w:snapToGrid w:val="0"/>
        <w:spacing w:before="0" w:beforeLines="0" w:after="0" w:afterLines="0" w:line="440" w:lineRule="exact"/>
        <w:ind w:left="3" w:firstLine="415" w:firstLineChars="198"/>
        <w:rPr>
          <w:rFonts w:hint="eastAsia" w:hAnsi="宋体" w:cs="宋体"/>
          <w:color w:val="000000"/>
          <w:sz w:val="21"/>
          <w:szCs w:val="21"/>
        </w:rPr>
      </w:pPr>
      <w:r>
        <w:rPr>
          <w:rFonts w:hint="eastAsia" w:hAnsi="宋体" w:cs="宋体"/>
          <w:color w:val="000000"/>
          <w:sz w:val="21"/>
          <w:szCs w:val="21"/>
        </w:rPr>
        <w:t>2．没有提出异议且又参与了该项目投标的</w:t>
      </w:r>
      <w:r>
        <w:rPr>
          <w:rFonts w:hint="eastAsia" w:hAnsi="宋体" w:cs="宋体"/>
          <w:color w:val="000000"/>
          <w:sz w:val="21"/>
          <w:szCs w:val="21"/>
          <w:lang w:eastAsia="zh-CN"/>
        </w:rPr>
        <w:t>投标人</w:t>
      </w:r>
      <w:r>
        <w:rPr>
          <w:rFonts w:hint="eastAsia" w:hAnsi="宋体" w:cs="宋体"/>
          <w:color w:val="000000"/>
          <w:sz w:val="21"/>
          <w:szCs w:val="21"/>
        </w:rPr>
        <w:t>将被视为完全认同招标文件。</w:t>
      </w:r>
    </w:p>
    <w:p>
      <w:pPr>
        <w:pStyle w:val="6"/>
        <w:snapToGrid w:val="0"/>
        <w:spacing w:before="0" w:after="0" w:line="440" w:lineRule="exact"/>
        <w:rPr>
          <w:rFonts w:hint="eastAsia" w:ascii="宋体" w:hAnsi="宋体" w:eastAsia="宋体" w:cs="宋体"/>
          <w:color w:val="000000"/>
          <w:sz w:val="21"/>
          <w:szCs w:val="21"/>
        </w:rPr>
      </w:pPr>
      <w:bookmarkStart w:id="60" w:name="_Toc7461"/>
      <w:bookmarkStart w:id="61" w:name="_Toc13154"/>
      <w:bookmarkStart w:id="62" w:name="_Toc463726798"/>
      <w:r>
        <w:rPr>
          <w:rFonts w:hint="eastAsia" w:ascii="宋体" w:hAnsi="宋体" w:eastAsia="宋体" w:cs="宋体"/>
          <w:color w:val="000000"/>
          <w:sz w:val="21"/>
          <w:szCs w:val="21"/>
        </w:rPr>
        <w:t>三、投标文件的编制</w:t>
      </w:r>
      <w:bookmarkEnd w:id="60"/>
      <w:bookmarkEnd w:id="61"/>
      <w:bookmarkEnd w:id="62"/>
    </w:p>
    <w:p>
      <w:pPr>
        <w:snapToGrid w:val="0"/>
        <w:spacing w:line="440" w:lineRule="exact"/>
        <w:outlineLvl w:val="2"/>
        <w:rPr>
          <w:rFonts w:hint="eastAsia" w:ascii="宋体" w:hAnsi="宋体"/>
          <w:b/>
          <w:color w:val="000000"/>
          <w:szCs w:val="21"/>
        </w:rPr>
      </w:pPr>
      <w:r>
        <w:rPr>
          <w:rFonts w:hint="eastAsia" w:ascii="宋体" w:hAnsi="宋体"/>
          <w:b/>
          <w:color w:val="000000"/>
          <w:szCs w:val="21"/>
        </w:rPr>
        <w:t>（一）投标文件的形式和效力</w:t>
      </w:r>
    </w:p>
    <w:p>
      <w:pPr>
        <w:pStyle w:val="27"/>
        <w:adjustRightInd w:val="0"/>
        <w:snapToGrid w:val="0"/>
        <w:spacing w:before="0" w:beforeLines="0" w:after="0" w:afterLines="0" w:line="440" w:lineRule="exact"/>
        <w:ind w:left="3" w:firstLine="415" w:firstLineChars="198"/>
        <w:rPr>
          <w:rFonts w:hint="eastAsia" w:hAnsi="宋体" w:cs="宋体"/>
          <w:color w:val="000000"/>
          <w:sz w:val="21"/>
          <w:szCs w:val="21"/>
        </w:rPr>
      </w:pPr>
      <w:r>
        <w:rPr>
          <w:rFonts w:hint="eastAsia" w:hAnsi="宋体" w:cs="宋体"/>
          <w:color w:val="000000"/>
          <w:sz w:val="21"/>
          <w:szCs w:val="21"/>
        </w:rPr>
        <w:t>1．投标文件分为电子投标文件以及备份投标文件，备份投标文件分为以U盘存储的电子备份投标文件。</w:t>
      </w:r>
    </w:p>
    <w:p>
      <w:pPr>
        <w:pStyle w:val="27"/>
        <w:adjustRightInd w:val="0"/>
        <w:snapToGrid w:val="0"/>
        <w:spacing w:before="0" w:beforeLines="0" w:after="0" w:afterLines="0" w:line="440" w:lineRule="exact"/>
        <w:ind w:left="3" w:firstLine="415" w:firstLineChars="198"/>
        <w:rPr>
          <w:rFonts w:hint="eastAsia" w:hAnsi="宋体" w:cs="宋体"/>
          <w:color w:val="000000"/>
          <w:sz w:val="21"/>
          <w:szCs w:val="21"/>
        </w:rPr>
      </w:pPr>
      <w:r>
        <w:rPr>
          <w:rFonts w:hint="eastAsia" w:hAnsi="宋体" w:cs="宋体"/>
          <w:color w:val="000000"/>
          <w:sz w:val="21"/>
          <w:szCs w:val="21"/>
        </w:rPr>
        <w:t>2．电子投标文件，按“政采云</w:t>
      </w:r>
      <w:r>
        <w:rPr>
          <w:rFonts w:hint="eastAsia" w:hAnsi="宋体" w:cs="宋体"/>
          <w:color w:val="000000"/>
          <w:sz w:val="21"/>
          <w:szCs w:val="21"/>
          <w:lang w:eastAsia="zh-CN"/>
        </w:rPr>
        <w:t>投标人</w:t>
      </w:r>
      <w:r>
        <w:rPr>
          <w:rFonts w:hint="eastAsia" w:hAnsi="宋体" w:cs="宋体"/>
          <w:color w:val="000000"/>
          <w:sz w:val="21"/>
          <w:szCs w:val="21"/>
        </w:rPr>
        <w:t>项目采购-电子招投标操作指南”及本招标文件要求制作、加密并递交。</w:t>
      </w:r>
    </w:p>
    <w:p>
      <w:pPr>
        <w:pStyle w:val="27"/>
        <w:adjustRightInd w:val="0"/>
        <w:snapToGrid w:val="0"/>
        <w:spacing w:before="0" w:beforeLines="0" w:after="0" w:afterLines="0" w:line="440" w:lineRule="exact"/>
        <w:ind w:left="3" w:firstLine="417" w:firstLineChars="198"/>
        <w:rPr>
          <w:rFonts w:hint="eastAsia" w:hAnsi="宋体" w:cs="宋体"/>
          <w:b/>
          <w:bCs/>
          <w:color w:val="000000"/>
          <w:sz w:val="21"/>
          <w:szCs w:val="21"/>
          <w:lang w:val="en-US" w:eastAsia="zh-CN"/>
        </w:rPr>
      </w:pPr>
      <w:r>
        <w:rPr>
          <w:rFonts w:hint="eastAsia" w:hAnsi="宋体" w:cs="宋体"/>
          <w:b/>
          <w:bCs/>
          <w:color w:val="000000"/>
          <w:sz w:val="21"/>
          <w:szCs w:val="21"/>
        </w:rPr>
        <w:t>3．以U盘存储的电子备份投标文件，须按“政采云</w:t>
      </w:r>
      <w:r>
        <w:rPr>
          <w:rFonts w:hint="eastAsia" w:hAnsi="宋体" w:cs="宋体"/>
          <w:b/>
          <w:bCs/>
          <w:color w:val="000000"/>
          <w:sz w:val="21"/>
          <w:szCs w:val="21"/>
          <w:lang w:eastAsia="zh-CN"/>
        </w:rPr>
        <w:t>投标人</w:t>
      </w:r>
      <w:r>
        <w:rPr>
          <w:rFonts w:hint="eastAsia" w:hAnsi="宋体" w:cs="宋体"/>
          <w:b/>
          <w:bCs/>
          <w:color w:val="000000"/>
          <w:sz w:val="21"/>
          <w:szCs w:val="21"/>
        </w:rPr>
        <w:t>项目采购-电子招投标操作指南”制作的备份文件</w:t>
      </w:r>
      <w:r>
        <w:rPr>
          <w:rFonts w:hint="eastAsia" w:hAnsi="宋体" w:cs="宋体"/>
          <w:b/>
          <w:bCs/>
          <w:color w:val="000000"/>
          <w:sz w:val="21"/>
          <w:szCs w:val="21"/>
          <w:lang w:val="en-US" w:eastAsia="zh-CN"/>
        </w:rPr>
        <w:t>（电子备份投标文件后缀格式为“.bfbs”）。</w:t>
      </w:r>
    </w:p>
    <w:p>
      <w:pPr>
        <w:pStyle w:val="27"/>
        <w:adjustRightInd w:val="0"/>
        <w:snapToGrid w:val="0"/>
        <w:spacing w:before="0" w:beforeLines="0" w:after="0" w:afterLines="0" w:line="440" w:lineRule="exact"/>
        <w:ind w:left="3" w:firstLine="415" w:firstLineChars="198"/>
        <w:rPr>
          <w:rFonts w:hint="eastAsia" w:hAnsi="宋体" w:eastAsia="宋体" w:cs="宋体"/>
          <w:color w:val="000000"/>
          <w:sz w:val="21"/>
          <w:szCs w:val="21"/>
          <w:lang w:eastAsia="zh-CN"/>
        </w:rPr>
      </w:pPr>
      <w:r>
        <w:rPr>
          <w:rFonts w:hint="eastAsia" w:hAnsi="宋体" w:cs="宋体"/>
          <w:color w:val="000000"/>
          <w:sz w:val="21"/>
          <w:szCs w:val="21"/>
        </w:rPr>
        <w:t>4．投标文件的效力</w:t>
      </w:r>
      <w:r>
        <w:rPr>
          <w:rFonts w:hint="eastAsia" w:hAnsi="宋体" w:cs="宋体"/>
          <w:color w:val="000000"/>
          <w:sz w:val="21"/>
          <w:szCs w:val="21"/>
          <w:lang w:eastAsia="zh-CN"/>
        </w:rPr>
        <w:t>：</w:t>
      </w:r>
    </w:p>
    <w:p>
      <w:pPr>
        <w:pStyle w:val="27"/>
        <w:adjustRightInd w:val="0"/>
        <w:snapToGrid w:val="0"/>
        <w:spacing w:before="0" w:beforeLines="0" w:after="0" w:afterLines="0" w:line="440" w:lineRule="exact"/>
        <w:ind w:left="3" w:firstLine="417" w:firstLineChars="198"/>
        <w:rPr>
          <w:rFonts w:hint="eastAsia" w:hAnsi="宋体" w:cs="宋体"/>
          <w:color w:val="000000"/>
          <w:sz w:val="21"/>
          <w:szCs w:val="21"/>
        </w:rPr>
      </w:pPr>
      <w:r>
        <w:rPr>
          <w:rFonts w:hint="eastAsia" w:hAnsi="宋体" w:cs="宋体"/>
          <w:b/>
          <w:bCs/>
          <w:color w:val="000000"/>
          <w:sz w:val="21"/>
          <w:szCs w:val="21"/>
        </w:rPr>
        <w:t>投标文件的启用，按先后顺位分别为电子投标文件、以U盘存储的电子备份投标文件。在下一顺位的投标文件启用时，前一顺位的投标文件自动失效。</w:t>
      </w:r>
    </w:p>
    <w:p>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电子投标文件未能按时解密，</w:t>
      </w:r>
      <w:r>
        <w:rPr>
          <w:rFonts w:hint="eastAsia" w:ascii="宋体" w:hAnsi="宋体" w:cs="宋体"/>
          <w:color w:val="000000"/>
          <w:szCs w:val="21"/>
          <w:lang w:eastAsia="zh-CN"/>
        </w:rPr>
        <w:t>投标人</w:t>
      </w:r>
      <w:r>
        <w:rPr>
          <w:rFonts w:hint="eastAsia" w:ascii="宋体" w:hAnsi="宋体" w:cs="宋体"/>
          <w:color w:val="000000"/>
          <w:szCs w:val="21"/>
        </w:rPr>
        <w:t>提供了电子备份投标文件以电子备份投标文件作为</w:t>
      </w:r>
      <w:r>
        <w:rPr>
          <w:rFonts w:hint="eastAsia" w:ascii="宋体" w:hAnsi="宋体" w:cs="宋体"/>
          <w:color w:val="000000"/>
          <w:szCs w:val="21"/>
          <w:lang w:eastAsia="zh-CN"/>
        </w:rPr>
        <w:t>评标</w:t>
      </w:r>
      <w:r>
        <w:rPr>
          <w:rFonts w:hint="eastAsia" w:ascii="宋体" w:hAnsi="宋体" w:cs="宋体"/>
          <w:color w:val="000000"/>
          <w:szCs w:val="21"/>
        </w:rPr>
        <w:t>依据。电子投标文件已按时解密的，电子备份投标文件自动失效。</w:t>
      </w:r>
    </w:p>
    <w:p>
      <w:pPr>
        <w:adjustRightInd w:val="0"/>
        <w:snapToGrid w:val="0"/>
        <w:spacing w:line="440" w:lineRule="exact"/>
        <w:outlineLvl w:val="2"/>
        <w:rPr>
          <w:rFonts w:hint="eastAsia" w:ascii="宋体" w:hAnsi="宋体" w:cs="宋体"/>
          <w:b/>
          <w:color w:val="000000"/>
          <w:szCs w:val="21"/>
        </w:rPr>
      </w:pPr>
      <w:r>
        <w:rPr>
          <w:rFonts w:hint="eastAsia" w:ascii="宋体" w:hAnsi="宋体" w:cs="宋体"/>
          <w:b/>
          <w:color w:val="000000"/>
          <w:szCs w:val="21"/>
        </w:rPr>
        <w:t>（二）投标文件的组成</w:t>
      </w:r>
    </w:p>
    <w:p>
      <w:pPr>
        <w:adjustRightInd w:val="0"/>
        <w:snapToGrid w:val="0"/>
        <w:spacing w:line="440" w:lineRule="exact"/>
        <w:ind w:firstLine="422" w:firstLineChars="200"/>
        <w:rPr>
          <w:rFonts w:hint="eastAsia" w:ascii="宋体" w:hAnsi="宋体" w:cs="宋体"/>
          <w:b/>
          <w:bCs/>
          <w:color w:val="000000"/>
        </w:rPr>
      </w:pPr>
      <w:r>
        <w:rPr>
          <w:rFonts w:hint="eastAsia" w:ascii="宋体" w:hAnsi="宋体" w:cs="宋体"/>
          <w:b/>
          <w:bCs/>
          <w:color w:val="000000"/>
        </w:rPr>
        <w:t>投标文件由资格文件、</w:t>
      </w:r>
      <w:r>
        <w:rPr>
          <w:rFonts w:hint="eastAsia" w:ascii="宋体" w:hAnsi="宋体" w:cs="宋体"/>
          <w:b/>
          <w:bCs/>
          <w:color w:val="000000"/>
          <w:lang w:eastAsia="zh-CN"/>
        </w:rPr>
        <w:t>商务技术文件</w:t>
      </w:r>
      <w:r>
        <w:rPr>
          <w:rFonts w:hint="eastAsia" w:ascii="宋体" w:hAnsi="宋体" w:cs="宋体"/>
          <w:b/>
          <w:bCs/>
          <w:color w:val="000000"/>
        </w:rPr>
        <w:t>和报价文件三部分组成，分别编制，电子投标文件中所须加盖公章部分均采用CA签章。</w:t>
      </w:r>
    </w:p>
    <w:p>
      <w:pPr>
        <w:adjustRightInd w:val="0"/>
        <w:snapToGrid w:val="0"/>
        <w:spacing w:line="440" w:lineRule="exact"/>
        <w:ind w:firstLine="422" w:firstLineChars="200"/>
        <w:rPr>
          <w:rFonts w:hint="eastAsia" w:ascii="宋体" w:hAnsi="宋体" w:cs="宋体"/>
          <w:b/>
          <w:bCs/>
          <w:color w:val="auto"/>
          <w:highlight w:val="none"/>
        </w:rPr>
      </w:pPr>
      <w:bookmarkStart w:id="63" w:name="_Toc463726800"/>
      <w:bookmarkStart w:id="64" w:name="_Toc25668"/>
      <w:bookmarkStart w:id="65" w:name="_Toc21932"/>
      <w:r>
        <w:rPr>
          <w:rFonts w:hint="eastAsia" w:ascii="宋体" w:hAnsi="宋体" w:cs="宋体"/>
          <w:b/>
          <w:bCs/>
          <w:color w:val="auto"/>
          <w:highlight w:val="none"/>
        </w:rPr>
        <w:t>1</w:t>
      </w:r>
      <w:r>
        <w:rPr>
          <w:rFonts w:hint="eastAsia" w:ascii="宋体" w:hAnsi="宋体" w:cs="宋体"/>
          <w:b/>
          <w:color w:val="auto"/>
          <w:szCs w:val="21"/>
          <w:highlight w:val="none"/>
        </w:rPr>
        <w:t>．</w:t>
      </w:r>
      <w:r>
        <w:rPr>
          <w:rFonts w:hint="eastAsia" w:ascii="宋体" w:hAnsi="宋体" w:cs="宋体"/>
          <w:b/>
          <w:bCs/>
          <w:color w:val="auto"/>
          <w:highlight w:val="none"/>
        </w:rPr>
        <w:t>资格文件</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（1）符合《中华人民共和国政府采购法》第二十二条规定的投标人资格条件，提供以下材料：</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a、有效的企业法人营业执照（或事业法人登记证）、其他组织（个体工商户）的营业执照或者民办非企业单位登记证书复印件；</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b、2020年财务状况报告复印件（2020年财务状况报告尚未审计的，可提供财务报表），其他组织或投标人新成立不足一年，提供银行出具的资信证明材料复印件；</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c、2021年开具的缴纳税收的凭据证明材料复印件；如依法免税的，应提供相应文件证明其依法免税；</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d、2021年开具的缴纳社会保险的凭据证明材料复印件；如依法不需要缴纳社会保障资金的，应提供相应文件证明其依法不需要缴纳社会保障资金；</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e、提供具有履行合同所必需的设备和专业技术能力的书面声明（见格式</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内容）；</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f、提供参加政府采购活动前3年内在经营活动中没有重大违法记录的书面声明（见格式</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内容）。</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（2）投标人的特定条件的证明文件（如有）；</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（3）投标声明书（见格式）；</w:t>
      </w: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（4）其他投标人认为需要补充说明的资料特定条件。</w:t>
      </w:r>
    </w:p>
    <w:p>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color w:val="auto"/>
          <w:szCs w:val="21"/>
          <w:highlight w:val="none"/>
        </w:rPr>
        <w:t>．</w:t>
      </w:r>
      <w:r>
        <w:rPr>
          <w:rFonts w:hint="eastAsia" w:ascii="宋体" w:hAnsi="宋体" w:cs="宋体"/>
          <w:b/>
          <w:bCs/>
          <w:color w:val="auto"/>
          <w:szCs w:val="21"/>
          <w:highlight w:val="none"/>
        </w:rPr>
        <w:t>商务技术文件</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lang w:val="en-US" w:eastAsia="zh-CN"/>
        </w:rPr>
        <w:t>1</w:t>
      </w: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rPr>
        <w:t>评分标准对应页码（</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2</w:t>
      </w:r>
      <w:r>
        <w:rPr>
          <w:rFonts w:hint="eastAsia" w:ascii="宋体" w:hAnsi="宋体" w:eastAsia="宋体" w:cs="宋体"/>
          <w:color w:val="auto"/>
          <w:w w:val="100"/>
          <w:sz w:val="21"/>
          <w:szCs w:val="21"/>
          <w:highlight w:val="none"/>
        </w:rPr>
        <w:t>）投标函（</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3</w:t>
      </w:r>
      <w:r>
        <w:rPr>
          <w:rFonts w:hint="eastAsia" w:ascii="宋体" w:hAnsi="宋体" w:eastAsia="宋体" w:cs="宋体"/>
          <w:color w:val="auto"/>
          <w:w w:val="100"/>
          <w:sz w:val="21"/>
          <w:szCs w:val="21"/>
          <w:highlight w:val="none"/>
        </w:rPr>
        <w:t>）法定代表人的身份证明或法定代表人授权书（投标人的代表若为非法定代表人的，必须提交法定代表人授权书），并提供法定代表人和授权代表的身份证正反两面复印件（</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4</w:t>
      </w:r>
      <w:r>
        <w:rPr>
          <w:rFonts w:hint="eastAsia" w:ascii="宋体" w:hAnsi="宋体" w:eastAsia="宋体" w:cs="宋体"/>
          <w:color w:val="auto"/>
          <w:w w:val="100"/>
          <w:sz w:val="21"/>
          <w:szCs w:val="21"/>
          <w:highlight w:val="none"/>
        </w:rPr>
        <w:t>）投标人基本情况表（</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5</w:t>
      </w:r>
      <w:r>
        <w:rPr>
          <w:rFonts w:hint="eastAsia" w:ascii="宋体" w:hAnsi="宋体" w:eastAsia="宋体" w:cs="宋体"/>
          <w:color w:val="auto"/>
          <w:w w:val="100"/>
          <w:sz w:val="21"/>
          <w:szCs w:val="21"/>
          <w:highlight w:val="none"/>
        </w:rPr>
        <w:t>）政府采购统计基础信息表（</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6</w:t>
      </w:r>
      <w:r>
        <w:rPr>
          <w:rFonts w:hint="eastAsia" w:ascii="宋体" w:hAnsi="宋体" w:eastAsia="宋体" w:cs="宋体"/>
          <w:color w:val="auto"/>
          <w:w w:val="100"/>
          <w:sz w:val="21"/>
          <w:szCs w:val="21"/>
          <w:highlight w:val="none"/>
        </w:rPr>
        <w:t>）评分标准对应的投标人相关证书及荣誉（如有）等复印件（加盖公章）；</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7</w:t>
      </w:r>
      <w:r>
        <w:rPr>
          <w:rFonts w:hint="eastAsia" w:ascii="宋体" w:hAnsi="宋体" w:eastAsia="宋体" w:cs="宋体"/>
          <w:color w:val="auto"/>
          <w:w w:val="100"/>
          <w:sz w:val="21"/>
          <w:szCs w:val="21"/>
          <w:highlight w:val="none"/>
        </w:rPr>
        <w:t>）类似项目业绩表（</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8</w:t>
      </w: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eastAsia="zh-CN"/>
        </w:rPr>
        <w:t>商务</w:t>
      </w:r>
      <w:r>
        <w:rPr>
          <w:rFonts w:hint="eastAsia" w:ascii="宋体" w:hAnsi="宋体" w:eastAsia="宋体" w:cs="宋体"/>
          <w:color w:val="auto"/>
          <w:w w:val="100"/>
          <w:sz w:val="21"/>
          <w:szCs w:val="21"/>
          <w:highlight w:val="none"/>
        </w:rPr>
        <w:t>条款偏离表（</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lang w:val="en-US" w:eastAsia="zh-CN"/>
        </w:rPr>
        <w:t>9</w:t>
      </w:r>
      <w:r>
        <w:rPr>
          <w:rFonts w:hint="eastAsia" w:ascii="宋体" w:hAnsi="宋体" w:eastAsia="宋体" w:cs="宋体"/>
          <w:color w:val="auto"/>
          <w:w w:val="100"/>
          <w:sz w:val="21"/>
          <w:szCs w:val="21"/>
          <w:highlight w:val="none"/>
          <w:lang w:eastAsia="zh-CN"/>
        </w:rPr>
        <w:t>）技术条款偏离表</w:t>
      </w: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10</w:t>
      </w:r>
      <w:r>
        <w:rPr>
          <w:rFonts w:hint="eastAsia" w:ascii="宋体" w:hAnsi="宋体" w:eastAsia="宋体" w:cs="宋体"/>
          <w:color w:val="auto"/>
          <w:w w:val="100"/>
          <w:sz w:val="21"/>
          <w:szCs w:val="21"/>
          <w:highlight w:val="none"/>
        </w:rPr>
        <w:t>）服务方案：具体方案内容与服务内容相对应，并结合评分标准相关内容（部分</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lang w:val="en-US" w:eastAsia="zh-CN"/>
        </w:rPr>
        <w:t>11</w:t>
      </w: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w w:val="100"/>
          <w:sz w:val="21"/>
          <w:szCs w:val="21"/>
          <w:highlight w:val="none"/>
        </w:rPr>
        <w:t>投标人如是国家认定的不发达地区或少数民族地区企业的还须提供相关证明资料（不是国家认定的不发达地区或少数民族地区企业的可以不提供）；</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val="en-US" w:eastAsia="zh-CN"/>
        </w:rPr>
        <w:t>12</w:t>
      </w:r>
      <w:r>
        <w:rPr>
          <w:rFonts w:hint="eastAsia" w:ascii="宋体" w:hAnsi="宋体" w:eastAsia="宋体" w:cs="宋体"/>
          <w:color w:val="auto"/>
          <w:w w:val="100"/>
          <w:sz w:val="21"/>
          <w:szCs w:val="21"/>
          <w:highlight w:val="none"/>
        </w:rPr>
        <w:t>）资格、评分标准、采购文件及投标人认为需要提供的其它投标文件资料。</w:t>
      </w:r>
    </w:p>
    <w:p>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w:t>
      </w:r>
      <w:r>
        <w:rPr>
          <w:rFonts w:hint="eastAsia" w:ascii="宋体" w:hAnsi="宋体" w:cs="宋体"/>
          <w:b/>
          <w:bCs/>
          <w:color w:val="auto"/>
          <w:szCs w:val="21"/>
          <w:highlight w:val="none"/>
        </w:rPr>
        <w:t>报价文件</w:t>
      </w:r>
    </w:p>
    <w:p>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（1）开标一览表</w:t>
      </w: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r>
        <w:rPr>
          <w:rFonts w:hint="eastAsia" w:ascii="宋体" w:hAnsi="宋体" w:cs="宋体"/>
          <w:color w:val="auto"/>
          <w:szCs w:val="21"/>
          <w:highlight w:val="none"/>
        </w:rPr>
        <w:t>；</w:t>
      </w:r>
    </w:p>
    <w:p>
      <w:pPr>
        <w:adjustRightInd w:val="0"/>
        <w:snapToGrid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）投标报价明细表</w:t>
      </w: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r>
        <w:rPr>
          <w:rFonts w:hint="eastAsia" w:ascii="宋体" w:hAnsi="宋体" w:cs="宋体"/>
          <w:color w:val="auto"/>
          <w:szCs w:val="21"/>
          <w:highlight w:val="none"/>
        </w:rPr>
        <w:t>；</w:t>
      </w:r>
    </w:p>
    <w:p>
      <w:pPr>
        <w:adjustRightInd w:val="0"/>
        <w:snapToGrid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）中小企业声明函、残疾人福利性单位声明函（如投标人为非残疾人福利性单位可不提供此声明函）</w:t>
      </w: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eastAsia="zh-CN"/>
        </w:rPr>
        <w:t>见格式</w:t>
      </w:r>
      <w:r>
        <w:rPr>
          <w:rFonts w:hint="eastAsia" w:ascii="宋体" w:hAnsi="宋体" w:eastAsia="宋体" w:cs="宋体"/>
          <w:color w:val="auto"/>
          <w:w w:val="100"/>
          <w:sz w:val="21"/>
          <w:szCs w:val="21"/>
          <w:highlight w:val="none"/>
        </w:rPr>
        <w:t>）</w:t>
      </w:r>
      <w:r>
        <w:rPr>
          <w:rFonts w:hint="eastAsia" w:ascii="宋体" w:hAnsi="宋体" w:eastAsia="宋体" w:cs="宋体"/>
          <w:color w:val="auto"/>
          <w:w w:val="100"/>
          <w:sz w:val="21"/>
          <w:szCs w:val="21"/>
          <w:highlight w:val="none"/>
          <w:lang w:eastAsia="zh-CN"/>
        </w:rPr>
        <w:t>；</w:t>
      </w:r>
    </w:p>
    <w:p>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）投标人认为需要提供的其它报价文件资料。</w:t>
      </w:r>
    </w:p>
    <w:p>
      <w:pPr>
        <w:snapToGrid w:val="0"/>
        <w:spacing w:line="44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4．注意事项</w:t>
      </w:r>
    </w:p>
    <w:p>
      <w:pPr>
        <w:adjustRightInd w:val="0"/>
        <w:snapToGrid w:val="0"/>
        <w:spacing w:line="440" w:lineRule="exact"/>
        <w:ind w:firstLine="422" w:firstLineChars="200"/>
        <w:jc w:val="left"/>
        <w:rPr>
          <w:rFonts w:hint="eastAsia"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1</w:t>
      </w:r>
      <w:r>
        <w:rPr>
          <w:rFonts w:hint="eastAsia" w:ascii="宋体" w:hAnsi="宋体" w:cs="宋体"/>
          <w:b/>
          <w:bCs/>
          <w:szCs w:val="21"/>
        </w:rPr>
        <w:t>）电子投标文件中所须加盖公章部分均采用CA签章。</w:t>
      </w:r>
    </w:p>
    <w:p>
      <w:pPr>
        <w:snapToGrid w:val="0"/>
        <w:spacing w:line="440" w:lineRule="exact"/>
        <w:ind w:firstLine="420" w:firstLineChars="200"/>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）上述组成投标文件的各项资料中本招标文件的有规定格式的，应统一按本招标文件的规定格式填写。未有规定格式的资料，投标人应自行编制，但至少要包含以上要求的内容。</w:t>
      </w:r>
    </w:p>
    <w:p>
      <w:pPr>
        <w:snapToGrid w:val="0"/>
        <w:spacing w:line="440" w:lineRule="exact"/>
        <w:ind w:firstLine="420" w:firstLineChars="200"/>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投标文件在提供对投标货物/产品技术条款响应表的应答时，对招标文件有技术数值要求的参数，必须以投标货物/产品的具体技术数值据实应答；对于招标文件无数值要求的参数的应答，必须作出明确、直接、无导致两种理解可能的应答。</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eastAsia="zh-CN"/>
        </w:rPr>
        <w:t>三</w:t>
      </w:r>
      <w:r>
        <w:rPr>
          <w:rFonts w:hint="eastAsia" w:ascii="宋体" w:hAnsi="宋体" w:cs="宋体"/>
          <w:color w:val="000000"/>
          <w:sz w:val="21"/>
          <w:szCs w:val="21"/>
        </w:rPr>
        <w:t>）投标文件的语言及计量</w:t>
      </w:r>
      <w:bookmarkEnd w:id="63"/>
      <w:bookmarkEnd w:id="64"/>
      <w:bookmarkEnd w:id="65"/>
    </w:p>
    <w:p>
      <w:pPr>
        <w:pStyle w:val="27"/>
        <w:snapToGrid w:val="0"/>
        <w:spacing w:before="0" w:beforeLines="0" w:after="0" w:afterLines="0" w:line="440" w:lineRule="exact"/>
        <w:ind w:firstLine="210" w:firstLineChars="100"/>
        <w:rPr>
          <w:rFonts w:hint="eastAsia" w:hAnsi="宋体" w:cs="宋体"/>
          <w:color w:val="000000"/>
          <w:sz w:val="21"/>
          <w:szCs w:val="21"/>
        </w:rPr>
      </w:pPr>
      <w:r>
        <w:rPr>
          <w:rFonts w:hint="eastAsia" w:hAnsi="宋体" w:cs="宋体"/>
          <w:color w:val="000000"/>
          <w:sz w:val="21"/>
          <w:szCs w:val="21"/>
        </w:rPr>
        <w:t>★1．</w:t>
      </w:r>
      <w:r>
        <w:rPr>
          <w:rFonts w:hint="eastAsia" w:hAnsi="宋体" w:cs="宋体"/>
          <w:color w:val="000000"/>
          <w:kern w:val="0"/>
          <w:sz w:val="21"/>
          <w:szCs w:val="21"/>
        </w:rPr>
        <w:t>投标文件以及投标人与采购人就有关投标事宜的所有来往函电</w:t>
      </w:r>
      <w:r>
        <w:rPr>
          <w:rFonts w:hint="eastAsia" w:hAnsi="宋体" w:cs="宋体"/>
          <w:color w:val="000000"/>
          <w:sz w:val="21"/>
          <w:szCs w:val="21"/>
        </w:rPr>
        <w:t>，均应以中文汉语书写。除签名、盖章、专用名称等特殊情形外，以中文汉语以外的文字表述的投标文件视同未提供。</w:t>
      </w:r>
    </w:p>
    <w:p>
      <w:pPr>
        <w:pStyle w:val="27"/>
        <w:snapToGrid w:val="0"/>
        <w:spacing w:before="0" w:beforeLines="0" w:after="0" w:afterLines="0" w:line="440" w:lineRule="exact"/>
        <w:ind w:firstLine="210" w:firstLineChars="100"/>
        <w:rPr>
          <w:rFonts w:hint="eastAsia" w:hAnsi="宋体" w:cs="宋体"/>
          <w:color w:val="000000"/>
          <w:sz w:val="21"/>
          <w:szCs w:val="21"/>
        </w:rPr>
      </w:pPr>
      <w:r>
        <w:rPr>
          <w:rFonts w:hint="eastAsia" w:hAnsi="宋体" w:cs="宋体"/>
          <w:color w:val="000000"/>
          <w:sz w:val="21"/>
          <w:szCs w:val="21"/>
        </w:rPr>
        <w:t>★2．投标计量单位，招标文件已有明确规定的，使用招标文件规定的计量单位；招标文件没有规定的，应采用中华人民共和国法定计量单位（货币单位：人民币元），否则视同未响应。</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66" w:name="_Toc463726801"/>
      <w:bookmarkStart w:id="67" w:name="_Toc28562"/>
      <w:bookmarkStart w:id="68" w:name="_Toc8930"/>
      <w:r>
        <w:rPr>
          <w:rFonts w:hint="eastAsia" w:ascii="宋体" w:hAnsi="宋体" w:cs="宋体"/>
          <w:color w:val="000000"/>
          <w:sz w:val="21"/>
          <w:szCs w:val="21"/>
        </w:rPr>
        <w:t>（</w:t>
      </w:r>
      <w:r>
        <w:rPr>
          <w:rFonts w:hint="eastAsia" w:ascii="宋体" w:hAnsi="宋体" w:cs="宋体"/>
          <w:color w:val="000000"/>
          <w:sz w:val="21"/>
          <w:szCs w:val="21"/>
          <w:lang w:eastAsia="zh-CN"/>
        </w:rPr>
        <w:t>四</w:t>
      </w:r>
      <w:r>
        <w:rPr>
          <w:rFonts w:hint="eastAsia" w:ascii="宋体" w:hAnsi="宋体" w:cs="宋体"/>
          <w:color w:val="000000"/>
          <w:sz w:val="21"/>
          <w:szCs w:val="21"/>
        </w:rPr>
        <w:t>）投标报价</w:t>
      </w:r>
      <w:bookmarkEnd w:id="66"/>
      <w:bookmarkEnd w:id="67"/>
      <w:bookmarkEnd w:id="68"/>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1．投标报价应按招标文件中相关附表格式填写。</w:t>
      </w:r>
    </w:p>
    <w:p>
      <w:pPr>
        <w:pStyle w:val="27"/>
        <w:snapToGrid w:val="0"/>
        <w:spacing w:before="0" w:beforeLines="0" w:after="0" w:afterLines="0" w:line="440" w:lineRule="exact"/>
        <w:ind w:firstLine="210" w:firstLineChars="100"/>
        <w:rPr>
          <w:rFonts w:hint="eastAsia" w:hAnsi="宋体" w:cs="宋体"/>
          <w:color w:val="000000"/>
          <w:sz w:val="21"/>
          <w:szCs w:val="21"/>
        </w:rPr>
      </w:pPr>
      <w:r>
        <w:rPr>
          <w:rFonts w:hint="eastAsia" w:hAnsi="宋体" w:cs="宋体"/>
          <w:color w:val="000000"/>
          <w:sz w:val="21"/>
          <w:szCs w:val="21"/>
        </w:rPr>
        <w:t>★2．投标文件只允许有一个投标</w:t>
      </w:r>
      <w:r>
        <w:rPr>
          <w:rFonts w:hint="eastAsia" w:hAnsi="宋体" w:cs="宋体"/>
          <w:color w:val="000000"/>
          <w:sz w:val="21"/>
          <w:szCs w:val="21"/>
        </w:rPr>
        <w:t>报价</w:t>
      </w:r>
      <w:r>
        <w:rPr>
          <w:rFonts w:hint="eastAsia" w:hAnsi="宋体" w:cs="宋体"/>
          <w:color w:val="000000"/>
          <w:sz w:val="21"/>
          <w:szCs w:val="21"/>
        </w:rPr>
        <w:t>，有选择的或有条件的报价将不予接受。</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3．所有投标报价必须以人民币报价，对用外汇支付部分，须折合成人民币计入总价，总报价不受汇率变动影响。不接受外币报价，除非招标文件另有要求。</w:t>
      </w:r>
    </w:p>
    <w:p>
      <w:pPr>
        <w:pStyle w:val="27"/>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4．本项目投标应以含税人民币报价，投标报价是履行合同的最终价格，应包括完成采购内容涉及的所有费用。</w:t>
      </w:r>
    </w:p>
    <w:p>
      <w:pPr>
        <w:pStyle w:val="7"/>
        <w:snapToGrid w:val="0"/>
        <w:spacing w:before="0" w:after="0" w:line="440" w:lineRule="exact"/>
        <w:ind w:left="0" w:leftChars="0" w:firstLine="0" w:firstLineChars="0"/>
        <w:jc w:val="both"/>
        <w:rPr>
          <w:rFonts w:hint="eastAsia" w:ascii="宋体" w:hAnsi="宋体" w:cs="宋体"/>
          <w:color w:val="000000"/>
          <w:sz w:val="21"/>
          <w:szCs w:val="21"/>
        </w:rPr>
      </w:pPr>
      <w:bookmarkStart w:id="69" w:name="_Toc463726802"/>
      <w:bookmarkStart w:id="70" w:name="_Toc13779"/>
      <w:bookmarkStart w:id="71" w:name="_Toc8691"/>
      <w:r>
        <w:rPr>
          <w:rFonts w:hint="eastAsia" w:ascii="宋体" w:hAnsi="宋体" w:cs="宋体"/>
          <w:color w:val="000000"/>
          <w:sz w:val="21"/>
          <w:szCs w:val="21"/>
        </w:rPr>
        <w:t>（</w:t>
      </w:r>
      <w:r>
        <w:rPr>
          <w:rFonts w:hint="eastAsia" w:ascii="宋体" w:hAnsi="宋体" w:cs="宋体"/>
          <w:color w:val="000000"/>
          <w:sz w:val="21"/>
          <w:szCs w:val="21"/>
          <w:lang w:eastAsia="zh-CN"/>
        </w:rPr>
        <w:t>五</w:t>
      </w:r>
      <w:r>
        <w:rPr>
          <w:rFonts w:hint="eastAsia" w:ascii="宋体" w:hAnsi="宋体" w:cs="宋体"/>
          <w:color w:val="000000"/>
          <w:sz w:val="21"/>
          <w:szCs w:val="21"/>
        </w:rPr>
        <w:t>）投标文件的有效期</w:t>
      </w:r>
      <w:bookmarkEnd w:id="69"/>
      <w:bookmarkEnd w:id="70"/>
      <w:bookmarkEnd w:id="71"/>
    </w:p>
    <w:p>
      <w:pPr>
        <w:pStyle w:val="17"/>
        <w:widowControl w:val="0"/>
        <w:tabs>
          <w:tab w:val="clear" w:pos="454"/>
        </w:tabs>
        <w:snapToGrid w:val="0"/>
        <w:spacing w:after="0" w:afterLines="0" w:line="440" w:lineRule="exact"/>
        <w:rPr>
          <w:rFonts w:hint="eastAsia" w:ascii="宋体" w:hAnsi="宋体" w:cs="宋体"/>
          <w:color w:val="000000"/>
          <w:sz w:val="21"/>
          <w:szCs w:val="21"/>
        </w:rPr>
      </w:pPr>
      <w:r>
        <w:rPr>
          <w:rFonts w:hint="eastAsia" w:ascii="宋体" w:hAnsi="宋体" w:cs="宋体"/>
          <w:color w:val="000000"/>
          <w:sz w:val="21"/>
          <w:szCs w:val="21"/>
        </w:rPr>
        <w:t>★1．自投标截止日起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天投标文件应保持有效，有效期不足的投标文件将被拒绝。</w:t>
      </w:r>
    </w:p>
    <w:p>
      <w:pPr>
        <w:pStyle w:val="17"/>
        <w:widowControl w:val="0"/>
        <w:tabs>
          <w:tab w:val="clear" w:pos="454"/>
        </w:tabs>
        <w:snapToGrid w:val="0"/>
        <w:spacing w:after="0" w:afterLines="0" w:line="440" w:lineRule="exact"/>
        <w:ind w:left="0" w:firstLine="411" w:firstLineChars="196"/>
        <w:rPr>
          <w:rFonts w:hint="eastAsia" w:ascii="宋体" w:hAnsi="宋体" w:cs="宋体"/>
          <w:color w:val="000000"/>
          <w:sz w:val="21"/>
          <w:szCs w:val="21"/>
        </w:rPr>
      </w:pPr>
      <w:r>
        <w:rPr>
          <w:rFonts w:hint="eastAsia" w:ascii="宋体" w:hAnsi="宋体" w:cs="宋体"/>
          <w:color w:val="000000"/>
          <w:sz w:val="21"/>
          <w:szCs w:val="21"/>
        </w:rPr>
        <w:t>2．在特殊情况下，采购人可与投标人协商延长投标书的有效期，这种要求和答复均以书面形式进行。</w:t>
      </w:r>
    </w:p>
    <w:p>
      <w:pPr>
        <w:pStyle w:val="17"/>
        <w:widowControl w:val="0"/>
        <w:tabs>
          <w:tab w:val="clear" w:pos="454"/>
        </w:tabs>
        <w:snapToGrid w:val="0"/>
        <w:spacing w:after="0" w:afterLines="0" w:line="440" w:lineRule="exact"/>
        <w:ind w:left="0" w:firstLine="411" w:firstLineChars="196"/>
        <w:rPr>
          <w:rFonts w:hint="eastAsia" w:ascii="宋体" w:hAnsi="宋体" w:cs="宋体"/>
          <w:color w:val="000000"/>
          <w:sz w:val="21"/>
          <w:szCs w:val="21"/>
        </w:rPr>
      </w:pPr>
      <w:r>
        <w:rPr>
          <w:rFonts w:hint="eastAsia" w:ascii="宋体" w:hAnsi="宋体" w:cs="宋体"/>
          <w:color w:val="000000"/>
          <w:sz w:val="21"/>
          <w:szCs w:val="21"/>
        </w:rPr>
        <w:t xml:space="preserve">3．投标人可拒绝接受延期要求，同意延长有效期的投标人不能修改投标文件。 </w:t>
      </w:r>
    </w:p>
    <w:p>
      <w:pPr>
        <w:pStyle w:val="17"/>
        <w:widowControl w:val="0"/>
        <w:tabs>
          <w:tab w:val="clear" w:pos="454"/>
        </w:tabs>
        <w:snapToGrid w:val="0"/>
        <w:spacing w:after="0" w:afterLines="0" w:line="440" w:lineRule="exact"/>
        <w:ind w:left="0" w:firstLine="411" w:firstLineChars="196"/>
        <w:rPr>
          <w:rFonts w:hint="eastAsia" w:ascii="宋体" w:hAnsi="宋体" w:cs="宋体"/>
          <w:color w:val="000000"/>
          <w:sz w:val="21"/>
          <w:szCs w:val="21"/>
        </w:rPr>
      </w:pPr>
      <w:r>
        <w:rPr>
          <w:rFonts w:hint="eastAsia" w:ascii="宋体" w:hAnsi="宋体" w:cs="宋体"/>
          <w:color w:val="000000"/>
          <w:sz w:val="21"/>
          <w:szCs w:val="21"/>
        </w:rPr>
        <w:t>4．中标人的投标文件自开标之日起至合同履行完毕止均应保持有效。</w:t>
      </w:r>
    </w:p>
    <w:p>
      <w:pPr>
        <w:pStyle w:val="7"/>
        <w:snapToGrid w:val="0"/>
        <w:spacing w:before="0" w:after="0" w:line="440" w:lineRule="exact"/>
        <w:ind w:left="0" w:leftChars="0" w:firstLine="0" w:firstLineChars="0"/>
        <w:jc w:val="both"/>
        <w:rPr>
          <w:rFonts w:hint="eastAsia" w:ascii="宋体" w:hAnsi="宋体"/>
          <w:color w:val="000000"/>
          <w:szCs w:val="21"/>
        </w:rPr>
      </w:pPr>
      <w:bookmarkStart w:id="72" w:name="_Toc10397"/>
      <w:bookmarkStart w:id="73" w:name="_Toc1810"/>
      <w:bookmarkStart w:id="74" w:name="_Toc463726804"/>
      <w:bookmarkStart w:id="75" w:name="_Toc317685588"/>
      <w:bookmarkStart w:id="76" w:name="_Toc463726815"/>
      <w:bookmarkStart w:id="77" w:name="_Toc16604"/>
      <w:bookmarkStart w:id="78" w:name="_Toc26999"/>
      <w:r>
        <w:rPr>
          <w:rFonts w:hint="eastAsia" w:ascii="宋体" w:hAnsi="宋体" w:cs="宋体"/>
          <w:color w:val="000000"/>
          <w:sz w:val="21"/>
          <w:szCs w:val="21"/>
        </w:rPr>
        <w:t>（</w:t>
      </w:r>
      <w:r>
        <w:rPr>
          <w:rFonts w:hint="eastAsia" w:ascii="宋体" w:hAnsi="宋体" w:cs="宋体"/>
          <w:color w:val="000000"/>
          <w:sz w:val="21"/>
          <w:szCs w:val="21"/>
          <w:lang w:eastAsia="zh-CN"/>
        </w:rPr>
        <w:t>六</w:t>
      </w:r>
      <w:r>
        <w:rPr>
          <w:rFonts w:hint="eastAsia" w:ascii="宋体" w:hAnsi="宋体" w:cs="宋体"/>
          <w:color w:val="000000"/>
          <w:sz w:val="21"/>
          <w:szCs w:val="21"/>
        </w:rPr>
        <w:t>）投标文件的签署和份数</w:t>
      </w:r>
      <w:bookmarkEnd w:id="72"/>
      <w:bookmarkEnd w:id="73"/>
      <w:bookmarkEnd w:id="74"/>
    </w:p>
    <w:p>
      <w:pPr>
        <w:spacing w:line="400" w:lineRule="exact"/>
        <w:ind w:firstLine="420" w:firstLineChars="200"/>
        <w:jc w:val="left"/>
        <w:rPr>
          <w:rFonts w:hint="eastAsia" w:ascii="宋体" w:hAnsi="宋体"/>
          <w:bCs/>
          <w:color w:val="000000"/>
          <w:szCs w:val="21"/>
        </w:rPr>
      </w:pPr>
      <w:r>
        <w:rPr>
          <w:rFonts w:hint="eastAsia" w:ascii="宋体" w:hAnsi="宋体"/>
          <w:bCs/>
          <w:color w:val="000000"/>
          <w:szCs w:val="21"/>
        </w:rPr>
        <w:t>1</w:t>
      </w:r>
      <w:r>
        <w:rPr>
          <w:rFonts w:hint="eastAsia" w:ascii="宋体" w:hAnsi="宋体"/>
          <w:bCs/>
          <w:color w:val="000000"/>
          <w:szCs w:val="21"/>
          <w:lang w:val="en-US" w:eastAsia="zh-CN"/>
        </w:rPr>
        <w:t>.</w:t>
      </w:r>
      <w:r>
        <w:rPr>
          <w:rFonts w:hint="eastAsia" w:ascii="宋体" w:hAnsi="宋体"/>
          <w:bCs/>
          <w:color w:val="000000"/>
          <w:szCs w:val="21"/>
        </w:rPr>
        <w:t>投标人应按本采购文件规定的格式和顺序编制投标文件并标注页码，投标文件内容不完整、编排混乱</w:t>
      </w:r>
      <w:r>
        <w:rPr>
          <w:rFonts w:hint="eastAsia" w:ascii="宋体" w:hAnsi="宋体"/>
          <w:bCs/>
          <w:color w:val="000000"/>
          <w:szCs w:val="21"/>
          <w:lang w:eastAsia="zh-CN"/>
        </w:rPr>
        <w:t>、未正确关联定位</w:t>
      </w:r>
      <w:r>
        <w:rPr>
          <w:rFonts w:hint="eastAsia" w:ascii="宋体" w:hAnsi="宋体"/>
          <w:bCs/>
          <w:color w:val="000000"/>
          <w:szCs w:val="21"/>
        </w:rPr>
        <w:t>导致投标文件被误读、漏读或者查找不到相关内容的，是投标人的责任。</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lang w:val="en-US" w:eastAsia="zh-CN"/>
        </w:rPr>
        <w:t>2</w:t>
      </w:r>
      <w:r>
        <w:rPr>
          <w:rFonts w:hint="eastAsia" w:ascii="宋体" w:hAnsi="宋体"/>
          <w:b/>
          <w:color w:val="000000"/>
          <w:szCs w:val="21"/>
          <w:lang w:val="en-US" w:eastAsia="zh-CN"/>
        </w:rPr>
        <w:t>.</w:t>
      </w:r>
      <w:r>
        <w:rPr>
          <w:rFonts w:hint="eastAsia" w:ascii="宋体" w:hAnsi="宋体"/>
          <w:b/>
          <w:color w:val="000000"/>
          <w:szCs w:val="21"/>
        </w:rPr>
        <w:t>电子投标文件部分：投标人应根据“政采云</w:t>
      </w:r>
      <w:r>
        <w:rPr>
          <w:rFonts w:hint="eastAsia" w:ascii="宋体" w:hAnsi="宋体"/>
          <w:b/>
          <w:color w:val="000000"/>
          <w:szCs w:val="21"/>
          <w:lang w:eastAsia="zh-CN"/>
        </w:rPr>
        <w:t>投标人</w:t>
      </w:r>
      <w:r>
        <w:rPr>
          <w:rFonts w:hint="eastAsia" w:ascii="宋体" w:hAnsi="宋体"/>
          <w:b/>
          <w:color w:val="000000"/>
          <w:szCs w:val="21"/>
        </w:rPr>
        <w:t>项目采购-电子招投标操作指南”及本招标文件规定的格式和顺序编制电子投标文件并进行关联定位；电子投标文件中须加盖</w:t>
      </w:r>
      <w:r>
        <w:rPr>
          <w:rFonts w:hint="eastAsia" w:ascii="宋体" w:hAnsi="宋体"/>
          <w:b/>
          <w:color w:val="000000"/>
          <w:szCs w:val="21"/>
          <w:lang w:eastAsia="zh-CN"/>
        </w:rPr>
        <w:t>投标人</w:t>
      </w:r>
      <w:r>
        <w:rPr>
          <w:rFonts w:hint="eastAsia" w:ascii="宋体" w:hAnsi="宋体"/>
          <w:b/>
          <w:color w:val="000000"/>
          <w:szCs w:val="21"/>
        </w:rPr>
        <w:t>公章部分均采用CA签章，签字部分可用CA锁法人章（如有），未申请法人章的将签名部分签好后以扫描件形式上传至投标文件（具体操作请咨询政采云400-881-7190）。</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lang w:val="en-US" w:eastAsia="zh-CN"/>
        </w:rPr>
        <w:t>3.</w:t>
      </w:r>
      <w:r>
        <w:rPr>
          <w:rFonts w:hint="eastAsia" w:ascii="宋体" w:hAnsi="宋体"/>
          <w:b/>
          <w:color w:val="000000"/>
          <w:szCs w:val="21"/>
        </w:rPr>
        <w:t>以U盘存储的备份投标文件部分：电子投标文件的备份文件，以U盘形式存储，并单独密封递交。</w:t>
      </w:r>
      <w:r>
        <w:rPr>
          <w:rFonts w:hint="eastAsia" w:ascii="宋体" w:hAnsi="宋体" w:cs="宋体"/>
          <w:b/>
          <w:bCs/>
          <w:color w:val="000000"/>
          <w:szCs w:val="21"/>
          <w:lang w:eastAsia="zh-CN"/>
        </w:rPr>
        <w:t>电子备份投标文件不作实质性要求，是否提交由投标人自行决定。</w:t>
      </w:r>
    </w:p>
    <w:p>
      <w:pPr>
        <w:adjustRightInd w:val="0"/>
        <w:snapToGrid w:val="0"/>
        <w:spacing w:line="440" w:lineRule="exact"/>
        <w:jc w:val="left"/>
        <w:outlineLvl w:val="2"/>
        <w:rPr>
          <w:rFonts w:ascii="宋体" w:hAnsi="宋体"/>
          <w:b/>
          <w:color w:val="000000"/>
          <w:szCs w:val="21"/>
        </w:rPr>
      </w:pPr>
      <w:r>
        <w:rPr>
          <w:rFonts w:hint="eastAsia" w:ascii="宋体" w:hAnsi="宋体"/>
          <w:b/>
          <w:color w:val="000000"/>
          <w:szCs w:val="21"/>
        </w:rPr>
        <w:t>（七）投标文件的密封和标记</w:t>
      </w:r>
    </w:p>
    <w:p>
      <w:pPr>
        <w:adjustRightInd w:val="0"/>
        <w:snapToGrid w:val="0"/>
        <w:spacing w:line="440" w:lineRule="exact"/>
        <w:ind w:firstLine="420" w:firstLineChars="200"/>
        <w:jc w:val="left"/>
        <w:rPr>
          <w:rFonts w:hint="eastAsia" w:ascii="宋体" w:hAnsi="宋体"/>
          <w:color w:val="000000"/>
          <w:szCs w:val="21"/>
        </w:rPr>
      </w:pPr>
      <w:bookmarkStart w:id="79" w:name="_Toc25507"/>
      <w:bookmarkStart w:id="80" w:name="_Toc16256"/>
      <w:bookmarkStart w:id="81" w:name="_Toc463726805"/>
      <w:bookmarkStart w:id="82" w:name="_Toc29964"/>
      <w:bookmarkStart w:id="83" w:name="_Toc463726806"/>
      <w:bookmarkStart w:id="84" w:name="_Toc22883"/>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电子投标文件：</w:t>
      </w:r>
      <w:r>
        <w:rPr>
          <w:rFonts w:hint="eastAsia" w:ascii="宋体" w:hAnsi="宋体"/>
          <w:color w:val="000000"/>
          <w:szCs w:val="21"/>
          <w:lang w:eastAsia="zh-CN"/>
        </w:rPr>
        <w:t>投标人</w:t>
      </w:r>
      <w:r>
        <w:rPr>
          <w:rFonts w:hint="eastAsia" w:ascii="宋体" w:hAnsi="宋体"/>
          <w:color w:val="000000"/>
          <w:szCs w:val="21"/>
        </w:rPr>
        <w:t>应根据“项目采购-电子招投标操作指南”及本招标文件规定的格式和顺序编制电子投标文件并进行关联定位。</w:t>
      </w:r>
    </w:p>
    <w:p>
      <w:pPr>
        <w:adjustRightInd w:val="0"/>
        <w:snapToGrid w:val="0"/>
        <w:spacing w:line="440" w:lineRule="exact"/>
        <w:ind w:firstLine="422" w:firstLineChars="200"/>
        <w:jc w:val="left"/>
        <w:rPr>
          <w:rFonts w:hint="eastAsia" w:ascii="宋体" w:hAnsi="宋体"/>
          <w:b/>
          <w:bCs/>
          <w:color w:val="000000"/>
          <w:szCs w:val="21"/>
        </w:rPr>
      </w:pPr>
      <w:r>
        <w:rPr>
          <w:rFonts w:hint="eastAsia" w:ascii="宋体" w:hAnsi="宋体"/>
          <w:b/>
          <w:bCs/>
          <w:color w:val="000000"/>
          <w:szCs w:val="21"/>
          <w:lang w:val="en-US" w:eastAsia="zh-CN"/>
        </w:rPr>
        <w:t>2</w:t>
      </w:r>
      <w:r>
        <w:rPr>
          <w:rFonts w:hint="eastAsia" w:ascii="宋体" w:hAnsi="宋体"/>
          <w:b/>
          <w:bCs/>
          <w:color w:val="000000"/>
          <w:szCs w:val="21"/>
          <w:lang w:val="en-US" w:eastAsia="zh-CN"/>
        </w:rPr>
        <w:t>.</w:t>
      </w:r>
      <w:r>
        <w:rPr>
          <w:rFonts w:hint="eastAsia" w:ascii="宋体" w:hAnsi="宋体" w:cs="宋体"/>
          <w:b/>
          <w:bCs/>
          <w:color w:val="000000"/>
          <w:kern w:val="0"/>
          <w:szCs w:val="21"/>
        </w:rPr>
        <w:t>电子备份投标文件：单独包封，外包装封面上应注明投标人名称、投标人地址、投标文件名称（电子投标文件的备份文件）、投标项目名称、项目编号及</w:t>
      </w:r>
      <w:r>
        <w:rPr>
          <w:rFonts w:hint="eastAsia" w:ascii="宋体" w:hAnsi="宋体" w:cs="宋体"/>
          <w:b/>
          <w:bCs/>
          <w:color w:val="000000"/>
          <w:szCs w:val="21"/>
        </w:rPr>
        <w:t>“投标文件于投标截止时间前不得启封”</w:t>
      </w:r>
      <w:r>
        <w:rPr>
          <w:rFonts w:hint="eastAsia" w:ascii="宋体" w:hAnsi="宋体" w:cs="宋体"/>
          <w:b/>
          <w:bCs/>
          <w:color w:val="000000"/>
          <w:kern w:val="0"/>
          <w:szCs w:val="21"/>
        </w:rPr>
        <w:t>字样，并加盖投标人公章。</w:t>
      </w:r>
    </w:p>
    <w:p>
      <w:pPr>
        <w:adjustRightInd w:val="0"/>
        <w:snapToGrid w:val="0"/>
        <w:spacing w:line="440" w:lineRule="exact"/>
        <w:ind w:firstLine="420"/>
        <w:jc w:val="left"/>
        <w:rPr>
          <w:rFonts w:hint="eastAsia" w:ascii="宋体" w:hAnsi="宋体"/>
          <w:b/>
          <w:color w:val="000000"/>
          <w:szCs w:val="21"/>
        </w:rPr>
      </w:pPr>
      <w:r>
        <w:rPr>
          <w:rFonts w:hint="eastAsia" w:ascii="宋体" w:hAnsi="宋体"/>
          <w:b/>
          <w:color w:val="000000"/>
          <w:szCs w:val="21"/>
          <w:lang w:val="en-US" w:eastAsia="zh-CN"/>
        </w:rPr>
        <w:t>3.</w:t>
      </w:r>
      <w:r>
        <w:rPr>
          <w:rFonts w:hint="eastAsia" w:ascii="宋体" w:hAnsi="宋体"/>
          <w:b/>
          <w:color w:val="000000"/>
          <w:szCs w:val="21"/>
        </w:rPr>
        <w:t>未按规定密封或标记的投标文件，</w:t>
      </w:r>
      <w:r>
        <w:rPr>
          <w:rFonts w:hint="eastAsia" w:ascii="宋体" w:hAnsi="宋体"/>
          <w:b/>
          <w:color w:val="000000"/>
          <w:szCs w:val="21"/>
          <w:lang w:eastAsia="zh-CN"/>
        </w:rPr>
        <w:t>采购人</w:t>
      </w:r>
      <w:r>
        <w:rPr>
          <w:rFonts w:hint="eastAsia" w:ascii="宋体" w:hAnsi="宋体"/>
          <w:b/>
          <w:color w:val="000000"/>
          <w:szCs w:val="21"/>
        </w:rPr>
        <w:t>有权拒绝接受其投标。</w:t>
      </w:r>
    </w:p>
    <w:p>
      <w:pPr>
        <w:adjustRightInd w:val="0"/>
        <w:snapToGrid w:val="0"/>
        <w:spacing w:line="440" w:lineRule="exact"/>
        <w:ind w:firstLine="420"/>
        <w:jc w:val="left"/>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如果投标人未按上述要求密封或标记而造成投标文件被误投或提前拆封的风险由投标人承担。</w:t>
      </w:r>
    </w:p>
    <w:p>
      <w:pPr>
        <w:adjustRightInd w:val="0"/>
        <w:snapToGrid w:val="0"/>
        <w:spacing w:line="440" w:lineRule="exact"/>
        <w:ind w:firstLine="420"/>
        <w:jc w:val="left"/>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s="宋体"/>
          <w:color w:val="000000"/>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bookmarkEnd w:id="79"/>
    <w:bookmarkEnd w:id="80"/>
    <w:bookmarkEnd w:id="81"/>
    <w:p>
      <w:pPr>
        <w:pStyle w:val="7"/>
        <w:adjustRightInd w:val="0"/>
        <w:snapToGrid w:val="0"/>
        <w:spacing w:before="0" w:after="0" w:line="440" w:lineRule="exact"/>
        <w:ind w:left="0" w:leftChars="0" w:firstLine="0" w:firstLineChars="0"/>
        <w:jc w:val="both"/>
        <w:rPr>
          <w:rFonts w:hint="eastAsia" w:ascii="宋体" w:hAnsi="宋体" w:cs="宋体"/>
          <w:color w:val="000000"/>
          <w:spacing w:val="0"/>
          <w:sz w:val="21"/>
          <w:szCs w:val="21"/>
        </w:rPr>
      </w:pPr>
      <w:r>
        <w:rPr>
          <w:rFonts w:hint="eastAsia" w:ascii="宋体" w:hAnsi="宋体" w:cs="宋体"/>
          <w:color w:val="000000"/>
          <w:spacing w:val="0"/>
          <w:sz w:val="21"/>
          <w:szCs w:val="21"/>
        </w:rPr>
        <w:t>（</w:t>
      </w:r>
      <w:r>
        <w:rPr>
          <w:rFonts w:hint="eastAsia" w:ascii="宋体" w:hAnsi="宋体" w:cs="宋体"/>
          <w:color w:val="000000"/>
          <w:spacing w:val="0"/>
          <w:sz w:val="21"/>
          <w:szCs w:val="21"/>
          <w:lang w:eastAsia="zh-CN"/>
        </w:rPr>
        <w:t>八</w:t>
      </w:r>
      <w:r>
        <w:rPr>
          <w:rFonts w:hint="eastAsia" w:ascii="宋体" w:hAnsi="宋体" w:cs="宋体"/>
          <w:color w:val="000000"/>
          <w:spacing w:val="0"/>
          <w:sz w:val="21"/>
          <w:szCs w:val="21"/>
        </w:rPr>
        <w:t>）投标无效的情形</w:t>
      </w:r>
      <w:bookmarkEnd w:id="82"/>
      <w:bookmarkEnd w:id="83"/>
      <w:bookmarkEnd w:id="84"/>
      <w:bookmarkStart w:id="85" w:name="_Toc463726807"/>
      <w:bookmarkStart w:id="86" w:name="_Toc20578"/>
      <w:bookmarkStart w:id="87" w:name="_Toc32277"/>
    </w:p>
    <w:p>
      <w:pPr>
        <w:adjustRightInd w:val="0"/>
        <w:snapToGrid w:val="0"/>
        <w:spacing w:line="440" w:lineRule="exact"/>
        <w:ind w:firstLine="420" w:firstLineChars="200"/>
        <w:jc w:val="left"/>
        <w:rPr>
          <w:rFonts w:hint="eastAsia" w:ascii="宋体" w:hAnsi="宋体"/>
          <w:color w:val="000000"/>
          <w:spacing w:val="0"/>
          <w:szCs w:val="21"/>
        </w:rPr>
      </w:pPr>
      <w:r>
        <w:rPr>
          <w:rFonts w:hint="eastAsia" w:ascii="宋体" w:hAnsi="宋体"/>
          <w:color w:val="000000"/>
          <w:spacing w:val="0"/>
          <w:szCs w:val="21"/>
        </w:rPr>
        <w:t>实质上没有响应招标文件要求的投标将被视为无效投标。投标人不得通过修正或撤消不合要求的偏离或保留从而使其投标成为实质上响应的投标。</w:t>
      </w:r>
    </w:p>
    <w:p>
      <w:pPr>
        <w:pStyle w:val="21"/>
        <w:adjustRightInd w:val="0"/>
        <w:snapToGrid w:val="0"/>
        <w:spacing w:line="440" w:lineRule="exact"/>
        <w:ind w:firstLine="422" w:firstLineChars="200"/>
        <w:rPr>
          <w:b/>
          <w:color w:val="000000"/>
          <w:spacing w:val="0"/>
          <w:szCs w:val="24"/>
        </w:rPr>
      </w:pPr>
      <w:r>
        <w:rPr>
          <w:rFonts w:hint="eastAsia" w:ascii="宋体" w:hAnsi="宋体" w:cs="宋体"/>
          <w:b/>
          <w:bCs/>
          <w:color w:val="000000"/>
          <w:spacing w:val="0"/>
          <w:szCs w:val="21"/>
        </w:rPr>
        <w:t>1．</w:t>
      </w:r>
      <w:r>
        <w:rPr>
          <w:rFonts w:hint="eastAsia"/>
          <w:b/>
          <w:color w:val="000000"/>
          <w:spacing w:val="0"/>
          <w:szCs w:val="24"/>
        </w:rPr>
        <w:t>在资格审查、符合性审查和商务评审时，如发现下列情形之一的，将被视为无效投标文件：</w:t>
      </w:r>
    </w:p>
    <w:p>
      <w:pPr>
        <w:adjustRightInd w:val="0"/>
        <w:snapToGrid w:val="0"/>
        <w:spacing w:line="440" w:lineRule="exact"/>
        <w:ind w:firstLine="420" w:firstLineChars="200"/>
        <w:rPr>
          <w:rFonts w:hint="eastAsia" w:ascii="宋体" w:hAnsi="宋体" w:cs="宋体"/>
          <w:color w:val="000000"/>
          <w:spacing w:val="0"/>
        </w:rPr>
      </w:pPr>
      <w:r>
        <w:rPr>
          <w:rFonts w:hint="eastAsia" w:ascii="宋体" w:hAnsi="宋体" w:cs="宋体"/>
          <w:color w:val="000000"/>
          <w:spacing w:val="0"/>
        </w:rPr>
        <w:t>（1）资格证明文件不全的或者不符合采购文件标明的资格要求的；</w:t>
      </w:r>
    </w:p>
    <w:p>
      <w:pPr>
        <w:adjustRightInd w:val="0"/>
        <w:snapToGrid w:val="0"/>
        <w:spacing w:line="440" w:lineRule="exact"/>
        <w:ind w:firstLine="420" w:firstLineChars="200"/>
        <w:rPr>
          <w:rFonts w:hint="eastAsia" w:ascii="宋体" w:hAnsi="宋体" w:cs="宋体"/>
          <w:color w:val="000000"/>
          <w:spacing w:val="0"/>
          <w:highlight w:val="none"/>
        </w:rPr>
      </w:pPr>
      <w:r>
        <w:rPr>
          <w:rFonts w:hint="eastAsia" w:ascii="宋体" w:hAnsi="宋体" w:cs="宋体"/>
          <w:color w:val="000000"/>
          <w:spacing w:val="0"/>
        </w:rPr>
        <w:t>（2）</w:t>
      </w:r>
      <w:r>
        <w:rPr>
          <w:rFonts w:hint="eastAsia" w:ascii="宋体" w:hAnsi="宋体" w:cs="宋体"/>
          <w:color w:val="000000"/>
          <w:spacing w:val="0"/>
          <w:highlight w:val="none"/>
        </w:rPr>
        <w:t>投标声明书填写项目不齐全的；</w:t>
      </w:r>
    </w:p>
    <w:p>
      <w:pPr>
        <w:adjustRightInd w:val="0"/>
        <w:snapToGrid w:val="0"/>
        <w:spacing w:line="440" w:lineRule="exact"/>
        <w:ind w:firstLine="420" w:firstLineChars="200"/>
        <w:rPr>
          <w:rFonts w:hint="eastAsia" w:ascii="宋体" w:hAnsi="宋体" w:cs="宋体"/>
          <w:color w:val="000000"/>
          <w:spacing w:val="0"/>
          <w:highlight w:val="none"/>
        </w:rPr>
      </w:pPr>
      <w:r>
        <w:rPr>
          <w:rFonts w:hint="eastAsia" w:ascii="宋体" w:hAnsi="宋体" w:cs="宋体"/>
          <w:color w:val="000000"/>
          <w:spacing w:val="0"/>
          <w:highlight w:val="none"/>
        </w:rPr>
        <w:t>（3）未按招标文件要求盖章</w:t>
      </w:r>
      <w:r>
        <w:rPr>
          <w:rFonts w:hint="eastAsia" w:ascii="宋体" w:hAnsi="宋体" w:cs="宋体"/>
          <w:color w:val="000000"/>
          <w:spacing w:val="0"/>
          <w:highlight w:val="none"/>
          <w:lang w:eastAsia="zh-CN"/>
        </w:rPr>
        <w:t>或签字</w:t>
      </w:r>
      <w:r>
        <w:rPr>
          <w:rFonts w:hint="eastAsia" w:ascii="宋体" w:hAnsi="宋体" w:cs="宋体"/>
          <w:color w:val="000000"/>
          <w:spacing w:val="0"/>
          <w:highlight w:val="none"/>
        </w:rPr>
        <w:t>的；</w:t>
      </w:r>
    </w:p>
    <w:p>
      <w:pPr>
        <w:adjustRightInd w:val="0"/>
        <w:snapToGrid w:val="0"/>
        <w:spacing w:line="440" w:lineRule="exact"/>
        <w:ind w:firstLine="420" w:firstLineChars="200"/>
        <w:rPr>
          <w:rFonts w:hint="eastAsia" w:ascii="宋体" w:hAnsi="宋体" w:cs="宋体"/>
          <w:color w:val="000000"/>
          <w:spacing w:val="0"/>
        </w:rPr>
      </w:pPr>
      <w:r>
        <w:rPr>
          <w:rFonts w:hint="eastAsia" w:ascii="宋体" w:hAnsi="宋体" w:cs="宋体"/>
          <w:color w:val="000000"/>
          <w:spacing w:val="0"/>
        </w:rPr>
        <w:t>（4）投标文件格式不规范、项目不齐全或者内容虚假的；</w:t>
      </w:r>
    </w:p>
    <w:p>
      <w:pPr>
        <w:adjustRightInd w:val="0"/>
        <w:snapToGrid w:val="0"/>
        <w:spacing w:line="440" w:lineRule="exact"/>
        <w:ind w:firstLine="420" w:firstLineChars="200"/>
        <w:rPr>
          <w:rFonts w:hint="eastAsia" w:ascii="宋体" w:hAnsi="宋体" w:cs="宋体"/>
          <w:color w:val="000000"/>
          <w:spacing w:val="0"/>
        </w:rPr>
      </w:pPr>
      <w:r>
        <w:rPr>
          <w:rFonts w:hint="eastAsia" w:ascii="宋体" w:hAnsi="宋体" w:cs="宋体"/>
          <w:color w:val="000000"/>
          <w:spacing w:val="0"/>
        </w:rPr>
        <w:t>（5）投标文件的实质性内容未使用中文表述、意思表述不明确、前后矛盾或者使用计量单位不符合采购文件要求的（经评标委员会认定并允许其当场更正的笔误除外）；</w:t>
      </w:r>
    </w:p>
    <w:p>
      <w:pPr>
        <w:adjustRightInd w:val="0"/>
        <w:snapToGrid w:val="0"/>
        <w:spacing w:line="440" w:lineRule="exact"/>
        <w:ind w:firstLine="420" w:firstLineChars="200"/>
        <w:rPr>
          <w:rFonts w:hint="eastAsia" w:ascii="宋体" w:hAnsi="宋体" w:cs="宋体"/>
          <w:color w:val="000000"/>
          <w:spacing w:val="0"/>
        </w:rPr>
      </w:pPr>
      <w:r>
        <w:rPr>
          <w:rFonts w:hint="eastAsia" w:ascii="宋体" w:hAnsi="宋体" w:cs="宋体"/>
          <w:color w:val="000000"/>
          <w:spacing w:val="0"/>
        </w:rPr>
        <w:t>（6）投标有效期不能满足采购文件要求的；</w:t>
      </w:r>
    </w:p>
    <w:p>
      <w:pPr>
        <w:adjustRightInd w:val="0"/>
        <w:snapToGrid w:val="0"/>
        <w:spacing w:line="440" w:lineRule="exact"/>
        <w:ind w:firstLine="420" w:firstLineChars="200"/>
        <w:rPr>
          <w:rFonts w:hint="eastAsia" w:ascii="宋体" w:hAnsi="宋体" w:cs="宋体"/>
          <w:color w:val="000000"/>
          <w:spacing w:val="0"/>
        </w:rPr>
      </w:pPr>
      <w:r>
        <w:rPr>
          <w:rFonts w:hint="eastAsia" w:ascii="宋体" w:hAnsi="宋体" w:cs="宋体"/>
          <w:color w:val="000000"/>
          <w:spacing w:val="0"/>
        </w:rPr>
        <w:t>（7）带</w:t>
      </w:r>
      <w:r>
        <w:rPr>
          <w:rFonts w:hint="eastAsia" w:ascii="宋体" w:hAnsi="宋体" w:cs="宋体"/>
          <w:color w:val="000000"/>
          <w:spacing w:val="0"/>
          <w:szCs w:val="21"/>
        </w:rPr>
        <w:t>“★”</w:t>
      </w:r>
      <w:r>
        <w:rPr>
          <w:rFonts w:hint="eastAsia" w:ascii="宋体" w:hAnsi="宋体" w:cs="宋体"/>
          <w:color w:val="000000"/>
          <w:spacing w:val="0"/>
        </w:rPr>
        <w:t>的条款不能满足采购文件要求、未实质性响应采购文件要求或者投标文件有采购方不能接受的附加条件的。</w:t>
      </w:r>
    </w:p>
    <w:p>
      <w:pPr>
        <w:adjustRightInd w:val="0"/>
        <w:snapToGrid w:val="0"/>
        <w:spacing w:line="440" w:lineRule="exact"/>
        <w:ind w:firstLine="420" w:firstLineChars="200"/>
        <w:rPr>
          <w:rFonts w:hint="eastAsia" w:ascii="宋体" w:hAnsi="宋体" w:cs="宋体"/>
          <w:color w:val="000000"/>
          <w:spacing w:val="0"/>
        </w:rPr>
      </w:pPr>
      <w:r>
        <w:rPr>
          <w:rFonts w:hint="eastAsia" w:ascii="宋体" w:hAnsi="宋体" w:cs="宋体"/>
          <w:color w:val="000000"/>
          <w:spacing w:val="0"/>
          <w:lang w:eastAsia="zh-CN"/>
        </w:rPr>
        <w:t>（</w:t>
      </w:r>
      <w:r>
        <w:rPr>
          <w:rFonts w:hint="eastAsia" w:ascii="宋体" w:hAnsi="宋体" w:cs="宋体"/>
          <w:color w:val="000000"/>
          <w:spacing w:val="0"/>
          <w:lang w:val="en-US" w:eastAsia="zh-CN"/>
        </w:rPr>
        <w:t>8</w:t>
      </w:r>
      <w:r>
        <w:rPr>
          <w:rFonts w:hint="eastAsia" w:ascii="宋体" w:hAnsi="宋体" w:cs="宋体"/>
          <w:color w:val="000000"/>
          <w:spacing w:val="0"/>
          <w:lang w:eastAsia="zh-CN"/>
        </w:rPr>
        <w:t>）</w:t>
      </w:r>
      <w:r>
        <w:rPr>
          <w:rFonts w:hint="eastAsia" w:ascii="宋体" w:hAnsi="宋体" w:cs="宋体"/>
          <w:color w:val="000000"/>
          <w:spacing w:val="0"/>
        </w:rPr>
        <w:t>不同投标人的投标文件出自同一终端设备或在相同Internet主机分配地址（相同IP地址）网上报名投标。</w:t>
      </w:r>
    </w:p>
    <w:p>
      <w:pPr>
        <w:pStyle w:val="5"/>
        <w:adjustRightInd w:val="0"/>
        <w:snapToGrid w:val="0"/>
        <w:spacing w:line="440" w:lineRule="exact"/>
        <w:ind w:firstLine="422" w:firstLineChars="200"/>
        <w:rPr>
          <w:rFonts w:hint="eastAsia" w:hAnsi="宋体" w:cs="宋体"/>
          <w:b/>
          <w:bCs/>
          <w:color w:val="000000"/>
          <w:spacing w:val="0"/>
          <w:sz w:val="21"/>
          <w:szCs w:val="21"/>
        </w:rPr>
      </w:pPr>
      <w:r>
        <w:rPr>
          <w:rFonts w:hint="eastAsia" w:hAnsi="宋体" w:cs="宋体"/>
          <w:b/>
          <w:bCs/>
          <w:color w:val="000000"/>
          <w:spacing w:val="0"/>
          <w:sz w:val="21"/>
          <w:szCs w:val="21"/>
        </w:rPr>
        <w:t>2．在技术评审时，如发现下列情形之一的，投标文件将被视为无效：</w:t>
      </w:r>
    </w:p>
    <w:p>
      <w:pPr>
        <w:pStyle w:val="5"/>
        <w:adjustRightInd w:val="0"/>
        <w:snapToGrid w:val="0"/>
        <w:spacing w:line="440" w:lineRule="exact"/>
        <w:ind w:firstLine="420" w:firstLineChars="200"/>
        <w:rPr>
          <w:rFonts w:hint="eastAsia" w:hAnsi="宋体" w:cs="宋体"/>
          <w:color w:val="000000"/>
          <w:spacing w:val="0"/>
          <w:sz w:val="21"/>
          <w:szCs w:val="21"/>
        </w:rPr>
      </w:pPr>
      <w:r>
        <w:rPr>
          <w:rFonts w:hint="eastAsia" w:hAnsi="宋体" w:cs="宋体"/>
          <w:color w:val="000000"/>
          <w:spacing w:val="0"/>
          <w:sz w:val="21"/>
          <w:szCs w:val="21"/>
        </w:rPr>
        <w:t>（1）投标文件标明的响应或偏离与事实不符或虚假投标的；</w:t>
      </w:r>
    </w:p>
    <w:p>
      <w:pPr>
        <w:pStyle w:val="5"/>
        <w:adjustRightInd w:val="0"/>
        <w:snapToGrid w:val="0"/>
        <w:spacing w:line="440" w:lineRule="exact"/>
        <w:ind w:firstLine="420" w:firstLineChars="200"/>
        <w:rPr>
          <w:rFonts w:hint="eastAsia" w:hAnsi="宋体" w:cs="宋体"/>
          <w:color w:val="000000"/>
          <w:spacing w:val="0"/>
          <w:sz w:val="21"/>
          <w:szCs w:val="21"/>
        </w:rPr>
      </w:pPr>
      <w:r>
        <w:rPr>
          <w:rFonts w:hint="eastAsia" w:hAnsi="宋体" w:cs="宋体"/>
          <w:color w:val="000000"/>
          <w:spacing w:val="0"/>
          <w:sz w:val="21"/>
          <w:szCs w:val="21"/>
        </w:rPr>
        <w:t>（2）明显不符合招标文件要求的，或者与招标文件中标</w:t>
      </w:r>
      <w:r>
        <w:rPr>
          <w:rFonts w:hint="eastAsia" w:hAnsi="宋体" w:cs="宋体"/>
          <w:color w:val="000000"/>
          <w:spacing w:val="0"/>
          <w:sz w:val="21"/>
          <w:szCs w:val="21"/>
          <w:lang w:eastAsia="zh-CN"/>
        </w:rPr>
        <w:t>“</w:t>
      </w:r>
      <w:r>
        <w:rPr>
          <w:rFonts w:hint="eastAsia" w:hAnsi="宋体" w:cs="宋体"/>
          <w:color w:val="000000"/>
          <w:spacing w:val="0"/>
          <w:sz w:val="21"/>
          <w:szCs w:val="21"/>
        </w:rPr>
        <w:t>★</w:t>
      </w:r>
      <w:r>
        <w:rPr>
          <w:rFonts w:hint="eastAsia" w:hAnsi="宋体" w:cs="宋体"/>
          <w:color w:val="000000"/>
          <w:spacing w:val="0"/>
          <w:sz w:val="21"/>
          <w:szCs w:val="21"/>
          <w:lang w:eastAsia="zh-CN"/>
        </w:rPr>
        <w:t>”</w:t>
      </w:r>
      <w:r>
        <w:rPr>
          <w:rFonts w:hint="eastAsia" w:hAnsi="宋体" w:cs="宋体"/>
          <w:color w:val="000000"/>
          <w:spacing w:val="0"/>
          <w:sz w:val="21"/>
          <w:szCs w:val="21"/>
        </w:rPr>
        <w:t>的条款发生实质性负偏离的；</w:t>
      </w:r>
    </w:p>
    <w:p>
      <w:pPr>
        <w:pStyle w:val="5"/>
        <w:adjustRightInd w:val="0"/>
        <w:snapToGrid w:val="0"/>
        <w:spacing w:line="440" w:lineRule="exact"/>
        <w:ind w:firstLine="420" w:firstLineChars="200"/>
        <w:rPr>
          <w:rFonts w:hint="eastAsia" w:hAnsi="宋体" w:cs="宋体"/>
          <w:color w:val="000000"/>
          <w:spacing w:val="0"/>
          <w:sz w:val="21"/>
          <w:szCs w:val="21"/>
          <w:highlight w:val="none"/>
        </w:rPr>
      </w:pPr>
      <w:r>
        <w:rPr>
          <w:rFonts w:hint="eastAsia" w:hAnsi="宋体" w:cs="宋体"/>
          <w:color w:val="000000"/>
          <w:spacing w:val="0"/>
          <w:sz w:val="21"/>
          <w:szCs w:val="21"/>
        </w:rPr>
        <w:t>（</w:t>
      </w:r>
      <w:r>
        <w:rPr>
          <w:rFonts w:hint="eastAsia" w:hAnsi="宋体" w:cs="宋体"/>
          <w:color w:val="000000"/>
          <w:spacing w:val="0"/>
          <w:sz w:val="21"/>
          <w:szCs w:val="21"/>
          <w:lang w:val="en-US" w:eastAsia="zh-CN"/>
        </w:rPr>
        <w:t>3</w:t>
      </w:r>
      <w:r>
        <w:rPr>
          <w:rFonts w:hint="eastAsia" w:hAnsi="宋体" w:cs="宋体"/>
          <w:color w:val="000000"/>
          <w:spacing w:val="0"/>
          <w:sz w:val="21"/>
          <w:szCs w:val="21"/>
        </w:rPr>
        <w:t>）投标技术方案不明确，存在一个或一个以上备选（替代）投标方案的</w:t>
      </w:r>
      <w:r>
        <w:rPr>
          <w:rFonts w:hint="eastAsia" w:hAnsi="宋体" w:cs="宋体"/>
          <w:color w:val="000000"/>
          <w:spacing w:val="0"/>
          <w:sz w:val="21"/>
          <w:szCs w:val="21"/>
          <w:highlight w:val="none"/>
        </w:rPr>
        <w:t>；</w:t>
      </w:r>
    </w:p>
    <w:p>
      <w:pPr>
        <w:pStyle w:val="5"/>
        <w:adjustRightInd w:val="0"/>
        <w:snapToGrid w:val="0"/>
        <w:spacing w:line="440" w:lineRule="exact"/>
        <w:ind w:firstLine="420" w:firstLineChars="200"/>
        <w:rPr>
          <w:rFonts w:hint="eastAsia" w:hAnsi="宋体" w:cs="宋体"/>
          <w:color w:val="000000"/>
          <w:spacing w:val="0"/>
          <w:sz w:val="21"/>
          <w:szCs w:val="21"/>
          <w:lang w:eastAsia="zh-CN"/>
        </w:rPr>
      </w:pPr>
      <w:r>
        <w:rPr>
          <w:rFonts w:hint="eastAsia" w:hAnsi="宋体" w:cs="宋体"/>
          <w:color w:val="000000"/>
          <w:spacing w:val="0"/>
          <w:sz w:val="21"/>
          <w:szCs w:val="21"/>
        </w:rPr>
        <w:t>（</w:t>
      </w:r>
      <w:r>
        <w:rPr>
          <w:rFonts w:hint="eastAsia" w:hAnsi="宋体" w:cs="宋体"/>
          <w:color w:val="000000"/>
          <w:spacing w:val="0"/>
          <w:sz w:val="21"/>
          <w:szCs w:val="21"/>
          <w:lang w:val="en-US" w:eastAsia="zh-CN"/>
        </w:rPr>
        <w:t>4</w:t>
      </w:r>
      <w:r>
        <w:rPr>
          <w:rFonts w:hint="eastAsia" w:hAnsi="宋体" w:cs="宋体"/>
          <w:color w:val="000000"/>
          <w:spacing w:val="0"/>
          <w:sz w:val="21"/>
          <w:szCs w:val="21"/>
        </w:rPr>
        <w:t>）与其他参加本次投标投标人的投标文件（技术文件）的文字表述内容相同连续20行以上或者差错相同2处以上</w:t>
      </w:r>
      <w:r>
        <w:rPr>
          <w:rFonts w:hint="eastAsia" w:hAnsi="宋体" w:cs="宋体"/>
          <w:color w:val="000000"/>
          <w:spacing w:val="0"/>
          <w:sz w:val="21"/>
          <w:szCs w:val="21"/>
          <w:lang w:eastAsia="zh-CN"/>
        </w:rPr>
        <w:t>且经评标委员会多数成员认为有恶意串通情形</w:t>
      </w:r>
      <w:r>
        <w:rPr>
          <w:rFonts w:hint="eastAsia" w:hAnsi="宋体" w:cs="宋体"/>
          <w:color w:val="000000"/>
          <w:spacing w:val="0"/>
          <w:sz w:val="21"/>
          <w:szCs w:val="21"/>
        </w:rPr>
        <w:t>的</w:t>
      </w:r>
      <w:r>
        <w:rPr>
          <w:rFonts w:hint="eastAsia" w:hAnsi="宋体" w:cs="宋体"/>
          <w:color w:val="000000"/>
          <w:spacing w:val="0"/>
          <w:sz w:val="21"/>
          <w:szCs w:val="21"/>
          <w:lang w:eastAsia="zh-CN"/>
        </w:rPr>
        <w:t>。</w:t>
      </w:r>
    </w:p>
    <w:p>
      <w:pPr>
        <w:pStyle w:val="5"/>
        <w:adjustRightInd w:val="0"/>
        <w:snapToGrid w:val="0"/>
        <w:spacing w:line="440" w:lineRule="exact"/>
        <w:ind w:firstLine="422" w:firstLineChars="200"/>
        <w:rPr>
          <w:rFonts w:hint="eastAsia" w:hAnsi="宋体" w:cs="宋体"/>
          <w:b/>
          <w:bCs/>
          <w:color w:val="000000"/>
          <w:spacing w:val="0"/>
          <w:sz w:val="21"/>
          <w:szCs w:val="21"/>
        </w:rPr>
      </w:pPr>
      <w:r>
        <w:rPr>
          <w:rFonts w:hint="eastAsia" w:hAnsi="宋体" w:cs="宋体"/>
          <w:b/>
          <w:bCs/>
          <w:color w:val="000000"/>
          <w:spacing w:val="0"/>
          <w:sz w:val="21"/>
          <w:szCs w:val="21"/>
        </w:rPr>
        <w:t>3．在报价评审时，如发现下列情形之一的，投标文件将被视为无效：</w:t>
      </w:r>
    </w:p>
    <w:p>
      <w:pPr>
        <w:pStyle w:val="5"/>
        <w:adjustRightInd w:val="0"/>
        <w:snapToGrid w:val="0"/>
        <w:spacing w:line="440" w:lineRule="exact"/>
        <w:ind w:firstLine="420" w:firstLineChars="200"/>
        <w:rPr>
          <w:rFonts w:hint="eastAsia" w:hAnsi="宋体" w:cs="宋体"/>
          <w:color w:val="000000"/>
          <w:spacing w:val="0"/>
          <w:sz w:val="21"/>
          <w:szCs w:val="21"/>
        </w:rPr>
      </w:pPr>
      <w:r>
        <w:rPr>
          <w:rFonts w:hint="eastAsia" w:hAnsi="宋体" w:cs="宋体"/>
          <w:color w:val="000000"/>
          <w:spacing w:val="0"/>
          <w:sz w:val="21"/>
          <w:szCs w:val="21"/>
        </w:rPr>
        <w:t>（1）未采用投标文件要求的报价形式报价或报价超过最高限价的；</w:t>
      </w:r>
    </w:p>
    <w:p>
      <w:pPr>
        <w:pStyle w:val="5"/>
        <w:adjustRightInd w:val="0"/>
        <w:snapToGrid w:val="0"/>
        <w:spacing w:line="440" w:lineRule="exact"/>
        <w:ind w:firstLine="420" w:firstLineChars="200"/>
        <w:rPr>
          <w:rFonts w:hint="eastAsia" w:hAnsi="宋体" w:cs="宋体"/>
          <w:color w:val="000000"/>
          <w:spacing w:val="0"/>
          <w:sz w:val="21"/>
          <w:szCs w:val="21"/>
        </w:rPr>
      </w:pPr>
      <w:r>
        <w:rPr>
          <w:rFonts w:hint="eastAsia" w:hAnsi="宋体" w:cs="宋体"/>
          <w:color w:val="000000"/>
          <w:spacing w:val="0"/>
          <w:sz w:val="21"/>
          <w:szCs w:val="21"/>
        </w:rPr>
        <w:t>（2）评标委员会认为投标人的报价明显低于其他通过符合性审查投标人的报价，有可能影响产品质量或者不能诚信履约的，而投标人又不能证明其报价合理性的；</w:t>
      </w:r>
    </w:p>
    <w:p>
      <w:pPr>
        <w:pStyle w:val="5"/>
        <w:adjustRightInd w:val="0"/>
        <w:snapToGrid w:val="0"/>
        <w:spacing w:line="440" w:lineRule="exact"/>
        <w:ind w:firstLine="420" w:firstLineChars="200"/>
        <w:rPr>
          <w:rFonts w:hint="eastAsia" w:hAnsi="宋体" w:cs="宋体"/>
          <w:color w:val="000000"/>
          <w:spacing w:val="0"/>
          <w:sz w:val="21"/>
          <w:szCs w:val="21"/>
        </w:rPr>
      </w:pPr>
      <w:r>
        <w:rPr>
          <w:rFonts w:hint="eastAsia" w:hAnsi="宋体" w:cs="宋体"/>
          <w:color w:val="000000"/>
          <w:spacing w:val="0"/>
          <w:sz w:val="21"/>
          <w:szCs w:val="21"/>
        </w:rPr>
        <w:t>（3）投标报价具有选择性的；或投标文件中对同一项目（标段）有两个或多个报价，且未声明哪个为有效的，或投标报价中出现重大漏项、漏量的。</w:t>
      </w:r>
    </w:p>
    <w:p>
      <w:pPr>
        <w:pStyle w:val="5"/>
        <w:adjustRightInd w:val="0"/>
        <w:snapToGrid w:val="0"/>
        <w:spacing w:line="440" w:lineRule="exact"/>
        <w:ind w:firstLine="422" w:firstLineChars="200"/>
        <w:rPr>
          <w:rFonts w:hint="eastAsia" w:hAnsi="宋体" w:cs="宋体"/>
          <w:b/>
          <w:bCs/>
          <w:color w:val="000000"/>
          <w:spacing w:val="0"/>
          <w:sz w:val="21"/>
          <w:szCs w:val="21"/>
        </w:rPr>
      </w:pPr>
      <w:r>
        <w:rPr>
          <w:rFonts w:hint="eastAsia" w:hAnsi="宋体" w:cs="宋体"/>
          <w:b/>
          <w:bCs/>
          <w:color w:val="000000"/>
          <w:spacing w:val="0"/>
          <w:sz w:val="21"/>
          <w:szCs w:val="21"/>
        </w:rPr>
        <w:t>4．被拒绝的投标文件为无效。</w:t>
      </w:r>
    </w:p>
    <w:p>
      <w:pPr>
        <w:pStyle w:val="6"/>
        <w:adjustRightInd w:val="0"/>
        <w:snapToGrid w:val="0"/>
        <w:spacing w:before="0" w:after="0"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四、开标</w:t>
      </w:r>
      <w:bookmarkEnd w:id="85"/>
      <w:bookmarkEnd w:id="86"/>
      <w:bookmarkEnd w:id="87"/>
    </w:p>
    <w:p>
      <w:pPr>
        <w:adjustRightInd w:val="0"/>
        <w:snapToGrid w:val="0"/>
        <w:spacing w:line="460" w:lineRule="exact"/>
        <w:outlineLvl w:val="1"/>
        <w:rPr>
          <w:rFonts w:ascii="宋体" w:hAnsi="宋体"/>
          <w:color w:val="000000"/>
          <w:szCs w:val="21"/>
        </w:rPr>
      </w:pPr>
      <w:bookmarkStart w:id="88" w:name="_Toc317685581"/>
      <w:r>
        <w:rPr>
          <w:rFonts w:hint="eastAsia" w:ascii="宋体" w:hAnsi="宋体"/>
          <w:b/>
          <w:color w:val="000000"/>
          <w:szCs w:val="21"/>
        </w:rPr>
        <w:t>（一）开标准备</w:t>
      </w:r>
      <w:bookmarkEnd w:id="88"/>
    </w:p>
    <w:p>
      <w:pPr>
        <w:pStyle w:val="27"/>
        <w:adjustRightInd w:val="0"/>
        <w:snapToGrid w:val="0"/>
        <w:spacing w:before="0" w:beforeLines="0" w:after="0" w:afterLines="0" w:line="460" w:lineRule="exact"/>
        <w:ind w:firstLine="420" w:firstLineChars="200"/>
        <w:rPr>
          <w:rFonts w:hint="eastAsia" w:hAnsi="宋体" w:cs="宋体"/>
          <w:bCs/>
          <w:color w:val="000000"/>
          <w:sz w:val="21"/>
          <w:szCs w:val="21"/>
        </w:rPr>
      </w:pPr>
      <w:r>
        <w:rPr>
          <w:rFonts w:hint="eastAsia" w:hAnsi="宋体" w:cs="宋体"/>
          <w:bCs/>
          <w:color w:val="000000"/>
          <w:sz w:val="21"/>
          <w:szCs w:val="21"/>
        </w:rPr>
        <w:t>采购代理机构将在规定的时间和地点进行开标，</w:t>
      </w:r>
      <w:r>
        <w:rPr>
          <w:rFonts w:hint="eastAsia" w:hAnsi="宋体" w:cs="宋体"/>
          <w:color w:val="000000"/>
          <w:sz w:val="21"/>
          <w:szCs w:val="21"/>
        </w:rPr>
        <w:t>疫情期间所有投标人在投标截止时间前安排“甬行码”为绿色的相关人员（原则上不超过一名，须全程佩戴口罩）将</w:t>
      </w:r>
      <w:r>
        <w:rPr>
          <w:rFonts w:hint="eastAsia" w:hAnsi="宋体" w:cs="宋体"/>
          <w:color w:val="000000"/>
          <w:sz w:val="21"/>
          <w:szCs w:val="21"/>
          <w:lang w:eastAsia="zh-CN"/>
        </w:rPr>
        <w:t>电子备份</w:t>
      </w:r>
      <w:r>
        <w:rPr>
          <w:rFonts w:hint="eastAsia" w:hAnsi="宋体" w:cs="宋体"/>
          <w:color w:val="000000"/>
          <w:sz w:val="21"/>
          <w:szCs w:val="21"/>
        </w:rPr>
        <w:t>投标文件送至投标地点，在完成投标文件和人员登记后立即离开。投标文件递交时需同时递交投标人的法定代表人（或其委托代理人）联系方式，并保证开标期间联系方式的畅通。</w:t>
      </w:r>
    </w:p>
    <w:p>
      <w:pPr>
        <w:adjustRightInd w:val="0"/>
        <w:snapToGrid w:val="0"/>
        <w:spacing w:line="460" w:lineRule="exact"/>
        <w:jc w:val="left"/>
        <w:outlineLvl w:val="1"/>
        <w:rPr>
          <w:rFonts w:ascii="宋体" w:hAnsi="宋体"/>
          <w:b/>
          <w:bCs/>
          <w:color w:val="000000"/>
          <w:szCs w:val="21"/>
        </w:rPr>
      </w:pPr>
      <w:r>
        <w:rPr>
          <w:rFonts w:hint="eastAsia" w:ascii="宋体" w:hAnsi="宋体"/>
          <w:b/>
          <w:bCs/>
          <w:color w:val="000000"/>
          <w:szCs w:val="21"/>
        </w:rPr>
        <w:t>（二）电子投标开标及评审程序</w:t>
      </w:r>
    </w:p>
    <w:p>
      <w:pPr>
        <w:pStyle w:val="27"/>
        <w:adjustRightInd w:val="0"/>
        <w:snapToGrid w:val="0"/>
        <w:spacing w:before="0" w:beforeLines="0" w:after="0" w:afterLines="0" w:line="460" w:lineRule="exact"/>
        <w:ind w:firstLine="420" w:firstLineChars="200"/>
        <w:rPr>
          <w:rFonts w:hint="eastAsia" w:hAnsi="宋体"/>
          <w:color w:val="auto"/>
          <w:sz w:val="21"/>
          <w:szCs w:val="21"/>
          <w:highlight w:val="none"/>
          <w:lang w:eastAsia="zh-CN"/>
        </w:rPr>
      </w:pPr>
      <w:r>
        <w:rPr>
          <w:rFonts w:hint="eastAsia" w:hAnsi="宋体"/>
          <w:color w:val="auto"/>
          <w:sz w:val="21"/>
          <w:szCs w:val="21"/>
          <w:highlight w:val="none"/>
        </w:rPr>
        <w:t>1</w:t>
      </w:r>
      <w:r>
        <w:rPr>
          <w:rFonts w:hint="eastAsia" w:hAnsi="宋体"/>
          <w:color w:val="auto"/>
          <w:sz w:val="21"/>
          <w:szCs w:val="21"/>
          <w:highlight w:val="none"/>
          <w:lang w:val="en-US" w:eastAsia="zh-CN"/>
        </w:rPr>
        <w:t>.</w:t>
      </w:r>
      <w:r>
        <w:rPr>
          <w:rFonts w:hint="eastAsia" w:hAnsi="宋体"/>
          <w:color w:val="auto"/>
          <w:sz w:val="21"/>
          <w:szCs w:val="21"/>
          <w:highlight w:val="none"/>
        </w:rPr>
        <w:t>投标截止时间后，投标人登录政采云平台，用“项目采购-开标评标”功能对电子投标文件进行在线解密，在线解密电子投标文件时间为开标时间起</w:t>
      </w:r>
      <w:r>
        <w:rPr>
          <w:rFonts w:hint="eastAsia" w:hAnsi="宋体"/>
          <w:color w:val="auto"/>
          <w:sz w:val="21"/>
          <w:szCs w:val="21"/>
          <w:highlight w:val="none"/>
          <w:lang w:val="en-US" w:eastAsia="zh-CN"/>
        </w:rPr>
        <w:t>30</w:t>
      </w:r>
      <w:r>
        <w:rPr>
          <w:rFonts w:hint="eastAsia" w:hAnsi="宋体"/>
          <w:color w:val="auto"/>
          <w:sz w:val="21"/>
          <w:szCs w:val="21"/>
          <w:highlight w:val="none"/>
        </w:rPr>
        <w:t>分钟内</w:t>
      </w:r>
      <w:r>
        <w:rPr>
          <w:rFonts w:hint="eastAsia" w:hAnsi="宋体"/>
          <w:color w:val="auto"/>
          <w:sz w:val="21"/>
          <w:szCs w:val="21"/>
          <w:highlight w:val="none"/>
          <w:lang w:eastAsia="zh-CN"/>
        </w:rPr>
        <w:t>；</w:t>
      </w:r>
    </w:p>
    <w:p>
      <w:pPr>
        <w:pStyle w:val="27"/>
        <w:adjustRightInd w:val="0"/>
        <w:snapToGrid w:val="0"/>
        <w:spacing w:before="0" w:beforeLines="0" w:after="0" w:afterLines="0" w:line="460" w:lineRule="exact"/>
        <w:ind w:firstLine="420" w:firstLineChars="200"/>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2.在系统上开启资格、商务技术文件；</w:t>
      </w:r>
    </w:p>
    <w:p>
      <w:pPr>
        <w:pStyle w:val="27"/>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采购人或代理机构对投标人的资格进行审查；</w:t>
      </w:r>
    </w:p>
    <w:p>
      <w:pPr>
        <w:pStyle w:val="27"/>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评标委员会对</w:t>
      </w:r>
      <w:r>
        <w:rPr>
          <w:rFonts w:hint="eastAsia" w:hAnsi="宋体"/>
          <w:color w:val="auto"/>
          <w:sz w:val="21"/>
          <w:szCs w:val="21"/>
          <w:highlight w:val="none"/>
          <w:lang w:eastAsia="zh-CN"/>
        </w:rPr>
        <w:t>商务</w:t>
      </w:r>
      <w:r>
        <w:rPr>
          <w:rFonts w:hint="eastAsia" w:hAnsi="宋体"/>
          <w:color w:val="auto"/>
          <w:sz w:val="21"/>
          <w:szCs w:val="21"/>
          <w:highlight w:val="none"/>
        </w:rPr>
        <w:t>技术响应文件进行</w:t>
      </w:r>
      <w:r>
        <w:rPr>
          <w:rFonts w:hint="eastAsia" w:hAnsi="宋体"/>
          <w:color w:val="auto"/>
          <w:sz w:val="21"/>
          <w:szCs w:val="21"/>
          <w:highlight w:val="none"/>
          <w:lang w:eastAsia="zh-CN"/>
        </w:rPr>
        <w:t>符合性审查</w:t>
      </w:r>
      <w:r>
        <w:rPr>
          <w:rFonts w:hint="eastAsia" w:hAnsi="宋体"/>
          <w:color w:val="auto"/>
          <w:sz w:val="21"/>
          <w:szCs w:val="21"/>
          <w:highlight w:val="none"/>
        </w:rPr>
        <w:t>；</w:t>
      </w:r>
    </w:p>
    <w:p>
      <w:pPr>
        <w:pStyle w:val="27"/>
        <w:adjustRightInd w:val="0"/>
        <w:snapToGrid w:val="0"/>
        <w:spacing w:before="0" w:beforeLines="0" w:after="0" w:afterLines="0" w:line="460" w:lineRule="exact"/>
        <w:ind w:firstLine="420" w:firstLineChars="200"/>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5.</w:t>
      </w:r>
      <w:r>
        <w:rPr>
          <w:rFonts w:hint="eastAsia" w:hAnsi="宋体"/>
          <w:color w:val="auto"/>
          <w:sz w:val="21"/>
          <w:szCs w:val="21"/>
          <w:highlight w:val="none"/>
        </w:rPr>
        <w:t>评标委员会对</w:t>
      </w:r>
      <w:r>
        <w:rPr>
          <w:rFonts w:hint="eastAsia" w:hAnsi="宋体"/>
          <w:color w:val="auto"/>
          <w:sz w:val="21"/>
          <w:szCs w:val="21"/>
          <w:highlight w:val="none"/>
          <w:lang w:eastAsia="zh-CN"/>
        </w:rPr>
        <w:t>商务</w:t>
      </w:r>
      <w:r>
        <w:rPr>
          <w:rFonts w:hint="eastAsia" w:hAnsi="宋体"/>
          <w:color w:val="auto"/>
          <w:sz w:val="21"/>
          <w:szCs w:val="21"/>
          <w:highlight w:val="none"/>
        </w:rPr>
        <w:t>技术响应文件进行</w:t>
      </w:r>
      <w:r>
        <w:rPr>
          <w:rFonts w:hint="eastAsia" w:hAnsi="宋体"/>
          <w:color w:val="auto"/>
          <w:sz w:val="21"/>
          <w:szCs w:val="21"/>
          <w:highlight w:val="none"/>
          <w:lang w:eastAsia="zh-CN"/>
        </w:rPr>
        <w:t>在线电子评标</w:t>
      </w:r>
      <w:r>
        <w:rPr>
          <w:rFonts w:hint="eastAsia" w:hAnsi="宋体"/>
          <w:color w:val="auto"/>
          <w:sz w:val="21"/>
          <w:szCs w:val="21"/>
          <w:highlight w:val="none"/>
        </w:rPr>
        <w:t>；</w:t>
      </w:r>
    </w:p>
    <w:p>
      <w:pPr>
        <w:pStyle w:val="27"/>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在系统上公开资格和</w:t>
      </w:r>
      <w:r>
        <w:rPr>
          <w:rFonts w:hint="eastAsia" w:hAnsi="宋体"/>
          <w:color w:val="auto"/>
          <w:sz w:val="21"/>
          <w:szCs w:val="21"/>
          <w:highlight w:val="none"/>
          <w:lang w:eastAsia="zh-CN"/>
        </w:rPr>
        <w:t>商务</w:t>
      </w:r>
      <w:r>
        <w:rPr>
          <w:rFonts w:hint="eastAsia" w:hAnsi="宋体"/>
          <w:color w:val="auto"/>
          <w:sz w:val="21"/>
          <w:szCs w:val="21"/>
          <w:highlight w:val="none"/>
        </w:rPr>
        <w:t>技术评审结果；</w:t>
      </w:r>
    </w:p>
    <w:p>
      <w:pPr>
        <w:pStyle w:val="27"/>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在系统上</w:t>
      </w:r>
      <w:r>
        <w:rPr>
          <w:rFonts w:hint="eastAsia" w:hAnsi="宋体"/>
          <w:color w:val="auto"/>
          <w:sz w:val="21"/>
          <w:szCs w:val="21"/>
          <w:highlight w:val="none"/>
          <w:lang w:eastAsia="zh-CN"/>
        </w:rPr>
        <w:t>开启报价文件</w:t>
      </w:r>
      <w:r>
        <w:rPr>
          <w:rFonts w:hint="eastAsia" w:hAnsi="宋体"/>
          <w:color w:val="auto"/>
          <w:sz w:val="21"/>
          <w:szCs w:val="21"/>
          <w:highlight w:val="none"/>
        </w:rPr>
        <w:t>；</w:t>
      </w:r>
    </w:p>
    <w:p>
      <w:pPr>
        <w:pStyle w:val="27"/>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8.</w:t>
      </w:r>
      <w:r>
        <w:rPr>
          <w:rFonts w:hint="eastAsia" w:hAnsi="宋体"/>
          <w:color w:val="auto"/>
          <w:sz w:val="21"/>
          <w:szCs w:val="21"/>
          <w:highlight w:val="none"/>
        </w:rPr>
        <w:t>评标委员会对</w:t>
      </w:r>
      <w:r>
        <w:rPr>
          <w:rFonts w:hint="eastAsia" w:hAnsi="宋体"/>
          <w:color w:val="auto"/>
          <w:sz w:val="21"/>
          <w:szCs w:val="21"/>
          <w:highlight w:val="none"/>
          <w:lang w:eastAsia="zh-CN"/>
        </w:rPr>
        <w:t>报价文件</w:t>
      </w:r>
      <w:r>
        <w:rPr>
          <w:rFonts w:hint="eastAsia" w:hAnsi="宋体"/>
          <w:color w:val="auto"/>
          <w:sz w:val="21"/>
          <w:szCs w:val="21"/>
          <w:highlight w:val="none"/>
        </w:rPr>
        <w:t>进行评审；</w:t>
      </w:r>
    </w:p>
    <w:p>
      <w:pPr>
        <w:pStyle w:val="27"/>
        <w:adjustRightInd w:val="0"/>
        <w:snapToGrid w:val="0"/>
        <w:spacing w:before="0" w:beforeLines="0" w:after="0" w:afterLines="0" w:line="46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9.</w:t>
      </w:r>
      <w:r>
        <w:rPr>
          <w:rFonts w:hint="eastAsia" w:hAnsi="宋体"/>
          <w:color w:val="auto"/>
          <w:sz w:val="21"/>
          <w:szCs w:val="21"/>
          <w:highlight w:val="none"/>
        </w:rPr>
        <w:t>在系统上公布评审结果。</w:t>
      </w:r>
    </w:p>
    <w:p>
      <w:pPr>
        <w:pStyle w:val="5"/>
        <w:adjustRightInd w:val="0"/>
        <w:snapToGrid w:val="0"/>
        <w:spacing w:line="460" w:lineRule="exact"/>
        <w:ind w:firstLine="406" w:firstLineChars="200"/>
        <w:rPr>
          <w:rFonts w:hint="eastAsia" w:hAnsi="宋体" w:cs="宋体"/>
          <w:color w:val="000000"/>
          <w:sz w:val="21"/>
          <w:szCs w:val="21"/>
        </w:rPr>
      </w:pPr>
      <w:r>
        <w:rPr>
          <w:rFonts w:hint="eastAsia" w:hAnsi="宋体" w:cs="宋体"/>
          <w:b/>
          <w:bCs/>
          <w:color w:val="000000"/>
          <w:sz w:val="21"/>
          <w:szCs w:val="21"/>
        </w:rPr>
        <w:t>注：（1）开标过程需投标人确认的事宜，通过微信或电子邮箱发送邮件等方式进行，请投标人在开标期间做好相应的准备。</w:t>
      </w:r>
      <w:r>
        <w:rPr>
          <w:rFonts w:hint="eastAsia" w:hAnsi="宋体" w:cs="宋体"/>
          <w:bCs/>
          <w:color w:val="000000"/>
          <w:sz w:val="21"/>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460" w:lineRule="exact"/>
        <w:jc w:val="left"/>
        <w:rPr>
          <w:rFonts w:hint="eastAsia" w:ascii="宋体" w:hAnsi="宋体"/>
          <w:b/>
          <w:bCs/>
          <w:color w:val="000000"/>
          <w:szCs w:val="21"/>
        </w:rPr>
      </w:pPr>
      <w:r>
        <w:rPr>
          <w:rFonts w:hint="eastAsia" w:ascii="宋体" w:hAnsi="宋体"/>
          <w:b/>
          <w:bCs/>
          <w:color w:val="000000"/>
          <w:szCs w:val="21"/>
        </w:rPr>
        <w:t>（</w:t>
      </w:r>
      <w:r>
        <w:rPr>
          <w:rFonts w:hint="eastAsia" w:ascii="宋体" w:hAnsi="宋体"/>
          <w:b/>
          <w:bCs/>
          <w:color w:val="000000"/>
          <w:szCs w:val="21"/>
          <w:lang w:eastAsia="zh-CN"/>
        </w:rPr>
        <w:t>三</w:t>
      </w:r>
      <w:r>
        <w:rPr>
          <w:rFonts w:hint="eastAsia" w:ascii="宋体" w:hAnsi="宋体"/>
          <w:b/>
          <w:bCs/>
          <w:color w:val="000000"/>
          <w:szCs w:val="21"/>
        </w:rPr>
        <w:t>）特别说明</w:t>
      </w:r>
    </w:p>
    <w:p>
      <w:pPr>
        <w:adjustRightInd w:val="0"/>
        <w:snapToGrid w:val="0"/>
        <w:spacing w:line="460" w:lineRule="exact"/>
        <w:ind w:firstLine="420" w:firstLineChars="200"/>
        <w:jc w:val="left"/>
        <w:rPr>
          <w:rFonts w:hint="eastAsia" w:ascii="宋体" w:hAnsi="宋体"/>
          <w:color w:val="000000"/>
          <w:szCs w:val="21"/>
        </w:rPr>
      </w:pPr>
      <w:r>
        <w:rPr>
          <w:rFonts w:hint="eastAsia" w:ascii="宋体" w:hAnsi="宋体" w:cs="宋体"/>
          <w:color w:val="000000"/>
          <w:kern w:val="0"/>
          <w:szCs w:val="21"/>
        </w:rPr>
        <w:t>政府采购云平台</w:t>
      </w:r>
      <w:r>
        <w:rPr>
          <w:rFonts w:hint="eastAsia" w:ascii="宋体" w:hAnsi="宋体"/>
          <w:color w:val="000000"/>
          <w:szCs w:val="21"/>
        </w:rPr>
        <w:t>如对电子化开标及评审程序有调整的，按调整后的程序操作。</w:t>
      </w:r>
    </w:p>
    <w:p>
      <w:pPr>
        <w:adjustRightInd w:val="0"/>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rPr>
        <w:t>本项目原则上采用政采云电子投标开标及评审程序，但有下情形之一的，按以下情况处理：</w:t>
      </w:r>
    </w:p>
    <w:p>
      <w:pPr>
        <w:adjustRightInd w:val="0"/>
        <w:snapToGrid w:val="0"/>
        <w:spacing w:line="460" w:lineRule="exact"/>
        <w:ind w:firstLine="420" w:firstLineChars="200"/>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若</w:t>
      </w:r>
      <w:r>
        <w:rPr>
          <w:rFonts w:hint="eastAsia" w:ascii="宋体" w:hAnsi="宋体"/>
          <w:color w:val="000000"/>
          <w:szCs w:val="21"/>
          <w:lang w:eastAsia="zh-CN"/>
        </w:rPr>
        <w:t>投标人</w:t>
      </w:r>
      <w:r>
        <w:rPr>
          <w:rFonts w:hint="eastAsia" w:ascii="宋体" w:hAnsi="宋体"/>
          <w:color w:val="000000"/>
          <w:szCs w:val="21"/>
        </w:rPr>
        <w:t>在规定时间内无法解密或解密失败，代理机构将开启所有</w:t>
      </w:r>
      <w:r>
        <w:rPr>
          <w:rFonts w:hint="eastAsia" w:ascii="宋体" w:hAnsi="宋体"/>
          <w:color w:val="000000"/>
          <w:szCs w:val="21"/>
          <w:lang w:eastAsia="zh-CN"/>
        </w:rPr>
        <w:t>投标人</w:t>
      </w:r>
      <w:r>
        <w:rPr>
          <w:rFonts w:hint="eastAsia" w:ascii="宋体" w:hAnsi="宋体"/>
          <w:color w:val="000000"/>
          <w:szCs w:val="21"/>
        </w:rPr>
        <w:t>递交的</w:t>
      </w:r>
      <w:r>
        <w:rPr>
          <w:rFonts w:hint="eastAsia" w:ascii="宋体" w:hAnsi="宋体" w:cs="宋体"/>
          <w:color w:val="000000"/>
          <w:kern w:val="0"/>
          <w:szCs w:val="21"/>
        </w:rPr>
        <w:t>以U盘存储的电子备份投标文件</w:t>
      </w:r>
      <w:r>
        <w:rPr>
          <w:rFonts w:hint="eastAsia" w:ascii="宋体" w:hAnsi="宋体"/>
          <w:color w:val="000000"/>
          <w:szCs w:val="21"/>
        </w:rPr>
        <w:t>，上传至政采云平台项目采购模块，以完成开标，电子投标文件自动失效。</w:t>
      </w:r>
    </w:p>
    <w:p>
      <w:pPr>
        <w:adjustRightInd w:val="0"/>
        <w:snapToGrid w:val="0"/>
        <w:spacing w:line="460" w:lineRule="exact"/>
        <w:ind w:firstLine="420" w:firstLineChars="200"/>
        <w:jc w:val="left"/>
        <w:rPr>
          <w:rFonts w:hint="eastAsia" w:ascii="宋体" w:hAnsi="宋体" w:eastAsia="宋体"/>
          <w:color w:val="000000"/>
          <w:szCs w:val="21"/>
          <w:lang w:eastAsia="zh-CN"/>
        </w:rPr>
      </w:pPr>
      <w:r>
        <w:rPr>
          <w:rFonts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采购过程中出现以下情形，导致电子交易平台无法正常运行，或者无法保证电子交易的公平、公正和安全时，采购人（或代理机构）可中止电子交易活动</w:t>
      </w:r>
      <w:r>
        <w:rPr>
          <w:rFonts w:hint="eastAsia" w:ascii="宋体" w:hAnsi="宋体"/>
          <w:color w:val="000000"/>
          <w:szCs w:val="21"/>
          <w:lang w:eastAsia="zh-CN"/>
        </w:rPr>
        <w:t>：</w:t>
      </w:r>
    </w:p>
    <w:p>
      <w:pPr>
        <w:adjustRightInd w:val="0"/>
        <w:snapToGrid w:val="0"/>
        <w:spacing w:line="460" w:lineRule="exact"/>
        <w:ind w:firstLine="420" w:firstLineChars="200"/>
        <w:jc w:val="left"/>
        <w:rPr>
          <w:rFonts w:hint="eastAsia" w:ascii="宋体" w:hAnsi="宋体" w:eastAsia="宋体"/>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1</w:t>
      </w:r>
      <w:r>
        <w:rPr>
          <w:rFonts w:hint="eastAsia" w:ascii="宋体" w:hAnsi="宋体"/>
          <w:color w:val="000000"/>
          <w:szCs w:val="21"/>
          <w:lang w:eastAsia="zh-CN"/>
        </w:rPr>
        <w:t>）</w:t>
      </w:r>
      <w:r>
        <w:rPr>
          <w:rFonts w:hint="eastAsia" w:ascii="宋体" w:hAnsi="宋体"/>
          <w:color w:val="000000"/>
          <w:szCs w:val="21"/>
        </w:rPr>
        <w:t>电子交易平台发生故障而无法登录访问的</w:t>
      </w:r>
      <w:r>
        <w:rPr>
          <w:rFonts w:hint="eastAsia" w:ascii="宋体" w:hAnsi="宋体"/>
          <w:color w:val="000000"/>
          <w:szCs w:val="21"/>
          <w:lang w:eastAsia="zh-CN"/>
        </w:rPr>
        <w:t>；</w:t>
      </w:r>
    </w:p>
    <w:p>
      <w:pPr>
        <w:adjustRightInd w:val="0"/>
        <w:snapToGrid w:val="0"/>
        <w:spacing w:line="460" w:lineRule="exact"/>
        <w:ind w:firstLine="420" w:firstLineChars="200"/>
        <w:jc w:val="left"/>
        <w:rPr>
          <w:rFonts w:hint="eastAsia" w:ascii="宋体" w:hAnsi="宋体" w:eastAsia="宋体"/>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2</w:t>
      </w:r>
      <w:r>
        <w:rPr>
          <w:rFonts w:hint="eastAsia" w:ascii="宋体" w:hAnsi="宋体"/>
          <w:color w:val="000000"/>
          <w:szCs w:val="21"/>
          <w:lang w:eastAsia="zh-CN"/>
        </w:rPr>
        <w:t>）</w:t>
      </w:r>
      <w:r>
        <w:rPr>
          <w:rFonts w:hint="eastAsia" w:ascii="宋体" w:hAnsi="宋体"/>
          <w:color w:val="000000"/>
          <w:szCs w:val="21"/>
        </w:rPr>
        <w:t>因</w:t>
      </w:r>
      <w:r>
        <w:rPr>
          <w:rFonts w:hint="eastAsia" w:ascii="宋体" w:hAnsi="宋体" w:cs="宋体"/>
          <w:color w:val="000000"/>
          <w:kern w:val="0"/>
          <w:szCs w:val="21"/>
        </w:rPr>
        <w:t>政府采购云平台</w:t>
      </w:r>
      <w:r>
        <w:rPr>
          <w:rFonts w:hint="eastAsia" w:ascii="宋体" w:hAnsi="宋体"/>
          <w:color w:val="000000"/>
          <w:szCs w:val="21"/>
        </w:rPr>
        <w:t>原因无法读取或电子开评标无法正常进行</w:t>
      </w:r>
      <w:r>
        <w:rPr>
          <w:rFonts w:hint="eastAsia" w:ascii="宋体" w:hAnsi="宋体"/>
          <w:color w:val="000000"/>
          <w:szCs w:val="21"/>
          <w:lang w:eastAsia="zh-CN"/>
        </w:rPr>
        <w:t>的；</w:t>
      </w:r>
    </w:p>
    <w:p>
      <w:pPr>
        <w:adjustRightInd w:val="0"/>
        <w:snapToGrid w:val="0"/>
        <w:spacing w:line="460" w:lineRule="exact"/>
        <w:ind w:firstLine="420" w:firstLineChars="200"/>
        <w:jc w:val="left"/>
        <w:rPr>
          <w:rFonts w:hint="eastAsia" w:ascii="宋体" w:hAnsi="宋体" w:eastAsia="宋体"/>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3</w:t>
      </w:r>
      <w:r>
        <w:rPr>
          <w:rFonts w:hint="eastAsia" w:ascii="宋体" w:hAnsi="宋体"/>
          <w:color w:val="000000"/>
          <w:szCs w:val="21"/>
          <w:lang w:eastAsia="zh-CN"/>
        </w:rPr>
        <w:t>）</w:t>
      </w:r>
      <w:r>
        <w:rPr>
          <w:rFonts w:hint="eastAsia" w:ascii="宋体" w:hAnsi="宋体"/>
          <w:color w:val="000000"/>
          <w:szCs w:val="21"/>
        </w:rPr>
        <w:t>电子交易平台应用或数据库出现错误，不能进行正常操作的</w:t>
      </w:r>
      <w:r>
        <w:rPr>
          <w:rFonts w:hint="eastAsia" w:ascii="宋体" w:hAnsi="宋体"/>
          <w:color w:val="000000"/>
          <w:szCs w:val="21"/>
          <w:lang w:eastAsia="zh-CN"/>
        </w:rPr>
        <w:t>；</w:t>
      </w:r>
    </w:p>
    <w:p>
      <w:pPr>
        <w:adjustRightInd w:val="0"/>
        <w:snapToGrid w:val="0"/>
        <w:spacing w:line="460" w:lineRule="exact"/>
        <w:ind w:firstLine="420" w:firstLineChars="200"/>
        <w:jc w:val="left"/>
        <w:rPr>
          <w:rFonts w:hint="eastAsia" w:ascii="宋体" w:hAnsi="宋体" w:eastAsia="宋体"/>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4</w:t>
      </w:r>
      <w:r>
        <w:rPr>
          <w:rFonts w:hint="eastAsia" w:ascii="宋体" w:hAnsi="宋体"/>
          <w:color w:val="000000"/>
          <w:szCs w:val="21"/>
          <w:lang w:eastAsia="zh-CN"/>
        </w:rPr>
        <w:t>）</w:t>
      </w:r>
      <w:r>
        <w:rPr>
          <w:rFonts w:hint="eastAsia" w:ascii="宋体" w:hAnsi="宋体"/>
          <w:color w:val="000000"/>
          <w:szCs w:val="21"/>
        </w:rPr>
        <w:t>电子交易平台发现严重安全漏洞，有潜在泄密危险</w:t>
      </w:r>
      <w:r>
        <w:rPr>
          <w:rFonts w:hint="eastAsia" w:ascii="宋体" w:hAnsi="宋体"/>
          <w:color w:val="000000"/>
          <w:szCs w:val="21"/>
          <w:lang w:eastAsia="zh-CN"/>
        </w:rPr>
        <w:t>；</w:t>
      </w:r>
    </w:p>
    <w:p>
      <w:pPr>
        <w:adjustRightInd w:val="0"/>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5</w:t>
      </w:r>
      <w:r>
        <w:rPr>
          <w:rFonts w:hint="eastAsia" w:ascii="宋体" w:hAnsi="宋体"/>
          <w:color w:val="000000"/>
          <w:szCs w:val="21"/>
          <w:lang w:eastAsia="zh-CN"/>
        </w:rPr>
        <w:t>）</w:t>
      </w:r>
      <w:r>
        <w:rPr>
          <w:rFonts w:hint="eastAsia" w:ascii="宋体" w:hAnsi="宋体"/>
          <w:color w:val="000000"/>
          <w:szCs w:val="21"/>
        </w:rPr>
        <w:t>病毒发作导致不能进行正常操作的</w:t>
      </w:r>
      <w:r>
        <w:rPr>
          <w:rFonts w:hint="eastAsia" w:ascii="宋体" w:hAnsi="宋体"/>
          <w:color w:val="000000"/>
          <w:szCs w:val="21"/>
          <w:lang w:eastAsia="zh-CN"/>
        </w:rPr>
        <w:t>；</w:t>
      </w:r>
      <w:r>
        <w:rPr>
          <w:rFonts w:hint="eastAsia" w:ascii="宋体" w:hAnsi="宋体"/>
          <w:color w:val="000000"/>
          <w:szCs w:val="21"/>
        </w:rPr>
        <w:t xml:space="preserve"> </w:t>
      </w:r>
    </w:p>
    <w:p>
      <w:pPr>
        <w:adjustRightInd w:val="0"/>
        <w:snapToGrid w:val="0"/>
        <w:spacing w:line="460" w:lineRule="exact"/>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6</w:t>
      </w:r>
      <w:r>
        <w:rPr>
          <w:rFonts w:hint="eastAsia" w:ascii="宋体" w:hAnsi="宋体"/>
          <w:color w:val="000000"/>
          <w:szCs w:val="21"/>
          <w:lang w:eastAsia="zh-CN"/>
        </w:rPr>
        <w:t>）</w:t>
      </w:r>
      <w:r>
        <w:rPr>
          <w:rFonts w:hint="eastAsia" w:ascii="宋体" w:hAnsi="宋体"/>
          <w:color w:val="000000"/>
          <w:szCs w:val="21"/>
        </w:rPr>
        <w:t>其他无法保证电子交易的公平、公正和安全的情况。</w:t>
      </w:r>
    </w:p>
    <w:p>
      <w:pPr>
        <w:adjustRightInd w:val="0"/>
        <w:snapToGrid w:val="0"/>
        <w:spacing w:line="460" w:lineRule="exact"/>
        <w:ind w:firstLine="420" w:firstLineChars="200"/>
        <w:jc w:val="left"/>
        <w:rPr>
          <w:rFonts w:hint="eastAsia" w:ascii="宋体" w:hAnsi="宋体" w:cs="宋体"/>
          <w:b/>
          <w:color w:val="000000"/>
          <w:szCs w:val="21"/>
        </w:rPr>
      </w:pPr>
      <w:r>
        <w:rPr>
          <w:rFonts w:hint="eastAsia" w:ascii="宋体" w:hAnsi="宋体"/>
          <w:color w:val="000000"/>
          <w:szCs w:val="21"/>
        </w:rPr>
        <w:t xml:space="preserve"> 出现前款规定情形，不影响采购公平、公正性的，采购人（或代理机构）可以待上述情形消除后继续组织电子交易活动。</w:t>
      </w:r>
    </w:p>
    <w:p>
      <w:pPr>
        <w:pStyle w:val="6"/>
        <w:adjustRightInd w:val="0"/>
        <w:snapToGrid w:val="0"/>
        <w:spacing w:before="0" w:after="0" w:line="460" w:lineRule="exact"/>
        <w:rPr>
          <w:rFonts w:hint="eastAsia" w:ascii="宋体" w:hAnsi="宋体" w:eastAsia="宋体" w:cs="宋体"/>
          <w:color w:val="000000"/>
          <w:sz w:val="21"/>
          <w:szCs w:val="21"/>
        </w:rPr>
      </w:pPr>
      <w:bookmarkStart w:id="89" w:name="_Toc11761"/>
      <w:bookmarkStart w:id="90" w:name="_Toc463726810"/>
      <w:bookmarkStart w:id="91" w:name="_Toc29849"/>
      <w:r>
        <w:rPr>
          <w:rFonts w:hint="eastAsia" w:ascii="宋体" w:hAnsi="宋体" w:eastAsia="宋体" w:cs="宋体"/>
          <w:color w:val="000000"/>
          <w:sz w:val="21"/>
          <w:szCs w:val="21"/>
        </w:rPr>
        <w:t>五、评标</w:t>
      </w:r>
      <w:bookmarkEnd w:id="89"/>
      <w:bookmarkEnd w:id="90"/>
      <w:bookmarkEnd w:id="91"/>
    </w:p>
    <w:p>
      <w:pPr>
        <w:pStyle w:val="7"/>
        <w:adjustRightInd w:val="0"/>
        <w:snapToGrid w:val="0"/>
        <w:spacing w:before="0" w:after="0" w:line="460" w:lineRule="exact"/>
        <w:ind w:left="0" w:leftChars="0" w:firstLine="0" w:firstLineChars="0"/>
        <w:jc w:val="both"/>
        <w:rPr>
          <w:rFonts w:hint="eastAsia" w:ascii="宋体" w:hAnsi="宋体" w:cs="宋体"/>
          <w:color w:val="000000"/>
          <w:sz w:val="21"/>
          <w:szCs w:val="21"/>
        </w:rPr>
      </w:pPr>
      <w:bookmarkStart w:id="92" w:name="_Toc25132"/>
      <w:bookmarkStart w:id="93" w:name="_Toc463726811"/>
      <w:bookmarkStart w:id="94" w:name="_Toc26788"/>
      <w:r>
        <w:rPr>
          <w:rFonts w:hint="eastAsia" w:ascii="宋体" w:hAnsi="宋体" w:cs="宋体"/>
          <w:color w:val="000000"/>
          <w:sz w:val="21"/>
          <w:szCs w:val="21"/>
        </w:rPr>
        <w:t>（一）组建评标委员会</w:t>
      </w:r>
      <w:bookmarkEnd w:id="92"/>
      <w:bookmarkEnd w:id="93"/>
      <w:bookmarkEnd w:id="94"/>
    </w:p>
    <w:p>
      <w:pPr>
        <w:pStyle w:val="27"/>
        <w:adjustRightInd w:val="0"/>
        <w:snapToGrid w:val="0"/>
        <w:spacing w:before="0" w:beforeLines="0" w:after="0" w:afterLines="0" w:line="460" w:lineRule="exact"/>
        <w:ind w:firstLine="420" w:firstLineChars="200"/>
        <w:rPr>
          <w:rFonts w:hint="eastAsia" w:hAnsi="宋体" w:cs="宋体"/>
          <w:bCs/>
          <w:color w:val="000000"/>
          <w:sz w:val="21"/>
          <w:szCs w:val="21"/>
        </w:rPr>
      </w:pPr>
      <w:r>
        <w:rPr>
          <w:rFonts w:hint="eastAsia" w:hAnsi="宋体" w:cs="宋体"/>
          <w:bCs/>
          <w:color w:val="000000"/>
          <w:sz w:val="21"/>
          <w:szCs w:val="21"/>
        </w:rPr>
        <w:t>评标委员会：采购人和采购代理机构根据采购项目的内容特点按照规定组建评标委员会，评标委员会由采购人代表和评审专家组成。</w:t>
      </w:r>
    </w:p>
    <w:p>
      <w:pPr>
        <w:pStyle w:val="27"/>
        <w:adjustRightInd w:val="0"/>
        <w:snapToGrid w:val="0"/>
        <w:spacing w:before="0" w:beforeLines="0" w:after="0" w:afterLines="0" w:line="460" w:lineRule="exact"/>
        <w:ind w:firstLine="420" w:firstLineChars="200"/>
        <w:rPr>
          <w:rFonts w:hint="eastAsia" w:hAnsi="宋体" w:cs="宋体"/>
          <w:bCs/>
          <w:color w:val="000000"/>
          <w:sz w:val="21"/>
          <w:szCs w:val="21"/>
        </w:rPr>
      </w:pPr>
      <w:r>
        <w:rPr>
          <w:rFonts w:hint="eastAsia" w:hAnsi="宋体" w:cs="宋体"/>
          <w:bCs/>
          <w:color w:val="000000"/>
          <w:sz w:val="21"/>
          <w:szCs w:val="21"/>
        </w:rPr>
        <w:t>主持人宣布评标期间的有关事项，告知应当回避的情形，提请有关人员回避。</w:t>
      </w:r>
    </w:p>
    <w:p>
      <w:pPr>
        <w:pStyle w:val="7"/>
        <w:adjustRightInd w:val="0"/>
        <w:snapToGrid w:val="0"/>
        <w:spacing w:before="0" w:after="0" w:line="460" w:lineRule="exact"/>
        <w:ind w:left="0" w:leftChars="0" w:firstLine="0" w:firstLineChars="0"/>
        <w:jc w:val="both"/>
        <w:rPr>
          <w:rFonts w:hint="eastAsia" w:ascii="宋体" w:hAnsi="宋体" w:cs="宋体"/>
          <w:color w:val="000000"/>
          <w:sz w:val="21"/>
          <w:szCs w:val="21"/>
        </w:rPr>
      </w:pPr>
      <w:bookmarkStart w:id="95" w:name="_Toc463726812"/>
      <w:bookmarkStart w:id="96" w:name="_Toc22910"/>
      <w:bookmarkStart w:id="97" w:name="_Toc4592"/>
      <w:r>
        <w:rPr>
          <w:rFonts w:hint="eastAsia" w:ascii="宋体" w:hAnsi="宋体" w:cs="宋体"/>
          <w:color w:val="000000"/>
          <w:sz w:val="21"/>
          <w:szCs w:val="21"/>
        </w:rPr>
        <w:t>（二）评标的方式</w:t>
      </w:r>
      <w:bookmarkEnd w:id="95"/>
      <w:bookmarkEnd w:id="96"/>
      <w:bookmarkEnd w:id="97"/>
    </w:p>
    <w:p>
      <w:pPr>
        <w:pStyle w:val="7"/>
        <w:adjustRightInd w:val="0"/>
        <w:snapToGrid w:val="0"/>
        <w:spacing w:before="0" w:after="0" w:line="460" w:lineRule="exact"/>
        <w:jc w:val="both"/>
        <w:rPr>
          <w:rFonts w:hint="eastAsia" w:hAnsi="宋体" w:cs="宋体"/>
          <w:bCs w:val="0"/>
          <w:color w:val="000000"/>
          <w:sz w:val="21"/>
          <w:szCs w:val="21"/>
        </w:rPr>
      </w:pPr>
      <w:r>
        <w:rPr>
          <w:rFonts w:hint="eastAsia" w:hAnsi="宋体" w:cs="宋体"/>
          <w:bCs w:val="0"/>
          <w:color w:val="000000"/>
          <w:sz w:val="21"/>
          <w:szCs w:val="21"/>
        </w:rPr>
        <w:t>本项目采用不公开方式评标，评标的依据为招标文件和投标文件。</w:t>
      </w:r>
      <w:bookmarkStart w:id="98" w:name="_Toc463726813"/>
      <w:bookmarkStart w:id="99" w:name="_Toc25360"/>
      <w:bookmarkStart w:id="100" w:name="_Toc6683"/>
    </w:p>
    <w:p>
      <w:pPr>
        <w:pStyle w:val="7"/>
        <w:adjustRightInd w:val="0"/>
        <w:snapToGrid w:val="0"/>
        <w:spacing w:before="0" w:after="0" w:line="460" w:lineRule="exact"/>
        <w:ind w:left="0" w:leftChars="0" w:firstLine="0" w:firstLineChars="0"/>
        <w:jc w:val="both"/>
        <w:rPr>
          <w:rFonts w:hint="eastAsia" w:ascii="宋体" w:hAnsi="宋体" w:cs="宋体"/>
          <w:color w:val="000000"/>
          <w:sz w:val="21"/>
          <w:szCs w:val="21"/>
        </w:rPr>
      </w:pPr>
      <w:r>
        <w:rPr>
          <w:rFonts w:hint="eastAsia" w:ascii="宋体" w:hAnsi="宋体" w:cs="宋体"/>
          <w:color w:val="000000"/>
          <w:sz w:val="21"/>
          <w:szCs w:val="21"/>
        </w:rPr>
        <w:t>（三）评标程序</w:t>
      </w:r>
      <w:bookmarkEnd w:id="98"/>
      <w:bookmarkEnd w:id="99"/>
      <w:bookmarkEnd w:id="100"/>
    </w:p>
    <w:p>
      <w:pPr>
        <w:adjustRightInd w:val="0"/>
        <w:snapToGrid w:val="0"/>
        <w:spacing w:line="460" w:lineRule="exact"/>
        <w:ind w:firstLine="422" w:firstLineChars="200"/>
        <w:rPr>
          <w:rFonts w:hint="eastAsia" w:ascii="宋体" w:hAnsi="宋体" w:cs="宋体"/>
          <w:b/>
          <w:color w:val="000000"/>
          <w:szCs w:val="21"/>
        </w:rPr>
      </w:pPr>
      <w:bookmarkStart w:id="101" w:name="_Toc28796"/>
      <w:bookmarkStart w:id="102" w:name="_Toc15640"/>
      <w:bookmarkStart w:id="103" w:name="_Toc463726814"/>
      <w:r>
        <w:rPr>
          <w:rFonts w:hint="eastAsia" w:ascii="宋体" w:hAnsi="宋体" w:cs="宋体"/>
          <w:b/>
          <w:color w:val="000000"/>
          <w:szCs w:val="21"/>
        </w:rPr>
        <w:t>1</w:t>
      </w:r>
      <w:r>
        <w:rPr>
          <w:rFonts w:hint="eastAsia" w:ascii="宋体" w:hAnsi="宋体" w:cs="宋体"/>
          <w:b/>
          <w:color w:val="000000"/>
          <w:szCs w:val="21"/>
          <w:lang w:val="en-US" w:eastAsia="zh-CN"/>
        </w:rPr>
        <w:t>.</w:t>
      </w:r>
      <w:r>
        <w:rPr>
          <w:rFonts w:hint="eastAsia" w:ascii="宋体" w:hAnsi="宋体" w:cs="宋体"/>
          <w:b/>
          <w:color w:val="000000"/>
          <w:szCs w:val="21"/>
        </w:rPr>
        <w:t>资格条件审查</w:t>
      </w:r>
    </w:p>
    <w:p>
      <w:pPr>
        <w:adjustRightInd w:val="0"/>
        <w:snapToGrid w:val="0"/>
        <w:spacing w:line="460" w:lineRule="exact"/>
        <w:ind w:firstLine="522" w:firstLineChars="249"/>
        <w:rPr>
          <w:rFonts w:hint="eastAsia" w:ascii="宋体" w:hAnsi="宋体" w:cs="宋体"/>
          <w:color w:val="000000"/>
          <w:szCs w:val="21"/>
        </w:rPr>
      </w:pPr>
      <w:r>
        <w:rPr>
          <w:rFonts w:hint="eastAsia" w:ascii="宋体" w:hAnsi="宋体" w:cs="宋体"/>
          <w:color w:val="000000"/>
          <w:szCs w:val="21"/>
        </w:rPr>
        <w:t>由采购人或代理机构对投标人的资格进行审查。</w:t>
      </w:r>
    </w:p>
    <w:tbl>
      <w:tblPr>
        <w:tblStyle w:val="4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15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198"/>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审查类别</w:t>
            </w:r>
          </w:p>
        </w:tc>
        <w:tc>
          <w:tcPr>
            <w:tcW w:w="7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198"/>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资格条件审查</w:t>
            </w:r>
          </w:p>
        </w:tc>
        <w:tc>
          <w:tcPr>
            <w:tcW w:w="7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（一）满足《中华人民共和国政府采购法》第二十二条规定的投标人资格条件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p>
        </w:tc>
        <w:tc>
          <w:tcPr>
            <w:tcW w:w="7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（二）未被“信用中国”（www.creditchina.gov.cn)、中国政府采购网（www.ccgp.gov.cn）列入失信被执行人、重大税收违法案件当事人名单、政府采购严重违法失信行为记录名单。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p>
        </w:tc>
        <w:tc>
          <w:tcPr>
            <w:tcW w:w="7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（三）</w:t>
            </w:r>
            <w:r>
              <w:rPr>
                <w:rFonts w:hint="eastAsia" w:ascii="宋体" w:hAnsi="宋体" w:eastAsia="宋体" w:cs="宋体"/>
                <w:spacing w:val="0"/>
                <w:w w:val="100"/>
                <w:sz w:val="21"/>
                <w:szCs w:val="21"/>
                <w:highlight w:val="none"/>
                <w:shd w:val="clear" w:color="auto" w:fill="FFFFFF"/>
                <w:lang w:val="en-US" w:eastAsia="zh-CN"/>
              </w:rPr>
              <w:t>投标人具有公安机关核发的《保安服务许可证》（投标文件中提供有效的证书复印件加盖单位公章）。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198"/>
              <w:jc w:val="center"/>
              <w:textAlignment w:val="auto"/>
              <w:rPr>
                <w:rFonts w:hint="eastAsia" w:ascii="宋体" w:hAnsi="宋体" w:cs="宋体"/>
                <w:color w:val="auto"/>
                <w:szCs w:val="21"/>
                <w:highlight w:val="none"/>
              </w:rPr>
            </w:pPr>
          </w:p>
        </w:tc>
        <w:tc>
          <w:tcPr>
            <w:tcW w:w="7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）单位负责人为同一人或者存在直接控股、管理关系的不同投标人，不得参加同一合同项下的政府采购活动。为采购项目提供项目管理、监理、检测等服务的投标人，不得参加本项目的投标。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198"/>
              <w:jc w:val="center"/>
              <w:textAlignment w:val="auto"/>
              <w:rPr>
                <w:rFonts w:hint="eastAsia" w:ascii="宋体" w:hAnsi="宋体" w:cs="宋体"/>
                <w:color w:val="auto"/>
                <w:szCs w:val="21"/>
                <w:highlight w:val="none"/>
              </w:rPr>
            </w:pPr>
          </w:p>
        </w:tc>
        <w:tc>
          <w:tcPr>
            <w:tcW w:w="73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）本项目不接受联合体投标。</w:t>
            </w:r>
          </w:p>
        </w:tc>
      </w:tr>
    </w:tbl>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合格投标人不足3家的，评标程序不进行。</w:t>
      </w:r>
    </w:p>
    <w:p>
      <w:pPr>
        <w:adjustRightInd w:val="0"/>
        <w:snapToGrid w:val="0"/>
        <w:spacing w:line="440" w:lineRule="exact"/>
        <w:ind w:firstLine="422" w:firstLineChars="200"/>
        <w:rPr>
          <w:rFonts w:hint="eastAsia" w:ascii="宋体" w:hAnsi="宋体" w:cs="宋体"/>
          <w:b/>
          <w:color w:val="000000"/>
          <w:szCs w:val="21"/>
        </w:rPr>
      </w:pPr>
      <w:r>
        <w:rPr>
          <w:rFonts w:hint="eastAsia" w:ascii="宋体" w:hAnsi="宋体" w:cs="宋体"/>
          <w:b/>
          <w:color w:val="000000"/>
          <w:szCs w:val="21"/>
        </w:rPr>
        <w:t>2</w:t>
      </w:r>
      <w:r>
        <w:rPr>
          <w:rFonts w:hint="eastAsia" w:ascii="宋体" w:hAnsi="宋体" w:cs="宋体"/>
          <w:b/>
          <w:color w:val="000000"/>
          <w:szCs w:val="21"/>
          <w:lang w:val="en-US" w:eastAsia="zh-CN"/>
        </w:rPr>
        <w:t>.</w:t>
      </w:r>
      <w:r>
        <w:rPr>
          <w:rFonts w:hint="eastAsia" w:ascii="宋体" w:hAnsi="宋体" w:cs="宋体"/>
          <w:b/>
          <w:color w:val="000000"/>
          <w:szCs w:val="21"/>
        </w:rPr>
        <w:t>符合性审查</w:t>
      </w:r>
    </w:p>
    <w:p>
      <w:pPr>
        <w:adjustRightInd w:val="0"/>
        <w:snapToGrid w:val="0"/>
        <w:spacing w:line="440" w:lineRule="exact"/>
        <w:ind w:firstLine="420" w:firstLineChars="200"/>
        <w:rPr>
          <w:rFonts w:hint="eastAsia" w:ascii="宋体" w:hAnsi="宋体" w:cs="宋体"/>
          <w:bCs/>
          <w:color w:val="000000"/>
          <w:szCs w:val="21"/>
        </w:rPr>
      </w:pPr>
      <w:r>
        <w:rPr>
          <w:rFonts w:hint="eastAsia" w:ascii="宋体" w:hAnsi="宋体" w:cs="宋体"/>
          <w:bCs/>
          <w:color w:val="000000"/>
          <w:szCs w:val="21"/>
        </w:rPr>
        <w:t>评标委员会应当对符合资格的投标人的投标文件进行符合性审查，以确定其是否满足采购文件的实质性要求。</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03" w:type="dxa"/>
            <w:noWrap w:val="0"/>
            <w:vAlign w:val="center"/>
          </w:tcPr>
          <w:p>
            <w:pPr>
              <w:spacing w:line="360" w:lineRule="auto"/>
              <w:jc w:val="center"/>
              <w:rPr>
                <w:b/>
                <w:color w:val="000000"/>
                <w:szCs w:val="21"/>
              </w:rPr>
            </w:pPr>
            <w:r>
              <w:rPr>
                <w:rFonts w:hint="eastAsia"/>
                <w:b/>
                <w:color w:val="000000"/>
                <w:szCs w:val="21"/>
              </w:rPr>
              <w:t>审查类别</w:t>
            </w:r>
          </w:p>
        </w:tc>
        <w:tc>
          <w:tcPr>
            <w:tcW w:w="7394" w:type="dxa"/>
            <w:noWrap w:val="0"/>
            <w:vAlign w:val="center"/>
          </w:tcPr>
          <w:p>
            <w:pPr>
              <w:spacing w:line="360" w:lineRule="auto"/>
              <w:jc w:val="center"/>
              <w:rPr>
                <w:b/>
                <w:color w:val="000000"/>
                <w:szCs w:val="21"/>
              </w:rPr>
            </w:pPr>
            <w:r>
              <w:rPr>
                <w:rFonts w:hint="eastAsia"/>
                <w:b/>
                <w:color w:val="00000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Merge w:val="restart"/>
            <w:noWrap w:val="0"/>
            <w:vAlign w:val="center"/>
          </w:tcPr>
          <w:p>
            <w:pPr>
              <w:spacing w:line="360" w:lineRule="auto"/>
              <w:jc w:val="center"/>
              <w:rPr>
                <w:color w:val="000000"/>
                <w:szCs w:val="21"/>
              </w:rPr>
            </w:pPr>
            <w:r>
              <w:rPr>
                <w:rFonts w:hint="eastAsia"/>
                <w:color w:val="000000"/>
                <w:szCs w:val="21"/>
              </w:rPr>
              <w:t>符合性审查</w:t>
            </w:r>
          </w:p>
        </w:tc>
        <w:tc>
          <w:tcPr>
            <w:tcW w:w="7394" w:type="dxa"/>
            <w:noWrap w:val="0"/>
            <w:vAlign w:val="center"/>
          </w:tcPr>
          <w:p>
            <w:pPr>
              <w:tabs>
                <w:tab w:val="left" w:pos="612"/>
              </w:tabs>
              <w:spacing w:before="120" w:beforeLines="50" w:after="120" w:afterLines="50"/>
              <w:rPr>
                <w:rFonts w:hint="eastAsia" w:ascii="宋体" w:hAnsi="宋体" w:cs="宋体"/>
                <w:color w:val="000000"/>
              </w:rPr>
            </w:pPr>
            <w:r>
              <w:rPr>
                <w:rFonts w:hint="eastAsia" w:ascii="宋体" w:hAnsi="宋体" w:cs="宋体"/>
                <w:color w:val="000000"/>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Merge w:val="continue"/>
            <w:noWrap w:val="0"/>
            <w:vAlign w:val="top"/>
          </w:tcPr>
          <w:p>
            <w:pPr>
              <w:spacing w:line="360" w:lineRule="auto"/>
              <w:rPr>
                <w:color w:val="000000"/>
                <w:szCs w:val="21"/>
              </w:rPr>
            </w:pPr>
          </w:p>
        </w:tc>
        <w:tc>
          <w:tcPr>
            <w:tcW w:w="7394" w:type="dxa"/>
            <w:noWrap w:val="0"/>
            <w:vAlign w:val="center"/>
          </w:tcPr>
          <w:p>
            <w:pPr>
              <w:tabs>
                <w:tab w:val="left" w:pos="612"/>
              </w:tabs>
              <w:spacing w:before="120" w:beforeLines="50" w:after="120" w:afterLines="50"/>
              <w:rPr>
                <w:rFonts w:ascii="宋体" w:hAnsi="宋体" w:cs="宋体"/>
                <w:color w:val="000000"/>
              </w:rPr>
            </w:pPr>
            <w:r>
              <w:rPr>
                <w:rFonts w:hint="eastAsia" w:ascii="宋体" w:hAnsi="宋体" w:cs="宋体"/>
                <w:color w:val="000000"/>
              </w:rPr>
              <w:t>投标人按照采购文件规定要求盖章</w:t>
            </w:r>
            <w:r>
              <w:rPr>
                <w:rFonts w:hint="eastAsia" w:ascii="宋体" w:hAnsi="宋体" w:cs="宋体"/>
                <w:color w:val="000000"/>
                <w:lang w:eastAsia="zh-CN"/>
              </w:rPr>
              <w:t>或</w:t>
            </w:r>
            <w:r>
              <w:rPr>
                <w:rFonts w:hint="eastAsia" w:ascii="宋体" w:hAnsi="宋体" w:cs="宋体"/>
                <w:color w:val="000000"/>
              </w:rPr>
              <w:t>签字的；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Merge w:val="continue"/>
            <w:noWrap w:val="0"/>
            <w:vAlign w:val="top"/>
          </w:tcPr>
          <w:p>
            <w:pPr>
              <w:spacing w:line="360" w:lineRule="auto"/>
              <w:rPr>
                <w:color w:val="000000"/>
                <w:szCs w:val="21"/>
              </w:rPr>
            </w:pPr>
          </w:p>
        </w:tc>
        <w:tc>
          <w:tcPr>
            <w:tcW w:w="7394" w:type="dxa"/>
            <w:noWrap w:val="0"/>
            <w:vAlign w:val="center"/>
          </w:tcPr>
          <w:p>
            <w:pPr>
              <w:tabs>
                <w:tab w:val="left" w:pos="612"/>
              </w:tabs>
              <w:spacing w:before="120" w:beforeLines="50" w:after="120" w:afterLines="50"/>
              <w:rPr>
                <w:rFonts w:hint="eastAsia" w:ascii="宋体" w:hAnsi="宋体" w:cs="宋体"/>
                <w:color w:val="000000"/>
                <w:kern w:val="0"/>
              </w:rPr>
            </w:pPr>
            <w:r>
              <w:rPr>
                <w:rFonts w:hint="eastAsia" w:ascii="宋体" w:hAnsi="宋体" w:cs="宋体"/>
                <w:color w:val="000000"/>
              </w:rPr>
              <w:t>投标文件完全满足采购文件的实质性条款（即带“★”的条款）无负偏离的；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Merge w:val="continue"/>
            <w:noWrap w:val="0"/>
            <w:vAlign w:val="top"/>
          </w:tcPr>
          <w:p>
            <w:pPr>
              <w:spacing w:line="360" w:lineRule="auto"/>
              <w:rPr>
                <w:color w:val="000000"/>
                <w:szCs w:val="21"/>
              </w:rPr>
            </w:pPr>
          </w:p>
        </w:tc>
        <w:tc>
          <w:tcPr>
            <w:tcW w:w="7394" w:type="dxa"/>
            <w:noWrap w:val="0"/>
            <w:vAlign w:val="center"/>
          </w:tcPr>
          <w:p>
            <w:pPr>
              <w:spacing w:before="120" w:beforeLines="50" w:after="120" w:afterLines="50"/>
              <w:rPr>
                <w:rFonts w:ascii="宋体" w:hAnsi="宋体" w:cs="宋体"/>
                <w:color w:val="000000"/>
              </w:rPr>
            </w:pPr>
            <w:r>
              <w:rPr>
                <w:rFonts w:hint="eastAsia" w:ascii="宋体" w:hAnsi="宋体" w:cs="宋体"/>
                <w:color w:val="000000"/>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vMerge w:val="continue"/>
            <w:noWrap w:val="0"/>
            <w:vAlign w:val="top"/>
          </w:tcPr>
          <w:p>
            <w:pPr>
              <w:spacing w:line="360" w:lineRule="auto"/>
              <w:rPr>
                <w:color w:val="000000"/>
                <w:szCs w:val="21"/>
              </w:rPr>
            </w:pPr>
          </w:p>
        </w:tc>
        <w:tc>
          <w:tcPr>
            <w:tcW w:w="7394" w:type="dxa"/>
            <w:noWrap w:val="0"/>
            <w:vAlign w:val="center"/>
          </w:tcPr>
          <w:p>
            <w:pPr>
              <w:spacing w:before="120" w:beforeLines="50" w:after="120" w:afterLines="50"/>
              <w:rPr>
                <w:rFonts w:hint="eastAsia" w:ascii="宋体" w:hAnsi="宋体" w:cs="宋体"/>
                <w:color w:val="000000"/>
              </w:rPr>
            </w:pPr>
            <w:r>
              <w:rPr>
                <w:rFonts w:hint="eastAsia" w:ascii="宋体" w:hAnsi="宋体" w:cs="宋体"/>
                <w:color w:val="000000"/>
              </w:rPr>
              <w:t>按有关法律、法规、规章不属于投标无效的。</w:t>
            </w:r>
          </w:p>
        </w:tc>
      </w:tr>
    </w:tbl>
    <w:p>
      <w:pPr>
        <w:snapToGrid w:val="0"/>
        <w:spacing w:line="440" w:lineRule="exact"/>
        <w:ind w:firstLine="422" w:firstLineChars="200"/>
        <w:rPr>
          <w:rFonts w:hint="eastAsia" w:ascii="宋体" w:hAnsi="宋体" w:cs="宋体"/>
          <w:b/>
          <w:bCs/>
          <w:color w:val="000000"/>
          <w:szCs w:val="21"/>
        </w:rPr>
      </w:pPr>
      <w:r>
        <w:rPr>
          <w:rFonts w:hint="eastAsia" w:ascii="宋体" w:hAnsi="宋体" w:cs="宋体"/>
          <w:b/>
          <w:bCs/>
          <w:color w:val="000000"/>
          <w:szCs w:val="21"/>
        </w:rPr>
        <w:t>3</w:t>
      </w:r>
      <w:r>
        <w:rPr>
          <w:rFonts w:hint="eastAsia" w:ascii="宋体" w:hAnsi="宋体" w:cs="宋体"/>
          <w:b/>
          <w:bCs/>
          <w:color w:val="000000"/>
          <w:szCs w:val="21"/>
          <w:lang w:val="en-US" w:eastAsia="zh-CN"/>
        </w:rPr>
        <w:t>.</w:t>
      </w:r>
      <w:r>
        <w:rPr>
          <w:rFonts w:hint="eastAsia" w:ascii="宋体" w:hAnsi="宋体" w:cs="宋体"/>
          <w:b/>
          <w:bCs/>
          <w:color w:val="000000"/>
          <w:szCs w:val="21"/>
        </w:rPr>
        <w:t>实质审查</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（1）评标委员会审查投标文件的实质性内容是否符合招标文件的实质性要求。</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（2）评标委员会将根据投标人的投标文件进行审查、核对，如有疑问，将对投标人进行询标，投标人要向评标委员会澄清有关问题。</w:t>
      </w:r>
    </w:p>
    <w:p>
      <w:pPr>
        <w:pStyle w:val="7"/>
        <w:keepNext w:val="0"/>
        <w:keepLines w:val="0"/>
        <w:pageBreakBefore w:val="0"/>
        <w:widowControl w:val="0"/>
        <w:kinsoku/>
        <w:wordWrap/>
        <w:overflowPunct/>
        <w:topLinePunct w:val="0"/>
        <w:autoSpaceDE/>
        <w:autoSpaceDN/>
        <w:bidi w:val="0"/>
        <w:snapToGrid w:val="0"/>
        <w:spacing w:before="0" w:after="0" w:line="440" w:lineRule="exact"/>
        <w:ind w:left="0" w:leftChars="0" w:firstLine="0" w:firstLineChars="0"/>
        <w:jc w:val="both"/>
        <w:textAlignment w:val="auto"/>
        <w:rPr>
          <w:rFonts w:hint="eastAsia" w:ascii="宋体" w:hAnsi="宋体" w:cs="宋体"/>
          <w:color w:val="000000"/>
          <w:sz w:val="21"/>
          <w:szCs w:val="21"/>
        </w:rPr>
      </w:pPr>
      <w:r>
        <w:rPr>
          <w:rFonts w:hint="eastAsia" w:ascii="宋体" w:hAnsi="宋体" w:cs="宋体"/>
          <w:color w:val="000000"/>
          <w:sz w:val="21"/>
          <w:szCs w:val="21"/>
        </w:rPr>
        <w:t>（四）澄清问题的形式</w:t>
      </w:r>
      <w:bookmarkEnd w:id="101"/>
      <w:bookmarkEnd w:id="102"/>
      <w:bookmarkEnd w:id="103"/>
    </w:p>
    <w:p>
      <w:pPr>
        <w:pStyle w:val="7"/>
        <w:keepNext w:val="0"/>
        <w:keepLines w:val="0"/>
        <w:pageBreakBefore w:val="0"/>
        <w:widowControl w:val="0"/>
        <w:kinsoku/>
        <w:wordWrap/>
        <w:overflowPunct/>
        <w:topLinePunct w:val="0"/>
        <w:autoSpaceDE/>
        <w:autoSpaceDN/>
        <w:bidi w:val="0"/>
        <w:snapToGrid w:val="0"/>
        <w:spacing w:before="0" w:after="0" w:line="440" w:lineRule="exact"/>
        <w:ind w:firstLine="420" w:firstLineChars="200"/>
        <w:jc w:val="both"/>
        <w:textAlignment w:val="auto"/>
        <w:rPr>
          <w:rFonts w:hint="eastAsia" w:ascii="宋体" w:hAnsi="宋体" w:cs="宋体"/>
          <w:b w:val="0"/>
          <w:bCs w:val="0"/>
          <w:color w:val="000000"/>
          <w:sz w:val="21"/>
          <w:szCs w:val="21"/>
        </w:rPr>
      </w:pPr>
      <w:r>
        <w:rPr>
          <w:rFonts w:hint="eastAsia" w:ascii="宋体" w:hAnsi="宋体" w:cs="宋体"/>
          <w:b w:val="0"/>
          <w:bCs w:val="0"/>
          <w:color w:val="000000"/>
          <w:sz w:val="21"/>
          <w:szCs w:val="21"/>
        </w:rPr>
        <w:t>对投标文件中含义不明确、同类问题表述不一致或者有明显文字和计算错误的内容，评标委员会可要求投标人作出必要的澄清、说明或者纠正。电子投标文件的，澄清、说明或者补正通过电子交易平台交换数据电子文件，</w:t>
      </w:r>
      <w:r>
        <w:rPr>
          <w:rFonts w:hint="eastAsia" w:ascii="宋体" w:hAnsi="宋体" w:cs="宋体"/>
          <w:b w:val="0"/>
          <w:bCs w:val="0"/>
          <w:color w:val="000000"/>
          <w:sz w:val="21"/>
          <w:szCs w:val="21"/>
          <w:lang w:eastAsia="zh-CN"/>
        </w:rPr>
        <w:t>投标人</w:t>
      </w:r>
      <w:r>
        <w:rPr>
          <w:rFonts w:hint="eastAsia" w:ascii="宋体" w:hAnsi="宋体" w:cs="宋体"/>
          <w:b w:val="0"/>
          <w:bCs w:val="0"/>
          <w:color w:val="000000"/>
          <w:sz w:val="21"/>
          <w:szCs w:val="21"/>
        </w:rPr>
        <w:t>提交澄清说明或补正的时间为30分钟。</w:t>
      </w:r>
    </w:p>
    <w:p>
      <w:pPr>
        <w:pStyle w:val="7"/>
        <w:keepNext w:val="0"/>
        <w:keepLines w:val="0"/>
        <w:pageBreakBefore w:val="0"/>
        <w:widowControl w:val="0"/>
        <w:kinsoku/>
        <w:wordWrap/>
        <w:overflowPunct/>
        <w:topLinePunct w:val="0"/>
        <w:autoSpaceDE/>
        <w:autoSpaceDN/>
        <w:bidi w:val="0"/>
        <w:snapToGrid w:val="0"/>
        <w:spacing w:before="0" w:after="0" w:line="440" w:lineRule="exact"/>
        <w:ind w:left="0" w:leftChars="0" w:firstLine="0" w:firstLineChars="0"/>
        <w:jc w:val="both"/>
        <w:textAlignment w:val="auto"/>
        <w:rPr>
          <w:rFonts w:hint="eastAsia" w:ascii="宋体" w:hAnsi="宋体" w:cs="宋体"/>
          <w:color w:val="000000"/>
          <w:sz w:val="21"/>
          <w:szCs w:val="21"/>
        </w:rPr>
      </w:pPr>
      <w:r>
        <w:rPr>
          <w:rFonts w:hint="eastAsia" w:ascii="宋体" w:hAnsi="宋体" w:cs="宋体"/>
          <w:color w:val="000000"/>
          <w:sz w:val="21"/>
          <w:szCs w:val="21"/>
        </w:rPr>
        <w:t>（五）错误修正</w:t>
      </w:r>
      <w:bookmarkEnd w:id="75"/>
      <w:bookmarkEnd w:id="76"/>
      <w:bookmarkEnd w:id="77"/>
      <w:bookmarkEnd w:id="78"/>
    </w:p>
    <w:p>
      <w:pPr>
        <w:pStyle w:val="27"/>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20" w:firstLineChars="200"/>
        <w:textAlignment w:val="auto"/>
        <w:rPr>
          <w:rFonts w:hint="eastAsia" w:hAnsi="宋体" w:cs="宋体"/>
          <w:bCs/>
          <w:color w:val="000000"/>
          <w:sz w:val="21"/>
          <w:szCs w:val="21"/>
        </w:rPr>
      </w:pPr>
      <w:r>
        <w:rPr>
          <w:rFonts w:hint="eastAsia" w:hAnsi="宋体" w:cs="宋体"/>
          <w:bCs/>
          <w:color w:val="000000"/>
          <w:sz w:val="21"/>
          <w:szCs w:val="21"/>
        </w:rPr>
        <w:t>投标文件如果出现计算或表达上的错误，修正错误的原则如下：</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firstLine="420" w:firstLineChars="200"/>
        <w:textAlignment w:val="auto"/>
        <w:rPr>
          <w:rFonts w:hint="eastAsia" w:hAnsi="宋体" w:cs="宋体"/>
          <w:color w:val="000000"/>
          <w:sz w:val="21"/>
          <w:szCs w:val="21"/>
        </w:rPr>
      </w:pPr>
      <w:bookmarkStart w:id="104" w:name="_Toc3305"/>
      <w:bookmarkStart w:id="105" w:name="_Toc463726816"/>
      <w:bookmarkStart w:id="106" w:name="_Toc16545"/>
      <w:r>
        <w:rPr>
          <w:rFonts w:hint="eastAsia" w:hAnsi="宋体" w:cs="宋体"/>
          <w:color w:val="000000"/>
          <w:sz w:val="21"/>
          <w:szCs w:val="21"/>
        </w:rPr>
        <w:t>1.投标文件中开标一览表内容与投标文件中相应内容不一致的，以开标一览表为准；</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firstLine="420" w:firstLineChars="200"/>
        <w:textAlignment w:val="auto"/>
        <w:rPr>
          <w:rFonts w:hint="eastAsia" w:hAnsi="宋体" w:cs="宋体"/>
          <w:color w:val="000000"/>
          <w:sz w:val="21"/>
          <w:szCs w:val="21"/>
        </w:rPr>
      </w:pPr>
      <w:r>
        <w:rPr>
          <w:rFonts w:hint="eastAsia" w:hAnsi="宋体" w:cs="宋体"/>
          <w:color w:val="000000"/>
          <w:sz w:val="21"/>
          <w:szCs w:val="21"/>
        </w:rPr>
        <w:t>2.大写金额和小写金额不一致的，以大写金额为准；</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firstLine="420" w:firstLineChars="200"/>
        <w:textAlignment w:val="auto"/>
        <w:rPr>
          <w:rFonts w:hint="eastAsia" w:hAnsi="宋体" w:cs="宋体"/>
          <w:color w:val="000000"/>
          <w:sz w:val="21"/>
          <w:szCs w:val="21"/>
        </w:rPr>
      </w:pPr>
      <w:r>
        <w:rPr>
          <w:rFonts w:hint="eastAsia" w:hAnsi="宋体" w:cs="宋体"/>
          <w:color w:val="000000"/>
          <w:sz w:val="21"/>
          <w:szCs w:val="21"/>
        </w:rPr>
        <w:t>3.单价金额小数点或者百分比有明显错位的，以开标一览表的总价为准，并修改单价；</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firstLine="420" w:firstLineChars="200"/>
        <w:textAlignment w:val="auto"/>
        <w:rPr>
          <w:rFonts w:hint="eastAsia" w:hAnsi="宋体" w:cs="宋体"/>
          <w:color w:val="000000"/>
          <w:sz w:val="21"/>
          <w:szCs w:val="21"/>
        </w:rPr>
      </w:pPr>
      <w:r>
        <w:rPr>
          <w:rFonts w:hint="eastAsia" w:hAnsi="宋体" w:cs="宋体"/>
          <w:color w:val="000000"/>
          <w:sz w:val="21"/>
          <w:szCs w:val="21"/>
        </w:rPr>
        <w:t>4.总价金额与按单价汇总金额不一致的，以单价金额计算结果为准。</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firstLine="420" w:firstLineChars="200"/>
        <w:textAlignment w:val="auto"/>
        <w:rPr>
          <w:rFonts w:hint="eastAsia" w:hAnsi="宋体" w:cs="宋体"/>
          <w:color w:val="000000"/>
          <w:sz w:val="21"/>
          <w:szCs w:val="21"/>
        </w:rPr>
      </w:pPr>
      <w:r>
        <w:rPr>
          <w:rFonts w:hint="eastAsia" w:hAnsi="宋体" w:cs="宋体"/>
          <w:color w:val="000000"/>
          <w:sz w:val="21"/>
          <w:szCs w:val="21"/>
        </w:rPr>
        <w:t>同时出现两种以上不一致的，按照前款规定的顺序修正。</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firstLine="420" w:firstLineChars="200"/>
        <w:textAlignment w:val="auto"/>
        <w:rPr>
          <w:rFonts w:hint="eastAsia" w:hAnsi="宋体" w:cs="宋体"/>
          <w:color w:val="000000"/>
          <w:sz w:val="21"/>
          <w:szCs w:val="21"/>
        </w:rPr>
      </w:pPr>
      <w:r>
        <w:rPr>
          <w:rFonts w:hint="eastAsia" w:hAnsi="宋体" w:cs="宋体"/>
          <w:color w:val="000000"/>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对不同文字文本投标文件的解释发生异议的，以中文文本为准。</w:t>
      </w:r>
    </w:p>
    <w:p>
      <w:pPr>
        <w:pStyle w:val="7"/>
        <w:keepNext w:val="0"/>
        <w:keepLines w:val="0"/>
        <w:pageBreakBefore w:val="0"/>
        <w:widowControl w:val="0"/>
        <w:kinsoku/>
        <w:wordWrap/>
        <w:overflowPunct/>
        <w:topLinePunct w:val="0"/>
        <w:autoSpaceDE/>
        <w:autoSpaceDN/>
        <w:bidi w:val="0"/>
        <w:snapToGrid w:val="0"/>
        <w:spacing w:before="0" w:after="0" w:line="440" w:lineRule="exact"/>
        <w:ind w:left="0" w:leftChars="0" w:firstLine="0" w:firstLineChars="0"/>
        <w:jc w:val="both"/>
        <w:textAlignment w:val="auto"/>
        <w:rPr>
          <w:rFonts w:hint="eastAsia" w:ascii="宋体" w:hAnsi="宋体" w:cs="宋体"/>
          <w:color w:val="000000"/>
          <w:sz w:val="21"/>
          <w:szCs w:val="21"/>
        </w:rPr>
      </w:pPr>
      <w:r>
        <w:rPr>
          <w:rFonts w:hint="eastAsia" w:ascii="宋体" w:hAnsi="宋体" w:cs="宋体"/>
          <w:color w:val="000000"/>
          <w:sz w:val="21"/>
          <w:szCs w:val="21"/>
        </w:rPr>
        <w:t>（六）评标原则和评标办法</w:t>
      </w:r>
      <w:bookmarkEnd w:id="104"/>
      <w:bookmarkEnd w:id="105"/>
      <w:bookmarkEnd w:id="106"/>
    </w:p>
    <w:p>
      <w:pPr>
        <w:pStyle w:val="17"/>
        <w:keepNext w:val="0"/>
        <w:keepLines w:val="0"/>
        <w:pageBreakBefore w:val="0"/>
        <w:widowControl w:val="0"/>
        <w:tabs>
          <w:tab w:val="left" w:pos="0"/>
          <w:tab w:val="clear" w:pos="454"/>
          <w:tab w:val="clear" w:pos="720"/>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keepNext w:val="0"/>
        <w:keepLines w:val="0"/>
        <w:pageBreakBefore w:val="0"/>
        <w:widowControl w:val="0"/>
        <w:tabs>
          <w:tab w:val="left" w:pos="0"/>
          <w:tab w:val="clear" w:pos="454"/>
          <w:tab w:val="clear" w:pos="720"/>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2．评标办法：本项目评标办法是</w:t>
      </w:r>
      <w:r>
        <w:rPr>
          <w:rFonts w:hint="eastAsia" w:ascii="宋体" w:hAnsi="宋体" w:cs="宋体"/>
          <w:b/>
          <w:bCs/>
          <w:color w:val="000000"/>
          <w:sz w:val="21"/>
          <w:szCs w:val="21"/>
          <w:u w:val="single"/>
        </w:rPr>
        <w:t xml:space="preserve"> 综合评分法 </w:t>
      </w:r>
      <w:r>
        <w:rPr>
          <w:rFonts w:hint="eastAsia" w:ascii="宋体" w:hAnsi="宋体" w:cs="宋体"/>
          <w:color w:val="000000"/>
          <w:sz w:val="21"/>
          <w:szCs w:val="21"/>
        </w:rPr>
        <w:t>，具体评标内容及评分标准等详见本采购文件第五章《评标办法及评分标准》。</w:t>
      </w:r>
    </w:p>
    <w:p>
      <w:pPr>
        <w:pStyle w:val="6"/>
        <w:keepNext w:val="0"/>
        <w:keepLines w:val="0"/>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1"/>
          <w:szCs w:val="21"/>
        </w:rPr>
      </w:pPr>
      <w:bookmarkStart w:id="107" w:name="_Toc24850"/>
      <w:bookmarkStart w:id="108" w:name="_Toc27736"/>
      <w:bookmarkStart w:id="109" w:name="_Toc317685590"/>
      <w:bookmarkStart w:id="110" w:name="_Toc463726817"/>
      <w:r>
        <w:rPr>
          <w:rFonts w:hint="eastAsia" w:ascii="宋体" w:hAnsi="宋体" w:eastAsia="宋体" w:cs="宋体"/>
          <w:color w:val="000000"/>
          <w:sz w:val="21"/>
          <w:szCs w:val="21"/>
        </w:rPr>
        <w:t>六、采购方式变更</w:t>
      </w:r>
      <w:bookmarkEnd w:id="107"/>
      <w:bookmarkEnd w:id="108"/>
      <w:bookmarkEnd w:id="109"/>
      <w:bookmarkEnd w:id="110"/>
    </w:p>
    <w:p>
      <w:pPr>
        <w:pStyle w:val="17"/>
        <w:keepNext w:val="0"/>
        <w:keepLines w:val="0"/>
        <w:pageBreakBefore w:val="0"/>
        <w:widowControl w:val="0"/>
        <w:tabs>
          <w:tab w:val="left" w:pos="0"/>
          <w:tab w:val="clear" w:pos="454"/>
          <w:tab w:val="clear" w:pos="720"/>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政府采购的国内公开招标，采购响应截止时间止或评审期间，出现参与采购响应或者对采购文件作出实质性响应的</w:t>
      </w:r>
      <w:r>
        <w:rPr>
          <w:rFonts w:hint="eastAsia" w:ascii="宋体" w:hAnsi="宋体" w:cs="宋体"/>
          <w:color w:val="000000"/>
          <w:sz w:val="21"/>
          <w:szCs w:val="21"/>
          <w:lang w:eastAsia="zh-CN"/>
        </w:rPr>
        <w:t>投标人</w:t>
      </w:r>
      <w:r>
        <w:rPr>
          <w:rFonts w:hint="eastAsia" w:ascii="宋体" w:hAnsi="宋体" w:cs="宋体"/>
          <w:color w:val="000000"/>
          <w:sz w:val="21"/>
          <w:szCs w:val="21"/>
        </w:rPr>
        <w:t>不足3家的情况，采购人有权全部或部分终止招标。</w:t>
      </w:r>
    </w:p>
    <w:p>
      <w:pPr>
        <w:pStyle w:val="6"/>
        <w:keepNext w:val="0"/>
        <w:keepLines w:val="0"/>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1"/>
          <w:szCs w:val="21"/>
        </w:rPr>
      </w:pPr>
      <w:bookmarkStart w:id="111" w:name="_Toc27651"/>
      <w:bookmarkStart w:id="112" w:name="_Toc16521"/>
      <w:bookmarkStart w:id="113" w:name="_Toc12052"/>
      <w:bookmarkStart w:id="114" w:name="_Toc443416399"/>
      <w:r>
        <w:rPr>
          <w:rFonts w:hint="eastAsia" w:ascii="宋体" w:hAnsi="宋体" w:eastAsia="宋体" w:cs="宋体"/>
          <w:color w:val="000000"/>
          <w:sz w:val="21"/>
          <w:szCs w:val="21"/>
        </w:rPr>
        <w:t>七、定标</w:t>
      </w:r>
      <w:bookmarkEnd w:id="111"/>
      <w:bookmarkEnd w:id="112"/>
      <w:bookmarkEnd w:id="113"/>
      <w:bookmarkEnd w:id="114"/>
    </w:p>
    <w:p>
      <w:pPr>
        <w:pStyle w:val="17"/>
        <w:keepNext w:val="0"/>
        <w:keepLines w:val="0"/>
        <w:pageBreakBefore w:val="0"/>
        <w:widowControl w:val="0"/>
        <w:tabs>
          <w:tab w:val="left" w:pos="0"/>
          <w:tab w:val="clear" w:pos="454"/>
          <w:tab w:val="clear" w:pos="720"/>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采购代理机构应当自评审结束之日起2个工作日内将评审报告送交采购人确认，采购人应当自收到评审报告之日起5个工作日内在评审报告推荐的中标或者成交候选人中按顺序确定中标或成交人，并在发布招标公告的网站上公告中标结果，中标公告期限为1个工作日。</w:t>
      </w:r>
    </w:p>
    <w:p>
      <w:pPr>
        <w:pStyle w:val="17"/>
        <w:keepNext w:val="0"/>
        <w:keepLines w:val="0"/>
        <w:pageBreakBefore w:val="0"/>
        <w:widowControl w:val="0"/>
        <w:tabs>
          <w:tab w:val="left" w:pos="0"/>
          <w:tab w:val="clear" w:pos="454"/>
          <w:tab w:val="clear" w:pos="720"/>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2．在公告中标结果的同时，采购人或采购代理机构向中标人发出中标通知书；中标人无正当理由不得放弃中标；若中标人放弃中标、或因不可抗力提出不能履行合同，或不按招标文件规定提交履约保证金</w:t>
      </w:r>
      <w:r>
        <w:rPr>
          <w:rFonts w:hint="eastAsia" w:ascii="宋体" w:hAnsi="宋体" w:cs="宋体"/>
          <w:color w:val="000000"/>
          <w:sz w:val="21"/>
          <w:szCs w:val="21"/>
          <w:lang w:eastAsia="zh-CN"/>
        </w:rPr>
        <w:t>（如有）</w:t>
      </w:r>
      <w:r>
        <w:rPr>
          <w:rFonts w:hint="eastAsia" w:ascii="宋体" w:hAnsi="宋体" w:cs="宋体"/>
          <w:color w:val="000000"/>
          <w:sz w:val="21"/>
          <w:szCs w:val="21"/>
        </w:rPr>
        <w:t>或其它原因被依法撤销中标资格，则采购人可选择该项目（标段）综合得分排名下一位的投标人中标或重新组织招标。</w:t>
      </w:r>
    </w:p>
    <w:p>
      <w:pPr>
        <w:pStyle w:val="6"/>
        <w:keepNext w:val="0"/>
        <w:keepLines w:val="0"/>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000000"/>
          <w:sz w:val="21"/>
          <w:szCs w:val="21"/>
        </w:rPr>
      </w:pPr>
      <w:bookmarkStart w:id="115" w:name="_Toc463726819"/>
      <w:bookmarkStart w:id="116" w:name="_Toc28064"/>
      <w:bookmarkStart w:id="117" w:name="_Toc23205"/>
      <w:bookmarkStart w:id="118" w:name="_Toc424544449"/>
      <w:bookmarkStart w:id="119" w:name="_Toc10586"/>
      <w:bookmarkStart w:id="120" w:name="_Toc326337794"/>
      <w:bookmarkStart w:id="121" w:name="_Toc251160543"/>
      <w:bookmarkStart w:id="122" w:name="_Toc443416403"/>
      <w:bookmarkStart w:id="123" w:name="_Toc4365"/>
      <w:bookmarkStart w:id="124" w:name="_Toc13803"/>
      <w:r>
        <w:rPr>
          <w:rFonts w:hint="eastAsia" w:ascii="宋体" w:hAnsi="宋体" w:eastAsia="宋体" w:cs="宋体"/>
          <w:color w:val="000000"/>
          <w:sz w:val="21"/>
          <w:szCs w:val="21"/>
        </w:rPr>
        <w:t>八、合同授予</w:t>
      </w:r>
      <w:bookmarkEnd w:id="115"/>
      <w:r>
        <w:rPr>
          <w:rFonts w:hint="eastAsia" w:ascii="宋体" w:hAnsi="宋体" w:eastAsia="宋体" w:cs="宋体"/>
          <w:color w:val="000000"/>
          <w:sz w:val="21"/>
          <w:szCs w:val="21"/>
        </w:rPr>
        <w:t>及履约验收</w:t>
      </w:r>
      <w:bookmarkEnd w:id="116"/>
      <w:bookmarkEnd w:id="117"/>
    </w:p>
    <w:p>
      <w:pPr>
        <w:pStyle w:val="7"/>
        <w:keepNext w:val="0"/>
        <w:keepLines w:val="0"/>
        <w:pageBreakBefore w:val="0"/>
        <w:widowControl w:val="0"/>
        <w:kinsoku/>
        <w:wordWrap/>
        <w:overflowPunct/>
        <w:topLinePunct w:val="0"/>
        <w:autoSpaceDE/>
        <w:autoSpaceDN/>
        <w:bidi w:val="0"/>
        <w:spacing w:before="0" w:after="0" w:line="440" w:lineRule="exact"/>
        <w:ind w:left="0" w:leftChars="0" w:firstLine="0" w:firstLineChars="0"/>
        <w:jc w:val="both"/>
        <w:textAlignment w:val="auto"/>
        <w:rPr>
          <w:rFonts w:hint="eastAsia" w:ascii="宋体" w:hAnsi="宋体" w:cs="宋体"/>
          <w:color w:val="000000"/>
          <w:sz w:val="21"/>
          <w:szCs w:val="21"/>
        </w:rPr>
      </w:pPr>
      <w:bookmarkStart w:id="125" w:name="_Toc29636"/>
      <w:bookmarkStart w:id="126" w:name="_Toc463726820"/>
      <w:bookmarkStart w:id="127" w:name="_Toc24304"/>
      <w:r>
        <w:rPr>
          <w:rFonts w:hint="eastAsia" w:ascii="宋体" w:hAnsi="宋体" w:cs="宋体"/>
          <w:color w:val="000000"/>
          <w:sz w:val="21"/>
          <w:szCs w:val="21"/>
        </w:rPr>
        <w:t>（一）签订合同</w:t>
      </w:r>
      <w:bookmarkEnd w:id="125"/>
      <w:bookmarkEnd w:id="126"/>
      <w:bookmarkEnd w:id="127"/>
    </w:p>
    <w:p>
      <w:pPr>
        <w:pStyle w:val="17"/>
        <w:keepNext w:val="0"/>
        <w:keepLines w:val="0"/>
        <w:pageBreakBefore w:val="0"/>
        <w:widowControl w:val="0"/>
        <w:tabs>
          <w:tab w:val="clear" w:pos="454"/>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1．采购人与中标人应当在《中标通知书》发出之日起</w:t>
      </w:r>
      <w:r>
        <w:rPr>
          <w:rFonts w:hint="eastAsia" w:ascii="宋体" w:hAnsi="宋体" w:cs="宋体"/>
          <w:b/>
          <w:color w:val="000000"/>
          <w:sz w:val="21"/>
          <w:szCs w:val="21"/>
          <w:u w:val="single"/>
        </w:rPr>
        <w:t>30</w:t>
      </w:r>
      <w:r>
        <w:rPr>
          <w:rFonts w:hint="eastAsia" w:ascii="宋体" w:hAnsi="宋体" w:cs="宋体"/>
          <w:color w:val="000000"/>
          <w:sz w:val="21"/>
          <w:szCs w:val="21"/>
        </w:rPr>
        <w:t>日内签订合同。同时采购代理机构对合同内容进行审查，如发现与采购结果和投标承诺内容不一致的，应予以纠正。</w:t>
      </w:r>
    </w:p>
    <w:p>
      <w:pPr>
        <w:pStyle w:val="17"/>
        <w:keepNext w:val="0"/>
        <w:keepLines w:val="0"/>
        <w:pageBreakBefore w:val="0"/>
        <w:widowControl w:val="0"/>
        <w:tabs>
          <w:tab w:val="clear" w:pos="454"/>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2．中标人如不遵守招标文件或投标文件各项条款的邀约与要约，或在接到中标通知书后借故拖延，拒签合同的，采购人将按《浙江省政府采购</w:t>
      </w:r>
      <w:r>
        <w:rPr>
          <w:rFonts w:hint="eastAsia" w:ascii="宋体" w:hAnsi="宋体" w:cs="宋体"/>
          <w:color w:val="000000"/>
          <w:sz w:val="21"/>
          <w:szCs w:val="21"/>
          <w:lang w:eastAsia="zh-CN"/>
        </w:rPr>
        <w:t>投标人</w:t>
      </w:r>
      <w:r>
        <w:rPr>
          <w:rFonts w:hint="eastAsia" w:ascii="宋体" w:hAnsi="宋体" w:cs="宋体"/>
          <w:color w:val="000000"/>
          <w:sz w:val="21"/>
          <w:szCs w:val="21"/>
        </w:rPr>
        <w:t>注册及诚信管理暂行办法》的规定上报诚信状况，并取消中标资格，给采购人造成损失的还应当予以赔偿。</w:t>
      </w:r>
    </w:p>
    <w:p>
      <w:pPr>
        <w:pStyle w:val="17"/>
        <w:keepNext w:val="0"/>
        <w:keepLines w:val="0"/>
        <w:pageBreakBefore w:val="0"/>
        <w:widowControl w:val="0"/>
        <w:tabs>
          <w:tab w:val="clear" w:pos="454"/>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3．中标人拒绝与采购人签订合同的，采购人可以按照评审报告推荐的中标或成交候选人名单排序，确定下一候选人为中标人或成交人，也可以重新开展政府采购活动。</w:t>
      </w:r>
    </w:p>
    <w:p>
      <w:pPr>
        <w:pStyle w:val="7"/>
        <w:keepNext w:val="0"/>
        <w:keepLines w:val="0"/>
        <w:pageBreakBefore w:val="0"/>
        <w:widowControl w:val="0"/>
        <w:kinsoku/>
        <w:wordWrap/>
        <w:overflowPunct/>
        <w:topLinePunct w:val="0"/>
        <w:autoSpaceDE/>
        <w:autoSpaceDN/>
        <w:bidi w:val="0"/>
        <w:spacing w:before="0" w:after="0" w:line="440" w:lineRule="exact"/>
        <w:ind w:left="0" w:leftChars="0" w:firstLine="0" w:firstLineChars="0"/>
        <w:jc w:val="both"/>
        <w:textAlignment w:val="auto"/>
        <w:rPr>
          <w:rFonts w:hint="eastAsia" w:ascii="宋体" w:hAnsi="宋体" w:eastAsia="宋体" w:cs="宋体"/>
          <w:color w:val="000000"/>
          <w:sz w:val="21"/>
          <w:szCs w:val="21"/>
          <w:lang w:eastAsia="zh-CN"/>
        </w:rPr>
      </w:pPr>
      <w:bookmarkStart w:id="128" w:name="_Toc2098"/>
      <w:bookmarkStart w:id="129" w:name="_Toc463726821"/>
      <w:bookmarkStart w:id="130" w:name="_Toc22378"/>
      <w:bookmarkStart w:id="131" w:name="_Toc317685594"/>
      <w:r>
        <w:rPr>
          <w:rFonts w:hint="eastAsia" w:ascii="宋体" w:hAnsi="宋体" w:cs="宋体"/>
          <w:color w:val="000000"/>
          <w:sz w:val="21"/>
          <w:szCs w:val="21"/>
        </w:rPr>
        <w:t>（二）履约保证金</w:t>
      </w:r>
      <w:bookmarkEnd w:id="128"/>
      <w:bookmarkEnd w:id="129"/>
      <w:bookmarkEnd w:id="130"/>
      <w:bookmarkEnd w:id="131"/>
    </w:p>
    <w:p>
      <w:pPr>
        <w:pStyle w:val="17"/>
        <w:keepNext w:val="0"/>
        <w:keepLines w:val="0"/>
        <w:pageBreakBefore w:val="0"/>
        <w:widowControl w:val="0"/>
        <w:tabs>
          <w:tab w:val="clear" w:pos="454"/>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1．中标人应按采购代理机构根据采购文件确定的履约保证金的金额，向采购人交纳履约保证金。</w:t>
      </w:r>
    </w:p>
    <w:p>
      <w:pPr>
        <w:pStyle w:val="17"/>
        <w:keepNext w:val="0"/>
        <w:keepLines w:val="0"/>
        <w:pageBreakBefore w:val="0"/>
        <w:widowControl w:val="0"/>
        <w:tabs>
          <w:tab w:val="clear" w:pos="454"/>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2．签订合同后，如中标人不按双方合同约定履约，则没收其全部履约保证金，履约保证金不足以赔偿损失的，按实际损失赔偿。</w:t>
      </w:r>
    </w:p>
    <w:p>
      <w:pPr>
        <w:pStyle w:val="7"/>
        <w:keepNext w:val="0"/>
        <w:keepLines w:val="0"/>
        <w:pageBreakBefore w:val="0"/>
        <w:widowControl w:val="0"/>
        <w:kinsoku/>
        <w:wordWrap/>
        <w:overflowPunct/>
        <w:topLinePunct w:val="0"/>
        <w:autoSpaceDE/>
        <w:autoSpaceDN/>
        <w:bidi w:val="0"/>
        <w:spacing w:before="0" w:after="0" w:line="440" w:lineRule="exact"/>
        <w:ind w:left="0" w:leftChars="0" w:firstLine="0" w:firstLineChars="0"/>
        <w:jc w:val="both"/>
        <w:textAlignment w:val="auto"/>
        <w:rPr>
          <w:rFonts w:hint="eastAsia" w:ascii="宋体" w:hAnsi="宋体" w:cs="宋体"/>
          <w:color w:val="000000"/>
          <w:sz w:val="21"/>
          <w:szCs w:val="21"/>
        </w:rPr>
      </w:pPr>
      <w:bookmarkStart w:id="132" w:name="_Toc493058323"/>
      <w:bookmarkStart w:id="133" w:name="_Toc495957621"/>
      <w:bookmarkStart w:id="134" w:name="_Toc6008"/>
      <w:bookmarkStart w:id="135" w:name="_Toc16492"/>
      <w:r>
        <w:rPr>
          <w:rFonts w:hint="eastAsia" w:ascii="宋体" w:hAnsi="宋体" w:cs="宋体"/>
          <w:color w:val="000000"/>
          <w:sz w:val="21"/>
          <w:szCs w:val="21"/>
        </w:rPr>
        <w:t>（三）履约验收</w:t>
      </w:r>
      <w:bookmarkEnd w:id="132"/>
      <w:bookmarkEnd w:id="133"/>
      <w:bookmarkEnd w:id="134"/>
      <w:bookmarkEnd w:id="135"/>
    </w:p>
    <w:p>
      <w:pPr>
        <w:pStyle w:val="17"/>
        <w:keepNext w:val="0"/>
        <w:keepLines w:val="0"/>
        <w:pageBreakBefore w:val="0"/>
        <w:widowControl w:val="0"/>
        <w:tabs>
          <w:tab w:val="clear" w:pos="454"/>
        </w:tabs>
        <w:kinsoku/>
        <w:wordWrap/>
        <w:overflowPunct/>
        <w:topLinePunct w:val="0"/>
        <w:autoSpaceDE/>
        <w:autoSpaceDN/>
        <w:bidi w:val="0"/>
        <w:snapToGrid w:val="0"/>
        <w:spacing w:after="0" w:afterLines="0" w:line="440" w:lineRule="exact"/>
        <w:ind w:left="17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采购人负责对中标投标人的履约行为进行验收。</w:t>
      </w:r>
    </w:p>
    <w:p>
      <w:pPr>
        <w:pStyle w:val="6"/>
        <w:keepNext w:val="0"/>
        <w:keepLines w:val="0"/>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九、知识产权</w:t>
      </w:r>
      <w:bookmarkEnd w:id="118"/>
      <w:bookmarkEnd w:id="119"/>
      <w:bookmarkEnd w:id="120"/>
      <w:bookmarkEnd w:id="121"/>
      <w:bookmarkEnd w:id="122"/>
      <w:bookmarkEnd w:id="123"/>
      <w:bookmarkEnd w:id="124"/>
    </w:p>
    <w:p>
      <w:pPr>
        <w:pStyle w:val="17"/>
        <w:keepNext w:val="0"/>
        <w:keepLines w:val="0"/>
        <w:pageBreakBefore w:val="0"/>
        <w:widowControl w:val="0"/>
        <w:tabs>
          <w:tab w:val="left" w:pos="0"/>
          <w:tab w:val="clear" w:pos="454"/>
          <w:tab w:val="clear" w:pos="720"/>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1．投标人应保证，采购人在中华人民共和国使用该招标内容所包含的任何一部分时，免受第三方有关侵犯其专利权、商标权或其它知识产权的指控。</w:t>
      </w:r>
    </w:p>
    <w:p>
      <w:pPr>
        <w:pStyle w:val="17"/>
        <w:keepNext w:val="0"/>
        <w:keepLines w:val="0"/>
        <w:pageBreakBefore w:val="0"/>
        <w:widowControl w:val="0"/>
        <w:tabs>
          <w:tab w:val="left" w:pos="0"/>
          <w:tab w:val="clear" w:pos="454"/>
          <w:tab w:val="clear" w:pos="720"/>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2．倘若此类指控发生，投标人应负责与第三方交涉并承担与此有关的一切费用和法律责任。</w:t>
      </w:r>
    </w:p>
    <w:p>
      <w:pPr>
        <w:pStyle w:val="17"/>
        <w:keepNext w:val="0"/>
        <w:keepLines w:val="0"/>
        <w:pageBreakBefore w:val="0"/>
        <w:widowControl w:val="0"/>
        <w:tabs>
          <w:tab w:val="left" w:pos="0"/>
          <w:tab w:val="clear" w:pos="454"/>
          <w:tab w:val="clear" w:pos="720"/>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3．采购人声明保护有关方面的知识产权，维护其有关合法权益，但这不是采购人的基本义务。</w:t>
      </w:r>
    </w:p>
    <w:p>
      <w:pPr>
        <w:pStyle w:val="6"/>
        <w:keepNext w:val="0"/>
        <w:keepLines w:val="0"/>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1"/>
          <w:szCs w:val="21"/>
        </w:rPr>
      </w:pPr>
      <w:bookmarkStart w:id="136" w:name="_Toc23147"/>
      <w:bookmarkStart w:id="137" w:name="_Toc6255"/>
      <w:bookmarkStart w:id="138" w:name="_Toc443416404"/>
      <w:bookmarkStart w:id="139" w:name="_Toc28489"/>
      <w:r>
        <w:rPr>
          <w:rFonts w:hint="eastAsia" w:ascii="宋体" w:hAnsi="宋体" w:eastAsia="宋体" w:cs="宋体"/>
          <w:color w:val="000000"/>
          <w:sz w:val="21"/>
          <w:szCs w:val="21"/>
        </w:rPr>
        <w:t>十、其他补充</w:t>
      </w:r>
      <w:bookmarkEnd w:id="136"/>
      <w:bookmarkEnd w:id="137"/>
      <w:bookmarkEnd w:id="138"/>
      <w:bookmarkEnd w:id="139"/>
    </w:p>
    <w:p>
      <w:pPr>
        <w:pStyle w:val="17"/>
        <w:keepNext w:val="0"/>
        <w:keepLines w:val="0"/>
        <w:pageBreakBefore w:val="0"/>
        <w:widowControl w:val="0"/>
        <w:tabs>
          <w:tab w:val="left" w:pos="0"/>
          <w:tab w:val="clear" w:pos="454"/>
          <w:tab w:val="clear" w:pos="720"/>
        </w:tabs>
        <w:kinsoku/>
        <w:wordWrap/>
        <w:overflowPunct/>
        <w:topLinePunct w:val="0"/>
        <w:autoSpaceDE/>
        <w:autoSpaceDN/>
        <w:bidi w:val="0"/>
        <w:snapToGrid w:val="0"/>
        <w:spacing w:after="0" w:afterLines="0" w:line="440" w:lineRule="exact"/>
        <w:ind w:left="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如有，列明在《投标资料表》中。</w:t>
      </w:r>
    </w:p>
    <w:p>
      <w:pPr>
        <w:pStyle w:val="6"/>
        <w:keepNext w:val="0"/>
        <w:keepLines w:val="0"/>
        <w:pageBreakBefore w:val="0"/>
        <w:widowControl w:val="0"/>
        <w:kinsoku/>
        <w:wordWrap/>
        <w:overflowPunct/>
        <w:topLinePunct w:val="0"/>
        <w:autoSpaceDE/>
        <w:autoSpaceDN/>
        <w:bidi w:val="0"/>
        <w:snapToGrid w:val="0"/>
        <w:spacing w:before="0" w:after="0" w:line="440" w:lineRule="exact"/>
        <w:textAlignment w:val="auto"/>
        <w:rPr>
          <w:rFonts w:hint="eastAsia" w:ascii="宋体" w:hAnsi="宋体" w:eastAsia="宋体" w:cs="宋体"/>
          <w:color w:val="000000"/>
          <w:sz w:val="21"/>
          <w:szCs w:val="21"/>
        </w:rPr>
      </w:pPr>
      <w:bookmarkStart w:id="140" w:name="_Toc3061"/>
      <w:bookmarkStart w:id="141" w:name="_Toc2476"/>
      <w:bookmarkStart w:id="142" w:name="_Toc29073"/>
      <w:bookmarkStart w:id="143" w:name="_Toc18072"/>
      <w:bookmarkStart w:id="144" w:name="_Toc31945"/>
      <w:bookmarkStart w:id="145" w:name="_Toc29586"/>
      <w:bookmarkStart w:id="146" w:name="_Toc8896"/>
      <w:r>
        <w:rPr>
          <w:rFonts w:hint="eastAsia" w:ascii="宋体" w:hAnsi="宋体" w:eastAsia="宋体" w:cs="宋体"/>
          <w:color w:val="000000"/>
          <w:sz w:val="21"/>
          <w:szCs w:val="21"/>
        </w:rPr>
        <w:t>十一、</w:t>
      </w:r>
      <w:bookmarkEnd w:id="140"/>
      <w:r>
        <w:rPr>
          <w:rFonts w:hint="eastAsia" w:ascii="宋体" w:hAnsi="宋体" w:eastAsia="宋体" w:cs="宋体"/>
          <w:color w:val="000000"/>
          <w:sz w:val="21"/>
          <w:szCs w:val="21"/>
        </w:rPr>
        <w:t>政府采购政策</w:t>
      </w:r>
      <w:bookmarkEnd w:id="141"/>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1.执行财政部、工业和信息化部《政府采购促进中小企业发展管理办法》（财库〔2020〕46号）。政府采购活动中有关中小企业的相关规定如下：</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符合中小企业划分标准的个体工商户，在政府采购活动中视同中小企业。</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国务院批准的中小企业划分标准：具体见工信部联企业[2011]300号。</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1.2本次采购为非专门面向中小企业，采购标的对应的中小企业划分标准所属行业：</w:t>
      </w:r>
      <w:r>
        <w:rPr>
          <w:rFonts w:hint="eastAsia" w:ascii="宋体" w:hAnsi="宋体" w:cs="宋体"/>
          <w:sz w:val="21"/>
          <w:szCs w:val="21"/>
          <w:u w:val="single"/>
          <w:lang w:eastAsia="zh-CN"/>
        </w:rPr>
        <w:t>租赁和商务服务业</w:t>
      </w:r>
      <w:r>
        <w:rPr>
          <w:rFonts w:hint="eastAsia" w:ascii="宋体" w:hAnsi="宋体" w:cs="宋体"/>
          <w:sz w:val="21"/>
          <w:szCs w:val="21"/>
        </w:rPr>
        <w:t>。本次评标将对中小企业声明函满足招标文件要求的企业均为小微企业的价格给予6%的扣除，用扣除后的价格参与评审。价格扣除只用于评审过程，如中标，中标价格仍按照其投标价格进行公示。</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1.3在政府采购活动中，供应商提供的货物、工程或者服务符合下列情形的，享受《政府采购促进中小企业发展管理办法》规定的中小企业扶持政策：</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（1）在货物采购项目中，货物由中小企业制造，即货物由中小企业生产且使用该中小企业商号或者注册商标；</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（2）在工程采购项目中，工程由中小企业承建，即工程施工单位为中小企业；</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（3）在服务采购项目中，服务由中小企业承接，即提供服务的人员为中小企业依照《中华人民共和国劳动法》订立劳动合同的从业人员。</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在货物采购项目中，供应商提供的货物既有中小企业制造货物，也有大型企业制造货物的，不享受《政府采购促进中小企业发展管理办法》规定的中小企业扶持政策。</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以联合体形式参加政府采购活动，联合体各方均为中小企业的，联合体视同中小企业。其中，联合体各方均为小微企业的，联合体视同小微企业。</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1.4中小企业参加政府采购活动，应当出具《政府采购促进中小企业发展管理办法》规定的《中小企业声明函》（格式见本采购文件附件），否则不得享受相关中小企业扶持政策。</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1.5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供应商提供声明函内容不实的，属于提供虚假材料谋取中标、成交，依照《中华人民共和国政府采购法》等国家有关规定追究相应责任。</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适用招标投标法的政府采购工程建设项目，投标人提供声明函内容不实的，属于弄虚作假骗取中标，依照《中华人民共和国招标投标法》等国家有关规定追究相应责任。</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rPr>
        <w:t>1.6《中小企业声明函》由参加投标的供应商提交，如供应商为代理商，须自行采集制造商的中小企业划分类型信息填入相应栏目并对其真实性负责。</w:t>
      </w:r>
    </w:p>
    <w:p>
      <w:pPr>
        <w:pStyle w:val="17"/>
        <w:keepNext w:val="0"/>
        <w:keepLines w:val="0"/>
        <w:pageBreakBefore w:val="0"/>
        <w:widowControl w:val="0"/>
        <w:tabs>
          <w:tab w:val="clear" w:pos="454"/>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pPr>
        <w:pStyle w:val="17"/>
        <w:keepNext w:val="0"/>
        <w:keepLines w:val="0"/>
        <w:pageBreakBefore w:val="0"/>
        <w:widowControl w:val="0"/>
        <w:tabs>
          <w:tab w:val="left" w:pos="0"/>
          <w:tab w:val="clear" w:pos="454"/>
          <w:tab w:val="clear" w:pos="720"/>
        </w:tabs>
        <w:kinsoku/>
        <w:wordWrap/>
        <w:overflowPunct/>
        <w:topLinePunct w:val="0"/>
        <w:autoSpaceDE/>
        <w:autoSpaceDN/>
        <w:bidi w:val="0"/>
        <w:adjustRightInd/>
        <w:snapToGrid w:val="0"/>
        <w:spacing w:after="0" w:afterLines="0" w:line="420" w:lineRule="exact"/>
        <w:ind w:left="0" w:firstLine="420" w:firstLineChars="200"/>
        <w:textAlignment w:val="auto"/>
        <w:rPr>
          <w:rFonts w:hint="eastAsia" w:ascii="宋体" w:hAnsi="宋体" w:cs="宋体"/>
          <w:color w:val="000000"/>
          <w:sz w:val="21"/>
          <w:szCs w:val="21"/>
          <w:highlight w:val="yellow"/>
        </w:rPr>
      </w:pPr>
      <w:r>
        <w:rPr>
          <w:rFonts w:hint="eastAsia" w:ascii="宋体" w:hAnsi="宋体" w:cs="宋体"/>
          <w:sz w:val="21"/>
          <w:szCs w:val="21"/>
          <w:lang w:val="en-US" w:eastAsia="zh-CN"/>
        </w:rPr>
        <w:t>3.</w:t>
      </w:r>
      <w:r>
        <w:rPr>
          <w:rFonts w:hint="eastAsia" w:ascii="宋体" w:hAnsi="宋体" w:cs="宋体"/>
          <w:sz w:val="21"/>
          <w:szCs w:val="21"/>
        </w:rPr>
        <w:t>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center"/>
        <w:textAlignment w:val="auto"/>
        <w:outlineLvl w:val="0"/>
        <w:rPr>
          <w:rFonts w:hint="eastAsia" w:ascii="宋体" w:hAnsi="宋体" w:cs="宋体"/>
          <w:b/>
          <w:bCs/>
          <w:color w:val="000000"/>
          <w:kern w:val="44"/>
          <w:sz w:val="24"/>
          <w:szCs w:val="24"/>
          <w:lang w:val="en-US" w:eastAsia="zh-CN" w:bidi="ar-SA"/>
        </w:rPr>
      </w:pPr>
      <w:r>
        <w:rPr>
          <w:rFonts w:hint="eastAsia" w:ascii="宋体" w:hAnsi="宋体" w:cs="宋体"/>
          <w:b/>
          <w:bCs/>
          <w:color w:val="000000"/>
          <w:kern w:val="44"/>
          <w:sz w:val="24"/>
          <w:szCs w:val="24"/>
          <w:lang w:val="en-US" w:eastAsia="zh-CN" w:bidi="ar-SA"/>
        </w:rPr>
        <w:br w:type="page"/>
      </w:r>
      <w:r>
        <w:rPr>
          <w:rFonts w:hint="eastAsia" w:ascii="宋体" w:hAnsi="宋体" w:cs="宋体"/>
          <w:b/>
          <w:bCs/>
          <w:color w:val="000000"/>
          <w:kern w:val="44"/>
          <w:sz w:val="24"/>
          <w:szCs w:val="24"/>
          <w:lang w:val="en-US" w:eastAsia="zh-CN" w:bidi="ar-SA"/>
        </w:rPr>
        <w:t>第四章  招标需求</w:t>
      </w:r>
      <w:bookmarkEnd w:id="142"/>
      <w:bookmarkEnd w:id="143"/>
      <w:bookmarkEnd w:id="144"/>
      <w:bookmarkEnd w:id="145"/>
      <w:bookmarkEnd w:id="146"/>
      <w:bookmarkStart w:id="147" w:name="_Toc8376"/>
      <w:bookmarkStart w:id="148" w:name="_Toc5254"/>
      <w:bookmarkStart w:id="149" w:name="_Toc14866"/>
      <w:bookmarkStart w:id="150" w:name="_Toc12061"/>
    </w:p>
    <w:p>
      <w:pPr>
        <w:keepNext/>
        <w:keepLines/>
        <w:pageBreakBefore w:val="0"/>
        <w:widowControl w:val="0"/>
        <w:kinsoku/>
        <w:wordWrap/>
        <w:overflowPunct/>
        <w:topLinePunct w:val="0"/>
        <w:autoSpaceDE/>
        <w:autoSpaceDN/>
        <w:bidi w:val="0"/>
        <w:adjustRightInd w:val="0"/>
        <w:snapToGrid w:val="0"/>
        <w:spacing w:before="0" w:after="0" w:line="500" w:lineRule="exact"/>
        <w:textAlignment w:val="auto"/>
        <w:outlineLvl w:val="1"/>
        <w:rPr>
          <w:rFonts w:hint="eastAsia" w:ascii="宋体" w:hAnsi="宋体" w:eastAsia="宋体" w:cs="宋体"/>
          <w:b/>
          <w:bCs/>
          <w:color w:val="auto"/>
          <w:w w:val="100"/>
          <w:sz w:val="21"/>
          <w:szCs w:val="21"/>
          <w:highlight w:val="none"/>
          <w:lang w:eastAsia="zh-CN"/>
        </w:rPr>
      </w:pPr>
      <w:bookmarkStart w:id="151" w:name="_Toc11160"/>
      <w:bookmarkStart w:id="152" w:name="_Toc26164"/>
      <w:bookmarkStart w:id="153" w:name="_Toc9466"/>
      <w:bookmarkStart w:id="154" w:name="_Toc417038757"/>
      <w:bookmarkStart w:id="155" w:name="_Toc3397"/>
      <w:r>
        <w:rPr>
          <w:rFonts w:hint="eastAsia" w:ascii="宋体" w:hAnsi="宋体" w:eastAsia="宋体" w:cs="宋体"/>
          <w:b/>
          <w:bCs/>
          <w:color w:val="auto"/>
          <w:w w:val="100"/>
          <w:sz w:val="21"/>
          <w:szCs w:val="21"/>
          <w:highlight w:val="none"/>
          <w:lang w:eastAsia="zh-CN"/>
        </w:rPr>
        <w:t>一、项目概况</w:t>
      </w:r>
      <w:bookmarkEnd w:id="151"/>
    </w:p>
    <w:bookmarkEnd w:id="152"/>
    <w:bookmarkEnd w:id="153"/>
    <w:bookmarkEnd w:id="154"/>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bCs/>
          <w:color w:val="auto"/>
          <w:w w:val="100"/>
          <w:sz w:val="21"/>
          <w:szCs w:val="21"/>
          <w:highlight w:val="none"/>
          <w:lang w:eastAsia="zh-CN"/>
        </w:rPr>
      </w:pPr>
      <w:r>
        <w:rPr>
          <w:rFonts w:hint="eastAsia" w:ascii="宋体" w:hAnsi="宋体" w:eastAsia="宋体" w:cs="宋体"/>
          <w:b/>
          <w:bCs/>
          <w:color w:val="auto"/>
          <w:w w:val="100"/>
          <w:sz w:val="21"/>
          <w:szCs w:val="21"/>
          <w:highlight w:val="none"/>
          <w:lang w:eastAsia="zh-CN"/>
        </w:rPr>
        <w:t>（一）医院概况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eastAsia="zh-CN"/>
        </w:rPr>
        <w:t xml:space="preserve"> 宁波市鄞州区第二医院是鄞州区委区政府为满足周边群众就医需求而投资兴建的大型综合公立医院，于2006年9月开诊，集医疗、预防、保健、科研、教学为一体，现为浙江大学医学院附属第一医院宁波分院、宁波大学医学院附属泌尿肾病医院。先后荣获浙江省“平安医院”、省“绿色医院”、宁波市“文明单位”、市卫生行风民主评议优胜单位、行风建设先进单位等称号，2013年1月被认定为三级乙等综合性医院，其中1号楼是门诊部，设计规模为日门诊量5000人次；3号楼是泌尿肾病大楼，内设泌尿外科、肾内科、妇产科、儿科病房；6号楼是综合楼，内设急救医学中心、内、外各科、耳鼻喉科等病房。设施设备符合三级医院较高标准，可开放标准病床1500余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bCs/>
          <w:color w:val="auto"/>
          <w:w w:val="100"/>
          <w:sz w:val="21"/>
          <w:szCs w:val="21"/>
          <w:highlight w:val="none"/>
          <w:lang w:eastAsia="zh-CN"/>
        </w:rPr>
      </w:pPr>
      <w:r>
        <w:rPr>
          <w:rFonts w:hint="eastAsia" w:ascii="宋体" w:hAnsi="宋体" w:eastAsia="宋体" w:cs="宋体"/>
          <w:b/>
          <w:bCs/>
          <w:color w:val="auto"/>
          <w:w w:val="100"/>
          <w:sz w:val="21"/>
          <w:szCs w:val="21"/>
          <w:highlight w:val="none"/>
          <w:lang w:eastAsia="zh-CN"/>
        </w:rPr>
        <w:t>（二）委托目的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eastAsia="zh-CN"/>
        </w:rPr>
        <w:t>维护医院正常医疗工作秩序，保障员工生命和国有财产安全。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bCs/>
          <w:color w:val="auto"/>
          <w:w w:val="100"/>
          <w:sz w:val="21"/>
          <w:szCs w:val="21"/>
          <w:highlight w:val="none"/>
          <w:lang w:val="en-US" w:eastAsia="zh-CN"/>
        </w:rPr>
        <w:t>（三）委托管理范围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1、院内日常安保、消防管理。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（1）维护医院就医秩序、排查安全隐患，做好医院内部安全保卫工作，有效应对医院内部突发事件、群体性事件的应急处置等；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（2）全院消防安全管理。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2、院内应急安保服务：因疫情防控、突发应急事件、迎检、临时检查或是医院根据精细化管理需要在门诊区域分诊台定点设岗等院内安防临时应急服务。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1"/>
        <w:rPr>
          <w:rFonts w:hint="eastAsia" w:ascii="宋体" w:hAnsi="宋体" w:eastAsia="宋体" w:cs="宋体"/>
          <w:b/>
          <w:bCs/>
          <w:color w:val="auto"/>
          <w:w w:val="100"/>
          <w:sz w:val="21"/>
          <w:szCs w:val="21"/>
          <w:highlight w:val="none"/>
          <w:lang w:val="en-US" w:eastAsia="zh-CN"/>
        </w:rPr>
      </w:pPr>
      <w:bookmarkStart w:id="156" w:name="_Toc30853"/>
      <w:r>
        <w:rPr>
          <w:rFonts w:hint="eastAsia" w:ascii="宋体" w:hAnsi="宋体" w:eastAsia="宋体" w:cs="宋体"/>
          <w:b/>
          <w:bCs/>
          <w:color w:val="auto"/>
          <w:w w:val="100"/>
          <w:sz w:val="21"/>
          <w:szCs w:val="21"/>
          <w:highlight w:val="none"/>
          <w:lang w:val="en-US" w:eastAsia="zh-CN"/>
        </w:rPr>
        <w:t>二、项目管理要求</w:t>
      </w:r>
      <w:bookmarkEnd w:id="156"/>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1、工作目标：无管理原因造成治安案件和火灾发生，医院秩序井然有序；执行无烟医院规定，完成医院特殊情况下的安全保卫任务；安保、消防工作符合《浙江省平安医院评审标准》。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工作要求：建立安全保卫工作制度以ISO9001质量管理体系有关标准和法律法规为依据，建立健全切实可行且符合医院安全特色的保安管理制度；制订安保人员岗位责任书，建立安全检查制度，发现问题及时整改；建立消防培训制度，每半年组织一次消防培训，使安保人员熟悉灭火器、消火栓的使用方法，熟悉灭火预案、人员疏散方案，开展灭火逃生应急演练；制定防盗、安全、消防、医疗纠纷等特发性事件的应急管理预案；所有人员持证上岗；所有保安员都是义务消防队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3、安保、消防实行24小时值班的工作制度。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4、按照医院岗位工作要求合理安排保安人员。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5、提供保安人员培训考核细则，对保安人员实行培训教育和考核制度。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6、保安人员须服从医院的监督管理，遵守医院各项规章制度（医院的培训制度、保密制度、隐私制度、消防、院感等相关制度），接受医院的每月考核，并实行奖惩制度。对服务满意度及各项工作质量考核不达标的进行扣款处理；对工作积极获得有关部门的表扬或有见义勇为等行为的给予相应的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color w:val="auto"/>
          <w:w w:val="100"/>
          <w:sz w:val="21"/>
          <w:szCs w:val="21"/>
          <w:highlight w:val="none"/>
        </w:rPr>
        <w:t>★</w:t>
      </w:r>
      <w:r>
        <w:rPr>
          <w:rFonts w:hint="eastAsia" w:ascii="宋体" w:hAnsi="宋体" w:eastAsia="宋体" w:cs="宋体"/>
          <w:b w:val="0"/>
          <w:bCs w:val="0"/>
          <w:color w:val="auto"/>
          <w:w w:val="100"/>
          <w:sz w:val="21"/>
          <w:szCs w:val="21"/>
          <w:highlight w:val="none"/>
          <w:lang w:val="en-US" w:eastAsia="zh-CN"/>
        </w:rPr>
        <w:t>7、当医院有重大事件发生时，保证能额外调派支援人员至少60人。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1"/>
        <w:rPr>
          <w:rFonts w:hint="eastAsia" w:ascii="宋体" w:hAnsi="宋体" w:eastAsia="宋体" w:cs="宋体"/>
          <w:b/>
          <w:bCs/>
          <w:color w:val="auto"/>
          <w:w w:val="100"/>
          <w:sz w:val="21"/>
          <w:szCs w:val="21"/>
          <w:highlight w:val="none"/>
          <w:lang w:val="en-US" w:eastAsia="zh-CN"/>
        </w:rPr>
      </w:pPr>
      <w:bookmarkStart w:id="157" w:name="_Toc22831"/>
      <w:r>
        <w:rPr>
          <w:rFonts w:hint="eastAsia" w:ascii="宋体" w:hAnsi="宋体" w:eastAsia="宋体" w:cs="宋体"/>
          <w:b/>
          <w:bCs/>
          <w:color w:val="auto"/>
          <w:w w:val="100"/>
          <w:sz w:val="21"/>
          <w:szCs w:val="21"/>
          <w:highlight w:val="none"/>
          <w:lang w:val="en-US" w:eastAsia="zh-CN"/>
        </w:rPr>
        <w:t>三、服务内容</w:t>
      </w:r>
      <w:bookmarkEnd w:id="157"/>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bCs/>
          <w:color w:val="auto"/>
          <w:w w:val="100"/>
          <w:sz w:val="21"/>
          <w:szCs w:val="21"/>
          <w:highlight w:val="none"/>
          <w:lang w:val="en-US" w:eastAsia="zh-CN"/>
        </w:rPr>
        <w:t>（一）治安管理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1、人身及财产安全维护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（1）维护医院工作人员及病员的人身安全及财产安全；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（2）维护医院设施设备及物资安全；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（3）做好防火、防盗、防破坏、防自然灾害工作。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2、秩序维护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（1）严格执行医院的规章和制度，做好医院内部门诊、住院区等的秩序维护，确保正常的医疗、工作秩序；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（2）预防和协助公安机关处置各类治安案件，处理各类纠纷；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（3）协助处理医疗纠纷，维护医院安全；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（4）为就医群众提供咨询、指引以及其它便捷服务；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（5）制止乱设摊点及散发、张贴非法广告等行为。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bCs/>
          <w:color w:val="auto"/>
          <w:w w:val="100"/>
          <w:sz w:val="21"/>
          <w:szCs w:val="21"/>
          <w:highlight w:val="none"/>
          <w:lang w:val="en-US" w:eastAsia="zh-CN"/>
        </w:rPr>
      </w:pPr>
      <w:r>
        <w:rPr>
          <w:rFonts w:hint="eastAsia" w:ascii="宋体" w:hAnsi="宋体" w:eastAsia="宋体" w:cs="宋体"/>
          <w:b/>
          <w:bCs/>
          <w:color w:val="auto"/>
          <w:w w:val="100"/>
          <w:sz w:val="21"/>
          <w:szCs w:val="21"/>
          <w:highlight w:val="none"/>
          <w:lang w:val="en-US" w:eastAsia="zh-CN"/>
        </w:rPr>
        <w:t>（二）消防管理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1、消监控中心负责24小时不间断值班管理。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2、按制度做好全院内部安全、消防隐患的监视和处理，异常情况及时向院方汇报。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3、维护使用好监控消控设施，建立各种消防设施、设备的检查和养护制度。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 xml:space="preserve">4、建立消防培训制度，每季度协助保卫科组织开展消防会议及培训，使安保员熟悉灭火器、消火栓的使用方法，熟悉灭火预案及人员疏散方案。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bCs/>
          <w:color w:val="auto"/>
          <w:w w:val="100"/>
          <w:sz w:val="21"/>
          <w:szCs w:val="21"/>
          <w:highlight w:val="none"/>
          <w:lang w:val="en-US" w:eastAsia="zh-CN"/>
        </w:rPr>
      </w:pPr>
      <w:r>
        <w:rPr>
          <w:rFonts w:hint="eastAsia" w:ascii="宋体" w:hAnsi="宋体" w:eastAsia="宋体" w:cs="宋体"/>
          <w:b/>
          <w:bCs/>
          <w:color w:val="auto"/>
          <w:w w:val="100"/>
          <w:sz w:val="21"/>
          <w:szCs w:val="21"/>
          <w:highlight w:val="none"/>
          <w:lang w:val="en-US" w:eastAsia="zh-CN"/>
        </w:rPr>
        <w:t>（三）安全防火管理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1、完善应急预案和组织灭火演练。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2、加强日常巡逻的防火宣传；举办消防知识讲座；建立消防知识宣传栏；发放消防知识宣传资料。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3、对消防通道情况每天检查1次以上；对重点区域防火安全每天检查1次以上；对施工场所动火作业管理；对禁止吸烟区域的管理；按规定进行危化品巡查，严控易燃、易爆、腐蚀物品进出医院。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4、发现火灾情况及时上报主管领导和报火警119；组织志愿消防队全力扑灭初期火灾；组织现场灭火并控制火场，防止扩散；组织人员疏散；组织转移贵重物品；控制各出口，防止嫌疑人逃逸（适用纵火嫌疑）。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宋体" w:hAnsi="宋体" w:eastAsia="宋体" w:cs="宋体"/>
          <w:b/>
          <w:bCs/>
          <w:color w:val="auto"/>
          <w:w w:val="100"/>
          <w:sz w:val="21"/>
          <w:szCs w:val="21"/>
          <w:highlight w:val="none"/>
          <w:lang w:val="en-US" w:eastAsia="zh-CN"/>
        </w:rPr>
      </w:pPr>
      <w:r>
        <w:rPr>
          <w:rFonts w:hint="eastAsia" w:ascii="宋体" w:hAnsi="宋体" w:eastAsia="宋体" w:cs="宋体"/>
          <w:b/>
          <w:bCs/>
          <w:color w:val="auto"/>
          <w:w w:val="100"/>
          <w:sz w:val="21"/>
          <w:szCs w:val="21"/>
          <w:highlight w:val="none"/>
          <w:lang w:val="en-US" w:eastAsia="zh-CN"/>
        </w:rPr>
        <w:t>（四）其他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1、保安人员负责节能巡视，做好关闭水龙头、电灯、空调和开空调时关闭门窗等工作。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2、配合完成医院组织的各类活动，开展自然灾害等应急防范措施的建立，如抗台等。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3、做好医院的临时性安排的应急保卫工作。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1"/>
        <w:rPr>
          <w:rFonts w:hint="eastAsia" w:ascii="宋体" w:hAnsi="宋体" w:eastAsia="宋体" w:cs="宋体"/>
          <w:b/>
          <w:bCs/>
          <w:color w:val="auto"/>
          <w:w w:val="100"/>
          <w:sz w:val="21"/>
          <w:szCs w:val="21"/>
          <w:highlight w:val="none"/>
          <w:lang w:val="en-US" w:eastAsia="zh-CN"/>
        </w:rPr>
      </w:pPr>
      <w:bookmarkStart w:id="158" w:name="_Toc29837"/>
      <w:r>
        <w:rPr>
          <w:rFonts w:hint="eastAsia" w:ascii="宋体" w:hAnsi="宋体" w:eastAsia="宋体" w:cs="宋体"/>
          <w:b/>
          <w:bCs/>
          <w:color w:val="auto"/>
          <w:w w:val="100"/>
          <w:sz w:val="21"/>
          <w:szCs w:val="21"/>
          <w:highlight w:val="none"/>
          <w:lang w:val="en-US" w:eastAsia="zh-CN"/>
        </w:rPr>
        <w:t>四、服务基本要求</w:t>
      </w:r>
      <w:bookmarkEnd w:id="158"/>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1、中标人必须具备相关保安服务的实际经验，拥有素质良好的保安队伍，有一套完整的医院保安运作方法和严格的操作规程，制定科学、严格的管理制度和工作质量标准。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2、服从医院领导的工作安排，接受医院的监督和检查。医院有权要求更换工作态度不好、工作能力差的保安人员。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3、对保安队员要进行经常性教育培训，每个月不少于一次培训并有建立相关资料，对保安队员工作进行考核，不断提高工作质量。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4、24小时安排保安队员值班（采用指纹上班查到岗制度或视频监控签到制度），并保证满员上岗。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5、合理安排机动人员。对节假日或平时人员休息时出现人员不足问题，并能协调好在岗队员就餐、上卫生间等特殊安排，以保证不空岗。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6、负责医院的消防。保安员要经常参加消防知识培训及学习基本的操作规程，不断提高对医院消防安全的认识和实际技能操作，一旦出现火情第一时间赶赴现场并能有效正确实施灭火。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7、负责医院的防盗。全院24小时监控，人员定时巡查，白天两小时一次，夜间一小时一次，重点巡查门诊区域、出入院处、病房、停车场、地下室及其他公共区域，医院内的车辆保管（按巡根路线组织巡查夜间每天不少于3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8、负责医院医务人员工作时间的人身安全及其它工作职责内的安全工作。出现医患纠纷，保安人员要第一时间赶赴现场维护秩序。能够独立并有效制止在工作区域烧纸、摆花圈、拉横幅、设灵堂等影响医院形象干扰医疗秩序的行为，必要时保安（公司）队员要请求公安机关出面并有效积极配合。在上述工作行为中（含其它工作职责内的安全工作），如出现法律纠纷或酿成治安事件，由中标人独自承担相应责任和后果，与采购人无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9、维护医院的正常秩序。协助公安机关打击不法分子对医院的干扰，特别是对医托、盗窃分子的打击。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10、安排专门的管理人员每天对医院进行查巡，经常与临床科室沟通，及时解决各科室、病区提出的问题。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11、消控室24小时值班（要求有消防构筑物初级证及以上），并会正确操作监控视频的调取、拷贝及消防主机使用等。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12、对保安公司防偷盗的要求：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整个医院的电瓶车、办公室的电脑等钱、物偷盗每两个月不多于1起，每年不得超过5起。若超过根据性质按每次500-1000元进行罚款。</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right="0" w:rightChars="0" w:firstLine="420" w:firstLineChars="200"/>
        <w:textAlignment w:val="auto"/>
        <w:outlineLvl w:val="9"/>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保安公司不按照合约规定工作，不符合医院要求，医院有权提出异议甚至终止合同。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textAlignment w:val="auto"/>
        <w:outlineLvl w:val="1"/>
        <w:rPr>
          <w:rFonts w:hint="eastAsia" w:ascii="宋体" w:hAnsi="宋体" w:eastAsia="宋体" w:cs="宋体"/>
          <w:b/>
          <w:bCs/>
          <w:color w:val="auto"/>
          <w:w w:val="100"/>
          <w:sz w:val="21"/>
          <w:szCs w:val="21"/>
          <w:highlight w:val="none"/>
          <w:lang w:val="en-US" w:eastAsia="zh-CN"/>
        </w:rPr>
      </w:pPr>
      <w:bookmarkStart w:id="159" w:name="_Toc28495"/>
      <w:r>
        <w:rPr>
          <w:rFonts w:hint="eastAsia" w:ascii="宋体" w:hAnsi="宋体" w:eastAsia="宋体" w:cs="宋体"/>
          <w:b/>
          <w:bCs/>
          <w:color w:val="auto"/>
          <w:w w:val="100"/>
          <w:sz w:val="21"/>
          <w:szCs w:val="21"/>
          <w:highlight w:val="none"/>
          <w:lang w:val="en-US" w:eastAsia="zh-CN"/>
        </w:rPr>
        <w:t>五、人员要求</w:t>
      </w:r>
      <w:bookmarkEnd w:id="159"/>
    </w:p>
    <w:p>
      <w:pPr>
        <w:pageBreakBefore w:val="0"/>
        <w:kinsoku/>
        <w:wordWrap/>
        <w:overflowPunct/>
        <w:topLinePunct w:val="0"/>
        <w:autoSpaceDE/>
        <w:autoSpaceDN/>
        <w:bidi w:val="0"/>
        <w:adjustRightInd w:val="0"/>
        <w:snapToGrid w:val="0"/>
        <w:spacing w:line="500" w:lineRule="exact"/>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（一）人员配置要求</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政治素质：拥护党的路线、方针、政策，尊重领导和服务对象，听从指挥，服从安排，无违法犯罪记录等。爱岗敬业，恪尽职守，遵纪守法，文明执勤，礼貌待人，敢于同违法犯罪现象作斗争。</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身体条件：男性身高原则在1.65米以上（监控室值班员可女性），双眼裸视5.0，身体健康，相貌端正，仪表大方，无传染性疾病。</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2、年龄要求：</w:t>
      </w:r>
      <w:r>
        <w:rPr>
          <w:rFonts w:hint="eastAsia" w:ascii="宋体" w:hAnsi="宋体"/>
          <w:color w:val="auto"/>
          <w:szCs w:val="21"/>
          <w:highlight w:val="none"/>
        </w:rPr>
        <w:t>在55周岁（含）以下，重点岗位50周岁（含）以下。</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业务技能：具备相关法律法规知识及安保、消防常识。</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文化条件：具备初中（含初中）及以上文化，具有良好的语言表达及沟通协调能力。</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特勤人员要求：身体素质较好，专业素养过硬，体检合格，品行端正，未受过刑事处罚或治安行政处罚，年龄在20-35岁之间，退役武警或军人。</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持证要求</w:t>
      </w:r>
      <w:r>
        <w:rPr>
          <w:rFonts w:hint="eastAsia" w:ascii="宋体" w:hAnsi="宋体"/>
          <w:color w:val="auto"/>
          <w:szCs w:val="21"/>
          <w:highlight w:val="none"/>
        </w:rPr>
        <w:t>：所有</w:t>
      </w:r>
      <w:r>
        <w:rPr>
          <w:rFonts w:hint="eastAsia" w:ascii="宋体" w:hAnsi="宋体"/>
          <w:color w:val="auto"/>
          <w:szCs w:val="21"/>
          <w:highlight w:val="none"/>
          <w:lang w:eastAsia="zh-CN"/>
        </w:rPr>
        <w:t>保安</w:t>
      </w:r>
      <w:r>
        <w:rPr>
          <w:rFonts w:hint="eastAsia" w:ascii="宋体" w:hAnsi="宋体"/>
          <w:color w:val="auto"/>
          <w:szCs w:val="21"/>
          <w:highlight w:val="none"/>
        </w:rPr>
        <w:t>人员必须持有公安部监制的保安员</w:t>
      </w:r>
      <w:r>
        <w:rPr>
          <w:rFonts w:hint="eastAsia" w:ascii="宋体" w:hAnsi="宋体"/>
          <w:color w:val="auto"/>
          <w:szCs w:val="21"/>
          <w:highlight w:val="none"/>
          <w:lang w:eastAsia="zh-CN"/>
        </w:rPr>
        <w:t>上岗</w:t>
      </w:r>
      <w:r>
        <w:rPr>
          <w:rFonts w:hint="eastAsia" w:ascii="宋体" w:hAnsi="宋体"/>
          <w:color w:val="auto"/>
          <w:szCs w:val="21"/>
          <w:highlight w:val="none"/>
        </w:rPr>
        <w:t>证书，</w:t>
      </w:r>
      <w:r>
        <w:rPr>
          <w:rFonts w:hint="eastAsia" w:ascii="宋体" w:hAnsi="宋体"/>
          <w:color w:val="auto"/>
          <w:szCs w:val="21"/>
          <w:highlight w:val="none"/>
          <w:lang w:eastAsia="zh-CN"/>
        </w:rPr>
        <w:t>消监控值班员</w:t>
      </w:r>
      <w:r>
        <w:rPr>
          <w:rFonts w:hint="eastAsia" w:ascii="宋体" w:hAnsi="宋体"/>
          <w:color w:val="auto"/>
          <w:szCs w:val="21"/>
          <w:highlight w:val="none"/>
        </w:rPr>
        <w:t>要求具有</w:t>
      </w:r>
      <w:r>
        <w:rPr>
          <w:rFonts w:hint="eastAsia" w:ascii="宋体" w:hAnsi="宋体"/>
          <w:color w:val="auto"/>
          <w:szCs w:val="21"/>
          <w:highlight w:val="none"/>
          <w:lang w:eastAsia="zh-CN"/>
        </w:rPr>
        <w:t>消防构筑物初级证及以上</w:t>
      </w:r>
      <w:r>
        <w:rPr>
          <w:rFonts w:hint="eastAsia" w:ascii="宋体" w:hAnsi="宋体"/>
          <w:color w:val="auto"/>
          <w:szCs w:val="21"/>
          <w:highlight w:val="none"/>
        </w:rPr>
        <w:t>资格证书。</w:t>
      </w:r>
    </w:p>
    <w:p>
      <w:pPr>
        <w:pageBreakBefore w:val="0"/>
        <w:kinsoku/>
        <w:wordWrap/>
        <w:overflowPunct/>
        <w:topLinePunct w:val="0"/>
        <w:autoSpaceDE/>
        <w:autoSpaceDN/>
        <w:bidi w:val="0"/>
        <w:adjustRightInd w:val="0"/>
        <w:snapToGrid w:val="0"/>
        <w:spacing w:line="500" w:lineRule="exact"/>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color w:val="auto"/>
          <w:szCs w:val="21"/>
          <w:highlight w:val="none"/>
          <w:lang w:val="en-US" w:eastAsia="zh-CN"/>
        </w:rPr>
        <w:t>7、日常安保服务</w:t>
      </w:r>
      <w:r>
        <w:rPr>
          <w:rFonts w:hint="eastAsia" w:ascii="宋体" w:hAnsi="宋体"/>
          <w:color w:val="auto"/>
          <w:szCs w:val="21"/>
          <w:highlight w:val="none"/>
        </w:rPr>
        <w:t>人员数量要求：本项目最终总人数不低于</w:t>
      </w:r>
      <w:r>
        <w:rPr>
          <w:rFonts w:hint="eastAsia" w:ascii="宋体" w:hAnsi="宋体"/>
          <w:color w:val="auto"/>
          <w:szCs w:val="21"/>
          <w:highlight w:val="none"/>
          <w:lang w:val="en-US" w:eastAsia="zh-CN"/>
        </w:rPr>
        <w:t>52</w:t>
      </w:r>
      <w:r>
        <w:rPr>
          <w:rFonts w:hint="eastAsia" w:ascii="宋体" w:hAnsi="宋体"/>
          <w:color w:val="auto"/>
          <w:szCs w:val="21"/>
          <w:highlight w:val="none"/>
        </w:rPr>
        <w:t>人，其中项目负责人1人，特勤人员不少于</w:t>
      </w:r>
      <w:r>
        <w:rPr>
          <w:rFonts w:hint="eastAsia" w:ascii="宋体" w:hAnsi="宋体"/>
          <w:color w:val="auto"/>
          <w:szCs w:val="21"/>
          <w:highlight w:val="none"/>
          <w:lang w:val="en-US" w:eastAsia="zh-CN"/>
        </w:rPr>
        <w:t>5</w:t>
      </w:r>
      <w:r>
        <w:rPr>
          <w:rFonts w:hint="eastAsia" w:ascii="宋体" w:hAnsi="宋体"/>
          <w:color w:val="auto"/>
          <w:szCs w:val="21"/>
          <w:highlight w:val="none"/>
        </w:rPr>
        <w:t>人</w:t>
      </w:r>
      <w:r>
        <w:rPr>
          <w:rFonts w:hint="eastAsia" w:ascii="宋体" w:hAnsi="宋体"/>
          <w:color w:val="auto"/>
          <w:szCs w:val="21"/>
          <w:highlight w:val="none"/>
          <w:lang w:eastAsia="zh-CN"/>
        </w:rPr>
        <w:t>（具体详见《宁波市鄞州区第二医院保安员岗位配置》）；</w:t>
      </w:r>
      <w:r>
        <w:rPr>
          <w:rFonts w:hint="eastAsia" w:ascii="宋体" w:hAnsi="宋体"/>
          <w:color w:val="auto"/>
          <w:szCs w:val="21"/>
          <w:highlight w:val="none"/>
        </w:rPr>
        <w:t>月人员更换不超总人数的5﹪（含）。</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8</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应急安保服务</w:t>
      </w:r>
      <w:r>
        <w:rPr>
          <w:rFonts w:hint="eastAsia" w:ascii="宋体" w:hAnsi="宋体"/>
          <w:b/>
          <w:bCs/>
          <w:color w:val="auto"/>
          <w:szCs w:val="21"/>
          <w:highlight w:val="none"/>
        </w:rPr>
        <w:t>人员数量要求：</w:t>
      </w:r>
      <w:r>
        <w:rPr>
          <w:rFonts w:hint="eastAsia" w:ascii="宋体" w:hAnsi="宋体"/>
          <w:b/>
          <w:bCs/>
          <w:color w:val="auto"/>
          <w:szCs w:val="21"/>
          <w:highlight w:val="none"/>
          <w:lang w:eastAsia="zh-CN"/>
        </w:rPr>
        <w:t>当医院有重大事件发生时，保证能额外调派支援人员至少60人。要求接采购人通知后30分钟内响应，所有人员要求在三个工作日内完全到位，超出时间按照违约处理，采购人有权解除合同，并保留追究中标人责任的权利。</w:t>
      </w:r>
    </w:p>
    <w:p>
      <w:pPr>
        <w:pageBreakBefore w:val="0"/>
        <w:kinsoku/>
        <w:wordWrap/>
        <w:overflowPunct/>
        <w:topLinePunct w:val="0"/>
        <w:autoSpaceDE/>
        <w:autoSpaceDN/>
        <w:bidi w:val="0"/>
        <w:adjustRightInd w:val="0"/>
        <w:snapToGrid w:val="0"/>
        <w:spacing w:line="500" w:lineRule="exact"/>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（二）</w:t>
      </w:r>
      <w:r>
        <w:rPr>
          <w:rFonts w:hint="eastAsia" w:ascii="宋体" w:hAnsi="宋体"/>
          <w:b/>
          <w:bCs/>
          <w:color w:val="auto"/>
          <w:szCs w:val="21"/>
          <w:highlight w:val="none"/>
          <w:lang w:val="en-US" w:eastAsia="zh-CN"/>
        </w:rPr>
        <w:t>日常安保服务</w:t>
      </w:r>
      <w:r>
        <w:rPr>
          <w:rFonts w:hint="eastAsia" w:ascii="宋体" w:hAnsi="宋体"/>
          <w:b/>
          <w:bCs/>
          <w:color w:val="auto"/>
          <w:szCs w:val="21"/>
          <w:highlight w:val="none"/>
          <w:lang w:eastAsia="zh-CN"/>
        </w:rPr>
        <w:t>岗位配置要求</w:t>
      </w:r>
    </w:p>
    <w:p>
      <w:pPr>
        <w:pageBreakBefore w:val="0"/>
        <w:kinsoku/>
        <w:wordWrap/>
        <w:overflowPunct/>
        <w:topLinePunct w:val="0"/>
        <w:autoSpaceDE/>
        <w:autoSpaceDN/>
        <w:bidi w:val="0"/>
        <w:adjustRightInd w:val="0"/>
        <w:snapToGrid w:val="0"/>
        <w:spacing w:line="500" w:lineRule="exact"/>
        <w:jc w:val="center"/>
        <w:rPr>
          <w:rFonts w:hint="eastAsia" w:ascii="宋体" w:hAnsi="宋体"/>
          <w:b/>
          <w:bCs/>
          <w:color w:val="auto"/>
          <w:szCs w:val="21"/>
          <w:highlight w:val="none"/>
        </w:rPr>
      </w:pPr>
      <w:r>
        <w:rPr>
          <w:rFonts w:hint="eastAsia" w:ascii="宋体" w:hAnsi="宋体"/>
          <w:b/>
          <w:bCs/>
          <w:color w:val="auto"/>
          <w:szCs w:val="21"/>
          <w:highlight w:val="none"/>
        </w:rPr>
        <w:t>宁波市鄞州区第二医院</w:t>
      </w:r>
      <w:r>
        <w:rPr>
          <w:rFonts w:hint="eastAsia" w:ascii="宋体" w:hAnsi="宋体"/>
          <w:b/>
          <w:bCs/>
          <w:color w:val="auto"/>
          <w:szCs w:val="21"/>
          <w:highlight w:val="none"/>
          <w:lang w:val="en-US" w:eastAsia="zh-CN"/>
        </w:rPr>
        <w:t>日常安保服务</w:t>
      </w:r>
      <w:r>
        <w:rPr>
          <w:rFonts w:hint="eastAsia" w:ascii="宋体" w:hAnsi="宋体"/>
          <w:b/>
          <w:bCs/>
          <w:color w:val="auto"/>
          <w:szCs w:val="21"/>
          <w:highlight w:val="none"/>
        </w:rPr>
        <w:t>保安员</w:t>
      </w:r>
      <w:r>
        <w:rPr>
          <w:rFonts w:hint="eastAsia" w:ascii="宋体" w:hAnsi="宋体"/>
          <w:b/>
          <w:bCs/>
          <w:color w:val="auto"/>
          <w:szCs w:val="21"/>
          <w:highlight w:val="none"/>
          <w:lang w:eastAsia="zh-CN"/>
        </w:rPr>
        <w:t>岗位配置</w:t>
      </w:r>
    </w:p>
    <w:tbl>
      <w:tblPr>
        <w:tblStyle w:val="47"/>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4169"/>
        <w:gridCol w:w="2910"/>
        <w:gridCol w:w="17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岗位名称</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班次</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b/>
                <w:bCs/>
                <w:color w:val="auto"/>
                <w:kern w:val="0"/>
                <w:szCs w:val="21"/>
                <w:highlight w:val="none"/>
              </w:rPr>
              <w:t>人数（岗位）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val="0"/>
                <w:bCs w:val="0"/>
                <w:i w:val="0"/>
                <w:color w:val="auto"/>
                <w:kern w:val="0"/>
                <w:sz w:val="22"/>
                <w:szCs w:val="22"/>
                <w:highlight w:val="none"/>
                <w:u w:val="none"/>
                <w:lang w:val="en-US" w:eastAsia="zh-CN" w:bidi="ar"/>
              </w:rPr>
            </w:pPr>
            <w:r>
              <w:rPr>
                <w:rFonts w:hint="eastAsia" w:ascii="宋体" w:hAnsi="宋体" w:eastAsia="宋体" w:cs="宋体"/>
                <w:b w:val="0"/>
                <w:bCs w:val="0"/>
                <w:i w:val="0"/>
                <w:color w:val="auto"/>
                <w:kern w:val="0"/>
                <w:sz w:val="22"/>
                <w:szCs w:val="22"/>
                <w:highlight w:val="none"/>
                <w:u w:val="none"/>
                <w:lang w:val="en-US" w:eastAsia="zh-CN" w:bidi="ar"/>
              </w:rPr>
              <w:t>项目负责人</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val="0"/>
                <w:bCs w:val="0"/>
                <w:i w:val="0"/>
                <w:color w:val="auto"/>
                <w:kern w:val="0"/>
                <w:sz w:val="22"/>
                <w:szCs w:val="22"/>
                <w:highlight w:val="none"/>
                <w:u w:val="none"/>
                <w:lang w:val="en-US" w:eastAsia="zh-CN" w:bidi="ar"/>
              </w:rPr>
            </w:pPr>
            <w:r>
              <w:rPr>
                <w:rFonts w:hint="eastAsia" w:ascii="宋体" w:hAnsi="宋体" w:eastAsia="宋体" w:cs="宋体"/>
                <w:b w:val="0"/>
                <w:bCs w:val="0"/>
                <w:i w:val="0"/>
                <w:color w:val="auto"/>
                <w:kern w:val="0"/>
                <w:sz w:val="22"/>
                <w:szCs w:val="22"/>
                <w:highlight w:val="none"/>
                <w:u w:val="none"/>
                <w:lang w:val="en-US" w:eastAsia="zh-CN" w:bidi="ar"/>
              </w:rPr>
              <w:t>白班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b w:val="0"/>
                <w:bCs w:val="0"/>
                <w:color w:val="auto"/>
                <w:kern w:val="0"/>
                <w:szCs w:val="21"/>
                <w:highlight w:val="none"/>
                <w:lang w:val="en-US" w:eastAsia="zh-CN"/>
              </w:rPr>
            </w:pPr>
            <w:r>
              <w:rPr>
                <w:rFonts w:hint="eastAsia" w:ascii="宋体" w:hAnsi="宋体"/>
                <w:b w:val="0"/>
                <w:bCs w:val="0"/>
                <w:color w:val="auto"/>
                <w:kern w:val="0"/>
                <w:szCs w:val="21"/>
                <w:highlight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保安班长</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白、中、夜班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b/>
                <w:bCs/>
                <w:color w:val="auto"/>
                <w:kern w:val="0"/>
                <w:szCs w:val="21"/>
                <w:highlight w:val="none"/>
              </w:rPr>
            </w:pPr>
            <w:r>
              <w:rPr>
                <w:rFonts w:hint="eastAsia" w:ascii="宋体" w:hAnsi="宋体" w:eastAsia="宋体" w:cs="宋体"/>
                <w:i w:val="0"/>
                <w:color w:val="auto"/>
                <w:kern w:val="0"/>
                <w:sz w:val="22"/>
                <w:szCs w:val="22"/>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东1门卫岗</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东3门卫岗（急救医学中心大门）</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白、中、夜班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行政楼</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门诊3楼（分诊）</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1号楼门诊1楼</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白、中、夜班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1号楼门诊巡逻</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白、中班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6号楼巡逻</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白、中、夜班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3号楼1楼门诊</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白、中、夜班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3号楼巡逻</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白、中、夜班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急诊一楼</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白、中、夜班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外围巡逻</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白、中、夜班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消防监控</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白、中、夜班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医院特勤</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白班</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54" w:hRule="atLeast"/>
        </w:trPr>
        <w:tc>
          <w:tcPr>
            <w:tcW w:w="41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合计</w:t>
            </w:r>
          </w:p>
        </w:tc>
        <w:tc>
          <w:tcPr>
            <w:tcW w:w="291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w:t>
            </w:r>
          </w:p>
        </w:tc>
        <w:tc>
          <w:tcPr>
            <w:tcW w:w="17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20" w:lineRule="exact"/>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52</w:t>
            </w:r>
          </w:p>
        </w:tc>
      </w:tr>
    </w:tbl>
    <w:p>
      <w:pPr>
        <w:pageBreakBefore w:val="0"/>
        <w:kinsoku/>
        <w:wordWrap/>
        <w:overflowPunct/>
        <w:topLinePunct w:val="0"/>
        <w:autoSpaceDE/>
        <w:autoSpaceDN/>
        <w:bidi w:val="0"/>
        <w:adjustRightInd w:val="0"/>
        <w:snapToGrid w:val="0"/>
        <w:spacing w:line="500" w:lineRule="exact"/>
        <w:rPr>
          <w:rFonts w:hint="eastAsia" w:ascii="宋体" w:hAnsi="宋体"/>
          <w:b/>
          <w:bCs/>
          <w:color w:val="auto"/>
          <w:szCs w:val="21"/>
          <w:highlight w:val="none"/>
        </w:rPr>
      </w:pPr>
      <w:r>
        <w:rPr>
          <w:rFonts w:hint="eastAsia" w:ascii="宋体" w:hAnsi="宋体"/>
          <w:b/>
          <w:bCs/>
          <w:color w:val="auto"/>
          <w:szCs w:val="21"/>
          <w:highlight w:val="none"/>
        </w:rPr>
        <w:br w:type="page"/>
      </w:r>
      <w:r>
        <w:rPr>
          <w:rFonts w:hint="eastAsia" w:ascii="宋体" w:hAnsi="宋体"/>
          <w:b/>
          <w:bCs/>
          <w:color w:val="auto"/>
          <w:szCs w:val="21"/>
          <w:highlight w:val="none"/>
        </w:rPr>
        <w:t>（三）保安服务基本要求</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保安员要有良好的职业道德和服务态度</w:t>
      </w:r>
      <w:r>
        <w:rPr>
          <w:rFonts w:hint="eastAsia" w:ascii="宋体" w:hAnsi="宋体"/>
          <w:color w:val="auto"/>
          <w:szCs w:val="21"/>
          <w:highlight w:val="none"/>
          <w:lang w:eastAsia="zh-CN"/>
        </w:rPr>
        <w:t>，</w:t>
      </w:r>
      <w:r>
        <w:rPr>
          <w:rFonts w:hint="eastAsia" w:ascii="宋体" w:hAnsi="宋体"/>
          <w:color w:val="auto"/>
          <w:szCs w:val="21"/>
          <w:highlight w:val="none"/>
        </w:rPr>
        <w:t>对医务人员和患者及家属要以礼相待，着装统一、整洁，动作规范，语言文明，形象良好。</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保安人员</w:t>
      </w:r>
      <w:r>
        <w:rPr>
          <w:rFonts w:hint="eastAsia" w:ascii="宋体" w:hAnsi="宋体"/>
          <w:color w:val="auto"/>
          <w:szCs w:val="21"/>
          <w:highlight w:val="none"/>
          <w:lang w:eastAsia="zh-CN"/>
        </w:rPr>
        <w:t>须</w:t>
      </w:r>
      <w:r>
        <w:rPr>
          <w:rFonts w:hint="eastAsia" w:ascii="宋体" w:hAnsi="宋体"/>
          <w:color w:val="auto"/>
          <w:szCs w:val="21"/>
          <w:highlight w:val="none"/>
        </w:rPr>
        <w:t>服从医院及保安公司的双重管理。保安人员应认真履行岗位职责，遵守医院的规章制度，服从医院保卫科根据工作需要做出的统一安排调配，遇紧急突发事件发生，必须积极作为。医院有权对保安人员的工作进行检查、督促、考核，按医院相关规章制度对保安人员进行管理，并对不称职的保安提出批评、教育及经济处罚。对于屡教不改者，医院有权随时提出更换保安人员（保安公司需在通知后十天内进行人员调整），并对保安公司业绩进行考核，有对保安公司进行适当处罚的权力。</w:t>
      </w:r>
    </w:p>
    <w:p>
      <w:pPr>
        <w:pStyle w:val="18"/>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1"/>
        <w:rPr>
          <w:rFonts w:hint="eastAsia" w:ascii="宋体" w:hAnsi="宋体" w:eastAsia="宋体" w:cs="宋体"/>
          <w:b/>
          <w:bCs/>
          <w:color w:val="auto"/>
          <w:w w:val="100"/>
          <w:sz w:val="21"/>
          <w:szCs w:val="21"/>
          <w:highlight w:val="none"/>
          <w:lang w:val="en-US" w:eastAsia="zh-CN"/>
        </w:rPr>
      </w:pPr>
      <w:bookmarkStart w:id="160" w:name="_Toc18857"/>
      <w:r>
        <w:rPr>
          <w:rFonts w:hint="eastAsia" w:ascii="宋体" w:hAnsi="宋体" w:eastAsia="宋体" w:cs="宋体"/>
          <w:b/>
          <w:bCs/>
          <w:color w:val="auto"/>
          <w:w w:val="100"/>
          <w:sz w:val="21"/>
          <w:szCs w:val="21"/>
          <w:highlight w:val="none"/>
          <w:lang w:val="en-US" w:eastAsia="zh-CN"/>
        </w:rPr>
        <w:t>六、其他说明</w:t>
      </w:r>
      <w:bookmarkEnd w:id="160"/>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1、在服务期限内，采购人提供管理办公用房、仓库用房给供应商免费使用。供应商办公等各类用电费用由采购人承担。</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2、中标人必须配置项目相关人员的护卫装备（包括制服、服务标志、强光手电筒、雨具、对讲机以及对讲机公共频道等，产生的相关费用包含在投标报价中）。</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3、中标人自备电脑、考勤设备和打印机等办公设备和耗材；中标人自行负责桌椅等办公家私和员工更衣柜。</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4、供应商的各岗位员工要统一服装(服装款式须等到采购人认可)，并由供应商负责其员工工服配备和洗涤。</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5、所有上岗保安人员100%经过岗前培训合格才上岗，同时必须提交岗前培训记录。</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6、未经采购人同意，不得在合同期限内将本项目的管理权转包或发包。</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7、项目负责人必须由采购人考核、政治审查通过方可录用。采购人将对项目负责人在进场三个月后进行考核，如在培训、岗位操作过程中发现其不能胜任的，采购人可要求更换，直至其胜任为止。</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8、中标人必须在合同签订前提供所有人员的有效职称证、上岗证等原件供采购人审核，如果中标人不能提供，则采购人有权取消其中标资格。所有人员必须专职为宁波市鄞州区第二医院服务，不得兼职（除临时应急加派人员）。</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9、保持员工队伍相对稳定，月人员更换不超5﹪（含）。按招标文件、投标文件岗位配置配足员工，服务期间不得随意变更项目负责人，特殊情况需提前书面告知采购人，获得同意后方可实施。经抽查，发现员工数减少，且无正当理由，采购人有权按实际减少的人数扣除相应的服务费，且中标人须按合同规定支付违约金，并补足减少的人数。</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10、为提高管理水平，所有人员需进行服务礼仪的培训。除</w:t>
      </w:r>
      <w:r>
        <w:rPr>
          <w:rFonts w:hint="eastAsia" w:ascii="宋体" w:hAnsi="宋体" w:eastAsia="宋体" w:cs="宋体"/>
          <w:b w:val="0"/>
          <w:bCs w:val="0"/>
          <w:color w:val="auto"/>
          <w:w w:val="100"/>
          <w:sz w:val="21"/>
          <w:szCs w:val="21"/>
          <w:highlight w:val="none"/>
          <w:lang w:val="en-US" w:eastAsia="zh-CN"/>
        </w:rPr>
        <w:t>中标人</w:t>
      </w:r>
      <w:r>
        <w:rPr>
          <w:rFonts w:hint="eastAsia" w:ascii="宋体" w:hAnsi="宋体" w:eastAsia="宋体" w:cs="宋体"/>
          <w:b w:val="0"/>
          <w:bCs w:val="0"/>
          <w:color w:val="auto"/>
          <w:w w:val="100"/>
          <w:sz w:val="21"/>
          <w:szCs w:val="21"/>
          <w:highlight w:val="none"/>
          <w:lang w:val="en-US" w:eastAsia="zh-CN"/>
        </w:rPr>
        <w:t>对服务人员的培训外，必要时需接受采购人对服务人员的集中培训。</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11、中标人应严格遵守国家有关的法律、法规及行业标准，严格按照标准化的操作程序、完善的培训体系和质量控制体系完成本项目，以保证整个保安系统安全、高效、有序和有计划地运转。</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12、中标人有责任配合采购人单位接受上级领导部门的监督、检查，提供必须的资料。</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13、中标人自行负责其招聘员工的一切工资、福利、伙食、住宿等费用；如发生工伤、疾病乃至死亡的一切责任及费用由中标人自行负责，与采购人无涉。</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14、全部服务人员的工作时间应严格按国家有关法律、法规要求的标准执行，因工作原因产生的加班（含节假日加班）应严格按国家有关法律、法规要求的标准给付员工加班薪资；中标人须严格按照国家和宁波市规定给所有的员工支付工资和缴纳各种社会保险；若发现少支付或不支付，采购人在支付费用时将扣除相应的少支付费用。</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15、所有员工入院服务时都必须体检，体检合格才能上岗</w:t>
      </w:r>
      <w:r>
        <w:rPr>
          <w:rFonts w:hint="default" w:ascii="宋体" w:hAnsi="宋体" w:eastAsia="宋体" w:cs="宋体"/>
          <w:b w:val="0"/>
          <w:bCs w:val="0"/>
          <w:color w:val="auto"/>
          <w:w w:val="100"/>
          <w:sz w:val="21"/>
          <w:szCs w:val="21"/>
          <w:highlight w:val="none"/>
          <w:lang w:eastAsia="zh-CN"/>
        </w:rPr>
        <w:t>，每年安排一次员工体检。</w:t>
      </w:r>
      <w:r>
        <w:rPr>
          <w:rFonts w:hint="eastAsia" w:ascii="宋体" w:hAnsi="宋体" w:eastAsia="宋体" w:cs="宋体"/>
          <w:b w:val="0"/>
          <w:bCs w:val="0"/>
          <w:color w:val="auto"/>
          <w:w w:val="100"/>
          <w:sz w:val="21"/>
          <w:szCs w:val="21"/>
          <w:highlight w:val="none"/>
          <w:lang w:val="en-US" w:eastAsia="zh-CN"/>
        </w:rPr>
        <w:t>（费用由中标人负责）。</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16、采购人不接受中标人任何因遗漏报价而发生的费用追加，因中标人违反《劳动法》等法律法规而造成采购人的连带责任和损失全部由中标人承担。</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 w:val="0"/>
          <w:bCs w:val="0"/>
          <w:color w:val="auto"/>
          <w:w w:val="100"/>
          <w:sz w:val="21"/>
          <w:szCs w:val="21"/>
          <w:highlight w:val="none"/>
          <w:lang w:val="en-US" w:eastAsia="zh-CN"/>
        </w:rPr>
      </w:pPr>
      <w:r>
        <w:rPr>
          <w:rFonts w:hint="eastAsia" w:ascii="宋体" w:hAnsi="宋体" w:eastAsia="宋体" w:cs="宋体"/>
          <w:b w:val="0"/>
          <w:bCs w:val="0"/>
          <w:color w:val="auto"/>
          <w:w w:val="100"/>
          <w:sz w:val="21"/>
          <w:szCs w:val="21"/>
          <w:highlight w:val="none"/>
          <w:lang w:val="en-US" w:eastAsia="zh-CN"/>
        </w:rPr>
        <w:t>17、中标人承诺中标后应至宁波市公安局鄞州分局完成登记备案，配合采购人建立医院**室，并接受宁波市公安局鄞州区分局管理，如中标人不能完成登记备案，由中标人承担相应责任，造成采购人损失的，采购人可以要求中标人予以赔偿</w:t>
      </w:r>
      <w:r>
        <w:rPr>
          <w:rFonts w:hint="eastAsia" w:ascii="宋体" w:hAnsi="宋体" w:eastAsia="宋体" w:cs="宋体"/>
          <w:b/>
          <w:bCs/>
          <w:color w:val="auto"/>
          <w:w w:val="100"/>
          <w:sz w:val="21"/>
          <w:szCs w:val="21"/>
          <w:highlight w:val="none"/>
          <w:lang w:val="en-US" w:eastAsia="zh-CN"/>
        </w:rPr>
        <w:t>（承诺书格式自拟）</w:t>
      </w:r>
      <w:r>
        <w:rPr>
          <w:rFonts w:hint="eastAsia" w:ascii="宋体" w:hAnsi="宋体" w:eastAsia="宋体" w:cs="宋体"/>
          <w:b w:val="0"/>
          <w:bCs w:val="0"/>
          <w:color w:val="auto"/>
          <w:w w:val="100"/>
          <w:sz w:val="21"/>
          <w:szCs w:val="21"/>
          <w:highlight w:val="none"/>
          <w:lang w:val="en-US" w:eastAsia="zh-CN"/>
        </w:rPr>
        <w:t>。</w:t>
      </w:r>
    </w:p>
    <w:p>
      <w:pPr>
        <w:pStyle w:val="18"/>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1"/>
        <w:rPr>
          <w:rFonts w:ascii="宋体" w:hAnsi="宋体" w:cs="宋体"/>
          <w:b/>
          <w:bCs/>
          <w:color w:val="auto"/>
          <w:szCs w:val="21"/>
          <w:highlight w:val="none"/>
        </w:rPr>
      </w:pPr>
      <w:bookmarkStart w:id="161" w:name="_Toc1834"/>
      <w:r>
        <w:rPr>
          <w:rFonts w:hint="eastAsia" w:ascii="宋体" w:hAnsi="宋体" w:eastAsia="宋体" w:cs="宋体"/>
          <w:b/>
          <w:bCs/>
          <w:color w:val="auto"/>
          <w:w w:val="100"/>
          <w:sz w:val="21"/>
          <w:szCs w:val="21"/>
          <w:highlight w:val="none"/>
          <w:lang w:val="en-US" w:eastAsia="zh-CN"/>
        </w:rPr>
        <w:t>七、</w:t>
      </w:r>
      <w:bookmarkEnd w:id="161"/>
      <w:r>
        <w:rPr>
          <w:rFonts w:hint="eastAsia" w:ascii="宋体" w:hAnsi="宋体" w:cs="宋体"/>
          <w:b/>
          <w:bCs/>
          <w:color w:val="auto"/>
          <w:szCs w:val="21"/>
          <w:highlight w:val="none"/>
        </w:rPr>
        <w:t>考核及服务经费核拨</w:t>
      </w:r>
    </w:p>
    <w:p>
      <w:pPr>
        <w:pageBreakBefore w:val="0"/>
        <w:kinsoku/>
        <w:wordWrap/>
        <w:overflowPunct/>
        <w:topLinePunct w:val="0"/>
        <w:autoSpaceDE/>
        <w:autoSpaceDN/>
        <w:bidi w:val="0"/>
        <w:adjustRightInd w:val="0"/>
        <w:snapToGrid w:val="0"/>
        <w:spacing w:line="500" w:lineRule="exact"/>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（一）服务经费的结算</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Fonts w:hint="default" w:ascii="宋体" w:hAnsi="宋体"/>
          <w:b/>
          <w:bCs/>
          <w:color w:val="auto"/>
          <w:szCs w:val="21"/>
          <w:highlight w:val="none"/>
          <w:lang w:val="en-US" w:eastAsia="zh-CN"/>
        </w:rPr>
      </w:pPr>
      <w:r>
        <w:rPr>
          <w:rFonts w:hint="eastAsia" w:ascii="宋体" w:hAnsi="宋体"/>
          <w:b/>
          <w:bCs/>
          <w:color w:val="auto"/>
          <w:szCs w:val="21"/>
          <w:highlight w:val="none"/>
          <w:lang w:val="en-US" w:eastAsia="zh-CN"/>
        </w:rPr>
        <w:t>1、日常安保服务：</w:t>
      </w:r>
      <w:r>
        <w:rPr>
          <w:rFonts w:hint="eastAsia" w:ascii="宋体" w:hAnsi="宋体"/>
          <w:b w:val="0"/>
          <w:bCs w:val="0"/>
          <w:color w:val="auto"/>
          <w:szCs w:val="21"/>
          <w:highlight w:val="none"/>
          <w:lang w:val="en-US" w:eastAsia="zh-CN"/>
        </w:rPr>
        <w:t>根据考核结果</w:t>
      </w:r>
      <w:r>
        <w:rPr>
          <w:rFonts w:hint="eastAsia" w:ascii="宋体" w:hAnsi="宋体" w:eastAsia="宋体" w:cs="Times New Roman"/>
          <w:b w:val="0"/>
          <w:bCs w:val="0"/>
          <w:color w:val="auto"/>
          <w:szCs w:val="21"/>
          <w:highlight w:val="none"/>
          <w:lang w:val="en-US" w:eastAsia="zh-CN"/>
        </w:rPr>
        <w:t>按月结算。</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Fonts w:hint="default" w:ascii="宋体" w:hAnsi="宋体"/>
          <w:b/>
          <w:bCs/>
          <w:color w:val="auto"/>
          <w:szCs w:val="21"/>
          <w:highlight w:val="none"/>
          <w:lang w:val="en-US" w:eastAsia="zh-CN"/>
        </w:rPr>
      </w:pPr>
      <w:r>
        <w:rPr>
          <w:rFonts w:hint="eastAsia" w:ascii="宋体" w:hAnsi="宋体"/>
          <w:b/>
          <w:bCs/>
          <w:color w:val="auto"/>
          <w:szCs w:val="21"/>
          <w:highlight w:val="none"/>
          <w:lang w:val="en-US" w:eastAsia="zh-CN"/>
        </w:rPr>
        <w:t>2、</w:t>
      </w:r>
      <w:r>
        <w:rPr>
          <w:rFonts w:hint="eastAsia" w:ascii="宋体" w:hAnsi="宋体"/>
          <w:b/>
          <w:bCs/>
          <w:color w:val="auto"/>
          <w:szCs w:val="21"/>
          <w:highlight w:val="none"/>
          <w:lang w:val="en-US" w:eastAsia="zh-CN"/>
        </w:rPr>
        <w:t>应急安保服务：</w:t>
      </w:r>
      <w:r>
        <w:rPr>
          <w:rFonts w:hint="eastAsia" w:ascii="宋体" w:hAnsi="宋体" w:eastAsia="宋体" w:cs="Times New Roman"/>
          <w:color w:val="auto"/>
          <w:szCs w:val="21"/>
          <w:highlight w:val="none"/>
          <w:lang w:val="en-US" w:eastAsia="zh-CN"/>
        </w:rPr>
        <w:t>应急每年分二个时段，春节时段（春节前I5天，春节后30天，计45天）和非春节时段，春节时段按工作12小时/天，劳务费最高限价400元/人，非春节时段按工作12小时/天，劳务费最高限价250元/人，费用按实结算支付。</w:t>
      </w:r>
      <w:r>
        <w:rPr>
          <w:rFonts w:hint="eastAsia" w:ascii="宋体" w:hAnsi="宋体" w:eastAsia="宋体" w:cs="Times New Roman"/>
          <w:b/>
          <w:bCs/>
          <w:color w:val="auto"/>
          <w:szCs w:val="21"/>
          <w:highlight w:val="none"/>
          <w:lang w:val="en-US" w:eastAsia="zh-CN"/>
        </w:rPr>
        <w:t>结算价=中标单价（根据相应时段）×实际人数×实际天数；</w:t>
      </w:r>
      <w:r>
        <w:rPr>
          <w:rFonts w:hint="eastAsia" w:ascii="宋体" w:hAnsi="宋体" w:eastAsia="宋体" w:cs="Times New Roman"/>
          <w:color w:val="auto"/>
          <w:szCs w:val="21"/>
          <w:highlight w:val="none"/>
          <w:lang w:val="en-US" w:eastAsia="zh-CN"/>
        </w:rPr>
        <w:t>投标人须考虑任务量不确定的因素，并自行承担该风险产生的费用和责任。</w:t>
      </w:r>
    </w:p>
    <w:p>
      <w:pPr>
        <w:pageBreakBefore w:val="0"/>
        <w:kinsoku/>
        <w:wordWrap/>
        <w:overflowPunct/>
        <w:topLinePunct w:val="0"/>
        <w:autoSpaceDE/>
        <w:autoSpaceDN/>
        <w:bidi w:val="0"/>
        <w:adjustRightInd w:val="0"/>
        <w:snapToGrid w:val="0"/>
        <w:spacing w:line="500" w:lineRule="exact"/>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（二）服务经费的核拨</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服务经费按月结算并核拨一次；在每月25日前，中标人根据双方确认的考核结果以及符合采购人财务规定的正规发票，到采购人财务部门办理结算，采购人在下月20日前支付上月费用。</w:t>
      </w:r>
      <w:r>
        <w:rPr>
          <w:rFonts w:hint="eastAsia" w:ascii="宋体" w:hAnsi="宋体" w:eastAsia="宋体" w:cs="Times New Roman"/>
          <w:color w:val="auto"/>
          <w:szCs w:val="21"/>
          <w:highlight w:val="none"/>
          <w:lang w:val="en-US" w:eastAsia="zh-CN"/>
        </w:rPr>
        <w:t>由考核成绩所引起的经济处罚在所拨付的服务款项中直接予以扣除。</w:t>
      </w:r>
    </w:p>
    <w:p>
      <w:pPr>
        <w:pageBreakBefore w:val="0"/>
        <w:kinsoku/>
        <w:wordWrap/>
        <w:overflowPunct/>
        <w:topLinePunct w:val="0"/>
        <w:autoSpaceDE/>
        <w:autoSpaceDN/>
        <w:bidi w:val="0"/>
        <w:adjustRightInd w:val="0"/>
        <w:snapToGrid w:val="0"/>
        <w:spacing w:line="500" w:lineRule="exact"/>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（三）考核说明</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按招标文件要求提供优质的服务，并接受采购人的考核和奖惩。保安服务工作的考核严格按照附件《宁波市鄞州区第二医院保安服务考核标准》进行，无条件接受采购人定期或不定期的检查监督。</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由采购人考核小组每月进行考核，合同签订后每12个月为一个考核周期。</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考核总分100分，考核成绩分为三档，考核周期内成绩不转入下个考核周期。</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1、考核分数≥95分，视为“优秀”，全额核拨当月服务费用；</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2、90分≤考核分数＜95分，视为“良好”，以95分为基准，每低一分扣当月服务费用的1%；</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3、考核分数＜90分，根据考核分数按以下标准从当月</w:t>
      </w:r>
      <w:r>
        <w:rPr>
          <w:rFonts w:hint="eastAsia" w:ascii="宋体" w:hAnsi="宋体"/>
          <w:color w:val="auto"/>
          <w:szCs w:val="21"/>
          <w:highlight w:val="none"/>
          <w:lang w:val="en-US" w:eastAsia="zh-CN"/>
        </w:rPr>
        <w:t>支付</w:t>
      </w:r>
      <w:r>
        <w:rPr>
          <w:rFonts w:hint="eastAsia" w:ascii="宋体" w:hAnsi="宋体"/>
          <w:color w:val="auto"/>
          <w:szCs w:val="21"/>
          <w:highlight w:val="none"/>
          <w:lang w:val="en-US" w:eastAsia="zh-CN"/>
        </w:rPr>
        <w:t>款项中</w:t>
      </w:r>
      <w:r>
        <w:rPr>
          <w:rFonts w:hint="eastAsia" w:ascii="宋体" w:hAnsi="宋体"/>
          <w:color w:val="auto"/>
          <w:szCs w:val="21"/>
          <w:highlight w:val="none"/>
          <w:lang w:val="en-US" w:eastAsia="zh-CN"/>
        </w:rPr>
        <w:t>扣除相应服务经费</w:t>
      </w:r>
      <w:r>
        <w:rPr>
          <w:rFonts w:hint="eastAsia" w:ascii="宋体" w:hAnsi="宋体"/>
          <w:color w:val="auto"/>
          <w:szCs w:val="21"/>
          <w:highlight w:val="none"/>
          <w:lang w:val="en-US" w:eastAsia="zh-CN"/>
        </w:rPr>
        <w:t>。</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（1）80分≤考核分数＜90分，视为“基本合格”。在考核周期内，第1次考核出现“基本合格”的，低于90分的，每低1分，扣5000元，上限50000元，考核累计出现2次及以上“基本合格”的，扣当月服务费的10%。</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考核分数＜80分，视为“不合格”。在考核周期内，第1次考核出现“不合格”的，扣当月服务费的10%，考核累计出现2次“不合格”的，扣当月服务费的20%，考核累计出现3次“不合格”的，采购人有权单方终止合同，不退还履约保证金，并保留追究供应商因此给采购人造成的一切经济损失及违约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jc w:val="center"/>
        <w:textAlignment w:val="auto"/>
        <w:outlineLvl w:val="9"/>
        <w:rPr>
          <w:rFonts w:hint="eastAsia" w:ascii="宋体" w:hAnsi="宋体" w:cs="宋体"/>
          <w:b/>
          <w:bCs/>
          <w:color w:val="000000"/>
          <w:kern w:val="44"/>
          <w:sz w:val="24"/>
        </w:rPr>
      </w:pPr>
      <w:r>
        <w:rPr>
          <w:rFonts w:hint="eastAsia" w:ascii="宋体" w:hAnsi="宋体"/>
          <w:b/>
          <w:bCs/>
          <w:color w:val="auto"/>
          <w:szCs w:val="21"/>
          <w:highlight w:val="none"/>
          <w:lang w:val="en-US" w:eastAsia="zh-CN"/>
        </w:rPr>
        <w:t>★以上扣发部分的服务经费，直接在当月核拨的服务经费中扣除，均不以任何形式再核拨。</w:t>
      </w:r>
    </w:p>
    <w:p>
      <w:pPr>
        <w:pageBreakBefore w:val="0"/>
        <w:kinsoku/>
        <w:wordWrap/>
        <w:overflowPunct/>
        <w:topLinePunct w:val="0"/>
        <w:autoSpaceDE/>
        <w:autoSpaceDN/>
        <w:bidi w:val="0"/>
        <w:adjustRightInd w:val="0"/>
        <w:snapToGrid w:val="0"/>
        <w:spacing w:line="500" w:lineRule="exact"/>
        <w:jc w:val="both"/>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br w:type="page"/>
      </w:r>
      <w:r>
        <w:rPr>
          <w:rFonts w:hint="eastAsia" w:ascii="宋体" w:hAnsi="宋体"/>
          <w:b/>
          <w:bCs/>
          <w:color w:val="auto"/>
          <w:szCs w:val="21"/>
          <w:highlight w:val="none"/>
          <w:lang w:val="en-US" w:eastAsia="zh-CN"/>
        </w:rPr>
        <w:t>附件：</w:t>
      </w:r>
    </w:p>
    <w:p>
      <w:pPr>
        <w:pageBreakBefore w:val="0"/>
        <w:kinsoku/>
        <w:wordWrap/>
        <w:overflowPunct/>
        <w:topLinePunct w:val="0"/>
        <w:autoSpaceDE/>
        <w:autoSpaceDN/>
        <w:bidi w:val="0"/>
        <w:adjustRightInd w:val="0"/>
        <w:snapToGrid w:val="0"/>
        <w:spacing w:line="5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宁波市鄞州区第二医院保安服务考核标准</w:t>
      </w:r>
    </w:p>
    <w:p>
      <w:pPr>
        <w:pageBreakBefore w:val="0"/>
        <w:kinsoku/>
        <w:wordWrap/>
        <w:overflowPunct/>
        <w:topLinePunct w:val="0"/>
        <w:autoSpaceDE/>
        <w:autoSpaceDN/>
        <w:bidi w:val="0"/>
        <w:adjustRightInd w:val="0"/>
        <w:snapToGrid w:val="0"/>
        <w:spacing w:line="500" w:lineRule="exact"/>
        <w:jc w:val="center"/>
        <w:rPr>
          <w:rFonts w:ascii="宋体" w:hAnsi="宋体" w:cs="宋体"/>
          <w:b/>
          <w:color w:val="auto"/>
          <w:kern w:val="1"/>
          <w:szCs w:val="21"/>
          <w:highlight w:val="none"/>
        </w:rPr>
      </w:pPr>
      <w:r>
        <w:rPr>
          <w:rFonts w:hint="eastAsia" w:ascii="宋体" w:hAnsi="宋体"/>
          <w:color w:val="auto"/>
          <w:szCs w:val="21"/>
          <w:highlight w:val="none"/>
        </w:rPr>
        <w:t>年度                                    月份</w:t>
      </w:r>
    </w:p>
    <w:tbl>
      <w:tblPr>
        <w:tblStyle w:val="47"/>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95"/>
        <w:gridCol w:w="1377"/>
        <w:gridCol w:w="4545"/>
        <w:gridCol w:w="70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trPr>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69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1377"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标准内容</w:t>
            </w: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扣分依据</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检查结果</w:t>
            </w: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员工</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管理</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（30</w:t>
            </w:r>
            <w:r>
              <w:rPr>
                <w:rFonts w:hint="eastAsia" w:ascii="宋体" w:hAnsi="宋体" w:cs="宋体"/>
                <w:color w:val="auto"/>
                <w:szCs w:val="21"/>
                <w:highlight w:val="none"/>
                <w:lang w:eastAsia="zh-CN"/>
              </w:rPr>
              <w:t>分</w:t>
            </w:r>
            <w:r>
              <w:rPr>
                <w:rFonts w:hint="eastAsia" w:ascii="宋体" w:hAnsi="宋体" w:cs="宋体"/>
                <w:color w:val="auto"/>
                <w:szCs w:val="21"/>
                <w:highlight w:val="none"/>
              </w:rPr>
              <w:t>）</w:t>
            </w:r>
          </w:p>
        </w:tc>
        <w:tc>
          <w:tcPr>
            <w:tcW w:w="69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1377"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持证上岗、仪表整洁</w:t>
            </w: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1、员工未持证上岗，每人每次扣3分。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2、员工条件不满足任职条件，每人每次扣2分。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3、未及时更换不满足任职条件员工，每人每次扣1分。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4、上班时间不穿工作服、不佩戴工作证、穿拖鞋、背心，每人每次扣0.5分。</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p>
        </w:tc>
        <w:tc>
          <w:tcPr>
            <w:tcW w:w="69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1377"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遵守劳动纪律，不迟到早退，不串岗。态度和蔼，不与病人和同事争吵，提供良好服务。</w:t>
            </w: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1.迟到、早退、串岗每人次扣1分。上班时间干私活每人次扣2分。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2.与其他人员吵架的每人次扣3分，斗殴的每人次扣5分。</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p>
        </w:tc>
        <w:tc>
          <w:tcPr>
            <w:tcW w:w="69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1377"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遵守医院规定和工作制度。</w:t>
            </w: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1.遵守各类工作制度，按规定完成工作职责，一处不符扣1分。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2.在禁烟区吸烟的每人次扣3分。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3.在医疗场所及各病区睡觉，发现一次扣1分。</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4.盗卖医疗物品、向病人出售产品或变卖一次性废弃物、私人出租给病人及家属躺椅等用品收取租金，发现一次扣10分。</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保安</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管理</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（50分）</w:t>
            </w:r>
          </w:p>
        </w:tc>
        <w:tc>
          <w:tcPr>
            <w:tcW w:w="69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20</w:t>
            </w:r>
          </w:p>
        </w:tc>
        <w:tc>
          <w:tcPr>
            <w:tcW w:w="13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治安管理</w:t>
            </w: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确保医院工作人员及病员的人身安全及财产安全</w:t>
            </w:r>
            <w:r>
              <w:rPr>
                <w:rFonts w:hint="eastAsia" w:ascii="宋体" w:hAnsi="宋体" w:cs="宋体"/>
                <w:color w:val="auto"/>
                <w:szCs w:val="21"/>
                <w:highlight w:val="none"/>
              </w:rPr>
              <w:t>，</w:t>
            </w:r>
            <w:r>
              <w:rPr>
                <w:rFonts w:ascii="宋体" w:hAnsi="宋体" w:cs="宋体"/>
                <w:color w:val="auto"/>
                <w:szCs w:val="21"/>
                <w:highlight w:val="none"/>
              </w:rPr>
              <w:t>发生一例次扣1分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维护医院设施设备及物资安全</w:t>
            </w:r>
            <w:r>
              <w:rPr>
                <w:rFonts w:hint="eastAsia" w:ascii="宋体" w:hAnsi="宋体" w:cs="宋体"/>
                <w:color w:val="auto"/>
                <w:szCs w:val="21"/>
                <w:highlight w:val="none"/>
              </w:rPr>
              <w:t>，</w:t>
            </w:r>
            <w:r>
              <w:rPr>
                <w:rFonts w:ascii="宋体" w:hAnsi="宋体" w:cs="宋体"/>
                <w:color w:val="auto"/>
                <w:szCs w:val="21"/>
                <w:highlight w:val="none"/>
              </w:rPr>
              <w:t>发生一例次扣1分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kern w:val="1"/>
                <w:szCs w:val="21"/>
                <w:highlight w:val="none"/>
              </w:rPr>
            </w:pPr>
            <w:r>
              <w:rPr>
                <w:rFonts w:ascii="宋体" w:hAnsi="宋体" w:cs="宋体"/>
                <w:color w:val="auto"/>
                <w:kern w:val="1"/>
                <w:szCs w:val="21"/>
                <w:highlight w:val="none"/>
              </w:rPr>
              <w:t>严禁在院内非法经营活动（包括倒号、小商品贩卖、送餐等违规活动）</w:t>
            </w:r>
            <w:r>
              <w:rPr>
                <w:rFonts w:hint="eastAsia" w:ascii="宋体" w:hAnsi="宋体" w:cs="宋体"/>
                <w:color w:val="auto"/>
                <w:kern w:val="1"/>
                <w:szCs w:val="21"/>
                <w:highlight w:val="none"/>
              </w:rPr>
              <w:t>，</w:t>
            </w:r>
            <w:r>
              <w:rPr>
                <w:rFonts w:ascii="宋体" w:hAnsi="宋体" w:cs="宋体"/>
                <w:color w:val="auto"/>
                <w:szCs w:val="21"/>
                <w:highlight w:val="none"/>
              </w:rPr>
              <w:t>发生一例次扣0.5分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做好防火、防盗、防破坏工作</w:t>
            </w:r>
            <w:r>
              <w:rPr>
                <w:rFonts w:hint="eastAsia" w:ascii="宋体" w:hAnsi="宋体" w:cs="宋体"/>
                <w:color w:val="auto"/>
                <w:szCs w:val="21"/>
                <w:highlight w:val="none"/>
              </w:rPr>
              <w:t>，</w:t>
            </w:r>
            <w:r>
              <w:rPr>
                <w:rFonts w:ascii="宋体" w:hAnsi="宋体" w:cs="宋体"/>
                <w:color w:val="auto"/>
                <w:szCs w:val="21"/>
                <w:highlight w:val="none"/>
              </w:rPr>
              <w:t>发生一例次扣1分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0</w:t>
            </w:r>
          </w:p>
        </w:tc>
        <w:tc>
          <w:tcPr>
            <w:tcW w:w="13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消防管理</w:t>
            </w: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对消防通道通畅情况</w:t>
            </w:r>
            <w:r>
              <w:rPr>
                <w:rFonts w:hint="eastAsia" w:ascii="宋体" w:hAnsi="宋体" w:cs="宋体"/>
                <w:color w:val="auto"/>
                <w:szCs w:val="21"/>
                <w:highlight w:val="none"/>
                <w:lang w:eastAsia="zh-CN"/>
              </w:rPr>
              <w:t>、灭火器巡检情况</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对重点区域的防火安全</w:t>
            </w:r>
            <w:r>
              <w:rPr>
                <w:rFonts w:hint="eastAsia" w:ascii="宋体" w:hAnsi="宋体" w:cs="宋体"/>
                <w:color w:val="auto"/>
                <w:szCs w:val="21"/>
                <w:highlight w:val="none"/>
              </w:rPr>
              <w:t>，</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对施工场所动火作业的控制管理</w:t>
            </w:r>
            <w:r>
              <w:rPr>
                <w:rFonts w:hint="eastAsia" w:ascii="宋体" w:hAnsi="宋体" w:cs="宋体"/>
                <w:color w:val="auto"/>
                <w:szCs w:val="21"/>
                <w:highlight w:val="none"/>
              </w:rPr>
              <w:t>，</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对禁止吸烟区域的管理</w:t>
            </w:r>
            <w:r>
              <w:rPr>
                <w:rFonts w:hint="eastAsia" w:ascii="宋体" w:hAnsi="宋体" w:cs="宋体"/>
                <w:color w:val="auto"/>
                <w:szCs w:val="21"/>
                <w:highlight w:val="none"/>
              </w:rPr>
              <w:t>，</w:t>
            </w:r>
            <w:r>
              <w:rPr>
                <w:rFonts w:ascii="宋体" w:hAnsi="宋体" w:cs="宋体"/>
                <w:color w:val="auto"/>
                <w:szCs w:val="21"/>
                <w:highlight w:val="none"/>
              </w:rPr>
              <w:t>发现1例次不符要求扣</w:t>
            </w:r>
            <w:r>
              <w:rPr>
                <w:rFonts w:hint="eastAsia" w:ascii="宋体" w:hAnsi="宋体" w:cs="宋体"/>
                <w:color w:val="auto"/>
                <w:szCs w:val="21"/>
                <w:highlight w:val="none"/>
              </w:rPr>
              <w:t>0.5</w:t>
            </w:r>
            <w:r>
              <w:rPr>
                <w:rFonts w:ascii="宋体" w:hAnsi="宋体" w:cs="宋体"/>
                <w:color w:val="auto"/>
                <w:szCs w:val="21"/>
                <w:highlight w:val="none"/>
              </w:rPr>
              <w:t>分</w:t>
            </w:r>
            <w:r>
              <w:rPr>
                <w:rFonts w:hint="eastAsia" w:ascii="宋体" w:hAnsi="宋体" w:cs="宋体"/>
                <w:color w:val="auto"/>
                <w:szCs w:val="21"/>
                <w:highlight w:val="none"/>
              </w:rPr>
              <w:t>。</w:t>
            </w:r>
          </w:p>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2.保安人员在禁烟区吸烟发现1例扣3分。</w:t>
            </w:r>
          </w:p>
        </w:tc>
        <w:tc>
          <w:tcPr>
            <w:tcW w:w="705" w:type="dxa"/>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严禁易燃、易爆、腐蚀物品进出医院</w:t>
            </w:r>
            <w:r>
              <w:rPr>
                <w:rFonts w:hint="eastAsia" w:ascii="宋体" w:hAnsi="宋体" w:cs="宋体"/>
                <w:color w:val="auto"/>
                <w:szCs w:val="21"/>
                <w:highlight w:val="none"/>
              </w:rPr>
              <w:t>，</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及时上报主管领导和报火警119</w:t>
            </w:r>
            <w:r>
              <w:rPr>
                <w:rFonts w:hint="eastAsia" w:ascii="宋体" w:hAnsi="宋体" w:cs="宋体"/>
                <w:color w:val="auto"/>
                <w:szCs w:val="21"/>
                <w:highlight w:val="none"/>
              </w:rPr>
              <w:t>，</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组织志愿消防队全力扑灭初期火灾</w:t>
            </w:r>
            <w:r>
              <w:rPr>
                <w:rFonts w:hint="eastAsia" w:ascii="宋体" w:hAnsi="宋体" w:cs="宋体"/>
                <w:color w:val="auto"/>
                <w:szCs w:val="21"/>
                <w:highlight w:val="none"/>
              </w:rPr>
              <w:t>，</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组织现场灭火并控制火场，防止扩散</w:t>
            </w:r>
            <w:r>
              <w:rPr>
                <w:rFonts w:hint="eastAsia" w:ascii="宋体" w:hAnsi="宋体" w:cs="宋体"/>
                <w:color w:val="auto"/>
                <w:szCs w:val="21"/>
                <w:highlight w:val="none"/>
              </w:rPr>
              <w:t>，</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组织人员疏散</w:t>
            </w:r>
            <w:r>
              <w:rPr>
                <w:rFonts w:hint="eastAsia" w:ascii="宋体" w:hAnsi="宋体" w:cs="宋体"/>
                <w:color w:val="auto"/>
                <w:szCs w:val="21"/>
                <w:highlight w:val="none"/>
              </w:rPr>
              <w:t>，</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组织转移贵重物品</w:t>
            </w:r>
            <w:r>
              <w:rPr>
                <w:rFonts w:hint="eastAsia" w:ascii="宋体" w:hAnsi="宋体" w:cs="宋体"/>
                <w:color w:val="auto"/>
                <w:szCs w:val="21"/>
                <w:highlight w:val="none"/>
              </w:rPr>
              <w:t>，</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控制各出口，防止嫌疑人逃逸（适用纵火嫌疑）</w:t>
            </w:r>
            <w:r>
              <w:rPr>
                <w:rFonts w:hint="eastAsia" w:ascii="宋体" w:hAnsi="宋体" w:cs="宋体"/>
                <w:color w:val="auto"/>
                <w:szCs w:val="21"/>
                <w:highlight w:val="none"/>
              </w:rPr>
              <w:t>，</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9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p>
        </w:tc>
        <w:tc>
          <w:tcPr>
            <w:tcW w:w="137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每年组织两次消防</w:t>
            </w:r>
            <w:r>
              <w:rPr>
                <w:rFonts w:hint="eastAsia" w:ascii="宋体" w:hAnsi="宋体" w:cs="宋体"/>
                <w:color w:val="auto"/>
                <w:szCs w:val="21"/>
                <w:highlight w:val="none"/>
              </w:rPr>
              <w:t>演练，</w:t>
            </w:r>
            <w:r>
              <w:rPr>
                <w:rFonts w:ascii="宋体" w:hAnsi="宋体" w:cs="宋体"/>
                <w:color w:val="auto"/>
                <w:szCs w:val="21"/>
                <w:highlight w:val="none"/>
              </w:rPr>
              <w:t>发现1例次不符要求扣1分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ascii="宋体" w:hAnsi="宋体" w:cs="宋体"/>
                <w:color w:val="auto"/>
                <w:szCs w:val="21"/>
                <w:highlight w:val="none"/>
              </w:rPr>
            </w:pPr>
            <w:r>
              <w:rPr>
                <w:rFonts w:ascii="宋体" w:hAnsi="宋体" w:cs="宋体"/>
                <w:color w:val="auto"/>
                <w:szCs w:val="21"/>
                <w:highlight w:val="none"/>
              </w:rPr>
              <w:t>应急</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r>
              <w:rPr>
                <w:rFonts w:ascii="宋体" w:hAnsi="宋体" w:cs="宋体"/>
                <w:color w:val="auto"/>
                <w:szCs w:val="21"/>
                <w:highlight w:val="none"/>
              </w:rPr>
              <w:t>管理</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tc>
        <w:tc>
          <w:tcPr>
            <w:tcW w:w="69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w:t>
            </w:r>
          </w:p>
        </w:tc>
        <w:tc>
          <w:tcPr>
            <w:tcW w:w="1377"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45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宋体" w:hAnsi="宋体" w:cs="宋体"/>
                <w:color w:val="auto"/>
                <w:szCs w:val="21"/>
                <w:highlight w:val="none"/>
              </w:rPr>
            </w:pPr>
            <w:r>
              <w:rPr>
                <w:rFonts w:ascii="宋体" w:hAnsi="宋体" w:cs="宋体"/>
                <w:color w:val="auto"/>
                <w:szCs w:val="21"/>
                <w:highlight w:val="none"/>
              </w:rPr>
              <w:t>有危害医院工作人员及其它人员安全事件苗头时，接通知</w:t>
            </w:r>
            <w:r>
              <w:rPr>
                <w:rFonts w:hint="eastAsia" w:ascii="宋体" w:hAnsi="宋体" w:cs="宋体"/>
                <w:color w:val="auto"/>
                <w:szCs w:val="21"/>
                <w:highlight w:val="none"/>
              </w:rPr>
              <w:t>3</w:t>
            </w:r>
            <w:r>
              <w:rPr>
                <w:rFonts w:ascii="宋体" w:hAnsi="宋体" w:cs="宋体"/>
                <w:color w:val="auto"/>
                <w:szCs w:val="21"/>
                <w:highlight w:val="none"/>
              </w:rPr>
              <w:t>分钟未到场</w:t>
            </w:r>
            <w:r>
              <w:rPr>
                <w:rFonts w:hint="eastAsia" w:ascii="宋体" w:hAnsi="宋体" w:cs="宋体"/>
                <w:color w:val="auto"/>
                <w:szCs w:val="21"/>
                <w:highlight w:val="none"/>
              </w:rPr>
              <w:t>，</w:t>
            </w:r>
            <w:r>
              <w:rPr>
                <w:rFonts w:ascii="宋体" w:hAnsi="宋体" w:cs="宋体"/>
                <w:color w:val="auto"/>
                <w:szCs w:val="21"/>
                <w:highlight w:val="none"/>
              </w:rPr>
              <w:t>每迟到1分钟扣1分</w:t>
            </w:r>
            <w:r>
              <w:rPr>
                <w:rFonts w:hint="eastAsia" w:ascii="宋体" w:hAnsi="宋体" w:cs="宋体"/>
                <w:color w:val="auto"/>
                <w:szCs w:val="21"/>
                <w:highlight w:val="none"/>
              </w:rPr>
              <w:t>。</w:t>
            </w:r>
          </w:p>
        </w:tc>
        <w:tc>
          <w:tcPr>
            <w:tcW w:w="70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color w:val="auto"/>
                <w:szCs w:val="21"/>
                <w:highlight w:val="none"/>
              </w:rPr>
            </w:pPr>
            <w:r>
              <w:rPr>
                <w:rFonts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02"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ascii="宋体" w:hAnsi="宋体" w:cs="宋体"/>
                <w:b/>
                <w:color w:val="auto"/>
                <w:szCs w:val="21"/>
                <w:highlight w:val="none"/>
              </w:rPr>
            </w:pPr>
            <w:r>
              <w:rPr>
                <w:rFonts w:hint="eastAsia" w:ascii="宋体" w:hAnsi="宋体"/>
                <w:b/>
                <w:color w:val="auto"/>
                <w:szCs w:val="21"/>
                <w:highlight w:val="none"/>
              </w:rPr>
              <w:t>总得分</w:t>
            </w:r>
          </w:p>
        </w:tc>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宋体" w:hAnsi="宋体" w:cs="宋体"/>
                <w:b/>
                <w:color w:val="auto"/>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0"/>
        <w:rPr>
          <w:rFonts w:hint="eastAsia" w:ascii="宋体" w:cs="宋体"/>
          <w:color w:val="000000"/>
          <w:sz w:val="21"/>
          <w:szCs w:val="21"/>
        </w:rPr>
      </w:pPr>
      <w:r>
        <w:rPr>
          <w:rFonts w:hint="eastAsia" w:ascii="宋体" w:hAnsi="宋体" w:cs="宋体"/>
          <w:b/>
          <w:bCs/>
          <w:color w:val="000000"/>
          <w:kern w:val="44"/>
          <w:sz w:val="24"/>
        </w:rPr>
        <w:br w:type="page"/>
      </w:r>
      <w:r>
        <w:rPr>
          <w:rFonts w:hint="eastAsia" w:ascii="宋体" w:hAnsi="宋体" w:cs="宋体"/>
          <w:b/>
          <w:bCs/>
          <w:color w:val="000000"/>
          <w:kern w:val="44"/>
          <w:sz w:val="24"/>
        </w:rPr>
        <w:t>第五章  评标办法及评分标准</w:t>
      </w:r>
      <w:bookmarkEnd w:id="147"/>
      <w:bookmarkEnd w:id="148"/>
      <w:bookmarkEnd w:id="149"/>
      <w:bookmarkEnd w:id="150"/>
      <w:bookmarkEnd w:id="155"/>
    </w:p>
    <w:p>
      <w:pPr>
        <w:pStyle w:val="30"/>
        <w:keepNext w:val="0"/>
        <w:keepLines w:val="0"/>
        <w:pageBreakBefore w:val="0"/>
        <w:widowControl w:val="0"/>
        <w:kinsoku/>
        <w:wordWrap/>
        <w:overflowPunct/>
        <w:topLinePunct w:val="0"/>
        <w:autoSpaceDE/>
        <w:autoSpaceDN/>
        <w:bidi w:val="0"/>
        <w:adjustRightInd/>
        <w:snapToGrid w:val="0"/>
        <w:spacing w:line="360" w:lineRule="exact"/>
        <w:ind w:firstLine="470" w:firstLineChars="223"/>
        <w:textAlignment w:val="auto"/>
        <w:rPr>
          <w:rFonts w:hint="eastAsia" w:ascii="宋体" w:cs="宋体"/>
          <w:color w:val="000000"/>
          <w:sz w:val="21"/>
          <w:szCs w:val="21"/>
        </w:rPr>
      </w:pPr>
    </w:p>
    <w:p>
      <w:pPr>
        <w:pStyle w:val="30"/>
        <w:spacing w:line="440" w:lineRule="exact"/>
        <w:ind w:firstLine="470" w:firstLineChars="223"/>
        <w:rPr>
          <w:rFonts w:hint="eastAsia" w:ascii="宋体" w:cs="宋体"/>
          <w:color w:val="000000"/>
          <w:sz w:val="21"/>
          <w:szCs w:val="21"/>
        </w:rPr>
      </w:pPr>
      <w:r>
        <w:rPr>
          <w:rFonts w:hint="eastAsia" w:ascii="宋体" w:cs="宋体"/>
          <w:color w:val="000000"/>
          <w:sz w:val="21"/>
          <w:szCs w:val="21"/>
        </w:rPr>
        <w:t>本办法严格遵照《中华人民共和国政府采购法》、《中华人民共和国政府采购法实施条例》、《政府采购货物和服务招标投标管理办法》，结合项目所在地政府有关政府采购规定和项目的实际情况制定。</w:t>
      </w:r>
    </w:p>
    <w:p>
      <w:pPr>
        <w:pStyle w:val="6"/>
        <w:snapToGrid w:val="0"/>
        <w:spacing w:before="0" w:after="0" w:line="440" w:lineRule="exact"/>
        <w:rPr>
          <w:rFonts w:hint="eastAsia" w:ascii="宋体" w:hAnsi="宋体" w:eastAsia="宋体" w:cs="宋体"/>
          <w:color w:val="000000"/>
          <w:sz w:val="21"/>
          <w:szCs w:val="21"/>
        </w:rPr>
      </w:pPr>
      <w:bookmarkStart w:id="162" w:name="_Toc17676"/>
      <w:bookmarkStart w:id="163" w:name="_Toc433039343"/>
      <w:r>
        <w:rPr>
          <w:rFonts w:hint="eastAsia" w:ascii="宋体" w:hAnsi="宋体" w:eastAsia="宋体" w:cs="宋体"/>
          <w:color w:val="000000"/>
          <w:sz w:val="21"/>
          <w:szCs w:val="21"/>
        </w:rPr>
        <w:t>一、总则</w:t>
      </w:r>
      <w:bookmarkEnd w:id="162"/>
      <w:bookmarkEnd w:id="163"/>
    </w:p>
    <w:p>
      <w:pPr>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招标活动遵循公平、公正、科学、择优的原则依法进行，招标活动及当事人接受依法实施的监督。本次采购为非专门面向中小企业，本次评标将对中小企业声明函满足要求的小型和微型企业的</w:t>
      </w:r>
      <w:r>
        <w:rPr>
          <w:rFonts w:hint="eastAsia" w:ascii="宋体" w:hAnsi="宋体" w:eastAsia="宋体" w:cs="宋体"/>
          <w:color w:val="000000"/>
          <w:szCs w:val="21"/>
          <w:lang w:eastAsia="zh-CN"/>
        </w:rPr>
        <w:t>报价</w:t>
      </w:r>
      <w:r>
        <w:rPr>
          <w:rFonts w:hint="eastAsia" w:ascii="宋体" w:hAnsi="宋体" w:eastAsia="宋体" w:cs="宋体"/>
          <w:color w:val="000000"/>
          <w:szCs w:val="21"/>
        </w:rPr>
        <w:t>给予6%的扣除</w:t>
      </w:r>
      <w:r>
        <w:rPr>
          <w:rFonts w:hint="eastAsia" w:ascii="宋体" w:hAnsi="宋体" w:eastAsia="宋体" w:cs="宋体"/>
          <w:color w:val="000000"/>
          <w:szCs w:val="21"/>
          <w:lang w:eastAsia="zh-CN"/>
        </w:rPr>
        <w:t>；</w:t>
      </w:r>
      <w:r>
        <w:rPr>
          <w:rFonts w:hint="eastAsia" w:ascii="宋体" w:hAnsi="宋体" w:eastAsia="宋体" w:cs="宋体"/>
          <w:color w:val="000000"/>
          <w:szCs w:val="21"/>
        </w:rPr>
        <w:t>对联合体投标（如有）中小企业声明函满足要求的小型和微型企业产品的价格给予2%的扣除，用扣除后的价格参与评审。</w:t>
      </w:r>
    </w:p>
    <w:p>
      <w:pPr>
        <w:snapToGrid w:val="0"/>
        <w:spacing w:line="440" w:lineRule="exact"/>
        <w:ind w:firstLine="422" w:firstLineChars="200"/>
        <w:rPr>
          <w:rFonts w:hint="eastAsia" w:ascii="宋体" w:hAnsi="宋体" w:cs="宋体"/>
          <w:color w:val="000000"/>
          <w:szCs w:val="21"/>
        </w:rPr>
      </w:pPr>
      <w:r>
        <w:rPr>
          <w:rFonts w:hint="eastAsia" w:ascii="宋体" w:hAnsi="宋体" w:cs="宋体"/>
          <w:b/>
          <w:color w:val="000000"/>
          <w:szCs w:val="21"/>
        </w:rPr>
        <w:t>本次招标采用综合评分法。</w:t>
      </w:r>
    </w:p>
    <w:p>
      <w:pPr>
        <w:pStyle w:val="6"/>
        <w:snapToGrid w:val="0"/>
        <w:spacing w:before="0" w:after="0" w:line="440" w:lineRule="exact"/>
        <w:rPr>
          <w:rFonts w:hint="eastAsia" w:ascii="宋体" w:hAnsi="宋体" w:eastAsia="宋体" w:cs="宋体"/>
          <w:color w:val="000000"/>
          <w:sz w:val="21"/>
          <w:szCs w:val="21"/>
        </w:rPr>
      </w:pPr>
      <w:bookmarkStart w:id="164" w:name="_Toc433039344"/>
      <w:bookmarkStart w:id="165" w:name="_Toc12663"/>
      <w:r>
        <w:rPr>
          <w:rFonts w:hint="eastAsia" w:ascii="宋体" w:hAnsi="宋体" w:eastAsia="宋体" w:cs="宋体"/>
          <w:color w:val="000000"/>
          <w:sz w:val="21"/>
          <w:szCs w:val="21"/>
        </w:rPr>
        <w:t>二、评标组织</w:t>
      </w:r>
      <w:bookmarkEnd w:id="164"/>
      <w:bookmarkEnd w:id="165"/>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评标委员会：采购人和采购代理机构根据采购项目的内容特点按照规定组建评标委员会。评标委员会由采购人代表和评审专家组成。</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主持人宣布评标期间的有关事项，告知应当回避的情形，提请有关人员回避。</w:t>
      </w:r>
    </w:p>
    <w:p>
      <w:pPr>
        <w:pStyle w:val="6"/>
        <w:snapToGrid w:val="0"/>
        <w:spacing w:before="0" w:after="0" w:line="440" w:lineRule="exact"/>
        <w:rPr>
          <w:rFonts w:hint="eastAsia" w:ascii="宋体" w:hAnsi="宋体" w:eastAsia="宋体" w:cs="宋体"/>
          <w:color w:val="000000"/>
          <w:sz w:val="21"/>
          <w:szCs w:val="21"/>
        </w:rPr>
      </w:pPr>
      <w:bookmarkStart w:id="166" w:name="_Toc433039345"/>
      <w:bookmarkStart w:id="167" w:name="_Toc26815"/>
      <w:r>
        <w:rPr>
          <w:rFonts w:hint="eastAsia" w:ascii="宋体" w:hAnsi="宋体" w:eastAsia="宋体" w:cs="宋体"/>
          <w:color w:val="000000"/>
          <w:sz w:val="21"/>
          <w:szCs w:val="21"/>
        </w:rPr>
        <w:t>三、评标程序</w:t>
      </w:r>
      <w:bookmarkEnd w:id="166"/>
      <w:bookmarkEnd w:id="167"/>
    </w:p>
    <w:p>
      <w:pPr>
        <w:snapToGrid w:val="0"/>
        <w:spacing w:line="440" w:lineRule="exact"/>
        <w:ind w:firstLine="422"/>
        <w:rPr>
          <w:rFonts w:hint="eastAsia" w:ascii="宋体" w:hAnsi="宋体" w:cs="宋体"/>
          <w:color w:val="000000"/>
          <w:szCs w:val="21"/>
        </w:rPr>
      </w:pPr>
      <w:bookmarkStart w:id="168" w:name="_Toc30654"/>
      <w:bookmarkStart w:id="169" w:name="_Toc433039346"/>
      <w:r>
        <w:rPr>
          <w:rFonts w:hint="eastAsia" w:ascii="宋体" w:hAnsi="宋体" w:cs="宋体"/>
          <w:color w:val="000000"/>
          <w:szCs w:val="21"/>
        </w:rPr>
        <w:t>1、采购机构按《招标文件》规定的时间、地点组织进行开标。开标会议由采购代理机构组织，按《招标文件》的规定对投标人的基本情况进行审核。</w:t>
      </w:r>
    </w:p>
    <w:p>
      <w:pPr>
        <w:snapToGrid w:val="0"/>
        <w:spacing w:line="440" w:lineRule="exact"/>
        <w:ind w:firstLine="422"/>
        <w:rPr>
          <w:rFonts w:hint="eastAsia" w:ascii="宋体" w:hAnsi="宋体" w:cs="宋体"/>
          <w:color w:val="000000"/>
          <w:szCs w:val="21"/>
        </w:rPr>
      </w:pPr>
      <w:r>
        <w:rPr>
          <w:rFonts w:hint="eastAsia" w:ascii="宋体" w:hAnsi="宋体" w:cs="宋体"/>
          <w:color w:val="000000"/>
          <w:szCs w:val="21"/>
        </w:rPr>
        <w:t>2、评标委员会根据《招标文件》规定对投标人的投标文件进行初步评审。对投标文件中含义不明确、同类问题表述不一致或者有明显文字和计算错误的内容，评标委员会可要求投标人作出必要的澄清、说明或者纠正。最终评标委员会将对各投标人进行详细评审并打分。</w:t>
      </w:r>
    </w:p>
    <w:p>
      <w:pPr>
        <w:snapToGrid w:val="0"/>
        <w:spacing w:line="440" w:lineRule="exact"/>
        <w:ind w:firstLine="422"/>
        <w:rPr>
          <w:rFonts w:hint="eastAsia" w:ascii="宋体" w:hAnsi="宋体" w:cs="宋体"/>
          <w:color w:val="000000"/>
          <w:szCs w:val="21"/>
        </w:rPr>
      </w:pPr>
      <w:r>
        <w:rPr>
          <w:rFonts w:hint="eastAsia" w:ascii="宋体" w:hAnsi="宋体" w:cs="宋体"/>
          <w:color w:val="000000"/>
          <w:szCs w:val="21"/>
        </w:rPr>
        <w:t>3、按照投标人的综合得分（</w:t>
      </w:r>
      <w:r>
        <w:rPr>
          <w:rFonts w:hint="eastAsia" w:ascii="宋体" w:hAnsi="宋体" w:cs="宋体"/>
          <w:color w:val="000000"/>
          <w:szCs w:val="21"/>
          <w:lang w:eastAsia="zh-CN"/>
        </w:rPr>
        <w:t>商务</w:t>
      </w:r>
      <w:r>
        <w:rPr>
          <w:rFonts w:hint="eastAsia" w:ascii="宋体" w:hAnsi="宋体" w:cs="宋体"/>
          <w:color w:val="000000"/>
          <w:szCs w:val="21"/>
        </w:rPr>
        <w:t>资信技术得分和报价得分之和）排名，评标委员会推荐中标候选人，招标公告发布的网站上公布评标结果。</w:t>
      </w:r>
    </w:p>
    <w:p>
      <w:pPr>
        <w:pStyle w:val="6"/>
        <w:snapToGrid w:val="0"/>
        <w:spacing w:before="0" w:after="0"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四、评标过程</w:t>
      </w:r>
      <w:bookmarkEnd w:id="168"/>
      <w:bookmarkEnd w:id="169"/>
    </w:p>
    <w:p>
      <w:pPr>
        <w:pStyle w:val="30"/>
        <w:spacing w:line="440" w:lineRule="exact"/>
        <w:ind w:firstLine="422" w:firstLineChars="200"/>
        <w:rPr>
          <w:rFonts w:hint="eastAsia" w:ascii="宋体" w:cs="宋体"/>
          <w:bCs w:val="0"/>
          <w:color w:val="000000"/>
          <w:sz w:val="21"/>
          <w:szCs w:val="21"/>
        </w:rPr>
      </w:pPr>
      <w:r>
        <w:rPr>
          <w:rFonts w:hint="eastAsia" w:ascii="宋体" w:cs="宋体"/>
          <w:bCs w:val="0"/>
          <w:color w:val="000000"/>
          <w:sz w:val="21"/>
          <w:szCs w:val="21"/>
        </w:rPr>
        <w:t>1、初步审查</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初审分为资格检查和符合性检查。</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（1）资格检查：依据法律法规和招标文件的规定，对投标文件中的资格证明文件等进行审查，以确定投标</w:t>
      </w:r>
      <w:r>
        <w:rPr>
          <w:rFonts w:hint="eastAsia" w:ascii="宋体" w:hAnsi="宋体" w:cs="宋体"/>
          <w:color w:val="000000"/>
          <w:szCs w:val="21"/>
          <w:lang w:eastAsia="zh-CN"/>
        </w:rPr>
        <w:t>投标人</w:t>
      </w:r>
      <w:r>
        <w:rPr>
          <w:rFonts w:hint="eastAsia" w:ascii="宋体" w:hAnsi="宋体" w:cs="宋体"/>
          <w:color w:val="000000"/>
          <w:szCs w:val="21"/>
        </w:rPr>
        <w:t>是否具备投标资格。</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（2）符合性检查：依据招标文件的规定，从投标文件的有效性、完整性和对招标文件的响应程度进行审查，以确定是否对招标文件的实质性要求作出响应。</w:t>
      </w:r>
    </w:p>
    <w:p>
      <w:pPr>
        <w:pStyle w:val="30"/>
        <w:spacing w:line="440" w:lineRule="exact"/>
        <w:ind w:firstLine="422" w:firstLineChars="200"/>
        <w:rPr>
          <w:rFonts w:hint="eastAsia" w:ascii="宋体" w:cs="宋体"/>
          <w:bCs w:val="0"/>
          <w:color w:val="000000"/>
          <w:sz w:val="21"/>
          <w:szCs w:val="21"/>
        </w:rPr>
      </w:pPr>
      <w:r>
        <w:rPr>
          <w:rFonts w:hint="eastAsia" w:ascii="宋体" w:cs="宋体"/>
          <w:bCs w:val="0"/>
          <w:color w:val="000000"/>
          <w:sz w:val="21"/>
          <w:szCs w:val="21"/>
        </w:rPr>
        <w:t>2、澄清问题</w:t>
      </w:r>
    </w:p>
    <w:p>
      <w:pPr>
        <w:pStyle w:val="30"/>
        <w:spacing w:line="440" w:lineRule="exact"/>
        <w:ind w:firstLine="420" w:firstLineChars="200"/>
        <w:rPr>
          <w:rFonts w:hint="eastAsia" w:ascii="宋体" w:cs="宋体"/>
          <w:b w:val="0"/>
          <w:bCs w:val="0"/>
          <w:color w:val="000000"/>
          <w:sz w:val="21"/>
          <w:szCs w:val="21"/>
        </w:rPr>
      </w:pPr>
      <w:r>
        <w:rPr>
          <w:rFonts w:hint="eastAsia" w:ascii="宋体" w:cs="宋体"/>
          <w:b w:val="0"/>
          <w:bCs w:val="0"/>
          <w:color w:val="000000"/>
          <w:sz w:val="21"/>
          <w:szCs w:val="21"/>
        </w:rPr>
        <w:t>对投标文件中含义不明确、同类问题表述不一致或者有明显文字和计算错误的内容，评标委员会可要求投标人作出必要的澄清、说明或者纠正。电子投标文件的，澄清、说明或者补正通过电子交易平台交换数据电子文件，</w:t>
      </w:r>
      <w:r>
        <w:rPr>
          <w:rFonts w:hint="eastAsia" w:ascii="宋体" w:cs="宋体"/>
          <w:b w:val="0"/>
          <w:bCs w:val="0"/>
          <w:color w:val="000000"/>
          <w:sz w:val="21"/>
          <w:szCs w:val="21"/>
          <w:lang w:eastAsia="zh-CN"/>
        </w:rPr>
        <w:t>投标人</w:t>
      </w:r>
      <w:r>
        <w:rPr>
          <w:rFonts w:hint="eastAsia" w:ascii="宋体" w:cs="宋体"/>
          <w:b w:val="0"/>
          <w:bCs w:val="0"/>
          <w:color w:val="000000"/>
          <w:sz w:val="21"/>
          <w:szCs w:val="21"/>
        </w:rPr>
        <w:t>提交澄清说明或补正的时间为30分钟。</w:t>
      </w:r>
    </w:p>
    <w:p>
      <w:pPr>
        <w:pStyle w:val="30"/>
        <w:spacing w:line="440" w:lineRule="exact"/>
        <w:ind w:firstLine="422" w:firstLineChars="200"/>
        <w:rPr>
          <w:rFonts w:hint="eastAsia" w:ascii="宋体" w:cs="宋体"/>
          <w:bCs w:val="0"/>
          <w:color w:val="000000"/>
          <w:sz w:val="21"/>
          <w:szCs w:val="21"/>
        </w:rPr>
      </w:pPr>
      <w:r>
        <w:rPr>
          <w:rFonts w:hint="eastAsia" w:ascii="宋体" w:cs="宋体"/>
          <w:bCs w:val="0"/>
          <w:color w:val="000000"/>
          <w:sz w:val="21"/>
          <w:szCs w:val="21"/>
        </w:rPr>
        <w:t>3、详细评审</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评标委员会对初步评审合格的投标文件，依照本办法对技术、资信内容作进一步评审、比较。评标委员会成员经过阅标、审标和询标，对各投标人进行综合打分。</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评委打分参照本部分附表：评分标准表。其中</w:t>
      </w:r>
      <w:r>
        <w:rPr>
          <w:rFonts w:hint="eastAsia" w:ascii="宋体" w:hAnsi="宋体" w:cs="宋体"/>
          <w:color w:val="000000"/>
          <w:szCs w:val="21"/>
          <w:lang w:eastAsia="zh-CN"/>
        </w:rPr>
        <w:t>商务</w:t>
      </w:r>
      <w:r>
        <w:rPr>
          <w:rFonts w:hint="eastAsia" w:ascii="宋体" w:hAnsi="宋体" w:cs="宋体"/>
          <w:color w:val="000000"/>
          <w:szCs w:val="21"/>
        </w:rPr>
        <w:t>资信技术部分由评标委员会成员根据各投标人的投标文件进行独立打分（小数点后保留一位小数）。评委打分采用记名方式，取算术平均分（小数点后保留二位小数）。报价分经评标委员会评审后按评分标准表进行统一计算（小数点后保留二位小数）。</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如出现招标文件及评标办法未及事宜，由评标小组依据有关法律法规及规章执行并讨论确定。</w:t>
      </w:r>
    </w:p>
    <w:p>
      <w:pPr>
        <w:snapToGrid w:val="0"/>
        <w:spacing w:line="440" w:lineRule="exact"/>
        <w:ind w:firstLine="422" w:firstLineChars="200"/>
        <w:rPr>
          <w:rFonts w:hint="eastAsia" w:ascii="宋体" w:hAnsi="宋体" w:cs="宋体"/>
          <w:color w:val="000000"/>
          <w:szCs w:val="21"/>
        </w:rPr>
      </w:pPr>
      <w:r>
        <w:rPr>
          <w:rFonts w:hint="eastAsia" w:ascii="宋体" w:hAnsi="宋体" w:cs="宋体"/>
          <w:b/>
          <w:bCs/>
          <w:color w:val="000000"/>
          <w:szCs w:val="21"/>
        </w:rPr>
        <w:t>注：评标委员会成员独立评审。评标委员会组长对拟认定为投标文件无效、</w:t>
      </w:r>
      <w:r>
        <w:rPr>
          <w:rFonts w:hint="eastAsia" w:ascii="宋体" w:hAnsi="宋体" w:cs="宋体"/>
          <w:b/>
          <w:bCs/>
          <w:color w:val="000000"/>
          <w:szCs w:val="21"/>
          <w:lang w:eastAsia="zh-CN"/>
        </w:rPr>
        <w:t>投标人</w:t>
      </w:r>
      <w:r>
        <w:rPr>
          <w:rFonts w:hint="eastAsia" w:ascii="宋体" w:hAnsi="宋体" w:cs="宋体"/>
          <w:b/>
          <w:bCs/>
          <w:color w:val="000000"/>
          <w:szCs w:val="21"/>
        </w:rPr>
        <w:t>资格不符合的，应组织相关</w:t>
      </w:r>
      <w:r>
        <w:rPr>
          <w:rFonts w:hint="eastAsia" w:ascii="宋体" w:hAnsi="宋体" w:cs="宋体"/>
          <w:b/>
          <w:bCs/>
          <w:color w:val="000000"/>
          <w:szCs w:val="21"/>
          <w:lang w:eastAsia="zh-CN"/>
        </w:rPr>
        <w:t>投标人</w:t>
      </w:r>
      <w:r>
        <w:rPr>
          <w:rFonts w:hint="eastAsia" w:ascii="宋体" w:hAnsi="宋体" w:cs="宋体"/>
          <w:b/>
          <w:bCs/>
          <w:color w:val="000000"/>
          <w:szCs w:val="21"/>
        </w:rPr>
        <w:t>代表进行陈述、澄清或申辩；招标代理机构可协助评标委员会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p>
    <w:p>
      <w:pPr>
        <w:pStyle w:val="30"/>
        <w:spacing w:line="440" w:lineRule="exact"/>
        <w:ind w:firstLine="422" w:firstLineChars="200"/>
        <w:rPr>
          <w:rFonts w:hint="eastAsia" w:ascii="宋体" w:cs="宋体"/>
          <w:bCs w:val="0"/>
          <w:color w:val="000000"/>
          <w:sz w:val="21"/>
          <w:szCs w:val="21"/>
          <w:lang w:val="en-US" w:eastAsia="zh-CN"/>
        </w:rPr>
      </w:pPr>
      <w:r>
        <w:rPr>
          <w:rFonts w:hint="eastAsia" w:ascii="宋体" w:cs="宋体"/>
          <w:bCs w:val="0"/>
          <w:color w:val="000000"/>
          <w:sz w:val="21"/>
          <w:szCs w:val="21"/>
          <w:lang w:val="en-US" w:eastAsia="zh-CN"/>
        </w:rPr>
        <w:t>4、报价合理性</w:t>
      </w:r>
    </w:p>
    <w:p>
      <w:pPr>
        <w:snapToGrid w:val="0"/>
        <w:spacing w:line="440" w:lineRule="exact"/>
        <w:ind w:firstLine="422" w:firstLineChars="200"/>
        <w:rPr>
          <w:rFonts w:hint="eastAsia" w:ascii="宋体" w:hAnsi="宋体" w:cs="宋体"/>
          <w:b/>
          <w:bCs/>
          <w:color w:val="000000"/>
          <w:szCs w:val="21"/>
        </w:rPr>
      </w:pPr>
      <w:r>
        <w:rPr>
          <w:rFonts w:hint="eastAsia" w:ascii="宋体" w:hAnsi="宋体" w:cs="宋体"/>
          <w:b/>
          <w:bCs/>
          <w:color w:val="000000"/>
          <w:szCs w:val="21"/>
        </w:rPr>
        <w:t>评标委员会认为投标人的报价明显低于其他通过符合性审查投标人的报价，有可能影响服务质量或者不能诚信履约的，且不能在评标现场合理时间内提供相关证明材料说明其报价合理性的，则文件将被视为无效。</w:t>
      </w:r>
    </w:p>
    <w:p>
      <w:pPr>
        <w:pStyle w:val="30"/>
        <w:spacing w:line="440" w:lineRule="exact"/>
        <w:ind w:firstLine="422" w:firstLineChars="200"/>
        <w:rPr>
          <w:rFonts w:hint="eastAsia" w:ascii="宋体" w:cs="宋体"/>
          <w:bCs w:val="0"/>
          <w:color w:val="000000"/>
          <w:sz w:val="21"/>
          <w:szCs w:val="21"/>
        </w:rPr>
      </w:pPr>
      <w:r>
        <w:rPr>
          <w:rFonts w:hint="eastAsia" w:ascii="宋体" w:cs="宋体"/>
          <w:bCs w:val="0"/>
          <w:color w:val="000000"/>
          <w:sz w:val="21"/>
          <w:szCs w:val="21"/>
          <w:lang w:val="en-US" w:eastAsia="zh-CN"/>
        </w:rPr>
        <w:t>5</w:t>
      </w:r>
      <w:r>
        <w:rPr>
          <w:rFonts w:hint="eastAsia" w:ascii="宋体" w:cs="宋体"/>
          <w:bCs w:val="0"/>
          <w:color w:val="000000"/>
          <w:sz w:val="21"/>
          <w:szCs w:val="21"/>
        </w:rPr>
        <w:t>、中标原则</w:t>
      </w:r>
    </w:p>
    <w:p>
      <w:pPr>
        <w:snapToGrid w:val="0"/>
        <w:spacing w:line="440" w:lineRule="exact"/>
        <w:ind w:firstLine="420" w:firstLineChars="200"/>
        <w:rPr>
          <w:rFonts w:hint="eastAsia" w:ascii="宋体" w:hAnsi="宋体" w:cs="宋体"/>
          <w:color w:val="0000FF"/>
          <w:szCs w:val="21"/>
        </w:rPr>
      </w:pPr>
      <w:r>
        <w:rPr>
          <w:rFonts w:hint="eastAsia" w:ascii="宋体" w:hAnsi="宋体" w:cs="宋体"/>
          <w:color w:val="000000"/>
          <w:szCs w:val="21"/>
        </w:rPr>
        <w:t>评标委员会根据投标人的综合得分（报价、商务技术得分之和）由高到低排定顺序，并推荐综合得分排序第一的投标人为第一中标候选人。如投标人的综合得分相同，则投标价低者优先；如投标价也相同，则由投标人抽签决定。</w:t>
      </w:r>
    </w:p>
    <w:p>
      <w:pPr>
        <w:pStyle w:val="30"/>
        <w:spacing w:line="440" w:lineRule="exact"/>
        <w:ind w:firstLine="422" w:firstLineChars="200"/>
        <w:rPr>
          <w:rFonts w:hint="eastAsia" w:ascii="宋体" w:cs="宋体"/>
          <w:bCs w:val="0"/>
          <w:color w:val="000000"/>
          <w:sz w:val="21"/>
          <w:szCs w:val="21"/>
        </w:rPr>
      </w:pPr>
      <w:r>
        <w:rPr>
          <w:rFonts w:hint="eastAsia" w:ascii="宋体" w:cs="宋体"/>
          <w:bCs w:val="0"/>
          <w:color w:val="000000"/>
          <w:sz w:val="21"/>
          <w:szCs w:val="21"/>
          <w:lang w:val="en-US" w:eastAsia="zh-CN"/>
        </w:rPr>
        <w:t>6</w:t>
      </w:r>
      <w:r>
        <w:rPr>
          <w:rFonts w:hint="eastAsia" w:ascii="宋体" w:cs="宋体"/>
          <w:bCs w:val="0"/>
          <w:color w:val="000000"/>
          <w:sz w:val="21"/>
          <w:szCs w:val="21"/>
        </w:rPr>
        <w:t>、中标结果</w:t>
      </w:r>
    </w:p>
    <w:p>
      <w:pPr>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采购机构将中标结果在政府采购指定媒体上公告，根据决标结果和公告，向中标人发出中标通知书。</w:t>
      </w:r>
    </w:p>
    <w:p>
      <w:pPr>
        <w:rPr>
          <w:rFonts w:hint="eastAsia" w:ascii="宋体" w:hAnsi="宋体" w:cs="宋体"/>
          <w:color w:val="000000"/>
          <w:szCs w:val="21"/>
        </w:rPr>
      </w:pPr>
    </w:p>
    <w:p>
      <w:pPr>
        <w:rPr>
          <w:rFonts w:hint="eastAsia"/>
          <w:color w:val="000000"/>
        </w:rPr>
      </w:pPr>
    </w:p>
    <w:p>
      <w:pPr>
        <w:keepNext/>
        <w:numPr>
          <w:ilvl w:val="0"/>
          <w:numId w:val="0"/>
        </w:numPr>
        <w:spacing w:line="400" w:lineRule="exact"/>
        <w:outlineLvl w:val="1"/>
        <w:rPr>
          <w:rFonts w:hint="eastAsia" w:ascii="宋体" w:hAnsi="宋体" w:cs="宋体"/>
          <w:b/>
          <w:color w:val="000000"/>
          <w:szCs w:val="21"/>
          <w:lang w:bidi="ar"/>
        </w:rPr>
      </w:pPr>
      <w:bookmarkStart w:id="170" w:name="_Toc27881"/>
      <w:r>
        <w:rPr>
          <w:rFonts w:hint="eastAsia" w:ascii="宋体" w:hAnsi="宋体" w:cs="宋体"/>
          <w:color w:val="000000"/>
          <w:szCs w:val="21"/>
        </w:rPr>
        <w:br w:type="page"/>
      </w:r>
      <w:bookmarkEnd w:id="170"/>
      <w:bookmarkStart w:id="171" w:name="_Toc3774"/>
      <w:r>
        <w:rPr>
          <w:rFonts w:hint="eastAsia" w:ascii="宋体" w:hAnsi="宋体" w:cs="宋体"/>
          <w:b/>
          <w:bCs/>
          <w:color w:val="000000"/>
          <w:szCs w:val="21"/>
          <w:lang w:eastAsia="zh-CN"/>
        </w:rPr>
        <w:t>五、</w:t>
      </w:r>
      <w:r>
        <w:rPr>
          <w:rFonts w:hint="eastAsia" w:ascii="宋体" w:hAnsi="宋体" w:cs="宋体"/>
          <w:b/>
          <w:color w:val="000000"/>
          <w:szCs w:val="21"/>
          <w:lang w:bidi="ar"/>
        </w:rPr>
        <w:t>评分标准</w:t>
      </w:r>
    </w:p>
    <w:p>
      <w:pPr>
        <w:pStyle w:val="130"/>
        <w:ind w:left="0" w:leftChars="0" w:firstLine="0" w:firstLineChars="0"/>
        <w:jc w:val="left"/>
        <w:rPr>
          <w:rFonts w:hint="eastAsia" w:ascii="宋体" w:hAnsi="宋体" w:eastAsia="宋体" w:cs="宋体"/>
          <w:b/>
          <w:bCs/>
          <w:color w:val="auto"/>
          <w:w w:val="100"/>
          <w:sz w:val="21"/>
          <w:szCs w:val="21"/>
        </w:rPr>
      </w:pPr>
    </w:p>
    <w:p>
      <w:pPr>
        <w:pStyle w:val="130"/>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left"/>
        <w:textAlignment w:val="auto"/>
        <w:rPr>
          <w:rFonts w:hint="eastAsia" w:eastAsia="宋体"/>
          <w:b/>
          <w:bCs/>
          <w:lang w:eastAsia="zh-CN"/>
        </w:rPr>
      </w:pPr>
      <w:r>
        <w:rPr>
          <w:rFonts w:hint="eastAsia" w:ascii="宋体" w:hAnsi="宋体" w:eastAsia="宋体" w:cs="宋体"/>
          <w:b/>
          <w:bCs/>
          <w:color w:val="auto"/>
          <w:w w:val="100"/>
          <w:sz w:val="21"/>
          <w:szCs w:val="21"/>
        </w:rPr>
        <w:t>第</w:t>
      </w:r>
      <w:r>
        <w:rPr>
          <w:rFonts w:hint="eastAsia" w:ascii="宋体" w:hAnsi="宋体" w:eastAsia="宋体" w:cs="宋体"/>
          <w:b/>
          <w:bCs/>
          <w:color w:val="auto"/>
          <w:w w:val="100"/>
          <w:sz w:val="21"/>
          <w:szCs w:val="21"/>
          <w:lang w:eastAsia="zh-CN"/>
        </w:rPr>
        <w:t>一</w:t>
      </w:r>
      <w:r>
        <w:rPr>
          <w:rFonts w:hint="eastAsia" w:ascii="宋体" w:hAnsi="宋体" w:eastAsia="宋体" w:cs="宋体"/>
          <w:b/>
          <w:bCs/>
          <w:color w:val="auto"/>
          <w:w w:val="100"/>
          <w:sz w:val="21"/>
          <w:szCs w:val="21"/>
        </w:rPr>
        <w:t>阶段：</w:t>
      </w:r>
      <w:r>
        <w:rPr>
          <w:rFonts w:hint="eastAsia" w:ascii="宋体" w:hAnsi="宋体" w:eastAsia="宋体" w:cs="宋体"/>
          <w:b/>
          <w:bCs/>
          <w:color w:val="auto"/>
          <w:w w:val="100"/>
          <w:sz w:val="21"/>
          <w:szCs w:val="21"/>
          <w:lang w:eastAsia="zh-CN"/>
        </w:rPr>
        <w:t>商务技术评审</w:t>
      </w:r>
    </w:p>
    <w:tbl>
      <w:tblPr>
        <w:tblStyle w:val="47"/>
        <w:tblW w:w="95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8"/>
        <w:gridCol w:w="1821"/>
        <w:gridCol w:w="71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359" w:type="dxa"/>
            <w:gridSpan w:val="2"/>
            <w:noWrap w:val="0"/>
            <w:vAlign w:val="center"/>
          </w:tcPr>
          <w:p>
            <w:pPr>
              <w:keepLines w:val="0"/>
              <w:pageBreakBefore w:val="0"/>
              <w:kinsoku/>
              <w:wordWrap/>
              <w:overflowPunct/>
              <w:topLinePunct w:val="0"/>
              <w:bidi w:val="0"/>
              <w:adjustRightInd w:val="0"/>
              <w:snapToGrid w:val="0"/>
              <w:spacing w:line="400" w:lineRule="exact"/>
              <w:jc w:val="center"/>
              <w:rPr>
                <w:rFonts w:hint="eastAsia" w:ascii="宋体" w:hAnsi="宋体" w:cs="宋体"/>
                <w:b/>
                <w:bCs/>
                <w:color w:val="auto"/>
                <w:szCs w:val="21"/>
                <w:lang w:val="zh-CN"/>
              </w:rPr>
            </w:pPr>
            <w:r>
              <w:rPr>
                <w:rFonts w:hint="eastAsia" w:ascii="宋体" w:hAnsi="宋体" w:cs="宋体"/>
                <w:b/>
                <w:bCs/>
                <w:color w:val="auto"/>
                <w:szCs w:val="21"/>
                <w:lang w:val="zh-CN"/>
              </w:rPr>
              <w:t>评分项目</w:t>
            </w:r>
          </w:p>
        </w:tc>
        <w:tc>
          <w:tcPr>
            <w:tcW w:w="7187" w:type="dxa"/>
            <w:noWrap w:val="0"/>
            <w:vAlign w:val="center"/>
          </w:tcPr>
          <w:p>
            <w:pPr>
              <w:keepLines w:val="0"/>
              <w:pageBreakBefore w:val="0"/>
              <w:kinsoku/>
              <w:wordWrap/>
              <w:overflowPunct/>
              <w:topLinePunct w:val="0"/>
              <w:bidi w:val="0"/>
              <w:adjustRightInd w:val="0"/>
              <w:snapToGrid w:val="0"/>
              <w:spacing w:line="400" w:lineRule="exact"/>
              <w:jc w:val="center"/>
              <w:rPr>
                <w:rFonts w:hint="eastAsia" w:ascii="宋体" w:hAnsi="宋体" w:cs="宋体"/>
                <w:b/>
                <w:bCs/>
                <w:color w:val="auto"/>
                <w:szCs w:val="21"/>
                <w:lang w:val="zh-CN"/>
              </w:rPr>
            </w:pPr>
            <w:r>
              <w:rPr>
                <w:rFonts w:hint="eastAsia" w:ascii="宋体" w:hAnsi="宋体" w:cs="宋体"/>
                <w:b/>
                <w:bCs/>
                <w:color w:val="auto"/>
                <w:szCs w:val="21"/>
                <w:lang w:val="zh-CN"/>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restart"/>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技术</w:t>
            </w:r>
          </w:p>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得分</w:t>
            </w:r>
          </w:p>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78</w:t>
            </w:r>
            <w:r>
              <w:rPr>
                <w:rFonts w:hint="eastAsia" w:ascii="宋体" w:hAnsi="宋体" w:cs="宋体"/>
                <w:color w:val="auto"/>
                <w:szCs w:val="21"/>
              </w:rPr>
              <w:t>分</w:t>
            </w:r>
          </w:p>
        </w:tc>
        <w:tc>
          <w:tcPr>
            <w:tcW w:w="1821"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项目了解</w:t>
            </w:r>
          </w:p>
          <w:p>
            <w:pPr>
              <w:keepNext/>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7分</w:t>
            </w:r>
            <w:r>
              <w:rPr>
                <w:rFonts w:hint="eastAsia" w:ascii="宋体" w:hAnsi="宋体" w:cs="宋体"/>
                <w:color w:val="auto"/>
                <w:szCs w:val="21"/>
                <w:highlight w:val="none"/>
                <w:lang w:eastAsia="zh-CN"/>
              </w:rPr>
              <w:t>）</w:t>
            </w:r>
          </w:p>
        </w:tc>
        <w:tc>
          <w:tcPr>
            <w:tcW w:w="7187" w:type="dxa"/>
            <w:noWrap w:val="0"/>
            <w:vAlign w:val="center"/>
          </w:tcPr>
          <w:p>
            <w:pPr>
              <w:keepLines w:val="0"/>
              <w:pageBreakBefore w:val="0"/>
              <w:widowControl/>
              <w:kinsoku/>
              <w:wordWrap/>
              <w:overflowPunct/>
              <w:topLinePunct w:val="0"/>
              <w:bidi w:val="0"/>
              <w:adjustRightInd w:val="0"/>
              <w:snapToGrid w:val="0"/>
              <w:spacing w:line="400" w:lineRule="exact"/>
              <w:jc w:val="left"/>
              <w:textAlignment w:val="center"/>
              <w:rPr>
                <w:rFonts w:hint="eastAsia" w:ascii="宋体" w:hAnsi="宋体" w:cs="宋体"/>
                <w:szCs w:val="21"/>
                <w:highlight w:val="none"/>
              </w:rPr>
            </w:pPr>
            <w:r>
              <w:rPr>
                <w:rFonts w:hint="eastAsia" w:ascii="宋体" w:hAnsi="宋体" w:cs="宋体"/>
                <w:color w:val="auto"/>
                <w:szCs w:val="21"/>
                <w:highlight w:val="none"/>
              </w:rPr>
              <w:t>对本项目所涉及到的</w:t>
            </w:r>
            <w:r>
              <w:rPr>
                <w:rFonts w:hint="eastAsia" w:ascii="宋体" w:hAnsi="宋体" w:cs="宋体"/>
                <w:color w:val="auto"/>
                <w:szCs w:val="21"/>
                <w:highlight w:val="none"/>
                <w:lang w:eastAsia="zh-CN"/>
              </w:rPr>
              <w:t>管辖区域</w:t>
            </w:r>
            <w:r>
              <w:rPr>
                <w:rFonts w:hint="eastAsia" w:ascii="宋体" w:hAnsi="宋体" w:cs="宋体"/>
                <w:color w:val="auto"/>
                <w:szCs w:val="21"/>
                <w:highlight w:val="none"/>
              </w:rPr>
              <w:t>现场实际情况的了解和调研情况、</w:t>
            </w:r>
            <w:r>
              <w:rPr>
                <w:rFonts w:hint="eastAsia" w:ascii="宋体" w:hAnsi="宋体" w:cs="宋体"/>
                <w:szCs w:val="21"/>
                <w:highlight w:val="none"/>
              </w:rPr>
              <w:t>管理任务的理解</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7</w:t>
            </w:r>
            <w:r>
              <w:rPr>
                <w:rFonts w:hint="eastAsia" w:ascii="宋体" w:hAnsi="宋体" w:cs="宋体"/>
                <w:szCs w:val="21"/>
                <w:highlight w:val="none"/>
              </w:rPr>
              <w:t>分。</w:t>
            </w:r>
          </w:p>
          <w:p>
            <w:pPr>
              <w:keepLines w:val="0"/>
              <w:pageBreakBefore w:val="0"/>
              <w:widowControl/>
              <w:kinsoku/>
              <w:wordWrap/>
              <w:overflowPunct/>
              <w:topLinePunct w:val="0"/>
              <w:bidi w:val="0"/>
              <w:adjustRightInd w:val="0"/>
              <w:snapToGrid w:val="0"/>
              <w:spacing w:line="400" w:lineRule="exact"/>
              <w:jc w:val="left"/>
              <w:textAlignment w:val="center"/>
              <w:rPr>
                <w:rFonts w:hint="eastAsia"/>
                <w:color w:val="auto"/>
              </w:rPr>
            </w:pPr>
            <w:r>
              <w:rPr>
                <w:rFonts w:hint="eastAsia" w:ascii="宋体" w:hAnsi="宋体" w:eastAsia="宋体" w:cs="宋体"/>
                <w:color w:val="000000"/>
                <w:w w:val="100"/>
                <w:sz w:val="21"/>
                <w:szCs w:val="21"/>
                <w:highlight w:val="none"/>
                <w:lang w:eastAsia="zh-CN"/>
              </w:rPr>
              <w:t>注：</w:t>
            </w:r>
            <w:r>
              <w:rPr>
                <w:rFonts w:hint="eastAsia" w:ascii="宋体" w:hAnsi="宋体"/>
                <w:b w:val="0"/>
                <w:bCs w:val="0"/>
                <w:color w:val="auto"/>
                <w:szCs w:val="21"/>
                <w:highlight w:val="none"/>
              </w:rPr>
              <w:t>投</w:t>
            </w:r>
            <w:r>
              <w:rPr>
                <w:rFonts w:hint="eastAsia" w:ascii="宋体" w:hAnsi="宋体"/>
                <w:b w:val="0"/>
                <w:bCs w:val="0"/>
                <w:color w:val="auto"/>
                <w:kern w:val="0"/>
                <w:szCs w:val="21"/>
                <w:highlight w:val="none"/>
              </w:rPr>
              <w:t>标文件中提供</w:t>
            </w:r>
            <w:r>
              <w:rPr>
                <w:rFonts w:hint="eastAsia" w:ascii="宋体" w:hAnsi="宋体" w:eastAsia="宋体" w:cs="宋体"/>
                <w:color w:val="000000"/>
                <w:w w:val="100"/>
                <w:sz w:val="21"/>
                <w:szCs w:val="21"/>
                <w:highlight w:val="none"/>
                <w:lang w:eastAsia="zh-CN"/>
              </w:rPr>
              <w:t>包括但不限于现场照片</w:t>
            </w:r>
            <w:r>
              <w:rPr>
                <w:rFonts w:hint="eastAsia" w:ascii="宋体" w:hAnsi="宋体" w:eastAsia="宋体" w:cs="宋体"/>
                <w:strike w:val="0"/>
                <w:dstrike w:val="0"/>
                <w:color w:val="000000"/>
                <w:w w:val="100"/>
                <w:sz w:val="21"/>
                <w:szCs w:val="21"/>
                <w:highlight w:val="none"/>
                <w:lang w:eastAsia="zh-CN"/>
              </w:rPr>
              <w:t>等，</w:t>
            </w:r>
            <w:r>
              <w:rPr>
                <w:rFonts w:hint="eastAsia" w:ascii="宋体" w:hAnsi="宋体" w:eastAsia="宋体" w:cs="宋体"/>
                <w:strike w:val="0"/>
                <w:color w:val="000000"/>
                <w:w w:val="100"/>
                <w:sz w:val="21"/>
                <w:szCs w:val="21"/>
                <w:highlight w:val="none"/>
                <w:lang w:eastAsia="zh-CN"/>
              </w:rPr>
              <w:t>未按要求提供的酌情扣分</w:t>
            </w:r>
            <w:r>
              <w:rPr>
                <w:rFonts w:hint="eastAsia" w:ascii="宋体" w:hAnsi="宋体" w:eastAsia="宋体" w:cs="宋体"/>
                <w:strike w:val="0"/>
                <w:color w:val="000000"/>
                <w:w w:val="1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restart"/>
            <w:noWrap w:val="0"/>
            <w:vAlign w:val="center"/>
          </w:tcPr>
          <w:p>
            <w:pPr>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color w:val="auto"/>
                <w:w w:val="100"/>
                <w:sz w:val="21"/>
                <w:szCs w:val="21"/>
                <w:highlight w:val="none"/>
              </w:rPr>
            </w:pPr>
            <w:r>
              <w:rPr>
                <w:rFonts w:hint="eastAsia" w:ascii="宋体" w:hAnsi="宋体"/>
                <w:color w:val="auto"/>
                <w:w w:val="100"/>
                <w:sz w:val="21"/>
                <w:szCs w:val="21"/>
                <w:highlight w:val="none"/>
              </w:rPr>
              <w:t>整体服务方案</w:t>
            </w:r>
          </w:p>
          <w:p>
            <w:pPr>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cs="宋体"/>
                <w:color w:val="auto"/>
                <w:szCs w:val="21"/>
              </w:rPr>
            </w:pPr>
            <w:r>
              <w:rPr>
                <w:rFonts w:hint="eastAsia" w:ascii="宋体" w:hAnsi="宋体"/>
                <w:color w:val="auto"/>
                <w:w w:val="100"/>
                <w:sz w:val="21"/>
                <w:szCs w:val="21"/>
                <w:highlight w:val="none"/>
              </w:rPr>
              <w:t>（</w:t>
            </w:r>
            <w:r>
              <w:rPr>
                <w:rFonts w:hint="eastAsia" w:ascii="宋体" w:hAnsi="宋体"/>
                <w:color w:val="auto"/>
                <w:w w:val="100"/>
                <w:sz w:val="21"/>
                <w:szCs w:val="21"/>
                <w:highlight w:val="none"/>
                <w:lang w:val="en-US" w:eastAsia="zh-CN"/>
              </w:rPr>
              <w:t>18</w:t>
            </w:r>
            <w:r>
              <w:rPr>
                <w:rFonts w:hint="eastAsia" w:ascii="宋体" w:hAnsi="宋体"/>
                <w:color w:val="auto"/>
                <w:w w:val="100"/>
                <w:sz w:val="21"/>
                <w:szCs w:val="21"/>
                <w:highlight w:val="none"/>
              </w:rPr>
              <w:t>分）</w:t>
            </w:r>
          </w:p>
        </w:tc>
        <w:tc>
          <w:tcPr>
            <w:tcW w:w="7187"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color w:val="auto"/>
                <w:w w:val="100"/>
                <w:kern w:val="2"/>
                <w:sz w:val="21"/>
                <w:szCs w:val="21"/>
                <w:highlight w:val="none"/>
                <w:lang w:val="en-US" w:eastAsia="zh-CN" w:bidi="ar-SA"/>
              </w:rPr>
            </w:pPr>
            <w:r>
              <w:rPr>
                <w:rFonts w:hint="eastAsia" w:ascii="宋体" w:hAnsi="宋体"/>
                <w:color w:val="auto"/>
                <w:w w:val="100"/>
                <w:sz w:val="21"/>
                <w:szCs w:val="21"/>
                <w:highlight w:val="none"/>
              </w:rPr>
              <w:t>根据</w:t>
            </w:r>
            <w:r>
              <w:rPr>
                <w:rFonts w:hint="eastAsia" w:ascii="宋体" w:hAnsi="宋体"/>
                <w:color w:val="auto"/>
                <w:w w:val="100"/>
                <w:sz w:val="21"/>
                <w:szCs w:val="21"/>
                <w:highlight w:val="none"/>
                <w:lang w:eastAsia="zh-CN"/>
              </w:rPr>
              <w:t>投标人提供的</w:t>
            </w:r>
            <w:r>
              <w:rPr>
                <w:rFonts w:hint="eastAsia" w:ascii="宋体" w:hAnsi="宋体"/>
                <w:color w:val="auto"/>
                <w:w w:val="100"/>
                <w:sz w:val="21"/>
                <w:szCs w:val="21"/>
                <w:highlight w:val="none"/>
              </w:rPr>
              <w:t>针对</w:t>
            </w:r>
            <w:r>
              <w:rPr>
                <w:rFonts w:hint="eastAsia" w:ascii="宋体" w:hAnsi="宋体"/>
                <w:color w:val="auto"/>
                <w:w w:val="100"/>
                <w:sz w:val="21"/>
                <w:szCs w:val="21"/>
                <w:highlight w:val="none"/>
                <w:lang w:eastAsia="zh-CN"/>
              </w:rPr>
              <w:t>本项目的安保、消防服务整体方案构想（包括方案策划思路、管理目标等）</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6</w:t>
            </w:r>
            <w:r>
              <w:rPr>
                <w:rFonts w:hint="eastAsia" w:ascii="宋体" w:hAnsi="宋体" w:cs="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cs="宋体"/>
                <w:color w:val="auto"/>
                <w:szCs w:val="21"/>
              </w:rPr>
            </w:pP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eastAsia="宋体"/>
                <w:color w:val="auto"/>
                <w:w w:val="100"/>
                <w:kern w:val="2"/>
                <w:sz w:val="21"/>
                <w:szCs w:val="21"/>
                <w:highlight w:val="none"/>
                <w:lang w:val="en-US" w:eastAsia="zh-CN" w:bidi="ar-SA"/>
              </w:rPr>
            </w:pPr>
            <w:r>
              <w:rPr>
                <w:rFonts w:hint="eastAsia" w:ascii="宋体"/>
                <w:color w:val="auto"/>
                <w:w w:val="100"/>
                <w:sz w:val="21"/>
                <w:szCs w:val="21"/>
                <w:highlight w:val="none"/>
                <w:lang w:val="en-US" w:eastAsia="zh-CN"/>
              </w:rPr>
              <w:t>针对本项目提出的重点、难点分析及相应解决措施</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7</w:t>
            </w:r>
            <w:r>
              <w:rPr>
                <w:rFonts w:hint="eastAsia" w:ascii="宋体" w:hAnsi="宋体" w:cs="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textAlignment w:val="center"/>
              <w:rPr>
                <w:rFonts w:hint="eastAsia" w:ascii="宋体" w:hAnsi="宋体" w:cs="宋体"/>
                <w:color w:val="auto"/>
                <w:szCs w:val="21"/>
              </w:rPr>
            </w:pP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color w:val="auto"/>
                <w:w w:val="100"/>
                <w:kern w:val="2"/>
                <w:sz w:val="21"/>
                <w:szCs w:val="21"/>
                <w:highlight w:val="none"/>
                <w:lang w:val="en-US" w:eastAsia="zh-CN" w:bidi="ar-SA"/>
              </w:rPr>
            </w:pPr>
            <w:r>
              <w:rPr>
                <w:rFonts w:hint="eastAsia" w:ascii="宋体" w:hAnsi="宋体"/>
                <w:color w:val="auto"/>
                <w:w w:val="100"/>
                <w:sz w:val="21"/>
                <w:szCs w:val="21"/>
                <w:highlight w:val="none"/>
              </w:rPr>
              <w:t>对</w:t>
            </w:r>
            <w:r>
              <w:rPr>
                <w:rFonts w:hint="eastAsia" w:ascii="宋体" w:hAnsi="宋体"/>
                <w:color w:val="auto"/>
                <w:w w:val="100"/>
                <w:sz w:val="21"/>
                <w:szCs w:val="21"/>
                <w:highlight w:val="none"/>
                <w:lang w:eastAsia="zh-CN"/>
              </w:rPr>
              <w:t>本项目服务</w:t>
            </w:r>
            <w:r>
              <w:rPr>
                <w:rFonts w:hint="eastAsia" w:ascii="宋体" w:hAnsi="宋体"/>
                <w:color w:val="auto"/>
                <w:w w:val="100"/>
                <w:sz w:val="21"/>
                <w:szCs w:val="21"/>
                <w:highlight w:val="none"/>
              </w:rPr>
              <w:t>质量的服务响应及</w:t>
            </w:r>
            <w:r>
              <w:rPr>
                <w:rFonts w:hint="eastAsia" w:ascii="宋体" w:hAnsi="宋体"/>
                <w:color w:val="auto"/>
                <w:w w:val="100"/>
                <w:sz w:val="21"/>
                <w:szCs w:val="21"/>
                <w:highlight w:val="none"/>
                <w:lang w:eastAsia="zh-CN"/>
              </w:rPr>
              <w:t>服务</w:t>
            </w:r>
            <w:r>
              <w:rPr>
                <w:rFonts w:hint="eastAsia" w:ascii="宋体" w:hAnsi="宋体"/>
                <w:color w:val="auto"/>
                <w:w w:val="100"/>
                <w:sz w:val="21"/>
                <w:szCs w:val="21"/>
                <w:highlight w:val="none"/>
              </w:rPr>
              <w:t>承诺</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color w:val="auto"/>
                <w:w w:val="100"/>
                <w:sz w:val="21"/>
                <w:szCs w:val="21"/>
                <w:highlight w:val="none"/>
              </w:rPr>
            </w:pPr>
            <w:r>
              <w:rPr>
                <w:rFonts w:hint="eastAsia" w:ascii="宋体" w:hAnsi="宋体"/>
                <w:color w:val="auto"/>
                <w:w w:val="100"/>
                <w:sz w:val="21"/>
                <w:szCs w:val="21"/>
                <w:highlight w:val="none"/>
                <w:lang w:eastAsia="zh-CN"/>
              </w:rPr>
              <w:t>具体</w:t>
            </w:r>
            <w:r>
              <w:rPr>
                <w:rFonts w:hint="eastAsia" w:ascii="宋体" w:hAnsi="宋体"/>
                <w:color w:val="auto"/>
                <w:w w:val="100"/>
                <w:sz w:val="21"/>
                <w:szCs w:val="21"/>
                <w:highlight w:val="none"/>
              </w:rPr>
              <w:t>管理措施</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color w:val="auto"/>
                <w:w w:val="100"/>
                <w:kern w:val="2"/>
                <w:sz w:val="21"/>
                <w:szCs w:val="21"/>
                <w:highlight w:val="none"/>
                <w:lang w:val="en-US" w:eastAsia="zh-CN" w:bidi="ar-SA"/>
              </w:rPr>
            </w:pPr>
            <w:r>
              <w:rPr>
                <w:rFonts w:hint="eastAsia" w:ascii="宋体" w:hAnsi="宋体"/>
                <w:color w:val="auto"/>
                <w:w w:val="100"/>
                <w:sz w:val="21"/>
                <w:szCs w:val="21"/>
                <w:highlight w:val="none"/>
              </w:rPr>
              <w:t>（</w:t>
            </w:r>
            <w:r>
              <w:rPr>
                <w:rFonts w:hint="eastAsia" w:ascii="宋体" w:hAnsi="宋体"/>
                <w:color w:val="auto"/>
                <w:w w:val="100"/>
                <w:sz w:val="21"/>
                <w:szCs w:val="21"/>
                <w:highlight w:val="none"/>
                <w:lang w:val="en-US" w:eastAsia="zh-CN"/>
              </w:rPr>
              <w:t>21</w:t>
            </w:r>
            <w:r>
              <w:rPr>
                <w:rFonts w:hint="eastAsia" w:ascii="宋体" w:hAnsi="宋体"/>
                <w:color w:val="auto"/>
                <w:w w:val="100"/>
                <w:sz w:val="21"/>
                <w:szCs w:val="21"/>
                <w:highlight w:val="none"/>
              </w:rPr>
              <w:t>分）</w:t>
            </w:r>
          </w:p>
          <w:p>
            <w:pPr>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color w:val="auto"/>
                <w:w w:val="100"/>
                <w:kern w:val="2"/>
                <w:sz w:val="21"/>
                <w:szCs w:val="21"/>
                <w:highlight w:val="none"/>
                <w:lang w:val="en-US" w:eastAsia="zh-CN" w:bidi="ar-SA"/>
              </w:rPr>
            </w:pPr>
            <w:r>
              <w:rPr>
                <w:rFonts w:hint="eastAsia" w:ascii="宋体" w:hAnsi="宋体"/>
                <w:color w:val="auto"/>
                <w:w w:val="100"/>
                <w:sz w:val="21"/>
                <w:szCs w:val="21"/>
                <w:highlight w:val="none"/>
              </w:rPr>
              <w:t>根据</w:t>
            </w:r>
            <w:r>
              <w:rPr>
                <w:rFonts w:hint="eastAsia" w:ascii="宋体" w:hAnsi="宋体"/>
                <w:color w:val="auto"/>
                <w:w w:val="100"/>
                <w:sz w:val="21"/>
                <w:szCs w:val="21"/>
                <w:highlight w:val="none"/>
                <w:lang w:eastAsia="zh-CN"/>
              </w:rPr>
              <w:t>投标人提供的</w:t>
            </w:r>
            <w:r>
              <w:rPr>
                <w:rFonts w:hint="eastAsia" w:ascii="宋体" w:hAnsi="宋体"/>
                <w:color w:val="auto"/>
                <w:w w:val="100"/>
                <w:sz w:val="21"/>
                <w:szCs w:val="21"/>
                <w:highlight w:val="none"/>
              </w:rPr>
              <w:t>针对</w:t>
            </w:r>
            <w:r>
              <w:rPr>
                <w:rFonts w:hint="eastAsia" w:ascii="宋体" w:hAnsi="宋体"/>
                <w:color w:val="auto"/>
                <w:w w:val="100"/>
                <w:sz w:val="21"/>
                <w:szCs w:val="21"/>
                <w:highlight w:val="none"/>
                <w:lang w:eastAsia="zh-CN"/>
              </w:rPr>
              <w:t>本项目的安全保卫工作措施、方案等</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7</w:t>
            </w:r>
            <w:r>
              <w:rPr>
                <w:rFonts w:hint="eastAsia" w:ascii="宋体" w:hAnsi="宋体" w:cs="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continue"/>
            <w:noWrap w:val="0"/>
            <w:vAlign w:val="center"/>
          </w:tcPr>
          <w:p>
            <w:pPr>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color w:val="auto"/>
                <w:w w:val="100"/>
                <w:kern w:val="2"/>
                <w:sz w:val="21"/>
                <w:szCs w:val="21"/>
                <w:highlight w:val="none"/>
                <w:lang w:val="en-US" w:eastAsia="zh-CN" w:bidi="ar-SA"/>
              </w:rPr>
            </w:pPr>
            <w:r>
              <w:rPr>
                <w:rFonts w:hint="eastAsia" w:ascii="宋体" w:hAnsi="宋体"/>
                <w:color w:val="auto"/>
                <w:w w:val="100"/>
                <w:sz w:val="21"/>
                <w:szCs w:val="21"/>
                <w:highlight w:val="none"/>
              </w:rPr>
              <w:t>根据</w:t>
            </w:r>
            <w:r>
              <w:rPr>
                <w:rFonts w:hint="eastAsia" w:ascii="宋体" w:hAnsi="宋体"/>
                <w:color w:val="auto"/>
                <w:w w:val="100"/>
                <w:sz w:val="21"/>
                <w:szCs w:val="21"/>
                <w:highlight w:val="none"/>
                <w:lang w:eastAsia="zh-CN"/>
              </w:rPr>
              <w:t>投标人提供的</w:t>
            </w:r>
            <w:r>
              <w:rPr>
                <w:rFonts w:hint="eastAsia" w:ascii="宋体" w:hAnsi="宋体"/>
                <w:color w:val="auto"/>
                <w:w w:val="100"/>
                <w:sz w:val="21"/>
                <w:szCs w:val="21"/>
                <w:highlight w:val="none"/>
              </w:rPr>
              <w:t>针对</w:t>
            </w:r>
            <w:r>
              <w:rPr>
                <w:rFonts w:hint="eastAsia" w:ascii="宋体" w:hAnsi="宋体"/>
                <w:color w:val="auto"/>
                <w:w w:val="100"/>
                <w:sz w:val="21"/>
                <w:szCs w:val="21"/>
                <w:highlight w:val="none"/>
                <w:lang w:eastAsia="zh-CN"/>
              </w:rPr>
              <w:t>本项目的消防工作措施、方案等</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7</w:t>
            </w:r>
            <w:r>
              <w:rPr>
                <w:rFonts w:hint="eastAsia" w:ascii="宋体" w:hAnsi="宋体" w:cs="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continue"/>
            <w:noWrap w:val="0"/>
            <w:vAlign w:val="center"/>
          </w:tcPr>
          <w:p>
            <w:pPr>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color w:val="auto"/>
                <w:w w:val="100"/>
                <w:kern w:val="2"/>
                <w:sz w:val="21"/>
                <w:szCs w:val="21"/>
                <w:highlight w:val="none"/>
                <w:lang w:val="en-US" w:eastAsia="zh-CN" w:bidi="ar-SA"/>
              </w:rPr>
            </w:pPr>
            <w:r>
              <w:rPr>
                <w:rFonts w:hint="eastAsia" w:ascii="宋体" w:hAnsi="宋体"/>
                <w:color w:val="auto"/>
                <w:w w:val="100"/>
                <w:sz w:val="21"/>
                <w:szCs w:val="21"/>
                <w:highlight w:val="none"/>
              </w:rPr>
              <w:t>针对各类突发事件的处置所制定的预案是否完善、周密、可行</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7</w:t>
            </w:r>
            <w:r>
              <w:rPr>
                <w:rFonts w:hint="eastAsia" w:ascii="宋体" w:hAnsi="宋体" w:cs="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color w:val="auto"/>
                <w:w w:val="100"/>
                <w:sz w:val="21"/>
                <w:szCs w:val="21"/>
                <w:highlight w:val="none"/>
              </w:rPr>
            </w:pPr>
            <w:r>
              <w:rPr>
                <w:rFonts w:hint="eastAsia" w:ascii="宋体" w:hAnsi="宋体"/>
                <w:color w:val="auto"/>
                <w:w w:val="100"/>
                <w:sz w:val="21"/>
                <w:szCs w:val="21"/>
                <w:highlight w:val="none"/>
              </w:rPr>
              <w:t>人员配备及管理</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color w:val="auto"/>
                <w:w w:val="100"/>
                <w:kern w:val="2"/>
                <w:sz w:val="21"/>
                <w:szCs w:val="21"/>
                <w:highlight w:val="none"/>
                <w:lang w:val="en-US" w:eastAsia="zh-CN" w:bidi="ar-SA"/>
              </w:rPr>
            </w:pPr>
            <w:r>
              <w:rPr>
                <w:rFonts w:hint="eastAsia" w:ascii="宋体" w:hAnsi="宋体"/>
                <w:color w:val="auto"/>
                <w:w w:val="100"/>
                <w:sz w:val="21"/>
                <w:szCs w:val="21"/>
                <w:highlight w:val="none"/>
              </w:rPr>
              <w:t>（</w:t>
            </w:r>
            <w:r>
              <w:rPr>
                <w:rFonts w:hint="eastAsia" w:ascii="宋体" w:hAnsi="宋体"/>
                <w:color w:val="auto"/>
                <w:w w:val="100"/>
                <w:sz w:val="21"/>
                <w:szCs w:val="21"/>
                <w:highlight w:val="none"/>
                <w:lang w:val="en-US" w:eastAsia="zh-CN"/>
              </w:rPr>
              <w:t>18</w:t>
            </w:r>
            <w:r>
              <w:rPr>
                <w:rFonts w:hint="eastAsia" w:ascii="宋体" w:hAnsi="宋体"/>
                <w:color w:val="auto"/>
                <w:w w:val="100"/>
                <w:sz w:val="21"/>
                <w:szCs w:val="21"/>
                <w:highlight w:val="none"/>
              </w:rPr>
              <w:t>分）</w:t>
            </w:r>
          </w:p>
          <w:p>
            <w:pPr>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7187" w:type="dxa"/>
            <w:noWrap w:val="0"/>
            <w:vAlign w:val="center"/>
          </w:tcPr>
          <w:p>
            <w:pPr>
              <w:keepLines w:val="0"/>
              <w:pageBreakBefore w:val="0"/>
              <w:kinsoku/>
              <w:wordWrap/>
              <w:overflowPunct/>
              <w:topLinePunct w:val="0"/>
              <w:bidi w:val="0"/>
              <w:adjustRightInd w:val="0"/>
              <w:snapToGrid w:val="0"/>
              <w:spacing w:line="40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拟派本</w:t>
            </w:r>
            <w:r>
              <w:rPr>
                <w:rFonts w:hint="eastAsia" w:ascii="宋体" w:hAnsi="宋体"/>
                <w:b w:val="0"/>
                <w:bCs w:val="0"/>
                <w:color w:val="auto"/>
                <w:szCs w:val="21"/>
                <w:highlight w:val="none"/>
              </w:rPr>
              <w:t>项目负责人：</w:t>
            </w:r>
          </w:p>
          <w:p>
            <w:pPr>
              <w:keepLines w:val="0"/>
              <w:pageBreakBefore w:val="0"/>
              <w:kinsoku/>
              <w:wordWrap/>
              <w:overflowPunct/>
              <w:topLinePunct w:val="0"/>
              <w:bidi w:val="0"/>
              <w:adjustRightInd w:val="0"/>
              <w:snapToGrid w:val="0"/>
              <w:spacing w:line="400" w:lineRule="exac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①</w:t>
            </w:r>
            <w:r>
              <w:rPr>
                <w:rFonts w:hint="eastAsia" w:ascii="宋体" w:hAnsi="宋体"/>
                <w:b w:val="0"/>
                <w:bCs w:val="0"/>
                <w:color w:val="auto"/>
                <w:szCs w:val="21"/>
                <w:highlight w:val="none"/>
              </w:rPr>
              <w:t>具有</w:t>
            </w:r>
            <w:r>
              <w:rPr>
                <w:rFonts w:hint="eastAsia" w:ascii="宋体" w:hAnsi="宋体"/>
                <w:b w:val="0"/>
                <w:bCs w:val="0"/>
                <w:color w:val="auto"/>
                <w:szCs w:val="21"/>
                <w:highlight w:val="none"/>
                <w:lang w:val="en-US" w:eastAsia="zh-CN"/>
              </w:rPr>
              <w:t>二级及以上保安员证的得1分；</w:t>
            </w:r>
          </w:p>
          <w:p>
            <w:pPr>
              <w:keepLines w:val="0"/>
              <w:pageBreakBefore w:val="0"/>
              <w:kinsoku/>
              <w:wordWrap/>
              <w:overflowPunct/>
              <w:topLinePunct w:val="0"/>
              <w:bidi w:val="0"/>
              <w:adjustRightInd w:val="0"/>
              <w:snapToGrid w:val="0"/>
              <w:spacing w:line="40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②</w:t>
            </w:r>
            <w:r>
              <w:rPr>
                <w:rFonts w:hint="eastAsia" w:ascii="宋体" w:hAnsi="宋体"/>
                <w:b w:val="0"/>
                <w:bCs w:val="0"/>
                <w:color w:val="auto"/>
                <w:szCs w:val="21"/>
                <w:highlight w:val="none"/>
              </w:rPr>
              <w:t>具有物业经理上岗证的得</w:t>
            </w:r>
            <w:r>
              <w:rPr>
                <w:rFonts w:hint="eastAsia" w:ascii="宋体" w:hAnsi="宋体"/>
                <w:b w:val="0"/>
                <w:bCs w:val="0"/>
                <w:color w:val="auto"/>
                <w:szCs w:val="21"/>
                <w:highlight w:val="none"/>
                <w:lang w:val="en-US" w:eastAsia="zh-CN"/>
              </w:rPr>
              <w:t>1</w:t>
            </w:r>
            <w:r>
              <w:rPr>
                <w:rFonts w:hint="eastAsia" w:ascii="宋体" w:hAnsi="宋体"/>
                <w:b w:val="0"/>
                <w:bCs w:val="0"/>
                <w:color w:val="auto"/>
                <w:szCs w:val="21"/>
                <w:highlight w:val="none"/>
              </w:rPr>
              <w:t>分；</w:t>
            </w:r>
          </w:p>
          <w:p>
            <w:pPr>
              <w:keepLines w:val="0"/>
              <w:pageBreakBefore w:val="0"/>
              <w:kinsoku/>
              <w:wordWrap/>
              <w:overflowPunct/>
              <w:topLinePunct w:val="0"/>
              <w:bidi w:val="0"/>
              <w:adjustRightInd w:val="0"/>
              <w:snapToGrid w:val="0"/>
              <w:spacing w:line="400" w:lineRule="exact"/>
              <w:rPr>
                <w:rFonts w:hint="eastAsia" w:ascii="宋体" w:hAnsi="宋体"/>
                <w:b w:val="0"/>
                <w:bCs w:val="0"/>
                <w:color w:val="auto"/>
                <w:szCs w:val="21"/>
                <w:highlight w:val="none"/>
              </w:rPr>
            </w:pPr>
            <w:r>
              <w:rPr>
                <w:rFonts w:hint="eastAsia" w:ascii="宋体" w:hAnsi="宋体"/>
                <w:b w:val="0"/>
                <w:bCs w:val="0"/>
                <w:color w:val="auto"/>
                <w:kern w:val="0"/>
                <w:szCs w:val="21"/>
                <w:highlight w:val="none"/>
                <w:lang w:val="en-US" w:eastAsia="zh-CN"/>
              </w:rPr>
              <w:t>③</w:t>
            </w:r>
            <w:r>
              <w:rPr>
                <w:rFonts w:hint="eastAsia" w:ascii="宋体" w:hAnsi="宋体"/>
                <w:b w:val="0"/>
                <w:bCs w:val="0"/>
                <w:color w:val="auto"/>
                <w:szCs w:val="21"/>
                <w:highlight w:val="none"/>
              </w:rPr>
              <w:t>具有</w:t>
            </w:r>
            <w:r>
              <w:rPr>
                <w:rFonts w:hint="eastAsia" w:ascii="宋体" w:hAnsi="宋体"/>
                <w:b w:val="0"/>
                <w:bCs w:val="0"/>
                <w:color w:val="auto"/>
                <w:szCs w:val="21"/>
                <w:highlight w:val="none"/>
                <w:lang w:eastAsia="zh-CN"/>
              </w:rPr>
              <w:t>在三级医院担任过项目负责人或保安队长，且相关工作满三年及以上的得</w:t>
            </w:r>
            <w:r>
              <w:rPr>
                <w:rFonts w:hint="eastAsia" w:ascii="宋体" w:hAnsi="宋体"/>
                <w:b w:val="0"/>
                <w:bCs w:val="0"/>
                <w:color w:val="auto"/>
                <w:szCs w:val="21"/>
                <w:highlight w:val="none"/>
                <w:lang w:val="en-US" w:eastAsia="zh-CN"/>
              </w:rPr>
              <w:t>3</w:t>
            </w:r>
            <w:r>
              <w:rPr>
                <w:rFonts w:hint="eastAsia" w:ascii="宋体" w:hAnsi="宋体"/>
                <w:b w:val="0"/>
                <w:bCs w:val="0"/>
                <w:color w:val="auto"/>
                <w:szCs w:val="21"/>
                <w:highlight w:val="none"/>
                <w:lang w:eastAsia="zh-CN"/>
              </w:rPr>
              <w:t>分</w:t>
            </w:r>
            <w:r>
              <w:rPr>
                <w:rFonts w:hint="eastAsia" w:ascii="宋体" w:hAnsi="宋体"/>
                <w:b w:val="0"/>
                <w:bCs w:val="0"/>
                <w:color w:val="auto"/>
                <w:szCs w:val="21"/>
                <w:highlight w:val="none"/>
              </w:rPr>
              <w:t>。</w:t>
            </w:r>
          </w:p>
          <w:p>
            <w:pPr>
              <w:keepLines w:val="0"/>
              <w:pageBreakBefore w:val="0"/>
              <w:kinsoku/>
              <w:wordWrap/>
              <w:overflowPunct/>
              <w:topLinePunct w:val="0"/>
              <w:bidi w:val="0"/>
              <w:adjustRightInd w:val="0"/>
              <w:snapToGrid w:val="0"/>
              <w:spacing w:line="400" w:lineRule="exact"/>
              <w:rPr>
                <w:rFonts w:hint="eastAsia" w:ascii="宋体" w:eastAsia="宋体"/>
                <w:color w:val="auto"/>
                <w:w w:val="100"/>
                <w:kern w:val="2"/>
                <w:sz w:val="21"/>
                <w:szCs w:val="21"/>
                <w:highlight w:val="none"/>
                <w:lang w:val="en-US" w:eastAsia="zh-CN" w:bidi="ar-SA"/>
              </w:rPr>
            </w:pPr>
            <w:r>
              <w:rPr>
                <w:rFonts w:hint="eastAsia" w:ascii="宋体" w:hAnsi="宋体"/>
                <w:b w:val="0"/>
                <w:bCs w:val="0"/>
                <w:color w:val="auto"/>
                <w:szCs w:val="21"/>
                <w:highlight w:val="none"/>
                <w:lang w:eastAsia="zh-CN"/>
              </w:rPr>
              <w:t>注：</w:t>
            </w:r>
            <w:r>
              <w:rPr>
                <w:rFonts w:hint="eastAsia" w:ascii="宋体" w:hAnsi="宋体"/>
                <w:b w:val="0"/>
                <w:bCs w:val="0"/>
                <w:color w:val="auto"/>
                <w:szCs w:val="21"/>
                <w:highlight w:val="none"/>
              </w:rPr>
              <w:t>投</w:t>
            </w:r>
            <w:r>
              <w:rPr>
                <w:rFonts w:hint="eastAsia" w:ascii="宋体" w:hAnsi="宋体"/>
                <w:b w:val="0"/>
                <w:bCs w:val="0"/>
                <w:color w:val="auto"/>
                <w:kern w:val="0"/>
                <w:szCs w:val="21"/>
                <w:highlight w:val="none"/>
              </w:rPr>
              <w:t>标文件中提供项目负责人身份证、</w:t>
            </w:r>
            <w:r>
              <w:rPr>
                <w:rFonts w:hint="eastAsia" w:ascii="宋体" w:hAnsi="宋体"/>
                <w:b w:val="0"/>
                <w:bCs w:val="0"/>
                <w:color w:val="auto"/>
                <w:kern w:val="0"/>
                <w:szCs w:val="21"/>
                <w:highlight w:val="none"/>
                <w:lang w:eastAsia="zh-CN"/>
              </w:rPr>
              <w:t>资格证书、业绩</w:t>
            </w:r>
            <w:r>
              <w:rPr>
                <w:rFonts w:hint="eastAsia" w:ascii="宋体" w:hAnsi="宋体"/>
                <w:b w:val="0"/>
                <w:bCs w:val="0"/>
                <w:color w:val="auto"/>
                <w:kern w:val="0"/>
                <w:szCs w:val="21"/>
                <w:highlight w:val="none"/>
              </w:rPr>
              <w:t>合同及投标人为其缴纳的</w:t>
            </w:r>
            <w:r>
              <w:rPr>
                <w:rFonts w:hint="eastAsia" w:ascii="宋体" w:hAnsi="宋体" w:eastAsia="宋体" w:cs="宋体"/>
                <w:color w:val="auto"/>
                <w:spacing w:val="0"/>
                <w:w w:val="100"/>
                <w:sz w:val="21"/>
                <w:szCs w:val="21"/>
                <w:highlight w:val="none"/>
              </w:rPr>
              <w:t>近开标日三个月内</w:t>
            </w:r>
            <w:r>
              <w:rPr>
                <w:rFonts w:hint="eastAsia" w:ascii="宋体" w:hAnsi="宋体" w:eastAsia="宋体" w:cs="宋体"/>
                <w:color w:val="auto"/>
                <w:spacing w:val="0"/>
                <w:w w:val="100"/>
                <w:sz w:val="21"/>
                <w:szCs w:val="21"/>
                <w:highlight w:val="none"/>
                <w:lang w:eastAsia="zh-CN"/>
              </w:rPr>
              <w:t>的</w:t>
            </w:r>
            <w:r>
              <w:rPr>
                <w:rFonts w:hint="eastAsia" w:ascii="宋体" w:hAnsi="宋体"/>
                <w:b w:val="0"/>
                <w:bCs w:val="0"/>
                <w:color w:val="auto"/>
                <w:kern w:val="0"/>
                <w:szCs w:val="21"/>
                <w:highlight w:val="none"/>
              </w:rPr>
              <w:t>社保证明复印件加盖</w:t>
            </w:r>
            <w:r>
              <w:rPr>
                <w:rFonts w:hint="eastAsia" w:ascii="宋体" w:hAnsi="宋体"/>
                <w:b w:val="0"/>
                <w:bCs w:val="0"/>
                <w:color w:val="auto"/>
                <w:kern w:val="0"/>
                <w:szCs w:val="21"/>
                <w:highlight w:val="none"/>
                <w:lang w:eastAsia="zh-CN"/>
              </w:rPr>
              <w:t>单位</w:t>
            </w:r>
            <w:r>
              <w:rPr>
                <w:rFonts w:hint="eastAsia" w:ascii="宋体" w:hAnsi="宋体"/>
                <w:b w:val="0"/>
                <w:bCs w:val="0"/>
                <w:color w:val="auto"/>
                <w:kern w:val="0"/>
                <w:szCs w:val="21"/>
                <w:highlight w:val="none"/>
              </w:rPr>
              <w:t>公章</w:t>
            </w:r>
            <w:r>
              <w:rPr>
                <w:rFonts w:hint="eastAsia" w:ascii="宋体" w:hAnsi="宋体"/>
                <w:b w:val="0"/>
                <w:bCs w:val="0"/>
                <w:color w:val="auto"/>
                <w:kern w:val="0"/>
                <w:szCs w:val="21"/>
                <w:highlight w:val="none"/>
                <w:lang w:eastAsia="zh-CN"/>
              </w:rPr>
              <w:t>；</w:t>
            </w:r>
            <w:r>
              <w:rPr>
                <w:rFonts w:hint="eastAsia" w:ascii="宋体" w:hAnsi="宋体"/>
                <w:b w:val="0"/>
                <w:bCs w:val="0"/>
                <w:color w:val="auto"/>
                <w:kern w:val="0"/>
                <w:szCs w:val="21"/>
                <w:highlight w:val="none"/>
              </w:rPr>
              <w:t>如合同中不能体现其为该合同项目负责人</w:t>
            </w:r>
            <w:r>
              <w:rPr>
                <w:rFonts w:hint="eastAsia" w:ascii="宋体" w:hAnsi="宋体"/>
                <w:b w:val="0"/>
                <w:bCs w:val="0"/>
                <w:color w:val="auto"/>
                <w:kern w:val="0"/>
                <w:szCs w:val="21"/>
                <w:highlight w:val="none"/>
                <w:lang w:eastAsia="zh-CN"/>
              </w:rPr>
              <w:t>（保安队长）</w:t>
            </w:r>
            <w:r>
              <w:rPr>
                <w:rFonts w:hint="eastAsia" w:ascii="宋体" w:hAnsi="宋体"/>
                <w:b w:val="0"/>
                <w:bCs w:val="0"/>
                <w:color w:val="auto"/>
                <w:kern w:val="0"/>
                <w:szCs w:val="21"/>
                <w:highlight w:val="none"/>
              </w:rPr>
              <w:t>或</w:t>
            </w:r>
            <w:r>
              <w:rPr>
                <w:rFonts w:hint="eastAsia" w:ascii="宋体" w:hAnsi="宋体"/>
                <w:b w:val="0"/>
                <w:bCs w:val="0"/>
                <w:color w:val="auto"/>
                <w:kern w:val="0"/>
                <w:szCs w:val="21"/>
                <w:highlight w:val="none"/>
                <w:lang w:eastAsia="zh-CN"/>
              </w:rPr>
              <w:t>其工作年限的</w:t>
            </w:r>
            <w:r>
              <w:rPr>
                <w:rFonts w:hint="eastAsia" w:ascii="宋体" w:hAnsi="宋体"/>
                <w:b w:val="0"/>
                <w:bCs w:val="0"/>
                <w:color w:val="auto"/>
                <w:kern w:val="0"/>
                <w:szCs w:val="21"/>
                <w:highlight w:val="none"/>
              </w:rPr>
              <w:t>，还须在投标文件中提供</w:t>
            </w:r>
            <w:r>
              <w:rPr>
                <w:rFonts w:hint="eastAsia" w:ascii="宋体" w:hAnsi="宋体"/>
                <w:b w:val="0"/>
                <w:bCs w:val="0"/>
                <w:color w:val="auto"/>
                <w:kern w:val="0"/>
                <w:szCs w:val="21"/>
                <w:highlight w:val="none"/>
                <w:lang w:eastAsia="zh-CN"/>
              </w:rPr>
              <w:t>业主方出具的</w:t>
            </w:r>
            <w:r>
              <w:rPr>
                <w:rFonts w:hint="eastAsia" w:ascii="宋体" w:hAnsi="宋体"/>
                <w:b w:val="0"/>
                <w:bCs w:val="0"/>
                <w:color w:val="auto"/>
                <w:kern w:val="0"/>
                <w:szCs w:val="21"/>
                <w:highlight w:val="none"/>
              </w:rPr>
              <w:t>证明</w:t>
            </w:r>
            <w:r>
              <w:rPr>
                <w:rFonts w:hint="eastAsia" w:ascii="宋体" w:hAnsi="宋体"/>
                <w:b w:val="0"/>
                <w:bCs w:val="0"/>
                <w:color w:val="auto"/>
                <w:kern w:val="0"/>
                <w:szCs w:val="21"/>
                <w:highlight w:val="none"/>
                <w:lang w:val="en-US" w:eastAsia="zh-CN"/>
              </w:rPr>
              <w:t>材料复印件加盖单位公章</w:t>
            </w:r>
            <w:r>
              <w:rPr>
                <w:rFonts w:hint="eastAsia" w:ascii="宋体" w:hAnsi="宋体"/>
                <w:b w:val="0"/>
                <w:bCs w:val="0"/>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continue"/>
            <w:noWrap w:val="0"/>
            <w:vAlign w:val="center"/>
          </w:tcPr>
          <w:p>
            <w:pPr>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7187" w:type="dxa"/>
            <w:noWrap w:val="0"/>
            <w:vAlign w:val="center"/>
          </w:tcPr>
          <w:p>
            <w:pPr>
              <w:pStyle w:val="4"/>
              <w:keepNext w:val="0"/>
              <w:keepLines w:val="0"/>
              <w:pageBreakBefore w:val="0"/>
              <w:kinsoku/>
              <w:wordWrap/>
              <w:overflowPunct/>
              <w:topLinePunct w:val="0"/>
              <w:bidi w:val="0"/>
              <w:adjustRightInd w:val="0"/>
              <w:snapToGrid w:val="0"/>
              <w:spacing w:before="0" w:beforeAutospacing="0" w:after="0" w:afterAutospacing="0" w:line="400" w:lineRule="exact"/>
              <w:ind w:left="0" w:leftChars="0" w:firstLine="0" w:firstLineChars="0"/>
              <w:textAlignment w:val="auto"/>
              <w:rPr>
                <w:rFonts w:hint="eastAsia" w:ascii="宋体" w:hAnsi="宋体" w:eastAsia="宋体" w:cs="宋体"/>
                <w:color w:val="auto"/>
                <w:w w:val="100"/>
                <w:sz w:val="21"/>
                <w:szCs w:val="21"/>
                <w:highlight w:val="none"/>
                <w:lang w:eastAsia="zh-CN"/>
              </w:rPr>
            </w:pPr>
            <w:r>
              <w:rPr>
                <w:rFonts w:hint="eastAsia" w:ascii="宋体" w:hAnsi="宋体" w:eastAsia="宋体" w:cs="宋体"/>
                <w:color w:val="auto"/>
                <w:lang w:eastAsia="zh-CN"/>
              </w:rPr>
              <w:t>拟投入本项目其他人员（除项目负责人）</w:t>
            </w:r>
            <w:r>
              <w:rPr>
                <w:rFonts w:hint="eastAsia" w:ascii="宋体" w:hAnsi="宋体" w:eastAsia="宋体" w:cs="宋体"/>
                <w:color w:val="auto"/>
                <w:w w:val="100"/>
                <w:sz w:val="21"/>
                <w:szCs w:val="21"/>
                <w:highlight w:val="none"/>
                <w:lang w:eastAsia="zh-CN"/>
              </w:rPr>
              <w:t>具有</w:t>
            </w:r>
            <w:r>
              <w:rPr>
                <w:rFonts w:hint="eastAsia" w:ascii="宋体" w:hAnsi="宋体" w:eastAsia="宋体" w:cs="宋体"/>
                <w:color w:val="auto"/>
                <w:w w:val="100"/>
                <w:sz w:val="21"/>
                <w:szCs w:val="21"/>
                <w:highlight w:val="none"/>
              </w:rPr>
              <w:t>全国《建（构）筑消防员》资格证书的，每人得</w:t>
            </w:r>
            <w:r>
              <w:rPr>
                <w:rFonts w:hint="eastAsia" w:ascii="宋体" w:hAnsi="宋体" w:eastAsia="宋体" w:cs="宋体"/>
                <w:color w:val="auto"/>
                <w:w w:val="100"/>
                <w:sz w:val="21"/>
                <w:szCs w:val="21"/>
                <w:highlight w:val="none"/>
                <w:lang w:val="en-US" w:eastAsia="zh-CN"/>
              </w:rPr>
              <w:t>0.5</w:t>
            </w:r>
            <w:r>
              <w:rPr>
                <w:rFonts w:hint="eastAsia" w:ascii="宋体" w:hAnsi="宋体" w:eastAsia="宋体" w:cs="宋体"/>
                <w:color w:val="auto"/>
                <w:w w:val="100"/>
                <w:sz w:val="21"/>
                <w:szCs w:val="21"/>
                <w:highlight w:val="none"/>
              </w:rPr>
              <w:t>分，最高</w:t>
            </w:r>
            <w:r>
              <w:rPr>
                <w:rFonts w:hint="eastAsia" w:ascii="宋体" w:hAnsi="宋体" w:eastAsia="宋体" w:cs="宋体"/>
                <w:color w:val="auto"/>
                <w:w w:val="100"/>
                <w:sz w:val="21"/>
                <w:szCs w:val="21"/>
                <w:highlight w:val="none"/>
                <w:lang w:eastAsia="zh-CN"/>
              </w:rPr>
              <w:t>得</w:t>
            </w:r>
            <w:r>
              <w:rPr>
                <w:rFonts w:hint="eastAsia" w:ascii="宋体" w:hAnsi="宋体" w:eastAsia="宋体" w:cs="宋体"/>
                <w:color w:val="auto"/>
                <w:w w:val="100"/>
                <w:sz w:val="21"/>
                <w:szCs w:val="21"/>
                <w:highlight w:val="none"/>
                <w:lang w:val="en-US" w:eastAsia="zh-CN"/>
              </w:rPr>
              <w:t>3</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p>
          <w:p>
            <w:pPr>
              <w:keepLines w:val="0"/>
              <w:pageBreakBefore w:val="0"/>
              <w:kinsoku/>
              <w:wordWrap/>
              <w:overflowPunct/>
              <w:topLinePunct w:val="0"/>
              <w:bidi w:val="0"/>
              <w:adjustRightInd w:val="0"/>
              <w:snapToGrid w:val="0"/>
              <w:spacing w:line="400" w:lineRule="exact"/>
              <w:rPr>
                <w:rFonts w:hint="eastAsia" w:ascii="宋体" w:hAnsi="宋体"/>
                <w:b w:val="0"/>
                <w:bCs w:val="0"/>
                <w:color w:val="auto"/>
                <w:szCs w:val="21"/>
                <w:highlight w:val="none"/>
                <w:lang w:eastAsia="zh-CN"/>
              </w:rPr>
            </w:pPr>
            <w:r>
              <w:rPr>
                <w:rFonts w:hint="eastAsia" w:ascii="宋体" w:hAnsi="宋体" w:eastAsia="宋体" w:cs="宋体"/>
                <w:color w:val="auto"/>
                <w:spacing w:val="0"/>
                <w:w w:val="100"/>
                <w:sz w:val="21"/>
                <w:szCs w:val="21"/>
                <w:highlight w:val="none"/>
                <w:lang w:val="en-US" w:eastAsia="zh-CN"/>
              </w:rPr>
              <w:t>注：</w:t>
            </w:r>
            <w:r>
              <w:rPr>
                <w:rFonts w:hint="eastAsia" w:ascii="宋体" w:hAnsi="宋体"/>
                <w:b w:val="0"/>
                <w:bCs w:val="0"/>
                <w:color w:val="auto"/>
                <w:szCs w:val="21"/>
                <w:highlight w:val="none"/>
              </w:rPr>
              <w:t>投</w:t>
            </w:r>
            <w:r>
              <w:rPr>
                <w:rFonts w:hint="eastAsia" w:ascii="宋体" w:hAnsi="宋体"/>
                <w:b w:val="0"/>
                <w:bCs w:val="0"/>
                <w:color w:val="auto"/>
                <w:kern w:val="0"/>
                <w:szCs w:val="21"/>
                <w:highlight w:val="none"/>
              </w:rPr>
              <w:t>标文件中</w:t>
            </w:r>
            <w:r>
              <w:rPr>
                <w:rFonts w:hint="eastAsia" w:ascii="宋体" w:hAnsi="宋体" w:eastAsia="宋体" w:cs="宋体"/>
                <w:color w:val="auto"/>
                <w:spacing w:val="0"/>
                <w:w w:val="100"/>
                <w:sz w:val="21"/>
                <w:szCs w:val="21"/>
                <w:highlight w:val="none"/>
              </w:rPr>
              <w:t>提供</w:t>
            </w:r>
            <w:r>
              <w:rPr>
                <w:rFonts w:hint="eastAsia" w:ascii="宋体" w:hAnsi="宋体" w:eastAsia="宋体" w:cs="宋体"/>
                <w:color w:val="auto"/>
                <w:w w:val="100"/>
                <w:sz w:val="21"/>
                <w:szCs w:val="21"/>
                <w:highlight w:val="none"/>
              </w:rPr>
              <w:t>资格证书</w:t>
            </w:r>
            <w:r>
              <w:rPr>
                <w:rFonts w:hint="eastAsia" w:ascii="宋体" w:hAnsi="宋体" w:eastAsia="宋体" w:cs="宋体"/>
                <w:color w:val="auto"/>
                <w:spacing w:val="0"/>
                <w:w w:val="100"/>
                <w:sz w:val="21"/>
                <w:szCs w:val="21"/>
                <w:highlight w:val="none"/>
              </w:rPr>
              <w:t>复印件</w:t>
            </w:r>
            <w:r>
              <w:rPr>
                <w:rFonts w:hint="eastAsia" w:ascii="宋体" w:hAnsi="宋体" w:eastAsia="宋体" w:cs="宋体"/>
                <w:color w:val="auto"/>
                <w:spacing w:val="0"/>
                <w:w w:val="100"/>
                <w:sz w:val="21"/>
                <w:szCs w:val="21"/>
                <w:highlight w:val="none"/>
                <w:lang w:eastAsia="zh-CN"/>
              </w:rPr>
              <w:t>及</w:t>
            </w:r>
            <w:r>
              <w:rPr>
                <w:rFonts w:hint="eastAsia" w:ascii="宋体" w:hAnsi="宋体" w:eastAsia="宋体" w:cs="宋体"/>
                <w:color w:val="auto"/>
                <w:spacing w:val="0"/>
                <w:w w:val="100"/>
                <w:sz w:val="21"/>
                <w:szCs w:val="21"/>
                <w:highlight w:val="none"/>
              </w:rPr>
              <w:t>近开标日三个月内的有效社保证明复印件加盖单位公章</w:t>
            </w:r>
            <w:r>
              <w:rPr>
                <w:rFonts w:hint="eastAsia" w:ascii="宋体" w:hAnsi="宋体" w:eastAsia="宋体"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continue"/>
            <w:noWrap w:val="0"/>
            <w:vAlign w:val="center"/>
          </w:tcPr>
          <w:p>
            <w:pPr>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7187"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textAlignment w:val="auto"/>
              <w:rPr>
                <w:rFonts w:hint="eastAsia" w:ascii="宋体" w:hAnsi="宋体" w:eastAsia="宋体"/>
                <w:color w:val="auto"/>
                <w:w w:val="100"/>
                <w:kern w:val="2"/>
                <w:sz w:val="21"/>
                <w:szCs w:val="21"/>
                <w:highlight w:val="none"/>
                <w:lang w:val="en-US" w:eastAsia="zh-CN" w:bidi="ar-SA"/>
              </w:rPr>
            </w:pPr>
            <w:r>
              <w:rPr>
                <w:rFonts w:hint="eastAsia" w:ascii="宋体" w:hAnsi="宋体"/>
                <w:color w:val="auto"/>
                <w:w w:val="100"/>
                <w:sz w:val="21"/>
                <w:szCs w:val="21"/>
                <w:highlight w:val="none"/>
              </w:rPr>
              <w:t>根据投标人提供的拟投入本项目人员配备情况进行评议（0-</w:t>
            </w:r>
            <w:r>
              <w:rPr>
                <w:rFonts w:hint="eastAsia" w:ascii="宋体" w:hAnsi="宋体"/>
                <w:color w:val="auto"/>
                <w:w w:val="100"/>
                <w:sz w:val="21"/>
                <w:szCs w:val="21"/>
                <w:highlight w:val="none"/>
                <w:lang w:val="en-US" w:eastAsia="zh-CN"/>
              </w:rPr>
              <w:t>5</w:t>
            </w:r>
            <w:r>
              <w:rPr>
                <w:rFonts w:hint="eastAsia" w:ascii="宋体" w:hAnsi="宋体"/>
                <w:color w:val="auto"/>
                <w:w w:val="100"/>
                <w:sz w:val="21"/>
                <w:szCs w:val="21"/>
                <w:highlight w:val="none"/>
              </w:rPr>
              <w:t>分），包括人员岗位设置、技能水平、数量、班次编排和其中现有正式员工占比人数、人员到岗时间承诺等。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continue"/>
            <w:noWrap w:val="0"/>
            <w:vAlign w:val="center"/>
          </w:tcPr>
          <w:p>
            <w:pPr>
              <w:keepLines w:val="0"/>
              <w:pageBreakBefore w:val="0"/>
              <w:tabs>
                <w:tab w:val="left" w:pos="0"/>
              </w:tabs>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color w:val="auto"/>
                <w:w w:val="100"/>
                <w:kern w:val="2"/>
                <w:sz w:val="21"/>
                <w:szCs w:val="21"/>
                <w:highlight w:val="none"/>
                <w:lang w:val="en-US" w:eastAsia="zh-CN" w:bidi="ar-SA"/>
              </w:rPr>
            </w:pPr>
            <w:r>
              <w:rPr>
                <w:rFonts w:hint="eastAsia" w:ascii="宋体" w:hAnsi="宋体"/>
                <w:color w:val="auto"/>
                <w:w w:val="100"/>
                <w:sz w:val="21"/>
                <w:szCs w:val="21"/>
                <w:highlight w:val="none"/>
              </w:rPr>
              <w:t>根据投标人</w:t>
            </w:r>
            <w:r>
              <w:rPr>
                <w:rFonts w:hint="eastAsia" w:ascii="宋体" w:hAnsi="宋体"/>
                <w:color w:val="auto"/>
                <w:w w:val="100"/>
                <w:sz w:val="21"/>
                <w:szCs w:val="21"/>
                <w:highlight w:val="none"/>
                <w:lang w:eastAsia="zh-CN"/>
              </w:rPr>
              <w:t>提供的</w:t>
            </w:r>
            <w:r>
              <w:rPr>
                <w:rFonts w:hint="eastAsia" w:ascii="宋体" w:hAnsi="宋体"/>
                <w:color w:val="auto"/>
                <w:w w:val="100"/>
                <w:sz w:val="21"/>
                <w:szCs w:val="21"/>
                <w:highlight w:val="none"/>
              </w:rPr>
              <w:t>人员管理方案，人员考核方案，合同执行期间的人员数量保障方案，人员安全保障措施，岗位技能培训方案</w:t>
            </w:r>
            <w:r>
              <w:rPr>
                <w:rFonts w:hint="eastAsia" w:ascii="宋体" w:hAnsi="宋体"/>
                <w:color w:val="auto"/>
                <w:w w:val="100"/>
                <w:sz w:val="21"/>
                <w:szCs w:val="21"/>
                <w:highlight w:val="none"/>
                <w:lang w:eastAsia="zh-CN"/>
              </w:rPr>
              <w:t>、</w:t>
            </w:r>
            <w:r>
              <w:rPr>
                <w:rFonts w:hint="eastAsia" w:ascii="宋体" w:hAnsi="宋体"/>
                <w:color w:val="auto"/>
                <w:w w:val="100"/>
                <w:sz w:val="21"/>
                <w:szCs w:val="21"/>
                <w:highlight w:val="none"/>
                <w:shd w:val="clear" w:color="auto" w:fill="auto"/>
                <w:lang w:eastAsia="zh-CN"/>
              </w:rPr>
              <w:t>特勤人员的使用方案</w:t>
            </w:r>
            <w:r>
              <w:rPr>
                <w:rFonts w:hint="eastAsia" w:ascii="宋体" w:hAnsi="宋体"/>
                <w:color w:val="auto"/>
                <w:w w:val="100"/>
                <w:sz w:val="21"/>
                <w:szCs w:val="21"/>
                <w:highlight w:val="none"/>
              </w:rPr>
              <w:t>等</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olor w:val="auto"/>
                <w:w w:val="100"/>
                <w:sz w:val="21"/>
                <w:szCs w:val="21"/>
                <w:highlight w:val="none"/>
              </w:rPr>
            </w:pPr>
            <w:r>
              <w:rPr>
                <w:rFonts w:hint="eastAsia" w:ascii="宋体" w:hAnsi="宋体"/>
                <w:color w:val="auto"/>
                <w:w w:val="100"/>
                <w:sz w:val="21"/>
                <w:szCs w:val="21"/>
                <w:highlight w:val="none"/>
              </w:rPr>
              <w:t>物资配置情况</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color w:val="auto"/>
                <w:w w:val="100"/>
                <w:kern w:val="2"/>
                <w:sz w:val="21"/>
                <w:szCs w:val="21"/>
                <w:highlight w:val="none"/>
                <w:lang w:val="en-US" w:eastAsia="zh-CN" w:bidi="ar-SA"/>
              </w:rPr>
            </w:pPr>
            <w:r>
              <w:rPr>
                <w:rFonts w:hint="eastAsia" w:ascii="宋体" w:hAnsi="宋体"/>
                <w:color w:val="auto"/>
                <w:w w:val="100"/>
                <w:sz w:val="21"/>
                <w:szCs w:val="21"/>
                <w:highlight w:val="none"/>
              </w:rPr>
              <w:t>（</w:t>
            </w:r>
            <w:r>
              <w:rPr>
                <w:rFonts w:hint="eastAsia" w:ascii="宋体" w:hAnsi="宋体"/>
                <w:color w:val="auto"/>
                <w:w w:val="100"/>
                <w:sz w:val="21"/>
                <w:szCs w:val="21"/>
                <w:highlight w:val="none"/>
                <w:lang w:val="en-US" w:eastAsia="zh-CN"/>
              </w:rPr>
              <w:t>6</w:t>
            </w:r>
            <w:r>
              <w:rPr>
                <w:rFonts w:hint="eastAsia" w:ascii="宋体" w:hAnsi="宋体"/>
                <w:color w:val="auto"/>
                <w:w w:val="100"/>
                <w:sz w:val="21"/>
                <w:szCs w:val="21"/>
                <w:highlight w:val="none"/>
              </w:rPr>
              <w:t>分）</w:t>
            </w: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color w:val="auto"/>
                <w:w w:val="100"/>
                <w:kern w:val="2"/>
                <w:sz w:val="21"/>
                <w:szCs w:val="21"/>
                <w:highlight w:val="none"/>
                <w:lang w:val="en-US" w:eastAsia="zh-CN" w:bidi="ar-SA"/>
              </w:rPr>
            </w:pPr>
            <w:r>
              <w:rPr>
                <w:rFonts w:hint="eastAsia" w:ascii="宋体" w:hAnsi="宋体"/>
                <w:snapToGrid w:val="0"/>
                <w:color w:val="auto"/>
                <w:w w:val="100"/>
                <w:kern w:val="0"/>
                <w:sz w:val="21"/>
                <w:szCs w:val="21"/>
                <w:highlight w:val="none"/>
              </w:rPr>
              <w:t>根据投标人</w:t>
            </w:r>
            <w:r>
              <w:rPr>
                <w:rFonts w:hint="eastAsia" w:ascii="宋体" w:hAnsi="宋体"/>
                <w:color w:val="auto"/>
                <w:w w:val="100"/>
                <w:sz w:val="21"/>
                <w:szCs w:val="21"/>
                <w:highlight w:val="none"/>
                <w:lang w:eastAsia="zh-CN"/>
              </w:rPr>
              <w:t>提供的针对本项目的安保</w:t>
            </w:r>
            <w:r>
              <w:rPr>
                <w:rFonts w:hint="eastAsia" w:ascii="宋体" w:hAnsi="宋体"/>
                <w:snapToGrid w:val="0"/>
                <w:color w:val="auto"/>
                <w:w w:val="100"/>
                <w:kern w:val="0"/>
                <w:sz w:val="21"/>
                <w:szCs w:val="21"/>
                <w:highlight w:val="none"/>
              </w:rPr>
              <w:t>防护器械、设备设施、耗材、用品等安排情况</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6</w:t>
            </w:r>
            <w:r>
              <w:rPr>
                <w:rFonts w:hint="eastAsia" w:ascii="宋体" w:hAnsi="宋体" w:cs="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服务便捷性</w:t>
            </w:r>
          </w:p>
          <w:p>
            <w:pPr>
              <w:keepNext/>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w:t>
            </w:r>
          </w:p>
        </w:tc>
        <w:tc>
          <w:tcPr>
            <w:tcW w:w="7187" w:type="dxa"/>
            <w:noWrap w:val="0"/>
            <w:vAlign w:val="center"/>
          </w:tcPr>
          <w:p>
            <w:pPr>
              <w:keepNext/>
              <w:keepLines w:val="0"/>
              <w:pageBreakBefore w:val="0"/>
              <w:widowControl w:val="0"/>
              <w:kinsoku/>
              <w:wordWrap/>
              <w:overflowPunct/>
              <w:topLinePunct w:val="0"/>
              <w:autoSpaceDE/>
              <w:autoSpaceDN/>
              <w:bidi w:val="0"/>
              <w:adjustRightInd w:val="0"/>
              <w:snapToGrid w:val="0"/>
              <w:spacing w:line="400" w:lineRule="exact"/>
              <w:contextualSpacing/>
              <w:textAlignment w:val="auto"/>
              <w:rPr>
                <w:rFonts w:hint="eastAsia" w:ascii="宋体" w:hAnsi="宋体" w:cs="宋体"/>
                <w:color w:val="auto"/>
                <w:kern w:val="2"/>
                <w:sz w:val="21"/>
                <w:szCs w:val="21"/>
                <w:highlight w:val="none"/>
                <w:lang w:val="en-US" w:eastAsia="zh-CN" w:bidi="ar-SA"/>
              </w:rPr>
            </w:pPr>
            <w:r>
              <w:rPr>
                <w:rFonts w:hint="eastAsia" w:ascii="宋体" w:hAnsi="宋体"/>
                <w:snapToGrid w:val="0"/>
                <w:color w:val="auto"/>
                <w:w w:val="100"/>
                <w:kern w:val="0"/>
                <w:sz w:val="21"/>
                <w:szCs w:val="21"/>
                <w:highlight w:val="none"/>
              </w:rPr>
              <w:t>根据投标人</w:t>
            </w:r>
            <w:r>
              <w:rPr>
                <w:rFonts w:hint="eastAsia" w:ascii="宋体" w:hAnsi="宋体"/>
                <w:color w:val="auto"/>
                <w:w w:val="100"/>
                <w:sz w:val="21"/>
                <w:szCs w:val="21"/>
                <w:highlight w:val="none"/>
                <w:lang w:eastAsia="zh-CN"/>
              </w:rPr>
              <w:t>提供的</w:t>
            </w:r>
            <w:r>
              <w:rPr>
                <w:rFonts w:hint="eastAsia" w:ascii="宋体" w:hAnsi="宋体" w:cs="宋体"/>
                <w:color w:val="auto"/>
                <w:szCs w:val="21"/>
                <w:highlight w:val="none"/>
              </w:rPr>
              <w:t>包括服务机构设置的合理性、适用性、便捷性以及服务响应时间等</w:t>
            </w:r>
            <w:r>
              <w:rPr>
                <w:rFonts w:hint="eastAsia" w:ascii="宋体" w:hAnsi="宋体" w:cs="宋体"/>
                <w:szCs w:val="21"/>
                <w:highlight w:val="none"/>
                <w:lang w:eastAsia="zh-CN"/>
              </w:rPr>
              <w:t>进行评议，</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noWrap w:val="0"/>
            <w:vAlign w:val="center"/>
          </w:tcPr>
          <w:p>
            <w:pPr>
              <w:keepNext w:val="0"/>
              <w:keepLines w:val="0"/>
              <w:pageBreakBefore w:val="0"/>
              <w:widowControl/>
              <w:kinsoku/>
              <w:wordWrap/>
              <w:overflowPunct/>
              <w:topLinePunct w:val="0"/>
              <w:bidi w:val="0"/>
              <w:adjustRightInd w:val="0"/>
              <w:snapToGrid w:val="0"/>
              <w:spacing w:line="400" w:lineRule="exact"/>
              <w:ind w:right="0" w:rightChars="0"/>
              <w:jc w:val="center"/>
              <w:textAlignment w:val="auto"/>
              <w:rPr>
                <w:rFonts w:hint="eastAsia" w:ascii="宋体" w:hAnsi="宋体" w:eastAsia="宋体" w:cs="宋体"/>
                <w:b w:val="0"/>
                <w:bCs w:val="0"/>
                <w:color w:val="auto"/>
                <w:szCs w:val="21"/>
              </w:rPr>
            </w:pPr>
            <w:r>
              <w:rPr>
                <w:rFonts w:hint="eastAsia" w:ascii="宋体" w:hAnsi="宋体" w:eastAsia="宋体" w:cs="宋体"/>
                <w:b w:val="0"/>
                <w:bCs w:val="0"/>
                <w:color w:val="auto"/>
                <w:szCs w:val="21"/>
              </w:rPr>
              <w:t>合理化建议</w:t>
            </w:r>
          </w:p>
          <w:p>
            <w:pPr>
              <w:keepNext w:val="0"/>
              <w:keepLines w:val="0"/>
              <w:pageBreakBefore w:val="0"/>
              <w:widowControl/>
              <w:kinsoku/>
              <w:wordWrap/>
              <w:overflowPunct/>
              <w:topLinePunct w:val="0"/>
              <w:bidi w:val="0"/>
              <w:adjustRightInd w:val="0"/>
              <w:snapToGrid w:val="0"/>
              <w:spacing w:line="400" w:lineRule="exact"/>
              <w:ind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Cs w:val="21"/>
                <w:lang w:val="en-US" w:eastAsia="zh-CN"/>
              </w:rPr>
              <w:t>（3分）</w:t>
            </w:r>
          </w:p>
        </w:tc>
        <w:tc>
          <w:tcPr>
            <w:tcW w:w="7187" w:type="dxa"/>
            <w:noWrap w:val="0"/>
            <w:vAlign w:val="center"/>
          </w:tcPr>
          <w:p>
            <w:pPr>
              <w:keepNext w:val="0"/>
              <w:keepLines w:val="0"/>
              <w:pageBreakBefore w:val="0"/>
              <w:widowControl/>
              <w:kinsoku/>
              <w:wordWrap/>
              <w:overflowPunct/>
              <w:topLinePunct w:val="0"/>
              <w:bidi w:val="0"/>
              <w:adjustRightInd w:val="0"/>
              <w:snapToGrid w:val="0"/>
              <w:spacing w:line="400" w:lineRule="exact"/>
              <w:ind w:right="0" w:rightChars="0"/>
              <w:jc w:val="left"/>
              <w:textAlignment w:val="auto"/>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rPr>
              <w:t>根据投标人</w:t>
            </w:r>
            <w:r>
              <w:rPr>
                <w:rFonts w:hint="eastAsia" w:ascii="宋体" w:hAnsi="宋体"/>
                <w:color w:val="auto"/>
                <w:w w:val="100"/>
                <w:sz w:val="21"/>
                <w:szCs w:val="21"/>
                <w:highlight w:val="none"/>
                <w:lang w:eastAsia="zh-CN"/>
              </w:rPr>
              <w:t>提供的</w:t>
            </w:r>
            <w:r>
              <w:rPr>
                <w:rFonts w:hint="eastAsia" w:ascii="宋体" w:hAnsi="宋体" w:eastAsia="宋体" w:cs="宋体"/>
                <w:color w:val="auto"/>
                <w:szCs w:val="21"/>
              </w:rPr>
              <w:t>针对本项目的合理化建议进行评议</w:t>
            </w:r>
            <w:r>
              <w:rPr>
                <w:rFonts w:hint="eastAsia" w:ascii="宋体" w:hAnsi="宋体" w:eastAsia="宋体" w:cs="宋体"/>
                <w:snapToGrid w:val="0"/>
                <w:szCs w:val="21"/>
                <w:highlight w:val="none"/>
                <w:lang w:eastAsia="zh-CN"/>
              </w:rPr>
              <w:t>，</w:t>
            </w:r>
            <w:r>
              <w:rPr>
                <w:rFonts w:hint="eastAsia" w:ascii="宋体" w:hAnsi="宋体" w:cs="宋体"/>
                <w:snapToGrid w:val="0"/>
                <w:szCs w:val="21"/>
                <w:highlight w:val="none"/>
              </w:rPr>
              <w:t>0-</w:t>
            </w:r>
            <w:r>
              <w:rPr>
                <w:rFonts w:hint="eastAsia" w:ascii="宋体" w:hAnsi="宋体" w:cs="宋体"/>
                <w:snapToGrid w:val="0"/>
                <w:szCs w:val="21"/>
                <w:highlight w:val="none"/>
                <w:lang w:val="en-US" w:eastAsia="zh-CN"/>
              </w:rPr>
              <w:t>3</w:t>
            </w:r>
            <w:r>
              <w:rPr>
                <w:rFonts w:hint="eastAsia" w:ascii="宋体" w:hAnsi="宋体" w:cs="宋体"/>
                <w:snapToGrid w:val="0"/>
                <w:szCs w:val="21"/>
                <w:highlight w:val="none"/>
              </w:rPr>
              <w:t>分</w:t>
            </w:r>
            <w:r>
              <w:rPr>
                <w:rFonts w:hint="eastAsia" w:ascii="宋体" w:hAnsi="宋体" w:eastAsia="宋体" w:cs="宋体"/>
                <w:color w:val="auto"/>
                <w:w w:val="1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5" w:hRule="atLeast"/>
          <w:jc w:val="center"/>
        </w:trPr>
        <w:tc>
          <w:tcPr>
            <w:tcW w:w="538" w:type="dxa"/>
            <w:vMerge w:val="restart"/>
            <w:tcBorders>
              <w:top w:val="single" w:color="000000" w:sz="4" w:space="0"/>
            </w:tcBorders>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商务</w:t>
            </w:r>
          </w:p>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lang w:eastAsia="zh-CN"/>
              </w:rPr>
              <w:t>资信</w:t>
            </w:r>
            <w:r>
              <w:rPr>
                <w:rFonts w:hint="eastAsia" w:ascii="宋体" w:hAnsi="宋体" w:cs="宋体"/>
                <w:color w:val="auto"/>
                <w:szCs w:val="21"/>
              </w:rPr>
              <w:t>得分</w:t>
            </w:r>
          </w:p>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分</w:t>
            </w:r>
          </w:p>
        </w:tc>
        <w:tc>
          <w:tcPr>
            <w:tcW w:w="1821" w:type="dxa"/>
            <w:tcBorders>
              <w:top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olor w:val="auto"/>
                <w:w w:val="100"/>
                <w:sz w:val="21"/>
                <w:szCs w:val="21"/>
                <w:highlight w:val="none"/>
              </w:rPr>
            </w:pPr>
            <w:r>
              <w:rPr>
                <w:rFonts w:hint="eastAsia" w:ascii="宋体" w:hAnsi="宋体"/>
                <w:color w:val="auto"/>
                <w:w w:val="100"/>
                <w:sz w:val="21"/>
                <w:szCs w:val="21"/>
                <w:highlight w:val="none"/>
              </w:rPr>
              <w:t>业绩</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Cs w:val="21"/>
                <w:highlight w:val="none"/>
              </w:rPr>
            </w:pPr>
            <w:r>
              <w:rPr>
                <w:rFonts w:hint="eastAsia" w:ascii="宋体" w:hAnsi="宋体"/>
                <w:color w:val="auto"/>
                <w:w w:val="100"/>
                <w:sz w:val="21"/>
                <w:szCs w:val="21"/>
                <w:highlight w:val="none"/>
              </w:rPr>
              <w:t>（3分）</w:t>
            </w: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val="0"/>
                <w:bCs/>
                <w:color w:val="auto"/>
                <w:w w:val="100"/>
                <w:sz w:val="21"/>
                <w:szCs w:val="21"/>
                <w:highlight w:val="none"/>
              </w:rPr>
            </w:pPr>
            <w:r>
              <w:rPr>
                <w:rFonts w:hint="eastAsia" w:ascii="宋体"/>
                <w:b w:val="0"/>
                <w:bCs/>
                <w:color w:val="auto"/>
                <w:w w:val="100"/>
                <w:sz w:val="21"/>
                <w:szCs w:val="21"/>
                <w:highlight w:val="none"/>
              </w:rPr>
              <w:t>自201</w:t>
            </w:r>
            <w:r>
              <w:rPr>
                <w:rFonts w:hint="eastAsia" w:ascii="宋体"/>
                <w:b w:val="0"/>
                <w:bCs/>
                <w:color w:val="auto"/>
                <w:w w:val="100"/>
                <w:sz w:val="21"/>
                <w:szCs w:val="21"/>
                <w:highlight w:val="none"/>
                <w:lang w:val="en-US" w:eastAsia="zh-CN"/>
              </w:rPr>
              <w:t>9</w:t>
            </w:r>
            <w:r>
              <w:rPr>
                <w:rFonts w:hint="eastAsia" w:ascii="宋体"/>
                <w:b w:val="0"/>
                <w:bCs/>
                <w:color w:val="auto"/>
                <w:w w:val="100"/>
                <w:sz w:val="21"/>
                <w:szCs w:val="21"/>
                <w:highlight w:val="none"/>
              </w:rPr>
              <w:t>年1月1日</w:t>
            </w:r>
            <w:r>
              <w:rPr>
                <w:rFonts w:hint="eastAsia" w:ascii="宋体" w:hAnsi="宋体" w:eastAsia="宋体" w:cs="宋体"/>
                <w:color w:val="auto"/>
                <w:sz w:val="21"/>
                <w:szCs w:val="21"/>
                <w:highlight w:val="none"/>
                <w:lang w:eastAsia="zh-CN"/>
              </w:rPr>
              <w:t>至今（以合同签订时间为准）</w:t>
            </w:r>
            <w:r>
              <w:rPr>
                <w:rFonts w:hint="eastAsia" w:ascii="宋体"/>
                <w:b w:val="0"/>
                <w:bCs/>
                <w:color w:val="auto"/>
                <w:w w:val="100"/>
                <w:sz w:val="21"/>
                <w:szCs w:val="21"/>
                <w:highlight w:val="none"/>
                <w:lang w:eastAsia="zh-CN"/>
              </w:rPr>
              <w:t>，</w:t>
            </w:r>
            <w:r>
              <w:rPr>
                <w:rFonts w:hint="eastAsia" w:ascii="宋体"/>
                <w:b w:val="0"/>
                <w:bCs/>
                <w:color w:val="auto"/>
                <w:w w:val="100"/>
                <w:sz w:val="21"/>
                <w:szCs w:val="21"/>
                <w:highlight w:val="none"/>
              </w:rPr>
              <w:t>投标人</w:t>
            </w:r>
            <w:r>
              <w:rPr>
                <w:rFonts w:hint="eastAsia" w:ascii="宋体"/>
                <w:b w:val="0"/>
                <w:bCs/>
                <w:color w:val="auto"/>
                <w:w w:val="100"/>
                <w:sz w:val="21"/>
                <w:szCs w:val="21"/>
                <w:highlight w:val="none"/>
                <w:lang w:eastAsia="zh-CN"/>
              </w:rPr>
              <w:t>具有三级医院</w:t>
            </w:r>
            <w:r>
              <w:rPr>
                <w:rFonts w:hint="eastAsia" w:ascii="宋体"/>
                <w:b w:val="0"/>
                <w:bCs/>
                <w:color w:val="auto"/>
                <w:w w:val="100"/>
                <w:sz w:val="21"/>
                <w:szCs w:val="21"/>
                <w:highlight w:val="none"/>
                <w:shd w:val="clear" w:color="auto" w:fill="auto"/>
                <w:lang w:eastAsia="zh-CN"/>
              </w:rPr>
              <w:t>安保服务业绩，</w:t>
            </w:r>
            <w:r>
              <w:rPr>
                <w:rFonts w:hint="eastAsia" w:ascii="宋体"/>
                <w:b w:val="0"/>
                <w:bCs/>
                <w:color w:val="auto"/>
                <w:w w:val="100"/>
                <w:sz w:val="21"/>
                <w:szCs w:val="21"/>
                <w:highlight w:val="none"/>
              </w:rPr>
              <w:t>每提供一个项目业绩合同得</w:t>
            </w:r>
            <w:r>
              <w:rPr>
                <w:rFonts w:hint="eastAsia" w:ascii="宋体"/>
                <w:b w:val="0"/>
                <w:bCs/>
                <w:color w:val="auto"/>
                <w:w w:val="100"/>
                <w:sz w:val="21"/>
                <w:szCs w:val="21"/>
                <w:highlight w:val="none"/>
                <w:lang w:val="en-US" w:eastAsia="zh-CN"/>
              </w:rPr>
              <w:t>1</w:t>
            </w:r>
            <w:r>
              <w:rPr>
                <w:rFonts w:hint="eastAsia" w:ascii="宋体"/>
                <w:b w:val="0"/>
                <w:bCs/>
                <w:color w:val="auto"/>
                <w:w w:val="100"/>
                <w:sz w:val="21"/>
                <w:szCs w:val="21"/>
                <w:highlight w:val="none"/>
              </w:rPr>
              <w:t>分，最高得3分。</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b w:val="0"/>
                <w:bCs/>
                <w:color w:val="auto"/>
                <w:w w:val="100"/>
                <w:sz w:val="21"/>
                <w:szCs w:val="21"/>
                <w:highlight w:val="none"/>
                <w:lang w:eastAsia="zh-CN"/>
              </w:rPr>
              <w:t>注：</w:t>
            </w:r>
            <w:r>
              <w:rPr>
                <w:rFonts w:hint="eastAsia" w:ascii="宋体" w:hAnsi="宋体" w:eastAsia="宋体" w:cs="宋体"/>
                <w:color w:val="auto"/>
                <w:sz w:val="21"/>
                <w:szCs w:val="21"/>
                <w:highlight w:val="none"/>
                <w:lang w:eastAsia="zh-CN"/>
              </w:rPr>
              <w:t>投标文件中提供</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加盖单位公章；同一区域或同一业主不同年度的合同只能按一个合同认定。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5"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lang w:val="en-US" w:eastAsia="zh-CN"/>
              </w:rPr>
            </w:pPr>
          </w:p>
        </w:tc>
        <w:tc>
          <w:tcPr>
            <w:tcW w:w="1821" w:type="dxa"/>
            <w:noWrap w:val="0"/>
            <w:vAlign w:val="center"/>
          </w:tcPr>
          <w:p>
            <w:pPr>
              <w:keepLines w:val="0"/>
              <w:pageBreakBefore w:val="0"/>
              <w:kinsoku/>
              <w:wordWrap/>
              <w:overflowPunct/>
              <w:topLinePunct w:val="0"/>
              <w:bidi w:val="0"/>
              <w:adjustRightInd w:val="0"/>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体系认证</w:t>
            </w:r>
          </w:p>
          <w:p>
            <w:pPr>
              <w:keepLines w:val="0"/>
              <w:pageBreakBefore w:val="0"/>
              <w:kinsoku/>
              <w:wordWrap/>
              <w:overflowPunct/>
              <w:topLinePunct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olor w:val="auto"/>
                <w:kern w:val="0"/>
                <w:szCs w:val="21"/>
                <w:highlight w:val="none"/>
              </w:rPr>
              <w:t>（3分）</w:t>
            </w:r>
          </w:p>
        </w:tc>
        <w:tc>
          <w:tcPr>
            <w:tcW w:w="7187" w:type="dxa"/>
            <w:noWrap w:val="0"/>
            <w:vAlign w:val="top"/>
          </w:tcPr>
          <w:p>
            <w:pPr>
              <w:keepLines w:val="0"/>
              <w:pageBreakBefore w:val="0"/>
              <w:kinsoku/>
              <w:wordWrap/>
              <w:overflowPunct/>
              <w:topLinePunct w:val="0"/>
              <w:autoSpaceDE w:val="0"/>
              <w:autoSpaceDN w:val="0"/>
              <w:bidi w:val="0"/>
              <w:adjustRightInd w:val="0"/>
              <w:snapToGrid w:val="0"/>
              <w:spacing w:line="400" w:lineRule="exact"/>
              <w:rPr>
                <w:rFonts w:hint="eastAsia" w:ascii="宋体" w:hAnsi="宋体"/>
                <w:color w:val="auto"/>
                <w:szCs w:val="21"/>
                <w:highlight w:val="none"/>
              </w:rPr>
            </w:pPr>
            <w:r>
              <w:rPr>
                <w:rFonts w:hint="eastAsia" w:ascii="宋体"/>
                <w:b w:val="0"/>
                <w:bCs/>
                <w:color w:val="auto"/>
                <w:w w:val="100"/>
                <w:sz w:val="21"/>
                <w:szCs w:val="21"/>
                <w:highlight w:val="none"/>
              </w:rPr>
              <w:t>投标人</w:t>
            </w:r>
            <w:r>
              <w:rPr>
                <w:rFonts w:hint="eastAsia" w:ascii="宋体" w:hAnsi="宋体"/>
                <w:color w:val="auto"/>
                <w:szCs w:val="21"/>
                <w:highlight w:val="none"/>
              </w:rPr>
              <w:t>具有</w:t>
            </w:r>
            <w:r>
              <w:rPr>
                <w:rFonts w:hint="eastAsia" w:ascii="宋体" w:hAnsi="宋体"/>
                <w:color w:val="auto"/>
                <w:szCs w:val="21"/>
                <w:highlight w:val="none"/>
                <w:shd w:val="clear" w:color="auto" w:fill="auto"/>
                <w:lang w:eastAsia="zh-CN"/>
              </w:rPr>
              <w:t>认证范围涵盖“安保服务”相关内容</w:t>
            </w:r>
            <w:r>
              <w:rPr>
                <w:rFonts w:hint="eastAsia" w:ascii="宋体" w:hAnsi="宋体"/>
                <w:color w:val="auto"/>
                <w:szCs w:val="21"/>
                <w:highlight w:val="none"/>
                <w:lang w:eastAsia="zh-CN"/>
              </w:rPr>
              <w:t>的</w:t>
            </w:r>
            <w:r>
              <w:rPr>
                <w:rFonts w:hint="eastAsia" w:ascii="宋体" w:hAnsi="宋体"/>
                <w:color w:val="auto"/>
                <w:szCs w:val="21"/>
                <w:highlight w:val="none"/>
              </w:rPr>
              <w:t>质量管理认证体系证书</w:t>
            </w:r>
            <w:r>
              <w:rPr>
                <w:rFonts w:hint="eastAsia" w:ascii="宋体" w:hAnsi="宋体"/>
                <w:color w:val="auto"/>
                <w:szCs w:val="21"/>
                <w:highlight w:val="none"/>
                <w:lang w:eastAsia="zh-CN"/>
              </w:rPr>
              <w:t>、</w:t>
            </w:r>
            <w:r>
              <w:rPr>
                <w:rFonts w:hint="eastAsia" w:ascii="宋体" w:hAnsi="宋体"/>
                <w:color w:val="auto"/>
                <w:szCs w:val="21"/>
                <w:highlight w:val="none"/>
              </w:rPr>
              <w:t>环境管理认证体系证书</w:t>
            </w:r>
            <w:r>
              <w:rPr>
                <w:rFonts w:hint="eastAsia" w:ascii="宋体" w:hAnsi="宋体"/>
                <w:color w:val="auto"/>
                <w:szCs w:val="21"/>
                <w:highlight w:val="none"/>
                <w:lang w:eastAsia="zh-CN"/>
              </w:rPr>
              <w:t>、</w:t>
            </w:r>
            <w:r>
              <w:rPr>
                <w:rFonts w:hint="eastAsia" w:ascii="宋体" w:hAnsi="宋体"/>
                <w:color w:val="auto"/>
                <w:szCs w:val="21"/>
                <w:highlight w:val="none"/>
              </w:rPr>
              <w:t>职业健康安全管理认证体系证书</w:t>
            </w:r>
            <w:r>
              <w:rPr>
                <w:rFonts w:hint="eastAsia" w:ascii="宋体" w:hAnsi="宋体"/>
                <w:color w:val="auto"/>
                <w:szCs w:val="21"/>
                <w:highlight w:val="none"/>
                <w:lang w:eastAsia="zh-CN"/>
              </w:rPr>
              <w:t>且在有效期内的，每提供一个证书得</w:t>
            </w:r>
            <w:r>
              <w:rPr>
                <w:rFonts w:hint="eastAsia" w:ascii="宋体" w:hAnsi="宋体"/>
                <w:color w:val="auto"/>
                <w:szCs w:val="21"/>
                <w:highlight w:val="none"/>
                <w:lang w:val="en-US" w:eastAsia="zh-CN"/>
              </w:rPr>
              <w:t>1分，最高得3分</w:t>
            </w:r>
            <w:r>
              <w:rPr>
                <w:rFonts w:hint="eastAsia" w:ascii="宋体" w:hAnsi="宋体"/>
                <w:color w:val="auto"/>
                <w:szCs w:val="21"/>
                <w:highlight w:val="none"/>
              </w:rPr>
              <w:t>。</w:t>
            </w:r>
          </w:p>
          <w:p>
            <w:pPr>
              <w:keepLines w:val="0"/>
              <w:pageBreakBefore w:val="0"/>
              <w:kinsoku/>
              <w:wordWrap/>
              <w:overflowPunct/>
              <w:topLinePunct w:val="0"/>
              <w:bidi w:val="0"/>
              <w:adjustRightInd w:val="0"/>
              <w:snapToGrid w:val="0"/>
              <w:spacing w:line="400" w:lineRule="exact"/>
              <w:rPr>
                <w:rFonts w:hint="eastAsia" w:ascii="宋体" w:hAnsi="宋体" w:eastAsia="宋体" w:cs="Times New Roman"/>
                <w:color w:val="auto"/>
                <w:sz w:val="21"/>
                <w:szCs w:val="21"/>
                <w:highlight w:val="none"/>
                <w:lang w:eastAsia="zh-CN"/>
              </w:rPr>
            </w:pPr>
            <w:r>
              <w:rPr>
                <w:rFonts w:hint="eastAsia" w:ascii="宋体" w:hAnsi="宋体"/>
                <w:b w:val="0"/>
                <w:bCs/>
                <w:color w:val="auto"/>
                <w:kern w:val="0"/>
                <w:szCs w:val="21"/>
                <w:highlight w:val="none"/>
                <w:lang w:eastAsia="zh-CN"/>
              </w:rPr>
              <w:t>注：</w:t>
            </w:r>
            <w:r>
              <w:rPr>
                <w:rFonts w:hint="eastAsia" w:ascii="宋体" w:hAnsi="宋体"/>
                <w:b w:val="0"/>
                <w:bCs/>
                <w:color w:val="auto"/>
                <w:kern w:val="0"/>
                <w:szCs w:val="21"/>
                <w:highlight w:val="none"/>
              </w:rPr>
              <w:t>投标文件中提供有效期内的认证证书复印件加盖</w:t>
            </w:r>
            <w:r>
              <w:rPr>
                <w:rFonts w:hint="eastAsia" w:ascii="宋体" w:hAnsi="宋体"/>
                <w:b w:val="0"/>
                <w:bCs/>
                <w:color w:val="auto"/>
                <w:kern w:val="0"/>
                <w:szCs w:val="21"/>
                <w:highlight w:val="none"/>
                <w:lang w:eastAsia="zh-CN"/>
              </w:rPr>
              <w:t>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lang w:val="en-US" w:eastAsia="zh-CN"/>
              </w:rPr>
            </w:pPr>
          </w:p>
        </w:tc>
        <w:tc>
          <w:tcPr>
            <w:tcW w:w="182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olor w:val="auto"/>
                <w:w w:val="100"/>
                <w:sz w:val="21"/>
                <w:szCs w:val="21"/>
                <w:highlight w:val="none"/>
              </w:rPr>
            </w:pPr>
            <w:r>
              <w:rPr>
                <w:rFonts w:hint="eastAsia" w:ascii="宋体" w:hAnsi="宋体"/>
                <w:color w:val="auto"/>
                <w:w w:val="100"/>
                <w:sz w:val="21"/>
                <w:szCs w:val="21"/>
                <w:highlight w:val="none"/>
              </w:rPr>
              <w:t>政府采购政策</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olor w:val="auto"/>
                <w:w w:val="100"/>
                <w:sz w:val="21"/>
                <w:szCs w:val="21"/>
                <w:highlight w:val="none"/>
                <w:lang w:val="en-US" w:eastAsia="zh-CN"/>
              </w:rPr>
              <w:t>（1</w:t>
            </w:r>
            <w:r>
              <w:rPr>
                <w:rFonts w:hint="eastAsia" w:ascii="宋体" w:hAnsi="宋体"/>
                <w:color w:val="auto"/>
                <w:w w:val="100"/>
                <w:sz w:val="21"/>
                <w:szCs w:val="21"/>
                <w:highlight w:val="none"/>
              </w:rPr>
              <w:t>分</w:t>
            </w:r>
            <w:r>
              <w:rPr>
                <w:rFonts w:hint="eastAsia" w:ascii="宋体" w:hAnsi="宋体"/>
                <w:color w:val="auto"/>
                <w:w w:val="100"/>
                <w:sz w:val="21"/>
                <w:szCs w:val="21"/>
                <w:highlight w:val="none"/>
                <w:lang w:val="en-US" w:eastAsia="zh-CN"/>
              </w:rPr>
              <w:t>）</w:t>
            </w: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Times New Roman"/>
                <w:color w:val="auto"/>
                <w:sz w:val="21"/>
                <w:szCs w:val="21"/>
                <w:highlight w:val="none"/>
                <w:lang w:eastAsia="zh-CN"/>
              </w:rPr>
            </w:pPr>
            <w:r>
              <w:rPr>
                <w:rFonts w:hint="eastAsia" w:ascii="宋体"/>
                <w:b w:val="0"/>
                <w:bCs/>
                <w:color w:val="auto"/>
                <w:w w:val="100"/>
                <w:sz w:val="21"/>
                <w:szCs w:val="21"/>
                <w:highlight w:val="none"/>
              </w:rPr>
              <w:t>投标人注册在扶持不发达地区的，得0.5分；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538" w:type="dxa"/>
            <w:vMerge w:val="continue"/>
            <w:noWrap w:val="0"/>
            <w:vAlign w:val="center"/>
          </w:tcPr>
          <w:p>
            <w:pPr>
              <w:keepLines w:val="0"/>
              <w:pageBreakBefore w:val="0"/>
              <w:widowControl/>
              <w:kinsoku/>
              <w:wordWrap/>
              <w:overflowPunct/>
              <w:topLinePunct w:val="0"/>
              <w:bidi w:val="0"/>
              <w:adjustRightInd w:val="0"/>
              <w:snapToGrid w:val="0"/>
              <w:spacing w:line="400" w:lineRule="exact"/>
              <w:jc w:val="center"/>
              <w:rPr>
                <w:rFonts w:hint="eastAsia" w:ascii="宋体" w:hAnsi="宋体" w:cs="宋体"/>
                <w:color w:val="auto"/>
                <w:szCs w:val="21"/>
              </w:rPr>
            </w:pPr>
          </w:p>
        </w:tc>
        <w:tc>
          <w:tcPr>
            <w:tcW w:w="182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Cs w:val="21"/>
                <w:highlight w:val="none"/>
                <w:lang w:eastAsia="zh-CN"/>
              </w:rPr>
            </w:pPr>
          </w:p>
        </w:tc>
        <w:tc>
          <w:tcPr>
            <w:tcW w:w="7187"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Times New Roman"/>
                <w:color w:val="auto"/>
                <w:sz w:val="21"/>
                <w:szCs w:val="21"/>
                <w:highlight w:val="none"/>
                <w:lang w:eastAsia="zh-CN"/>
              </w:rPr>
            </w:pPr>
            <w:r>
              <w:rPr>
                <w:rFonts w:hint="eastAsia" w:ascii="宋体"/>
                <w:b w:val="0"/>
                <w:bCs/>
                <w:color w:val="auto"/>
                <w:w w:val="100"/>
                <w:sz w:val="21"/>
                <w:szCs w:val="21"/>
                <w:highlight w:val="none"/>
              </w:rPr>
              <w:t>投标人注册在少数民族地区的，得0.5分</w:t>
            </w:r>
            <w:r>
              <w:rPr>
                <w:rFonts w:hint="eastAsia" w:ascii="宋体"/>
                <w:b w:val="0"/>
                <w:bCs/>
                <w:color w:val="auto"/>
                <w:w w:val="100"/>
                <w:sz w:val="21"/>
                <w:szCs w:val="21"/>
                <w:highlight w:val="none"/>
                <w:lang w:eastAsia="zh-CN"/>
              </w:rPr>
              <w:t>。</w:t>
            </w:r>
          </w:p>
        </w:tc>
      </w:tr>
    </w:tbl>
    <w:p>
      <w:pPr>
        <w:spacing w:line="400" w:lineRule="exact"/>
        <w:rPr>
          <w:rFonts w:hint="eastAsia" w:ascii="宋体" w:hAnsi="宋体" w:cs="宋体"/>
          <w:b/>
          <w:color w:val="000000"/>
          <w:highlight w:val="none"/>
          <w:lang w:bidi="ar"/>
        </w:rPr>
      </w:pPr>
      <w:r>
        <w:rPr>
          <w:rFonts w:hint="eastAsia" w:ascii="宋体" w:hAnsi="宋体" w:cs="宋体"/>
          <w:b/>
          <w:color w:val="000000"/>
          <w:highlight w:val="none"/>
          <w:lang w:bidi="ar"/>
        </w:rPr>
        <w:t>第二阶段：报价评审</w:t>
      </w:r>
    </w:p>
    <w:tbl>
      <w:tblPr>
        <w:tblStyle w:val="4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34"/>
        <w:gridCol w:w="779"/>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08"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评审项目</w:t>
            </w:r>
          </w:p>
        </w:tc>
        <w:tc>
          <w:tcPr>
            <w:tcW w:w="779"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分值</w:t>
            </w:r>
          </w:p>
        </w:tc>
        <w:tc>
          <w:tcPr>
            <w:tcW w:w="71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47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价格分</w:t>
            </w:r>
            <w:r>
              <w:rPr>
                <w:rFonts w:hint="eastAsia" w:ascii="宋体" w:hAnsi="宋体" w:eastAsia="宋体" w:cs="宋体"/>
                <w:b/>
                <w:bCs/>
                <w:color w:val="000000"/>
                <w:kern w:val="0"/>
                <w:sz w:val="21"/>
                <w:szCs w:val="21"/>
                <w:lang w:val="en-US" w:eastAsia="zh-CN"/>
              </w:rPr>
              <w:t xml:space="preserve"> 15分</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w w:val="100"/>
                <w:kern w:val="2"/>
                <w:sz w:val="21"/>
                <w:szCs w:val="21"/>
                <w:highlight w:val="none"/>
                <w:lang w:val="en-US" w:eastAsia="zh-CN" w:bidi="ar-SA"/>
              </w:rPr>
            </w:pPr>
            <w:r>
              <w:rPr>
                <w:rFonts w:hint="eastAsia" w:ascii="宋体" w:hAnsi="宋体" w:eastAsia="宋体" w:cs="宋体"/>
                <w:w w:val="100"/>
                <w:kern w:val="2"/>
                <w:sz w:val="21"/>
                <w:szCs w:val="21"/>
                <w:highlight w:val="none"/>
                <w:lang w:val="en-US" w:eastAsia="zh-CN" w:bidi="ar-SA"/>
              </w:rPr>
              <w:t>日常安保服务</w:t>
            </w:r>
          </w:p>
        </w:tc>
        <w:tc>
          <w:tcPr>
            <w:tcW w:w="779"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11分</w:t>
            </w:r>
          </w:p>
        </w:tc>
        <w:tc>
          <w:tcPr>
            <w:tcW w:w="71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参与评审的价格＝投标报价×[1－6％（如符合文件规定的小微企业价格优惠的）]</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参与评审的价格最低的为评标基准价,基准价得分为满分</w:t>
            </w: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分。</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其他投标单位的价格分按照下列公式计算：</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000000"/>
                <w:w w:val="100"/>
                <w:kern w:val="2"/>
                <w:sz w:val="21"/>
                <w:szCs w:val="21"/>
                <w:highlight w:val="none"/>
                <w:lang w:val="en-US" w:eastAsia="zh-CN" w:bidi="ar-SA"/>
              </w:rPr>
            </w:pPr>
            <w:r>
              <w:rPr>
                <w:rFonts w:hint="eastAsia" w:ascii="宋体" w:hAnsi="宋体" w:eastAsia="宋体" w:cs="宋体"/>
                <w:sz w:val="21"/>
                <w:szCs w:val="21"/>
                <w:lang w:val="zh-CN"/>
              </w:rPr>
              <w:t>计算方法：各投标单位的投标报价得分=（基准价/供应商参与评审的价格）×</w:t>
            </w: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bCs/>
                <w:color w:val="000000"/>
                <w:kern w:val="0"/>
                <w:sz w:val="21"/>
                <w:szCs w:val="21"/>
                <w:lang w:eastAsia="zh-CN"/>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w w:val="100"/>
                <w:kern w:val="2"/>
                <w:sz w:val="21"/>
                <w:szCs w:val="21"/>
                <w:highlight w:val="none"/>
                <w:lang w:val="en-US" w:eastAsia="zh-CN" w:bidi="ar-SA"/>
              </w:rPr>
            </w:pPr>
            <w:r>
              <w:rPr>
                <w:rFonts w:hint="eastAsia" w:ascii="宋体" w:hAnsi="宋体" w:eastAsia="宋体" w:cs="宋体"/>
                <w:w w:val="100"/>
                <w:kern w:val="2"/>
                <w:sz w:val="21"/>
                <w:szCs w:val="21"/>
                <w:highlight w:val="none"/>
                <w:lang w:val="en-US" w:eastAsia="zh-CN" w:bidi="ar-SA"/>
              </w:rPr>
              <w:t>应急安保服务（</w:t>
            </w:r>
            <w:r>
              <w:rPr>
                <w:rFonts w:hint="eastAsia" w:ascii="宋体" w:hAnsi="宋体" w:eastAsia="宋体" w:cs="宋体"/>
                <w:w w:val="100"/>
                <w:sz w:val="21"/>
                <w:szCs w:val="21"/>
                <w:highlight w:val="none"/>
                <w:lang w:eastAsia="zh-CN"/>
              </w:rPr>
              <w:t>春节时段</w:t>
            </w:r>
            <w:r>
              <w:rPr>
                <w:rFonts w:hint="eastAsia" w:ascii="宋体" w:hAnsi="宋体" w:eastAsia="宋体" w:cs="宋体"/>
                <w:w w:val="100"/>
                <w:kern w:val="2"/>
                <w:sz w:val="21"/>
                <w:szCs w:val="21"/>
                <w:highlight w:val="none"/>
                <w:lang w:val="en-US" w:eastAsia="zh-CN" w:bidi="ar-SA"/>
              </w:rPr>
              <w:t>）</w:t>
            </w:r>
          </w:p>
        </w:tc>
        <w:tc>
          <w:tcPr>
            <w:tcW w:w="779"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w w:val="100"/>
                <w:sz w:val="21"/>
                <w:szCs w:val="21"/>
                <w:highlight w:val="none"/>
                <w:lang w:val="en-US" w:eastAsia="zh-CN"/>
              </w:rPr>
              <w:t>2</w:t>
            </w:r>
            <w:r>
              <w:rPr>
                <w:rFonts w:hint="eastAsia" w:ascii="宋体" w:hAnsi="宋体" w:eastAsia="宋体" w:cs="宋体"/>
                <w:w w:val="100"/>
                <w:sz w:val="21"/>
                <w:szCs w:val="21"/>
                <w:highlight w:val="none"/>
              </w:rPr>
              <w:t>分</w:t>
            </w:r>
          </w:p>
        </w:tc>
        <w:tc>
          <w:tcPr>
            <w:tcW w:w="71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参与评审的价格＝投标报价×[1－6％（如符合文件规定的小微企业价格优惠的）]</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参与评审的价格最低的为评标基准价,基准价得分为满分</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其他投标单位的价格分按照下列公式计算：</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计算方法：各投标单位的投标报价得分=（基准价/供应商参与评审的价格）×</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％×100。</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000000"/>
                <w:w w:val="100"/>
                <w:kern w:val="2"/>
                <w:sz w:val="21"/>
                <w:szCs w:val="21"/>
                <w:highlight w:val="none"/>
                <w:lang w:val="en-US" w:eastAsia="zh-CN" w:bidi="ar-SA"/>
              </w:rPr>
            </w:pPr>
            <w:r>
              <w:rPr>
                <w:rFonts w:hint="eastAsia" w:ascii="宋体" w:hAnsi="宋体" w:eastAsia="宋体" w:cs="宋体"/>
                <w:b/>
                <w:bCs/>
                <w:color w:val="000000"/>
                <w:w w:val="100"/>
                <w:sz w:val="21"/>
                <w:szCs w:val="21"/>
                <w:highlight w:val="none"/>
                <w:lang w:eastAsia="zh-CN"/>
              </w:rPr>
              <w:t>春节时段：</w:t>
            </w:r>
            <w:r>
              <w:rPr>
                <w:rFonts w:hint="eastAsia" w:ascii="宋体" w:hAnsi="宋体" w:eastAsia="宋体" w:cs="宋体"/>
                <w:b/>
                <w:bCs/>
                <w:color w:val="auto"/>
                <w:w w:val="100"/>
                <w:sz w:val="21"/>
                <w:szCs w:val="21"/>
                <w:highlight w:val="none"/>
                <w:lang w:val="en-US" w:eastAsia="zh-CN"/>
              </w:rPr>
              <w:t>按工作12小时/天，劳务费最高限价400元</w:t>
            </w:r>
            <w:r>
              <w:rPr>
                <w:rFonts w:hint="eastAsia" w:ascii="宋体" w:hAnsi="宋体" w:eastAsia="宋体" w:cs="宋体"/>
                <w:b/>
                <w:bCs/>
                <w:color w:val="000000"/>
                <w:w w:val="100"/>
                <w:sz w:val="21"/>
                <w:szCs w:val="21"/>
                <w:highlight w:val="none"/>
              </w:rPr>
              <w:t>，投标报价超出限价的视为无效投标。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bCs/>
                <w:color w:val="000000"/>
                <w:kern w:val="0"/>
                <w:sz w:val="21"/>
                <w:szCs w:val="21"/>
              </w:rPr>
            </w:pPr>
          </w:p>
        </w:tc>
        <w:tc>
          <w:tcPr>
            <w:tcW w:w="1134"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w w:val="100"/>
                <w:kern w:val="2"/>
                <w:sz w:val="21"/>
                <w:szCs w:val="21"/>
                <w:highlight w:val="none"/>
                <w:lang w:val="en-US" w:eastAsia="zh-CN" w:bidi="ar-SA"/>
              </w:rPr>
            </w:pPr>
            <w:r>
              <w:rPr>
                <w:rFonts w:hint="eastAsia" w:ascii="宋体" w:hAnsi="宋体" w:eastAsia="宋体" w:cs="宋体"/>
                <w:w w:val="100"/>
                <w:kern w:val="2"/>
                <w:sz w:val="21"/>
                <w:szCs w:val="21"/>
                <w:highlight w:val="none"/>
                <w:lang w:val="en-US" w:eastAsia="zh-CN" w:bidi="ar-SA"/>
              </w:rPr>
              <w:t>应急安保服务（</w:t>
            </w:r>
            <w:r>
              <w:rPr>
                <w:rFonts w:hint="eastAsia" w:ascii="宋体" w:hAnsi="宋体" w:eastAsia="宋体" w:cs="宋体"/>
                <w:w w:val="100"/>
                <w:sz w:val="21"/>
                <w:szCs w:val="21"/>
                <w:highlight w:val="none"/>
                <w:lang w:eastAsia="zh-CN"/>
              </w:rPr>
              <w:t>非春节时段</w:t>
            </w:r>
            <w:r>
              <w:rPr>
                <w:rFonts w:hint="eastAsia" w:ascii="宋体" w:hAnsi="宋体" w:eastAsia="宋体" w:cs="宋体"/>
                <w:w w:val="100"/>
                <w:kern w:val="2"/>
                <w:sz w:val="21"/>
                <w:szCs w:val="21"/>
                <w:highlight w:val="none"/>
                <w:lang w:val="en-US" w:eastAsia="zh-CN" w:bidi="ar-SA"/>
              </w:rPr>
              <w:t>）</w:t>
            </w:r>
          </w:p>
        </w:tc>
        <w:tc>
          <w:tcPr>
            <w:tcW w:w="779"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w w:val="100"/>
                <w:sz w:val="21"/>
                <w:szCs w:val="21"/>
                <w:highlight w:val="none"/>
                <w:lang w:val="en-US" w:eastAsia="zh-CN"/>
              </w:rPr>
              <w:t>2</w:t>
            </w:r>
            <w:r>
              <w:rPr>
                <w:rFonts w:hint="eastAsia" w:ascii="宋体" w:hAnsi="宋体" w:eastAsia="宋体" w:cs="宋体"/>
                <w:w w:val="100"/>
                <w:sz w:val="21"/>
                <w:szCs w:val="21"/>
                <w:highlight w:val="none"/>
              </w:rPr>
              <w:t>分</w:t>
            </w:r>
          </w:p>
        </w:tc>
        <w:tc>
          <w:tcPr>
            <w:tcW w:w="7185"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参与评审的价格＝投标报价×[1－6％（如符合文件规定的小微企业价格优惠的）]</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参与评审的价格最低的为评标基准价,基准价得分为满分</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其他投标单位的价格分按照下列公式计算：</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计算方法：各投标单位的投标报价得分=（基准价/供应商参与评审的价格）×</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％×100。</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宋体" w:hAnsi="宋体" w:eastAsia="宋体" w:cs="宋体"/>
                <w:b/>
                <w:bCs/>
                <w:color w:val="000000"/>
                <w:w w:val="100"/>
                <w:kern w:val="2"/>
                <w:sz w:val="21"/>
                <w:szCs w:val="21"/>
                <w:highlight w:val="none"/>
                <w:lang w:val="en-US" w:eastAsia="zh-CN" w:bidi="ar-SA"/>
              </w:rPr>
            </w:pPr>
            <w:r>
              <w:rPr>
                <w:rFonts w:hint="eastAsia" w:ascii="宋体" w:hAnsi="宋体" w:eastAsia="宋体" w:cs="宋体"/>
                <w:b/>
                <w:bCs/>
                <w:color w:val="000000"/>
                <w:w w:val="100"/>
                <w:sz w:val="21"/>
                <w:szCs w:val="21"/>
                <w:highlight w:val="none"/>
                <w:lang w:eastAsia="zh-CN"/>
              </w:rPr>
              <w:t>非春节时段：按工作12小时/天，劳务费最高限价250元</w:t>
            </w:r>
            <w:r>
              <w:rPr>
                <w:rFonts w:hint="eastAsia" w:ascii="宋体" w:hAnsi="宋体" w:eastAsia="宋体" w:cs="宋体"/>
                <w:b/>
                <w:bCs/>
                <w:color w:val="000000"/>
                <w:w w:val="100"/>
                <w:sz w:val="21"/>
                <w:szCs w:val="21"/>
                <w:highlight w:val="none"/>
              </w:rPr>
              <w:t>，投标报价超出限价的视为无效投标。</w:t>
            </w:r>
          </w:p>
        </w:tc>
      </w:tr>
    </w:tbl>
    <w:p>
      <w:pPr>
        <w:pStyle w:val="27"/>
        <w:adjustRightInd w:val="0"/>
        <w:snapToGrid w:val="0"/>
        <w:spacing w:before="0" w:beforeLines="0" w:after="0" w:afterLines="0" w:line="440" w:lineRule="exact"/>
        <w:rPr>
          <w:rFonts w:hint="eastAsia" w:hAnsi="宋体" w:cs="宋体"/>
          <w:b/>
          <w:bCs/>
          <w:color w:val="000000"/>
          <w:sz w:val="21"/>
          <w:szCs w:val="21"/>
        </w:rPr>
      </w:pPr>
      <w:r>
        <w:rPr>
          <w:rFonts w:hint="eastAsia" w:hAnsi="宋体" w:cs="宋体"/>
          <w:b/>
          <w:bCs/>
          <w:color w:val="000000"/>
          <w:sz w:val="21"/>
          <w:szCs w:val="21"/>
        </w:rPr>
        <w:t>备注：</w:t>
      </w:r>
    </w:p>
    <w:p>
      <w:pPr>
        <w:pStyle w:val="27"/>
        <w:adjustRightInd w:val="0"/>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（1）本项目为非专门面向中小企业的采购项目，根据《政府采购促进中小企业发展管理办法》（财库﹝2020﹞46 号）的规定，对小型和微型企业产品的价格给予6%的扣除，用扣除后的价格参与评审。</w:t>
      </w:r>
    </w:p>
    <w:p>
      <w:pPr>
        <w:pStyle w:val="27"/>
        <w:adjustRightInd w:val="0"/>
        <w:snapToGrid w:val="0"/>
        <w:spacing w:before="0" w:beforeLines="0" w:after="0" w:afterLines="0" w:line="440" w:lineRule="exact"/>
        <w:ind w:firstLine="420" w:firstLineChars="200"/>
        <w:rPr>
          <w:rFonts w:hint="eastAsia" w:hAnsi="宋体" w:cs="宋体"/>
          <w:color w:val="000000"/>
          <w:sz w:val="21"/>
          <w:szCs w:val="21"/>
        </w:rPr>
      </w:pPr>
      <w:r>
        <w:rPr>
          <w:rFonts w:hint="eastAsia" w:hAnsi="宋体" w:cs="宋体"/>
          <w:color w:val="000000"/>
          <w:sz w:val="21"/>
          <w:szCs w:val="21"/>
        </w:rPr>
        <w:t>（2）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27"/>
        <w:adjustRightInd w:val="0"/>
        <w:snapToGrid w:val="0"/>
        <w:spacing w:before="0" w:beforeLines="0" w:after="0" w:afterLines="0" w:line="440" w:lineRule="exact"/>
        <w:ind w:firstLine="420" w:firstLineChars="200"/>
      </w:pPr>
      <w:r>
        <w:rPr>
          <w:rFonts w:hint="eastAsia" w:hAnsi="宋体" w:cs="宋体"/>
          <w:color w:val="000000"/>
          <w:sz w:val="21"/>
          <w:szCs w:val="21"/>
        </w:rPr>
        <w:t>（3）根据《关于促进残疾人就业政府采购政策的通知》（财库〔2017〕141号）规定，在政府采购活动中，残疾人福利性单位视同小型、微型企业。残疾人福利性单位参加政府采购活动时，提供《残疾人福利性单位声明函》。</w:t>
      </w:r>
    </w:p>
    <w:p>
      <w:pPr>
        <w:pStyle w:val="27"/>
        <w:adjustRightInd w:val="0"/>
        <w:snapToGrid w:val="0"/>
        <w:spacing w:before="0" w:beforeLines="0" w:after="0" w:afterLines="0" w:line="440" w:lineRule="exact"/>
        <w:ind w:firstLine="420" w:firstLineChars="200"/>
        <w:rPr>
          <w:rFonts w:hint="eastAsia" w:hAnsi="宋体" w:cs="宋体"/>
          <w:color w:val="000000"/>
          <w:sz w:val="21"/>
          <w:szCs w:val="21"/>
          <w:highlight w:val="none"/>
        </w:rPr>
      </w:pPr>
    </w:p>
    <w:p>
      <w:pPr>
        <w:pStyle w:val="3"/>
        <w:keepNext/>
        <w:keepLines/>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cs="宋体"/>
          <w:color w:val="000000"/>
          <w:sz w:val="21"/>
          <w:szCs w:val="21"/>
          <w:highlight w:val="none"/>
          <w:lang w:eastAsia="zh-CN"/>
        </w:rPr>
      </w:pPr>
      <w:r>
        <w:rPr>
          <w:rFonts w:hint="eastAsia" w:ascii="宋体" w:hAnsi="宋体" w:cs="宋体"/>
          <w:color w:val="000000"/>
          <w:sz w:val="24"/>
          <w:szCs w:val="24"/>
        </w:rPr>
        <w:br w:type="page"/>
      </w:r>
      <w:bookmarkStart w:id="172" w:name="_Toc15374"/>
      <w:bookmarkStart w:id="173" w:name="_Toc9443"/>
      <w:bookmarkStart w:id="174" w:name="_Toc8884"/>
      <w:bookmarkStart w:id="175" w:name="_Toc13606"/>
      <w:r>
        <w:rPr>
          <w:rFonts w:hint="eastAsia" w:ascii="宋体" w:hAnsi="宋体" w:cs="宋体"/>
          <w:color w:val="000000"/>
          <w:sz w:val="24"/>
          <w:szCs w:val="24"/>
          <w:highlight w:val="none"/>
        </w:rPr>
        <w:t>第六章  政府采购合同</w:t>
      </w:r>
      <w:bookmarkEnd w:id="171"/>
      <w:r>
        <w:rPr>
          <w:rFonts w:hint="eastAsia" w:ascii="宋体" w:hAnsi="宋体" w:cs="宋体"/>
          <w:color w:val="000000"/>
          <w:sz w:val="24"/>
          <w:szCs w:val="24"/>
          <w:highlight w:val="none"/>
          <w:lang w:val="en-US" w:eastAsia="zh-CN"/>
        </w:rPr>
        <w:t>文本</w:t>
      </w:r>
      <w:bookmarkEnd w:id="172"/>
      <w:bookmarkEnd w:id="173"/>
      <w:bookmarkEnd w:id="174"/>
      <w:bookmarkEnd w:id="175"/>
    </w:p>
    <w:p>
      <w:pPr>
        <w:adjustRightInd w:val="0"/>
        <w:snapToGrid w:val="0"/>
        <w:spacing w:line="460" w:lineRule="exact"/>
        <w:jc w:val="center"/>
        <w:rPr>
          <w:rFonts w:hint="eastAsia" w:ascii="宋体" w:hAnsi="宋体" w:cs="宋体"/>
          <w:b/>
          <w:bCs/>
          <w:szCs w:val="21"/>
          <w:highlight w:val="none"/>
        </w:rPr>
      </w:pPr>
      <w:bookmarkStart w:id="176" w:name="_Toc29670"/>
      <w:bookmarkStart w:id="177" w:name="_Toc31921"/>
      <w:bookmarkStart w:id="178" w:name="_Toc30671"/>
      <w:r>
        <w:rPr>
          <w:rFonts w:hint="eastAsia" w:ascii="宋体" w:hAnsi="宋体" w:cs="宋体"/>
          <w:b/>
          <w:szCs w:val="21"/>
          <w:highlight w:val="none"/>
        </w:rPr>
        <w:t>（本合同为合同样稿，仅供参考）</w:t>
      </w:r>
    </w:p>
    <w:p>
      <w:pPr>
        <w:pStyle w:val="46"/>
        <w:keepNext w:val="0"/>
        <w:keepLines w:val="0"/>
        <w:pageBreakBefore w:val="0"/>
        <w:pBdr>
          <w:bottom w:val="single" w:color="auto" w:sz="4" w:space="0"/>
        </w:pBdr>
        <w:kinsoku/>
        <w:wordWrap/>
        <w:overflowPunct/>
        <w:topLinePunct w:val="0"/>
        <w:autoSpaceDE/>
        <w:autoSpaceDN/>
        <w:bidi w:val="0"/>
        <w:adjustRightInd w:val="0"/>
        <w:snapToGrid w:val="0"/>
        <w:spacing w:before="0" w:beforeLines="0" w:beforeAutospacing="0" w:after="0" w:afterLines="0" w:afterAutospacing="0" w:line="500" w:lineRule="exact"/>
        <w:textAlignment w:val="auto"/>
        <w:rPr>
          <w:rFonts w:hint="eastAsia" w:ascii="宋体" w:hAnsi="宋体" w:cs="宋体"/>
          <w:color w:val="auto"/>
          <w:sz w:val="21"/>
          <w:szCs w:val="21"/>
          <w:highlight w:val="none"/>
        </w:rPr>
      </w:pPr>
      <w:bookmarkStart w:id="179" w:name="_Toc4991"/>
      <w:r>
        <w:rPr>
          <w:rFonts w:hint="eastAsia" w:ascii="宋体" w:hAnsi="宋体" w:cs="宋体"/>
          <w:b/>
          <w:bCs/>
          <w:color w:val="auto"/>
          <w:sz w:val="21"/>
          <w:szCs w:val="21"/>
          <w:highlight w:val="none"/>
          <w:shd w:val="clear" w:color="auto" w:fill="FFFFFF"/>
        </w:rPr>
        <w:t>项目编号：</w:t>
      </w:r>
      <w:r>
        <w:rPr>
          <w:rFonts w:hint="eastAsia" w:ascii="宋体" w:hAnsi="宋体" w:cs="宋体"/>
          <w:color w:val="auto"/>
          <w:sz w:val="21"/>
          <w:szCs w:val="21"/>
          <w:highlight w:val="none"/>
          <w:lang w:eastAsia="zh-CN"/>
        </w:rPr>
        <w:t>KXZJ-2022010(1)</w:t>
      </w:r>
    </w:p>
    <w:p>
      <w:pPr>
        <w:pStyle w:val="46"/>
        <w:keepNext w:val="0"/>
        <w:keepLines w:val="0"/>
        <w:pageBreakBefore w:val="0"/>
        <w:pBdr>
          <w:bottom w:val="single" w:color="auto" w:sz="4" w:space="0"/>
        </w:pBdr>
        <w:kinsoku/>
        <w:wordWrap/>
        <w:overflowPunct/>
        <w:topLinePunct w:val="0"/>
        <w:autoSpaceDE/>
        <w:autoSpaceDN/>
        <w:bidi w:val="0"/>
        <w:adjustRightInd w:val="0"/>
        <w:snapToGrid w:val="0"/>
        <w:spacing w:before="0" w:beforeLines="0" w:beforeAutospacing="0" w:after="0" w:afterLines="0" w:afterAutospacing="0" w:line="500" w:lineRule="exact"/>
        <w:textAlignment w:val="auto"/>
        <w:rPr>
          <w:rFonts w:hint="eastAsia" w:hAnsi="宋体" w:cs="宋体"/>
          <w:b/>
          <w:color w:val="auto"/>
          <w:sz w:val="21"/>
          <w:szCs w:val="21"/>
          <w:highlight w:val="none"/>
        </w:rPr>
      </w:pPr>
      <w:r>
        <w:rPr>
          <w:rFonts w:hint="eastAsia" w:ascii="宋体" w:hAnsi="宋体" w:cs="宋体"/>
          <w:b/>
          <w:bCs/>
          <w:color w:val="auto"/>
          <w:sz w:val="21"/>
          <w:szCs w:val="21"/>
          <w:highlight w:val="none"/>
          <w:shd w:val="clear" w:color="auto" w:fill="FFFFFF"/>
        </w:rPr>
        <w:t>项目名称：</w:t>
      </w:r>
      <w:r>
        <w:rPr>
          <w:rFonts w:hint="eastAsia" w:ascii="宋体" w:hAnsi="宋体" w:cs="宋体"/>
          <w:color w:val="auto"/>
          <w:sz w:val="21"/>
          <w:szCs w:val="21"/>
          <w:highlight w:val="none"/>
          <w:lang w:eastAsia="zh-CN"/>
        </w:rPr>
        <w:t>宁波市鄞州区第二医院2022-2024年度安保服务采购项目</w:t>
      </w:r>
      <w:r>
        <w:rPr>
          <w:rFonts w:hint="eastAsia" w:ascii="宋体" w:hAnsi="宋体" w:cs="宋体"/>
          <w:color w:val="auto"/>
          <w:sz w:val="21"/>
          <w:szCs w:val="21"/>
          <w:highlight w:val="none"/>
          <w:shd w:val="clear" w:color="auto" w:fill="FFFFFF"/>
        </w:rPr>
        <w:t> </w:t>
      </w:r>
    </w:p>
    <w:p>
      <w:pPr>
        <w:pStyle w:val="27"/>
        <w:keepNext w:val="0"/>
        <w:keepLines w:val="0"/>
        <w:pageBreakBefore w:val="0"/>
        <w:kinsoku/>
        <w:wordWrap/>
        <w:overflowPunct/>
        <w:topLinePunct w:val="0"/>
        <w:autoSpaceDE/>
        <w:autoSpaceDN/>
        <w:bidi w:val="0"/>
        <w:adjustRightInd w:val="0"/>
        <w:snapToGrid w:val="0"/>
        <w:spacing w:before="0" w:beforeLines="0" w:after="0" w:afterLines="0" w:line="500" w:lineRule="exact"/>
        <w:textAlignment w:val="auto"/>
        <w:rPr>
          <w:rFonts w:hint="eastAsia" w:hAnsi="宋体" w:eastAsia="宋体" w:cs="宋体"/>
          <w:bCs/>
          <w:color w:val="auto"/>
          <w:sz w:val="21"/>
          <w:szCs w:val="21"/>
          <w:highlight w:val="none"/>
          <w:lang w:eastAsia="zh-CN"/>
        </w:rPr>
      </w:pPr>
      <w:r>
        <w:rPr>
          <w:rFonts w:hint="eastAsia" w:hAnsi="宋体" w:cs="宋体"/>
          <w:b/>
          <w:color w:val="auto"/>
          <w:sz w:val="21"/>
          <w:szCs w:val="21"/>
          <w:highlight w:val="none"/>
        </w:rPr>
        <w:t>甲方（发包人）：</w:t>
      </w:r>
      <w:r>
        <w:rPr>
          <w:rFonts w:hint="eastAsia" w:hAnsi="宋体" w:cs="宋体"/>
          <w:b/>
          <w:color w:val="auto"/>
          <w:sz w:val="21"/>
          <w:szCs w:val="21"/>
          <w:highlight w:val="none"/>
          <w:lang w:eastAsia="zh-CN"/>
        </w:rPr>
        <w:t>宁波市鄞州区第二医院</w:t>
      </w:r>
    </w:p>
    <w:p>
      <w:pPr>
        <w:pStyle w:val="27"/>
        <w:keepNext w:val="0"/>
        <w:keepLines w:val="0"/>
        <w:pageBreakBefore w:val="0"/>
        <w:pBdr>
          <w:bottom w:val="single" w:color="auto" w:sz="2" w:space="1"/>
        </w:pBdr>
        <w:kinsoku/>
        <w:wordWrap/>
        <w:overflowPunct/>
        <w:topLinePunct w:val="0"/>
        <w:autoSpaceDE/>
        <w:autoSpaceDN/>
        <w:bidi w:val="0"/>
        <w:adjustRightInd w:val="0"/>
        <w:snapToGrid w:val="0"/>
        <w:spacing w:before="0" w:beforeLines="0" w:after="0" w:afterLines="0" w:line="500" w:lineRule="exact"/>
        <w:textAlignment w:val="auto"/>
        <w:rPr>
          <w:rFonts w:hint="eastAsia" w:hAnsi="宋体" w:cs="宋体"/>
          <w:b/>
          <w:color w:val="auto"/>
          <w:sz w:val="21"/>
          <w:szCs w:val="21"/>
          <w:highlight w:val="none"/>
        </w:rPr>
      </w:pPr>
      <w:r>
        <w:rPr>
          <w:rFonts w:hint="eastAsia" w:hAnsi="宋体" w:cs="宋体"/>
          <w:b/>
          <w:color w:val="auto"/>
          <w:sz w:val="21"/>
          <w:szCs w:val="21"/>
          <w:highlight w:val="none"/>
        </w:rPr>
        <w:t>乙方（承包人）：</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ind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根据</w:t>
      </w:r>
      <w:r>
        <w:rPr>
          <w:rFonts w:hint="eastAsia" w:ascii="宋体" w:hAnsi="宋体" w:eastAsia="宋体" w:cs="宋体"/>
          <w:color w:val="auto"/>
          <w:w w:val="100"/>
          <w:sz w:val="21"/>
          <w:szCs w:val="21"/>
          <w:highlight w:val="none"/>
        </w:rPr>
        <w:t>《中华人民共和国</w:t>
      </w:r>
      <w:r>
        <w:rPr>
          <w:rFonts w:hint="eastAsia" w:ascii="宋体" w:hAnsi="宋体" w:eastAsia="宋体" w:cs="宋体"/>
          <w:color w:val="auto"/>
          <w:w w:val="100"/>
          <w:sz w:val="21"/>
          <w:szCs w:val="21"/>
          <w:highlight w:val="none"/>
          <w:lang w:eastAsia="zh-CN"/>
        </w:rPr>
        <w:t>民法典</w:t>
      </w:r>
      <w:r>
        <w:rPr>
          <w:rFonts w:hint="eastAsia" w:ascii="宋体" w:hAnsi="宋体" w:eastAsia="宋体" w:cs="宋体"/>
          <w:color w:val="auto"/>
          <w:w w:val="100"/>
          <w:sz w:val="21"/>
          <w:szCs w:val="21"/>
          <w:highlight w:val="none"/>
        </w:rPr>
        <w:t>》和相关法律、法规及</w:t>
      </w:r>
      <w:r>
        <w:rPr>
          <w:rFonts w:hint="eastAsia" w:hAnsi="宋体" w:eastAsia="宋体" w:cs="宋体"/>
          <w:color w:val="auto"/>
          <w:w w:val="100"/>
          <w:sz w:val="21"/>
          <w:szCs w:val="21"/>
          <w:highlight w:val="none"/>
          <w:u w:val="single"/>
          <w:lang w:eastAsia="zh-CN"/>
        </w:rPr>
        <w:t>KXZJ-2022010(1)宁波市鄞州区第二医院2022-2024年度安保服务采购项目</w:t>
      </w:r>
      <w:r>
        <w:rPr>
          <w:rFonts w:hint="eastAsia" w:ascii="宋体" w:hAnsi="宋体" w:eastAsia="宋体" w:cs="宋体"/>
          <w:color w:val="auto"/>
          <w:w w:val="100"/>
          <w:sz w:val="21"/>
          <w:szCs w:val="21"/>
          <w:highlight w:val="none"/>
        </w:rPr>
        <w:t>的</w:t>
      </w:r>
      <w:r>
        <w:rPr>
          <w:rFonts w:hint="eastAsia" w:hAnsi="宋体" w:eastAsia="宋体" w:cs="宋体"/>
          <w:color w:val="auto"/>
          <w:w w:val="100"/>
          <w:sz w:val="21"/>
          <w:szCs w:val="21"/>
          <w:highlight w:val="none"/>
          <w:lang w:val="en-US" w:eastAsia="zh-CN"/>
        </w:rPr>
        <w:t>公开招标</w:t>
      </w:r>
      <w:r>
        <w:rPr>
          <w:rFonts w:hint="eastAsia" w:ascii="宋体" w:hAnsi="宋体" w:eastAsia="宋体" w:cs="宋体"/>
          <w:color w:val="auto"/>
          <w:w w:val="100"/>
          <w:sz w:val="21"/>
          <w:szCs w:val="21"/>
          <w:highlight w:val="none"/>
        </w:rPr>
        <w:t>采购结果，在自愿、平等、协商一致的基础上，订立本合同。</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b/>
          <w:color w:val="auto"/>
          <w:szCs w:val="21"/>
          <w:highlight w:val="none"/>
        </w:rPr>
      </w:pPr>
      <w:r>
        <w:rPr>
          <w:rFonts w:hint="eastAsia" w:ascii="宋体" w:hAnsi="宋体"/>
          <w:b/>
          <w:color w:val="auto"/>
          <w:szCs w:val="21"/>
          <w:highlight w:val="none"/>
        </w:rPr>
        <w:t>一、委托管理事项和服务期限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w w:val="100"/>
          <w:sz w:val="21"/>
          <w:szCs w:val="21"/>
          <w:highlight w:val="none"/>
        </w:rPr>
      </w:pPr>
      <w:r>
        <w:rPr>
          <w:rFonts w:hint="eastAsia" w:ascii="宋体" w:hAnsi="宋体"/>
          <w:color w:val="auto"/>
          <w:w w:val="100"/>
          <w:sz w:val="21"/>
          <w:szCs w:val="21"/>
          <w:highlight w:val="none"/>
        </w:rPr>
        <w:t>本合同就甲方委托乙方管理的事项仅做如下简要说明，具体详见甲方发出的“</w:t>
      </w:r>
      <w:r>
        <w:rPr>
          <w:rFonts w:hint="eastAsia" w:ascii="宋体" w:hAnsi="宋体"/>
          <w:color w:val="auto"/>
          <w:w w:val="100"/>
          <w:sz w:val="21"/>
          <w:szCs w:val="21"/>
          <w:highlight w:val="none"/>
          <w:lang w:eastAsia="zh-CN"/>
        </w:rPr>
        <w:t>宁波市鄞州区第二医院20</w:t>
      </w:r>
      <w:r>
        <w:rPr>
          <w:rFonts w:hint="eastAsia" w:ascii="宋体" w:hAnsi="宋体"/>
          <w:color w:val="auto"/>
          <w:w w:val="100"/>
          <w:sz w:val="21"/>
          <w:szCs w:val="21"/>
          <w:highlight w:val="none"/>
          <w:lang w:val="en-US" w:eastAsia="zh-CN"/>
        </w:rPr>
        <w:t>22</w:t>
      </w:r>
      <w:r>
        <w:rPr>
          <w:rFonts w:hint="eastAsia" w:ascii="宋体" w:hAnsi="宋体"/>
          <w:color w:val="auto"/>
          <w:w w:val="100"/>
          <w:sz w:val="21"/>
          <w:szCs w:val="21"/>
          <w:highlight w:val="none"/>
          <w:lang w:eastAsia="zh-CN"/>
        </w:rPr>
        <w:t>-202</w:t>
      </w:r>
      <w:r>
        <w:rPr>
          <w:rFonts w:hint="eastAsia" w:ascii="宋体" w:hAnsi="宋体"/>
          <w:color w:val="auto"/>
          <w:w w:val="100"/>
          <w:sz w:val="21"/>
          <w:szCs w:val="21"/>
          <w:highlight w:val="none"/>
          <w:lang w:val="en-US" w:eastAsia="zh-CN"/>
        </w:rPr>
        <w:t>4</w:t>
      </w:r>
      <w:r>
        <w:rPr>
          <w:rFonts w:hint="eastAsia" w:ascii="宋体" w:hAnsi="宋体"/>
          <w:color w:val="auto"/>
          <w:w w:val="100"/>
          <w:sz w:val="21"/>
          <w:szCs w:val="21"/>
          <w:highlight w:val="none"/>
          <w:lang w:eastAsia="zh-CN"/>
        </w:rPr>
        <w:t>年度安保服务采购项目</w:t>
      </w:r>
      <w:r>
        <w:rPr>
          <w:rFonts w:hint="eastAsia" w:ascii="宋体" w:hAnsi="宋体"/>
          <w:color w:val="auto"/>
          <w:w w:val="100"/>
          <w:sz w:val="21"/>
          <w:szCs w:val="21"/>
          <w:highlight w:val="none"/>
        </w:rPr>
        <w:t>”招标文件及乙方针对本项目的投标文件阐述之相关内容。</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ind w:firstLine="420" w:firstLineChars="200"/>
        <w:jc w:val="left"/>
        <w:textAlignment w:val="auto"/>
        <w:rPr>
          <w:rFonts w:hint="eastAsia" w:ascii="Times New Roman" w:hAnsi="Times New Roman"/>
          <w:b/>
          <w:color w:val="auto"/>
          <w:w w:val="100"/>
          <w:sz w:val="21"/>
          <w:szCs w:val="21"/>
          <w:highlight w:val="none"/>
        </w:rPr>
      </w:pPr>
      <w:r>
        <w:rPr>
          <w:rFonts w:hint="eastAsia" w:hAnsi="宋体"/>
          <w:color w:val="auto"/>
          <w:w w:val="100"/>
          <w:kern w:val="2"/>
          <w:sz w:val="21"/>
          <w:szCs w:val="21"/>
          <w:highlight w:val="none"/>
          <w:lang w:val="en-US" w:eastAsia="zh-CN" w:bidi="ar-SA"/>
        </w:rPr>
        <w:t>合同履约</w:t>
      </w:r>
      <w:r>
        <w:rPr>
          <w:rFonts w:hint="eastAsia" w:ascii="宋体" w:hAnsi="宋体"/>
          <w:color w:val="auto"/>
          <w:w w:val="100"/>
          <w:kern w:val="2"/>
          <w:sz w:val="21"/>
          <w:szCs w:val="21"/>
          <w:highlight w:val="none"/>
          <w:lang w:val="en-US" w:eastAsia="zh-CN" w:bidi="ar-SA"/>
        </w:rPr>
        <w:t>期限：</w:t>
      </w:r>
      <w:r>
        <w:rPr>
          <w:rFonts w:hint="eastAsia" w:hAnsi="宋体"/>
          <w:color w:val="auto"/>
          <w:w w:val="100"/>
          <w:kern w:val="2"/>
          <w:sz w:val="21"/>
          <w:szCs w:val="21"/>
          <w:highlight w:val="none"/>
          <w:lang w:val="en-US" w:eastAsia="zh-CN" w:bidi="ar-SA"/>
        </w:rPr>
        <w:t>三</w:t>
      </w:r>
      <w:r>
        <w:rPr>
          <w:rFonts w:hint="eastAsia" w:ascii="宋体" w:hAnsi="宋体"/>
          <w:color w:val="auto"/>
          <w:w w:val="100"/>
          <w:kern w:val="2"/>
          <w:sz w:val="21"/>
          <w:szCs w:val="21"/>
          <w:highlight w:val="none"/>
          <w:lang w:val="en-US" w:eastAsia="zh-CN" w:bidi="ar-SA"/>
        </w:rPr>
        <w:t>年，合同一年一签，甲方根据乙方在上一阶段合同履约、考核及财政资金审批情况决定是否续签。</w:t>
      </w:r>
      <w:r>
        <w:rPr>
          <w:rFonts w:hint="eastAsia" w:hAnsi="宋体"/>
          <w:color w:val="auto"/>
          <w:w w:val="100"/>
          <w:kern w:val="2"/>
          <w:sz w:val="21"/>
          <w:szCs w:val="21"/>
          <w:highlight w:val="none"/>
          <w:lang w:val="en-US" w:eastAsia="zh-CN" w:bidi="ar-SA"/>
        </w:rPr>
        <w:t>本</w:t>
      </w:r>
      <w:r>
        <w:rPr>
          <w:rFonts w:hint="eastAsia" w:ascii="Times New Roman" w:hAnsi="Times New Roman"/>
          <w:b w:val="0"/>
          <w:bCs/>
          <w:color w:val="auto"/>
          <w:w w:val="100"/>
          <w:sz w:val="21"/>
          <w:szCs w:val="21"/>
          <w:highlight w:val="none"/>
        </w:rPr>
        <w:t>阶段</w:t>
      </w:r>
      <w:r>
        <w:rPr>
          <w:rFonts w:hint="eastAsia" w:hAnsi="宋体"/>
          <w:color w:val="auto"/>
          <w:w w:val="100"/>
          <w:kern w:val="2"/>
          <w:sz w:val="21"/>
          <w:szCs w:val="21"/>
          <w:highlight w:val="none"/>
          <w:lang w:val="en-US" w:eastAsia="zh-CN" w:bidi="ar-SA"/>
        </w:rPr>
        <w:t>合同</w:t>
      </w:r>
      <w:r>
        <w:rPr>
          <w:rFonts w:hint="eastAsia" w:ascii="Times New Roman" w:hAnsi="Times New Roman"/>
          <w:b w:val="0"/>
          <w:bCs/>
          <w:color w:val="auto"/>
          <w:w w:val="100"/>
          <w:sz w:val="21"/>
          <w:szCs w:val="21"/>
          <w:highlight w:val="none"/>
          <w:lang w:eastAsia="zh-CN"/>
        </w:rPr>
        <w:t>期限</w:t>
      </w:r>
      <w:r>
        <w:rPr>
          <w:rFonts w:hint="eastAsia" w:ascii="Times New Roman" w:hAnsi="Times New Roman"/>
          <w:b w:val="0"/>
          <w:bCs/>
          <w:color w:val="auto"/>
          <w:w w:val="100"/>
          <w:sz w:val="21"/>
          <w:szCs w:val="21"/>
          <w:highlight w:val="none"/>
        </w:rPr>
        <w:t>：自</w:t>
      </w:r>
      <w:r>
        <w:rPr>
          <w:rFonts w:hint="eastAsia" w:ascii="Times New Roman" w:hAnsi="Times New Roman"/>
          <w:b w:val="0"/>
          <w:bCs/>
          <w:color w:val="auto"/>
          <w:w w:val="100"/>
          <w:sz w:val="21"/>
          <w:szCs w:val="21"/>
          <w:highlight w:val="none"/>
          <w:u w:val="single"/>
        </w:rPr>
        <w:t xml:space="preserve">    </w:t>
      </w:r>
      <w:r>
        <w:rPr>
          <w:rFonts w:hint="eastAsia" w:ascii="Times New Roman" w:hAnsi="Times New Roman"/>
          <w:b w:val="0"/>
          <w:bCs/>
          <w:color w:val="auto"/>
          <w:w w:val="100"/>
          <w:sz w:val="21"/>
          <w:szCs w:val="21"/>
          <w:highlight w:val="none"/>
        </w:rPr>
        <w:t>年</w:t>
      </w:r>
      <w:r>
        <w:rPr>
          <w:rFonts w:hint="eastAsia" w:ascii="Times New Roman" w:hAnsi="Times New Roman"/>
          <w:b w:val="0"/>
          <w:bCs/>
          <w:color w:val="auto"/>
          <w:w w:val="100"/>
          <w:sz w:val="21"/>
          <w:szCs w:val="21"/>
          <w:highlight w:val="none"/>
          <w:u w:val="single"/>
        </w:rPr>
        <w:t xml:space="preserve">   </w:t>
      </w:r>
      <w:r>
        <w:rPr>
          <w:rFonts w:hint="eastAsia" w:ascii="Times New Roman" w:hAnsi="Times New Roman"/>
          <w:b w:val="0"/>
          <w:bCs/>
          <w:color w:val="auto"/>
          <w:w w:val="100"/>
          <w:sz w:val="21"/>
          <w:szCs w:val="21"/>
          <w:highlight w:val="none"/>
        </w:rPr>
        <w:t>月</w:t>
      </w:r>
      <w:r>
        <w:rPr>
          <w:rFonts w:hint="eastAsia" w:ascii="Times New Roman" w:hAnsi="Times New Roman"/>
          <w:b w:val="0"/>
          <w:bCs/>
          <w:color w:val="auto"/>
          <w:w w:val="100"/>
          <w:sz w:val="21"/>
          <w:szCs w:val="21"/>
          <w:highlight w:val="none"/>
          <w:u w:val="single"/>
        </w:rPr>
        <w:t xml:space="preserve">   </w:t>
      </w:r>
      <w:r>
        <w:rPr>
          <w:rFonts w:hint="eastAsia" w:ascii="Times New Roman" w:hAnsi="Times New Roman"/>
          <w:b w:val="0"/>
          <w:bCs/>
          <w:color w:val="auto"/>
          <w:w w:val="100"/>
          <w:sz w:val="21"/>
          <w:szCs w:val="21"/>
          <w:highlight w:val="none"/>
        </w:rPr>
        <w:t>日起至</w:t>
      </w:r>
      <w:r>
        <w:rPr>
          <w:rFonts w:hint="eastAsia" w:ascii="Times New Roman" w:hAnsi="Times New Roman"/>
          <w:b w:val="0"/>
          <w:bCs/>
          <w:color w:val="auto"/>
          <w:w w:val="100"/>
          <w:sz w:val="21"/>
          <w:szCs w:val="21"/>
          <w:highlight w:val="none"/>
          <w:u w:val="single"/>
        </w:rPr>
        <w:t xml:space="preserve">    </w:t>
      </w:r>
      <w:r>
        <w:rPr>
          <w:rFonts w:hint="eastAsia" w:ascii="Times New Roman" w:hAnsi="Times New Roman"/>
          <w:b w:val="0"/>
          <w:bCs/>
          <w:color w:val="auto"/>
          <w:w w:val="100"/>
          <w:sz w:val="21"/>
          <w:szCs w:val="21"/>
          <w:highlight w:val="none"/>
        </w:rPr>
        <w:t>年</w:t>
      </w:r>
      <w:r>
        <w:rPr>
          <w:rFonts w:hint="eastAsia" w:ascii="Times New Roman" w:hAnsi="Times New Roman"/>
          <w:b w:val="0"/>
          <w:bCs/>
          <w:color w:val="auto"/>
          <w:w w:val="100"/>
          <w:sz w:val="21"/>
          <w:szCs w:val="21"/>
          <w:highlight w:val="none"/>
          <w:u w:val="single"/>
        </w:rPr>
        <w:t xml:space="preserve">   </w:t>
      </w:r>
      <w:r>
        <w:rPr>
          <w:rFonts w:hint="eastAsia" w:ascii="Times New Roman" w:hAnsi="Times New Roman"/>
          <w:b w:val="0"/>
          <w:bCs/>
          <w:color w:val="auto"/>
          <w:w w:val="100"/>
          <w:sz w:val="21"/>
          <w:szCs w:val="21"/>
          <w:highlight w:val="none"/>
        </w:rPr>
        <w:t>月</w:t>
      </w:r>
      <w:r>
        <w:rPr>
          <w:rFonts w:hint="eastAsia" w:ascii="Times New Roman" w:hAnsi="Times New Roman"/>
          <w:b w:val="0"/>
          <w:bCs/>
          <w:color w:val="auto"/>
          <w:w w:val="100"/>
          <w:sz w:val="21"/>
          <w:szCs w:val="21"/>
          <w:highlight w:val="none"/>
          <w:u w:val="single"/>
        </w:rPr>
        <w:t xml:space="preserve">   </w:t>
      </w:r>
      <w:r>
        <w:rPr>
          <w:rFonts w:hint="eastAsia" w:ascii="Times New Roman" w:hAnsi="Times New Roman"/>
          <w:b w:val="0"/>
          <w:bCs/>
          <w:color w:val="auto"/>
          <w:w w:val="100"/>
          <w:sz w:val="21"/>
          <w:szCs w:val="21"/>
          <w:highlight w:val="none"/>
        </w:rPr>
        <w:t>日止。</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、合同文件组成及解释顺序：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1、下列文件一起组成本合同文件：</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（1）本合同</w:t>
      </w:r>
      <w:r>
        <w:rPr>
          <w:rFonts w:hint="eastAsia" w:ascii="宋体" w:hAnsi="宋体"/>
          <w:color w:val="auto"/>
          <w:szCs w:val="21"/>
          <w:highlight w:val="none"/>
          <w:lang w:eastAsia="zh-CN"/>
        </w:rPr>
        <w:t>协议书</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（2）中标通知书</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（3）招标补充文件及招标文件</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询标承诺、询疑答复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（5）投标</w:t>
      </w:r>
      <w:r>
        <w:rPr>
          <w:rFonts w:ascii="宋体" w:hAnsi="宋体"/>
          <w:color w:val="auto"/>
          <w:szCs w:val="21"/>
          <w:highlight w:val="none"/>
        </w:rPr>
        <w:t>文件</w:t>
      </w:r>
      <w:r>
        <w:rPr>
          <w:rFonts w:hint="eastAsia" w:ascii="宋体" w:hAnsi="宋体"/>
          <w:color w:val="auto"/>
          <w:szCs w:val="21"/>
          <w:highlight w:val="none"/>
        </w:rPr>
        <w:t>及其补充文件</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双方来函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合同文件组成的所有内容是构成合同不可分割的部分，与合同具有同等法律效力。</w:t>
      </w:r>
      <w:r>
        <w:rPr>
          <w:rFonts w:hint="eastAsia" w:ascii="宋体" w:hAnsi="宋体"/>
          <w:color w:val="auto"/>
          <w:szCs w:val="21"/>
          <w:highlight w:val="none"/>
        </w:rPr>
        <w:t>上述文件相互补充和解释，如有不明确或不一致之处，以上述次序在先者为准。</w:t>
      </w:r>
      <w:r>
        <w:rPr>
          <w:rFonts w:ascii="宋体" w:hAnsi="宋体"/>
          <w:color w:val="auto"/>
          <w:szCs w:val="21"/>
          <w:highlight w:val="none"/>
        </w:rPr>
        <w:t>除上述合同顺序外，合同文件之间有矛盾的，以较后时间制定的为准。</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b/>
          <w:color w:val="auto"/>
          <w:szCs w:val="21"/>
          <w:highlight w:val="none"/>
        </w:rPr>
      </w:pPr>
      <w:r>
        <w:rPr>
          <w:rFonts w:hint="eastAsia" w:ascii="宋体" w:hAnsi="宋体"/>
          <w:b/>
          <w:color w:val="auto"/>
          <w:szCs w:val="21"/>
          <w:highlight w:val="none"/>
        </w:rPr>
        <w:t>三、合同金额</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日常安保服务</w:t>
      </w:r>
      <w:r>
        <w:rPr>
          <w:rFonts w:hint="eastAsia" w:ascii="宋体" w:hAnsi="宋体"/>
          <w:color w:val="auto"/>
          <w:szCs w:val="21"/>
          <w:highlight w:val="none"/>
        </w:rPr>
        <w:t>合同金额为人民币（大写）：_______________元/年（小写：￥________元/年）；</w:t>
      </w:r>
      <w:r>
        <w:rPr>
          <w:rFonts w:hint="eastAsia" w:ascii="宋体" w:hAnsi="宋体"/>
          <w:color w:val="auto"/>
          <w:szCs w:val="21"/>
          <w:highlight w:val="none"/>
          <w:lang w:val="en-US" w:eastAsia="zh-CN"/>
        </w:rPr>
        <w:t>应急安保服务人员单价：春节时段按工作12小时/天，劳务费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元/人，非春节时段按工作12小时/天，劳务费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元/人；</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注：1、合同金额总/单价为履行合同的最终价格，包括但不限于人员工资【包括人员基本工资、各类福利和补贴（如高温补贴、加班补贴等）、社保（五险）、各种保险】、服装费、护卫装备、通讯费、技术支持与培训费用、利润、管理费、税金、招标代理服务费、政策性文件规定及合同包含的所有风险、责任等各项应有的费用，即完成本项目服务涉及的全部费用。除非因特殊原因并经双方协商同意，乙方不得再要求追加任何费用。同时，除非合同条款中另有规定，否则，乙方所报价格在合同实施期间不因市场变化和政策因素而变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乙方在报价时应充分考虑在合同执行期间，最低工资标准、社保缴费基数比例上调等政策因素变动情况。在合同执行期间，员工工资不得低于宁波</w:t>
      </w:r>
      <w:r>
        <w:rPr>
          <w:rFonts w:hint="eastAsia" w:ascii="宋体" w:hAnsi="宋体"/>
          <w:color w:val="auto"/>
          <w:szCs w:val="21"/>
          <w:highlight w:val="none"/>
          <w:lang w:eastAsia="zh-CN"/>
        </w:rPr>
        <w:t>市</w:t>
      </w:r>
      <w:r>
        <w:rPr>
          <w:rFonts w:ascii="宋体" w:hAnsi="宋体"/>
          <w:color w:val="auto"/>
          <w:szCs w:val="21"/>
          <w:highlight w:val="none"/>
        </w:rPr>
        <w:t>规定的当年最低工资标准，所有人员必须交纳包括养老、工伤、失业、生育、医疗、工会大病保险等在内的社会保障资金和住房公积金，不得低于宁波</w:t>
      </w:r>
      <w:r>
        <w:rPr>
          <w:rFonts w:hint="eastAsia" w:ascii="宋体" w:hAnsi="宋体"/>
          <w:color w:val="auto"/>
          <w:szCs w:val="21"/>
          <w:highlight w:val="none"/>
          <w:lang w:eastAsia="zh-CN"/>
        </w:rPr>
        <w:t>市</w:t>
      </w:r>
      <w:r>
        <w:rPr>
          <w:rFonts w:ascii="宋体" w:hAnsi="宋体"/>
          <w:color w:val="auto"/>
          <w:szCs w:val="21"/>
          <w:highlight w:val="none"/>
        </w:rPr>
        <w:t>规定的当年社保缴费数。</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jc w:val="left"/>
        <w:textAlignment w:val="auto"/>
        <w:rPr>
          <w:rFonts w:hAnsi="宋体" w:cs="宋体"/>
          <w:b/>
          <w:sz w:val="21"/>
          <w:szCs w:val="21"/>
        </w:rPr>
      </w:pPr>
      <w:r>
        <w:rPr>
          <w:rFonts w:hint="eastAsia" w:hAnsi="宋体" w:cs="宋体"/>
          <w:b/>
          <w:sz w:val="21"/>
          <w:szCs w:val="21"/>
          <w:lang w:val="en-US" w:eastAsia="zh-CN"/>
        </w:rPr>
        <w:t>四</w:t>
      </w:r>
      <w:r>
        <w:rPr>
          <w:rFonts w:hint="eastAsia" w:hAnsi="宋体" w:cs="宋体"/>
          <w:b/>
          <w:sz w:val="21"/>
          <w:szCs w:val="21"/>
        </w:rPr>
        <w:t>、技术资料</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ind w:firstLine="420" w:firstLineChars="200"/>
        <w:jc w:val="left"/>
        <w:textAlignment w:val="auto"/>
        <w:rPr>
          <w:rFonts w:hAnsi="宋体" w:cs="宋体"/>
          <w:sz w:val="21"/>
          <w:szCs w:val="21"/>
        </w:rPr>
      </w:pPr>
      <w:r>
        <w:rPr>
          <w:rFonts w:hint="eastAsia" w:hAnsi="宋体" w:cs="宋体"/>
          <w:sz w:val="21"/>
          <w:szCs w:val="21"/>
          <w:lang w:val="en-US" w:eastAsia="zh-CN"/>
        </w:rPr>
        <w:t>1、</w:t>
      </w:r>
      <w:r>
        <w:rPr>
          <w:rFonts w:hint="eastAsia" w:hAnsi="宋体" w:cs="宋体"/>
          <w:sz w:val="21"/>
          <w:szCs w:val="21"/>
        </w:rPr>
        <w:t>乙方应按采购文件规定的时间向甲方提供使用的有关技术资料。</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ind w:firstLine="420" w:firstLineChars="200"/>
        <w:jc w:val="left"/>
        <w:textAlignment w:val="auto"/>
        <w:rPr>
          <w:rFonts w:hAnsi="宋体" w:cs="宋体"/>
          <w:sz w:val="21"/>
          <w:szCs w:val="21"/>
        </w:rPr>
      </w:pPr>
      <w:r>
        <w:rPr>
          <w:rFonts w:hint="eastAsia" w:hAnsi="宋体" w:cs="宋体"/>
          <w:sz w:val="21"/>
          <w:szCs w:val="21"/>
          <w:lang w:val="en-US" w:eastAsia="zh-CN"/>
        </w:rPr>
        <w:t>2、</w:t>
      </w:r>
      <w:r>
        <w:rPr>
          <w:rFonts w:hint="eastAsia" w:hAnsi="宋体" w:cs="宋体"/>
          <w:sz w:val="21"/>
          <w:szCs w:val="21"/>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b/>
          <w:color w:val="auto"/>
          <w:szCs w:val="21"/>
          <w:highlight w:val="none"/>
        </w:rPr>
      </w:pPr>
      <w:r>
        <w:rPr>
          <w:rFonts w:hint="eastAsia" w:ascii="宋体" w:hAnsi="宋体"/>
          <w:b/>
          <w:color w:val="auto"/>
          <w:szCs w:val="21"/>
          <w:highlight w:val="none"/>
          <w:lang w:val="en-US" w:eastAsia="zh-CN"/>
        </w:rPr>
        <w:t>五</w:t>
      </w:r>
      <w:r>
        <w:rPr>
          <w:rFonts w:ascii="宋体" w:hAnsi="宋体"/>
          <w:b/>
          <w:color w:val="auto"/>
          <w:szCs w:val="21"/>
          <w:highlight w:val="none"/>
        </w:rPr>
        <w:t>、履约保证金</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1、乙方在合同签订后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个工作日内向甲方交纳人民币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元作为本合同的履约保证金。</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2、履约保证金形式：支票、汇票、本票或者金融机构、担保机构出具的保函等非现金形式提交；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履约保证金的退还：履约保证金在</w:t>
      </w:r>
      <w:r>
        <w:rPr>
          <w:rFonts w:hint="eastAsia" w:ascii="宋体" w:hAnsi="宋体"/>
          <w:color w:val="auto"/>
          <w:szCs w:val="21"/>
          <w:highlight w:val="none"/>
          <w:lang w:eastAsia="zh-CN"/>
        </w:rPr>
        <w:t>乙方</w:t>
      </w:r>
      <w:r>
        <w:rPr>
          <w:rFonts w:hint="eastAsia" w:ascii="宋体" w:hAnsi="宋体"/>
          <w:color w:val="auto"/>
          <w:szCs w:val="21"/>
          <w:highlight w:val="none"/>
        </w:rPr>
        <w:t>完成合同履约后视履行情况不计息退还，但如</w:t>
      </w:r>
      <w:r>
        <w:rPr>
          <w:rFonts w:hint="eastAsia" w:ascii="宋体" w:hAnsi="宋体"/>
          <w:color w:val="auto"/>
          <w:szCs w:val="21"/>
          <w:highlight w:val="none"/>
          <w:lang w:eastAsia="zh-CN"/>
        </w:rPr>
        <w:t>乙方</w:t>
      </w:r>
      <w:r>
        <w:rPr>
          <w:rFonts w:hint="eastAsia" w:ascii="宋体" w:hAnsi="宋体"/>
          <w:color w:val="auto"/>
          <w:szCs w:val="21"/>
          <w:highlight w:val="none"/>
        </w:rPr>
        <w:t>未履行或未完全履行合同规定的任何义务，给</w:t>
      </w:r>
      <w:r>
        <w:rPr>
          <w:rFonts w:hint="eastAsia" w:ascii="宋体" w:hAnsi="宋体"/>
          <w:color w:val="auto"/>
          <w:szCs w:val="21"/>
          <w:highlight w:val="none"/>
          <w:lang w:eastAsia="zh-CN"/>
        </w:rPr>
        <w:t>甲方</w:t>
      </w:r>
      <w:r>
        <w:rPr>
          <w:rFonts w:hint="eastAsia" w:ascii="宋体" w:hAnsi="宋体"/>
          <w:color w:val="auto"/>
          <w:szCs w:val="21"/>
          <w:highlight w:val="none"/>
        </w:rPr>
        <w:t>造成损失的，</w:t>
      </w:r>
      <w:r>
        <w:rPr>
          <w:rFonts w:hint="eastAsia" w:ascii="宋体" w:hAnsi="宋体"/>
          <w:color w:val="auto"/>
          <w:szCs w:val="21"/>
          <w:highlight w:val="none"/>
          <w:lang w:eastAsia="zh-CN"/>
        </w:rPr>
        <w:t>甲方</w:t>
      </w:r>
      <w:r>
        <w:rPr>
          <w:rFonts w:hint="eastAsia" w:ascii="宋体" w:hAnsi="宋体"/>
          <w:color w:val="auto"/>
          <w:szCs w:val="21"/>
          <w:highlight w:val="none"/>
        </w:rPr>
        <w:t>有权在其提交的履约保证金中获得相应赔偿，不足部分</w:t>
      </w:r>
      <w:r>
        <w:rPr>
          <w:rFonts w:hint="eastAsia" w:ascii="宋体" w:hAnsi="宋体"/>
          <w:color w:val="auto"/>
          <w:szCs w:val="21"/>
          <w:highlight w:val="none"/>
          <w:lang w:eastAsia="zh-CN"/>
        </w:rPr>
        <w:t>甲方</w:t>
      </w:r>
      <w:r>
        <w:rPr>
          <w:rFonts w:hint="eastAsia" w:ascii="宋体" w:hAnsi="宋体"/>
          <w:color w:val="auto"/>
          <w:szCs w:val="21"/>
          <w:highlight w:val="none"/>
        </w:rPr>
        <w:t>有权继续向</w:t>
      </w:r>
      <w:r>
        <w:rPr>
          <w:rFonts w:hint="eastAsia" w:ascii="宋体" w:hAnsi="宋体"/>
          <w:color w:val="auto"/>
          <w:szCs w:val="21"/>
          <w:highlight w:val="none"/>
          <w:lang w:eastAsia="zh-CN"/>
        </w:rPr>
        <w:t>乙方</w:t>
      </w:r>
      <w:r>
        <w:rPr>
          <w:rFonts w:hint="eastAsia" w:ascii="宋体" w:hAnsi="宋体"/>
          <w:color w:val="auto"/>
          <w:szCs w:val="21"/>
          <w:highlight w:val="none"/>
        </w:rPr>
        <w:t>追偿。</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jc w:val="left"/>
        <w:textAlignment w:val="auto"/>
        <w:rPr>
          <w:rFonts w:hAnsi="宋体" w:cs="宋体"/>
          <w:b/>
          <w:sz w:val="21"/>
          <w:szCs w:val="21"/>
          <w:highlight w:val="none"/>
        </w:rPr>
      </w:pPr>
      <w:r>
        <w:rPr>
          <w:rFonts w:hint="eastAsia" w:hAnsi="宋体" w:cs="宋体"/>
          <w:b/>
          <w:sz w:val="21"/>
          <w:szCs w:val="21"/>
          <w:highlight w:val="none"/>
          <w:lang w:val="en-US" w:eastAsia="zh-CN"/>
        </w:rPr>
        <w:t>六</w:t>
      </w:r>
      <w:r>
        <w:rPr>
          <w:rFonts w:hint="eastAsia" w:hAnsi="宋体" w:cs="宋体"/>
          <w:b/>
          <w:sz w:val="21"/>
          <w:szCs w:val="21"/>
          <w:highlight w:val="none"/>
        </w:rPr>
        <w:t>、转包或分包</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ind w:firstLine="420" w:firstLineChars="200"/>
        <w:jc w:val="left"/>
        <w:textAlignment w:val="auto"/>
        <w:rPr>
          <w:rFonts w:hAnsi="宋体" w:cs="宋体"/>
          <w:sz w:val="21"/>
          <w:szCs w:val="21"/>
        </w:rPr>
      </w:pPr>
      <w:r>
        <w:rPr>
          <w:rFonts w:hint="eastAsia" w:hAnsi="宋体" w:cs="宋体"/>
          <w:sz w:val="21"/>
          <w:szCs w:val="21"/>
        </w:rPr>
        <w:t>1</w:t>
      </w:r>
      <w:r>
        <w:rPr>
          <w:rFonts w:hint="eastAsia" w:hAnsi="宋体" w:cs="宋体"/>
          <w:sz w:val="21"/>
          <w:szCs w:val="21"/>
          <w:lang w:eastAsia="zh-CN"/>
        </w:rPr>
        <w:t>、</w:t>
      </w:r>
      <w:r>
        <w:rPr>
          <w:rFonts w:hint="eastAsia" w:hAnsi="宋体" w:cs="宋体"/>
          <w:sz w:val="21"/>
          <w:szCs w:val="21"/>
        </w:rPr>
        <w:t>本合同范围的服务，应由乙方直接提供，不得转让他人；</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ind w:firstLine="420" w:firstLineChars="200"/>
        <w:jc w:val="left"/>
        <w:textAlignment w:val="auto"/>
        <w:rPr>
          <w:rFonts w:hAnsi="宋体" w:cs="宋体"/>
          <w:sz w:val="21"/>
          <w:szCs w:val="21"/>
        </w:rPr>
      </w:pPr>
      <w:r>
        <w:rPr>
          <w:rFonts w:hint="eastAsia" w:hAnsi="宋体" w:cs="宋体"/>
          <w:sz w:val="21"/>
          <w:szCs w:val="21"/>
        </w:rPr>
        <w:t>2</w:t>
      </w:r>
      <w:r>
        <w:rPr>
          <w:rFonts w:hint="eastAsia" w:hAnsi="宋体" w:cs="宋体"/>
          <w:sz w:val="21"/>
          <w:szCs w:val="21"/>
          <w:lang w:eastAsia="zh-CN"/>
        </w:rPr>
        <w:t>、</w:t>
      </w:r>
      <w:r>
        <w:rPr>
          <w:rFonts w:hint="eastAsia" w:hAnsi="宋体" w:cs="宋体"/>
          <w:sz w:val="21"/>
          <w:szCs w:val="21"/>
        </w:rPr>
        <w:t>除非得到甲方的同意，负责乙方不得分包给他人；</w:t>
      </w:r>
    </w:p>
    <w:p>
      <w:pPr>
        <w:pStyle w:val="27"/>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exact"/>
        <w:ind w:firstLine="420" w:firstLineChars="200"/>
        <w:jc w:val="left"/>
        <w:textAlignment w:val="auto"/>
        <w:rPr>
          <w:rFonts w:hAnsi="宋体" w:cs="宋体"/>
          <w:sz w:val="21"/>
          <w:szCs w:val="21"/>
        </w:rPr>
      </w:pPr>
      <w:r>
        <w:rPr>
          <w:rFonts w:hint="eastAsia" w:hAnsi="宋体" w:cs="宋体"/>
          <w:sz w:val="21"/>
          <w:szCs w:val="21"/>
        </w:rPr>
        <w:t>3</w:t>
      </w:r>
      <w:r>
        <w:rPr>
          <w:rFonts w:hint="eastAsia" w:hAnsi="宋体" w:cs="宋体"/>
          <w:sz w:val="21"/>
          <w:szCs w:val="21"/>
          <w:lang w:eastAsia="zh-CN"/>
        </w:rPr>
        <w:t>、</w:t>
      </w:r>
      <w:r>
        <w:rPr>
          <w:rFonts w:hint="eastAsia" w:hAnsi="宋体" w:cs="宋体"/>
          <w:sz w:val="21"/>
          <w:szCs w:val="21"/>
        </w:rPr>
        <w:t>如有转让和未经甲方同意的分包行为，</w:t>
      </w:r>
      <w:r>
        <w:rPr>
          <w:rFonts w:hint="eastAsia" w:hAnsi="宋体" w:cs="宋体"/>
          <w:sz w:val="21"/>
          <w:szCs w:val="21"/>
          <w:lang w:val="en-US" w:eastAsia="zh-CN"/>
        </w:rPr>
        <w:t>甲方</w:t>
      </w:r>
      <w:r>
        <w:rPr>
          <w:rFonts w:hint="eastAsia" w:hAnsi="宋体" w:cs="宋体"/>
          <w:sz w:val="21"/>
          <w:szCs w:val="21"/>
        </w:rPr>
        <w:t>有权给予终止合同。</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b/>
          <w:color w:val="auto"/>
          <w:szCs w:val="21"/>
          <w:highlight w:val="none"/>
        </w:rPr>
      </w:pPr>
      <w:r>
        <w:rPr>
          <w:rFonts w:hint="eastAsia" w:ascii="宋体" w:hAnsi="宋体"/>
          <w:b/>
          <w:color w:val="auto"/>
          <w:szCs w:val="21"/>
          <w:highlight w:val="none"/>
          <w:lang w:val="en-US" w:eastAsia="zh-CN"/>
        </w:rPr>
        <w:t>七</w:t>
      </w:r>
      <w:r>
        <w:rPr>
          <w:rFonts w:ascii="宋体" w:hAnsi="宋体"/>
          <w:b/>
          <w:color w:val="auto"/>
          <w:szCs w:val="21"/>
          <w:highlight w:val="none"/>
        </w:rPr>
        <w:t>、</w:t>
      </w:r>
      <w:r>
        <w:rPr>
          <w:rFonts w:hint="eastAsia" w:ascii="宋体" w:hAnsi="宋体"/>
          <w:b/>
          <w:color w:val="auto"/>
          <w:szCs w:val="21"/>
          <w:highlight w:val="none"/>
        </w:rPr>
        <w:t>甲、乙双方权利和义务：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1、甲方权利义务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（1）代表和维护产权人、使用人的合法权益；审定乙方制定的管理服务方案、制度；</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（2）检查监督乙方根据招标文件、投标文件及管理方案的实施和制度的实行情况；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（3）审议乙方制订的年度管理计划；</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（4）按本合同的规定支付费用，并按有关规定提供给乙方必要的管理用房；</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（5）负责对乙方执行日常工作的监督及乙方派驻现场的工作人员的监督；</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（6）协助乙方做好服务管理工作的宣传教育和文化活动；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（7）处理合同期间在管理服务工作中需甲方出面协调的问题；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（8）负责对乙方管理服务工作质量的考核，考核标准详见招标文件。</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2、乙方权利义务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根据有关法律、法规及本合同的约定，制定管理服务方案及实施方案，按方案书的承诺履行合同，并配合甲方监管人员的业务检查，接受服务监管考核制度的约束，其考核结果作为费用正常支付和续签合同的重要依据；</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（2）需建立健全医院管理档案资料，如保安工作记录以及其他需要记录在案的文档，并做好各项保密工作；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（3）应认真听取甲方提出的建议和意见，并接受甲方的考核管理规定，对在服务管理中出现的问题和薄弱环节应立即整改；</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（4）对服务人员违反法规、规章的行为，根据情节轻重，采取批评、规劝、警告、制止等措施或提请有关部门处理；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（5）乙方应按照甲方要求做好日常节能工作；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（6）对本医院的公共设施不得擅自占用和改变使用功能，如需扩建或完善配套项目，须事先征得甲方同意，并报有关部门批准后，方可实施；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（7）本合同终止时，乙方必须向甲方移交全部管理用房、甲方资产及全部的管理档案资料；</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（8）乙方按有关规定为全体员工缴纳社会保险、人身意外伤害险等。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（9）本项目拟派的项目负责人</w:t>
      </w:r>
      <w:r>
        <w:rPr>
          <w:rFonts w:hint="eastAsia" w:ascii="宋体" w:hAnsi="宋体"/>
          <w:color w:val="auto"/>
          <w:szCs w:val="21"/>
          <w:highlight w:val="none"/>
          <w:u w:val="single"/>
        </w:rPr>
        <w:t xml:space="preserve">     </w:t>
      </w:r>
      <w:r>
        <w:rPr>
          <w:rFonts w:hint="eastAsia" w:ascii="宋体" w:hAnsi="宋体"/>
          <w:color w:val="auto"/>
          <w:szCs w:val="21"/>
          <w:highlight w:val="none"/>
        </w:rPr>
        <w:t>不参加本项目服务范围以外的工作。如经核实，拟派的项目负责人存在以上情况，</w:t>
      </w:r>
      <w:r>
        <w:rPr>
          <w:rFonts w:hint="eastAsia" w:ascii="宋体" w:hAnsi="宋体"/>
          <w:color w:val="auto"/>
          <w:szCs w:val="21"/>
          <w:highlight w:val="none"/>
          <w:lang w:eastAsia="zh-CN"/>
        </w:rPr>
        <w:t>乙方</w:t>
      </w:r>
      <w:r>
        <w:rPr>
          <w:rFonts w:hint="eastAsia" w:ascii="宋体" w:hAnsi="宋体"/>
          <w:color w:val="auto"/>
          <w:szCs w:val="21"/>
          <w:highlight w:val="none"/>
        </w:rPr>
        <w:t>无条件放弃并对由此给</w:t>
      </w:r>
      <w:r>
        <w:rPr>
          <w:rFonts w:hint="eastAsia" w:ascii="宋体" w:hAnsi="宋体"/>
          <w:color w:val="auto"/>
          <w:szCs w:val="21"/>
          <w:highlight w:val="none"/>
          <w:lang w:eastAsia="zh-CN"/>
        </w:rPr>
        <w:t>甲方</w:t>
      </w:r>
      <w:r>
        <w:rPr>
          <w:rFonts w:hint="eastAsia" w:ascii="宋体" w:hAnsi="宋体"/>
          <w:color w:val="auto"/>
          <w:szCs w:val="21"/>
          <w:highlight w:val="none"/>
        </w:rPr>
        <w:t>带来的损失给予补偿。</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八</w:t>
      </w:r>
      <w:r>
        <w:rPr>
          <w:rFonts w:hint="eastAsia" w:ascii="宋体" w:hAnsi="宋体"/>
          <w:b/>
          <w:color w:val="auto"/>
          <w:szCs w:val="21"/>
          <w:highlight w:val="none"/>
        </w:rPr>
        <w:t>、甲、乙双方责任限定：</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1、乙方工作人员在服务过程中，因其工作失职造成甲方损失的．乙方应承担相应的经济赔偿，最高不超过当月服务费的5%。</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2、甲方禁止安排乙方工作人员参与其他违反法律规定及工作职责以外的活动，违者由甲方承担法律和经济责任。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3、因不可抗力或甲方自身原因造成的经济损失，乙方不承担责任。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4、乙方工作人员在工作期间发生的各类受伤、致残、身亡等事故，由乙方全权负责。</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5、乙方工作人员中途辞职，乙方应在5天内补足。</w:t>
      </w:r>
    </w:p>
    <w:p>
      <w:pPr>
        <w:pStyle w:val="18"/>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1"/>
        <w:rPr>
          <w:rFonts w:ascii="宋体" w:hAnsi="宋体" w:cs="宋体"/>
          <w:b/>
          <w:bCs/>
          <w:color w:val="auto"/>
          <w:szCs w:val="21"/>
          <w:highlight w:val="none"/>
        </w:rPr>
      </w:pPr>
      <w:r>
        <w:rPr>
          <w:rFonts w:hint="eastAsia" w:ascii="宋体" w:hAnsi="宋体" w:cs="宋体"/>
          <w:b/>
          <w:bCs/>
          <w:color w:val="auto"/>
          <w:szCs w:val="21"/>
          <w:highlight w:val="none"/>
          <w:lang w:val="en-US" w:eastAsia="zh-CN"/>
        </w:rPr>
        <w:t>九、</w:t>
      </w:r>
      <w:r>
        <w:rPr>
          <w:rFonts w:hint="eastAsia" w:ascii="宋体" w:hAnsi="宋体" w:cs="宋体"/>
          <w:b/>
          <w:bCs/>
          <w:color w:val="auto"/>
          <w:szCs w:val="21"/>
          <w:highlight w:val="none"/>
        </w:rPr>
        <w:t>考核及服务经费核拨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（一）服务经费的结算</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1、日常安保服务：根据考核结果</w:t>
      </w:r>
      <w:r>
        <w:rPr>
          <w:rFonts w:hint="eastAsia" w:ascii="宋体" w:hAnsi="宋体" w:eastAsia="宋体" w:cs="Times New Roman"/>
          <w:b w:val="0"/>
          <w:bCs w:val="0"/>
          <w:color w:val="auto"/>
          <w:szCs w:val="21"/>
          <w:highlight w:val="none"/>
          <w:lang w:val="en-US" w:eastAsia="zh-CN"/>
        </w:rPr>
        <w:t>按月结算。</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2、应急安保服务：</w:t>
      </w:r>
      <w:r>
        <w:rPr>
          <w:rFonts w:hint="eastAsia" w:ascii="宋体" w:hAnsi="宋体" w:eastAsia="宋体" w:cs="Times New Roman"/>
          <w:b w:val="0"/>
          <w:bCs w:val="0"/>
          <w:color w:val="auto"/>
          <w:szCs w:val="21"/>
          <w:highlight w:val="none"/>
          <w:lang w:val="en-US" w:eastAsia="zh-CN"/>
        </w:rPr>
        <w:t>应急一年分二个时段，春节时段（春节前I5天，春节后30天，计45天）和非春节时段，费用按实结算支付。结算价=中标单价×实际人数×实际天数。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（二）服务经费的核拨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服务经费按月结算并核拨一次；在每月25日前，乙方根据双方确认的考核结果以及符合采购人财务规定的正规发票，到采购人财务部门办理结算，采购人在下月20日前支付上月费用。由考核成绩所引起的经济处罚在所拨付的服务款项中直接予以扣除。</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（三）考核说明</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按招标文件要求提供优质的服务，并接受甲方的考核和奖惩。保安服务工作的考核严格按照本合同附件《宁波市鄞州区第二医院保安服务考核标准》进行，无条件接受甲方定期或不定期的检查监督。</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由甲方考核小组每月进行考核，合同签订后每12个月为一个考核周期。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考核总分100分，考核成绩分为三档，考核周期内成绩不转入下个考核周期。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1、考核分数≥95分，视为“优秀”，全额核拨当月服务费用；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2、90分≤考核分数＜95分，视为“良好”，以95分为基准，每低一分扣当月服务费用的1%；</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3、考核分数＜90分，根据考核分数按以下标准从当月支付款项中扣除相应服务经费。</w:t>
      </w:r>
    </w:p>
    <w:p>
      <w:pPr>
        <w:pageBreakBefore w:val="0"/>
        <w:kinsoku/>
        <w:wordWrap/>
        <w:overflowPunct/>
        <w:topLinePunct w:val="0"/>
        <w:autoSpaceDE/>
        <w:autoSpaceDN/>
        <w:bidi w:val="0"/>
        <w:adjustRightInd w:val="0"/>
        <w:snapToGrid w:val="0"/>
        <w:spacing w:line="5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（1）80分≤考核分数＜90分，视为“基本合格”。在考核周期内，第1次考核出现“基本合格”的，低于90分的，每低1分，扣5000元，上限50000元，考核累计出现2次及以上“基本合格”的，扣当月服务费的10%。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color w:val="auto"/>
          <w:szCs w:val="21"/>
          <w:highlight w:val="none"/>
          <w:lang w:val="en-US" w:eastAsia="zh-CN"/>
        </w:rPr>
      </w:pPr>
      <w:r>
        <w:rPr>
          <w:rFonts w:hint="eastAsia" w:ascii="宋体" w:hAnsi="宋体"/>
          <w:color w:val="auto"/>
          <w:szCs w:val="21"/>
          <w:highlight w:val="none"/>
          <w:lang w:val="en-US" w:eastAsia="zh-CN"/>
        </w:rPr>
        <w:t>（2）考核分数＜80分，视为“不合格”。在考核周期内，第1次考核出现“不合格”的，扣当月服务费的10%，考核累计出现2次“不合格”的，扣当月服务费的20%，考核累计出现3次“不合格”的，</w:t>
      </w:r>
      <w:r>
        <w:rPr>
          <w:rFonts w:hint="eastAsia" w:ascii="宋体" w:hAnsi="宋体"/>
          <w:b w:val="0"/>
          <w:bCs w:val="0"/>
          <w:color w:val="auto"/>
          <w:szCs w:val="21"/>
          <w:highlight w:val="none"/>
          <w:lang w:val="en-US" w:eastAsia="zh-CN"/>
        </w:rPr>
        <w:t>甲方有权单方终止合同，不退还履约保证金，并保留追究供应商因此给甲方造成的一切经济损失及违约责任。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center"/>
        <w:textAlignment w:val="auto"/>
        <w:outlineLvl w:val="9"/>
        <w:rPr>
          <w:rFonts w:hint="eastAsia" w:ascii="宋体" w:hAnsi="宋体"/>
          <w:b/>
          <w:color w:val="auto"/>
          <w:szCs w:val="21"/>
          <w:highlight w:val="none"/>
        </w:rPr>
      </w:pPr>
      <w:r>
        <w:rPr>
          <w:rFonts w:hint="eastAsia" w:ascii="宋体" w:hAnsi="宋体"/>
          <w:b w:val="0"/>
          <w:bCs w:val="0"/>
          <w:color w:val="auto"/>
          <w:szCs w:val="21"/>
          <w:highlight w:val="none"/>
          <w:lang w:val="en-US" w:eastAsia="zh-CN"/>
        </w:rPr>
        <w:t>★以上扣发部分的服务经费，直接在当月核拨的服务经费中扣除，均不以任何形式再核拨。</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十</w:t>
      </w:r>
      <w:r>
        <w:rPr>
          <w:rFonts w:hint="eastAsia" w:ascii="宋体" w:hAnsi="宋体"/>
          <w:b/>
          <w:color w:val="auto"/>
          <w:szCs w:val="21"/>
          <w:highlight w:val="none"/>
        </w:rPr>
        <w:t>、合同的变更、终止及违约责任：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1、甲方在乙方存在如下违约情况时，有权单方面终止全部或部分合同，乙方所交的履约保证金不予退还，并保留进一步追究乙方责任的权利（包括经济赔偿）。</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（1）乙方未能履行合同规定的义务；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（2）在考核周期内，第3次出现考核不合格；</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（3）有严重影响医院有关科室的正常工作及医院形象；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（4）与招标文件不符合的做法，或不履行其投标文件的承诺；</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存在其他违约行为经甲方书面催告后仍不改正的；</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在合同有效期内，对本合同范围内的工作内容乙方擅自委托或转包给其它单位或个人</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2、乙方如要提前中止合同，需提前3个月，并征得甲方同意，否则按合同执行。</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（1）乙方不能履行合同义务，应按未履行部分合同价格的10%向甲方偿付违约金，同时履约保证金不予退还。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（2）如乙方未能履行合同规定的任何一项义务，甲方均有权从履约保证金中得到补偿。</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（3）因甲方原因发生中途终止合同，应向乙方偿付违约金，违约金按未履行部分合同价格的2%计算。</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（4）经双方协商可终止部分或全部合同的，无须承担违约责任。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乙方因工作疏忽而造成甲方财产损失的，乙方应按损失的价值照价赔偿。</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乙方工作人员在工作时间违反</w:t>
      </w:r>
      <w:r>
        <w:rPr>
          <w:rFonts w:hint="eastAsia" w:ascii="宋体" w:hAnsi="宋体"/>
          <w:color w:val="auto"/>
          <w:szCs w:val="21"/>
          <w:highlight w:val="none"/>
        </w:rPr>
        <w:t>甲</w:t>
      </w:r>
      <w:r>
        <w:rPr>
          <w:rFonts w:ascii="宋体" w:hAnsi="宋体"/>
          <w:color w:val="auto"/>
          <w:szCs w:val="21"/>
          <w:highlight w:val="none"/>
        </w:rPr>
        <w:t>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乙方在投标文件中承诺的项目负责人，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项目负责人时，未经甲方书面批准，乙方应承担相应的违约金，违约金标准：项目负责人更换10万元/人.次，违约金由甲方在款项支付中直接扣除。同时，甲方保留解除合同的权利，由此引起的相关损失由乙方赔偿。</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、其他违约情形：</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（1）乙方在院部检查中发现问题的，每次扣500元。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（2）乙方在上级检查中发现问题点名批评的，每次扣1000元。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（3）乙方服务态度或者服务不满意被投诉到院部的，经查实，每次扣500元；投诉到上级部门或各类媒体的，经查实，每次扣1000元。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（4）乙方人员缺岗且无正当理由的，每人次扣1000元。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（5）乙方未按招标文件要求配置人员装备及办公设备的，或配置的装备及办公设备质量、数量不能满足日常需要的，每次扣1000元。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（6）乙方未确保投标承诺的人员到位，或人员素质不符合招标文件要求，或与投标承诺不一致的，每人次扣1000元。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（7）甲方要求乙方变动或更换人员，乙方未在规定时间内变动或更换的，每人次扣1000元。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（8）乙方月人员更换超过5%（不含5%），每次扣5000元。未在10个工作日内补齐的，每次扣10000元。一个年度内超过三次未在10个工作日内补齐的，加扣50000元。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乙方未按招标文件要求支付工资、加班薪资，缴纳各种社会保险，每人次扣1000元。且乙方无条件接受甲方在支付费用时扣除相应的少支付的费用，并将此费用直接支付给员工，由此造成的一切后果承担全部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（10）乙方未按招标文件要求对人员进行培训、体检的，每人次扣500元。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（11）乙方员工兼职，每人次扣1000元。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（12）乙方未能及时提供职工社会保险缴纳情况清单、在职职工花名册和作业人员分布表，每次扣500元。</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b/>
          <w:color w:val="auto"/>
          <w:szCs w:val="21"/>
          <w:highlight w:val="none"/>
        </w:rPr>
      </w:pPr>
      <w:r>
        <w:rPr>
          <w:rFonts w:hint="eastAsia" w:ascii="宋体" w:hAnsi="宋体"/>
          <w:b/>
          <w:color w:val="auto"/>
          <w:szCs w:val="21"/>
          <w:highlight w:val="none"/>
          <w:lang w:val="en-US" w:eastAsia="zh-CN"/>
        </w:rPr>
        <w:t>十一</w:t>
      </w:r>
      <w:r>
        <w:rPr>
          <w:rFonts w:hint="eastAsia" w:ascii="宋体" w:hAnsi="宋体"/>
          <w:b/>
          <w:color w:val="auto"/>
          <w:szCs w:val="21"/>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1、工作人员的工资、福利、津贴由乙方支付，乙方负责解决或处理所有员工的社会保险及劳资纠纷。</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2、乙方每月不少于4次对在院工作人员进行专业培训、检查、教育。</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3、乙方必须保证确保服务质量，保证医院服务人员队伍的稳定。院方每周不少于1次对在院工作人员进行抽查。</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4、服务人员的管理调配由乙方负责，医院相关部门配合管理。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5、甲方和乙方在检查、管理过程中，发现服务人员在工作中有违纪行为，乙方应对其进行批评教育，并给予一定的经济处罚，若员工有严重违规行为的，甲方有权要求乙方将其退回。</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6、如果乙方破产或无清偿能力时，甲方可在任何时候以书面通知乙方终止合同。该终止合同将不损害或影响甲方已经采取或将要采取的补救措施的权利。</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二</w:t>
      </w:r>
      <w:r>
        <w:rPr>
          <w:rFonts w:ascii="宋体" w:hAnsi="宋体"/>
          <w:b/>
          <w:color w:val="auto"/>
          <w:szCs w:val="21"/>
          <w:highlight w:val="none"/>
        </w:rPr>
        <w:t>、不可抗力事件处理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olor w:val="auto"/>
          <w:szCs w:val="21"/>
          <w:highlight w:val="none"/>
        </w:rPr>
      </w:pPr>
      <w:r>
        <w:rPr>
          <w:rFonts w:ascii="宋体" w:hAnsi="宋体"/>
          <w:color w:val="auto"/>
          <w:szCs w:val="21"/>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olor w:val="auto"/>
          <w:szCs w:val="21"/>
          <w:highlight w:val="none"/>
        </w:rPr>
      </w:pPr>
      <w:r>
        <w:rPr>
          <w:rFonts w:ascii="宋体" w:hAnsi="宋体"/>
          <w:color w:val="auto"/>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olor w:val="auto"/>
          <w:szCs w:val="21"/>
          <w:highlight w:val="none"/>
        </w:rPr>
      </w:pPr>
      <w:r>
        <w:rPr>
          <w:rFonts w:ascii="宋体" w:hAnsi="宋体"/>
          <w:color w:val="auto"/>
          <w:szCs w:val="21"/>
          <w:highlight w:val="none"/>
        </w:rPr>
        <w:t>3、不可抗力事件延续</w:t>
      </w:r>
      <w:r>
        <w:rPr>
          <w:rFonts w:hint="eastAsia" w:ascii="宋体" w:hAnsi="宋体"/>
          <w:color w:val="auto"/>
          <w:szCs w:val="21"/>
          <w:highlight w:val="none"/>
        </w:rPr>
        <w:t>10</w:t>
      </w:r>
      <w:r>
        <w:rPr>
          <w:rFonts w:ascii="宋体" w:hAnsi="宋体"/>
          <w:color w:val="auto"/>
          <w:szCs w:val="21"/>
          <w:highlight w:val="none"/>
        </w:rPr>
        <w:t>天</w:t>
      </w:r>
      <w:r>
        <w:rPr>
          <w:rFonts w:hint="eastAsia" w:ascii="宋体" w:hAnsi="宋体"/>
          <w:color w:val="auto"/>
          <w:szCs w:val="21"/>
          <w:highlight w:val="none"/>
        </w:rPr>
        <w:t>及</w:t>
      </w:r>
      <w:r>
        <w:rPr>
          <w:rFonts w:ascii="宋体" w:hAnsi="宋体"/>
          <w:color w:val="auto"/>
          <w:szCs w:val="21"/>
          <w:highlight w:val="none"/>
        </w:rPr>
        <w:t>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三</w:t>
      </w:r>
      <w:r>
        <w:rPr>
          <w:rFonts w:ascii="宋体" w:hAnsi="宋体"/>
          <w:b/>
          <w:color w:val="auto"/>
          <w:szCs w:val="21"/>
          <w:highlight w:val="none"/>
        </w:rPr>
        <w:t>、</w:t>
      </w:r>
      <w:r>
        <w:rPr>
          <w:rFonts w:hint="eastAsia" w:ascii="宋体" w:hAnsi="宋体"/>
          <w:b/>
          <w:color w:val="auto"/>
          <w:szCs w:val="21"/>
          <w:highlight w:val="none"/>
        </w:rPr>
        <w:t>争议的解决</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本合同在履行过程中发生争议时，当事人双方应及时协调解决。协商不成时，由甲方所在地仲裁委员会仲裁。</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四</w:t>
      </w:r>
      <w:r>
        <w:rPr>
          <w:rFonts w:ascii="宋体" w:hAnsi="宋体"/>
          <w:b/>
          <w:color w:val="auto"/>
          <w:szCs w:val="21"/>
          <w:highlight w:val="none"/>
        </w:rPr>
        <w:t>、合同生效及其它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、本合同未尽事宜，经</w:t>
      </w:r>
      <w:r>
        <w:rPr>
          <w:rFonts w:hint="eastAsia" w:ascii="宋体" w:hAnsi="宋体"/>
          <w:color w:val="auto"/>
          <w:szCs w:val="21"/>
          <w:highlight w:val="none"/>
        </w:rPr>
        <w:t>双方</w:t>
      </w:r>
      <w:r>
        <w:rPr>
          <w:rFonts w:ascii="宋体" w:hAnsi="宋体"/>
          <w:color w:val="auto"/>
          <w:szCs w:val="21"/>
          <w:highlight w:val="none"/>
        </w:rPr>
        <w:t>协商一致，签订补充协议，补充协议与本协议书具有同等效力。</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auto"/>
          <w:w w:val="100"/>
          <w:szCs w:val="21"/>
          <w:highlight w:val="none"/>
        </w:rPr>
      </w:pPr>
      <w:r>
        <w:rPr>
          <w:rFonts w:hint="eastAsia" w:ascii="宋体" w:hAnsi="宋体"/>
          <w:color w:val="auto"/>
          <w:w w:val="100"/>
          <w:szCs w:val="21"/>
          <w:highlight w:val="none"/>
        </w:rPr>
        <w:t>3</w:t>
      </w:r>
      <w:r>
        <w:rPr>
          <w:rFonts w:ascii="宋体" w:hAnsi="宋体"/>
          <w:color w:val="auto"/>
          <w:w w:val="100"/>
          <w:szCs w:val="21"/>
          <w:highlight w:val="none"/>
        </w:rPr>
        <w:t>、</w:t>
      </w:r>
      <w:r>
        <w:rPr>
          <w:rFonts w:ascii="Times New Roman" w:hAnsi="Times New Roman"/>
          <w:color w:val="auto"/>
          <w:w w:val="100"/>
          <w:highlight w:val="none"/>
        </w:rPr>
        <w:t>本合同正本一式</w:t>
      </w:r>
      <w:r>
        <w:rPr>
          <w:rFonts w:ascii="Times New Roman" w:hAnsi="Times New Roman"/>
          <w:color w:val="auto"/>
          <w:w w:val="100"/>
          <w:highlight w:val="none"/>
          <w:u w:val="single"/>
        </w:rPr>
        <w:t xml:space="preserve"> </w:t>
      </w:r>
      <w:r>
        <w:rPr>
          <w:rFonts w:hint="eastAsia" w:ascii="Times New Roman" w:hAnsi="Times New Roman"/>
          <w:color w:val="auto"/>
          <w:w w:val="100"/>
          <w:highlight w:val="none"/>
          <w:u w:val="single"/>
          <w:lang w:val="en-US" w:eastAsia="zh-CN"/>
        </w:rPr>
        <w:t>壹拾</w:t>
      </w:r>
      <w:r>
        <w:rPr>
          <w:rFonts w:ascii="Times New Roman" w:hAnsi="Times New Roman"/>
          <w:color w:val="auto"/>
          <w:w w:val="100"/>
          <w:highlight w:val="none"/>
          <w:u w:val="single"/>
        </w:rPr>
        <w:t xml:space="preserve"> </w:t>
      </w:r>
      <w:r>
        <w:rPr>
          <w:rFonts w:ascii="Times New Roman" w:hAnsi="Times New Roman"/>
          <w:color w:val="auto"/>
          <w:w w:val="100"/>
          <w:highlight w:val="none"/>
        </w:rPr>
        <w:t>份，具有同等法律效力，甲乙双方各执</w:t>
      </w:r>
      <w:r>
        <w:rPr>
          <w:rFonts w:ascii="Times New Roman" w:hAnsi="Times New Roman"/>
          <w:color w:val="auto"/>
          <w:w w:val="100"/>
          <w:highlight w:val="none"/>
          <w:u w:val="single"/>
        </w:rPr>
        <w:t xml:space="preserve"> </w:t>
      </w:r>
      <w:r>
        <w:rPr>
          <w:rFonts w:hint="eastAsia" w:ascii="Times New Roman" w:hAnsi="Times New Roman"/>
          <w:color w:val="auto"/>
          <w:w w:val="100"/>
          <w:highlight w:val="none"/>
          <w:u w:val="single"/>
          <w:lang w:val="en-US" w:eastAsia="zh-CN"/>
        </w:rPr>
        <w:t>肆</w:t>
      </w:r>
      <w:r>
        <w:rPr>
          <w:rFonts w:ascii="Times New Roman" w:hAnsi="Times New Roman"/>
          <w:color w:val="auto"/>
          <w:w w:val="100"/>
          <w:highlight w:val="none"/>
          <w:u w:val="single"/>
        </w:rPr>
        <w:t xml:space="preserve"> </w:t>
      </w:r>
      <w:r>
        <w:rPr>
          <w:rFonts w:ascii="Times New Roman" w:hAnsi="Times New Roman"/>
          <w:color w:val="auto"/>
          <w:w w:val="100"/>
          <w:highlight w:val="none"/>
        </w:rPr>
        <w:t>份，浙江凯翔工程咨询管理有限公司</w:t>
      </w:r>
      <w:r>
        <w:rPr>
          <w:rFonts w:ascii="Times New Roman" w:hAnsi="Times New Roman"/>
          <w:color w:val="auto"/>
          <w:w w:val="100"/>
          <w:highlight w:val="none"/>
          <w:u w:val="single"/>
        </w:rPr>
        <w:t xml:space="preserve"> </w:t>
      </w:r>
      <w:r>
        <w:rPr>
          <w:rFonts w:hint="eastAsia" w:ascii="Times New Roman" w:hAnsi="Times New Roman"/>
          <w:color w:val="auto"/>
          <w:w w:val="100"/>
          <w:highlight w:val="none"/>
          <w:u w:val="single"/>
          <w:lang w:val="en-US" w:eastAsia="zh-CN"/>
        </w:rPr>
        <w:t>壹</w:t>
      </w:r>
      <w:r>
        <w:rPr>
          <w:rFonts w:ascii="Times New Roman" w:hAnsi="Times New Roman"/>
          <w:color w:val="auto"/>
          <w:w w:val="100"/>
          <w:highlight w:val="none"/>
          <w:u w:val="single"/>
        </w:rPr>
        <w:t xml:space="preserve"> </w:t>
      </w:r>
      <w:r>
        <w:rPr>
          <w:rFonts w:ascii="Times New Roman" w:hAnsi="Times New Roman"/>
          <w:color w:val="auto"/>
          <w:w w:val="100"/>
          <w:highlight w:val="none"/>
        </w:rPr>
        <w:t>份</w:t>
      </w:r>
      <w:r>
        <w:rPr>
          <w:rFonts w:hint="eastAsia" w:ascii="Times New Roman" w:hAnsi="Times New Roman"/>
          <w:color w:val="auto"/>
          <w:w w:val="100"/>
          <w:highlight w:val="none"/>
          <w:lang w:eastAsia="zh-CN"/>
        </w:rPr>
        <w:t>，鄞州采购监督管理办公室备案</w:t>
      </w:r>
      <w:r>
        <w:rPr>
          <w:rFonts w:ascii="Times New Roman" w:hAnsi="Times New Roman"/>
          <w:color w:val="auto"/>
          <w:w w:val="100"/>
          <w:highlight w:val="none"/>
          <w:u w:val="single"/>
        </w:rPr>
        <w:t xml:space="preserve"> </w:t>
      </w:r>
      <w:r>
        <w:rPr>
          <w:rFonts w:hint="eastAsia" w:ascii="Times New Roman" w:hAnsi="Times New Roman"/>
          <w:color w:val="auto"/>
          <w:w w:val="100"/>
          <w:highlight w:val="none"/>
          <w:u w:val="single"/>
          <w:lang w:val="en-US" w:eastAsia="zh-CN"/>
        </w:rPr>
        <w:t>壹</w:t>
      </w:r>
      <w:r>
        <w:rPr>
          <w:rFonts w:ascii="Times New Roman" w:hAnsi="Times New Roman"/>
          <w:color w:val="auto"/>
          <w:w w:val="100"/>
          <w:highlight w:val="none"/>
          <w:u w:val="single"/>
        </w:rPr>
        <w:t xml:space="preserve"> </w:t>
      </w:r>
      <w:r>
        <w:rPr>
          <w:rFonts w:ascii="Times New Roman" w:hAnsi="Times New Roman"/>
          <w:color w:val="auto"/>
          <w:w w:val="100"/>
          <w:highlight w:val="none"/>
        </w:rPr>
        <w:t>份。</w:t>
      </w:r>
    </w:p>
    <w:p>
      <w:pPr>
        <w:keepNext w:val="0"/>
        <w:keepLines w:val="0"/>
        <w:pageBreakBefore w:val="0"/>
        <w:kinsoku/>
        <w:wordWrap/>
        <w:overflowPunct/>
        <w:topLinePunct w:val="0"/>
        <w:autoSpaceDE/>
        <w:autoSpaceDN/>
        <w:bidi w:val="0"/>
        <w:adjustRightInd w:val="0"/>
        <w:snapToGrid w:val="0"/>
        <w:spacing w:line="500" w:lineRule="exact"/>
        <w:textAlignment w:val="auto"/>
        <w:outlineLvl w:val="9"/>
        <w:rPr>
          <w:rFonts w:hint="eastAsia" w:ascii="宋体" w:hAnsi="宋体" w:eastAsia="宋体" w:cs="宋体"/>
          <w:color w:val="auto"/>
          <w:w w:val="100"/>
          <w:sz w:val="21"/>
          <w:szCs w:val="21"/>
          <w:highlight w:val="none"/>
        </w:rPr>
      </w:pPr>
    </w:p>
    <w:p>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 xml:space="preserve">甲方：                                   乙方： </w:t>
      </w:r>
    </w:p>
    <w:p>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 xml:space="preserve">地址：                                   地址： </w:t>
      </w:r>
    </w:p>
    <w:p>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法定（授权）代表人：                     法定（授权）代表人：</w:t>
      </w:r>
    </w:p>
    <w:p>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签字日期：      年  月  日               签字日期：      年  月  日</w:t>
      </w:r>
    </w:p>
    <w:p>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 xml:space="preserve">电    话：                               电    话： </w:t>
      </w:r>
    </w:p>
    <w:p>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传    真：                               传    真：</w:t>
      </w:r>
    </w:p>
    <w:p>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 xml:space="preserve">开户银行：                               开户银行：       </w:t>
      </w:r>
    </w:p>
    <w:p>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账    号：                               账    号：</w:t>
      </w:r>
    </w:p>
    <w:p>
      <w:pPr>
        <w:keepNext w:val="0"/>
        <w:keepLines w:val="0"/>
        <w:pageBreakBefore w:val="0"/>
        <w:kinsoku/>
        <w:wordWrap/>
        <w:overflowPunct/>
        <w:topLinePunct w:val="0"/>
        <w:autoSpaceDE/>
        <w:autoSpaceDN/>
        <w:bidi w:val="0"/>
        <w:adjustRightInd w:val="0"/>
        <w:snapToGrid w:val="0"/>
        <w:spacing w:line="500" w:lineRule="exact"/>
        <w:textAlignment w:val="auto"/>
        <w:outlineLvl w:val="9"/>
        <w:rPr>
          <w:rFonts w:hint="eastAsia" w:ascii="宋体" w:hAnsi="宋体" w:eastAsia="宋体" w:cs="宋体"/>
          <w:color w:val="auto"/>
          <w:w w:val="100"/>
          <w:sz w:val="21"/>
          <w:szCs w:val="21"/>
          <w:highlight w:val="none"/>
        </w:rPr>
      </w:pPr>
    </w:p>
    <w:p>
      <w:pPr>
        <w:keepNext w:val="0"/>
        <w:keepLines w:val="0"/>
        <w:pageBreakBefore w:val="0"/>
        <w:kinsoku/>
        <w:wordWrap/>
        <w:overflowPunct/>
        <w:topLinePunct w:val="0"/>
        <w:autoSpaceDE/>
        <w:autoSpaceDN/>
        <w:bidi w:val="0"/>
        <w:adjustRightInd w:val="0"/>
        <w:snapToGrid w:val="0"/>
        <w:spacing w:line="500" w:lineRule="exact"/>
        <w:ind w:left="0" w:leftChars="0" w:firstLine="420" w:firstLineChars="200"/>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合同鉴证方：</w:t>
      </w:r>
      <w:r>
        <w:rPr>
          <w:rFonts w:hint="eastAsia" w:ascii="宋体" w:hAnsi="宋体" w:eastAsia="宋体" w:cs="宋体"/>
          <w:color w:val="auto"/>
          <w:w w:val="100"/>
          <w:sz w:val="21"/>
          <w:szCs w:val="21"/>
          <w:highlight w:val="none"/>
          <w:lang w:eastAsia="zh-CN"/>
        </w:rPr>
        <w:t>浙</w:t>
      </w:r>
      <w:r>
        <w:rPr>
          <w:rFonts w:hint="eastAsia" w:ascii="宋体" w:hAnsi="宋体" w:eastAsia="宋体" w:cs="宋体"/>
          <w:color w:val="auto"/>
          <w:w w:val="100"/>
          <w:sz w:val="21"/>
          <w:szCs w:val="21"/>
          <w:highlight w:val="none"/>
        </w:rPr>
        <w:t>江凯翔工程咨询管理有限公司</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 xml:space="preserve">鉴证日期: </w:t>
      </w:r>
    </w:p>
    <w:p>
      <w:pPr>
        <w:pStyle w:val="27"/>
        <w:tabs>
          <w:tab w:val="left" w:pos="5103"/>
        </w:tabs>
        <w:adjustRightInd w:val="0"/>
        <w:snapToGrid w:val="0"/>
        <w:spacing w:before="0" w:beforeLines="0" w:after="0" w:afterLines="0" w:line="500" w:lineRule="exact"/>
        <w:ind w:left="105" w:leftChars="50"/>
        <w:jc w:val="left"/>
        <w:rPr>
          <w:rFonts w:hint="eastAsia" w:ascii="宋体" w:hAnsi="宋体" w:eastAsia="宋体" w:cs="宋体"/>
          <w:color w:val="000000"/>
          <w:spacing w:val="0"/>
          <w:sz w:val="21"/>
          <w:szCs w:val="21"/>
          <w:shd w:val="clear" w:color="auto" w:fill="auto"/>
        </w:rPr>
      </w:pPr>
    </w:p>
    <w:p>
      <w:pPr>
        <w:pStyle w:val="3"/>
        <w:snapToGrid w:val="0"/>
        <w:spacing w:before="0" w:after="0" w:line="440" w:lineRule="exact"/>
        <w:rPr>
          <w:rFonts w:hint="eastAsia" w:ascii="宋体" w:hAnsi="宋体" w:cs="宋体"/>
          <w:color w:val="000000"/>
          <w:sz w:val="24"/>
          <w:szCs w:val="24"/>
        </w:rPr>
      </w:pPr>
      <w:r>
        <w:rPr>
          <w:rFonts w:hint="eastAsia" w:ascii="宋体" w:hAnsi="宋体" w:cs="宋体"/>
          <w:color w:val="000000"/>
          <w:sz w:val="24"/>
          <w:szCs w:val="24"/>
        </w:rPr>
        <w:br w:type="page"/>
      </w:r>
      <w:bookmarkStart w:id="180" w:name="_Toc14452"/>
      <w:r>
        <w:rPr>
          <w:rFonts w:hint="eastAsia" w:ascii="宋体" w:hAnsi="宋体" w:cs="宋体"/>
          <w:color w:val="000000"/>
          <w:sz w:val="24"/>
          <w:szCs w:val="24"/>
        </w:rPr>
        <w:t>第七章  投标文件格式</w:t>
      </w:r>
      <w:bookmarkEnd w:id="176"/>
      <w:r>
        <w:rPr>
          <w:rFonts w:hint="eastAsia" w:ascii="宋体" w:hAnsi="宋体" w:cs="宋体"/>
          <w:color w:val="000000"/>
          <w:sz w:val="24"/>
          <w:szCs w:val="24"/>
        </w:rPr>
        <w:t>及附件</w:t>
      </w:r>
      <w:bookmarkEnd w:id="177"/>
      <w:bookmarkEnd w:id="178"/>
      <w:bookmarkEnd w:id="179"/>
      <w:bookmarkEnd w:id="180"/>
    </w:p>
    <w:p>
      <w:pPr>
        <w:snapToGrid w:val="0"/>
        <w:spacing w:line="440" w:lineRule="exact"/>
        <w:rPr>
          <w:rFonts w:hint="eastAsia" w:ascii="宋体" w:hAnsi="宋体" w:cs="宋体"/>
          <w:color w:val="000000"/>
          <w:szCs w:val="21"/>
        </w:rPr>
      </w:pPr>
    </w:p>
    <w:p>
      <w:pPr>
        <w:pStyle w:val="6"/>
        <w:snapToGrid w:val="0"/>
        <w:spacing w:before="0" w:after="0" w:line="440" w:lineRule="exact"/>
        <w:rPr>
          <w:rFonts w:hint="eastAsia" w:ascii="宋体" w:hAnsi="宋体" w:eastAsia="宋体" w:cs="宋体"/>
          <w:color w:val="auto"/>
          <w:sz w:val="21"/>
          <w:szCs w:val="21"/>
          <w:highlight w:val="none"/>
        </w:rPr>
      </w:pPr>
      <w:bookmarkStart w:id="181" w:name="_Toc25473"/>
      <w:bookmarkStart w:id="182" w:name="_Toc31633"/>
      <w:bookmarkStart w:id="183" w:name="_Toc19921"/>
      <w:bookmarkStart w:id="184" w:name="_Toc1813"/>
      <w:bookmarkStart w:id="185" w:name="_Toc27827"/>
      <w:bookmarkStart w:id="186" w:name="_Toc11314"/>
      <w:bookmarkStart w:id="187" w:name="_Toc21920"/>
      <w:r>
        <w:rPr>
          <w:rFonts w:hint="eastAsia" w:ascii="宋体" w:hAnsi="宋体" w:eastAsia="宋体" w:cs="宋体"/>
          <w:color w:val="auto"/>
          <w:sz w:val="21"/>
          <w:szCs w:val="21"/>
          <w:highlight w:val="none"/>
        </w:rPr>
        <w:t>1、投标文件的外包装封面</w:t>
      </w:r>
      <w:bookmarkEnd w:id="181"/>
      <w:bookmarkEnd w:id="182"/>
    </w:p>
    <w:p>
      <w:pPr>
        <w:snapToGrid w:val="0"/>
        <w:spacing w:line="440" w:lineRule="exact"/>
        <w:jc w:val="center"/>
        <w:rPr>
          <w:rFonts w:hint="eastAsia" w:ascii="宋体" w:hAnsi="宋体" w:cs="宋体"/>
          <w:b/>
          <w:bCs/>
          <w:color w:val="auto"/>
          <w:szCs w:val="21"/>
          <w:highlight w:val="none"/>
        </w:rPr>
      </w:pPr>
    </w:p>
    <w:p>
      <w:pPr>
        <w:snapToGrid w:val="0"/>
        <w:spacing w:line="440" w:lineRule="exact"/>
        <w:jc w:val="center"/>
        <w:rPr>
          <w:rFonts w:hint="eastAsia" w:ascii="宋体" w:hAnsi="宋体" w:cs="宋体"/>
          <w:bCs/>
          <w:color w:val="auto"/>
          <w:szCs w:val="21"/>
          <w:highlight w:val="none"/>
        </w:rPr>
      </w:pPr>
      <w:r>
        <w:rPr>
          <w:rFonts w:hint="eastAsia" w:ascii="宋体" w:hAnsi="宋体" w:cs="宋体"/>
          <w:b/>
          <w:bCs/>
          <w:color w:val="auto"/>
          <w:szCs w:val="21"/>
          <w:highlight w:val="none"/>
        </w:rPr>
        <w:t>电子备份投标文件</w:t>
      </w:r>
    </w:p>
    <w:p>
      <w:pPr>
        <w:snapToGrid w:val="0"/>
        <w:spacing w:line="440" w:lineRule="exact"/>
        <w:ind w:firstLine="338" w:firstLineChars="161"/>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项目编号：</w:t>
      </w:r>
      <w:r>
        <w:rPr>
          <w:rFonts w:hint="eastAsia" w:ascii="宋体" w:hAnsi="宋体" w:cs="宋体"/>
          <w:bCs/>
          <w:color w:val="auto"/>
          <w:szCs w:val="21"/>
          <w:highlight w:val="none"/>
          <w:lang w:eastAsia="zh-CN"/>
        </w:rPr>
        <w:t>KXZJ-2022010(1)</w:t>
      </w:r>
    </w:p>
    <w:p>
      <w:pPr>
        <w:snapToGrid w:val="0"/>
        <w:spacing w:line="440" w:lineRule="exact"/>
        <w:ind w:left="1409" w:leftChars="171" w:hanging="1050" w:hangingChars="500"/>
        <w:rPr>
          <w:rFonts w:hint="eastAsia"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bCs/>
          <w:color w:val="auto"/>
          <w:szCs w:val="21"/>
          <w:highlight w:val="none"/>
          <w:lang w:eastAsia="zh-CN"/>
        </w:rPr>
        <w:t>宁波市鄞州区第二医院2022-2024年度安保服务采购项目</w:t>
      </w:r>
      <w:r>
        <w:rPr>
          <w:rFonts w:hint="eastAsia" w:ascii="宋体" w:hAnsi="宋体" w:cs="宋体"/>
          <w:bCs/>
          <w:color w:val="auto"/>
          <w:szCs w:val="21"/>
          <w:highlight w:val="none"/>
        </w:rPr>
        <w:t xml:space="preserve">  </w:t>
      </w:r>
    </w:p>
    <w:p>
      <w:pPr>
        <w:snapToGrid w:val="0"/>
        <w:spacing w:line="440" w:lineRule="exact"/>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投标人名称（加盖公章）：</w:t>
      </w:r>
    </w:p>
    <w:p>
      <w:pPr>
        <w:snapToGrid w:val="0"/>
        <w:spacing w:line="440" w:lineRule="exact"/>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投标人地址：</w:t>
      </w:r>
    </w:p>
    <w:p>
      <w:pPr>
        <w:snapToGrid w:val="0"/>
        <w:spacing w:line="440" w:lineRule="exact"/>
        <w:ind w:firstLine="3584" w:firstLineChars="1700"/>
        <w:rPr>
          <w:rFonts w:hint="eastAsia" w:ascii="宋体" w:hAnsi="宋体" w:cs="宋体"/>
          <w:bCs/>
          <w:color w:val="auto"/>
          <w:szCs w:val="21"/>
          <w:highlight w:val="none"/>
        </w:rPr>
      </w:pPr>
      <w:r>
        <w:rPr>
          <w:rFonts w:hint="eastAsia" w:ascii="宋体" w:hAnsi="宋体" w:cs="宋体"/>
          <w:b/>
          <w:bCs/>
          <w:color w:val="auto"/>
          <w:szCs w:val="21"/>
          <w:highlight w:val="none"/>
        </w:rPr>
        <w:t>投标文件于投标截止时间前不得启封</w:t>
      </w:r>
    </w:p>
    <w:p>
      <w:pPr>
        <w:snapToGrid w:val="0"/>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年  月  日</w:t>
      </w:r>
    </w:p>
    <w:p>
      <w:pPr>
        <w:snapToGrid w:val="0"/>
        <w:spacing w:line="440" w:lineRule="exact"/>
        <w:jc w:val="center"/>
        <w:rPr>
          <w:rFonts w:hint="eastAsia" w:ascii="宋体" w:hAnsi="宋体" w:cs="宋体"/>
          <w:bCs/>
          <w:color w:val="auto"/>
          <w:szCs w:val="21"/>
          <w:highlight w:val="none"/>
        </w:rPr>
      </w:pPr>
    </w:p>
    <w:p>
      <w:pPr>
        <w:snapToGrid w:val="0"/>
        <w:spacing w:line="440" w:lineRule="exact"/>
        <w:jc w:val="center"/>
        <w:rPr>
          <w:rFonts w:hint="eastAsia" w:ascii="宋体" w:hAnsi="宋体" w:cs="宋体"/>
          <w:bCs/>
          <w:color w:val="auto"/>
          <w:szCs w:val="21"/>
          <w:highlight w:val="none"/>
        </w:rPr>
      </w:pPr>
    </w:p>
    <w:p>
      <w:pPr>
        <w:snapToGrid w:val="0"/>
        <w:spacing w:line="440" w:lineRule="exact"/>
        <w:jc w:val="center"/>
        <w:rPr>
          <w:rFonts w:hint="eastAsia" w:ascii="宋体" w:hAnsi="宋体" w:cs="宋体"/>
          <w:bCs/>
          <w:color w:val="auto"/>
          <w:szCs w:val="21"/>
          <w:highlight w:val="none"/>
        </w:rPr>
      </w:pPr>
    </w:p>
    <w:p>
      <w:pPr>
        <w:pStyle w:val="6"/>
        <w:snapToGrid w:val="0"/>
        <w:spacing w:before="0" w:after="0" w:line="440" w:lineRule="exact"/>
        <w:rPr>
          <w:rFonts w:hint="eastAsia" w:ascii="宋体" w:hAnsi="宋体" w:eastAsia="宋体" w:cs="宋体"/>
          <w:color w:val="auto"/>
          <w:sz w:val="21"/>
          <w:szCs w:val="21"/>
          <w:highlight w:val="none"/>
        </w:rPr>
      </w:pPr>
      <w:bookmarkStart w:id="188" w:name="_Toc8173"/>
      <w:bookmarkStart w:id="189" w:name="_Toc23571"/>
      <w:r>
        <w:rPr>
          <w:rFonts w:hint="eastAsia" w:ascii="宋体" w:hAnsi="宋体" w:eastAsia="宋体" w:cs="宋体"/>
          <w:color w:val="auto"/>
          <w:sz w:val="21"/>
          <w:szCs w:val="21"/>
          <w:highlight w:val="none"/>
        </w:rPr>
        <w:t>2、投标文件封面格式</w:t>
      </w:r>
      <w:bookmarkEnd w:id="188"/>
      <w:bookmarkEnd w:id="189"/>
    </w:p>
    <w:p>
      <w:pPr>
        <w:snapToGrid w:val="0"/>
        <w:spacing w:line="440" w:lineRule="exact"/>
        <w:jc w:val="center"/>
        <w:rPr>
          <w:rFonts w:hint="eastAsia"/>
          <w:color w:val="auto"/>
          <w:highlight w:val="none"/>
        </w:rPr>
      </w:pPr>
      <w:r>
        <w:rPr>
          <w:rFonts w:hint="eastAsia" w:ascii="宋体" w:hAnsi="宋体" w:cs="宋体"/>
          <w:b/>
          <w:bCs/>
          <w:color w:val="auto"/>
          <w:szCs w:val="21"/>
          <w:highlight w:val="none"/>
        </w:rPr>
        <w:t xml:space="preserve">                                           </w:t>
      </w:r>
    </w:p>
    <w:p>
      <w:pPr>
        <w:snapToGrid w:val="0"/>
        <w:spacing w:line="440" w:lineRule="exact"/>
        <w:jc w:val="center"/>
        <w:rPr>
          <w:rFonts w:hint="eastAsia" w:ascii="宋体" w:hAnsi="宋体" w:cs="宋体"/>
          <w:bCs/>
          <w:color w:val="auto"/>
          <w:szCs w:val="21"/>
          <w:highlight w:val="none"/>
        </w:rPr>
      </w:pPr>
      <w:r>
        <w:rPr>
          <w:rFonts w:hint="eastAsia" w:ascii="宋体" w:hAnsi="宋体" w:cs="宋体"/>
          <w:b/>
          <w:bCs/>
          <w:color w:val="auto"/>
          <w:szCs w:val="21"/>
          <w:highlight w:val="none"/>
        </w:rPr>
        <w:t>资格文件/商务技术文件/报价文件</w:t>
      </w:r>
    </w:p>
    <w:p>
      <w:pPr>
        <w:snapToGrid w:val="0"/>
        <w:spacing w:line="440" w:lineRule="exact"/>
        <w:ind w:firstLine="338" w:firstLineChars="161"/>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项目编号：</w:t>
      </w:r>
      <w:r>
        <w:rPr>
          <w:rFonts w:hint="eastAsia" w:ascii="宋体" w:hAnsi="宋体" w:cs="宋体"/>
          <w:bCs/>
          <w:color w:val="auto"/>
          <w:szCs w:val="21"/>
          <w:highlight w:val="none"/>
          <w:lang w:eastAsia="zh-CN"/>
        </w:rPr>
        <w:t>KXZJ-2022010(1)</w:t>
      </w:r>
    </w:p>
    <w:p>
      <w:pPr>
        <w:snapToGrid w:val="0"/>
        <w:spacing w:line="440" w:lineRule="exact"/>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bCs/>
          <w:color w:val="auto"/>
          <w:szCs w:val="21"/>
          <w:highlight w:val="none"/>
          <w:lang w:eastAsia="zh-CN"/>
        </w:rPr>
        <w:t>宁波市鄞州区第二医院2022-2024年度安保服务采购项目</w:t>
      </w:r>
      <w:r>
        <w:rPr>
          <w:rFonts w:hint="eastAsia" w:ascii="宋体" w:hAnsi="宋体" w:cs="宋体"/>
          <w:bCs/>
          <w:color w:val="auto"/>
          <w:szCs w:val="21"/>
          <w:highlight w:val="none"/>
        </w:rPr>
        <w:t xml:space="preserve">   </w:t>
      </w:r>
    </w:p>
    <w:p>
      <w:pPr>
        <w:snapToGrid w:val="0"/>
        <w:spacing w:line="440" w:lineRule="exact"/>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投标人名称（加盖公章）：</w:t>
      </w:r>
    </w:p>
    <w:p>
      <w:pPr>
        <w:snapToGrid w:val="0"/>
        <w:spacing w:line="440" w:lineRule="exact"/>
        <w:ind w:firstLine="338" w:firstLineChars="161"/>
        <w:rPr>
          <w:rFonts w:hint="eastAsia" w:ascii="宋体" w:hAnsi="宋体" w:cs="宋体"/>
          <w:bCs/>
          <w:color w:val="auto"/>
          <w:szCs w:val="21"/>
          <w:highlight w:val="none"/>
        </w:rPr>
      </w:pPr>
      <w:r>
        <w:rPr>
          <w:rFonts w:hint="eastAsia" w:ascii="宋体" w:hAnsi="宋体" w:cs="宋体"/>
          <w:bCs/>
          <w:color w:val="auto"/>
          <w:szCs w:val="21"/>
          <w:highlight w:val="none"/>
        </w:rPr>
        <w:t>投标人地址：</w:t>
      </w:r>
    </w:p>
    <w:p>
      <w:pPr>
        <w:snapToGrid w:val="0"/>
        <w:spacing w:line="440" w:lineRule="exact"/>
        <w:ind w:firstLine="3570" w:firstLineChars="1700"/>
        <w:rPr>
          <w:rFonts w:hint="eastAsia" w:ascii="宋体" w:hAnsi="宋体" w:cs="宋体"/>
          <w:bCs/>
          <w:color w:val="auto"/>
          <w:szCs w:val="21"/>
          <w:highlight w:val="none"/>
        </w:rPr>
      </w:pPr>
    </w:p>
    <w:p>
      <w:pPr>
        <w:snapToGrid w:val="0"/>
        <w:spacing w:line="440" w:lineRule="exact"/>
        <w:ind w:firstLine="645"/>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年  月  日</w:t>
      </w:r>
    </w:p>
    <w:p>
      <w:pPr>
        <w:pStyle w:val="6"/>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190" w:name="_Toc249"/>
      <w:bookmarkStart w:id="191" w:name="_Toc13174"/>
      <w:bookmarkStart w:id="192" w:name="_Toc6368"/>
      <w:r>
        <w:rPr>
          <w:rFonts w:hint="eastAsia" w:ascii="宋体" w:hAnsi="宋体" w:eastAsia="宋体" w:cs="宋体"/>
          <w:color w:val="auto"/>
          <w:sz w:val="21"/>
          <w:szCs w:val="21"/>
          <w:highlight w:val="none"/>
        </w:rPr>
        <w:t>3、投标声明书格式</w:t>
      </w:r>
      <w:bookmarkEnd w:id="190"/>
      <w:bookmarkEnd w:id="191"/>
      <w:bookmarkEnd w:id="192"/>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投标声明书</w:t>
      </w:r>
    </w:p>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u w:val="single"/>
        </w:rPr>
      </w:pPr>
      <w:r>
        <w:rPr>
          <w:rFonts w:hint="eastAsia" w:ascii="宋体" w:hAnsi="宋体" w:cs="宋体"/>
          <w:b/>
          <w:bCs/>
          <w:color w:val="auto"/>
          <w:szCs w:val="21"/>
          <w:highlight w:val="none"/>
        </w:rPr>
        <w:t>致</w:t>
      </w:r>
      <w:r>
        <w:rPr>
          <w:rFonts w:hint="eastAsia" w:ascii="宋体" w:hAnsi="宋体" w:cs="宋体"/>
          <w:b/>
          <w:bCs/>
          <w:color w:val="auto"/>
          <w:szCs w:val="21"/>
          <w:highlight w:val="none"/>
          <w:lang w:eastAsia="zh-CN"/>
        </w:rPr>
        <w:t>宁波市鄞州区第二医院</w:t>
      </w:r>
      <w:r>
        <w:rPr>
          <w:rFonts w:hint="eastAsia" w:ascii="宋体" w:hAnsi="宋体" w:cs="宋体"/>
          <w:b/>
          <w:bCs/>
          <w:color w:val="auto"/>
          <w:szCs w:val="21"/>
          <w:highlight w:val="none"/>
        </w:rPr>
        <w:t>：</w:t>
      </w:r>
    </w:p>
    <w:p>
      <w:pPr>
        <w:snapToGrid w:val="0"/>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440" w:lineRule="exact"/>
        <w:ind w:firstLine="645"/>
        <w:rPr>
          <w:rFonts w:hint="eastAsia"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项目的投标，为便于贵方公正、择优地确定中标人及其投标产品和服务，我方就本次投标有关事项郑重声明如下：</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1、我方向贵方提交的所有投标文件、资料都是准确的和真实的。</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2、本公司（企业）具备《中华人民共和国政府采购法》第二十二条资格条件，并已清楚采购文件的要求及有关文件规定。</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3、本公司（企业）的法定代表人或单位负责人与所参投的本采购项目的其他投标人的法定代表人或单位负责人不为同一人且与其他投标人之间不存在直接控股、管理关系。</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根据《中华人民共和国政府采购法实施条例》的规定，本公司（企业）如为本采购项目提供整体设计、规范编制或者项目管理、监理、检测等服务的投标人，不得再参加本项目的采购活动。否则，由此所造成的损失、不良后果及法律责任，一律由我公司（企业）承担。</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5、本公司（企业）具有履行合同所必需的设备和专业技术能力，且本公司（企业）参加政府采购活动前3年内在经营活动中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（有或没有）重大违法记录。否则，由此所造成的损失、不良后果及法律责任，一律由我公司（企业）承担。</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6、本次招标采购活动中，如有违法、违规、弄虚作假行为，所造成的损失、不良后果及法律责任，一律由我公司（企业）承担。</w:t>
      </w:r>
    </w:p>
    <w:p>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已完全明确采购文件中《加强政府采购售后服务、质量管理须知》、《特别告知函》和《宁波市鄞州区政府采购投标人诚信管理办法》告知的全部内容，保证按采购文件、投标承诺及政府采购合同要求履行；并在本投标人违反采购文件、投标承诺及政府采购合同时愿意按告知内容接受处罚。</w:t>
      </w:r>
    </w:p>
    <w:p>
      <w:pPr>
        <w:snapToGrid w:val="0"/>
        <w:spacing w:line="440" w:lineRule="exact"/>
        <w:ind w:firstLine="420" w:firstLineChars="200"/>
        <w:rPr>
          <w:rFonts w:hint="eastAsia" w:ascii="宋体" w:hAnsi="宋体" w:cs="宋体"/>
          <w:color w:val="auto"/>
          <w:szCs w:val="21"/>
          <w:highlight w:val="none"/>
        </w:rPr>
      </w:pPr>
    </w:p>
    <w:p>
      <w:pPr>
        <w:pStyle w:val="4"/>
        <w:rPr>
          <w:rFonts w:hint="eastAsia"/>
          <w:color w:val="auto"/>
          <w:highlight w:val="none"/>
        </w:rPr>
      </w:pPr>
    </w:p>
    <w:p>
      <w:pPr>
        <w:snapToGrid w:val="0"/>
        <w:spacing w:line="44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投标人名称（加盖公章）：</w:t>
      </w:r>
      <w:r>
        <w:rPr>
          <w:rFonts w:hint="eastAsia" w:ascii="宋体" w:hAnsi="宋体" w:cs="宋体"/>
          <w:color w:val="auto"/>
          <w:szCs w:val="21"/>
          <w:highlight w:val="none"/>
          <w:u w:val="single"/>
        </w:rPr>
        <w:t xml:space="preserve">                        </w:t>
      </w:r>
    </w:p>
    <w:p>
      <w:pPr>
        <w:snapToGrid w:val="0"/>
        <w:spacing w:line="440" w:lineRule="exact"/>
        <w:ind w:firstLine="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法定代表人或其委托代理人（签字或盖章）：</w:t>
      </w:r>
      <w:r>
        <w:rPr>
          <w:rFonts w:hint="eastAsia" w:ascii="宋体" w:hAnsi="宋体" w:cs="宋体"/>
          <w:color w:val="auto"/>
          <w:szCs w:val="21"/>
          <w:highlight w:val="none"/>
          <w:u w:val="single"/>
        </w:rPr>
        <w:t xml:space="preserve">             </w:t>
      </w:r>
    </w:p>
    <w:p>
      <w:pPr>
        <w:snapToGrid w:val="0"/>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pStyle w:val="6"/>
        <w:snapToGrid w:val="0"/>
        <w:spacing w:before="0" w:after="0" w:line="440" w:lineRule="exact"/>
        <w:rPr>
          <w:rFonts w:hint="eastAsia" w:ascii="宋体" w:hAnsi="宋体" w:eastAsia="宋体" w:cs="宋体"/>
          <w:color w:val="auto"/>
          <w:sz w:val="21"/>
          <w:szCs w:val="21"/>
          <w:highlight w:val="none"/>
        </w:rPr>
      </w:pPr>
      <w:bookmarkStart w:id="193" w:name="_Toc26543"/>
      <w:bookmarkStart w:id="194" w:name="_Toc21452"/>
      <w:bookmarkStart w:id="195" w:name="_Toc9887"/>
      <w:r>
        <w:rPr>
          <w:rFonts w:hint="eastAsia" w:ascii="宋体" w:hAnsi="宋体" w:eastAsia="宋体" w:cs="宋体"/>
          <w:color w:val="auto"/>
          <w:sz w:val="21"/>
          <w:szCs w:val="21"/>
          <w:highlight w:val="none"/>
        </w:rPr>
        <w:t>4、评分标准对应页码</w:t>
      </w:r>
    </w:p>
    <w:p>
      <w:pPr>
        <w:snapToGrid w:val="0"/>
        <w:spacing w:line="440" w:lineRule="exact"/>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评分标准对应页码</w:t>
      </w:r>
    </w:p>
    <w:tbl>
      <w:tblPr>
        <w:tblStyle w:val="47"/>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3"/>
        <w:gridCol w:w="2692"/>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采购文件对应评分项</w:t>
            </w:r>
          </w:p>
        </w:tc>
        <w:tc>
          <w:tcPr>
            <w:tcW w:w="2692" w:type="dxa"/>
            <w:noWrap w:val="0"/>
            <w:vAlign w:val="center"/>
          </w:tcPr>
          <w:p>
            <w:pPr>
              <w:adjustRightInd w:val="0"/>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投标文件对应页码</w:t>
            </w:r>
          </w:p>
        </w:tc>
        <w:tc>
          <w:tcPr>
            <w:tcW w:w="2325" w:type="dxa"/>
            <w:noWrap w:val="0"/>
            <w:vAlign w:val="center"/>
          </w:tcPr>
          <w:p>
            <w:pPr>
              <w:adjustRightInd w:val="0"/>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bCs/>
                <w:color w:val="auto"/>
                <w:szCs w:val="21"/>
                <w:highlight w:val="none"/>
              </w:rPr>
            </w:pPr>
          </w:p>
        </w:tc>
        <w:tc>
          <w:tcPr>
            <w:tcW w:w="2692" w:type="dxa"/>
            <w:noWrap w:val="0"/>
            <w:vAlign w:val="center"/>
          </w:tcPr>
          <w:p>
            <w:pPr>
              <w:tabs>
                <w:tab w:val="left" w:pos="5129"/>
              </w:tabs>
              <w:adjustRightInd w:val="0"/>
              <w:snapToGrid w:val="0"/>
              <w:spacing w:line="440" w:lineRule="exact"/>
              <w:jc w:val="left"/>
              <w:rPr>
                <w:rFonts w:hint="eastAsia" w:ascii="宋体" w:hAnsi="宋体" w:cs="宋体"/>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129"/>
              </w:tabs>
              <w:adjustRightInd w:val="0"/>
              <w:snapToGrid w:val="0"/>
              <w:spacing w:line="440" w:lineRule="exact"/>
              <w:jc w:val="left"/>
              <w:rPr>
                <w:rFonts w:hint="eastAsia" w:ascii="宋体" w:hAnsi="宋体" w:cs="宋体"/>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129"/>
              </w:tabs>
              <w:adjustRightInd w:val="0"/>
              <w:snapToGrid w:val="0"/>
              <w:spacing w:line="440" w:lineRule="exact"/>
              <w:jc w:val="left"/>
              <w:rPr>
                <w:rFonts w:hint="eastAsia" w:ascii="宋体" w:hAnsi="宋体" w:cs="宋体"/>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129"/>
              </w:tabs>
              <w:adjustRightInd w:val="0"/>
              <w:snapToGrid w:val="0"/>
              <w:spacing w:line="440" w:lineRule="exact"/>
              <w:jc w:val="left"/>
              <w:rPr>
                <w:rFonts w:hint="eastAsia" w:ascii="宋体" w:hAnsi="宋体" w:cs="宋体"/>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129"/>
              </w:tabs>
              <w:adjustRightInd w:val="0"/>
              <w:snapToGrid w:val="0"/>
              <w:spacing w:line="440" w:lineRule="exact"/>
              <w:jc w:val="left"/>
              <w:rPr>
                <w:rFonts w:hint="eastAsia" w:ascii="宋体" w:hAnsi="宋体" w:cs="宋体"/>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129"/>
              </w:tabs>
              <w:adjustRightInd w:val="0"/>
              <w:snapToGrid w:val="0"/>
              <w:spacing w:line="440" w:lineRule="exact"/>
              <w:jc w:val="left"/>
              <w:rPr>
                <w:rFonts w:hint="eastAsia" w:ascii="宋体" w:hAnsi="宋体" w:cs="宋体"/>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129"/>
              </w:tabs>
              <w:adjustRightInd w:val="0"/>
              <w:snapToGrid w:val="0"/>
              <w:spacing w:line="440" w:lineRule="exact"/>
              <w:jc w:val="left"/>
              <w:rPr>
                <w:rFonts w:hint="eastAsia" w:ascii="宋体" w:hAnsi="宋体" w:cs="宋体"/>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129"/>
              </w:tabs>
              <w:adjustRightInd w:val="0"/>
              <w:snapToGrid w:val="0"/>
              <w:spacing w:line="440" w:lineRule="exact"/>
              <w:jc w:val="left"/>
              <w:rPr>
                <w:rFonts w:hint="eastAsia" w:ascii="宋体" w:hAnsi="宋体" w:cs="宋体"/>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662"/>
              </w:tabs>
              <w:adjustRightInd w:val="0"/>
              <w:snapToGrid w:val="0"/>
              <w:spacing w:line="440" w:lineRule="exact"/>
              <w:rPr>
                <w:rFonts w:hint="eastAsia" w:ascii="宋体" w:hAnsi="宋体" w:cs="宋体"/>
                <w:b/>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olor w:val="auto"/>
                <w:szCs w:val="21"/>
                <w:highlight w:val="none"/>
              </w:rPr>
            </w:pPr>
          </w:p>
        </w:tc>
        <w:tc>
          <w:tcPr>
            <w:tcW w:w="2692" w:type="dxa"/>
            <w:noWrap w:val="0"/>
            <w:vAlign w:val="center"/>
          </w:tcPr>
          <w:p>
            <w:pPr>
              <w:tabs>
                <w:tab w:val="left" w:pos="5662"/>
              </w:tabs>
              <w:adjustRightInd w:val="0"/>
              <w:snapToGrid w:val="0"/>
              <w:spacing w:line="440" w:lineRule="exact"/>
              <w:rPr>
                <w:rFonts w:hint="eastAsia" w:ascii="宋体" w:hAnsi="宋体" w:cs="宋体"/>
                <w:b/>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olor w:val="auto"/>
                <w:szCs w:val="21"/>
                <w:highlight w:val="none"/>
              </w:rPr>
            </w:pPr>
          </w:p>
        </w:tc>
        <w:tc>
          <w:tcPr>
            <w:tcW w:w="2692" w:type="dxa"/>
            <w:noWrap w:val="0"/>
            <w:vAlign w:val="center"/>
          </w:tcPr>
          <w:p>
            <w:pPr>
              <w:tabs>
                <w:tab w:val="left" w:pos="5662"/>
              </w:tabs>
              <w:adjustRightInd w:val="0"/>
              <w:snapToGrid w:val="0"/>
              <w:spacing w:line="440" w:lineRule="exact"/>
              <w:rPr>
                <w:rFonts w:hint="eastAsia" w:ascii="宋体" w:hAnsi="宋体" w:cs="宋体"/>
                <w:b/>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olor w:val="auto"/>
                <w:szCs w:val="21"/>
                <w:highlight w:val="none"/>
              </w:rPr>
            </w:pPr>
          </w:p>
        </w:tc>
        <w:tc>
          <w:tcPr>
            <w:tcW w:w="2692" w:type="dxa"/>
            <w:noWrap w:val="0"/>
            <w:vAlign w:val="center"/>
          </w:tcPr>
          <w:p>
            <w:pPr>
              <w:tabs>
                <w:tab w:val="left" w:pos="5662"/>
              </w:tabs>
              <w:adjustRightInd w:val="0"/>
              <w:snapToGrid w:val="0"/>
              <w:spacing w:line="440" w:lineRule="exact"/>
              <w:rPr>
                <w:rFonts w:hint="eastAsia" w:ascii="宋体" w:hAnsi="宋体" w:cs="宋体"/>
                <w:b/>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662"/>
              </w:tabs>
              <w:adjustRightInd w:val="0"/>
              <w:snapToGrid w:val="0"/>
              <w:spacing w:line="440" w:lineRule="exact"/>
              <w:rPr>
                <w:rFonts w:hint="eastAsia" w:ascii="宋体" w:hAnsi="宋体" w:cs="宋体"/>
                <w:b/>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olor w:val="auto"/>
                <w:szCs w:val="21"/>
                <w:highlight w:val="none"/>
              </w:rPr>
            </w:pPr>
          </w:p>
        </w:tc>
        <w:tc>
          <w:tcPr>
            <w:tcW w:w="2692" w:type="dxa"/>
            <w:noWrap w:val="0"/>
            <w:vAlign w:val="center"/>
          </w:tcPr>
          <w:p>
            <w:pPr>
              <w:tabs>
                <w:tab w:val="left" w:pos="5662"/>
              </w:tabs>
              <w:adjustRightInd w:val="0"/>
              <w:snapToGrid w:val="0"/>
              <w:spacing w:line="440" w:lineRule="exact"/>
              <w:rPr>
                <w:rFonts w:hint="eastAsia" w:ascii="宋体" w:hAnsi="宋体" w:cs="宋体"/>
                <w:b/>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adjustRightInd w:val="0"/>
              <w:snapToGrid w:val="0"/>
              <w:spacing w:line="380" w:lineRule="exact"/>
              <w:jc w:val="left"/>
              <w:rPr>
                <w:rFonts w:hint="eastAsia" w:ascii="宋体" w:hAnsi="宋体" w:cs="宋体"/>
                <w:color w:val="auto"/>
                <w:szCs w:val="21"/>
                <w:highlight w:val="none"/>
              </w:rPr>
            </w:pPr>
          </w:p>
        </w:tc>
        <w:tc>
          <w:tcPr>
            <w:tcW w:w="2692" w:type="dxa"/>
            <w:noWrap w:val="0"/>
            <w:vAlign w:val="center"/>
          </w:tcPr>
          <w:p>
            <w:pPr>
              <w:tabs>
                <w:tab w:val="left" w:pos="5662"/>
              </w:tabs>
              <w:adjustRightInd w:val="0"/>
              <w:snapToGrid w:val="0"/>
              <w:spacing w:line="440" w:lineRule="exact"/>
              <w:rPr>
                <w:rFonts w:hint="eastAsia" w:ascii="宋体" w:hAnsi="宋体" w:cs="宋体"/>
                <w:b/>
                <w:color w:val="auto"/>
                <w:szCs w:val="21"/>
                <w:highlight w:val="none"/>
              </w:rPr>
            </w:pPr>
          </w:p>
        </w:tc>
        <w:tc>
          <w:tcPr>
            <w:tcW w:w="2325" w:type="dxa"/>
            <w:noWrap w:val="0"/>
            <w:vAlign w:val="center"/>
          </w:tcPr>
          <w:p>
            <w:pPr>
              <w:adjustRightInd w:val="0"/>
              <w:snapToGrid w:val="0"/>
              <w:spacing w:line="440" w:lineRule="exact"/>
              <w:rPr>
                <w:rFonts w:hint="eastAsia" w:ascii="宋体" w:hAnsi="宋体" w:cs="宋体"/>
                <w:b/>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043" w:type="dxa"/>
            <w:noWrap w:val="0"/>
            <w:vAlign w:val="center"/>
          </w:tcPr>
          <w:p>
            <w:pPr>
              <w:pStyle w:val="4"/>
              <w:spacing w:after="0" w:line="400" w:lineRule="exact"/>
              <w:ind w:left="0" w:leftChars="0" w:firstLine="0"/>
              <w:jc w:val="left"/>
              <w:rPr>
                <w:rFonts w:hint="eastAsia" w:hAnsi="宋体"/>
                <w:color w:val="auto"/>
                <w:highlight w:val="none"/>
                <w:lang w:val="en-US" w:eastAsia="zh-CN"/>
              </w:rPr>
            </w:pPr>
            <w:r>
              <w:rPr>
                <w:rFonts w:hint="eastAsia" w:hAnsi="宋体"/>
                <w:color w:val="auto"/>
                <w:highlight w:val="none"/>
                <w:lang w:val="en-US" w:eastAsia="zh-CN"/>
              </w:rPr>
              <w:t>投标人认为应当提供的其他相关证明材料</w:t>
            </w:r>
          </w:p>
        </w:tc>
        <w:tc>
          <w:tcPr>
            <w:tcW w:w="2692" w:type="dxa"/>
            <w:noWrap w:val="0"/>
            <w:vAlign w:val="top"/>
          </w:tcPr>
          <w:p>
            <w:pPr>
              <w:tabs>
                <w:tab w:val="left" w:pos="5662"/>
              </w:tabs>
              <w:adjustRightInd w:val="0"/>
              <w:snapToGrid w:val="0"/>
              <w:spacing w:line="440" w:lineRule="exact"/>
              <w:rPr>
                <w:rFonts w:hint="eastAsia" w:ascii="宋体" w:hAnsi="宋体" w:cs="宋体"/>
                <w:b/>
                <w:color w:val="auto"/>
                <w:szCs w:val="21"/>
                <w:highlight w:val="none"/>
              </w:rPr>
            </w:pPr>
          </w:p>
        </w:tc>
        <w:tc>
          <w:tcPr>
            <w:tcW w:w="2325" w:type="dxa"/>
            <w:noWrap w:val="0"/>
            <w:vAlign w:val="top"/>
          </w:tcPr>
          <w:p>
            <w:pPr>
              <w:adjustRightInd w:val="0"/>
              <w:snapToGrid w:val="0"/>
              <w:spacing w:line="440" w:lineRule="exact"/>
              <w:jc w:val="left"/>
              <w:rPr>
                <w:rFonts w:hint="eastAsia" w:ascii="宋体" w:hAnsi="宋体" w:cs="宋体"/>
                <w:b/>
                <w:color w:val="auto"/>
                <w:szCs w:val="21"/>
                <w:highlight w:val="none"/>
              </w:rPr>
            </w:pPr>
          </w:p>
        </w:tc>
      </w:tr>
    </w:tbl>
    <w:p>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说明：投标人可自行设计表格。</w:t>
      </w:r>
    </w:p>
    <w:p>
      <w:pPr>
        <w:pStyle w:val="6"/>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5、投标函</w:t>
      </w:r>
      <w:bookmarkEnd w:id="193"/>
      <w:bookmarkEnd w:id="194"/>
      <w:bookmarkEnd w:id="195"/>
    </w:p>
    <w:p>
      <w:pPr>
        <w:snapToGrid w:val="0"/>
        <w:spacing w:line="440" w:lineRule="exact"/>
        <w:jc w:val="center"/>
        <w:rPr>
          <w:rFonts w:hint="eastAsia" w:ascii="宋体" w:hAnsi="宋体" w:cs="宋体"/>
          <w:b/>
          <w:bCs/>
          <w:color w:val="auto"/>
          <w:szCs w:val="21"/>
          <w:highlight w:val="none"/>
        </w:rPr>
      </w:pPr>
      <w:r>
        <w:rPr>
          <w:rFonts w:hint="eastAsia" w:ascii="宋体" w:hAnsi="宋体" w:cs="宋体"/>
          <w:b/>
          <w:color w:val="auto"/>
          <w:szCs w:val="21"/>
          <w:highlight w:val="none"/>
        </w:rPr>
        <w:t>投标函</w:t>
      </w:r>
    </w:p>
    <w:p>
      <w:pPr>
        <w:snapToGrid w:val="0"/>
        <w:spacing w:line="440" w:lineRule="exact"/>
        <w:rPr>
          <w:rFonts w:hint="eastAsia" w:ascii="宋体" w:hAnsi="宋体" w:cs="宋体"/>
          <w:color w:val="auto"/>
          <w:szCs w:val="21"/>
          <w:highlight w:val="none"/>
        </w:rPr>
      </w:pPr>
      <w:r>
        <w:rPr>
          <w:rFonts w:hint="eastAsia" w:ascii="宋体" w:hAnsi="宋体" w:cs="宋体"/>
          <w:b/>
          <w:bCs/>
          <w:color w:val="auto"/>
          <w:szCs w:val="21"/>
          <w:highlight w:val="none"/>
        </w:rPr>
        <w:t>致</w:t>
      </w:r>
      <w:r>
        <w:rPr>
          <w:rFonts w:hint="eastAsia" w:ascii="宋体" w:hAnsi="宋体" w:cs="宋体"/>
          <w:b/>
          <w:bCs/>
          <w:color w:val="auto"/>
          <w:szCs w:val="21"/>
          <w:highlight w:val="none"/>
          <w:lang w:eastAsia="zh-CN"/>
        </w:rPr>
        <w:t>宁波市鄞州区第二医院</w:t>
      </w:r>
      <w:r>
        <w:rPr>
          <w:rFonts w:hint="eastAsia" w:ascii="宋体" w:hAnsi="宋体" w:cs="宋体"/>
          <w:b/>
          <w:bCs/>
          <w:color w:val="auto"/>
          <w:szCs w:val="21"/>
          <w:highlight w:val="none"/>
        </w:rPr>
        <w:t>：</w:t>
      </w:r>
    </w:p>
    <w:p>
      <w:pPr>
        <w:adjustRightInd w:val="0"/>
        <w:snapToGrid w:val="0"/>
        <w:spacing w:line="440" w:lineRule="exact"/>
        <w:ind w:firstLine="482"/>
        <w:rPr>
          <w:rFonts w:hint="eastAsia"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项目的采购公告（项目编号：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（全名）经正式授权并代表投标人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（投标人名称）提交电子投标文件</w:t>
      </w:r>
      <w:r>
        <w:rPr>
          <w:rFonts w:hint="eastAsia" w:ascii="宋体" w:hAnsi="宋体" w:cs="宋体"/>
          <w:color w:val="auto"/>
          <w:szCs w:val="21"/>
          <w:highlight w:val="none"/>
          <w:u w:val="single"/>
        </w:rPr>
        <w:t xml:space="preserve"> 壹 </w:t>
      </w:r>
      <w:r>
        <w:rPr>
          <w:rFonts w:hint="eastAsia" w:ascii="宋体" w:hAnsi="宋体" w:cs="宋体"/>
          <w:color w:val="auto"/>
          <w:szCs w:val="21"/>
          <w:highlight w:val="none"/>
        </w:rPr>
        <w:t>份、电子备份投标文件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1．据此函，签字代表宣布并承诺：</w:t>
      </w:r>
    </w:p>
    <w:p>
      <w:pPr>
        <w:pStyle w:val="5"/>
        <w:numPr>
          <w:ilvl w:val="0"/>
          <w:numId w:val="3"/>
        </w:numPr>
        <w:tabs>
          <w:tab w:val="left" w:pos="993"/>
        </w:tabs>
        <w:snapToGrid w:val="0"/>
        <w:spacing w:line="440" w:lineRule="exact"/>
        <w:ind w:left="1045" w:leftChars="341" w:hanging="329" w:hangingChars="163"/>
        <w:rPr>
          <w:rFonts w:hint="eastAsia" w:hAnsi="宋体" w:cs="宋体"/>
          <w:color w:val="auto"/>
          <w:sz w:val="21"/>
          <w:szCs w:val="21"/>
          <w:highlight w:val="none"/>
        </w:rPr>
      </w:pPr>
      <w:r>
        <w:rPr>
          <w:rFonts w:hint="eastAsia" w:hAnsi="宋体" w:cs="宋体"/>
          <w:color w:val="auto"/>
          <w:sz w:val="21"/>
          <w:szCs w:val="21"/>
          <w:highlight w:val="none"/>
        </w:rPr>
        <w:t>我方对采购项目愿以承诺的投标总价承担采购文件规定内容的服务。</w:t>
      </w:r>
    </w:p>
    <w:p>
      <w:pPr>
        <w:pStyle w:val="5"/>
        <w:numPr>
          <w:ilvl w:val="0"/>
          <w:numId w:val="3"/>
        </w:numPr>
        <w:tabs>
          <w:tab w:val="left" w:pos="993"/>
        </w:tabs>
        <w:snapToGrid w:val="0"/>
        <w:spacing w:line="440" w:lineRule="exact"/>
        <w:ind w:left="1045" w:leftChars="341" w:hanging="329" w:hangingChars="163"/>
        <w:rPr>
          <w:rFonts w:hint="eastAsia" w:hAnsi="宋体" w:cs="宋体"/>
          <w:color w:val="auto"/>
          <w:sz w:val="21"/>
          <w:szCs w:val="21"/>
          <w:highlight w:val="none"/>
        </w:rPr>
      </w:pPr>
      <w:r>
        <w:rPr>
          <w:rFonts w:hint="eastAsia" w:hAnsi="宋体" w:cs="宋体"/>
          <w:color w:val="auto"/>
          <w:sz w:val="21"/>
          <w:szCs w:val="21"/>
          <w:highlight w:val="none"/>
        </w:rPr>
        <w:t>本报价已经包含了所提供服务应纳的税金及采购文件规定的报价方式应包含的其它费用。</w:t>
      </w:r>
      <w:r>
        <w:rPr>
          <w:rFonts w:hint="eastAsia" w:hAnsi="宋体" w:cs="宋体"/>
          <w:color w:val="auto"/>
          <w:sz w:val="21"/>
          <w:szCs w:val="21"/>
          <w:highlight w:val="none"/>
        </w:rPr>
        <w:br w:type="textWrapping"/>
      </w:r>
      <w:r>
        <w:rPr>
          <w:rFonts w:hint="eastAsia" w:hAnsi="宋体" w:cs="宋体"/>
          <w:color w:val="auto"/>
          <w:sz w:val="21"/>
          <w:szCs w:val="21"/>
          <w:highlight w:val="none"/>
        </w:rPr>
        <w:t>本报价在投标有效期内固定不变，并在合同有效期内不受利率波动的影响。</w:t>
      </w:r>
    </w:p>
    <w:p>
      <w:pPr>
        <w:pStyle w:val="5"/>
        <w:numPr>
          <w:ilvl w:val="0"/>
          <w:numId w:val="3"/>
        </w:numPr>
        <w:tabs>
          <w:tab w:val="left" w:pos="993"/>
        </w:tabs>
        <w:snapToGrid w:val="0"/>
        <w:spacing w:line="440" w:lineRule="exact"/>
        <w:ind w:left="1045" w:leftChars="341" w:hanging="329" w:hangingChars="163"/>
        <w:rPr>
          <w:rFonts w:hint="eastAsia" w:hAnsi="宋体" w:cs="宋体"/>
          <w:color w:val="auto"/>
          <w:sz w:val="21"/>
          <w:szCs w:val="21"/>
          <w:highlight w:val="none"/>
        </w:rPr>
      </w:pPr>
      <w:r>
        <w:rPr>
          <w:rFonts w:hint="eastAsia" w:hAnsi="宋体" w:cs="宋体"/>
          <w:color w:val="auto"/>
          <w:sz w:val="21"/>
          <w:szCs w:val="21"/>
          <w:highlight w:val="none"/>
        </w:rPr>
        <w:t>本投标自开标之日起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天内有效。</w:t>
      </w:r>
    </w:p>
    <w:p>
      <w:pPr>
        <w:pStyle w:val="5"/>
        <w:numPr>
          <w:ilvl w:val="0"/>
          <w:numId w:val="3"/>
        </w:numPr>
        <w:tabs>
          <w:tab w:val="left" w:pos="993"/>
        </w:tabs>
        <w:snapToGrid w:val="0"/>
        <w:spacing w:line="440" w:lineRule="exact"/>
        <w:ind w:left="1045" w:leftChars="341" w:hanging="329" w:hangingChars="163"/>
        <w:rPr>
          <w:rFonts w:hint="eastAsia" w:hAnsi="宋体" w:cs="宋体"/>
          <w:color w:val="auto"/>
          <w:sz w:val="21"/>
          <w:szCs w:val="21"/>
          <w:highlight w:val="none"/>
        </w:rPr>
      </w:pPr>
      <w:r>
        <w:rPr>
          <w:rFonts w:hint="eastAsia" w:hAnsi="宋体" w:cs="宋体"/>
          <w:color w:val="auto"/>
          <w:sz w:val="21"/>
          <w:szCs w:val="21"/>
          <w:highlight w:val="none"/>
        </w:rPr>
        <w:t>我们已详细审查全部采购文件及有关的澄清/修改文件(如有)，我们完全理解并同意放弃对这方面提出任何异议的权利。保证遵守采购文件有关条款规定。</w:t>
      </w:r>
    </w:p>
    <w:p>
      <w:pPr>
        <w:pStyle w:val="5"/>
        <w:numPr>
          <w:ilvl w:val="0"/>
          <w:numId w:val="3"/>
        </w:numPr>
        <w:tabs>
          <w:tab w:val="left" w:pos="993"/>
        </w:tabs>
        <w:snapToGrid w:val="0"/>
        <w:spacing w:line="440" w:lineRule="exact"/>
        <w:ind w:left="1045" w:leftChars="341" w:hanging="329" w:hangingChars="163"/>
        <w:rPr>
          <w:rFonts w:hint="eastAsia" w:hAnsi="宋体" w:cs="宋体"/>
          <w:color w:val="auto"/>
          <w:sz w:val="21"/>
          <w:szCs w:val="21"/>
          <w:highlight w:val="none"/>
        </w:rPr>
      </w:pPr>
      <w:r>
        <w:rPr>
          <w:rFonts w:hint="eastAsia" w:hAnsi="宋体" w:cs="宋体"/>
          <w:color w:val="auto"/>
          <w:sz w:val="21"/>
          <w:szCs w:val="21"/>
          <w:highlight w:val="none"/>
        </w:rPr>
        <w:t>保证在中标后忠实地执行与采购人所签署的合同，并承担合同规定的责任义务。保证在中标后按照采购文件的规定支付采购代理服务费。</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2．我们郑重声明：我公司符合有关法律法规规定的参加采购活动应当具备的条件：具有健全的财务会计制度、依法缴纳税收和社会保障资金、参加本次采购活动之前的三年内，在经营活动中无重大违法活动。</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3．与本投标有关的一切正式往来信函请寄：</w:t>
      </w:r>
    </w:p>
    <w:p>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投标人名称（加盖公章）： </w:t>
      </w:r>
      <w:r>
        <w:rPr>
          <w:rFonts w:hint="eastAsia" w:ascii="宋体" w:hAnsi="宋体" w:cs="宋体"/>
          <w:color w:val="auto"/>
          <w:szCs w:val="21"/>
          <w:highlight w:val="none"/>
          <w:u w:val="single"/>
        </w:rPr>
        <w:t xml:space="preserve">                                              </w:t>
      </w:r>
    </w:p>
    <w:p>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邮编：__________   </w:t>
      </w:r>
    </w:p>
    <w:p>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传真：__________</w:t>
      </w:r>
    </w:p>
    <w:p>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p>
    <w:p>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投标人代表姓名 ___________  职务：</w:t>
      </w:r>
      <w:r>
        <w:rPr>
          <w:rFonts w:hint="eastAsia" w:ascii="宋体" w:hAnsi="宋体" w:cs="宋体"/>
          <w:color w:val="auto"/>
          <w:szCs w:val="21"/>
          <w:highlight w:val="none"/>
          <w:u w:val="single"/>
        </w:rPr>
        <w:t xml:space="preserve">              </w:t>
      </w:r>
    </w:p>
    <w:p>
      <w:pPr>
        <w:snapToGrid w:val="0"/>
        <w:spacing w:line="440" w:lineRule="exact"/>
        <w:jc w:val="center"/>
        <w:rPr>
          <w:rFonts w:hint="eastAsia" w:ascii="宋体" w:hAnsi="宋体" w:cs="宋体"/>
          <w:color w:val="auto"/>
          <w:szCs w:val="21"/>
          <w:highlight w:val="none"/>
        </w:rPr>
      </w:pPr>
    </w:p>
    <w:p>
      <w:pPr>
        <w:snapToGrid w:val="0"/>
        <w:spacing w:line="440" w:lineRule="exact"/>
        <w:jc w:val="center"/>
        <w:rPr>
          <w:rFonts w:hint="eastAsia" w:ascii="宋体" w:hAnsi="宋体" w:cs="宋体"/>
          <w:color w:val="auto"/>
          <w:szCs w:val="21"/>
          <w:highlight w:val="none"/>
        </w:rPr>
      </w:pPr>
    </w:p>
    <w:p>
      <w:pPr>
        <w:snapToGrid w:val="0"/>
        <w:spacing w:line="440" w:lineRule="exact"/>
        <w:ind w:firstLine="200"/>
        <w:rPr>
          <w:rFonts w:hint="eastAsia" w:ascii="宋体" w:hAnsi="宋体" w:cs="宋体"/>
          <w:color w:val="auto"/>
          <w:szCs w:val="21"/>
          <w:highlight w:val="none"/>
        </w:rPr>
      </w:pPr>
      <w:r>
        <w:rPr>
          <w:rFonts w:hint="eastAsia" w:ascii="宋体" w:hAnsi="宋体" w:cs="宋体"/>
          <w:color w:val="auto"/>
          <w:szCs w:val="21"/>
          <w:highlight w:val="none"/>
        </w:rPr>
        <w:t xml:space="preserve">                         法定代表人或其委托代理人（签字或盖章）：</w:t>
      </w:r>
      <w:r>
        <w:rPr>
          <w:rFonts w:hint="eastAsia" w:ascii="宋体" w:hAnsi="宋体" w:cs="宋体"/>
          <w:color w:val="auto"/>
          <w:szCs w:val="21"/>
          <w:highlight w:val="none"/>
          <w:u w:val="single"/>
        </w:rPr>
        <w:t xml:space="preserve">             </w:t>
      </w:r>
    </w:p>
    <w:p>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日期：_____年___月___日</w:t>
      </w:r>
    </w:p>
    <w:p>
      <w:pPr>
        <w:snapToGrid w:val="0"/>
        <w:spacing w:line="440" w:lineRule="exact"/>
        <w:jc w:val="left"/>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rPr>
      </w:pPr>
    </w:p>
    <w:p>
      <w:pPr>
        <w:pStyle w:val="6"/>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196" w:name="_Toc11347"/>
      <w:bookmarkStart w:id="197" w:name="_Toc6495"/>
      <w:bookmarkStart w:id="198" w:name="_Toc5981"/>
      <w:r>
        <w:rPr>
          <w:rFonts w:hint="eastAsia" w:ascii="宋体" w:hAnsi="宋体" w:eastAsia="宋体" w:cs="宋体"/>
          <w:color w:val="auto"/>
          <w:sz w:val="21"/>
          <w:szCs w:val="21"/>
          <w:highlight w:val="none"/>
        </w:rPr>
        <w:t>6、法定代表人身份证明及法定代表人授权委托书格式</w:t>
      </w:r>
      <w:bookmarkEnd w:id="196"/>
      <w:bookmarkEnd w:id="197"/>
      <w:bookmarkEnd w:id="198"/>
    </w:p>
    <w:p>
      <w:pPr>
        <w:snapToGrid w:val="0"/>
        <w:spacing w:line="440" w:lineRule="exact"/>
        <w:jc w:val="center"/>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法定代表人身份证明</w:t>
      </w:r>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（适用于法定代表人来投标）</w:t>
      </w:r>
    </w:p>
    <w:p>
      <w:pPr>
        <w:snapToGrid w:val="0"/>
        <w:spacing w:line="440" w:lineRule="exact"/>
        <w:jc w:val="center"/>
        <w:rPr>
          <w:rFonts w:hint="eastAsia" w:ascii="宋体" w:hAnsi="宋体" w:cs="宋体"/>
          <w:b/>
          <w:color w:val="auto"/>
          <w:szCs w:val="21"/>
          <w:highlight w:val="none"/>
        </w:rPr>
      </w:pPr>
    </w:p>
    <w:p>
      <w:pPr>
        <w:wordWrap w:val="0"/>
        <w:topLinePunct/>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wordWrap w:val="0"/>
        <w:topLinePunct/>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ordWrap w:val="0"/>
        <w:topLinePunct/>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wordWrap w:val="0"/>
        <w:topLinePunct/>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ordWrap w:val="0"/>
        <w:topLinePunct/>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wordWrap w:val="0"/>
        <w:topLinePunct/>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pPr>
        <w:wordWrap w:val="0"/>
        <w:topLinePunct/>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wordWrap w:val="0"/>
        <w:topLinePunct/>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pPr>
        <w:wordWrap w:val="0"/>
        <w:topLinePunct/>
        <w:snapToGrid w:val="0"/>
        <w:spacing w:line="4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特此证明。</w:t>
      </w:r>
    </w:p>
    <w:p>
      <w:pPr>
        <w:wordWrap w:val="0"/>
        <w:topLinePunct/>
        <w:snapToGrid w:val="0"/>
        <w:spacing w:line="440" w:lineRule="exact"/>
        <w:ind w:firstLine="420" w:firstLineChars="200"/>
        <w:rPr>
          <w:rFonts w:hint="eastAsia" w:ascii="宋体" w:hAnsi="宋体" w:cs="宋体"/>
          <w:color w:val="auto"/>
          <w:szCs w:val="21"/>
          <w:highlight w:val="none"/>
        </w:rPr>
      </w:pPr>
    </w:p>
    <w:p>
      <w:pPr>
        <w:wordWrap w:val="0"/>
        <w:topLinePunct/>
        <w:snapToGrid w:val="0"/>
        <w:spacing w:line="440" w:lineRule="exact"/>
        <w:ind w:firstLine="420" w:firstLineChars="200"/>
        <w:rPr>
          <w:rFonts w:hint="eastAsia" w:ascii="宋体" w:hAnsi="宋体" w:cs="宋体"/>
          <w:color w:val="auto"/>
          <w:szCs w:val="21"/>
          <w:highlight w:val="none"/>
        </w:rPr>
      </w:pPr>
    </w:p>
    <w:p>
      <w:pPr>
        <w:wordWrap w:val="0"/>
        <w:topLinePunct/>
        <w:snapToGrid w:val="0"/>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wordWrap w:val="0"/>
        <w:topLinePunct/>
        <w:snapToGrid w:val="0"/>
        <w:spacing w:line="440" w:lineRule="exact"/>
        <w:ind w:firstLine="4515" w:firstLineChars="2150"/>
        <w:rPr>
          <w:rFonts w:hint="eastAsia" w:ascii="宋体" w:hAnsi="宋体" w:cs="宋体"/>
          <w:color w:val="auto"/>
          <w:szCs w:val="21"/>
          <w:highlight w:val="none"/>
          <w:u w:val="single"/>
        </w:rPr>
      </w:pPr>
    </w:p>
    <w:p>
      <w:pPr>
        <w:wordWrap w:val="0"/>
        <w:topLinePunct/>
        <w:snapToGrid w:val="0"/>
        <w:spacing w:line="440" w:lineRule="exact"/>
        <w:ind w:firstLine="3675" w:firstLineChars="175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b/>
          <w:color w:val="auto"/>
          <w:szCs w:val="21"/>
          <w:highlight w:val="none"/>
        </w:rPr>
      </w:pPr>
    </w:p>
    <w:p>
      <w:pPr>
        <w:snapToGrid w:val="0"/>
        <w:spacing w:line="440" w:lineRule="exact"/>
        <w:rPr>
          <w:rFonts w:hint="eastAsia" w:ascii="宋体" w:hAnsi="宋体" w:cs="宋体"/>
          <w:b/>
          <w:color w:val="auto"/>
          <w:szCs w:val="21"/>
          <w:highlight w:val="none"/>
        </w:rPr>
      </w:pPr>
    </w:p>
    <w:p>
      <w:pPr>
        <w:snapToGrid w:val="0"/>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注：后附法定代表人的身份证复印件（正反两面）。</w:t>
      </w:r>
    </w:p>
    <w:p>
      <w:pPr>
        <w:snapToGrid w:val="0"/>
        <w:spacing w:line="440" w:lineRule="exact"/>
        <w:rPr>
          <w:rFonts w:hint="eastAsia" w:ascii="宋体" w:hAnsi="宋体" w:cs="宋体"/>
          <w:color w:val="auto"/>
          <w:szCs w:val="21"/>
          <w:highlight w:val="none"/>
        </w:rPr>
      </w:pPr>
    </w:p>
    <w:p>
      <w:pPr>
        <w:snapToGrid w:val="0"/>
        <w:spacing w:line="440" w:lineRule="exact"/>
        <w:jc w:val="left"/>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法定代表人授权委托书</w:t>
      </w:r>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（适用于授权委托代表来投标）</w:t>
      </w:r>
    </w:p>
    <w:p>
      <w:pPr>
        <w:snapToGrid w:val="0"/>
        <w:spacing w:line="440" w:lineRule="exact"/>
        <w:jc w:val="center"/>
        <w:rPr>
          <w:rFonts w:hint="eastAsia" w:ascii="宋体" w:hAnsi="宋体" w:cs="宋体"/>
          <w:bCs/>
          <w:color w:val="auto"/>
          <w:szCs w:val="21"/>
          <w:highlight w:val="none"/>
        </w:rPr>
      </w:pPr>
    </w:p>
    <w:p>
      <w:pPr>
        <w:snapToGrid w:val="0"/>
        <w:spacing w:line="440" w:lineRule="exact"/>
        <w:rPr>
          <w:rFonts w:hint="eastAsia" w:ascii="宋体" w:hAnsi="宋体" w:cs="宋体"/>
          <w:b/>
          <w:bCs/>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lang w:eastAsia="zh-CN"/>
        </w:rPr>
        <w:t>宁波市鄞州区第二医院</w:t>
      </w:r>
      <w:r>
        <w:rPr>
          <w:rFonts w:hint="eastAsia" w:ascii="宋体" w:hAnsi="宋体" w:cs="宋体"/>
          <w:b/>
          <w:color w:val="auto"/>
          <w:szCs w:val="21"/>
          <w:highlight w:val="none"/>
        </w:rPr>
        <w:t>：</w:t>
      </w:r>
    </w:p>
    <w:p>
      <w:pPr>
        <w:snapToGrid w:val="0"/>
        <w:spacing w:line="440" w:lineRule="exact"/>
        <w:ind w:firstLine="508" w:firstLineChars="242"/>
        <w:rPr>
          <w:rFonts w:hint="eastAsia" w:ascii="宋体" w:hAnsi="宋体" w:cs="宋体"/>
          <w:color w:val="auto"/>
          <w:szCs w:val="21"/>
          <w:highlight w:val="none"/>
        </w:rPr>
      </w:pPr>
    </w:p>
    <w:p>
      <w:pPr>
        <w:snapToGrid w:val="0"/>
        <w:spacing w:line="440" w:lineRule="exact"/>
        <w:ind w:firstLine="508" w:firstLineChars="242"/>
        <w:rPr>
          <w:rFonts w:hint="eastAsia"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440" w:lineRule="exact"/>
        <w:ind w:firstLine="508" w:firstLineChars="242"/>
        <w:rPr>
          <w:rFonts w:hint="eastAsia" w:ascii="宋体" w:hAnsi="宋体" w:cs="宋体"/>
          <w:color w:val="auto"/>
          <w:szCs w:val="21"/>
          <w:highlight w:val="none"/>
        </w:rPr>
      </w:pPr>
      <w:r>
        <w:rPr>
          <w:rFonts w:hint="eastAsia" w:ascii="宋体" w:hAnsi="宋体" w:cs="宋体"/>
          <w:color w:val="auto"/>
          <w:szCs w:val="21"/>
          <w:highlight w:val="none"/>
        </w:rPr>
        <w:t>我方对被授权人的签名事项负全部责任。</w:t>
      </w:r>
    </w:p>
    <w:p>
      <w:pPr>
        <w:snapToGrid w:val="0"/>
        <w:spacing w:line="440" w:lineRule="exact"/>
        <w:ind w:firstLine="480"/>
        <w:rPr>
          <w:rFonts w:hint="eastAsia"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napToGrid w:val="0"/>
        <w:spacing w:line="44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440" w:lineRule="exact"/>
        <w:rPr>
          <w:rFonts w:hint="eastAsia" w:ascii="宋体" w:hAnsi="宋体" w:cs="宋体"/>
          <w:color w:val="auto"/>
          <w:szCs w:val="21"/>
          <w:highlight w:val="none"/>
        </w:rPr>
      </w:pPr>
    </w:p>
    <w:p>
      <w:pPr>
        <w:wordWrap w:val="0"/>
        <w:topLinePunct/>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ordWrap w:val="0"/>
        <w:topLinePunct/>
        <w:snapToGrid w:val="0"/>
        <w:spacing w:line="4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ordWrap w:val="0"/>
        <w:topLinePunct/>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p>
    <w:p>
      <w:pPr>
        <w:wordWrap w:val="0"/>
        <w:topLinePunct/>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投标人名称（加盖公章）：</w:t>
      </w:r>
    </w:p>
    <w:p>
      <w:pPr>
        <w:wordWrap w:val="0"/>
        <w:topLinePunct/>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line="440" w:lineRule="exact"/>
        <w:ind w:firstLine="3150" w:firstLineChars="1500"/>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color w:val="auto"/>
          <w:szCs w:val="21"/>
          <w:highlight w:val="none"/>
        </w:rPr>
      </w:pPr>
    </w:p>
    <w:p>
      <w:pPr>
        <w:snapToGrid w:val="0"/>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注：后附法定代表人和被授权人的身份证复印件（正反两面）。</w:t>
      </w:r>
    </w:p>
    <w:p>
      <w:pPr>
        <w:pStyle w:val="6"/>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199" w:name="_Toc23443"/>
      <w:bookmarkStart w:id="200" w:name="_Toc10075"/>
      <w:bookmarkStart w:id="201" w:name="_Toc20666"/>
      <w:r>
        <w:rPr>
          <w:rFonts w:hint="eastAsia" w:ascii="宋体" w:hAnsi="宋体" w:eastAsia="宋体" w:cs="宋体"/>
          <w:color w:val="auto"/>
          <w:sz w:val="21"/>
          <w:szCs w:val="21"/>
          <w:highlight w:val="none"/>
        </w:rPr>
        <w:t>7、投标人基本情况表</w:t>
      </w:r>
      <w:bookmarkEnd w:id="199"/>
      <w:bookmarkEnd w:id="200"/>
      <w:bookmarkEnd w:id="201"/>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投标人基本情况表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申请人名称</w:t>
            </w:r>
          </w:p>
        </w:tc>
        <w:tc>
          <w:tcPr>
            <w:tcW w:w="7264" w:type="dxa"/>
            <w:gridSpan w:val="11"/>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736" w:type="dxa"/>
            <w:gridSpan w:val="5"/>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21"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507" w:type="dxa"/>
            <w:gridSpan w:val="4"/>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908"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828" w:type="dxa"/>
            <w:gridSpan w:val="4"/>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21"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2507" w:type="dxa"/>
            <w:gridSpan w:val="4"/>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908"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传真</w:t>
            </w:r>
          </w:p>
        </w:tc>
        <w:tc>
          <w:tcPr>
            <w:tcW w:w="2828" w:type="dxa"/>
            <w:gridSpan w:val="4"/>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021"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网址</w:t>
            </w:r>
          </w:p>
        </w:tc>
        <w:tc>
          <w:tcPr>
            <w:tcW w:w="2507" w:type="dxa"/>
            <w:gridSpan w:val="4"/>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组织结构</w:t>
            </w:r>
          </w:p>
        </w:tc>
        <w:tc>
          <w:tcPr>
            <w:tcW w:w="7264" w:type="dxa"/>
            <w:gridSpan w:val="11"/>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916"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561"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279" w:type="dxa"/>
            <w:gridSpan w:val="3"/>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010"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68"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73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916"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561"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279" w:type="dxa"/>
            <w:gridSpan w:val="3"/>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010"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768"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730"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4787" w:type="dxa"/>
            <w:gridSpan w:val="8"/>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952" w:type="dxa"/>
            <w:vMerge w:val="restart"/>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高级职称人员</w:t>
            </w:r>
          </w:p>
        </w:tc>
        <w:tc>
          <w:tcPr>
            <w:tcW w:w="1998"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中级职称人员</w:t>
            </w:r>
          </w:p>
        </w:tc>
        <w:tc>
          <w:tcPr>
            <w:tcW w:w="1998"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初级职称人员</w:t>
            </w:r>
          </w:p>
        </w:tc>
        <w:tc>
          <w:tcPr>
            <w:tcW w:w="1998"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998"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2477" w:type="dxa"/>
            <w:gridSpan w:val="3"/>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952" w:type="dxa"/>
            <w:vMerge w:val="continue"/>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837" w:type="dxa"/>
            <w:gridSpan w:val="5"/>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c>
          <w:tcPr>
            <w:tcW w:w="1998" w:type="dxa"/>
            <w:gridSpan w:val="2"/>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7264" w:type="dxa"/>
            <w:gridSpan w:val="11"/>
            <w:noWrap w:val="0"/>
            <w:tcMar>
              <w:left w:w="28" w:type="dxa"/>
              <w:right w:w="28" w:type="dxa"/>
            </w:tcMar>
            <w:vAlign w:val="center"/>
          </w:tcPr>
          <w:p>
            <w:pPr>
              <w:snapToGrid w:val="0"/>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264" w:type="dxa"/>
            <w:gridSpan w:val="11"/>
            <w:noWrap w:val="0"/>
            <w:tcMar>
              <w:left w:w="28" w:type="dxa"/>
              <w:right w:w="28" w:type="dxa"/>
            </w:tcMar>
            <w:vAlign w:val="center"/>
          </w:tcPr>
          <w:p>
            <w:pPr>
              <w:snapToGrid w:val="0"/>
              <w:spacing w:line="440" w:lineRule="exact"/>
              <w:jc w:val="center"/>
              <w:rPr>
                <w:rFonts w:hint="eastAsia" w:ascii="宋体" w:hAnsi="宋体" w:cs="宋体"/>
                <w:color w:val="auto"/>
                <w:szCs w:val="21"/>
                <w:highlight w:val="none"/>
              </w:rPr>
            </w:pPr>
          </w:p>
        </w:tc>
      </w:tr>
    </w:tbl>
    <w:p>
      <w:pPr>
        <w:snapToGrid w:val="0"/>
        <w:spacing w:line="440" w:lineRule="exact"/>
        <w:jc w:val="left"/>
        <w:rPr>
          <w:rFonts w:hint="eastAsia" w:ascii="宋体" w:hAnsi="宋体" w:cs="宋体"/>
          <w:color w:val="auto"/>
          <w:szCs w:val="21"/>
          <w:highlight w:val="none"/>
        </w:rPr>
      </w:pPr>
    </w:p>
    <w:p>
      <w:pPr>
        <w:pStyle w:val="6"/>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02" w:name="_Toc18454"/>
      <w:bookmarkStart w:id="203" w:name="_Toc22221"/>
      <w:bookmarkStart w:id="204" w:name="_Toc20894"/>
      <w:bookmarkStart w:id="205" w:name="_Toc433039358"/>
      <w:r>
        <w:rPr>
          <w:rFonts w:hint="eastAsia" w:ascii="宋体" w:hAnsi="宋体" w:eastAsia="宋体" w:cs="宋体"/>
          <w:color w:val="auto"/>
          <w:sz w:val="21"/>
          <w:szCs w:val="21"/>
          <w:highlight w:val="none"/>
        </w:rPr>
        <w:t>8、政府采购统计基础信息表</w:t>
      </w:r>
      <w:bookmarkEnd w:id="202"/>
      <w:bookmarkEnd w:id="203"/>
      <w:bookmarkEnd w:id="204"/>
      <w:bookmarkEnd w:id="205"/>
    </w:p>
    <w:p>
      <w:pPr>
        <w:snapToGrid w:val="0"/>
        <w:spacing w:line="440" w:lineRule="exact"/>
        <w:jc w:val="center"/>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政府采购统计基础信息表</w:t>
      </w:r>
    </w:p>
    <w:tbl>
      <w:tblPr>
        <w:tblStyle w:val="47"/>
        <w:tblW w:w="0" w:type="auto"/>
        <w:tblInd w:w="108" w:type="dxa"/>
        <w:tblLayout w:type="fixed"/>
        <w:tblCellMar>
          <w:top w:w="0" w:type="dxa"/>
          <w:left w:w="108" w:type="dxa"/>
          <w:bottom w:w="0" w:type="dxa"/>
          <w:right w:w="108" w:type="dxa"/>
        </w:tblCellMar>
      </w:tblPr>
      <w:tblGrid>
        <w:gridCol w:w="4111"/>
        <w:gridCol w:w="4797"/>
      </w:tblGrid>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采购人及采购项目名称</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投（中）标单位名称</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是否国内企业</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是否宁波企业</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eastAsia="zh-CN"/>
              </w:rPr>
              <w:t>制造</w:t>
            </w:r>
            <w:r>
              <w:rPr>
                <w:rFonts w:hint="eastAsia" w:ascii="宋体" w:hAnsi="宋体" w:eastAsia="宋体" w:cs="宋体"/>
                <w:color w:val="auto"/>
                <w:spacing w:val="6"/>
                <w:w w:val="100"/>
                <w:sz w:val="21"/>
                <w:szCs w:val="21"/>
                <w:highlight w:val="none"/>
              </w:rPr>
              <w:t>企业划分标准类型（大型、中型、小型、微型）</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提供的货物是否本企业制造</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货物原产地是否是中国境内</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货物原产地是否是宁波</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是节能清单产品</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提供的货物是否是环境标志清单产品</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承担的工程或服务是否本企业提供</w:t>
            </w:r>
          </w:p>
        </w:tc>
        <w:tc>
          <w:tcPr>
            <w:tcW w:w="4797"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hint="eastAsia" w:ascii="宋体" w:hAnsi="宋体" w:eastAsia="宋体" w:cs="宋体"/>
                <w:color w:val="auto"/>
                <w:spacing w:val="6"/>
                <w:w w:val="100"/>
                <w:sz w:val="21"/>
                <w:szCs w:val="21"/>
                <w:highlight w:val="none"/>
              </w:rPr>
            </w:pP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本项目预算</w:t>
            </w:r>
          </w:p>
        </w:tc>
        <w:tc>
          <w:tcPr>
            <w:tcW w:w="4797" w:type="dxa"/>
            <w:tcBorders>
              <w:top w:val="single" w:color="000000" w:sz="4" w:space="0"/>
              <w:left w:val="nil"/>
              <w:bottom w:val="single" w:color="000000" w:sz="4" w:space="0"/>
              <w:right w:val="single" w:color="000000" w:sz="4" w:space="0"/>
            </w:tcBorders>
            <w:noWrap w:val="0"/>
            <w:vAlign w:val="center"/>
          </w:tcPr>
          <w:p>
            <w:pPr>
              <w:ind w:firstLine="446" w:firstLineChars="200"/>
              <w:jc w:val="center"/>
              <w:rPr>
                <w:rFonts w:hint="eastAsia" w:ascii="宋体" w:hAnsi="宋体" w:eastAsia="宋体" w:cs="宋体"/>
                <w:b/>
                <w:bCs/>
                <w:color w:val="auto"/>
                <w:spacing w:val="6"/>
                <w:w w:val="100"/>
                <w:sz w:val="21"/>
                <w:szCs w:val="21"/>
                <w:highlight w:val="none"/>
              </w:rPr>
            </w:pPr>
            <w:r>
              <w:rPr>
                <w:rFonts w:hint="eastAsia" w:ascii="宋体" w:hAnsi="宋体" w:eastAsia="宋体" w:cs="宋体"/>
                <w:b/>
                <w:bCs/>
                <w:color w:val="auto"/>
                <w:spacing w:val="6"/>
                <w:w w:val="100"/>
                <w:sz w:val="21"/>
                <w:szCs w:val="21"/>
                <w:highlight w:val="none"/>
              </w:rPr>
              <w:t>/（无须填写）</w:t>
            </w: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本项目是否专门面向中小企业采购</w:t>
            </w:r>
          </w:p>
        </w:tc>
        <w:tc>
          <w:tcPr>
            <w:tcW w:w="4797" w:type="dxa"/>
            <w:tcBorders>
              <w:top w:val="single" w:color="000000" w:sz="4" w:space="0"/>
              <w:left w:val="nil"/>
              <w:bottom w:val="single" w:color="000000" w:sz="4" w:space="0"/>
              <w:right w:val="single" w:color="000000" w:sz="4" w:space="0"/>
            </w:tcBorders>
            <w:noWrap w:val="0"/>
            <w:vAlign w:val="center"/>
          </w:tcPr>
          <w:p>
            <w:pPr>
              <w:ind w:firstLine="446" w:firstLineChars="200"/>
              <w:jc w:val="center"/>
              <w:rPr>
                <w:rFonts w:hint="eastAsia" w:ascii="宋体" w:hAnsi="宋体" w:eastAsia="宋体" w:cs="宋体"/>
                <w:b/>
                <w:bCs/>
                <w:color w:val="auto"/>
                <w:spacing w:val="6"/>
                <w:w w:val="100"/>
                <w:sz w:val="21"/>
                <w:szCs w:val="21"/>
                <w:highlight w:val="none"/>
              </w:rPr>
            </w:pPr>
            <w:r>
              <w:rPr>
                <w:rFonts w:hint="eastAsia" w:ascii="宋体" w:hAnsi="宋体" w:eastAsia="宋体" w:cs="宋体"/>
                <w:b/>
                <w:bCs/>
                <w:color w:val="auto"/>
                <w:spacing w:val="6"/>
                <w:w w:val="100"/>
                <w:sz w:val="21"/>
                <w:szCs w:val="21"/>
                <w:highlight w:val="none"/>
              </w:rPr>
              <w:t>/（无须填写）</w:t>
            </w:r>
          </w:p>
        </w:tc>
      </w:tr>
      <w:tr>
        <w:tblPrEx>
          <w:tblCellMar>
            <w:top w:w="0" w:type="dxa"/>
            <w:left w:w="108" w:type="dxa"/>
            <w:bottom w:w="0" w:type="dxa"/>
            <w:right w:w="108" w:type="dxa"/>
          </w:tblCellMar>
        </w:tblPrEx>
        <w:trPr>
          <w:trHeight w:val="680" w:hRule="atLeast"/>
        </w:trPr>
        <w:tc>
          <w:tcPr>
            <w:tcW w:w="41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投（中）标金额（万元）</w:t>
            </w:r>
          </w:p>
        </w:tc>
        <w:tc>
          <w:tcPr>
            <w:tcW w:w="4797" w:type="dxa"/>
            <w:tcBorders>
              <w:top w:val="single" w:color="000000" w:sz="4" w:space="0"/>
              <w:left w:val="nil"/>
              <w:bottom w:val="single" w:color="000000" w:sz="4" w:space="0"/>
              <w:right w:val="single" w:color="000000" w:sz="4" w:space="0"/>
            </w:tcBorders>
            <w:noWrap w:val="0"/>
            <w:vAlign w:val="center"/>
          </w:tcPr>
          <w:p>
            <w:pPr>
              <w:ind w:firstLine="446" w:firstLineChars="200"/>
              <w:jc w:val="center"/>
              <w:rPr>
                <w:rFonts w:hint="eastAsia" w:ascii="宋体" w:hAnsi="宋体" w:eastAsia="宋体" w:cs="宋体"/>
                <w:b/>
                <w:bCs/>
                <w:color w:val="auto"/>
                <w:spacing w:val="6"/>
                <w:w w:val="100"/>
                <w:sz w:val="21"/>
                <w:szCs w:val="21"/>
                <w:highlight w:val="none"/>
              </w:rPr>
            </w:pPr>
            <w:r>
              <w:rPr>
                <w:rFonts w:hint="eastAsia" w:ascii="宋体" w:hAnsi="宋体" w:eastAsia="宋体" w:cs="宋体"/>
                <w:b/>
                <w:bCs/>
                <w:color w:val="auto"/>
                <w:spacing w:val="6"/>
                <w:w w:val="100"/>
                <w:sz w:val="21"/>
                <w:szCs w:val="21"/>
                <w:highlight w:val="none"/>
              </w:rPr>
              <w:t>/（无须填写）</w:t>
            </w:r>
          </w:p>
        </w:tc>
      </w:tr>
    </w:tbl>
    <w:p>
      <w:pPr>
        <w:snapToGrid w:val="0"/>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备注：请各投标人务必填写此表作为投标文件的组成部分。</w:t>
      </w:r>
    </w:p>
    <w:p>
      <w:pPr>
        <w:snapToGrid w:val="0"/>
        <w:spacing w:line="440" w:lineRule="exact"/>
        <w:rPr>
          <w:rFonts w:hint="eastAsia" w:ascii="宋体" w:hAnsi="宋体" w:cs="宋体"/>
          <w:color w:val="auto"/>
          <w:szCs w:val="21"/>
          <w:highlight w:val="none"/>
          <w:shd w:val="pct10" w:color="auto" w:fill="FFFFFF"/>
        </w:rPr>
      </w:pPr>
    </w:p>
    <w:p>
      <w:pPr>
        <w:pStyle w:val="6"/>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06" w:name="_Toc20749"/>
      <w:bookmarkStart w:id="207" w:name="_Toc10346"/>
      <w:bookmarkStart w:id="208" w:name="_Toc11493"/>
      <w:bookmarkStart w:id="209" w:name="_Toc463726850"/>
      <w:bookmarkStart w:id="210" w:name="_Toc17862"/>
      <w:bookmarkStart w:id="211" w:name="_Toc9503"/>
      <w:r>
        <w:rPr>
          <w:rFonts w:hint="eastAsia" w:ascii="宋体" w:hAnsi="宋体" w:eastAsia="宋体" w:cs="宋体"/>
          <w:b/>
          <w:bCs/>
          <w:color w:val="auto"/>
          <w:sz w:val="21"/>
          <w:szCs w:val="21"/>
          <w:highlight w:val="none"/>
          <w:lang w:val="en-US" w:eastAsia="zh-CN"/>
        </w:rPr>
        <w:t>9、</w:t>
      </w:r>
      <w:r>
        <w:rPr>
          <w:rFonts w:hint="eastAsia" w:ascii="宋体" w:hAnsi="宋体" w:eastAsia="宋体" w:cs="宋体"/>
          <w:color w:val="auto"/>
          <w:sz w:val="21"/>
          <w:szCs w:val="21"/>
          <w:highlight w:val="none"/>
        </w:rPr>
        <w:t>类似项目业绩一览表</w:t>
      </w:r>
      <w:bookmarkEnd w:id="206"/>
      <w:bookmarkEnd w:id="207"/>
      <w:bookmarkEnd w:id="208"/>
      <w:bookmarkEnd w:id="209"/>
      <w:bookmarkEnd w:id="210"/>
      <w:bookmarkEnd w:id="211"/>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类似项目业绩一览表</w:t>
      </w:r>
    </w:p>
    <w:tbl>
      <w:tblPr>
        <w:tblStyle w:val="47"/>
        <w:tblW w:w="8846"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722"/>
        <w:gridCol w:w="2258"/>
        <w:gridCol w:w="1337"/>
        <w:gridCol w:w="1738"/>
        <w:gridCol w:w="115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41"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722" w:type="dxa"/>
            <w:tcBorders>
              <w:top w:val="single" w:color="auto" w:sz="4" w:space="0"/>
              <w:bottom w:val="single" w:color="auto" w:sz="4" w:space="0"/>
            </w:tcBorders>
            <w:noWrap w:val="0"/>
            <w:tcMar>
              <w:left w:w="0" w:type="dxa"/>
              <w:right w:w="0" w:type="dxa"/>
            </w:tcMar>
            <w:vAlign w:val="center"/>
          </w:tcPr>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项目名称</w:t>
            </w:r>
          </w:p>
        </w:tc>
        <w:tc>
          <w:tcPr>
            <w:tcW w:w="2258"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rPr>
                <w:rFonts w:hint="eastAsia" w:ascii="宋体" w:hAnsi="宋体" w:cs="宋体"/>
                <w:b/>
                <w:color w:val="auto"/>
                <w:szCs w:val="21"/>
                <w:highlight w:val="none"/>
              </w:rPr>
            </w:pPr>
            <w:r>
              <w:rPr>
                <w:rFonts w:hint="eastAsia" w:ascii="宋体" w:hAnsi="宋体" w:cs="宋体"/>
                <w:b/>
                <w:color w:val="auto"/>
                <w:szCs w:val="21"/>
                <w:highlight w:val="none"/>
              </w:rPr>
              <w:t>业主名称</w:t>
            </w:r>
          </w:p>
        </w:tc>
        <w:tc>
          <w:tcPr>
            <w:tcW w:w="1337"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rPr>
                <w:rFonts w:hint="eastAsia" w:ascii="宋体" w:hAnsi="宋体" w:cs="宋体"/>
                <w:b/>
                <w:color w:val="auto"/>
                <w:szCs w:val="21"/>
                <w:highlight w:val="none"/>
              </w:rPr>
            </w:pPr>
            <w:r>
              <w:rPr>
                <w:rFonts w:hint="eastAsia" w:ascii="宋体" w:hAnsi="宋体" w:cs="宋体"/>
                <w:b/>
                <w:color w:val="auto"/>
                <w:szCs w:val="21"/>
                <w:highlight w:val="none"/>
              </w:rPr>
              <w:t>合同金额</w:t>
            </w:r>
          </w:p>
        </w:tc>
        <w:tc>
          <w:tcPr>
            <w:tcW w:w="1738"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rPr>
                <w:rFonts w:hint="eastAsia" w:ascii="宋体" w:hAnsi="宋体" w:cs="宋体"/>
                <w:b/>
                <w:color w:val="auto"/>
                <w:szCs w:val="21"/>
                <w:highlight w:val="none"/>
              </w:rPr>
            </w:pPr>
            <w:r>
              <w:rPr>
                <w:rFonts w:hint="eastAsia" w:ascii="宋体" w:hAnsi="宋体" w:cs="宋体"/>
                <w:b/>
                <w:color w:val="auto"/>
                <w:szCs w:val="21"/>
                <w:highlight w:val="none"/>
              </w:rPr>
              <w:t>合同签订时间</w:t>
            </w:r>
          </w:p>
        </w:tc>
        <w:tc>
          <w:tcPr>
            <w:tcW w:w="1150" w:type="dxa"/>
            <w:tcBorders>
              <w:top w:val="single" w:color="auto" w:sz="4" w:space="0"/>
              <w:bottom w:val="single" w:color="auto" w:sz="4" w:space="0"/>
            </w:tcBorders>
            <w:noWrap w:val="0"/>
            <w:tcMar>
              <w:left w:w="0" w:type="dxa"/>
              <w:right w:w="0" w:type="dxa"/>
            </w:tcMar>
            <w:vAlign w:val="center"/>
          </w:tcPr>
          <w:p>
            <w:pPr>
              <w:snapToGrid w:val="0"/>
              <w:spacing w:line="440" w:lineRule="exact"/>
              <w:ind w:left="-115"/>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tcBorders>
              <w:top w:val="single" w:color="auto" w:sz="4" w:space="0"/>
            </w:tcBorders>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22"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225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337"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738"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c>
          <w:tcPr>
            <w:tcW w:w="1150" w:type="dxa"/>
            <w:noWrap w:val="0"/>
            <w:tcMar>
              <w:left w:w="0" w:type="dxa"/>
              <w:right w:w="0" w:type="dxa"/>
            </w:tcMar>
            <w:vAlign w:val="center"/>
          </w:tcPr>
          <w:p>
            <w:pPr>
              <w:snapToGrid w:val="0"/>
              <w:spacing w:line="440" w:lineRule="exact"/>
              <w:jc w:val="center"/>
              <w:rPr>
                <w:rFonts w:hint="eastAsia" w:ascii="宋体" w:hAnsi="宋体" w:cs="宋体"/>
                <w:color w:val="auto"/>
                <w:szCs w:val="21"/>
                <w:highlight w:val="none"/>
              </w:rPr>
            </w:pPr>
          </w:p>
        </w:tc>
      </w:tr>
    </w:tbl>
    <w:p>
      <w:pPr>
        <w:snapToGrid w:val="0"/>
        <w:spacing w:line="440" w:lineRule="exact"/>
        <w:ind w:left="339" w:hanging="339" w:hangingChars="161"/>
        <w:jc w:val="left"/>
        <w:rPr>
          <w:rFonts w:hint="eastAsia" w:ascii="宋体" w:hAnsi="宋体" w:cs="宋体"/>
          <w:b/>
          <w:bCs/>
          <w:color w:val="auto"/>
          <w:szCs w:val="21"/>
          <w:highlight w:val="none"/>
        </w:rPr>
      </w:pPr>
      <w:r>
        <w:rPr>
          <w:rFonts w:hint="eastAsia" w:ascii="宋体" w:hAnsi="宋体" w:cs="宋体"/>
          <w:b/>
          <w:bCs/>
          <w:color w:val="auto"/>
          <w:szCs w:val="21"/>
          <w:highlight w:val="none"/>
        </w:rPr>
        <w:t>注：根据评分标准要求提供相关证明材料。</w:t>
      </w:r>
    </w:p>
    <w:p>
      <w:pPr>
        <w:snapToGrid w:val="0"/>
        <w:spacing w:line="440" w:lineRule="exact"/>
        <w:ind w:firstLine="200"/>
        <w:rPr>
          <w:rFonts w:hint="eastAsia" w:ascii="宋体" w:hAnsi="宋体" w:cs="宋体"/>
          <w:color w:val="auto"/>
          <w:szCs w:val="21"/>
          <w:highlight w:val="none"/>
        </w:rPr>
      </w:pPr>
    </w:p>
    <w:p>
      <w:pPr>
        <w:snapToGrid w:val="0"/>
        <w:spacing w:line="440" w:lineRule="exact"/>
        <w:jc w:val="right"/>
        <w:rPr>
          <w:rFonts w:hint="eastAsia" w:ascii="宋体" w:hAnsi="宋体" w:cs="宋体"/>
          <w:color w:val="auto"/>
          <w:szCs w:val="21"/>
          <w:highlight w:val="none"/>
        </w:rPr>
      </w:pPr>
    </w:p>
    <w:p>
      <w:pPr>
        <w:snapToGrid w:val="0"/>
        <w:spacing w:line="44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投标人名称（加盖公章）：</w:t>
      </w:r>
      <w:r>
        <w:rPr>
          <w:rFonts w:hint="eastAsia" w:ascii="宋体" w:hAnsi="宋体" w:cs="宋体"/>
          <w:color w:val="auto"/>
          <w:szCs w:val="21"/>
          <w:highlight w:val="none"/>
          <w:u w:val="single"/>
        </w:rPr>
        <w:t xml:space="preserve">                        </w:t>
      </w:r>
    </w:p>
    <w:p>
      <w:pPr>
        <w:snapToGrid w:val="0"/>
        <w:spacing w:line="440" w:lineRule="exact"/>
        <w:ind w:firstLine="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法定代表人或其委托代理人（签字或盖章）：</w:t>
      </w:r>
      <w:r>
        <w:rPr>
          <w:rFonts w:hint="eastAsia" w:ascii="宋体" w:hAnsi="宋体" w:cs="宋体"/>
          <w:color w:val="auto"/>
          <w:szCs w:val="21"/>
          <w:highlight w:val="none"/>
          <w:u w:val="single"/>
        </w:rPr>
        <w:t xml:space="preserve">             </w:t>
      </w:r>
    </w:p>
    <w:p>
      <w:pPr>
        <w:snapToGrid w:val="0"/>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line="440" w:lineRule="exact"/>
        <w:rPr>
          <w:rFonts w:hint="eastAsia" w:ascii="宋体" w:hAnsi="宋体" w:cs="宋体"/>
          <w:color w:val="auto"/>
          <w:szCs w:val="21"/>
          <w:highlight w:val="none"/>
        </w:rPr>
      </w:pPr>
    </w:p>
    <w:p>
      <w:pPr>
        <w:pStyle w:val="6"/>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12" w:name="_Toc9246"/>
      <w:bookmarkStart w:id="213" w:name="_Toc13935"/>
      <w:bookmarkStart w:id="214" w:name="_Toc29762"/>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、商务条款偏离表</w:t>
      </w:r>
      <w:bookmarkEnd w:id="212"/>
      <w:bookmarkEnd w:id="213"/>
      <w:bookmarkEnd w:id="214"/>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商务条款偏离表</w:t>
      </w:r>
    </w:p>
    <w:p>
      <w:pPr>
        <w:snapToGrid w:val="0"/>
        <w:spacing w:line="44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KXZJ-2022010(1)</w:t>
      </w:r>
    </w:p>
    <w:p>
      <w:pPr>
        <w:snapToGrid w:val="0"/>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宁波市鄞州区第二医院2022-2024年度安保服务采购项目</w:t>
      </w:r>
    </w:p>
    <w:tbl>
      <w:tblPr>
        <w:tblStyle w:val="47"/>
        <w:tblW w:w="8817" w:type="dxa"/>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7"/>
        <w:gridCol w:w="4212"/>
        <w:gridCol w:w="3015"/>
        <w:gridCol w:w="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21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采购文件要求</w:t>
            </w:r>
          </w:p>
        </w:tc>
        <w:tc>
          <w:tcPr>
            <w:tcW w:w="301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投标人的响应或说明</w:t>
            </w:r>
          </w:p>
        </w:tc>
        <w:tc>
          <w:tcPr>
            <w:tcW w:w="97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tabs>
                <w:tab w:val="left" w:pos="172"/>
              </w:tabs>
              <w:snapToGrid w:val="0"/>
              <w:spacing w:line="440" w:lineRule="exact"/>
              <w:rPr>
                <w:rFonts w:hint="eastAsia" w:ascii="宋体" w:hAnsi="宋体" w:cs="宋体"/>
                <w:color w:val="auto"/>
                <w:szCs w:val="21"/>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eastAsia"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tabs>
                <w:tab w:val="left" w:pos="172"/>
              </w:tabs>
              <w:snapToGrid w:val="0"/>
              <w:spacing w:line="440" w:lineRule="exact"/>
              <w:rPr>
                <w:rFonts w:hint="eastAsia" w:ascii="宋体" w:hAnsi="宋体" w:cs="宋体"/>
                <w:b/>
                <w:color w:val="auto"/>
                <w:szCs w:val="21"/>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left"/>
              <w:rPr>
                <w:rFonts w:hint="eastAsia"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tabs>
                <w:tab w:val="left" w:pos="172"/>
              </w:tabs>
              <w:snapToGrid w:val="0"/>
              <w:spacing w:line="440" w:lineRule="exact"/>
              <w:rPr>
                <w:rFonts w:hint="eastAsia" w:ascii="宋体" w:hAnsi="宋体" w:cs="宋体"/>
                <w:color w:val="auto"/>
                <w:szCs w:val="21"/>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tabs>
                <w:tab w:val="left" w:pos="172"/>
              </w:tabs>
              <w:snapToGrid w:val="0"/>
              <w:spacing w:line="440" w:lineRule="exact"/>
              <w:rPr>
                <w:rFonts w:hint="eastAsia" w:ascii="宋体" w:hAnsi="宋体" w:cs="宋体"/>
                <w:color w:val="auto"/>
                <w:szCs w:val="21"/>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ascii="宋体" w:hAnsi="宋体" w:cs="宋体"/>
                <w:color w:val="auto"/>
                <w:szCs w:val="21"/>
                <w:highlight w:val="none"/>
              </w:rPr>
            </w:pPr>
            <w:r>
              <w:rPr>
                <w:rFonts w:hint="eastAsia" w:ascii="宋体" w:hAnsi="宋体" w:cs="宋体"/>
                <w:b/>
                <w:bCs/>
                <w:color w:val="auto"/>
                <w:szCs w:val="21"/>
                <w:highlight w:val="none"/>
              </w:rPr>
              <w:t>其他商务条款</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响应采购文件商务条款的其他相关内容。</w:t>
            </w:r>
            <w:r>
              <w:rPr>
                <w:rFonts w:hint="eastAsia" w:ascii="宋体" w:hAnsi="宋体" w:cs="宋体"/>
                <w:b/>
                <w:bCs/>
                <w:color w:val="auto"/>
                <w:szCs w:val="21"/>
                <w:highlight w:val="none"/>
              </w:rPr>
              <w:t>（该部分内容仅作参考，可由投标人自行填写）</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42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b/>
                <w:bCs/>
                <w:color w:val="auto"/>
                <w:szCs w:val="21"/>
                <w:highlight w:val="none"/>
              </w:rPr>
            </w:pPr>
            <w:r>
              <w:rPr>
                <w:rFonts w:hint="eastAsia" w:ascii="宋体" w:hAnsi="宋体" w:cs="宋体"/>
                <w:color w:val="auto"/>
                <w:szCs w:val="21"/>
                <w:highlight w:val="none"/>
              </w:rPr>
              <w:t>……</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pPr>
        <w:snapToGrid w:val="0"/>
        <w:spacing w:line="440" w:lineRule="exact"/>
        <w:ind w:left="645" w:hanging="644" w:hangingChars="307"/>
        <w:rPr>
          <w:rFonts w:hint="eastAsia" w:ascii="宋体" w:hAnsi="宋体" w:cs="宋体"/>
          <w:color w:val="auto"/>
          <w:szCs w:val="21"/>
          <w:highlight w:val="none"/>
        </w:rPr>
      </w:pPr>
      <w:r>
        <w:rPr>
          <w:rFonts w:hint="eastAsia" w:ascii="宋体" w:hAnsi="宋体" w:cs="宋体"/>
          <w:color w:val="auto"/>
          <w:szCs w:val="21"/>
          <w:highlight w:val="none"/>
        </w:rPr>
        <w:t>注：1、采购文件要求具体见采购文件商务条款的相关内容；</w:t>
      </w:r>
    </w:p>
    <w:p>
      <w:pPr>
        <w:snapToGrid w:val="0"/>
        <w:spacing w:line="440" w:lineRule="exact"/>
        <w:ind w:left="598" w:leftChars="178" w:hanging="224" w:hangingChars="107"/>
        <w:rPr>
          <w:rFonts w:hint="eastAsia" w:ascii="宋体" w:hAnsi="宋体" w:cs="宋体"/>
          <w:color w:val="auto"/>
          <w:szCs w:val="21"/>
          <w:highlight w:val="none"/>
        </w:rPr>
      </w:pPr>
      <w:r>
        <w:rPr>
          <w:rFonts w:hint="eastAsia" w:ascii="宋体" w:hAnsi="宋体" w:cs="宋体"/>
          <w:color w:val="auto"/>
          <w:szCs w:val="21"/>
          <w:highlight w:val="none"/>
        </w:rPr>
        <w:t>2、是否偏离应在本表空白处醒目地注明</w:t>
      </w:r>
      <w:r>
        <w:rPr>
          <w:rFonts w:hint="eastAsia" w:ascii="宋体" w:hAnsi="宋体" w:cs="宋体"/>
          <w:color w:val="auto"/>
          <w:szCs w:val="21"/>
          <w:highlight w:val="none"/>
          <w:lang w:eastAsia="zh-CN"/>
        </w:rPr>
        <w:t>“</w:t>
      </w:r>
      <w:r>
        <w:rPr>
          <w:rFonts w:hint="eastAsia" w:ascii="宋体" w:hAnsi="宋体" w:cs="宋体"/>
          <w:color w:val="auto"/>
          <w:szCs w:val="21"/>
          <w:highlight w:val="none"/>
        </w:rPr>
        <w:t>正偏离或无偏离或负偏离</w:t>
      </w:r>
      <w:r>
        <w:rPr>
          <w:rFonts w:hint="eastAsia" w:ascii="宋体" w:hAnsi="宋体" w:cs="宋体"/>
          <w:color w:val="auto"/>
          <w:szCs w:val="21"/>
          <w:highlight w:val="none"/>
          <w:lang w:eastAsia="zh-CN"/>
        </w:rPr>
        <w:t>”</w:t>
      </w:r>
      <w:r>
        <w:rPr>
          <w:rFonts w:hint="eastAsia" w:ascii="宋体" w:hAnsi="宋体" w:cs="宋体"/>
          <w:color w:val="auto"/>
          <w:szCs w:val="21"/>
          <w:highlight w:val="none"/>
        </w:rPr>
        <w:t>等字样。</w:t>
      </w:r>
    </w:p>
    <w:p>
      <w:pPr>
        <w:snapToGrid w:val="0"/>
        <w:spacing w:line="440" w:lineRule="exact"/>
        <w:jc w:val="right"/>
        <w:rPr>
          <w:rFonts w:hint="eastAsia" w:ascii="宋体" w:hAnsi="宋体" w:cs="宋体"/>
          <w:color w:val="auto"/>
          <w:szCs w:val="21"/>
          <w:highlight w:val="none"/>
        </w:rPr>
      </w:pPr>
    </w:p>
    <w:p>
      <w:pPr>
        <w:snapToGrid w:val="0"/>
        <w:spacing w:line="440" w:lineRule="exact"/>
        <w:jc w:val="right"/>
        <w:rPr>
          <w:rFonts w:hint="eastAsia" w:ascii="宋体" w:hAnsi="宋体" w:cs="宋体"/>
          <w:color w:val="auto"/>
          <w:szCs w:val="21"/>
          <w:highlight w:val="none"/>
        </w:rPr>
      </w:pPr>
    </w:p>
    <w:p>
      <w:pPr>
        <w:snapToGrid w:val="0"/>
        <w:spacing w:line="44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投标人名称（加盖公章）：</w:t>
      </w:r>
      <w:r>
        <w:rPr>
          <w:rFonts w:hint="eastAsia" w:ascii="宋体" w:hAnsi="宋体" w:cs="宋体"/>
          <w:color w:val="auto"/>
          <w:szCs w:val="21"/>
          <w:highlight w:val="none"/>
          <w:u w:val="single"/>
        </w:rPr>
        <w:t xml:space="preserve">                        </w:t>
      </w:r>
    </w:p>
    <w:p>
      <w:pPr>
        <w:snapToGrid w:val="0"/>
        <w:spacing w:line="440" w:lineRule="exact"/>
        <w:ind w:firstLine="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法定代表人或其委托代理人（签字或盖章）：</w:t>
      </w:r>
      <w:r>
        <w:rPr>
          <w:rFonts w:hint="eastAsia" w:ascii="宋体" w:hAnsi="宋体" w:cs="宋体"/>
          <w:color w:val="auto"/>
          <w:szCs w:val="21"/>
          <w:highlight w:val="none"/>
          <w:u w:val="single"/>
        </w:rPr>
        <w:t xml:space="preserve">             </w:t>
      </w:r>
    </w:p>
    <w:p>
      <w:pPr>
        <w:snapToGrid w:val="0"/>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pStyle w:val="6"/>
        <w:spacing w:before="120" w:after="6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215" w:name="_Toc3118"/>
      <w:bookmarkStart w:id="216" w:name="_Toc5498"/>
      <w:bookmarkStart w:id="217" w:name="_Toc1987"/>
      <w:bookmarkStart w:id="218" w:name="_Toc25555"/>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、技术条款偏离表</w:t>
      </w:r>
      <w:bookmarkEnd w:id="215"/>
    </w:p>
    <w:p>
      <w:pPr>
        <w:snapToGrid w:val="0"/>
        <w:spacing w:line="440" w:lineRule="exact"/>
        <w:jc w:val="center"/>
        <w:rPr>
          <w:rFonts w:hint="eastAsia" w:ascii="宋体" w:hAnsi="宋体" w:cs="宋体"/>
          <w:color w:val="auto"/>
          <w:szCs w:val="21"/>
          <w:highlight w:val="none"/>
        </w:rPr>
      </w:pPr>
    </w:p>
    <w:p>
      <w:pPr>
        <w:snapToGrid w:val="0"/>
        <w:spacing w:line="440" w:lineRule="exact"/>
        <w:jc w:val="center"/>
        <w:rPr>
          <w:rFonts w:ascii="宋体" w:hAnsi="宋体" w:cs="宋体"/>
          <w:b/>
          <w:color w:val="auto"/>
          <w:szCs w:val="21"/>
          <w:highlight w:val="none"/>
        </w:rPr>
      </w:pPr>
      <w:r>
        <w:rPr>
          <w:rFonts w:ascii="宋体" w:hAnsi="宋体" w:cs="宋体"/>
          <w:b/>
          <w:color w:val="auto"/>
          <w:szCs w:val="21"/>
          <w:highlight w:val="none"/>
        </w:rPr>
        <w:t>技术条款偏离表</w:t>
      </w:r>
    </w:p>
    <w:p>
      <w:pPr>
        <w:snapToGrid w:val="0"/>
        <w:spacing w:line="44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KXZJ-2022010(1)</w:t>
      </w:r>
    </w:p>
    <w:p>
      <w:pPr>
        <w:snapToGrid w:val="0"/>
        <w:spacing w:line="440" w:lineRule="exact"/>
        <w:rPr>
          <w:rFonts w:hint="eastAsia" w:eastAsia="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宁波市鄞州区第二医院2022-2024年度安保服务采购项目</w:t>
      </w:r>
    </w:p>
    <w:tbl>
      <w:tblPr>
        <w:tblStyle w:val="47"/>
        <w:tblW w:w="889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4"/>
        <w:gridCol w:w="3607"/>
        <w:gridCol w:w="338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trPr>
        <w:tc>
          <w:tcPr>
            <w:tcW w:w="794" w:type="dxa"/>
            <w:noWrap w:val="0"/>
            <w:vAlign w:val="center"/>
          </w:tcPr>
          <w:p>
            <w:pPr>
              <w:widowControl/>
              <w:adjustRightInd w:val="0"/>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3607" w:type="dxa"/>
            <w:noWrap w:val="0"/>
            <w:vAlign w:val="center"/>
          </w:tcPr>
          <w:p>
            <w:pPr>
              <w:adjustRightInd w:val="0"/>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招标要求的技术参数</w:t>
            </w:r>
          </w:p>
        </w:tc>
        <w:tc>
          <w:tcPr>
            <w:tcW w:w="3388" w:type="dxa"/>
            <w:noWrap w:val="0"/>
            <w:vAlign w:val="center"/>
          </w:tcPr>
          <w:p>
            <w:pPr>
              <w:widowControl/>
              <w:adjustRightInd w:val="0"/>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szCs w:val="21"/>
                <w:highlight w:val="none"/>
              </w:rPr>
              <w:t>投标人的响应或说明</w:t>
            </w:r>
          </w:p>
        </w:tc>
        <w:tc>
          <w:tcPr>
            <w:tcW w:w="1109" w:type="dxa"/>
            <w:noWrap w:val="0"/>
            <w:vAlign w:val="center"/>
          </w:tcPr>
          <w:p>
            <w:pPr>
              <w:widowControl/>
              <w:adjustRightInd w:val="0"/>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偏离</w:t>
            </w:r>
          </w:p>
          <w:p>
            <w:pPr>
              <w:widowControl/>
              <w:adjustRightInd w:val="0"/>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trPr>
        <w:tc>
          <w:tcPr>
            <w:tcW w:w="794"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607" w:type="dxa"/>
            <w:noWrap w:val="0"/>
            <w:vAlign w:val="center"/>
          </w:tcPr>
          <w:p>
            <w:pPr>
              <w:adjustRightInd w:val="0"/>
              <w:snapToGrid w:val="0"/>
              <w:spacing w:line="400" w:lineRule="exact"/>
              <w:jc w:val="left"/>
              <w:rPr>
                <w:rFonts w:hint="eastAsia" w:ascii="宋体" w:hAnsi="宋体" w:cs="宋体"/>
                <w:color w:val="auto"/>
                <w:szCs w:val="21"/>
                <w:highlight w:val="none"/>
              </w:rPr>
            </w:pPr>
          </w:p>
        </w:tc>
        <w:tc>
          <w:tcPr>
            <w:tcW w:w="3388"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c>
          <w:tcPr>
            <w:tcW w:w="1109"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trPr>
        <w:tc>
          <w:tcPr>
            <w:tcW w:w="794"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607" w:type="dxa"/>
            <w:noWrap w:val="0"/>
            <w:vAlign w:val="center"/>
          </w:tcPr>
          <w:p>
            <w:pPr>
              <w:adjustRightInd w:val="0"/>
              <w:snapToGrid w:val="0"/>
              <w:spacing w:line="400" w:lineRule="exact"/>
              <w:jc w:val="left"/>
              <w:rPr>
                <w:rFonts w:hint="eastAsia" w:ascii="宋体" w:hAnsi="宋体" w:cs="宋体"/>
                <w:color w:val="auto"/>
                <w:szCs w:val="21"/>
                <w:highlight w:val="none"/>
              </w:rPr>
            </w:pPr>
          </w:p>
        </w:tc>
        <w:tc>
          <w:tcPr>
            <w:tcW w:w="3388"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c>
          <w:tcPr>
            <w:tcW w:w="1109"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trPr>
        <w:tc>
          <w:tcPr>
            <w:tcW w:w="794" w:type="dxa"/>
            <w:noWrap w:val="0"/>
            <w:vAlign w:val="center"/>
          </w:tcPr>
          <w:p>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607" w:type="dxa"/>
            <w:noWrap w:val="0"/>
            <w:vAlign w:val="center"/>
          </w:tcPr>
          <w:p>
            <w:pPr>
              <w:adjustRightInd w:val="0"/>
              <w:snapToGrid w:val="0"/>
              <w:spacing w:line="400" w:lineRule="exact"/>
              <w:jc w:val="left"/>
              <w:rPr>
                <w:rFonts w:hint="eastAsia" w:ascii="宋体" w:hAnsi="宋体" w:cs="宋体"/>
                <w:color w:val="auto"/>
                <w:szCs w:val="21"/>
                <w:highlight w:val="none"/>
              </w:rPr>
            </w:pPr>
          </w:p>
        </w:tc>
        <w:tc>
          <w:tcPr>
            <w:tcW w:w="3388"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c>
          <w:tcPr>
            <w:tcW w:w="1109"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trPr>
        <w:tc>
          <w:tcPr>
            <w:tcW w:w="794" w:type="dxa"/>
            <w:noWrap w:val="0"/>
            <w:vAlign w:val="center"/>
          </w:tcPr>
          <w:p>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607" w:type="dxa"/>
            <w:noWrap w:val="0"/>
            <w:vAlign w:val="center"/>
          </w:tcPr>
          <w:p>
            <w:pPr>
              <w:adjustRightInd w:val="0"/>
              <w:snapToGrid w:val="0"/>
              <w:spacing w:line="400" w:lineRule="exact"/>
              <w:jc w:val="left"/>
              <w:rPr>
                <w:rFonts w:hint="eastAsia" w:ascii="宋体" w:hAnsi="宋体" w:cs="宋体"/>
                <w:color w:val="auto"/>
                <w:szCs w:val="21"/>
                <w:highlight w:val="none"/>
              </w:rPr>
            </w:pPr>
          </w:p>
        </w:tc>
        <w:tc>
          <w:tcPr>
            <w:tcW w:w="3388"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c>
          <w:tcPr>
            <w:tcW w:w="1109"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trPr>
        <w:tc>
          <w:tcPr>
            <w:tcW w:w="794" w:type="dxa"/>
            <w:noWrap w:val="0"/>
            <w:vAlign w:val="center"/>
          </w:tcPr>
          <w:p>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607" w:type="dxa"/>
            <w:noWrap w:val="0"/>
            <w:vAlign w:val="center"/>
          </w:tcPr>
          <w:p>
            <w:pPr>
              <w:adjustRightInd w:val="0"/>
              <w:snapToGrid w:val="0"/>
              <w:spacing w:line="400" w:lineRule="exact"/>
              <w:jc w:val="left"/>
              <w:rPr>
                <w:rFonts w:hint="eastAsia" w:ascii="宋体" w:hAnsi="宋体" w:cs="宋体"/>
                <w:color w:val="auto"/>
                <w:szCs w:val="21"/>
                <w:highlight w:val="none"/>
              </w:rPr>
            </w:pPr>
          </w:p>
        </w:tc>
        <w:tc>
          <w:tcPr>
            <w:tcW w:w="3388"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c>
          <w:tcPr>
            <w:tcW w:w="1109"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trPr>
        <w:tc>
          <w:tcPr>
            <w:tcW w:w="794" w:type="dxa"/>
            <w:noWrap w:val="0"/>
            <w:vAlign w:val="center"/>
          </w:tcPr>
          <w:p>
            <w:pPr>
              <w:widowControl/>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607" w:type="dxa"/>
            <w:noWrap w:val="0"/>
            <w:vAlign w:val="center"/>
          </w:tcPr>
          <w:p>
            <w:pPr>
              <w:adjustRightInd w:val="0"/>
              <w:snapToGrid w:val="0"/>
              <w:spacing w:line="400" w:lineRule="exact"/>
              <w:jc w:val="left"/>
              <w:rPr>
                <w:rFonts w:hint="eastAsia" w:ascii="宋体" w:hAnsi="宋体" w:cs="宋体"/>
                <w:color w:val="auto"/>
                <w:szCs w:val="21"/>
                <w:highlight w:val="none"/>
              </w:rPr>
            </w:pPr>
          </w:p>
        </w:tc>
        <w:tc>
          <w:tcPr>
            <w:tcW w:w="3388"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c>
          <w:tcPr>
            <w:tcW w:w="1109"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0" w:hRule="atLeast"/>
        </w:trPr>
        <w:tc>
          <w:tcPr>
            <w:tcW w:w="794"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607" w:type="dxa"/>
            <w:noWrap w:val="0"/>
            <w:vAlign w:val="center"/>
          </w:tcPr>
          <w:p>
            <w:pPr>
              <w:adjustRightInd w:val="0"/>
              <w:snapToGrid w:val="0"/>
              <w:spacing w:line="400" w:lineRule="exact"/>
              <w:jc w:val="left"/>
              <w:rPr>
                <w:rFonts w:hint="eastAsia" w:ascii="宋体" w:hAnsi="宋体" w:cs="宋体"/>
                <w:color w:val="auto"/>
                <w:szCs w:val="21"/>
                <w:highlight w:val="none"/>
              </w:rPr>
            </w:pPr>
          </w:p>
        </w:tc>
        <w:tc>
          <w:tcPr>
            <w:tcW w:w="3388"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c>
          <w:tcPr>
            <w:tcW w:w="1109" w:type="dxa"/>
            <w:noWrap w:val="0"/>
            <w:vAlign w:val="center"/>
          </w:tcPr>
          <w:p>
            <w:pPr>
              <w:widowControl/>
              <w:adjustRightInd w:val="0"/>
              <w:snapToGrid w:val="0"/>
              <w:spacing w:line="400" w:lineRule="exact"/>
              <w:jc w:val="center"/>
              <w:rPr>
                <w:rFonts w:hint="eastAsia" w:ascii="宋体" w:hAnsi="宋体" w:cs="宋体"/>
                <w:color w:val="auto"/>
                <w:kern w:val="0"/>
                <w:szCs w:val="21"/>
                <w:highlight w:val="none"/>
              </w:rPr>
            </w:pPr>
          </w:p>
        </w:tc>
      </w:tr>
    </w:tbl>
    <w:p>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注：1、招标文件要求详见</w:t>
      </w:r>
      <w:r>
        <w:rPr>
          <w:rFonts w:hint="eastAsia" w:ascii="宋体" w:hAnsi="宋体" w:cs="宋体"/>
          <w:color w:val="auto"/>
          <w:szCs w:val="21"/>
          <w:highlight w:val="none"/>
          <w:lang w:eastAsia="zh-CN"/>
        </w:rPr>
        <w:t>“</w:t>
      </w:r>
      <w:r>
        <w:rPr>
          <w:rFonts w:hint="eastAsia" w:ascii="宋体" w:hAnsi="宋体" w:cs="宋体"/>
          <w:color w:val="auto"/>
          <w:szCs w:val="21"/>
          <w:highlight w:val="none"/>
        </w:rPr>
        <w:t>第四章 招标需求</w:t>
      </w:r>
      <w:r>
        <w:rPr>
          <w:rFonts w:hint="eastAsia" w:ascii="宋体" w:hAnsi="宋体" w:cs="宋体"/>
          <w:color w:val="auto"/>
          <w:szCs w:val="21"/>
          <w:highlight w:val="none"/>
          <w:lang w:eastAsia="zh-CN"/>
        </w:rPr>
        <w:t>”</w:t>
      </w:r>
      <w:r>
        <w:rPr>
          <w:rFonts w:hint="eastAsia" w:ascii="宋体" w:hAnsi="宋体" w:cs="宋体"/>
          <w:color w:val="auto"/>
          <w:szCs w:val="21"/>
          <w:highlight w:val="none"/>
        </w:rPr>
        <w:t>中的各条款内容，以此类推完整填写</w:t>
      </w:r>
      <w:r>
        <w:rPr>
          <w:rFonts w:hint="eastAsia" w:ascii="宋体" w:hAnsi="宋体" w:cs="宋体"/>
          <w:color w:val="auto"/>
          <w:szCs w:val="21"/>
          <w:highlight w:val="none"/>
          <w:lang w:eastAsia="zh-CN"/>
        </w:rPr>
        <w:t>“</w:t>
      </w:r>
      <w:r>
        <w:rPr>
          <w:rFonts w:hint="eastAsia" w:ascii="宋体" w:hAnsi="宋体" w:cs="宋体"/>
          <w:color w:val="auto"/>
          <w:szCs w:val="21"/>
          <w:highlight w:val="none"/>
        </w:rPr>
        <w:t>技术条款偏离表</w:t>
      </w:r>
      <w:r>
        <w:rPr>
          <w:rFonts w:hint="eastAsia" w:ascii="宋体" w:hAnsi="宋体" w:cs="宋体"/>
          <w:color w:val="auto"/>
          <w:szCs w:val="21"/>
          <w:highlight w:val="none"/>
          <w:lang w:eastAsia="zh-CN"/>
        </w:rPr>
        <w:t>”</w:t>
      </w:r>
      <w:r>
        <w:rPr>
          <w:rFonts w:hint="eastAsia" w:ascii="宋体" w:hAnsi="宋体" w:cs="宋体"/>
          <w:color w:val="auto"/>
          <w:szCs w:val="21"/>
          <w:highlight w:val="none"/>
        </w:rPr>
        <w:t>；2、是否偏离应在本表空白处醒目地注明</w:t>
      </w:r>
      <w:r>
        <w:rPr>
          <w:rFonts w:hint="eastAsia" w:ascii="宋体" w:hAnsi="宋体" w:cs="宋体"/>
          <w:color w:val="auto"/>
          <w:szCs w:val="21"/>
          <w:highlight w:val="none"/>
          <w:lang w:eastAsia="zh-CN"/>
        </w:rPr>
        <w:t>“</w:t>
      </w:r>
      <w:r>
        <w:rPr>
          <w:rFonts w:hint="eastAsia" w:ascii="宋体" w:hAnsi="宋体" w:cs="宋体"/>
          <w:color w:val="auto"/>
          <w:szCs w:val="21"/>
          <w:highlight w:val="none"/>
        </w:rPr>
        <w:t>正偏离或无偏离或负偏离</w:t>
      </w:r>
      <w:r>
        <w:rPr>
          <w:rFonts w:hint="eastAsia" w:ascii="宋体" w:hAnsi="宋体" w:cs="宋体"/>
          <w:color w:val="auto"/>
          <w:szCs w:val="21"/>
          <w:highlight w:val="none"/>
          <w:lang w:eastAsia="zh-CN"/>
        </w:rPr>
        <w:t>”</w:t>
      </w:r>
      <w:r>
        <w:rPr>
          <w:rFonts w:hint="eastAsia" w:ascii="宋体" w:hAnsi="宋体" w:cs="宋体"/>
          <w:color w:val="auto"/>
          <w:szCs w:val="21"/>
          <w:highlight w:val="none"/>
        </w:rPr>
        <w:t>等字样。</w:t>
      </w:r>
    </w:p>
    <w:p>
      <w:pPr>
        <w:tabs>
          <w:tab w:val="left" w:pos="5760"/>
          <w:tab w:val="left" w:pos="6120"/>
        </w:tabs>
        <w:snapToGrid w:val="0"/>
        <w:spacing w:line="360" w:lineRule="auto"/>
        <w:ind w:right="2190" w:rightChars="1043"/>
        <w:jc w:val="right"/>
        <w:rPr>
          <w:color w:val="auto"/>
          <w:szCs w:val="21"/>
          <w:highlight w:val="none"/>
        </w:rPr>
      </w:pPr>
    </w:p>
    <w:p>
      <w:pPr>
        <w:snapToGrid w:val="0"/>
        <w:spacing w:line="440" w:lineRule="exact"/>
        <w:jc w:val="right"/>
        <w:rPr>
          <w:rFonts w:hint="eastAsia" w:ascii="宋体" w:hAnsi="宋体" w:cs="宋体"/>
          <w:color w:val="auto"/>
          <w:szCs w:val="21"/>
          <w:highlight w:val="none"/>
        </w:rPr>
      </w:pPr>
    </w:p>
    <w:p>
      <w:pPr>
        <w:snapToGrid w:val="0"/>
        <w:spacing w:line="44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投标人名称（加盖公章）：</w:t>
      </w:r>
      <w:r>
        <w:rPr>
          <w:rFonts w:hint="eastAsia" w:ascii="宋体" w:hAnsi="宋体" w:cs="宋体"/>
          <w:color w:val="auto"/>
          <w:szCs w:val="21"/>
          <w:highlight w:val="none"/>
          <w:u w:val="single"/>
        </w:rPr>
        <w:t xml:space="preserve">                        </w:t>
      </w:r>
    </w:p>
    <w:p>
      <w:pPr>
        <w:snapToGrid w:val="0"/>
        <w:spacing w:line="440" w:lineRule="exact"/>
        <w:ind w:firstLine="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法定代表人或其委托代理人（签字或盖章）：</w:t>
      </w:r>
      <w:r>
        <w:rPr>
          <w:rFonts w:hint="eastAsia" w:ascii="宋体" w:hAnsi="宋体" w:cs="宋体"/>
          <w:color w:val="auto"/>
          <w:szCs w:val="21"/>
          <w:highlight w:val="none"/>
          <w:u w:val="single"/>
        </w:rPr>
        <w:t xml:space="preserve">             </w:t>
      </w:r>
    </w:p>
    <w:p>
      <w:pPr>
        <w:snapToGrid w:val="0"/>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line="440" w:lineRule="exact"/>
        <w:jc w:val="center"/>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p>
    <w:p>
      <w:pPr>
        <w:snapToGrid w:val="0"/>
        <w:spacing w:line="440" w:lineRule="exact"/>
        <w:jc w:val="center"/>
        <w:rPr>
          <w:rFonts w:hint="eastAsia" w:ascii="宋体" w:hAnsi="宋体" w:cs="宋体"/>
          <w:b/>
          <w:color w:val="auto"/>
          <w:szCs w:val="21"/>
          <w:highlight w:val="none"/>
        </w:rPr>
      </w:pPr>
    </w:p>
    <w:p>
      <w:pPr>
        <w:pStyle w:val="6"/>
        <w:snapToGrid w:val="0"/>
        <w:spacing w:before="0" w:after="0"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、开标一览表</w:t>
      </w:r>
      <w:bookmarkEnd w:id="216"/>
      <w:bookmarkEnd w:id="217"/>
      <w:bookmarkEnd w:id="218"/>
    </w:p>
    <w:p>
      <w:pPr>
        <w:snapToGrid w:val="0"/>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开标一览表</w:t>
      </w:r>
    </w:p>
    <w:p>
      <w:pPr>
        <w:adjustRightInd w:val="0"/>
        <w:snapToGrid w:val="0"/>
        <w:spacing w:line="44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项目编号：</w:t>
      </w:r>
      <w:r>
        <w:rPr>
          <w:rFonts w:hint="eastAsia" w:ascii="宋体" w:hAnsi="宋体" w:cs="宋体"/>
          <w:bCs/>
          <w:color w:val="auto"/>
          <w:szCs w:val="21"/>
          <w:highlight w:val="none"/>
          <w:lang w:eastAsia="zh-CN"/>
        </w:rPr>
        <w:t>KXZJ-2022010(1)</w:t>
      </w:r>
    </w:p>
    <w:p>
      <w:pPr>
        <w:adjustRightInd w:val="0"/>
        <w:snapToGrid w:val="0"/>
        <w:spacing w:line="440" w:lineRule="exact"/>
        <w:rPr>
          <w:rFonts w:hint="eastAsia" w:ascii="宋体" w:hAnsi="宋体" w:cs="宋体"/>
          <w:bCs/>
          <w:color w:val="auto"/>
          <w:szCs w:val="21"/>
          <w:highlight w:val="none"/>
          <w:lang w:eastAsia="zh-CN"/>
        </w:rPr>
      </w:pPr>
      <w:r>
        <w:rPr>
          <w:rFonts w:hint="eastAsia" w:ascii="宋体" w:hAnsi="宋体" w:cs="宋体"/>
          <w:bCs/>
          <w:color w:val="auto"/>
          <w:szCs w:val="21"/>
          <w:highlight w:val="none"/>
        </w:rPr>
        <w:t>项目名称：</w:t>
      </w:r>
      <w:r>
        <w:rPr>
          <w:rFonts w:hint="eastAsia" w:ascii="宋体" w:hAnsi="宋体" w:cs="宋体"/>
          <w:bCs/>
          <w:color w:val="auto"/>
          <w:szCs w:val="21"/>
          <w:highlight w:val="none"/>
          <w:lang w:eastAsia="zh-CN"/>
        </w:rPr>
        <w:t>宁波市鄞州区第二医院2022-2024年度安保服务采购项目</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566"/>
        <w:gridCol w:w="2200"/>
        <w:gridCol w:w="2430"/>
        <w:gridCol w:w="1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w w:val="100"/>
                <w:sz w:val="21"/>
                <w:szCs w:val="21"/>
              </w:rPr>
            </w:pPr>
            <w:r>
              <w:rPr>
                <w:rFonts w:hint="eastAsia" w:ascii="宋体" w:hAnsi="宋体" w:eastAsia="宋体" w:cs="宋体"/>
                <w:b/>
                <w:w w:val="100"/>
                <w:sz w:val="21"/>
                <w:szCs w:val="21"/>
              </w:rPr>
              <w:t>序号</w:t>
            </w:r>
          </w:p>
        </w:tc>
        <w:tc>
          <w:tcPr>
            <w:tcW w:w="3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w w:val="100"/>
                <w:sz w:val="21"/>
                <w:szCs w:val="21"/>
                <w:lang w:eastAsia="zh-CN"/>
              </w:rPr>
            </w:pPr>
            <w:r>
              <w:rPr>
                <w:rFonts w:hint="eastAsia" w:ascii="宋体" w:hAnsi="宋体" w:eastAsia="宋体" w:cs="宋体"/>
                <w:b/>
                <w:w w:val="100"/>
                <w:sz w:val="21"/>
                <w:szCs w:val="21"/>
                <w:lang w:eastAsia="zh-CN"/>
              </w:rPr>
              <w:t>报价内容</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w w:val="100"/>
                <w:sz w:val="21"/>
                <w:szCs w:val="21"/>
              </w:rPr>
            </w:pPr>
            <w:r>
              <w:rPr>
                <w:rFonts w:hint="eastAsia" w:ascii="宋体" w:hAnsi="宋体" w:eastAsia="宋体" w:cs="宋体"/>
                <w:b/>
                <w:bCs/>
                <w:w w:val="100"/>
                <w:sz w:val="21"/>
                <w:szCs w:val="21"/>
              </w:rPr>
              <w:t>投标</w:t>
            </w:r>
            <w:r>
              <w:rPr>
                <w:rFonts w:hint="eastAsia" w:ascii="宋体" w:hAnsi="宋体" w:eastAsia="宋体" w:cs="宋体"/>
                <w:b/>
                <w:bCs/>
                <w:w w:val="100"/>
                <w:sz w:val="21"/>
                <w:szCs w:val="21"/>
                <w:lang w:eastAsia="zh-CN"/>
              </w:rPr>
              <w:t>报</w:t>
            </w:r>
            <w:r>
              <w:rPr>
                <w:rFonts w:hint="eastAsia" w:ascii="宋体" w:hAnsi="宋体" w:eastAsia="宋体" w:cs="宋体"/>
                <w:b/>
                <w:bCs/>
                <w:w w:val="100"/>
                <w:sz w:val="21"/>
                <w:szCs w:val="21"/>
              </w:rPr>
              <w:t>价</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w w:val="100"/>
                <w:sz w:val="21"/>
                <w:szCs w:val="21"/>
              </w:rPr>
            </w:pPr>
            <w:r>
              <w:rPr>
                <w:rFonts w:hint="eastAsia" w:ascii="宋体" w:hAnsi="宋体" w:eastAsia="宋体" w:cs="宋体"/>
                <w:b/>
                <w:w w:val="10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w w:val="100"/>
                <w:kern w:val="0"/>
                <w:sz w:val="21"/>
                <w:szCs w:val="21"/>
              </w:rPr>
            </w:pPr>
            <w:r>
              <w:rPr>
                <w:rFonts w:hint="eastAsia" w:ascii="宋体" w:hAnsi="宋体" w:eastAsia="宋体" w:cs="宋体"/>
                <w:w w:val="100"/>
                <w:kern w:val="0"/>
                <w:sz w:val="21"/>
                <w:szCs w:val="21"/>
              </w:rPr>
              <w:t>1</w:t>
            </w:r>
          </w:p>
        </w:tc>
        <w:tc>
          <w:tcPr>
            <w:tcW w:w="37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w w:val="100"/>
                <w:sz w:val="21"/>
                <w:szCs w:val="21"/>
              </w:rPr>
            </w:pPr>
            <w:r>
              <w:rPr>
                <w:rFonts w:hint="eastAsia" w:ascii="宋体" w:hAnsi="宋体"/>
                <w:color w:val="auto"/>
                <w:kern w:val="58"/>
                <w:szCs w:val="21"/>
                <w:highlight w:val="none"/>
                <w:lang w:eastAsia="zh-CN"/>
              </w:rPr>
              <w:t>宁波市鄞州区第二医院日常安保服务</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right"/>
              <w:textAlignment w:val="auto"/>
              <w:rPr>
                <w:rFonts w:hint="default" w:ascii="宋体" w:hAnsi="宋体" w:eastAsia="宋体" w:cs="宋体"/>
                <w:w w:val="100"/>
                <w:sz w:val="21"/>
                <w:szCs w:val="21"/>
                <w:lang w:val="en-US" w:eastAsia="zh-CN"/>
              </w:rPr>
            </w:pPr>
            <w:r>
              <w:rPr>
                <w:rFonts w:hint="eastAsia" w:ascii="宋体" w:hAnsi="宋体" w:eastAsia="宋体" w:cs="宋体"/>
                <w:w w:val="100"/>
                <w:sz w:val="21"/>
                <w:szCs w:val="21"/>
                <w:lang w:eastAsia="zh-CN"/>
              </w:rPr>
              <w:t>元</w:t>
            </w:r>
            <w:r>
              <w:rPr>
                <w:rFonts w:hint="eastAsia" w:ascii="宋体" w:hAnsi="宋体" w:eastAsia="宋体" w:cs="宋体"/>
                <w:w w:val="100"/>
                <w:sz w:val="21"/>
                <w:szCs w:val="21"/>
                <w:lang w:val="en-US" w:eastAsia="zh-CN"/>
              </w:rPr>
              <w:t>/年</w:t>
            </w:r>
          </w:p>
        </w:tc>
        <w:tc>
          <w:tcPr>
            <w:tcW w:w="193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w w:val="1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w w:val="100"/>
                <w:kern w:val="0"/>
                <w:sz w:val="21"/>
                <w:szCs w:val="21"/>
                <w:lang w:val="en-US" w:eastAsia="zh-CN"/>
              </w:rPr>
            </w:pPr>
            <w:r>
              <w:rPr>
                <w:rFonts w:hint="eastAsia" w:ascii="宋体" w:hAnsi="宋体" w:eastAsia="宋体" w:cs="宋体"/>
                <w:w w:val="100"/>
                <w:kern w:val="0"/>
                <w:sz w:val="21"/>
                <w:szCs w:val="21"/>
                <w:lang w:val="en-US" w:eastAsia="zh-CN"/>
              </w:rPr>
              <w:t>2</w:t>
            </w:r>
          </w:p>
        </w:tc>
        <w:tc>
          <w:tcPr>
            <w:tcW w:w="15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w w:val="100"/>
                <w:sz w:val="21"/>
                <w:szCs w:val="21"/>
                <w:lang w:eastAsia="zh-CN"/>
              </w:rPr>
            </w:pPr>
            <w:r>
              <w:rPr>
                <w:rFonts w:hint="eastAsia" w:ascii="宋体" w:hAnsi="宋体" w:eastAsia="宋体" w:cs="宋体"/>
                <w:color w:val="auto"/>
                <w:sz w:val="21"/>
                <w:szCs w:val="21"/>
                <w:highlight w:val="none"/>
                <w:shd w:val="clear" w:color="auto" w:fill="FFFFFF"/>
                <w:lang w:val="en-US" w:eastAsia="zh-CN"/>
              </w:rPr>
              <w:t>宁波市鄞州区第二医院应急安保服务</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1"/>
                <w:szCs w:val="21"/>
                <w:highlight w:val="none"/>
                <w:shd w:val="clear" w:color="auto" w:fill="FFFFFF"/>
                <w:lang w:val="en-US" w:eastAsia="zh-CN"/>
              </w:rPr>
            </w:pPr>
            <w:r>
              <w:rPr>
                <w:rFonts w:hint="eastAsia" w:ascii="宋体" w:hAnsi="宋体" w:eastAsia="宋体" w:cs="宋体"/>
                <w:w w:val="100"/>
                <w:sz w:val="21"/>
                <w:szCs w:val="21"/>
                <w:highlight w:val="none"/>
                <w:lang w:eastAsia="zh-CN"/>
              </w:rPr>
              <w:t>春节时段</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right"/>
              <w:textAlignment w:val="auto"/>
              <w:rPr>
                <w:rFonts w:hint="default" w:ascii="宋体" w:hAnsi="宋体" w:eastAsia="宋体" w:cs="宋体"/>
                <w:w w:val="100"/>
                <w:sz w:val="21"/>
                <w:szCs w:val="21"/>
                <w:lang w:val="en-US" w:eastAsia="zh-CN"/>
              </w:rPr>
            </w:pPr>
            <w:r>
              <w:rPr>
                <w:rFonts w:hint="default" w:ascii="宋体" w:hAnsi="宋体" w:eastAsia="宋体" w:cs="宋体"/>
                <w:w w:val="100"/>
                <w:sz w:val="21"/>
                <w:szCs w:val="21"/>
                <w:lang w:val="en-US" w:eastAsia="zh-CN"/>
              </w:rPr>
              <w:t>元/人</w:t>
            </w:r>
          </w:p>
        </w:tc>
        <w:tc>
          <w:tcPr>
            <w:tcW w:w="19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w w:val="100"/>
                <w:sz w:val="21"/>
                <w:szCs w:val="21"/>
              </w:rPr>
            </w:pPr>
            <w:r>
              <w:rPr>
                <w:rFonts w:hint="eastAsia" w:ascii="宋体" w:hAnsi="宋体" w:eastAsia="宋体" w:cs="宋体"/>
                <w:w w:val="100"/>
                <w:sz w:val="21"/>
                <w:szCs w:val="21"/>
              </w:rPr>
              <w:t>按工作12小时/天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8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w w:val="100"/>
                <w:kern w:val="0"/>
                <w:sz w:val="21"/>
                <w:szCs w:val="21"/>
                <w:lang w:val="en-US" w:eastAsia="zh-CN"/>
              </w:rPr>
            </w:pPr>
          </w:p>
        </w:tc>
        <w:tc>
          <w:tcPr>
            <w:tcW w:w="15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shd w:val="clear" w:color="auto" w:fill="FFFFFF"/>
                <w:lang w:val="en-US" w:eastAsia="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w w:val="100"/>
                <w:sz w:val="21"/>
                <w:szCs w:val="21"/>
                <w:highlight w:val="none"/>
                <w:lang w:eastAsia="zh-CN"/>
              </w:rPr>
              <w:t>非春节时段</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right"/>
              <w:textAlignment w:val="auto"/>
              <w:rPr>
                <w:rFonts w:hint="default" w:ascii="宋体" w:hAnsi="宋体" w:eastAsia="宋体" w:cs="宋体"/>
                <w:w w:val="100"/>
                <w:sz w:val="21"/>
                <w:szCs w:val="21"/>
                <w:lang w:val="en-US" w:eastAsia="zh-CN"/>
              </w:rPr>
            </w:pPr>
            <w:r>
              <w:rPr>
                <w:rFonts w:hint="default" w:ascii="宋体" w:hAnsi="宋体" w:eastAsia="宋体" w:cs="宋体"/>
                <w:w w:val="100"/>
                <w:sz w:val="21"/>
                <w:szCs w:val="21"/>
                <w:lang w:val="en-US" w:eastAsia="zh-CN"/>
              </w:rPr>
              <w:t>元/人</w:t>
            </w:r>
          </w:p>
        </w:tc>
        <w:tc>
          <w:tcPr>
            <w:tcW w:w="193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w w:val="1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4453"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w w:val="100"/>
                <w:sz w:val="21"/>
                <w:szCs w:val="21"/>
                <w:lang w:eastAsia="zh-CN"/>
              </w:rPr>
            </w:pPr>
            <w:r>
              <w:rPr>
                <w:rFonts w:hint="eastAsia" w:ascii="宋体" w:hAnsi="宋体" w:eastAsia="宋体" w:cs="宋体"/>
                <w:b/>
                <w:w w:val="100"/>
                <w:sz w:val="21"/>
                <w:szCs w:val="21"/>
                <w:lang w:eastAsia="zh-CN"/>
              </w:rPr>
              <w:t>合同履约期限</w:t>
            </w:r>
          </w:p>
        </w:tc>
        <w:tc>
          <w:tcPr>
            <w:tcW w:w="436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w w:val="1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4453"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w w:val="100"/>
                <w:sz w:val="21"/>
                <w:szCs w:val="21"/>
                <w:lang w:eastAsia="zh-CN"/>
              </w:rPr>
            </w:pPr>
            <w:r>
              <w:rPr>
                <w:rFonts w:hint="eastAsia" w:ascii="宋体" w:hAnsi="宋体" w:eastAsia="宋体" w:cs="宋体"/>
                <w:b/>
                <w:w w:val="100"/>
                <w:sz w:val="21"/>
                <w:szCs w:val="21"/>
              </w:rPr>
              <w:t>投标声明</w:t>
            </w:r>
          </w:p>
        </w:tc>
        <w:tc>
          <w:tcPr>
            <w:tcW w:w="436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w w:val="100"/>
                <w:sz w:val="21"/>
                <w:szCs w:val="21"/>
              </w:rPr>
            </w:pPr>
          </w:p>
        </w:tc>
      </w:tr>
    </w:tbl>
    <w:p>
      <w:pPr>
        <w:adjustRightInd w:val="0"/>
        <w:snapToGrid w:val="0"/>
        <w:spacing w:line="440" w:lineRule="exact"/>
        <w:rPr>
          <w:rFonts w:hint="eastAsia"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1、报价一经涂改，应在涂改处加盖单位公章或者由法定代表人或授权委托人签字或盖章，否则其投标作无效标处理。2、有关投标价优惠折扣、招标文件允许的备选方案均应在投标声明中载明。</w:t>
      </w:r>
    </w:p>
    <w:p>
      <w:pPr>
        <w:snapToGrid w:val="0"/>
        <w:spacing w:line="440" w:lineRule="exact"/>
        <w:jc w:val="right"/>
        <w:rPr>
          <w:rFonts w:hint="eastAsia" w:ascii="宋体" w:hAnsi="宋体" w:cs="宋体"/>
          <w:color w:val="auto"/>
          <w:szCs w:val="21"/>
          <w:highlight w:val="none"/>
        </w:rPr>
      </w:pPr>
    </w:p>
    <w:p>
      <w:pPr>
        <w:snapToGrid w:val="0"/>
        <w:spacing w:line="44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投标人名称（加盖公章）：</w:t>
      </w:r>
      <w:r>
        <w:rPr>
          <w:rFonts w:hint="eastAsia" w:ascii="宋体" w:hAnsi="宋体" w:cs="宋体"/>
          <w:color w:val="auto"/>
          <w:szCs w:val="21"/>
          <w:highlight w:val="none"/>
          <w:u w:val="single"/>
        </w:rPr>
        <w:t xml:space="preserve">                        </w:t>
      </w:r>
    </w:p>
    <w:p>
      <w:pPr>
        <w:snapToGrid w:val="0"/>
        <w:spacing w:line="440" w:lineRule="exact"/>
        <w:ind w:firstLine="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法定代表人或其委托代理人（签字或盖章）：</w:t>
      </w:r>
      <w:r>
        <w:rPr>
          <w:rFonts w:hint="eastAsia" w:ascii="宋体" w:hAnsi="宋体" w:cs="宋体"/>
          <w:color w:val="auto"/>
          <w:szCs w:val="21"/>
          <w:highlight w:val="none"/>
          <w:u w:val="single"/>
        </w:rPr>
        <w:t xml:space="preserve">             </w:t>
      </w:r>
    </w:p>
    <w:p>
      <w:pPr>
        <w:snapToGrid w:val="0"/>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adjustRightInd w:val="0"/>
        <w:snapToGrid w:val="0"/>
        <w:spacing w:line="460" w:lineRule="exact"/>
        <w:rPr>
          <w:rFonts w:hint="eastAsia" w:ascii="宋体" w:hAnsi="宋体" w:cs="宋体"/>
          <w:b/>
          <w:color w:val="auto"/>
          <w:szCs w:val="21"/>
          <w:highlight w:val="none"/>
        </w:rPr>
      </w:pPr>
    </w:p>
    <w:p>
      <w:pPr>
        <w:adjustRightInd w:val="0"/>
        <w:snapToGrid w:val="0"/>
        <w:spacing w:line="460" w:lineRule="exact"/>
        <w:outlineLvl w:val="1"/>
        <w:rPr>
          <w:rFonts w:hint="eastAsia" w:ascii="宋体" w:hAnsi="宋体" w:cs="宋体"/>
          <w:b/>
          <w:color w:val="auto"/>
          <w:szCs w:val="21"/>
          <w:highlight w:val="none"/>
        </w:rPr>
        <w:sectPr>
          <w:headerReference r:id="rId5" w:type="default"/>
          <w:footerReference r:id="rId6" w:type="default"/>
          <w:pgSz w:w="11849" w:h="16781"/>
          <w:pgMar w:top="1247" w:right="1531" w:bottom="1304" w:left="1531" w:header="720" w:footer="720" w:gutter="0"/>
          <w:pgBorders>
            <w:top w:val="none" w:sz="0" w:space="0"/>
            <w:left w:val="none" w:sz="0" w:space="0"/>
            <w:bottom w:val="none" w:sz="0" w:space="0"/>
            <w:right w:val="none" w:sz="0" w:space="0"/>
          </w:pgBorders>
          <w:cols w:space="720" w:num="1"/>
          <w:docGrid w:linePitch="286" w:charSpace="0"/>
        </w:sectPr>
      </w:pPr>
    </w:p>
    <w:p>
      <w:pPr>
        <w:snapToGrid w:val="0"/>
        <w:spacing w:before="240" w:beforeLines="100" w:after="60"/>
        <w:outlineLvl w:val="1"/>
        <w:rPr>
          <w:rFonts w:hint="eastAsia"/>
          <w:color w:val="auto"/>
          <w:highlight w:val="none"/>
        </w:rPr>
      </w:pPr>
      <w:bookmarkStart w:id="219" w:name="_Toc12292"/>
      <w:bookmarkStart w:id="220" w:name="_Toc18405"/>
      <w:bookmarkStart w:id="221" w:name="_Toc432577769"/>
      <w:bookmarkStart w:id="222" w:name="_Toc14045"/>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、投标报价明细表</w:t>
      </w:r>
    </w:p>
    <w:p>
      <w:pPr>
        <w:keepNext w:val="0"/>
        <w:keepLines w:val="0"/>
        <w:pageBreakBefore w:val="0"/>
        <w:widowControl w:val="0"/>
        <w:kinsoku/>
        <w:wordWrap/>
        <w:overflowPunct/>
        <w:topLinePunct w:val="0"/>
        <w:autoSpaceDE/>
        <w:autoSpaceDN/>
        <w:bidi w:val="0"/>
        <w:adjustRightInd/>
        <w:snapToGrid w:val="0"/>
        <w:spacing w:before="313" w:beforeLines="100" w:after="60"/>
        <w:jc w:val="center"/>
        <w:textAlignment w:val="auto"/>
        <w:rPr>
          <w:rFonts w:hint="eastAsia" w:ascii="宋体" w:hAnsi="宋体" w:eastAsia="宋体" w:cs="宋体"/>
          <w:b/>
          <w:color w:val="auto"/>
          <w:w w:val="100"/>
          <w:sz w:val="21"/>
          <w:szCs w:val="21"/>
          <w:highlight w:val="none"/>
          <w:lang w:eastAsia="zh-CN"/>
        </w:rPr>
      </w:pPr>
      <w:r>
        <w:rPr>
          <w:rFonts w:hint="eastAsia" w:ascii="宋体" w:hAnsi="宋体" w:eastAsia="宋体" w:cs="宋体"/>
          <w:b/>
          <w:color w:val="auto"/>
          <w:w w:val="100"/>
          <w:sz w:val="21"/>
          <w:szCs w:val="21"/>
          <w:highlight w:val="none"/>
          <w:lang w:eastAsia="zh-CN"/>
        </w:rPr>
        <w:t>投标报价明细表（</w:t>
      </w:r>
      <w:r>
        <w:rPr>
          <w:rFonts w:hint="eastAsia" w:ascii="宋体" w:hAnsi="宋体" w:eastAsia="宋体" w:cs="宋体"/>
          <w:b/>
          <w:color w:val="auto"/>
          <w:w w:val="100"/>
          <w:sz w:val="21"/>
          <w:szCs w:val="21"/>
          <w:highlight w:val="none"/>
          <w:lang w:eastAsia="zh-CN"/>
        </w:rPr>
        <w:t>日常安保服务）</w:t>
      </w:r>
    </w:p>
    <w:p>
      <w:pPr>
        <w:adjustRightInd w:val="0"/>
        <w:snapToGrid w:val="0"/>
        <w:spacing w:line="44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项目编号：</w:t>
      </w:r>
      <w:r>
        <w:rPr>
          <w:rFonts w:hint="eastAsia" w:ascii="宋体" w:hAnsi="宋体" w:cs="宋体"/>
          <w:bCs/>
          <w:color w:val="auto"/>
          <w:szCs w:val="21"/>
          <w:highlight w:val="none"/>
          <w:u w:val="single"/>
          <w:lang w:eastAsia="zh-CN"/>
        </w:rPr>
        <w:t>KXZJ-2022010(1)</w:t>
      </w:r>
    </w:p>
    <w:p>
      <w:pP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lang w:eastAsia="zh-CN"/>
        </w:rPr>
        <w:t>宁波市鄞州区第二医院2022-2024年度安保服务采购项目</w:t>
      </w:r>
    </w:p>
    <w:p>
      <w:pPr>
        <w:pStyle w:val="119"/>
        <w:rPr>
          <w:rFonts w:hint="eastAsia" w:ascii="宋体" w:hAnsi="宋体" w:eastAsia="宋体" w:cs="宋体"/>
          <w:szCs w:val="21"/>
          <w:u w:val="single"/>
          <w:lang w:eastAsia="zh-CN"/>
        </w:rPr>
      </w:pPr>
    </w:p>
    <w:p>
      <w:pPr>
        <w:pStyle w:val="119"/>
        <w:ind w:left="0" w:leftChars="0" w:firstLine="0" w:firstLineChars="0"/>
        <w:jc w:val="center"/>
        <w:rPr>
          <w:rFonts w:hint="default" w:ascii="宋体" w:hAnsi="宋体" w:eastAsia="宋体" w:cs="宋体"/>
          <w:b/>
          <w:bCs/>
          <w:szCs w:val="21"/>
          <w:u w:val="none"/>
          <w:lang w:val="en-US" w:eastAsia="zh-CN"/>
        </w:rPr>
      </w:pPr>
      <w:r>
        <w:rPr>
          <w:rFonts w:hint="eastAsia" w:hAnsi="宋体" w:eastAsia="宋体" w:cs="宋体"/>
          <w:b/>
          <w:bCs/>
          <w:szCs w:val="21"/>
          <w:u w:val="none"/>
          <w:lang w:val="en-US" w:eastAsia="zh-CN"/>
        </w:rPr>
        <w:t>1、报价汇总表</w:t>
      </w:r>
    </w:p>
    <w:tbl>
      <w:tblPr>
        <w:tblStyle w:val="47"/>
        <w:tblW w:w="0" w:type="auto"/>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47"/>
        <w:gridCol w:w="1208"/>
        <w:gridCol w:w="1185"/>
        <w:gridCol w:w="1725"/>
        <w:gridCol w:w="2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
                <w:bCs/>
                <w:color w:val="auto"/>
                <w:spacing w:val="0"/>
                <w:w w:val="100"/>
                <w:szCs w:val="21"/>
              </w:rPr>
            </w:pPr>
            <w:r>
              <w:rPr>
                <w:rFonts w:hint="eastAsia" w:ascii="宋体" w:hAnsi="宋体"/>
                <w:b/>
                <w:bCs/>
                <w:color w:val="auto"/>
                <w:spacing w:val="0"/>
                <w:w w:val="100"/>
                <w:szCs w:val="21"/>
              </w:rPr>
              <w:t>序号</w:t>
            </w:r>
          </w:p>
        </w:tc>
        <w:tc>
          <w:tcPr>
            <w:tcW w:w="1647" w:type="dxa"/>
            <w:tcBorders>
              <w:top w:val="single" w:color="auto" w:sz="4" w:space="0"/>
              <w:bottom w:val="single" w:color="auto" w:sz="4" w:space="0"/>
            </w:tcBorders>
            <w:noWrap w:val="0"/>
            <w:vAlign w:val="center"/>
          </w:tcPr>
          <w:p>
            <w:pPr>
              <w:spacing w:line="400" w:lineRule="exact"/>
              <w:jc w:val="center"/>
              <w:rPr>
                <w:rFonts w:hint="eastAsia" w:ascii="宋体" w:hAnsi="宋体"/>
                <w:b/>
                <w:bCs/>
                <w:color w:val="auto"/>
                <w:spacing w:val="0"/>
                <w:w w:val="100"/>
                <w:szCs w:val="21"/>
              </w:rPr>
            </w:pPr>
            <w:r>
              <w:rPr>
                <w:rFonts w:hint="eastAsia" w:ascii="宋体" w:hAnsi="宋体"/>
                <w:b/>
                <w:bCs/>
                <w:color w:val="auto"/>
                <w:spacing w:val="0"/>
                <w:w w:val="100"/>
                <w:szCs w:val="21"/>
              </w:rPr>
              <w:t>岗位名称</w:t>
            </w:r>
          </w:p>
        </w:tc>
        <w:tc>
          <w:tcPr>
            <w:tcW w:w="1208" w:type="dxa"/>
            <w:tcBorders>
              <w:top w:val="single" w:color="auto" w:sz="4" w:space="0"/>
              <w:bottom w:val="single" w:color="auto" w:sz="4" w:space="0"/>
            </w:tcBorders>
            <w:noWrap w:val="0"/>
            <w:vAlign w:val="center"/>
          </w:tcPr>
          <w:p>
            <w:pPr>
              <w:spacing w:line="400" w:lineRule="exact"/>
              <w:jc w:val="center"/>
              <w:rPr>
                <w:rFonts w:hint="eastAsia" w:ascii="宋体" w:hAnsi="宋体"/>
                <w:b/>
                <w:bCs/>
                <w:color w:val="auto"/>
                <w:spacing w:val="0"/>
                <w:w w:val="100"/>
                <w:szCs w:val="21"/>
              </w:rPr>
            </w:pPr>
            <w:r>
              <w:rPr>
                <w:rFonts w:hint="eastAsia" w:ascii="宋体" w:hAnsi="宋体"/>
                <w:b/>
                <w:bCs/>
                <w:color w:val="auto"/>
                <w:spacing w:val="0"/>
                <w:w w:val="100"/>
                <w:szCs w:val="21"/>
              </w:rPr>
              <w:t>配置人数（人）</w:t>
            </w: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
                <w:bCs/>
                <w:color w:val="auto"/>
                <w:spacing w:val="0"/>
                <w:w w:val="100"/>
                <w:szCs w:val="21"/>
              </w:rPr>
            </w:pPr>
            <w:r>
              <w:rPr>
                <w:rFonts w:hint="eastAsia" w:ascii="宋体" w:hAnsi="宋体"/>
                <w:b/>
                <w:bCs/>
                <w:color w:val="auto"/>
                <w:spacing w:val="0"/>
                <w:w w:val="100"/>
                <w:szCs w:val="21"/>
              </w:rPr>
              <w:t>服务时间（月）</w:t>
            </w: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color w:val="auto"/>
                <w:spacing w:val="0"/>
                <w:w w:val="100"/>
                <w:szCs w:val="21"/>
              </w:rPr>
            </w:pPr>
            <w:r>
              <w:rPr>
                <w:rFonts w:hint="eastAsia" w:ascii="宋体" w:hAnsi="宋体"/>
                <w:b/>
                <w:bCs/>
                <w:color w:val="auto"/>
                <w:spacing w:val="0"/>
                <w:w w:val="100"/>
                <w:szCs w:val="21"/>
              </w:rPr>
              <w:t>综合单价</w:t>
            </w:r>
          </w:p>
          <w:p>
            <w:pPr>
              <w:spacing w:line="400" w:lineRule="exact"/>
              <w:jc w:val="center"/>
              <w:rPr>
                <w:rFonts w:hint="eastAsia" w:ascii="宋体" w:hAnsi="宋体"/>
                <w:b/>
                <w:bCs/>
                <w:color w:val="auto"/>
                <w:spacing w:val="0"/>
                <w:w w:val="100"/>
                <w:szCs w:val="21"/>
              </w:rPr>
            </w:pPr>
            <w:r>
              <w:rPr>
                <w:rFonts w:hint="eastAsia" w:ascii="宋体" w:hAnsi="宋体"/>
                <w:b/>
                <w:bCs/>
                <w:color w:val="auto"/>
                <w:spacing w:val="0"/>
                <w:w w:val="100"/>
                <w:szCs w:val="21"/>
              </w:rPr>
              <w:t>（元/人·月）</w:t>
            </w:r>
          </w:p>
        </w:tc>
        <w:tc>
          <w:tcPr>
            <w:tcW w:w="2460"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color w:val="auto"/>
                <w:spacing w:val="0"/>
                <w:w w:val="100"/>
                <w:szCs w:val="21"/>
              </w:rPr>
            </w:pPr>
            <w:r>
              <w:rPr>
                <w:rFonts w:hint="eastAsia" w:ascii="宋体" w:hAnsi="宋体"/>
                <w:b/>
                <w:bCs/>
                <w:color w:val="auto"/>
                <w:spacing w:val="0"/>
                <w:w w:val="100"/>
                <w:szCs w:val="21"/>
              </w:rPr>
              <w:t>合价</w:t>
            </w:r>
          </w:p>
          <w:p>
            <w:pPr>
              <w:spacing w:line="400" w:lineRule="exact"/>
              <w:jc w:val="center"/>
              <w:rPr>
                <w:rFonts w:hint="eastAsia" w:ascii="宋体" w:hAnsi="宋体"/>
                <w:b/>
                <w:bCs/>
                <w:color w:val="auto"/>
                <w:spacing w:val="0"/>
                <w:w w:val="100"/>
                <w:szCs w:val="21"/>
              </w:rPr>
            </w:pPr>
            <w:r>
              <w:rPr>
                <w:rFonts w:hint="eastAsia" w:ascii="宋体" w:hAnsi="宋体"/>
                <w:b/>
                <w:bCs/>
                <w:color w:val="auto"/>
                <w:spacing w:val="0"/>
                <w:w w:val="100"/>
                <w:szCs w:val="21"/>
              </w:rPr>
              <w:t>（服务时间×综合单价×人数）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208" w:type="dxa"/>
            <w:tcBorders>
              <w:top w:val="single" w:color="auto" w:sz="4" w:space="0"/>
              <w:bottom w:val="single" w:color="auto" w:sz="4" w:space="0"/>
            </w:tcBorders>
            <w:noWrap w:val="0"/>
            <w:vAlign w:val="center"/>
          </w:tcPr>
          <w:p>
            <w:pPr>
              <w:spacing w:line="400" w:lineRule="exact"/>
              <w:jc w:val="center"/>
              <w:rPr>
                <w:rFonts w:ascii="宋体" w:hAnsi="宋体"/>
                <w:bCs/>
                <w:color w:val="auto"/>
                <w:spacing w:val="0"/>
                <w:w w:val="10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1" w:type="dxa"/>
            <w:gridSpan w:val="2"/>
            <w:tcBorders>
              <w:top w:val="single" w:color="auto" w:sz="4" w:space="0"/>
              <w:left w:val="single" w:color="auto" w:sz="4" w:space="0"/>
              <w:bottom w:val="single" w:color="auto" w:sz="4" w:space="0"/>
            </w:tcBorders>
            <w:noWrap w:val="0"/>
            <w:vAlign w:val="center"/>
          </w:tcPr>
          <w:p>
            <w:pPr>
              <w:widowControl/>
              <w:spacing w:line="400" w:lineRule="exact"/>
              <w:jc w:val="center"/>
              <w:rPr>
                <w:rFonts w:hint="eastAsia" w:ascii="宋体" w:hAnsi="宋体" w:cs="宋体"/>
                <w:color w:val="auto"/>
                <w:spacing w:val="0"/>
                <w:w w:val="100"/>
                <w:kern w:val="0"/>
                <w:szCs w:val="21"/>
              </w:rPr>
            </w:pPr>
            <w:r>
              <w:rPr>
                <w:rFonts w:hint="eastAsia" w:ascii="宋体" w:hAnsi="宋体" w:cs="宋体"/>
                <w:color w:val="auto"/>
                <w:spacing w:val="0"/>
                <w:w w:val="100"/>
                <w:kern w:val="0"/>
                <w:szCs w:val="21"/>
              </w:rPr>
              <w:t>合计</w:t>
            </w:r>
          </w:p>
        </w:tc>
        <w:tc>
          <w:tcPr>
            <w:tcW w:w="1208" w:type="dxa"/>
            <w:tcBorders>
              <w:top w:val="single" w:color="auto" w:sz="4" w:space="0"/>
              <w:bottom w:val="single" w:color="auto" w:sz="4" w:space="0"/>
            </w:tcBorders>
            <w:noWrap w:val="0"/>
            <w:vAlign w:val="center"/>
          </w:tcPr>
          <w:p>
            <w:pPr>
              <w:widowControl/>
              <w:spacing w:line="400" w:lineRule="exact"/>
              <w:jc w:val="center"/>
              <w:rPr>
                <w:rFonts w:ascii="宋体" w:hAnsi="宋体" w:cs="宋体"/>
                <w:color w:val="auto"/>
                <w:spacing w:val="0"/>
                <w:w w:val="100"/>
                <w:kern w:val="0"/>
                <w:szCs w:val="21"/>
              </w:rPr>
            </w:pPr>
          </w:p>
        </w:tc>
        <w:tc>
          <w:tcPr>
            <w:tcW w:w="1185" w:type="dxa"/>
            <w:tcBorders>
              <w:top w:val="single" w:color="auto" w:sz="4" w:space="0"/>
              <w:bottom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172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spacing w:val="0"/>
                <w:w w:val="100"/>
                <w:szCs w:val="21"/>
              </w:rPr>
            </w:pPr>
          </w:p>
        </w:tc>
        <w:tc>
          <w:tcPr>
            <w:tcW w:w="2460"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color w:val="auto"/>
                <w:spacing w:val="0"/>
                <w:w w:val="1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9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color w:val="auto"/>
                <w:spacing w:val="0"/>
                <w:w w:val="100"/>
                <w:szCs w:val="21"/>
              </w:rPr>
            </w:pPr>
            <w:r>
              <w:rPr>
                <w:rFonts w:hint="eastAsia" w:ascii="宋体" w:hAnsi="宋体"/>
                <w:b/>
                <w:color w:val="auto"/>
                <w:spacing w:val="0"/>
                <w:w w:val="100"/>
                <w:szCs w:val="21"/>
              </w:rPr>
              <w:t>日常安保服务投标报价（小写）</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auto"/>
                <w:spacing w:val="0"/>
                <w:w w:val="100"/>
                <w:szCs w:val="21"/>
                <w:lang w:val="en-US" w:eastAsia="zh-CN"/>
              </w:rPr>
            </w:pPr>
            <w:r>
              <w:rPr>
                <w:rFonts w:hint="eastAsia" w:ascii="宋体" w:hAnsi="宋体"/>
                <w:color w:val="auto"/>
                <w:spacing w:val="0"/>
                <w:w w:val="100"/>
                <w:szCs w:val="21"/>
                <w:lang w:val="en-US" w:eastAsia="zh-CN"/>
              </w:rPr>
              <w:t>¥</w:t>
            </w:r>
            <w:r>
              <w:rPr>
                <w:rFonts w:hint="eastAsia" w:ascii="宋体" w:hAnsi="宋体"/>
                <w:color w:val="auto"/>
                <w:spacing w:val="0"/>
                <w:w w:val="100"/>
                <w:szCs w:val="21"/>
                <w:u w:val="single"/>
              </w:rPr>
              <w:t xml:space="preserve">         </w:t>
            </w:r>
            <w:r>
              <w:rPr>
                <w:rFonts w:hint="eastAsia" w:ascii="宋体" w:hAnsi="宋体"/>
                <w:color w:val="auto"/>
                <w:spacing w:val="0"/>
                <w:w w:val="100"/>
                <w:szCs w:val="21"/>
              </w:rPr>
              <w:t>元</w:t>
            </w:r>
            <w:r>
              <w:rPr>
                <w:rFonts w:hint="eastAsia" w:ascii="宋体" w:hAnsi="宋体"/>
                <w:color w:val="auto"/>
                <w:spacing w:val="0"/>
                <w:w w:val="100"/>
                <w:szCs w:val="21"/>
                <w:lang w:val="en-US" w:eastAsia="zh-CN"/>
              </w:rPr>
              <w:t>/年</w:t>
            </w:r>
          </w:p>
        </w:tc>
      </w:tr>
    </w:tbl>
    <w:p>
      <w:pPr>
        <w:snapToGrid w:val="0"/>
        <w:spacing w:line="400" w:lineRule="exact"/>
        <w:rPr>
          <w:rFonts w:hint="eastAsia" w:ascii="宋体" w:hAnsi="宋体"/>
          <w:color w:val="auto"/>
          <w:spacing w:val="0"/>
          <w:w w:val="100"/>
          <w:szCs w:val="21"/>
          <w:u w:val="single"/>
        </w:rPr>
      </w:pPr>
    </w:p>
    <w:p>
      <w:pPr>
        <w:snapToGrid w:val="0"/>
        <w:spacing w:line="400" w:lineRule="exact"/>
        <w:rPr>
          <w:rFonts w:hint="eastAsia" w:ascii="宋体" w:hAnsi="宋体"/>
          <w:color w:val="auto"/>
          <w:spacing w:val="0"/>
          <w:w w:val="100"/>
          <w:szCs w:val="21"/>
          <w:u w:val="single"/>
        </w:rPr>
      </w:pPr>
    </w:p>
    <w:p>
      <w:pPr>
        <w:snapToGrid w:val="0"/>
        <w:spacing w:line="440" w:lineRule="exact"/>
        <w:ind w:firstLine="210" w:firstLineChars="100"/>
        <w:rPr>
          <w:rFonts w:hint="eastAsia" w:ascii="宋体" w:hAnsi="宋体" w:eastAsia="宋体" w:cs="宋体"/>
          <w:szCs w:val="21"/>
          <w:u w:val="single"/>
        </w:rPr>
      </w:pPr>
      <w:r>
        <w:rPr>
          <w:rFonts w:hint="eastAsia" w:ascii="宋体" w:hAnsi="宋体" w:eastAsia="宋体" w:cs="宋体"/>
          <w:color w:val="auto"/>
          <w:spacing w:val="0"/>
          <w:w w:val="100"/>
          <w:sz w:val="21"/>
          <w:szCs w:val="21"/>
          <w:highlight w:val="none"/>
        </w:rPr>
        <w:t xml:space="preserve">   </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 xml:space="preserve"> </w:t>
      </w:r>
      <w:r>
        <w:rPr>
          <w:rFonts w:hint="eastAsia" w:ascii="宋体" w:hAnsi="宋体" w:eastAsia="宋体" w:cs="宋体"/>
          <w:color w:val="auto"/>
          <w:spacing w:val="0"/>
          <w:w w:val="100"/>
          <w:sz w:val="21"/>
          <w:szCs w:val="21"/>
          <w:highlight w:val="none"/>
          <w:lang w:val="en-US" w:eastAsia="zh-CN"/>
        </w:rPr>
        <w:t xml:space="preserve">                 </w:t>
      </w:r>
      <w:r>
        <w:rPr>
          <w:rFonts w:hint="eastAsia" w:ascii="宋体" w:hAnsi="宋体" w:eastAsia="宋体" w:cs="宋体"/>
          <w:color w:val="auto"/>
          <w:spacing w:val="0"/>
          <w:w w:val="100"/>
          <w:sz w:val="21"/>
          <w:szCs w:val="21"/>
          <w:highlight w:val="none"/>
        </w:rPr>
        <w:t xml:space="preserve"> </w:t>
      </w: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pPr>
        <w:snapToGrid w:val="0"/>
        <w:spacing w:line="440" w:lineRule="exact"/>
        <w:ind w:firstLine="200"/>
        <w:rPr>
          <w:rFonts w:hint="eastAsia" w:ascii="宋体" w:hAnsi="宋体" w:eastAsia="宋体" w:cs="宋体"/>
          <w:szCs w:val="21"/>
          <w:u w:val="single"/>
        </w:rPr>
      </w:pPr>
      <w:r>
        <w:rPr>
          <w:rFonts w:hint="eastAsia" w:ascii="宋体" w:hAnsi="宋体" w:eastAsia="宋体" w:cs="宋体"/>
          <w:szCs w:val="21"/>
        </w:rPr>
        <w:t xml:space="preserve">                       法定代表人或其委托代理人（签字或盖章）：</w:t>
      </w:r>
      <w:r>
        <w:rPr>
          <w:rFonts w:hint="eastAsia" w:ascii="宋体" w:hAnsi="宋体" w:eastAsia="宋体" w:cs="宋体"/>
          <w:szCs w:val="21"/>
          <w:u w:val="single"/>
        </w:rPr>
        <w:t xml:space="preserve">             </w:t>
      </w:r>
    </w:p>
    <w:p>
      <w:pPr>
        <w:snapToGrid w:val="0"/>
        <w:spacing w:line="440" w:lineRule="exact"/>
        <w:ind w:firstLine="210" w:firstLineChars="100"/>
        <w:rPr>
          <w:rFonts w:hint="eastAsia" w:ascii="宋体" w:hAnsi="宋体" w:eastAsia="宋体" w:cs="宋体"/>
          <w:szCs w:val="21"/>
        </w:rPr>
      </w:pPr>
      <w:r>
        <w:rPr>
          <w:rFonts w:hint="eastAsia" w:ascii="宋体" w:hAnsi="宋体" w:eastAsia="宋体" w:cs="宋体"/>
          <w:szCs w:val="21"/>
        </w:rPr>
        <w:t xml:space="preserve">                                             年    月    日</w:t>
      </w:r>
    </w:p>
    <w:p>
      <w:pPr>
        <w:keepNext w:val="0"/>
        <w:keepLines w:val="0"/>
        <w:pageBreakBefore w:val="0"/>
        <w:widowControl w:val="0"/>
        <w:kinsoku/>
        <w:wordWrap/>
        <w:overflowPunct/>
        <w:topLinePunct w:val="0"/>
        <w:autoSpaceDE/>
        <w:autoSpaceDN/>
        <w:bidi w:val="0"/>
        <w:adjustRightInd/>
        <w:snapToGrid w:val="0"/>
        <w:spacing w:before="120" w:beforeLines="50" w:line="400" w:lineRule="exact"/>
        <w:ind w:firstLine="210" w:firstLineChars="100"/>
        <w:textAlignment w:val="auto"/>
        <w:rPr>
          <w:rFonts w:hint="eastAsia" w:ascii="宋体" w:hAnsi="宋体" w:eastAsia="宋体" w:cs="宋体"/>
          <w:color w:val="auto"/>
          <w:spacing w:val="0"/>
          <w:w w:val="100"/>
          <w:sz w:val="21"/>
          <w:szCs w:val="21"/>
          <w:highlight w:val="none"/>
        </w:rPr>
      </w:pPr>
    </w:p>
    <w:p>
      <w:pPr>
        <w:pStyle w:val="5"/>
        <w:spacing w:line="400" w:lineRule="exact"/>
        <w:ind w:firstLine="0"/>
        <w:jc w:val="center"/>
        <w:rPr>
          <w:rFonts w:hint="eastAsia" w:ascii="宋体" w:hAnsi="宋体" w:eastAsia="宋体"/>
          <w:color w:val="auto"/>
          <w:spacing w:val="0"/>
          <w:w w:val="100"/>
          <w:sz w:val="21"/>
          <w:szCs w:val="21"/>
        </w:rPr>
      </w:pPr>
      <w:r>
        <w:rPr>
          <w:b/>
          <w:color w:val="auto"/>
          <w:spacing w:val="0"/>
          <w:w w:val="100"/>
          <w:szCs w:val="21"/>
        </w:rPr>
        <w:br w:type="page"/>
      </w:r>
      <w:r>
        <w:rPr>
          <w:rFonts w:hint="eastAsia" w:ascii="宋体" w:hAnsi="宋体" w:eastAsia="宋体"/>
          <w:b/>
          <w:color w:val="auto"/>
          <w:spacing w:val="0"/>
          <w:w w:val="100"/>
          <w:sz w:val="21"/>
          <w:szCs w:val="21"/>
        </w:rPr>
        <w:t>2</w:t>
      </w:r>
      <w:r>
        <w:rPr>
          <w:rFonts w:hint="eastAsia" w:hAnsi="宋体" w:eastAsia="宋体"/>
          <w:b/>
          <w:color w:val="auto"/>
          <w:spacing w:val="0"/>
          <w:w w:val="100"/>
          <w:sz w:val="21"/>
          <w:szCs w:val="21"/>
          <w:lang w:eastAsia="zh-CN"/>
        </w:rPr>
        <w:t>、</w:t>
      </w:r>
      <w:r>
        <w:rPr>
          <w:rFonts w:hint="eastAsia" w:ascii="宋体" w:hAnsi="宋体" w:eastAsia="宋体"/>
          <w:b/>
          <w:color w:val="auto"/>
          <w:spacing w:val="0"/>
          <w:w w:val="100"/>
          <w:sz w:val="21"/>
          <w:szCs w:val="21"/>
        </w:rPr>
        <w:t>综合单价分析表</w:t>
      </w:r>
    </w:p>
    <w:p>
      <w:pPr>
        <w:spacing w:line="400" w:lineRule="exact"/>
        <w:rPr>
          <w:rFonts w:hint="eastAsia" w:ascii="宋体" w:hAnsi="宋体"/>
          <w:b/>
          <w:color w:val="auto"/>
          <w:spacing w:val="0"/>
          <w:w w:val="100"/>
          <w:szCs w:val="21"/>
        </w:rPr>
      </w:pPr>
      <w:r>
        <w:rPr>
          <w:rFonts w:hint="eastAsia" w:ascii="宋体" w:hAnsi="宋体"/>
          <w:b/>
          <w:color w:val="auto"/>
          <w:spacing w:val="0"/>
          <w:w w:val="100"/>
          <w:szCs w:val="21"/>
        </w:rPr>
        <w:t>岗位名称：</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3"/>
        <w:gridCol w:w="2130"/>
        <w:gridCol w:w="2160"/>
        <w:gridCol w:w="3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ascii="宋体" w:hAnsi="宋体"/>
                <w:b/>
                <w:color w:val="auto"/>
                <w:spacing w:val="0"/>
                <w:w w:val="100"/>
                <w:szCs w:val="21"/>
              </w:rPr>
              <w:t>序号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ascii="宋体" w:hAnsi="宋体"/>
                <w:b/>
                <w:color w:val="auto"/>
                <w:spacing w:val="0"/>
                <w:w w:val="100"/>
                <w:szCs w:val="21"/>
              </w:rPr>
              <w:t>科目</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hint="eastAsia" w:ascii="宋体" w:hAnsi="宋体"/>
                <w:b/>
                <w:color w:val="auto"/>
                <w:spacing w:val="0"/>
                <w:w w:val="100"/>
                <w:szCs w:val="21"/>
              </w:rPr>
              <w:t>金额</w:t>
            </w:r>
            <w:r>
              <w:rPr>
                <w:rFonts w:hint="eastAsia" w:ascii="宋体" w:hAnsi="宋体"/>
                <w:b/>
                <w:bCs/>
                <w:color w:val="auto"/>
                <w:spacing w:val="0"/>
                <w:w w:val="100"/>
                <w:szCs w:val="21"/>
              </w:rPr>
              <w:t>（元/人·月）</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ascii="宋体" w:hAnsi="宋体"/>
                <w:b/>
                <w:color w:val="auto"/>
                <w:spacing w:val="0"/>
                <w:w w:val="100"/>
                <w:szCs w:val="21"/>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ascii="宋体" w:hAnsi="宋体"/>
                <w:b/>
                <w:color w:val="auto"/>
                <w:spacing w:val="0"/>
                <w:w w:val="100"/>
                <w:szCs w:val="21"/>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ascii="宋体" w:hAnsi="宋体"/>
                <w:b/>
                <w:color w:val="auto"/>
                <w:spacing w:val="0"/>
                <w:w w:val="100"/>
                <w:szCs w:val="21"/>
              </w:rPr>
              <w:t>人力成本</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1.1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工资</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
                <w:color w:val="auto"/>
                <w:spacing w:val="0"/>
                <w:w w:val="100"/>
                <w:szCs w:val="21"/>
              </w:rPr>
            </w:pPr>
            <w:r>
              <w:rPr>
                <w:rFonts w:hint="eastAsia" w:ascii="宋体" w:hAnsi="宋体"/>
                <w:b/>
                <w:color w:val="auto"/>
                <w:spacing w:val="0"/>
                <w:w w:val="100"/>
                <w:szCs w:val="21"/>
              </w:rPr>
              <w:t>▲员工工资不得低于宁波</w:t>
            </w:r>
            <w:r>
              <w:rPr>
                <w:rFonts w:hint="eastAsia" w:ascii="宋体" w:hAnsi="宋体"/>
                <w:b/>
                <w:color w:val="auto"/>
                <w:spacing w:val="0"/>
                <w:w w:val="100"/>
                <w:szCs w:val="21"/>
                <w:lang w:eastAsia="zh-CN"/>
              </w:rPr>
              <w:t>市</w:t>
            </w:r>
            <w:r>
              <w:rPr>
                <w:rFonts w:hint="eastAsia" w:ascii="宋体" w:hAnsi="宋体"/>
                <w:b/>
                <w:color w:val="auto"/>
                <w:spacing w:val="0"/>
                <w:w w:val="100"/>
                <w:szCs w:val="21"/>
              </w:rPr>
              <w:t>最低工资标准，否则作无效标处理。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1.2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社保</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olor w:val="auto"/>
                <w:spacing w:val="0"/>
                <w:w w:val="100"/>
                <w:szCs w:val="21"/>
                <w:lang w:val="en-US" w:eastAsia="zh-CN"/>
              </w:rPr>
            </w:pPr>
            <w:r>
              <w:rPr>
                <w:rFonts w:hint="eastAsia" w:ascii="宋体" w:hAnsi="宋体"/>
                <w:color w:val="auto"/>
                <w:spacing w:val="0"/>
                <w:w w:val="100"/>
                <w:szCs w:val="21"/>
                <w:lang w:val="en-US" w:eastAsia="zh-CN"/>
              </w:rPr>
              <w:t>按最新政策要求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olor w:val="auto"/>
                <w:spacing w:val="0"/>
                <w:w w:val="100"/>
                <w:szCs w:val="21"/>
                <w:lang w:val="en-US" w:eastAsia="zh-CN"/>
              </w:rPr>
            </w:pPr>
            <w:r>
              <w:rPr>
                <w:rFonts w:hint="eastAsia" w:ascii="宋体" w:hAnsi="宋体"/>
                <w:color w:val="auto"/>
                <w:spacing w:val="0"/>
                <w:w w:val="100"/>
                <w:szCs w:val="21"/>
                <w:lang w:val="en-US" w:eastAsia="zh-CN"/>
              </w:rPr>
              <w:t>1.3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hint="eastAsia" w:ascii="宋体" w:hAnsi="宋体"/>
                <w:color w:val="auto"/>
                <w:spacing w:val="0"/>
                <w:w w:val="100"/>
                <w:szCs w:val="21"/>
                <w:lang w:val="en-US" w:eastAsia="zh-CN"/>
              </w:rPr>
              <w:t>节假日加班费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pacing w:val="0"/>
                <w:w w:val="100"/>
                <w:szCs w:val="21"/>
              </w:rPr>
            </w:pPr>
            <w:r>
              <w:rPr>
                <w:rFonts w:hint="eastAsia" w:ascii="宋体" w:hAnsi="宋体"/>
                <w:color w:val="auto"/>
                <w:spacing w:val="0"/>
                <w:w w:val="100"/>
                <w:szCs w:val="21"/>
              </w:rPr>
              <w:t xml:space="preserve"> 《劳动法》第 44 条第（三）款规定）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olor w:val="auto"/>
                <w:spacing w:val="0"/>
                <w:w w:val="100"/>
                <w:szCs w:val="21"/>
                <w:lang w:val="en-US" w:eastAsia="zh-CN"/>
              </w:rPr>
            </w:pPr>
            <w:r>
              <w:rPr>
                <w:rFonts w:hint="eastAsia" w:ascii="宋体" w:hAnsi="宋体"/>
                <w:color w:val="auto"/>
                <w:spacing w:val="0"/>
                <w:w w:val="100"/>
                <w:szCs w:val="21"/>
                <w:lang w:val="en-US" w:eastAsia="zh-CN"/>
              </w:rPr>
              <w:t>1.4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olor w:val="auto"/>
                <w:spacing w:val="0"/>
                <w:w w:val="100"/>
                <w:szCs w:val="21"/>
                <w:lang w:val="en-US" w:eastAsia="zh-CN"/>
              </w:rPr>
            </w:pPr>
            <w:r>
              <w:rPr>
                <w:rFonts w:hint="eastAsia" w:ascii="宋体" w:hAnsi="宋体"/>
                <w:color w:val="auto"/>
                <w:spacing w:val="0"/>
                <w:w w:val="100"/>
                <w:szCs w:val="21"/>
                <w:lang w:val="en-US" w:eastAsia="zh-CN"/>
              </w:rPr>
              <w:t>日常加班费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pacing w:val="0"/>
                <w:w w:val="100"/>
                <w:szCs w:val="21"/>
              </w:rPr>
            </w:pPr>
            <w:r>
              <w:rPr>
                <w:rFonts w:hint="eastAsia" w:ascii="宋体" w:hAnsi="宋体"/>
                <w:color w:val="auto"/>
                <w:spacing w:val="0"/>
                <w:w w:val="100"/>
                <w:szCs w:val="21"/>
              </w:rPr>
              <w:t xml:space="preserve"> 《劳动法》第 44 条第（三）款规定）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olor w:val="auto"/>
                <w:spacing w:val="0"/>
                <w:w w:val="100"/>
                <w:szCs w:val="21"/>
                <w:lang w:val="en-US" w:eastAsia="zh-CN"/>
              </w:rPr>
            </w:pPr>
            <w:r>
              <w:rPr>
                <w:rFonts w:hint="eastAsia" w:ascii="宋体" w:hAnsi="宋体"/>
                <w:color w:val="auto"/>
                <w:spacing w:val="0"/>
                <w:w w:val="100"/>
                <w:szCs w:val="21"/>
                <w:lang w:val="en-US" w:eastAsia="zh-CN"/>
              </w:rPr>
              <w:t>1.5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olor w:val="auto"/>
                <w:spacing w:val="0"/>
                <w:w w:val="100"/>
                <w:szCs w:val="21"/>
                <w:lang w:val="en-US" w:eastAsia="zh-CN"/>
              </w:rPr>
            </w:pPr>
            <w:r>
              <w:rPr>
                <w:rFonts w:hint="eastAsia" w:ascii="宋体" w:hAnsi="宋体"/>
                <w:color w:val="auto"/>
                <w:spacing w:val="0"/>
                <w:w w:val="100"/>
                <w:szCs w:val="21"/>
                <w:lang w:val="en-US" w:eastAsia="zh-CN"/>
              </w:rPr>
              <w:t>高温费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auto"/>
                <w:spacing w:val="0"/>
                <w:w w:val="100"/>
                <w:szCs w:val="21"/>
                <w:lang w:eastAsia="zh-CN"/>
              </w:rPr>
            </w:pPr>
            <w:r>
              <w:rPr>
                <w:rFonts w:hint="eastAsia" w:ascii="宋体" w:hAnsi="宋体"/>
                <w:color w:val="auto"/>
                <w:spacing w:val="0"/>
                <w:w w:val="100"/>
                <w:szCs w:val="21"/>
              </w:rPr>
              <w:t>1.</w:t>
            </w:r>
            <w:r>
              <w:rPr>
                <w:rFonts w:hint="eastAsia" w:ascii="宋体" w:hAnsi="宋体"/>
                <w:color w:val="auto"/>
                <w:spacing w:val="0"/>
                <w:w w:val="100"/>
                <w:szCs w:val="21"/>
                <w:lang w:val="en-US" w:eastAsia="zh-CN"/>
              </w:rPr>
              <w:t>6</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pacing w:val="0"/>
                <w:w w:val="100"/>
                <w:szCs w:val="21"/>
              </w:rPr>
            </w:pPr>
            <w:r>
              <w:rPr>
                <w:rFonts w:ascii="宋体" w:hAnsi="宋体"/>
                <w:color w:val="auto"/>
                <w:spacing w:val="0"/>
                <w:w w:val="100"/>
                <w:szCs w:val="21"/>
              </w:rPr>
              <w:t>福利</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olor w:val="auto"/>
                <w:spacing w:val="0"/>
                <w:w w:val="100"/>
                <w:szCs w:val="21"/>
                <w:lang w:eastAsia="zh-CN"/>
              </w:rPr>
            </w:pPr>
            <w:r>
              <w:rPr>
                <w:rFonts w:ascii="宋体" w:hAnsi="宋体"/>
                <w:color w:val="auto"/>
                <w:spacing w:val="0"/>
                <w:w w:val="100"/>
                <w:szCs w:val="21"/>
              </w:rPr>
              <w:t>1.</w:t>
            </w:r>
            <w:r>
              <w:rPr>
                <w:rFonts w:hint="eastAsia" w:ascii="宋体" w:hAnsi="宋体"/>
                <w:color w:val="auto"/>
                <w:spacing w:val="0"/>
                <w:w w:val="100"/>
                <w:szCs w:val="21"/>
                <w:lang w:val="en-US" w:eastAsia="zh-CN"/>
              </w:rPr>
              <w:t>7</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hint="eastAsia" w:ascii="宋体" w:hAnsi="宋体"/>
                <w:b/>
                <w:color w:val="auto"/>
                <w:spacing w:val="0"/>
                <w:w w:val="100"/>
                <w:szCs w:val="21"/>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hint="eastAsia" w:ascii="宋体" w:hAnsi="宋体"/>
                <w:b/>
                <w:color w:val="auto"/>
                <w:spacing w:val="0"/>
                <w:w w:val="100"/>
                <w:szCs w:val="21"/>
              </w:rPr>
              <w:t>护卫装备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pacing w:val="0"/>
                <w:w w:val="100"/>
                <w:szCs w:val="21"/>
              </w:rPr>
            </w:pPr>
            <w:r>
              <w:rPr>
                <w:rFonts w:hint="eastAsia" w:ascii="宋体" w:hAnsi="宋体"/>
                <w:color w:val="auto"/>
                <w:spacing w:val="0"/>
                <w:w w:val="100"/>
                <w:szCs w:val="21"/>
              </w:rPr>
              <w:t>2.1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color w:val="auto"/>
                <w:spacing w:val="0"/>
                <w:w w:val="100"/>
                <w:szCs w:val="21"/>
              </w:rPr>
            </w:pPr>
            <w:r>
              <w:rPr>
                <w:rFonts w:hint="eastAsia" w:ascii="宋体" w:hAnsi="宋体"/>
                <w:color w:val="auto"/>
                <w:spacing w:val="0"/>
                <w:w w:val="100"/>
                <w:szCs w:val="21"/>
              </w:rPr>
              <w:t>护卫装备</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pacing w:val="0"/>
                <w:w w:val="100"/>
                <w:szCs w:val="21"/>
              </w:rPr>
            </w:pPr>
            <w:r>
              <w:rPr>
                <w:rFonts w:hint="eastAsia" w:ascii="宋体" w:hAnsi="宋体"/>
                <w:color w:val="auto"/>
                <w:spacing w:val="0"/>
                <w:w w:val="100"/>
                <w:szCs w:val="21"/>
              </w:rPr>
              <w:t>2.2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ascii="宋体" w:hAnsi="宋体"/>
                <w:color w:val="auto"/>
                <w:spacing w:val="0"/>
                <w:w w:val="100"/>
                <w:szCs w:val="21"/>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hint="eastAsia" w:ascii="宋体" w:hAnsi="宋体"/>
                <w:b/>
                <w:color w:val="auto"/>
                <w:spacing w:val="0"/>
                <w:w w:val="100"/>
                <w:szCs w:val="21"/>
              </w:rPr>
              <w:t>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ascii="宋体" w:hAnsi="宋体"/>
                <w:b/>
                <w:color w:val="auto"/>
                <w:spacing w:val="0"/>
                <w:w w:val="100"/>
                <w:szCs w:val="21"/>
              </w:rPr>
              <w:t>管理费用及其它</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hint="eastAsia" w:ascii="宋体" w:hAnsi="宋体"/>
                <w:color w:val="auto"/>
                <w:spacing w:val="0"/>
                <w:w w:val="100"/>
                <w:szCs w:val="21"/>
              </w:rPr>
              <w:t>3</w:t>
            </w:r>
            <w:r>
              <w:rPr>
                <w:rFonts w:ascii="宋体" w:hAnsi="宋体"/>
                <w:color w:val="auto"/>
                <w:spacing w:val="0"/>
                <w:w w:val="100"/>
                <w:szCs w:val="21"/>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培训费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pacing w:val="0"/>
                <w:w w:val="100"/>
                <w:szCs w:val="21"/>
              </w:rPr>
            </w:pPr>
            <w:r>
              <w:rPr>
                <w:rFonts w:hint="eastAsia" w:ascii="宋体" w:hAnsi="宋体"/>
                <w:color w:val="auto"/>
                <w:spacing w:val="0"/>
                <w:w w:val="100"/>
                <w:szCs w:val="21"/>
              </w:rPr>
              <w:t>3</w:t>
            </w:r>
            <w:r>
              <w:rPr>
                <w:rFonts w:ascii="宋体" w:hAnsi="宋体"/>
                <w:color w:val="auto"/>
                <w:spacing w:val="0"/>
                <w:w w:val="100"/>
                <w:szCs w:val="21"/>
              </w:rPr>
              <w:t>.</w:t>
            </w:r>
            <w:r>
              <w:rPr>
                <w:rFonts w:hint="eastAsia" w:ascii="宋体" w:hAnsi="宋体"/>
                <w:color w:val="auto"/>
                <w:spacing w:val="0"/>
                <w:w w:val="100"/>
                <w:szCs w:val="21"/>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管理费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pacing w:val="0"/>
                <w:w w:val="100"/>
                <w:szCs w:val="21"/>
              </w:rPr>
            </w:pPr>
            <w:r>
              <w:rPr>
                <w:rFonts w:hint="eastAsia" w:ascii="宋体" w:hAnsi="宋体"/>
                <w:color w:val="auto"/>
                <w:spacing w:val="0"/>
                <w:w w:val="100"/>
                <w:szCs w:val="21"/>
              </w:rPr>
              <w:t>3.3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hint="eastAsia" w:ascii="宋体" w:hAnsi="宋体"/>
                <w:color w:val="auto"/>
                <w:spacing w:val="0"/>
                <w:w w:val="100"/>
                <w:szCs w:val="21"/>
              </w:rPr>
              <w:t>服装费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pacing w:val="0"/>
                <w:w w:val="100"/>
                <w:szCs w:val="21"/>
              </w:rPr>
            </w:pPr>
            <w:r>
              <w:rPr>
                <w:rFonts w:hint="eastAsia" w:ascii="宋体" w:hAnsi="宋体"/>
                <w:color w:val="auto"/>
                <w:spacing w:val="0"/>
                <w:w w:val="100"/>
                <w:szCs w:val="21"/>
              </w:rPr>
              <w:t>3</w:t>
            </w:r>
            <w:r>
              <w:rPr>
                <w:rFonts w:ascii="宋体" w:hAnsi="宋体"/>
                <w:color w:val="auto"/>
                <w:spacing w:val="0"/>
                <w:w w:val="100"/>
                <w:szCs w:val="21"/>
              </w:rPr>
              <w:t>.</w:t>
            </w:r>
            <w:r>
              <w:rPr>
                <w:rFonts w:hint="eastAsia" w:ascii="宋体" w:hAnsi="宋体"/>
                <w:color w:val="auto"/>
                <w:spacing w:val="0"/>
                <w:w w:val="100"/>
                <w:szCs w:val="21"/>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hint="eastAsia" w:ascii="宋体" w:hAnsi="宋体"/>
                <w:b/>
                <w:color w:val="auto"/>
                <w:spacing w:val="0"/>
                <w:w w:val="100"/>
                <w:szCs w:val="21"/>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ascii="宋体" w:hAnsi="宋体"/>
                <w:b/>
                <w:color w:val="auto"/>
                <w:spacing w:val="0"/>
                <w:w w:val="100"/>
                <w:szCs w:val="21"/>
              </w:rPr>
              <w:t>税金</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hint="eastAsia" w:ascii="宋体" w:hAnsi="宋体"/>
                <w:b/>
                <w:color w:val="auto"/>
                <w:spacing w:val="0"/>
                <w:w w:val="100"/>
                <w:szCs w:val="21"/>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ascii="宋体" w:hAnsi="宋体"/>
                <w:b/>
                <w:color w:val="auto"/>
                <w:spacing w:val="0"/>
                <w:w w:val="100"/>
                <w:szCs w:val="21"/>
              </w:rPr>
              <w:t>利润</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r>
              <w:rPr>
                <w:rFonts w:ascii="宋体" w:hAnsi="宋体"/>
                <w:color w:val="auto"/>
                <w:spacing w:val="0"/>
                <w:w w:val="100"/>
                <w:szCs w:val="21"/>
              </w:rPr>
              <w:t>…</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pacing w:val="0"/>
                <w:w w:val="100"/>
                <w:szCs w:val="21"/>
              </w:rPr>
            </w:pPr>
            <w:r>
              <w:rPr>
                <w:rFonts w:hint="eastAsia" w:ascii="宋体" w:hAnsi="宋体"/>
                <w:b/>
                <w:color w:val="auto"/>
                <w:spacing w:val="0"/>
                <w:w w:val="100"/>
                <w:szCs w:val="21"/>
              </w:rPr>
              <w:t>6</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color w:val="auto"/>
                <w:spacing w:val="0"/>
                <w:w w:val="100"/>
                <w:szCs w:val="21"/>
              </w:rPr>
            </w:pPr>
            <w:r>
              <w:rPr>
                <w:rFonts w:hint="eastAsia" w:ascii="宋体" w:hAnsi="宋体"/>
                <w:b/>
                <w:color w:val="auto"/>
                <w:spacing w:val="0"/>
                <w:w w:val="100"/>
                <w:szCs w:val="21"/>
              </w:rPr>
              <w:t>综合单价（合计）</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pacing w:val="0"/>
                <w:w w:val="100"/>
                <w:szCs w:val="21"/>
              </w:rPr>
            </w:pPr>
            <w:r>
              <w:rPr>
                <w:rFonts w:ascii="宋体" w:hAnsi="宋体"/>
                <w:color w:val="auto"/>
                <w:spacing w:val="0"/>
                <w:w w:val="100"/>
                <w:szCs w:val="21"/>
              </w:rPr>
              <w:t>＝1+2+3+4+</w:t>
            </w:r>
            <w:r>
              <w:rPr>
                <w:rFonts w:hint="eastAsia" w:ascii="宋体" w:hAnsi="宋体"/>
                <w:color w:val="auto"/>
                <w:spacing w:val="0"/>
                <w:w w:val="100"/>
                <w:szCs w:val="21"/>
              </w:rPr>
              <w:t>5+</w:t>
            </w:r>
            <w:r>
              <w:rPr>
                <w:rFonts w:ascii="宋体" w:hAnsi="宋体"/>
                <w:color w:val="auto"/>
                <w:spacing w:val="0"/>
                <w:w w:val="100"/>
                <w:szCs w:val="21"/>
              </w:rPr>
              <w:t>…</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pacing w:val="0"/>
                <w:w w:val="100"/>
                <w:szCs w:val="21"/>
              </w:rPr>
            </w:pPr>
          </w:p>
        </w:tc>
      </w:tr>
    </w:tbl>
    <w:p>
      <w:pPr>
        <w:spacing w:line="400" w:lineRule="exact"/>
        <w:ind w:firstLine="420" w:firstLineChars="200"/>
        <w:rPr>
          <w:rFonts w:hint="eastAsia" w:ascii="宋体" w:hAnsi="宋体"/>
          <w:color w:val="auto"/>
          <w:spacing w:val="0"/>
          <w:w w:val="100"/>
          <w:szCs w:val="21"/>
        </w:rPr>
      </w:pPr>
      <w:r>
        <w:rPr>
          <w:rFonts w:ascii="宋体" w:hAnsi="宋体"/>
          <w:color w:val="auto"/>
          <w:spacing w:val="0"/>
          <w:w w:val="100"/>
          <w:szCs w:val="21"/>
        </w:rPr>
        <w:t>注：</w:t>
      </w:r>
      <w:r>
        <w:rPr>
          <w:rFonts w:hint="eastAsia" w:ascii="宋体" w:hAnsi="宋体"/>
          <w:color w:val="auto"/>
          <w:spacing w:val="0"/>
          <w:w w:val="100"/>
          <w:szCs w:val="21"/>
        </w:rPr>
        <w:t>1、须</w:t>
      </w:r>
      <w:r>
        <w:rPr>
          <w:rFonts w:ascii="宋体" w:hAnsi="宋体"/>
          <w:color w:val="auto"/>
          <w:spacing w:val="0"/>
          <w:w w:val="100"/>
          <w:szCs w:val="21"/>
        </w:rPr>
        <w:t>附相关的计算过程及计算依据（包括取费依据、相关文件和规定等）</w:t>
      </w:r>
      <w:r>
        <w:rPr>
          <w:rFonts w:hint="eastAsia" w:ascii="宋体" w:hAnsi="宋体"/>
          <w:color w:val="auto"/>
          <w:spacing w:val="0"/>
          <w:w w:val="100"/>
          <w:szCs w:val="21"/>
        </w:rPr>
        <w:t>。</w:t>
      </w:r>
    </w:p>
    <w:p>
      <w:pPr>
        <w:spacing w:line="400" w:lineRule="exact"/>
        <w:ind w:firstLine="840" w:firstLineChars="400"/>
        <w:rPr>
          <w:rFonts w:hint="eastAsia" w:ascii="宋体" w:hAnsi="宋体"/>
          <w:color w:val="auto"/>
          <w:spacing w:val="0"/>
          <w:w w:val="100"/>
          <w:szCs w:val="21"/>
        </w:rPr>
      </w:pPr>
      <w:r>
        <w:rPr>
          <w:rFonts w:hint="eastAsia" w:ascii="宋体" w:hAnsi="宋体"/>
          <w:color w:val="auto"/>
          <w:spacing w:val="0"/>
          <w:w w:val="100"/>
          <w:szCs w:val="21"/>
        </w:rPr>
        <w:t>2、</w:t>
      </w:r>
      <w:r>
        <w:rPr>
          <w:rFonts w:ascii="宋体" w:hAnsi="宋体"/>
          <w:color w:val="auto"/>
          <w:spacing w:val="0"/>
          <w:w w:val="100"/>
          <w:szCs w:val="21"/>
        </w:rPr>
        <w:t>本表应列出完成</w:t>
      </w:r>
      <w:r>
        <w:rPr>
          <w:rFonts w:hint="eastAsia" w:ascii="宋体" w:hAnsi="宋体"/>
          <w:color w:val="auto"/>
          <w:spacing w:val="0"/>
          <w:w w:val="100"/>
          <w:szCs w:val="21"/>
        </w:rPr>
        <w:t>招标范围内该部分工作内容的全部组成</w:t>
      </w:r>
      <w:r>
        <w:rPr>
          <w:rFonts w:ascii="宋体" w:hAnsi="宋体"/>
          <w:color w:val="auto"/>
          <w:spacing w:val="0"/>
          <w:w w:val="100"/>
          <w:szCs w:val="21"/>
        </w:rPr>
        <w:t>费用，凡有遗漏或未考虑周全的均视为已包含在</w:t>
      </w:r>
      <w:r>
        <w:rPr>
          <w:rFonts w:hint="eastAsia" w:ascii="宋体" w:hAnsi="宋体"/>
          <w:color w:val="auto"/>
          <w:spacing w:val="0"/>
          <w:w w:val="100"/>
          <w:szCs w:val="21"/>
        </w:rPr>
        <w:t>综合单价</w:t>
      </w:r>
      <w:r>
        <w:rPr>
          <w:rFonts w:ascii="宋体" w:hAnsi="宋体"/>
          <w:color w:val="auto"/>
          <w:spacing w:val="0"/>
          <w:w w:val="100"/>
          <w:szCs w:val="21"/>
        </w:rPr>
        <w:t>内。</w:t>
      </w:r>
    </w:p>
    <w:p>
      <w:pPr>
        <w:snapToGrid w:val="0"/>
        <w:spacing w:line="440" w:lineRule="exact"/>
        <w:ind w:firstLine="210" w:firstLineChars="100"/>
        <w:rPr>
          <w:rFonts w:hint="eastAsia" w:ascii="宋体" w:hAnsi="宋体" w:eastAsia="宋体" w:cs="宋体"/>
          <w:color w:val="auto"/>
          <w:spacing w:val="0"/>
          <w:w w:val="100"/>
          <w:sz w:val="21"/>
          <w:szCs w:val="21"/>
          <w:highlight w:val="none"/>
          <w:u w:val="none"/>
        </w:rPr>
      </w:pPr>
      <w:r>
        <w:rPr>
          <w:rFonts w:hint="eastAsia" w:ascii="宋体" w:hAnsi="宋体" w:eastAsia="宋体"/>
          <w:color w:val="auto"/>
          <w:spacing w:val="0"/>
          <w:w w:val="100"/>
          <w:szCs w:val="21"/>
          <w:u w:val="none"/>
          <w:lang w:val="en-US" w:eastAsia="zh-CN"/>
        </w:rPr>
        <w:t xml:space="preserve">                      </w:t>
      </w:r>
      <w:r>
        <w:rPr>
          <w:rFonts w:hint="eastAsia" w:ascii="宋体" w:hAnsi="宋体" w:eastAsia="宋体" w:cs="宋体"/>
          <w:color w:val="auto"/>
          <w:spacing w:val="0"/>
          <w:w w:val="100"/>
          <w:sz w:val="21"/>
          <w:szCs w:val="21"/>
          <w:highlight w:val="none"/>
          <w:u w:val="none"/>
          <w:lang w:val="en-US" w:eastAsia="zh-CN"/>
        </w:rPr>
        <w:t xml:space="preserve">  </w:t>
      </w:r>
      <w:r>
        <w:rPr>
          <w:rFonts w:hint="eastAsia" w:ascii="宋体" w:hAnsi="宋体" w:eastAsia="宋体" w:cs="宋体"/>
          <w:color w:val="auto"/>
          <w:spacing w:val="0"/>
          <w:w w:val="100"/>
          <w:sz w:val="21"/>
          <w:szCs w:val="21"/>
          <w:highlight w:val="none"/>
          <w:u w:val="none"/>
        </w:rPr>
        <w:t xml:space="preserve"> </w:t>
      </w:r>
    </w:p>
    <w:p>
      <w:pPr>
        <w:snapToGrid w:val="0"/>
        <w:spacing w:line="440" w:lineRule="exact"/>
        <w:ind w:firstLine="210" w:firstLineChars="100"/>
        <w:jc w:val="center"/>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pPr>
        <w:snapToGrid w:val="0"/>
        <w:spacing w:line="440" w:lineRule="exact"/>
        <w:ind w:firstLine="200"/>
        <w:rPr>
          <w:rFonts w:hint="eastAsia" w:ascii="宋体" w:hAnsi="宋体" w:eastAsia="宋体" w:cs="宋体"/>
          <w:szCs w:val="21"/>
          <w:u w:val="single"/>
        </w:rPr>
      </w:pPr>
      <w:r>
        <w:rPr>
          <w:rFonts w:hint="eastAsia" w:ascii="宋体" w:hAnsi="宋体" w:eastAsia="宋体" w:cs="宋体"/>
          <w:szCs w:val="21"/>
        </w:rPr>
        <w:t xml:space="preserve">                       法定代表人或其委托代理人（签字或盖章）：</w:t>
      </w:r>
      <w:r>
        <w:rPr>
          <w:rFonts w:hint="eastAsia" w:ascii="宋体" w:hAnsi="宋体" w:eastAsia="宋体" w:cs="宋体"/>
          <w:szCs w:val="21"/>
          <w:u w:val="single"/>
        </w:rPr>
        <w:t xml:space="preserve">             </w:t>
      </w:r>
    </w:p>
    <w:p>
      <w:pPr>
        <w:snapToGrid w:val="0"/>
        <w:spacing w:line="440" w:lineRule="exact"/>
        <w:ind w:firstLine="210" w:firstLineChars="100"/>
        <w:rPr>
          <w:rFonts w:hint="eastAsia" w:ascii="宋体" w:hAnsi="宋体" w:eastAsia="宋体" w:cs="宋体"/>
          <w:szCs w:val="21"/>
        </w:rPr>
      </w:pPr>
      <w:r>
        <w:rPr>
          <w:rFonts w:hint="eastAsia" w:ascii="宋体" w:hAnsi="宋体" w:eastAsia="宋体" w:cs="宋体"/>
          <w:szCs w:val="21"/>
        </w:rPr>
        <w:t xml:space="preserve">                                             年    月    日</w:t>
      </w:r>
    </w:p>
    <w:p>
      <w:pPr>
        <w:pStyle w:val="6"/>
        <w:snapToGrid w:val="0"/>
        <w:spacing w:before="0" w:after="0" w:line="440" w:lineRule="exact"/>
        <w:rPr>
          <w:rFonts w:hint="eastAsia" w:ascii="宋体" w:hAnsi="宋体" w:cs="宋体"/>
          <w:b/>
          <w:color w:val="000000"/>
          <w:szCs w:val="21"/>
        </w:rPr>
      </w:pPr>
      <w:r>
        <w:rPr>
          <w:rFonts w:hint="eastAsia" w:hAnsi="宋体"/>
          <w:color w:val="auto"/>
          <w:highlight w:val="none"/>
        </w:rPr>
        <w:br w:type="page"/>
      </w:r>
      <w:bookmarkEnd w:id="183"/>
      <w:bookmarkEnd w:id="184"/>
      <w:bookmarkEnd w:id="185"/>
      <w:bookmarkEnd w:id="186"/>
      <w:bookmarkEnd w:id="187"/>
      <w:bookmarkEnd w:id="219"/>
      <w:bookmarkEnd w:id="220"/>
      <w:bookmarkEnd w:id="221"/>
      <w:bookmarkEnd w:id="222"/>
      <w:r>
        <w:rPr>
          <w:rFonts w:hint="eastAsia" w:ascii="宋体" w:hAnsi="宋体" w:eastAsia="宋体" w:cs="宋体"/>
          <w:color w:val="000000"/>
          <w:sz w:val="21"/>
          <w:szCs w:val="21"/>
          <w:lang w:val="en-US" w:eastAsia="zh-CN"/>
        </w:rPr>
        <w:t>14</w:t>
      </w:r>
      <w:r>
        <w:rPr>
          <w:rFonts w:hint="eastAsia" w:ascii="宋体" w:hAnsi="宋体" w:eastAsia="宋体" w:cs="宋体"/>
          <w:color w:val="000000"/>
          <w:sz w:val="21"/>
          <w:szCs w:val="21"/>
        </w:rPr>
        <w:t>、中小企业声明函</w:t>
      </w:r>
      <w:bookmarkStart w:id="223" w:name="_Toc20858"/>
    </w:p>
    <w:p>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hint="eastAsia" w:ascii="宋体" w:hAnsi="宋体" w:cs="宋体"/>
          <w:b/>
          <w:color w:val="000000"/>
          <w:szCs w:val="21"/>
        </w:rPr>
      </w:pPr>
      <w:r>
        <w:rPr>
          <w:rFonts w:hint="eastAsia" w:ascii="宋体" w:hAnsi="宋体" w:cs="宋体"/>
          <w:b/>
          <w:color w:val="000000"/>
          <w:szCs w:val="21"/>
        </w:rPr>
        <w:t>中小企业声明函</w:t>
      </w:r>
      <w:bookmarkEnd w:id="223"/>
    </w:p>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sz w:val="21"/>
          <w:szCs w:val="21"/>
        </w:rPr>
      </w:pPr>
      <w:bookmarkStart w:id="224" w:name="OLE_LINK14"/>
      <w:bookmarkStart w:id="225" w:name="OLE_LINK13"/>
      <w:bookmarkStart w:id="226" w:name="_Toc15449"/>
      <w:bookmarkStart w:id="227" w:name="_Toc21363"/>
      <w:bookmarkStart w:id="228" w:name="_Toc25816"/>
      <w:r>
        <w:rPr>
          <w:rFonts w:hint="eastAsia" w:ascii="宋体" w:hAnsi="宋体" w:eastAsia="宋体" w:cs="宋体"/>
          <w:b/>
          <w:bCs/>
          <w:sz w:val="21"/>
          <w:szCs w:val="21"/>
          <w:highlight w:val="yellow"/>
          <w:lang w:eastAsia="zh-CN"/>
        </w:rPr>
        <w:t>（适用于符合《</w:t>
      </w:r>
      <w:r>
        <w:rPr>
          <w:rFonts w:hint="eastAsia" w:ascii="宋体" w:hAnsi="宋体" w:eastAsia="宋体" w:cs="宋体"/>
          <w:b/>
          <w:bCs/>
          <w:color w:val="000000"/>
          <w:sz w:val="21"/>
          <w:szCs w:val="21"/>
          <w:highlight w:val="yellow"/>
        </w:rPr>
        <w:t>中小企业声明函</w:t>
      </w:r>
      <w:r>
        <w:rPr>
          <w:rFonts w:hint="eastAsia" w:ascii="宋体" w:hAnsi="宋体" w:eastAsia="宋体" w:cs="宋体"/>
          <w:b/>
          <w:bCs/>
          <w:sz w:val="21"/>
          <w:szCs w:val="21"/>
          <w:highlight w:val="yellow"/>
          <w:lang w:eastAsia="zh-CN"/>
        </w:rPr>
        <w:t>》的投标人提供）</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right="0" w:firstLine="402" w:firstLineChars="200"/>
        <w:textAlignment w:val="auto"/>
        <w:rPr>
          <w:rFonts w:ascii="宋体" w:hAnsi="宋体" w:cs="宋体"/>
          <w:color w:val="auto"/>
          <w:sz w:val="21"/>
          <w:szCs w:val="21"/>
          <w:highlight w:val="none"/>
        </w:rPr>
      </w:pPr>
      <w:r>
        <w:rPr>
          <w:rFonts w:ascii="宋体" w:hAnsi="宋体" w:cs="宋体"/>
          <w:i/>
          <w:color w:val="auto"/>
          <w:w w:val="96"/>
          <w:kern w:val="2"/>
          <w:sz w:val="21"/>
          <w:szCs w:val="21"/>
          <w:highlight w:val="none"/>
          <w:u w:val="single"/>
          <w:lang w:val="en-US" w:eastAsia="zh-CN" w:bidi="ar-SA"/>
        </w:rPr>
        <w:t>本公司（</w:t>
      </w:r>
      <w:r>
        <w:rPr>
          <w:rFonts w:hint="eastAsia" w:ascii="宋体" w:hAnsi="宋体" w:cs="宋体"/>
          <w:i/>
          <w:color w:val="auto"/>
          <w:w w:val="96"/>
          <w:kern w:val="2"/>
          <w:sz w:val="21"/>
          <w:szCs w:val="21"/>
          <w:highlight w:val="none"/>
          <w:u w:val="single"/>
          <w:lang w:val="en-US" w:eastAsia="zh-CN" w:bidi="ar-SA"/>
        </w:rPr>
        <w:t>或</w:t>
      </w:r>
      <w:r>
        <w:rPr>
          <w:rFonts w:ascii="宋体" w:hAnsi="宋体" w:cs="宋体"/>
          <w:i/>
          <w:color w:val="auto"/>
          <w:w w:val="96"/>
          <w:kern w:val="2"/>
          <w:sz w:val="21"/>
          <w:szCs w:val="21"/>
          <w:highlight w:val="none"/>
          <w:u w:val="single"/>
          <w:lang w:val="en-US" w:eastAsia="zh-CN" w:bidi="ar-SA"/>
        </w:rPr>
        <w:t>联合体）</w:t>
      </w:r>
      <w:r>
        <w:rPr>
          <w:rFonts w:hint="eastAsia" w:ascii="宋体" w:hAnsi="宋体" w:cs="宋体"/>
          <w:i/>
          <w:color w:val="auto"/>
          <w:w w:val="96"/>
          <w:kern w:val="2"/>
          <w:sz w:val="21"/>
          <w:szCs w:val="21"/>
          <w:highlight w:val="none"/>
          <w:u w:val="single"/>
          <w:lang w:val="en-US" w:eastAsia="zh-CN" w:bidi="ar-SA"/>
        </w:rPr>
        <w:t xml:space="preserve">名称 </w:t>
      </w:r>
      <w:r>
        <w:rPr>
          <w:rFonts w:ascii="宋体" w:hAnsi="宋体" w:cs="宋体"/>
          <w:color w:val="auto"/>
          <w:sz w:val="21"/>
          <w:szCs w:val="21"/>
          <w:highlight w:val="none"/>
        </w:rPr>
        <w:t>郑重声明，根据《政府采购促进中小企业发展管理办法》（财库﹝2020﹞46号）的规定，</w:t>
      </w:r>
      <w:r>
        <w:rPr>
          <w:rFonts w:ascii="宋体" w:hAnsi="宋体" w:cs="宋体"/>
          <w:i/>
          <w:color w:val="auto"/>
          <w:w w:val="96"/>
          <w:kern w:val="2"/>
          <w:sz w:val="21"/>
          <w:szCs w:val="21"/>
          <w:highlight w:val="none"/>
          <w:u w:val="single"/>
          <w:lang w:val="en-US" w:eastAsia="zh-CN" w:bidi="ar-SA"/>
        </w:rPr>
        <w:t>本公司（</w:t>
      </w:r>
      <w:r>
        <w:rPr>
          <w:rFonts w:hint="eastAsia" w:ascii="宋体" w:hAnsi="宋体" w:cs="宋体"/>
          <w:i/>
          <w:color w:val="auto"/>
          <w:w w:val="96"/>
          <w:kern w:val="2"/>
          <w:sz w:val="21"/>
          <w:szCs w:val="21"/>
          <w:highlight w:val="none"/>
          <w:u w:val="single"/>
          <w:lang w:val="en-US" w:eastAsia="zh-CN" w:bidi="ar-SA"/>
        </w:rPr>
        <w:t>或</w:t>
      </w:r>
      <w:r>
        <w:rPr>
          <w:rFonts w:ascii="宋体" w:hAnsi="宋体" w:cs="宋体"/>
          <w:i/>
          <w:color w:val="auto"/>
          <w:w w:val="96"/>
          <w:kern w:val="2"/>
          <w:sz w:val="21"/>
          <w:szCs w:val="21"/>
          <w:highlight w:val="none"/>
          <w:u w:val="single"/>
          <w:lang w:val="en-US" w:eastAsia="zh-CN" w:bidi="ar-SA"/>
        </w:rPr>
        <w:t>联合体）</w:t>
      </w:r>
      <w:r>
        <w:rPr>
          <w:rFonts w:ascii="宋体" w:hAnsi="宋体" w:cs="宋体"/>
          <w:color w:val="auto"/>
          <w:sz w:val="21"/>
          <w:szCs w:val="21"/>
          <w:highlight w:val="none"/>
        </w:rPr>
        <w:t>参加</w:t>
      </w:r>
      <w:r>
        <w:rPr>
          <w:rFonts w:ascii="宋体" w:hAnsi="宋体" w:cs="宋体"/>
          <w:i/>
          <w:color w:val="auto"/>
          <w:w w:val="96"/>
          <w:kern w:val="2"/>
          <w:sz w:val="21"/>
          <w:szCs w:val="21"/>
          <w:highlight w:val="none"/>
          <w:u w:val="single"/>
          <w:lang w:val="en-US" w:eastAsia="zh-CN" w:bidi="ar-SA"/>
        </w:rPr>
        <w:t>（单位名称）</w:t>
      </w:r>
      <w:r>
        <w:rPr>
          <w:rFonts w:ascii="宋体" w:hAnsi="宋体" w:cs="宋体"/>
          <w:color w:val="auto"/>
          <w:sz w:val="21"/>
          <w:szCs w:val="21"/>
          <w:highlight w:val="none"/>
        </w:rPr>
        <w:t>的</w:t>
      </w:r>
      <w:r>
        <w:rPr>
          <w:rFonts w:ascii="宋体" w:hAnsi="宋体" w:cs="宋体"/>
          <w:i/>
          <w:color w:val="auto"/>
          <w:w w:val="96"/>
          <w:kern w:val="2"/>
          <w:sz w:val="21"/>
          <w:szCs w:val="21"/>
          <w:highlight w:val="none"/>
          <w:u w:val="single"/>
          <w:lang w:val="en-US" w:eastAsia="zh-CN" w:bidi="ar-SA"/>
        </w:rPr>
        <w:t>（项目名称）</w:t>
      </w:r>
      <w:r>
        <w:rPr>
          <w:rFonts w:ascii="宋体" w:hAnsi="宋体" w:cs="宋体"/>
          <w:color w:val="auto"/>
          <w:sz w:val="21"/>
          <w:szCs w:val="21"/>
          <w:highlight w:val="none"/>
        </w:rPr>
        <w:t>采购活动，</w:t>
      </w:r>
      <w:r>
        <w:rPr>
          <w:rFonts w:ascii="宋体" w:hAnsi="宋体" w:cs="宋体"/>
          <w:b/>
          <w:bCs/>
          <w:color w:val="auto"/>
          <w:sz w:val="21"/>
          <w:szCs w:val="21"/>
          <w:highlight w:val="none"/>
        </w:rPr>
        <w:t>服务全部由符合政策要求的中小企业承接。</w:t>
      </w:r>
      <w:r>
        <w:rPr>
          <w:rFonts w:ascii="宋体" w:hAnsi="宋体" w:cs="宋体"/>
          <w:color w:val="auto"/>
          <w:sz w:val="21"/>
          <w:szCs w:val="21"/>
          <w:highlight w:val="none"/>
        </w:rPr>
        <w:t>相关企业</w:t>
      </w:r>
      <w:r>
        <w:rPr>
          <w:rFonts w:ascii="宋体" w:hAnsi="宋体" w:cs="宋体"/>
          <w:color w:val="auto"/>
          <w:w w:val="95"/>
          <w:sz w:val="21"/>
          <w:szCs w:val="21"/>
          <w:highlight w:val="none"/>
        </w:rPr>
        <w:t>（含联合</w:t>
      </w:r>
      <w:r>
        <w:rPr>
          <w:rFonts w:ascii="宋体" w:hAnsi="宋体" w:cs="宋体"/>
          <w:color w:val="auto"/>
          <w:sz w:val="21"/>
          <w:szCs w:val="21"/>
          <w:highlight w:val="none"/>
        </w:rPr>
        <w:t>体中的中小企业、签订分包意向协议的中小企业）的具体情况如下：</w:t>
      </w:r>
    </w:p>
    <w:p>
      <w:pPr>
        <w:pStyle w:val="135"/>
        <w:keepNext w:val="0"/>
        <w:keepLines w:val="0"/>
        <w:pageBreakBefore w:val="0"/>
        <w:widowControl w:val="0"/>
        <w:tabs>
          <w:tab w:val="left" w:pos="1243"/>
        </w:tabs>
        <w:kinsoku/>
        <w:wordWrap/>
        <w:overflowPunct/>
        <w:topLinePunct w:val="0"/>
        <w:autoSpaceDE w:val="0"/>
        <w:autoSpaceDN w:val="0"/>
        <w:bidi w:val="0"/>
        <w:adjustRightInd w:val="0"/>
        <w:snapToGrid w:val="0"/>
        <w:spacing w:line="480" w:lineRule="exact"/>
        <w:ind w:left="19" w:right="0" w:firstLine="480" w:firstLineChars="239"/>
        <w:textAlignment w:val="auto"/>
        <w:rPr>
          <w:rFonts w:ascii="宋体" w:hAnsi="宋体" w:cs="宋体"/>
          <w:color w:val="auto"/>
          <w:sz w:val="21"/>
          <w:szCs w:val="21"/>
          <w:highlight w:val="none"/>
        </w:rPr>
      </w:pPr>
      <w:r>
        <w:rPr>
          <w:rFonts w:ascii="宋体" w:hAnsi="宋体" w:cs="宋体"/>
          <w:iCs/>
          <w:color w:val="auto"/>
          <w:w w:val="96"/>
          <w:sz w:val="21"/>
          <w:szCs w:val="21"/>
          <w:highlight w:val="none"/>
        </w:rPr>
        <w:t>1.</w:t>
      </w:r>
      <w:r>
        <w:rPr>
          <w:rFonts w:ascii="宋体" w:hAnsi="宋体" w:cs="宋体"/>
          <w:i/>
          <w:color w:val="auto"/>
          <w:w w:val="96"/>
          <w:sz w:val="21"/>
          <w:szCs w:val="21"/>
          <w:highlight w:val="none"/>
          <w:u w:val="single"/>
        </w:rPr>
        <w:t>（标的名称）</w:t>
      </w:r>
      <w:r>
        <w:rPr>
          <w:rFonts w:ascii="宋体" w:hAnsi="宋体" w:cs="宋体"/>
          <w:color w:val="auto"/>
          <w:w w:val="99"/>
          <w:sz w:val="21"/>
          <w:szCs w:val="21"/>
          <w:highlight w:val="none"/>
        </w:rPr>
        <w:t>，属于</w:t>
      </w:r>
      <w:r>
        <w:rPr>
          <w:rFonts w:ascii="宋体" w:hAnsi="宋体" w:cs="宋体"/>
          <w:i/>
          <w:color w:val="auto"/>
          <w:w w:val="96"/>
          <w:sz w:val="21"/>
          <w:szCs w:val="21"/>
          <w:highlight w:val="none"/>
        </w:rPr>
        <w:t>（</w:t>
      </w:r>
      <w:r>
        <w:rPr>
          <w:rFonts w:ascii="宋体" w:hAnsi="宋体" w:cs="宋体"/>
          <w:i/>
          <w:color w:val="auto"/>
          <w:w w:val="96"/>
          <w:sz w:val="21"/>
          <w:szCs w:val="21"/>
          <w:highlight w:val="none"/>
          <w:u w:val="single"/>
        </w:rPr>
        <w:t>采购文件中明确的所属行业）</w:t>
      </w:r>
      <w:r>
        <w:rPr>
          <w:rFonts w:ascii="宋体" w:hAnsi="宋体" w:cs="宋体"/>
          <w:color w:val="auto"/>
          <w:w w:val="99"/>
          <w:sz w:val="21"/>
          <w:szCs w:val="21"/>
          <w:highlight w:val="none"/>
        </w:rPr>
        <w:t>；承建（承接）企业为</w:t>
      </w:r>
      <w:r>
        <w:rPr>
          <w:rFonts w:ascii="宋体" w:hAnsi="宋体" w:cs="宋体"/>
          <w:i/>
          <w:color w:val="auto"/>
          <w:w w:val="96"/>
          <w:sz w:val="21"/>
          <w:szCs w:val="21"/>
          <w:highlight w:val="none"/>
          <w:u w:val="single"/>
        </w:rPr>
        <w:t>（企业名称）</w:t>
      </w:r>
      <w:r>
        <w:rPr>
          <w:rFonts w:ascii="宋体" w:hAnsi="宋体" w:cs="宋体"/>
          <w:color w:val="auto"/>
          <w:w w:val="99"/>
          <w:sz w:val="21"/>
          <w:szCs w:val="21"/>
          <w:highlight w:val="none"/>
        </w:rPr>
        <w:t>，从业人员</w:t>
      </w:r>
      <w:r>
        <w:rPr>
          <w:rFonts w:ascii="宋体" w:hAnsi="宋体" w:cs="宋体"/>
          <w:color w:val="auto"/>
          <w:w w:val="99"/>
          <w:sz w:val="21"/>
          <w:szCs w:val="21"/>
          <w:highlight w:val="none"/>
          <w:u w:val="single"/>
        </w:rPr>
        <w:t xml:space="preserve"> </w:t>
      </w:r>
      <w:r>
        <w:rPr>
          <w:rFonts w:ascii="宋体" w:hAnsi="宋体" w:cs="宋体"/>
          <w:color w:val="auto"/>
          <w:sz w:val="21"/>
          <w:szCs w:val="21"/>
          <w:highlight w:val="none"/>
          <w:u w:val="single"/>
        </w:rPr>
        <w:tab/>
      </w:r>
      <w:r>
        <w:rPr>
          <w:rFonts w:ascii="宋体" w:hAnsi="宋体" w:cs="宋体"/>
          <w:color w:val="auto"/>
          <w:sz w:val="21"/>
          <w:szCs w:val="21"/>
          <w:highlight w:val="none"/>
          <w:u w:val="single"/>
        </w:rPr>
        <w:t xml:space="preserve"> </w:t>
      </w:r>
      <w:r>
        <w:rPr>
          <w:rFonts w:ascii="宋体" w:hAnsi="宋体" w:cs="宋体"/>
          <w:color w:val="auto"/>
          <w:w w:val="99"/>
          <w:sz w:val="21"/>
          <w:szCs w:val="21"/>
          <w:highlight w:val="none"/>
        </w:rPr>
        <w:t>人，营业</w:t>
      </w:r>
      <w:r>
        <w:rPr>
          <w:rFonts w:ascii="宋体" w:hAnsi="宋体" w:cs="宋体"/>
          <w:color w:val="auto"/>
          <w:sz w:val="21"/>
          <w:szCs w:val="21"/>
          <w:highlight w:val="none"/>
        </w:rPr>
        <w:t>收入为</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ab/>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万元，资产总额为</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u w:val="single"/>
        </w:rPr>
        <w:tab/>
      </w:r>
      <w:r>
        <w:rPr>
          <w:rFonts w:ascii="宋体" w:hAnsi="宋体" w:cs="宋体"/>
          <w:color w:val="auto"/>
          <w:sz w:val="21"/>
          <w:szCs w:val="21"/>
          <w:highlight w:val="none"/>
        </w:rPr>
        <w:t>万元</w:t>
      </w:r>
      <w:r>
        <w:rPr>
          <w:rFonts w:ascii="宋体" w:hAnsi="宋体" w:cs="宋体"/>
          <w:color w:val="auto"/>
          <w:sz w:val="21"/>
          <w:szCs w:val="21"/>
          <w:highlight w:val="none"/>
          <w:vertAlign w:val="superscript"/>
        </w:rPr>
        <w:fldChar w:fldCharType="begin"/>
      </w:r>
      <w:r>
        <w:rPr>
          <w:rFonts w:ascii="宋体" w:hAnsi="宋体" w:cs="宋体"/>
          <w:color w:val="auto"/>
          <w:sz w:val="21"/>
          <w:szCs w:val="21"/>
          <w:highlight w:val="none"/>
          <w:vertAlign w:val="superscript"/>
        </w:rPr>
        <w:instrText xml:space="preserve"> HYPERLINK \l "_bookmark1" </w:instrText>
      </w:r>
      <w:r>
        <w:rPr>
          <w:rFonts w:ascii="宋体" w:hAnsi="宋体" w:cs="宋体"/>
          <w:color w:val="auto"/>
          <w:sz w:val="21"/>
          <w:szCs w:val="21"/>
          <w:highlight w:val="none"/>
          <w:vertAlign w:val="superscript"/>
        </w:rPr>
        <w:fldChar w:fldCharType="separate"/>
      </w:r>
      <w:r>
        <w:rPr>
          <w:rFonts w:ascii="宋体" w:hAnsi="宋体" w:cs="宋体"/>
          <w:color w:val="auto"/>
          <w:sz w:val="21"/>
          <w:szCs w:val="21"/>
          <w:highlight w:val="none"/>
          <w:vertAlign w:val="superscript"/>
        </w:rPr>
        <w:t>1</w:t>
      </w:r>
      <w:r>
        <w:rPr>
          <w:rFonts w:ascii="宋体" w:hAnsi="宋体" w:cs="宋体"/>
          <w:color w:val="auto"/>
          <w:sz w:val="21"/>
          <w:szCs w:val="21"/>
          <w:highlight w:val="none"/>
          <w:vertAlign w:val="superscript"/>
        </w:rPr>
        <w:fldChar w:fldCharType="end"/>
      </w:r>
      <w:r>
        <w:rPr>
          <w:rFonts w:ascii="宋体" w:hAnsi="宋体" w:cs="宋体"/>
          <w:color w:val="auto"/>
          <w:sz w:val="21"/>
          <w:szCs w:val="21"/>
          <w:highlight w:val="none"/>
        </w:rPr>
        <w:t>，属于</w:t>
      </w:r>
      <w:r>
        <w:rPr>
          <w:rFonts w:ascii="宋体" w:hAnsi="宋体" w:cs="宋体"/>
          <w:i/>
          <w:color w:val="auto"/>
          <w:w w:val="96"/>
          <w:sz w:val="21"/>
          <w:szCs w:val="21"/>
          <w:highlight w:val="none"/>
          <w:u w:val="single"/>
        </w:rPr>
        <w:t>（中型企业、小型企业、微型企业）</w:t>
      </w:r>
      <w:r>
        <w:rPr>
          <w:rFonts w:ascii="宋体" w:hAnsi="宋体" w:cs="宋体"/>
          <w:color w:val="auto"/>
          <w:w w:val="99"/>
          <w:sz w:val="21"/>
          <w:szCs w:val="21"/>
          <w:highlight w:val="none"/>
        </w:rPr>
        <w:t>；</w:t>
      </w:r>
    </w:p>
    <w:p>
      <w:pPr>
        <w:pStyle w:val="135"/>
        <w:keepNext w:val="0"/>
        <w:keepLines w:val="0"/>
        <w:pageBreakBefore w:val="0"/>
        <w:widowControl w:val="0"/>
        <w:tabs>
          <w:tab w:val="left" w:pos="1243"/>
          <w:tab w:val="left" w:pos="1806"/>
          <w:tab w:val="left" w:pos="5005"/>
          <w:tab w:val="left" w:pos="7213"/>
        </w:tabs>
        <w:kinsoku/>
        <w:wordWrap/>
        <w:overflowPunct/>
        <w:topLinePunct w:val="0"/>
        <w:autoSpaceDE w:val="0"/>
        <w:autoSpaceDN w:val="0"/>
        <w:bidi w:val="0"/>
        <w:adjustRightInd w:val="0"/>
        <w:snapToGrid w:val="0"/>
        <w:spacing w:line="480" w:lineRule="exact"/>
        <w:ind w:left="15" w:right="0" w:firstLine="478" w:firstLineChars="238"/>
        <w:jc w:val="left"/>
        <w:textAlignment w:val="auto"/>
        <w:rPr>
          <w:rFonts w:ascii="宋体" w:hAnsi="宋体" w:cs="宋体"/>
          <w:color w:val="auto"/>
          <w:sz w:val="21"/>
          <w:szCs w:val="21"/>
          <w:highlight w:val="none"/>
        </w:rPr>
      </w:pPr>
      <w:r>
        <w:rPr>
          <w:rFonts w:ascii="宋体" w:hAnsi="宋体" w:cs="宋体"/>
          <w:iCs/>
          <w:color w:val="auto"/>
          <w:w w:val="96"/>
          <w:sz w:val="21"/>
          <w:szCs w:val="21"/>
          <w:highlight w:val="none"/>
        </w:rPr>
        <w:t>2.</w:t>
      </w:r>
      <w:r>
        <w:rPr>
          <w:rFonts w:ascii="宋体" w:hAnsi="宋体" w:cs="宋体"/>
          <w:i/>
          <w:color w:val="auto"/>
          <w:w w:val="96"/>
          <w:sz w:val="21"/>
          <w:szCs w:val="21"/>
          <w:highlight w:val="none"/>
          <w:u w:val="single"/>
        </w:rPr>
        <w:t>（标的名称）</w:t>
      </w:r>
      <w:r>
        <w:rPr>
          <w:rFonts w:ascii="宋体" w:hAnsi="宋体" w:cs="宋体"/>
          <w:color w:val="auto"/>
          <w:w w:val="99"/>
          <w:sz w:val="21"/>
          <w:szCs w:val="21"/>
          <w:highlight w:val="none"/>
        </w:rPr>
        <w:t>，属于</w:t>
      </w:r>
      <w:r>
        <w:rPr>
          <w:rFonts w:ascii="宋体" w:hAnsi="宋体" w:cs="宋体"/>
          <w:i/>
          <w:color w:val="auto"/>
          <w:w w:val="96"/>
          <w:sz w:val="21"/>
          <w:szCs w:val="21"/>
          <w:highlight w:val="none"/>
        </w:rPr>
        <w:t>（</w:t>
      </w:r>
      <w:r>
        <w:rPr>
          <w:rFonts w:ascii="宋体" w:hAnsi="宋体" w:cs="宋体"/>
          <w:i/>
          <w:color w:val="auto"/>
          <w:w w:val="96"/>
          <w:sz w:val="21"/>
          <w:szCs w:val="21"/>
          <w:highlight w:val="none"/>
          <w:u w:val="single"/>
        </w:rPr>
        <w:t>采购文件中明确的所属行业）</w:t>
      </w:r>
      <w:r>
        <w:rPr>
          <w:rFonts w:ascii="宋体" w:hAnsi="宋体" w:cs="宋体"/>
          <w:color w:val="auto"/>
          <w:w w:val="99"/>
          <w:sz w:val="21"/>
          <w:szCs w:val="21"/>
          <w:highlight w:val="none"/>
        </w:rPr>
        <w:t>；承建（承接）企业为</w:t>
      </w:r>
      <w:r>
        <w:rPr>
          <w:rFonts w:ascii="宋体" w:hAnsi="宋体" w:cs="宋体"/>
          <w:i/>
          <w:color w:val="auto"/>
          <w:w w:val="96"/>
          <w:sz w:val="21"/>
          <w:szCs w:val="21"/>
          <w:highlight w:val="none"/>
          <w:u w:val="single"/>
        </w:rPr>
        <w:t>（企业名称）</w:t>
      </w:r>
      <w:r>
        <w:rPr>
          <w:rFonts w:ascii="宋体" w:hAnsi="宋体" w:cs="宋体"/>
          <w:color w:val="auto"/>
          <w:w w:val="99"/>
          <w:sz w:val="21"/>
          <w:szCs w:val="21"/>
          <w:highlight w:val="none"/>
        </w:rPr>
        <w:t>，从业人员</w:t>
      </w:r>
      <w:r>
        <w:rPr>
          <w:rFonts w:ascii="宋体" w:hAnsi="宋体" w:cs="宋体"/>
          <w:color w:val="auto"/>
          <w:w w:val="99"/>
          <w:sz w:val="21"/>
          <w:szCs w:val="21"/>
          <w:highlight w:val="none"/>
          <w:u w:val="single"/>
        </w:rPr>
        <w:t xml:space="preserve"> </w:t>
      </w:r>
      <w:r>
        <w:rPr>
          <w:rFonts w:ascii="宋体" w:hAnsi="宋体" w:cs="宋体"/>
          <w:color w:val="auto"/>
          <w:sz w:val="21"/>
          <w:szCs w:val="21"/>
          <w:highlight w:val="none"/>
          <w:u w:val="single"/>
        </w:rPr>
        <w:tab/>
      </w:r>
      <w:r>
        <w:rPr>
          <w:rFonts w:hint="eastAsia" w:ascii="宋体" w:hAnsi="宋体" w:cs="宋体"/>
          <w:color w:val="auto"/>
          <w:sz w:val="21"/>
          <w:szCs w:val="21"/>
          <w:highlight w:val="none"/>
          <w:u w:val="single"/>
          <w:lang w:val="en-US" w:eastAsia="zh-CN"/>
        </w:rPr>
        <w:t xml:space="preserve">  </w:t>
      </w:r>
      <w:r>
        <w:rPr>
          <w:rFonts w:ascii="宋体" w:hAnsi="宋体" w:cs="宋体"/>
          <w:color w:val="auto"/>
          <w:w w:val="99"/>
          <w:sz w:val="21"/>
          <w:szCs w:val="21"/>
          <w:highlight w:val="none"/>
        </w:rPr>
        <w:t>人，营业</w:t>
      </w:r>
      <w:r>
        <w:rPr>
          <w:rFonts w:ascii="宋体" w:hAnsi="宋体" w:cs="宋体"/>
          <w:color w:val="auto"/>
          <w:sz w:val="21"/>
          <w:szCs w:val="21"/>
          <w:highlight w:val="none"/>
        </w:rPr>
        <w:t>收入为</w:t>
      </w:r>
      <w:r>
        <w:rPr>
          <w:rFonts w:ascii="宋体" w:hAnsi="宋体" w:cs="宋体"/>
          <w:color w:val="auto"/>
          <w:sz w:val="21"/>
          <w:szCs w:val="21"/>
          <w:highlight w:val="none"/>
          <w:u w:val="single"/>
        </w:rPr>
        <w:t xml:space="preserve">  </w:t>
      </w:r>
      <w:r>
        <w:rPr>
          <w:rFonts w:ascii="宋体" w:hAnsi="宋体" w:cs="宋体"/>
          <w:color w:val="auto"/>
          <w:sz w:val="21"/>
          <w:szCs w:val="21"/>
          <w:highlight w:val="none"/>
          <w:u w:val="single"/>
        </w:rPr>
        <w:tab/>
      </w:r>
      <w:r>
        <w:rPr>
          <w:rFonts w:ascii="宋体" w:hAnsi="宋体" w:cs="宋体"/>
          <w:color w:val="auto"/>
          <w:sz w:val="21"/>
          <w:szCs w:val="21"/>
          <w:highlight w:val="none"/>
        </w:rPr>
        <w:t>万元，资产总额为</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万元，属于</w:t>
      </w:r>
      <w:r>
        <w:rPr>
          <w:rFonts w:ascii="宋体" w:hAnsi="宋体" w:cs="宋体"/>
          <w:i/>
          <w:color w:val="auto"/>
          <w:w w:val="96"/>
          <w:sz w:val="21"/>
          <w:szCs w:val="21"/>
          <w:highlight w:val="none"/>
          <w:u w:val="single"/>
        </w:rPr>
        <w:t>（中型</w:t>
      </w:r>
      <w:r>
        <w:rPr>
          <w:rFonts w:ascii="宋体" w:hAnsi="宋体" w:cs="宋体"/>
          <w:i/>
          <w:color w:val="auto"/>
          <w:sz w:val="21"/>
          <w:szCs w:val="21"/>
          <w:highlight w:val="none"/>
          <w:u w:val="single"/>
        </w:rPr>
        <w:t>企业、</w:t>
      </w:r>
      <w:r>
        <w:rPr>
          <w:rFonts w:ascii="宋体" w:hAnsi="宋体" w:cs="宋体"/>
          <w:i/>
          <w:color w:val="auto"/>
          <w:w w:val="96"/>
          <w:sz w:val="21"/>
          <w:szCs w:val="21"/>
          <w:highlight w:val="none"/>
          <w:u w:val="single"/>
        </w:rPr>
        <w:t>小型企业、微型企业）</w:t>
      </w:r>
      <w:r>
        <w:rPr>
          <w:rFonts w:ascii="宋体" w:hAnsi="宋体" w:cs="宋体"/>
          <w:color w:val="auto"/>
          <w:w w:val="99"/>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860" w:right="0"/>
        <w:textAlignment w:val="auto"/>
        <w:rPr>
          <w:rFonts w:ascii="宋体" w:hAnsi="宋体" w:cs="宋体"/>
          <w:color w:val="auto"/>
          <w:sz w:val="21"/>
          <w:szCs w:val="21"/>
          <w:highlight w:val="none"/>
        </w:rPr>
      </w:pPr>
      <w:r>
        <w:rPr>
          <w:rFonts w:ascii="宋体" w:hAnsi="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right="0" w:firstLine="645"/>
        <w:textAlignment w:val="auto"/>
        <w:rPr>
          <w:rFonts w:ascii="宋体" w:hAnsi="宋体" w:cs="宋体"/>
          <w:color w:val="auto"/>
          <w:sz w:val="21"/>
          <w:szCs w:val="21"/>
          <w:highlight w:val="none"/>
        </w:rPr>
      </w:pPr>
      <w:r>
        <w:rPr>
          <w:rFonts w:ascii="宋体" w:hAnsi="宋体" w:cs="宋体"/>
          <w:color w:val="auto"/>
          <w:sz w:val="21"/>
          <w:szCs w:val="21"/>
          <w:highlight w:val="none"/>
        </w:rPr>
        <w:t>以上企业，不属于大企业的分支机构，不存在控股股东为大企业的情形，也不存在与大企业的负责人为同一人的情形。</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right="0" w:firstLine="640"/>
        <w:textAlignment w:val="auto"/>
        <w:rPr>
          <w:rFonts w:ascii="宋体" w:hAnsi="宋体" w:cs="宋体"/>
          <w:color w:val="auto"/>
          <w:sz w:val="21"/>
          <w:szCs w:val="21"/>
          <w:highlight w:val="none"/>
        </w:rPr>
      </w:pPr>
      <w:r>
        <w:rPr>
          <w:rFonts w:ascii="宋体" w:hAnsi="宋体" w:cs="宋体"/>
          <w:color w:val="auto"/>
          <w:sz w:val="21"/>
          <w:szCs w:val="21"/>
          <w:highlight w:val="none"/>
        </w:rPr>
        <w:t>本企业对上述声明内容的真实性负责。如有虚假，将依法承担相应责任。</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4060" w:right="0"/>
        <w:textAlignment w:val="auto"/>
        <w:rPr>
          <w:rFonts w:ascii="宋体" w:hAnsi="宋体" w:cs="宋体"/>
          <w:color w:val="auto"/>
          <w:w w:val="99"/>
          <w:sz w:val="21"/>
          <w:szCs w:val="21"/>
          <w:highlight w:val="none"/>
        </w:rPr>
      </w:pP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4060" w:right="0"/>
        <w:textAlignment w:val="auto"/>
        <w:rPr>
          <w:rFonts w:ascii="宋体" w:hAnsi="宋体" w:cs="宋体"/>
          <w:color w:val="auto"/>
          <w:w w:val="99"/>
          <w:sz w:val="21"/>
          <w:szCs w:val="21"/>
          <w:highlight w:val="none"/>
        </w:rPr>
      </w:pP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4060" w:right="0"/>
        <w:textAlignment w:val="auto"/>
        <w:rPr>
          <w:rFonts w:ascii="宋体" w:hAnsi="宋体" w:cs="宋体"/>
          <w:color w:val="auto"/>
          <w:sz w:val="21"/>
          <w:szCs w:val="21"/>
          <w:highlight w:val="none"/>
        </w:rPr>
      </w:pPr>
      <w:r>
        <w:rPr>
          <w:rFonts w:ascii="宋体" w:hAnsi="宋体" w:cs="宋体"/>
          <w:color w:val="auto"/>
          <w:sz w:val="21"/>
          <w:szCs w:val="21"/>
          <w:highlight w:val="none"/>
        </w:rPr>
        <w:t>企业名称（盖章）：</w:t>
      </w:r>
    </w:p>
    <w:p>
      <w:pPr>
        <w:pStyle w:val="2"/>
        <w:keepNext w:val="0"/>
        <w:keepLines w:val="0"/>
        <w:pageBreakBefore w:val="0"/>
        <w:widowControl w:val="0"/>
        <w:kinsoku/>
        <w:wordWrap/>
        <w:overflowPunct/>
        <w:topLinePunct w:val="0"/>
        <w:autoSpaceDE w:val="0"/>
        <w:autoSpaceDN w:val="0"/>
        <w:bidi w:val="0"/>
        <w:adjustRightInd w:val="0"/>
        <w:snapToGrid w:val="0"/>
        <w:spacing w:after="0" w:afterLines="0" w:line="480" w:lineRule="exact"/>
        <w:ind w:left="4060" w:right="0"/>
        <w:textAlignment w:val="auto"/>
        <w:rPr>
          <w:rFonts w:ascii="宋体" w:hAnsi="宋体" w:cs="宋体"/>
          <w:color w:val="auto"/>
          <w:sz w:val="21"/>
          <w:szCs w:val="21"/>
          <w:highlight w:val="none"/>
        </w:rPr>
      </w:pPr>
      <w:r>
        <w:rPr>
          <w:rFonts w:ascii="宋体" w:hAnsi="宋体" w:cs="宋体"/>
          <w:color w:val="auto"/>
          <w:sz w:val="21"/>
          <w:szCs w:val="21"/>
          <w:highlight w:val="none"/>
        </w:rPr>
        <w:t>日期：</w:t>
      </w:r>
    </w:p>
    <w:p>
      <w:pPr>
        <w:pStyle w:val="2"/>
        <w:keepNext w:val="0"/>
        <w:keepLines w:val="0"/>
        <w:pageBreakBefore w:val="0"/>
        <w:widowControl w:val="0"/>
        <w:kinsoku/>
        <w:wordWrap/>
        <w:overflowPunct/>
        <w:topLinePunct w:val="0"/>
        <w:autoSpaceDE w:val="0"/>
        <w:autoSpaceDN w:val="0"/>
        <w:bidi w:val="0"/>
        <w:spacing w:after="0" w:afterLines="0" w:line="360" w:lineRule="auto"/>
        <w:ind w:left="4060" w:right="-54"/>
        <w:textAlignment w:val="auto"/>
        <w:rPr>
          <w:rFonts w:ascii="宋体" w:hAnsi="宋体" w:cs="宋体"/>
          <w:color w:val="auto"/>
          <w:sz w:val="21"/>
          <w:szCs w:val="21"/>
          <w:highlight w:val="none"/>
        </w:rPr>
      </w:pP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cs="宋体"/>
          <w:color w:val="auto"/>
          <w:sz w:val="21"/>
          <w:szCs w:val="21"/>
          <w:highlight w:val="none"/>
          <w:lang w:val="zh-CN"/>
        </w:rPr>
      </w:pPr>
    </w:p>
    <w:p>
      <w:pPr>
        <w:keepNext w:val="0"/>
        <w:keepLines w:val="0"/>
        <w:pageBreakBefore w:val="0"/>
        <w:widowControl w:val="0"/>
        <w:kinsoku/>
        <w:wordWrap/>
        <w:overflowPunct/>
        <w:topLinePunct w:val="0"/>
        <w:bidi w:val="0"/>
        <w:snapToGrid w:val="0"/>
        <w:spacing w:line="360" w:lineRule="auto"/>
        <w:textAlignment w:val="auto"/>
        <w:rPr>
          <w:rFonts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rPr>
        <w:t>本项目所属行业见前附表。</w:t>
      </w:r>
    </w:p>
    <w:p>
      <w:pPr>
        <w:keepNext w:val="0"/>
        <w:keepLines w:val="0"/>
        <w:pageBreakBefore w:val="0"/>
        <w:widowControl w:val="0"/>
        <w:kinsoku/>
        <w:wordWrap/>
        <w:overflowPunct/>
        <w:topLinePunct w:val="0"/>
        <w:autoSpaceDE/>
        <w:autoSpaceDN/>
        <w:bidi w:val="0"/>
        <w:adjustRightInd w:val="0"/>
        <w:snapToGrid w:val="0"/>
        <w:spacing w:line="360" w:lineRule="auto"/>
        <w:ind w:left="0"/>
        <w:jc w:val="lef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ascii="宋体" w:hAnsi="宋体" w:cs="宋体"/>
          <w:b/>
          <w:bCs/>
          <w:color w:val="auto"/>
          <w:sz w:val="21"/>
          <w:szCs w:val="21"/>
          <w:highlight w:val="none"/>
        </w:rPr>
        <w:t>中小企业划型标准规定（工信部联企业[2011]300号）附后。</w:t>
      </w:r>
    </w:p>
    <w:p>
      <w:pPr>
        <w:pStyle w:val="2"/>
        <w:rPr>
          <w:rFonts w:ascii="宋体" w:hAnsi="宋体" w:cs="宋体"/>
          <w:b/>
          <w:bCs/>
          <w:color w:val="auto"/>
          <w:sz w:val="21"/>
          <w:szCs w:val="21"/>
          <w:highlight w:val="none"/>
        </w:rPr>
      </w:pPr>
    </w:p>
    <w:p>
      <w:pPr>
        <w:pStyle w:val="2"/>
        <w:rPr>
          <w:rFonts w:ascii="宋体" w:hAnsi="宋体" w:cs="宋体"/>
          <w:b/>
          <w:bCs/>
          <w:color w:val="auto"/>
          <w:sz w:val="21"/>
          <w:szCs w:val="21"/>
          <w:highlight w:val="none"/>
        </w:rPr>
      </w:pPr>
    </w:p>
    <w:p>
      <w:pPr>
        <w:pStyle w:val="2"/>
        <w:rPr>
          <w:rFonts w:ascii="宋体" w:hAnsi="宋体" w:cs="宋体"/>
          <w:b/>
          <w:bCs/>
          <w:color w:val="auto"/>
          <w:sz w:val="21"/>
          <w:szCs w:val="21"/>
          <w:highlight w:val="none"/>
        </w:rPr>
      </w:pPr>
    </w:p>
    <w:p>
      <w:pPr>
        <w:pStyle w:val="2"/>
        <w:rPr>
          <w:rFonts w:ascii="宋体" w:hAnsi="宋体" w:cs="宋体"/>
          <w:b/>
          <w:bCs/>
          <w:color w:val="auto"/>
          <w:sz w:val="21"/>
          <w:szCs w:val="21"/>
          <w:highlight w:val="none"/>
        </w:rPr>
      </w:pPr>
    </w:p>
    <w:p>
      <w:pPr>
        <w:pStyle w:val="2"/>
        <w:jc w:val="left"/>
        <w:rPr>
          <w:rFonts w:ascii="宋体" w:hAnsi="宋体" w:cs="宋体"/>
          <w:b/>
          <w:bCs/>
          <w:color w:val="auto"/>
          <w:sz w:val="21"/>
          <w:szCs w:val="21"/>
          <w:highlight w:val="none"/>
        </w:rPr>
        <w:sectPr>
          <w:headerReference r:id="rId7" w:type="default"/>
          <w:footerReference r:id="rId8" w:type="default"/>
          <w:pgSz w:w="11905" w:h="16838"/>
          <w:pgMar w:top="1247" w:right="1531" w:bottom="1304" w:left="1531" w:header="850" w:footer="850" w:gutter="0"/>
          <w:paperSrc/>
          <w:pgBorders>
            <w:top w:val="none" w:sz="0" w:space="0"/>
            <w:left w:val="none" w:sz="0" w:space="0"/>
            <w:bottom w:val="none" w:sz="0" w:space="0"/>
            <w:right w:val="none" w:sz="0" w:space="0"/>
          </w:pgBorders>
          <w:cols w:space="720" w:num="1"/>
          <w:titlePg/>
          <w:rtlGutter w:val="0"/>
          <w:docGrid w:linePitch="312" w:charSpace="0"/>
        </w:sectPr>
      </w:pPr>
    </w:p>
    <w:p>
      <w:pPr>
        <w:pStyle w:val="2"/>
        <w:jc w:val="left"/>
        <w:rPr>
          <w:rFonts w:ascii="宋体" w:hAnsi="宋体" w:cs="宋体"/>
          <w:b/>
          <w:bCs/>
          <w:color w:val="auto"/>
          <w:sz w:val="21"/>
          <w:szCs w:val="21"/>
          <w:highlight w:val="none"/>
        </w:rPr>
      </w:pPr>
      <w:r>
        <w:rPr>
          <w:color w:val="auto"/>
          <w:highlight w:val="none"/>
        </w:rPr>
        <w:drawing>
          <wp:inline distT="0" distB="0" distL="114300" distR="114300">
            <wp:extent cx="9091295" cy="5498465"/>
            <wp:effectExtent l="0" t="0" r="14605" b="698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9091295" cy="5498465"/>
                    </a:xfrm>
                    <a:prstGeom prst="rect">
                      <a:avLst/>
                    </a:prstGeom>
                    <a:noFill/>
                    <a:ln>
                      <a:noFill/>
                    </a:ln>
                  </pic:spPr>
                </pic:pic>
              </a:graphicData>
            </a:graphic>
          </wp:inline>
        </w:drawing>
      </w:r>
    </w:p>
    <w:p>
      <w:pPr>
        <w:pStyle w:val="2"/>
        <w:jc w:val="left"/>
        <w:rPr>
          <w:rFonts w:ascii="宋体" w:hAnsi="宋体" w:cs="宋体"/>
          <w:b/>
          <w:bCs/>
          <w:color w:val="auto"/>
          <w:sz w:val="21"/>
          <w:szCs w:val="21"/>
          <w:highlight w:val="none"/>
        </w:rPr>
        <w:sectPr>
          <w:pgSz w:w="16838" w:h="11905" w:orient="landscape"/>
          <w:pgMar w:top="1531" w:right="1247" w:bottom="1531" w:left="1304" w:header="850" w:footer="850" w:gutter="0"/>
          <w:paperSrc/>
          <w:pgBorders>
            <w:top w:val="none" w:sz="0" w:space="0"/>
            <w:left w:val="none" w:sz="0" w:space="0"/>
            <w:bottom w:val="none" w:sz="0" w:space="0"/>
            <w:right w:val="none" w:sz="0" w:space="0"/>
          </w:pgBorders>
          <w:cols w:space="720" w:num="1"/>
          <w:titlePg/>
          <w:rtlGutter w:val="0"/>
          <w:docGrid w:linePitch="312" w:charSpace="0"/>
        </w:sectPr>
      </w:pPr>
    </w:p>
    <w:p>
      <w:pPr>
        <w:widowControl/>
        <w:snapToGrid w:val="0"/>
        <w:spacing w:line="440" w:lineRule="exact"/>
        <w:jc w:val="left"/>
        <w:outlineLvl w:val="1"/>
        <w:rPr>
          <w:rFonts w:hint="eastAsia" w:ascii="宋体" w:hAnsi="宋体" w:cs="宋体"/>
          <w:b/>
          <w:color w:val="000000"/>
          <w:szCs w:val="21"/>
        </w:rPr>
      </w:pPr>
      <w:r>
        <w:rPr>
          <w:rFonts w:hint="eastAsia" w:ascii="宋体" w:hAnsi="宋体" w:cs="宋体"/>
          <w:b/>
          <w:bCs/>
          <w:color w:val="000000"/>
          <w:szCs w:val="21"/>
          <w:lang w:val="en-US" w:eastAsia="zh-CN"/>
        </w:rPr>
        <w:t>15</w:t>
      </w:r>
      <w:r>
        <w:rPr>
          <w:rFonts w:hint="eastAsia" w:ascii="宋体" w:hAnsi="宋体" w:cs="宋体"/>
          <w:b/>
          <w:bCs/>
          <w:color w:val="000000"/>
          <w:szCs w:val="21"/>
        </w:rPr>
        <w:t>、残疾人福利性单位声明函</w:t>
      </w:r>
      <w:bookmarkEnd w:id="224"/>
      <w:bookmarkEnd w:id="225"/>
      <w:bookmarkEnd w:id="226"/>
      <w:bookmarkEnd w:id="227"/>
      <w:bookmarkEnd w:id="228"/>
    </w:p>
    <w:p>
      <w:pPr>
        <w:snapToGrid w:val="0"/>
        <w:spacing w:line="440" w:lineRule="exact"/>
        <w:jc w:val="center"/>
        <w:rPr>
          <w:rFonts w:hint="eastAsia" w:ascii="宋体" w:hAnsi="宋体" w:cs="宋体"/>
          <w:b/>
          <w:color w:val="000000"/>
          <w:szCs w:val="21"/>
        </w:rPr>
      </w:pPr>
      <w:r>
        <w:rPr>
          <w:rFonts w:hint="eastAsia" w:ascii="宋体" w:hAnsi="宋体" w:cs="宋体"/>
          <w:b/>
          <w:color w:val="000000"/>
          <w:szCs w:val="21"/>
        </w:rPr>
        <w:t>残疾人福利性单位声明函</w:t>
      </w:r>
    </w:p>
    <w:p>
      <w:pPr>
        <w:snapToGrid w:val="0"/>
        <w:spacing w:line="440" w:lineRule="exact"/>
        <w:ind w:firstLine="446" w:firstLineChars="200"/>
        <w:jc w:val="center"/>
        <w:rPr>
          <w:rFonts w:hint="eastAsia" w:ascii="宋体" w:hAnsi="宋体" w:cs="宋体"/>
          <w:b/>
          <w:color w:val="000000"/>
          <w:spacing w:val="6"/>
          <w:szCs w:val="21"/>
        </w:rPr>
      </w:pPr>
      <w:r>
        <w:rPr>
          <w:rFonts w:hint="eastAsia" w:ascii="宋体" w:hAnsi="宋体" w:cs="宋体"/>
          <w:b/>
          <w:color w:val="000000"/>
          <w:spacing w:val="6"/>
          <w:szCs w:val="21"/>
        </w:rPr>
        <w:t>（投标人如不是残疾人福利性单位可以不用提供此表格）</w:t>
      </w:r>
    </w:p>
    <w:p>
      <w:pPr>
        <w:snapToGrid w:val="0"/>
        <w:spacing w:line="440" w:lineRule="exact"/>
        <w:rPr>
          <w:rFonts w:hint="eastAsia" w:ascii="宋体" w:hAnsi="宋体" w:cs="宋体"/>
          <w:b/>
          <w:color w:val="000000"/>
          <w:spacing w:val="6"/>
          <w:szCs w:val="21"/>
        </w:rPr>
      </w:pPr>
    </w:p>
    <w:p>
      <w:pPr>
        <w:snapToGrid w:val="0"/>
        <w:spacing w:line="440" w:lineRule="exact"/>
        <w:ind w:firstLine="444" w:firstLineChars="200"/>
        <w:rPr>
          <w:rFonts w:hint="eastAsia" w:ascii="宋体" w:hAnsi="宋体" w:cs="宋体"/>
          <w:color w:val="000000"/>
          <w:spacing w:val="6"/>
          <w:szCs w:val="21"/>
        </w:rPr>
      </w:pPr>
      <w:r>
        <w:rPr>
          <w:rFonts w:hint="eastAsia" w:ascii="宋体" w:hAnsi="宋体" w:cs="宋体"/>
          <w:color w:val="000000"/>
          <w:spacing w:val="6"/>
          <w:szCs w:val="21"/>
        </w:rPr>
        <w:t>本单位郑重声明，根据《财政部 民政部 中国残疾人联合会关于促进残疾人就业政府采购政策的通知》（财库</w:t>
      </w:r>
      <w:r>
        <w:rPr>
          <w:rFonts w:hint="eastAsia" w:ascii="宋体" w:hAnsi="宋体" w:cs="宋体"/>
          <w:color w:val="000000"/>
          <w:szCs w:val="21"/>
        </w:rPr>
        <w:t>〔2017〕 141</w:t>
      </w:r>
      <w:r>
        <w:rPr>
          <w:rFonts w:hint="eastAsia" w:ascii="宋体" w:hAnsi="宋体" w:cs="宋体"/>
          <w:color w:val="000000"/>
          <w:spacing w:val="6"/>
          <w:szCs w:val="21"/>
        </w:rPr>
        <w:t>号）的规定，本单位为符合条件的残疾人福利性单位，且本单位参加</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单位（采购人）的</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440" w:lineRule="exact"/>
        <w:ind w:firstLine="444" w:firstLineChars="200"/>
        <w:rPr>
          <w:rFonts w:hint="eastAsia" w:ascii="宋体" w:hAnsi="宋体" w:cs="宋体"/>
          <w:color w:val="000000"/>
          <w:spacing w:val="6"/>
          <w:szCs w:val="21"/>
        </w:rPr>
      </w:pPr>
      <w:r>
        <w:rPr>
          <w:rFonts w:hint="eastAsia" w:ascii="宋体" w:hAnsi="宋体" w:cs="宋体"/>
          <w:color w:val="000000"/>
          <w:spacing w:val="6"/>
          <w:szCs w:val="21"/>
        </w:rPr>
        <w:t>本单位对上述声明的真实性负责。如有虚假，将依法承担相应责任。</w:t>
      </w:r>
    </w:p>
    <w:p>
      <w:pPr>
        <w:snapToGrid w:val="0"/>
        <w:spacing w:line="440" w:lineRule="exact"/>
        <w:ind w:firstLine="444" w:firstLineChars="200"/>
        <w:rPr>
          <w:rFonts w:hint="eastAsia" w:ascii="宋体" w:hAnsi="宋体" w:cs="宋体"/>
          <w:color w:val="000000"/>
          <w:spacing w:val="6"/>
          <w:szCs w:val="21"/>
        </w:rPr>
      </w:pPr>
    </w:p>
    <w:p>
      <w:pPr>
        <w:wordWrap w:val="0"/>
        <w:snapToGrid w:val="0"/>
        <w:spacing w:line="440" w:lineRule="exact"/>
        <w:jc w:val="right"/>
        <w:rPr>
          <w:rFonts w:hint="eastAsia" w:ascii="宋体" w:hAnsi="宋体" w:cs="宋体"/>
          <w:snapToGrid w:val="0"/>
          <w:color w:val="000000"/>
          <w:kern w:val="0"/>
          <w:szCs w:val="21"/>
        </w:rPr>
      </w:pPr>
      <w:r>
        <w:rPr>
          <w:rFonts w:hint="eastAsia" w:ascii="宋体" w:hAnsi="宋体" w:cs="宋体"/>
          <w:snapToGrid w:val="0"/>
          <w:color w:val="000000"/>
          <w:kern w:val="0"/>
          <w:szCs w:val="21"/>
        </w:rPr>
        <w:t xml:space="preserve">投标人名称（盖章）：                                   </w:t>
      </w:r>
    </w:p>
    <w:p>
      <w:pPr>
        <w:wordWrap w:val="0"/>
        <w:snapToGrid w:val="0"/>
        <w:spacing w:line="440" w:lineRule="exact"/>
        <w:jc w:val="right"/>
        <w:rPr>
          <w:rFonts w:hint="eastAsia" w:ascii="宋体" w:hAnsi="宋体" w:cs="宋体"/>
          <w:snapToGrid w:val="0"/>
          <w:color w:val="000000"/>
          <w:kern w:val="0"/>
          <w:szCs w:val="21"/>
        </w:rPr>
      </w:pPr>
      <w:r>
        <w:rPr>
          <w:rFonts w:hint="eastAsia" w:ascii="宋体" w:hAnsi="宋体" w:cs="宋体"/>
          <w:snapToGrid w:val="0"/>
          <w:color w:val="000000"/>
          <w:kern w:val="0"/>
          <w:szCs w:val="21"/>
        </w:rPr>
        <w:t xml:space="preserve">法定代表人或其委托代理人（签字或盖章）：               </w:t>
      </w:r>
    </w:p>
    <w:p>
      <w:pPr>
        <w:wordWrap w:val="0"/>
        <w:snapToGrid w:val="0"/>
        <w:spacing w:line="440" w:lineRule="exact"/>
        <w:jc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 xml:space="preserve"> </w:t>
      </w:r>
      <w:r>
        <w:rPr>
          <w:rFonts w:hint="eastAsia" w:ascii="宋体" w:hAnsi="宋体" w:cs="宋体"/>
          <w:snapToGrid w:val="0"/>
          <w:color w:val="000000"/>
          <w:kern w:val="0"/>
          <w:szCs w:val="21"/>
        </w:rPr>
        <w:t>日期：</w:t>
      </w:r>
    </w:p>
    <w:p>
      <w:pPr>
        <w:snapToGrid w:val="0"/>
        <w:spacing w:line="440" w:lineRule="exact"/>
        <w:jc w:val="right"/>
        <w:rPr>
          <w:rFonts w:hint="eastAsia" w:ascii="宋体" w:hAnsi="宋体" w:cs="宋体"/>
          <w:color w:val="000000"/>
          <w:szCs w:val="21"/>
        </w:rPr>
      </w:pPr>
    </w:p>
    <w:p>
      <w:pPr>
        <w:jc w:val="both"/>
        <w:rPr>
          <w:rFonts w:ascii="宋体"/>
          <w:b/>
          <w:sz w:val="32"/>
          <w:szCs w:val="32"/>
        </w:rPr>
      </w:pPr>
      <w:bookmarkStart w:id="229" w:name="_Toc27481"/>
      <w:r>
        <w:rPr>
          <w:rFonts w:hint="eastAsia" w:ascii="宋体" w:hAnsi="宋体"/>
          <w:b/>
          <w:color w:val="000000"/>
          <w:kern w:val="2"/>
          <w:sz w:val="28"/>
          <w:szCs w:val="28"/>
          <w:lang w:bidi="ar"/>
        </w:rPr>
        <w:br w:type="page"/>
      </w:r>
      <w:r>
        <w:rPr>
          <w:rFonts w:hint="eastAsia" w:ascii="宋体" w:hAnsi="宋体"/>
          <w:b/>
          <w:color w:val="000000"/>
          <w:kern w:val="2"/>
          <w:sz w:val="28"/>
          <w:szCs w:val="28"/>
          <w:lang w:bidi="ar"/>
        </w:rPr>
        <w:t xml:space="preserve">附件 </w:t>
      </w:r>
      <w:bookmarkEnd w:id="229"/>
      <w:r>
        <w:rPr>
          <w:rFonts w:hint="eastAsia" w:ascii="宋体" w:hAnsi="宋体"/>
          <w:b/>
          <w:sz w:val="32"/>
          <w:szCs w:val="32"/>
        </w:rPr>
        <w:t>其它相关内容</w:t>
      </w:r>
    </w:p>
    <w:p>
      <w:pPr>
        <w:jc w:val="center"/>
        <w:rPr>
          <w:rFonts w:ascii="宋体"/>
          <w:b/>
          <w:sz w:val="32"/>
          <w:szCs w:val="32"/>
        </w:rPr>
      </w:pPr>
    </w:p>
    <w:p>
      <w:pPr>
        <w:spacing w:line="440" w:lineRule="exact"/>
        <w:ind w:firstLine="561"/>
        <w:jc w:val="center"/>
        <w:outlineLvl w:val="0"/>
        <w:rPr>
          <w:rFonts w:ascii="宋体"/>
          <w:sz w:val="24"/>
          <w:szCs w:val="24"/>
        </w:rPr>
      </w:pPr>
      <w:r>
        <w:rPr>
          <w:rFonts w:hint="eastAsia" w:ascii="宋体" w:hAnsi="宋体"/>
          <w:b/>
          <w:sz w:val="24"/>
          <w:szCs w:val="24"/>
        </w:rPr>
        <w:t>一、《鄞州区</w:t>
      </w:r>
      <w:r>
        <w:rPr>
          <w:rFonts w:hint="eastAsia" w:ascii="宋体" w:hAnsi="宋体"/>
          <w:b/>
          <w:bCs/>
          <w:sz w:val="24"/>
          <w:szCs w:val="24"/>
        </w:rPr>
        <w:t>加强政府采购售后服务、质量管理须知</w:t>
      </w:r>
      <w:r>
        <w:rPr>
          <w:rFonts w:hint="eastAsia" w:ascii="宋体" w:hAnsi="宋体"/>
          <w:b/>
          <w:sz w:val="24"/>
          <w:szCs w:val="24"/>
        </w:rPr>
        <w:t>》</w:t>
      </w:r>
    </w:p>
    <w:p>
      <w:pPr>
        <w:spacing w:line="440" w:lineRule="exact"/>
        <w:ind w:firstLine="420" w:firstLineChars="200"/>
        <w:rPr>
          <w:rFonts w:ascii="宋体"/>
          <w:szCs w:val="21"/>
        </w:rPr>
      </w:pPr>
      <w:r>
        <w:rPr>
          <w:rFonts w:hint="eastAsia" w:ascii="宋体" w:hAnsi="宋体"/>
          <w:szCs w:val="21"/>
        </w:rPr>
        <w:t>本招标文件就有关政府采购合同履行、质量及服务事项告知如下：</w:t>
      </w:r>
    </w:p>
    <w:p>
      <w:pPr>
        <w:spacing w:line="440" w:lineRule="exact"/>
        <w:ind w:firstLine="420" w:firstLineChars="200"/>
        <w:rPr>
          <w:rFonts w:ascii="宋体"/>
          <w:szCs w:val="21"/>
        </w:rPr>
      </w:pPr>
      <w:r>
        <w:rPr>
          <w:rFonts w:hint="eastAsia" w:ascii="宋体" w:hAnsi="宋体"/>
          <w:szCs w:val="21"/>
        </w:rPr>
        <w:t>一、政府采购售后服务联系须知</w:t>
      </w:r>
    </w:p>
    <w:p>
      <w:pPr>
        <w:spacing w:line="440" w:lineRule="exact"/>
        <w:ind w:firstLine="404" w:firstLineChars="200"/>
        <w:rPr>
          <w:rFonts w:ascii="宋体" w:hAnsi="宋体"/>
          <w:spacing w:val="-4"/>
          <w:szCs w:val="21"/>
        </w:rPr>
      </w:pPr>
      <w:r>
        <w:rPr>
          <w:rFonts w:hint="eastAsia" w:ascii="宋体" w:hAnsi="宋体"/>
          <w:spacing w:val="-4"/>
          <w:szCs w:val="21"/>
        </w:rPr>
        <w:t>《鄞州区政府采购售后服务联系单》由鄞州区财政局采购办按统一格式制作，中标或成交供应商向招标机构或采购办领取、填写并粘贴在设备醒目位置（不适合粘贴的除外），工程和服务项目由采购单位和供应商协商解决，保证采购单位在遇到售后服务问题时能及时便利与供应商联系。</w:t>
      </w:r>
    </w:p>
    <w:p>
      <w:pPr>
        <w:spacing w:line="440" w:lineRule="exact"/>
        <w:ind w:firstLine="420" w:firstLineChars="200"/>
        <w:rPr>
          <w:rFonts w:ascii="宋体"/>
          <w:szCs w:val="21"/>
        </w:rPr>
      </w:pPr>
      <w:r>
        <w:rPr>
          <w:rFonts w:hint="eastAsia" w:ascii="宋体" w:hAnsi="宋体"/>
          <w:szCs w:val="21"/>
        </w:rPr>
        <w:t>二、政府采购质量跟踪和检查须知</w:t>
      </w:r>
    </w:p>
    <w:p>
      <w:pPr>
        <w:spacing w:line="440" w:lineRule="exact"/>
        <w:ind w:firstLine="420" w:firstLineChars="200"/>
        <w:rPr>
          <w:rFonts w:ascii="宋体"/>
          <w:szCs w:val="21"/>
        </w:rPr>
      </w:pPr>
      <w:r>
        <w:rPr>
          <w:rFonts w:hint="eastAsia" w:ascii="宋体" w:hAnsi="宋体"/>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pPr>
        <w:spacing w:line="440" w:lineRule="exact"/>
        <w:ind w:firstLine="420" w:firstLineChars="200"/>
        <w:rPr>
          <w:rFonts w:ascii="宋体"/>
          <w:szCs w:val="21"/>
        </w:rPr>
      </w:pPr>
      <w:r>
        <w:rPr>
          <w:rFonts w:hint="eastAsia" w:ascii="宋体" w:hAnsi="宋体"/>
          <w:szCs w:val="21"/>
        </w:rPr>
        <w:t>三、对全区货物类项目按下列四种情况由鄞州区质量技术监督检测中心（以下简称“检测中心”）进行验收，</w:t>
      </w:r>
      <w:r>
        <w:rPr>
          <w:rFonts w:hint="eastAsia" w:ascii="宋体" w:hAnsi="宋体"/>
          <w:bCs/>
          <w:szCs w:val="21"/>
        </w:rPr>
        <w:t>中标人不承担验收费用（属于国家强制性规定由专业检测机构检测的商品和采购文件另有规定的费用除外），但</w:t>
      </w:r>
      <w:r>
        <w:rPr>
          <w:rFonts w:ascii="宋体" w:hAnsi="宋体"/>
          <w:bCs/>
          <w:szCs w:val="21"/>
        </w:rPr>
        <w:t>(1)</w:t>
      </w:r>
      <w:r>
        <w:rPr>
          <w:rFonts w:hint="eastAsia" w:ascii="宋体" w:hAnsi="宋体"/>
          <w:bCs/>
          <w:szCs w:val="21"/>
        </w:rPr>
        <w:t>第一次被</w:t>
      </w:r>
      <w:r>
        <w:rPr>
          <w:rFonts w:hint="eastAsia" w:ascii="宋体" w:hAnsi="宋体"/>
          <w:szCs w:val="21"/>
        </w:rPr>
        <w:t>验收为不合格后要求再次验收的</w:t>
      </w:r>
      <w:r>
        <w:rPr>
          <w:rFonts w:hint="eastAsia" w:ascii="宋体" w:hAnsi="宋体"/>
          <w:bCs/>
          <w:szCs w:val="21"/>
        </w:rPr>
        <w:t>验收费用由中标人承担；</w:t>
      </w:r>
      <w:r>
        <w:rPr>
          <w:rFonts w:ascii="宋体" w:hAnsi="宋体"/>
          <w:bCs/>
          <w:szCs w:val="21"/>
        </w:rPr>
        <w:t xml:space="preserve"> (2)</w:t>
      </w:r>
      <w:r>
        <w:rPr>
          <w:rFonts w:hint="eastAsia" w:ascii="宋体" w:hAnsi="宋体"/>
          <w:bCs/>
          <w:szCs w:val="21"/>
        </w:rPr>
        <w:t>有争议的采购项目的测试造成的损失，按照《中华人民共和国合同法》的相关条款处理。</w:t>
      </w:r>
    </w:p>
    <w:p>
      <w:pPr>
        <w:spacing w:line="440" w:lineRule="exact"/>
        <w:ind w:firstLine="621" w:firstLineChars="296"/>
        <w:rPr>
          <w:rFonts w:ascii="宋体"/>
          <w:szCs w:val="21"/>
        </w:rPr>
      </w:pPr>
      <w:r>
        <w:rPr>
          <w:rFonts w:ascii="宋体" w:hAnsi="宋体"/>
          <w:bCs/>
          <w:szCs w:val="21"/>
        </w:rPr>
        <w:t>1</w:t>
      </w:r>
      <w:r>
        <w:rPr>
          <w:rFonts w:hint="eastAsia" w:ascii="宋体" w:hAnsi="宋体"/>
          <w:bCs/>
          <w:szCs w:val="21"/>
        </w:rPr>
        <w:t>、</w:t>
      </w:r>
      <w:r>
        <w:rPr>
          <w:rFonts w:hint="eastAsia" w:ascii="宋体" w:hAnsi="宋体"/>
          <w:szCs w:val="21"/>
        </w:rPr>
        <w:t>单次采购金额</w:t>
      </w:r>
      <w:r>
        <w:rPr>
          <w:rFonts w:hint="eastAsia" w:ascii="宋体" w:hAnsi="宋体"/>
          <w:szCs w:val="21"/>
          <w:lang w:val="en-US" w:eastAsia="zh-CN"/>
        </w:rPr>
        <w:t>30</w:t>
      </w:r>
      <w:r>
        <w:rPr>
          <w:rFonts w:hint="eastAsia" w:ascii="宋体" w:hAnsi="宋体"/>
          <w:szCs w:val="21"/>
        </w:rPr>
        <w:t>万元以上（含）的货物类采购项目，由检测中心验收。</w:t>
      </w:r>
    </w:p>
    <w:p>
      <w:pPr>
        <w:spacing w:line="440" w:lineRule="exact"/>
        <w:ind w:firstLine="621" w:firstLineChars="296"/>
        <w:rPr>
          <w:rFonts w:ascii="宋体"/>
          <w:szCs w:val="21"/>
        </w:rPr>
      </w:pPr>
      <w:r>
        <w:rPr>
          <w:rFonts w:ascii="宋体" w:hAnsi="宋体"/>
          <w:bCs/>
          <w:szCs w:val="21"/>
        </w:rPr>
        <w:t>2</w:t>
      </w:r>
      <w:r>
        <w:rPr>
          <w:rFonts w:hint="eastAsia" w:ascii="宋体" w:hAnsi="宋体"/>
          <w:bCs/>
          <w:szCs w:val="21"/>
        </w:rPr>
        <w:t>、</w:t>
      </w:r>
      <w:r>
        <w:rPr>
          <w:rFonts w:hint="eastAsia" w:ascii="宋体" w:hAnsi="宋体"/>
          <w:szCs w:val="21"/>
        </w:rPr>
        <w:t>单次采购金额</w:t>
      </w:r>
      <w:r>
        <w:rPr>
          <w:rFonts w:hint="eastAsia" w:ascii="宋体" w:hAnsi="宋体"/>
          <w:szCs w:val="21"/>
          <w:lang w:val="en-US" w:eastAsia="zh-CN"/>
        </w:rPr>
        <w:t>30</w:t>
      </w:r>
      <w:r>
        <w:rPr>
          <w:rFonts w:hint="eastAsia" w:ascii="宋体" w:hAnsi="宋体"/>
          <w:szCs w:val="21"/>
        </w:rPr>
        <w:t>万元以下的货物类采购项目由采购人自行组织验收，验收结果报采购办。特殊情况下，采购办也可指定</w:t>
      </w:r>
      <w:r>
        <w:rPr>
          <w:rFonts w:hint="eastAsia" w:ascii="宋体" w:hAnsi="宋体"/>
          <w:szCs w:val="21"/>
          <w:lang w:val="en-US" w:eastAsia="zh-CN"/>
        </w:rPr>
        <w:t>30</w:t>
      </w:r>
      <w:r>
        <w:rPr>
          <w:rFonts w:hint="eastAsia" w:ascii="宋体" w:hAnsi="宋体"/>
          <w:szCs w:val="21"/>
        </w:rPr>
        <w:t>万元以下的项目由检测中心验收。</w:t>
      </w:r>
    </w:p>
    <w:p>
      <w:pPr>
        <w:spacing w:line="440" w:lineRule="exact"/>
        <w:ind w:firstLine="621" w:firstLineChars="296"/>
        <w:rPr>
          <w:rFonts w:ascii="宋体"/>
          <w:szCs w:val="21"/>
        </w:rPr>
      </w:pPr>
      <w:r>
        <w:rPr>
          <w:rFonts w:ascii="宋体" w:hAnsi="宋体"/>
          <w:bCs/>
          <w:szCs w:val="21"/>
        </w:rPr>
        <w:t>3</w:t>
      </w:r>
      <w:r>
        <w:rPr>
          <w:rFonts w:hint="eastAsia" w:ascii="宋体" w:hAnsi="宋体"/>
          <w:bCs/>
          <w:szCs w:val="21"/>
        </w:rPr>
        <w:t>、</w:t>
      </w:r>
      <w:r>
        <w:rPr>
          <w:rFonts w:hint="eastAsia" w:ascii="宋体" w:hAnsi="宋体"/>
          <w:szCs w:val="21"/>
        </w:rPr>
        <w:t>品种、技术较为复杂的单次采购金额</w:t>
      </w:r>
      <w:r>
        <w:rPr>
          <w:rFonts w:hint="eastAsia" w:ascii="宋体" w:hAnsi="宋体"/>
          <w:szCs w:val="21"/>
          <w:lang w:val="en-US" w:eastAsia="zh-CN"/>
        </w:rPr>
        <w:t>30</w:t>
      </w:r>
      <w:r>
        <w:rPr>
          <w:rFonts w:hint="eastAsia" w:ascii="宋体" w:hAnsi="宋体"/>
          <w:szCs w:val="21"/>
        </w:rPr>
        <w:t>万元以下的货物类项目，采购人也可以提出并报采购办同意由检测中心验收。</w:t>
      </w:r>
    </w:p>
    <w:p>
      <w:pPr>
        <w:spacing w:line="440" w:lineRule="exact"/>
        <w:ind w:firstLine="621" w:firstLineChars="296"/>
        <w:rPr>
          <w:rFonts w:ascii="宋体"/>
          <w:szCs w:val="21"/>
        </w:rPr>
      </w:pPr>
      <w:r>
        <w:rPr>
          <w:rFonts w:ascii="宋体" w:hAnsi="宋体"/>
          <w:bCs/>
          <w:szCs w:val="21"/>
        </w:rPr>
        <w:t>4</w:t>
      </w:r>
      <w:r>
        <w:rPr>
          <w:rFonts w:hint="eastAsia" w:ascii="宋体" w:hAnsi="宋体"/>
          <w:bCs/>
          <w:szCs w:val="21"/>
        </w:rPr>
        <w:t>、</w:t>
      </w:r>
      <w:r>
        <w:rPr>
          <w:rFonts w:hint="eastAsia" w:ascii="宋体" w:hAnsi="宋体"/>
          <w:szCs w:val="21"/>
        </w:rPr>
        <w:t>国家规定由专业机构强制检测的采购项目或已聘请专业监理公司监理的采购项目也可根据实际需要在强制检测或专业监理的基础上由检测中心验收。</w:t>
      </w:r>
    </w:p>
    <w:p>
      <w:pPr>
        <w:spacing w:line="440" w:lineRule="exact"/>
        <w:ind w:firstLine="420" w:firstLineChars="200"/>
        <w:rPr>
          <w:rFonts w:ascii="宋体"/>
          <w:szCs w:val="21"/>
        </w:rPr>
      </w:pPr>
      <w:r>
        <w:rPr>
          <w:rFonts w:hint="eastAsia" w:ascii="宋体" w:hAnsi="宋体"/>
          <w:szCs w:val="21"/>
        </w:rPr>
        <w:t>四、供应商监督管理须知</w:t>
      </w:r>
    </w:p>
    <w:p>
      <w:pPr>
        <w:spacing w:line="440" w:lineRule="exact"/>
        <w:ind w:firstLine="630" w:firstLineChars="300"/>
        <w:rPr>
          <w:rFonts w:ascii="宋体"/>
          <w:szCs w:val="21"/>
        </w:rPr>
      </w:pPr>
      <w:r>
        <w:rPr>
          <w:rFonts w:ascii="宋体" w:hAnsi="宋体"/>
          <w:szCs w:val="21"/>
        </w:rPr>
        <w:t>1</w:t>
      </w:r>
      <w:r>
        <w:rPr>
          <w:rFonts w:hint="eastAsia" w:ascii="宋体" w:hAnsi="宋体"/>
          <w:szCs w:val="21"/>
        </w:rPr>
        <w:t>、对不按规定在政府采购货物上粘贴售后服务联系单（不适合粘贴的除外）的供应商，第一次发现的由监管部门予以书面警告并责令改正；第二次发现的作为该供应商下次参加投标时的评分依据之一；</w:t>
      </w:r>
    </w:p>
    <w:p>
      <w:pPr>
        <w:spacing w:line="440" w:lineRule="exact"/>
        <w:ind w:firstLine="630" w:firstLineChars="300"/>
        <w:rPr>
          <w:rFonts w:ascii="宋体"/>
          <w:szCs w:val="21"/>
        </w:rPr>
      </w:pPr>
      <w:r>
        <w:rPr>
          <w:rFonts w:ascii="宋体" w:hAnsi="宋体"/>
          <w:szCs w:val="21"/>
        </w:rPr>
        <w:t>2</w:t>
      </w:r>
      <w:r>
        <w:rPr>
          <w:rFonts w:hint="eastAsia" w:ascii="宋体" w:hAnsi="宋体"/>
          <w:szCs w:val="21"/>
        </w:rPr>
        <w:t>、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w:t>
      </w:r>
      <w:r>
        <w:rPr>
          <w:rFonts w:ascii="宋体" w:hAnsi="宋体"/>
          <w:szCs w:val="21"/>
        </w:rPr>
        <w:t>50</w:t>
      </w:r>
      <w:r>
        <w:rPr>
          <w:rFonts w:hint="eastAsia" w:ascii="宋体" w:hAnsi="宋体"/>
          <w:szCs w:val="21"/>
        </w:rPr>
        <w:t>万元以下的在一年内禁止参加鄞州区政府采购活动；第一次发现且合同额在人民币</w:t>
      </w:r>
      <w:r>
        <w:rPr>
          <w:rFonts w:ascii="宋体" w:hAnsi="宋体"/>
          <w:szCs w:val="21"/>
        </w:rPr>
        <w:t>50</w:t>
      </w:r>
      <w:r>
        <w:rPr>
          <w:rFonts w:hint="eastAsia" w:ascii="宋体" w:hAnsi="宋体"/>
          <w:szCs w:val="21"/>
        </w:rPr>
        <w:t>万元（含）以上的在两年内禁止参加鄞州区政府采购活动；第二次发现且合同额在人民币</w:t>
      </w:r>
      <w:r>
        <w:rPr>
          <w:rFonts w:ascii="宋体" w:hAnsi="宋体"/>
          <w:szCs w:val="21"/>
        </w:rPr>
        <w:t>50</w:t>
      </w:r>
      <w:r>
        <w:rPr>
          <w:rFonts w:hint="eastAsia" w:ascii="宋体" w:hAnsi="宋体"/>
          <w:szCs w:val="21"/>
        </w:rPr>
        <w:t>万元以下的在两年内禁止参加鄞州区政府采购活动；第二次发现且合同额在人民币</w:t>
      </w:r>
      <w:r>
        <w:rPr>
          <w:rFonts w:ascii="宋体" w:hAnsi="宋体"/>
          <w:szCs w:val="21"/>
        </w:rPr>
        <w:t>50</w:t>
      </w:r>
      <w:r>
        <w:rPr>
          <w:rFonts w:hint="eastAsia" w:ascii="宋体" w:hAnsi="宋体"/>
          <w:szCs w:val="21"/>
        </w:rPr>
        <w:t>万元（含）以上的在三年内禁止参加鄞州区政府采购活动。拒不改正的除由采购单位按有关法规要求供应商按招标文件、投标承诺及政府采购合同要求供货外，将无限期禁止参加鄞州区政府采购活动。</w:t>
      </w:r>
    </w:p>
    <w:p>
      <w:pPr>
        <w:spacing w:line="440" w:lineRule="exact"/>
        <w:ind w:firstLine="630" w:firstLineChars="300"/>
        <w:rPr>
          <w:rFonts w:ascii="宋体"/>
          <w:szCs w:val="21"/>
        </w:rPr>
      </w:pPr>
      <w:r>
        <w:rPr>
          <w:rFonts w:ascii="宋体" w:hAnsi="宋体"/>
          <w:szCs w:val="21"/>
        </w:rPr>
        <w:t>3</w:t>
      </w:r>
      <w:r>
        <w:rPr>
          <w:rFonts w:hint="eastAsia" w:ascii="宋体" w:hAnsi="宋体"/>
          <w:szCs w:val="21"/>
        </w:rPr>
        <w:t>、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pPr>
        <w:spacing w:line="440" w:lineRule="exact"/>
        <w:ind w:firstLine="630" w:firstLineChars="300"/>
        <w:rPr>
          <w:rFonts w:ascii="宋体"/>
          <w:b/>
          <w:szCs w:val="21"/>
        </w:rPr>
      </w:pPr>
      <w:r>
        <w:rPr>
          <w:rFonts w:ascii="宋体" w:hAnsi="宋体"/>
          <w:szCs w:val="21"/>
        </w:rPr>
        <w:t>4</w:t>
      </w:r>
      <w:r>
        <w:rPr>
          <w:rFonts w:hint="eastAsia" w:ascii="宋体" w:hAnsi="宋体"/>
          <w:szCs w:val="21"/>
        </w:rPr>
        <w:t>、对不按招标文件、投标承诺及政府采购合同要求供货造成人身、财产损害的，应当承担民事赔偿责任；构成犯罪的，移送司法部门依法追究其刑事责任。</w:t>
      </w:r>
    </w:p>
    <w:p>
      <w:pPr>
        <w:spacing w:line="440" w:lineRule="exact"/>
        <w:rPr>
          <w:rFonts w:ascii="宋体"/>
          <w:szCs w:val="21"/>
        </w:rPr>
      </w:pPr>
    </w:p>
    <w:p>
      <w:pPr>
        <w:spacing w:line="440" w:lineRule="exact"/>
        <w:jc w:val="both"/>
        <w:rPr>
          <w:szCs w:val="21"/>
        </w:rPr>
      </w:pPr>
    </w:p>
    <w:p>
      <w:pPr>
        <w:spacing w:line="440" w:lineRule="exact"/>
        <w:jc w:val="center"/>
        <w:rPr>
          <w:b/>
          <w:sz w:val="24"/>
          <w:szCs w:val="24"/>
        </w:rPr>
      </w:pPr>
      <w:r>
        <w:rPr>
          <w:rFonts w:hint="eastAsia"/>
          <w:b/>
          <w:sz w:val="24"/>
          <w:szCs w:val="24"/>
        </w:rPr>
        <w:br w:type="page"/>
      </w:r>
      <w:r>
        <w:rPr>
          <w:rFonts w:hint="eastAsia"/>
          <w:b/>
          <w:sz w:val="24"/>
          <w:szCs w:val="24"/>
        </w:rPr>
        <w:t>二、《宁波市鄞州区政府采购供应商诚信管理办法》</w:t>
      </w:r>
    </w:p>
    <w:p>
      <w:pPr>
        <w:ind w:left="-210" w:leftChars="-100" w:firstLine="570"/>
        <w:jc w:val="center"/>
        <w:rPr>
          <w:b/>
          <w:szCs w:val="21"/>
        </w:rPr>
      </w:pPr>
    </w:p>
    <w:p>
      <w:pPr>
        <w:spacing w:line="480" w:lineRule="exact"/>
        <w:ind w:left="-210" w:leftChars="-100" w:firstLine="411" w:firstLineChars="195"/>
        <w:rPr>
          <w:szCs w:val="21"/>
        </w:rPr>
      </w:pPr>
      <w:r>
        <w:rPr>
          <w:rFonts w:hint="eastAsia"/>
          <w:b/>
          <w:szCs w:val="21"/>
        </w:rPr>
        <w:t>第一条</w:t>
      </w:r>
      <w:r>
        <w:rPr>
          <w:rFonts w:hint="eastAsia"/>
          <w:szCs w:val="21"/>
        </w:rPr>
        <w:t>为进一步规范政府采购市场秩序，促进政府采购供应商依法诚实经营和公平竞争，维护政府采购当事人合法权益，根据《中华人民共和国政府采购法》及相关法规、规章，制定本办法。</w:t>
      </w:r>
    </w:p>
    <w:p>
      <w:pPr>
        <w:spacing w:line="480" w:lineRule="exact"/>
        <w:ind w:left="-210" w:leftChars="-100" w:firstLine="422" w:firstLineChars="200"/>
        <w:rPr>
          <w:szCs w:val="21"/>
        </w:rPr>
      </w:pPr>
      <w:r>
        <w:rPr>
          <w:rFonts w:hint="eastAsia"/>
          <w:b/>
          <w:szCs w:val="21"/>
        </w:rPr>
        <w:t>第二条</w:t>
      </w:r>
      <w:r>
        <w:rPr>
          <w:rFonts w:hint="eastAsia"/>
          <w:b/>
          <w:szCs w:val="21"/>
          <w:lang w:val="en-US" w:eastAsia="zh-CN"/>
        </w:rPr>
        <w:t xml:space="preserve"> </w:t>
      </w:r>
      <w:r>
        <w:rPr>
          <w:rFonts w:hint="eastAsia"/>
          <w:szCs w:val="21"/>
        </w:rPr>
        <w:t>供应商诚信管理是指对供应商在政府采购活动中的诚信表现，进行诚信档案记录，评定诚信等级，激励诚信经营。</w:t>
      </w:r>
    </w:p>
    <w:p>
      <w:pPr>
        <w:spacing w:line="480" w:lineRule="exact"/>
        <w:ind w:left="-210" w:leftChars="-100" w:firstLine="422" w:firstLineChars="200"/>
        <w:rPr>
          <w:szCs w:val="21"/>
        </w:rPr>
      </w:pPr>
      <w:r>
        <w:rPr>
          <w:rFonts w:hint="eastAsia"/>
          <w:b/>
          <w:szCs w:val="21"/>
        </w:rPr>
        <w:t>第三条</w:t>
      </w:r>
      <w:r>
        <w:rPr>
          <w:rFonts w:hint="eastAsia"/>
          <w:b/>
          <w:szCs w:val="21"/>
          <w:lang w:val="en-US" w:eastAsia="zh-CN"/>
        </w:rPr>
        <w:t xml:space="preserve"> </w:t>
      </w:r>
      <w:r>
        <w:rPr>
          <w:rFonts w:hint="eastAsia"/>
          <w:szCs w:val="21"/>
        </w:rPr>
        <w:t>参加鄞州区政府采购活动的供应商，为政府采购供应商诚信管理对象。供应商应遵守政府采购法律和规章制度，本着诚实信用的原则参加政府采购活动。</w:t>
      </w:r>
    </w:p>
    <w:p>
      <w:pPr>
        <w:spacing w:line="480" w:lineRule="exact"/>
        <w:ind w:left="-210" w:leftChars="-100"/>
        <w:rPr>
          <w:szCs w:val="21"/>
        </w:rPr>
      </w:pPr>
      <w:r>
        <w:rPr>
          <w:rFonts w:hint="eastAsia"/>
          <w:szCs w:val="21"/>
        </w:rPr>
        <w:t>（一）遵守政府采购法律、法规和规章制度，维护政府采购市场秩序和公平竞争环境；</w:t>
      </w:r>
    </w:p>
    <w:p>
      <w:pPr>
        <w:spacing w:line="480" w:lineRule="exact"/>
        <w:ind w:left="-210" w:leftChars="-100" w:firstLine="210" w:firstLineChars="100"/>
        <w:jc w:val="left"/>
        <w:rPr>
          <w:szCs w:val="21"/>
        </w:rPr>
      </w:pPr>
      <w:r>
        <w:rPr>
          <w:rFonts w:hint="eastAsia"/>
          <w:szCs w:val="21"/>
        </w:rPr>
        <w:t>（二）依法诚信参与政府采购活动，自觉维护国家利益、社会公众利益和采购人合法权益；</w:t>
      </w:r>
    </w:p>
    <w:p>
      <w:pPr>
        <w:spacing w:line="480" w:lineRule="exact"/>
        <w:ind w:left="-210" w:leftChars="-100" w:firstLine="210" w:firstLineChars="100"/>
        <w:jc w:val="left"/>
        <w:rPr>
          <w:szCs w:val="21"/>
        </w:rPr>
      </w:pPr>
      <w:r>
        <w:rPr>
          <w:rFonts w:hint="eastAsia"/>
          <w:szCs w:val="21"/>
        </w:rPr>
        <w:t>（三）依法履行政府采购合同和政府采购活动中的各项承诺，为采购人提供符合规定质量标准的货物、工程和服务和优良的售后服务；</w:t>
      </w:r>
    </w:p>
    <w:p>
      <w:pPr>
        <w:spacing w:line="480" w:lineRule="exact"/>
        <w:ind w:left="-210" w:leftChars="-100" w:firstLine="210" w:firstLineChars="100"/>
        <w:jc w:val="left"/>
        <w:rPr>
          <w:szCs w:val="21"/>
        </w:rPr>
      </w:pPr>
      <w:r>
        <w:rPr>
          <w:rFonts w:hint="eastAsia"/>
          <w:szCs w:val="21"/>
        </w:rPr>
        <w:t>（四）依法诚信进行质疑与投诉活动；</w:t>
      </w:r>
    </w:p>
    <w:p>
      <w:pPr>
        <w:spacing w:line="480" w:lineRule="exact"/>
        <w:jc w:val="left"/>
        <w:rPr>
          <w:szCs w:val="21"/>
        </w:rPr>
      </w:pPr>
      <w:r>
        <w:rPr>
          <w:rFonts w:hint="eastAsia"/>
          <w:szCs w:val="21"/>
        </w:rPr>
        <w:t>（五）依法接受政府采购监督管理部门的监督检查。</w:t>
      </w:r>
    </w:p>
    <w:p>
      <w:pPr>
        <w:spacing w:line="480" w:lineRule="exact"/>
        <w:ind w:left="-210" w:leftChars="-100" w:firstLine="411" w:firstLineChars="195"/>
        <w:jc w:val="left"/>
        <w:rPr>
          <w:szCs w:val="21"/>
        </w:rPr>
      </w:pPr>
      <w:r>
        <w:rPr>
          <w:rFonts w:hint="eastAsia"/>
          <w:b/>
          <w:szCs w:val="21"/>
        </w:rPr>
        <w:t>第四条</w:t>
      </w:r>
      <w:r>
        <w:rPr>
          <w:rFonts w:hint="eastAsia"/>
          <w:b/>
          <w:szCs w:val="21"/>
          <w:lang w:val="en-US" w:eastAsia="zh-CN"/>
        </w:rPr>
        <w:t xml:space="preserve"> </w:t>
      </w:r>
      <w:r>
        <w:rPr>
          <w:rFonts w:hint="eastAsia"/>
          <w:szCs w:val="21"/>
        </w:rPr>
        <w:t>区共公资源交易中心、区政府采购验收办公室、区政府采购代理机构、采购人等负责收集供应商诚信资料，对不诚信行为及时登记在案，并妥善保管诚信资料，让诚信度高的供应商在招标采购活动中更具竞争优势。区财政局政府采购管理办公室对诚信记录、管理及实施情况进行督查，并组织评定信用等级。</w:t>
      </w:r>
    </w:p>
    <w:p>
      <w:pPr>
        <w:spacing w:line="480" w:lineRule="exact"/>
        <w:ind w:left="-283" w:leftChars="-135" w:firstLine="422" w:firstLineChars="200"/>
        <w:jc w:val="left"/>
        <w:rPr>
          <w:szCs w:val="21"/>
        </w:rPr>
      </w:pPr>
      <w:r>
        <w:rPr>
          <w:rFonts w:hint="eastAsia"/>
          <w:b/>
          <w:szCs w:val="21"/>
        </w:rPr>
        <w:t>第五条</w:t>
      </w:r>
      <w:r>
        <w:rPr>
          <w:rFonts w:hint="eastAsia"/>
          <w:b/>
          <w:szCs w:val="21"/>
          <w:lang w:val="en-US" w:eastAsia="zh-CN"/>
        </w:rPr>
        <w:t xml:space="preserve"> </w:t>
      </w:r>
      <w:r>
        <w:rPr>
          <w:rFonts w:hint="eastAsia"/>
          <w:szCs w:val="21"/>
        </w:rPr>
        <w:t>供应商诚信管理坚持依法、公正、客观、实效的原则、维护国家利益和社会公共利益。</w:t>
      </w:r>
    </w:p>
    <w:p>
      <w:pPr>
        <w:spacing w:line="480" w:lineRule="exact"/>
        <w:ind w:left="-283" w:leftChars="-135" w:firstLine="422" w:firstLineChars="200"/>
        <w:jc w:val="left"/>
        <w:rPr>
          <w:szCs w:val="21"/>
        </w:rPr>
      </w:pPr>
      <w:r>
        <w:rPr>
          <w:rFonts w:hint="eastAsia"/>
          <w:b/>
          <w:szCs w:val="21"/>
        </w:rPr>
        <w:t>第六条</w:t>
      </w:r>
      <w:r>
        <w:rPr>
          <w:rFonts w:hint="eastAsia"/>
          <w:b/>
          <w:szCs w:val="21"/>
          <w:lang w:val="en-US" w:eastAsia="zh-CN"/>
        </w:rPr>
        <w:t xml:space="preserve"> </w:t>
      </w:r>
      <w:r>
        <w:rPr>
          <w:rFonts w:hint="eastAsia"/>
          <w:szCs w:val="21"/>
        </w:rPr>
        <w:t>供应商诚信等级共分七级，即：一级、二级、三级、四级、五级、六级、七级，级别越高，诚信度越高。</w:t>
      </w:r>
    </w:p>
    <w:p>
      <w:pPr>
        <w:spacing w:line="480" w:lineRule="exact"/>
        <w:ind w:left="-283" w:leftChars="-135" w:firstLine="422" w:firstLineChars="200"/>
        <w:jc w:val="left"/>
        <w:rPr>
          <w:szCs w:val="21"/>
        </w:rPr>
      </w:pPr>
      <w:r>
        <w:rPr>
          <w:rFonts w:hint="eastAsia"/>
          <w:b/>
          <w:szCs w:val="21"/>
        </w:rPr>
        <w:t>第七条</w:t>
      </w:r>
      <w:r>
        <w:rPr>
          <w:rFonts w:hint="eastAsia"/>
          <w:b/>
          <w:szCs w:val="21"/>
          <w:lang w:val="en-US" w:eastAsia="zh-CN"/>
        </w:rPr>
        <w:t xml:space="preserve"> </w:t>
      </w:r>
      <w:r>
        <w:rPr>
          <w:rFonts w:hint="eastAsia"/>
          <w:szCs w:val="21"/>
        </w:rPr>
        <w:t>供应商在参加鄞州区范围内政府采购活动过程中有下列情形之一的，除按《中华人民共和国政府采购法》及相关法律法规规定进行处理外，同时记入供应商诚信档案并相应扣分（每次）。</w:t>
      </w:r>
    </w:p>
    <w:p>
      <w:pPr>
        <w:spacing w:line="480" w:lineRule="exact"/>
        <w:ind w:firstLine="105" w:firstLineChars="50"/>
        <w:jc w:val="left"/>
        <w:rPr>
          <w:szCs w:val="21"/>
        </w:rPr>
      </w:pPr>
      <w:r>
        <w:rPr>
          <w:rFonts w:hint="eastAsia"/>
          <w:szCs w:val="21"/>
        </w:rPr>
        <w:t>（一）报名后无正常理由未投标的或投标时无故迟到的（第一次扣</w:t>
      </w:r>
      <w:r>
        <w:rPr>
          <w:szCs w:val="21"/>
        </w:rPr>
        <w:t>2</w:t>
      </w:r>
      <w:r>
        <w:rPr>
          <w:rFonts w:hint="eastAsia"/>
          <w:szCs w:val="21"/>
        </w:rPr>
        <w:t>分，连续</w:t>
      </w:r>
      <w:r>
        <w:rPr>
          <w:szCs w:val="21"/>
        </w:rPr>
        <w:t>2</w:t>
      </w:r>
      <w:r>
        <w:rPr>
          <w:rFonts w:hint="eastAsia"/>
          <w:szCs w:val="21"/>
        </w:rPr>
        <w:t>次或一年内累计达到</w:t>
      </w:r>
      <w:r>
        <w:rPr>
          <w:szCs w:val="21"/>
        </w:rPr>
        <w:t>3</w:t>
      </w:r>
      <w:r>
        <w:rPr>
          <w:rFonts w:hint="eastAsia"/>
          <w:szCs w:val="21"/>
        </w:rPr>
        <w:t>次扣</w:t>
      </w:r>
      <w:r>
        <w:rPr>
          <w:szCs w:val="21"/>
        </w:rPr>
        <w:t>5</w:t>
      </w:r>
      <w:r>
        <w:rPr>
          <w:rFonts w:hint="eastAsia"/>
          <w:szCs w:val="21"/>
        </w:rPr>
        <w:t>分）；</w:t>
      </w:r>
    </w:p>
    <w:p>
      <w:pPr>
        <w:spacing w:line="480" w:lineRule="exact"/>
        <w:ind w:firstLine="105" w:firstLineChars="50"/>
        <w:jc w:val="left"/>
        <w:rPr>
          <w:szCs w:val="21"/>
        </w:rPr>
      </w:pPr>
      <w:r>
        <w:rPr>
          <w:rFonts w:hint="eastAsia"/>
          <w:szCs w:val="21"/>
        </w:rPr>
        <w:t>（二）不按规定缴纳投标保证金的（扣</w:t>
      </w:r>
      <w:r>
        <w:rPr>
          <w:szCs w:val="21"/>
        </w:rPr>
        <w:t>3</w:t>
      </w:r>
      <w:r>
        <w:rPr>
          <w:rFonts w:hint="eastAsia"/>
          <w:szCs w:val="21"/>
        </w:rPr>
        <w:t>分）；</w:t>
      </w:r>
    </w:p>
    <w:p>
      <w:pPr>
        <w:spacing w:line="480" w:lineRule="exact"/>
        <w:ind w:firstLine="105" w:firstLineChars="50"/>
        <w:jc w:val="left"/>
        <w:rPr>
          <w:szCs w:val="21"/>
        </w:rPr>
      </w:pPr>
      <w:r>
        <w:rPr>
          <w:rFonts w:hint="eastAsia"/>
          <w:szCs w:val="21"/>
        </w:rPr>
        <w:t>（三）不服从工作人员管理，扰乱开标、评标现场秩序的（扣</w:t>
      </w:r>
      <w:r>
        <w:rPr>
          <w:szCs w:val="21"/>
        </w:rPr>
        <w:t>5</w:t>
      </w:r>
      <w:r>
        <w:rPr>
          <w:rFonts w:hint="eastAsia"/>
          <w:szCs w:val="21"/>
        </w:rPr>
        <w:t>分）；</w:t>
      </w:r>
    </w:p>
    <w:p>
      <w:pPr>
        <w:spacing w:line="480" w:lineRule="exact"/>
        <w:ind w:firstLine="105" w:firstLineChars="50"/>
        <w:jc w:val="left"/>
        <w:rPr>
          <w:szCs w:val="21"/>
        </w:rPr>
      </w:pPr>
      <w:r>
        <w:rPr>
          <w:rFonts w:hint="eastAsia"/>
          <w:szCs w:val="21"/>
        </w:rPr>
        <w:t>（四）编制投标报价时，故意超过招标文件规定最高限价的（扣</w:t>
      </w:r>
      <w:r>
        <w:rPr>
          <w:szCs w:val="21"/>
        </w:rPr>
        <w:t>3</w:t>
      </w:r>
      <w:r>
        <w:rPr>
          <w:rFonts w:hint="eastAsia"/>
          <w:szCs w:val="21"/>
        </w:rPr>
        <w:t>分）；</w:t>
      </w:r>
    </w:p>
    <w:p>
      <w:pPr>
        <w:spacing w:line="480" w:lineRule="exact"/>
        <w:ind w:firstLine="105" w:firstLineChars="50"/>
        <w:jc w:val="left"/>
        <w:rPr>
          <w:szCs w:val="21"/>
        </w:rPr>
      </w:pPr>
      <w:r>
        <w:rPr>
          <w:rFonts w:hint="eastAsia"/>
          <w:szCs w:val="21"/>
        </w:rPr>
        <w:t>（五）被评委会一致认定投标文件编制特别不认真的（扣</w:t>
      </w:r>
      <w:r>
        <w:rPr>
          <w:szCs w:val="21"/>
        </w:rPr>
        <w:t>2</w:t>
      </w:r>
      <w:r>
        <w:rPr>
          <w:rFonts w:hint="eastAsia"/>
          <w:szCs w:val="21"/>
        </w:rPr>
        <w:t>分）；</w:t>
      </w:r>
    </w:p>
    <w:p>
      <w:pPr>
        <w:spacing w:line="480" w:lineRule="exact"/>
        <w:ind w:firstLine="105" w:firstLineChars="50"/>
        <w:jc w:val="left"/>
        <w:rPr>
          <w:szCs w:val="21"/>
        </w:rPr>
      </w:pPr>
      <w:r>
        <w:rPr>
          <w:rFonts w:hint="eastAsia"/>
          <w:szCs w:val="21"/>
        </w:rPr>
        <w:t>（六）不按规定程序质疑投诉的（扣</w:t>
      </w:r>
      <w:r>
        <w:rPr>
          <w:szCs w:val="21"/>
        </w:rPr>
        <w:t>5</w:t>
      </w:r>
      <w:r>
        <w:rPr>
          <w:rFonts w:hint="eastAsia"/>
          <w:szCs w:val="21"/>
        </w:rPr>
        <w:t>分）；</w:t>
      </w:r>
    </w:p>
    <w:p>
      <w:pPr>
        <w:spacing w:line="480" w:lineRule="exact"/>
        <w:ind w:firstLine="105" w:firstLineChars="50"/>
        <w:jc w:val="left"/>
        <w:rPr>
          <w:szCs w:val="21"/>
        </w:rPr>
      </w:pPr>
      <w:r>
        <w:rPr>
          <w:rFonts w:hint="eastAsia"/>
          <w:szCs w:val="21"/>
        </w:rPr>
        <w:t>（七）不按合同要求履约或提供售后服务的（扣</w:t>
      </w:r>
      <w:r>
        <w:rPr>
          <w:szCs w:val="21"/>
        </w:rPr>
        <w:t>5</w:t>
      </w:r>
      <w:r>
        <w:rPr>
          <w:rFonts w:hint="eastAsia"/>
          <w:szCs w:val="21"/>
        </w:rPr>
        <w:t>分）；</w:t>
      </w:r>
    </w:p>
    <w:p>
      <w:pPr>
        <w:spacing w:line="480" w:lineRule="exact"/>
        <w:ind w:firstLine="105" w:firstLineChars="50"/>
        <w:jc w:val="left"/>
        <w:rPr>
          <w:szCs w:val="21"/>
        </w:rPr>
      </w:pPr>
      <w:r>
        <w:rPr>
          <w:rFonts w:hint="eastAsia"/>
          <w:szCs w:val="21"/>
        </w:rPr>
        <w:t>（八）采购单位有明确依据或事实，反馈履约供应商有不诚信行为并经审核属实的（扣</w:t>
      </w:r>
      <w:r>
        <w:rPr>
          <w:szCs w:val="21"/>
        </w:rPr>
        <w:t>5</w:t>
      </w:r>
      <w:r>
        <w:rPr>
          <w:rFonts w:hint="eastAsia"/>
          <w:szCs w:val="21"/>
        </w:rPr>
        <w:t>分）；</w:t>
      </w:r>
    </w:p>
    <w:p>
      <w:pPr>
        <w:spacing w:line="480" w:lineRule="exact"/>
        <w:ind w:firstLine="105" w:firstLineChars="50"/>
        <w:jc w:val="left"/>
        <w:rPr>
          <w:szCs w:val="21"/>
        </w:rPr>
      </w:pPr>
      <w:r>
        <w:rPr>
          <w:rFonts w:hint="eastAsia"/>
          <w:szCs w:val="21"/>
        </w:rPr>
        <w:t>（九）提供虚假材料参与投标或谋取中标、成交的（扣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（十）与其他当事人恶意串通，造成不良影响的（扣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（十一）采取不正当手段诋毁、排挤其他供应商的（扣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（十二）中标后无故放弃的（扣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（十三）中标后无正当理由在规定期限内不与采购人签订合同，或签订的合同实质性内容（货物和服务）与招投标文件不一致的（扣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（十四）擅自变更、中止或者终止合同，或违法采取转包、分包方式履行政府采购合同的（扣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（十五）拒绝监督检查或者检查时提供虚假情况的（扣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（十六）虚假恶意质疑、投诉的（扣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（十七）向评标委员会、竞争性谈判小组或询价小组成员行贿或提供其他不正当利益的（扣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（十八）向招标采购单位行贿或者提供其他不正当利益的（扣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（十九）区财政局采购办、区公共资源交易中心认定的其他违反法律法规规定的不诚信行为。（扣</w:t>
      </w:r>
      <w:r>
        <w:rPr>
          <w:szCs w:val="21"/>
        </w:rPr>
        <w:t>5</w:t>
      </w:r>
      <w:r>
        <w:rPr>
          <w:rFonts w:hint="eastAsia"/>
          <w:szCs w:val="21"/>
        </w:rPr>
        <w:t>分）</w:t>
      </w:r>
    </w:p>
    <w:p>
      <w:pPr>
        <w:spacing w:line="480" w:lineRule="exact"/>
        <w:jc w:val="left"/>
        <w:rPr>
          <w:szCs w:val="21"/>
        </w:rPr>
      </w:pPr>
      <w:r>
        <w:rPr>
          <w:rFonts w:hint="eastAsia"/>
          <w:b/>
          <w:szCs w:val="21"/>
        </w:rPr>
        <w:t>第八条</w:t>
      </w:r>
      <w:r>
        <w:rPr>
          <w:rFonts w:hint="eastAsia"/>
          <w:b/>
          <w:szCs w:val="21"/>
          <w:lang w:val="en-US" w:eastAsia="zh-CN"/>
        </w:rPr>
        <w:t xml:space="preserve"> </w:t>
      </w:r>
      <w:r>
        <w:rPr>
          <w:rFonts w:hint="eastAsia"/>
          <w:szCs w:val="21"/>
        </w:rPr>
        <w:t>区财政局采购办、区公共资源交易中心根据供应商诚信记录评定供应商诚信等级。</w:t>
      </w:r>
    </w:p>
    <w:p>
      <w:pPr>
        <w:spacing w:line="480" w:lineRule="exact"/>
        <w:ind w:firstLine="105" w:firstLineChars="50"/>
        <w:jc w:val="left"/>
        <w:rPr>
          <w:szCs w:val="21"/>
        </w:rPr>
      </w:pPr>
      <w:r>
        <w:rPr>
          <w:rFonts w:hint="eastAsia"/>
          <w:szCs w:val="21"/>
        </w:rPr>
        <w:t>（一）不诚信行为记录扣分，每扣满</w:t>
      </w:r>
      <w:r>
        <w:rPr>
          <w:szCs w:val="21"/>
        </w:rPr>
        <w:t>5</w:t>
      </w:r>
      <w:r>
        <w:rPr>
          <w:rFonts w:hint="eastAsia"/>
          <w:szCs w:val="21"/>
        </w:rPr>
        <w:t>分降低供应商一级诚信等级，不足</w:t>
      </w:r>
      <w:r>
        <w:rPr>
          <w:szCs w:val="21"/>
        </w:rPr>
        <w:t>5</w:t>
      </w:r>
      <w:r>
        <w:rPr>
          <w:rFonts w:hint="eastAsia"/>
          <w:szCs w:val="21"/>
        </w:rPr>
        <w:t>分的转入下一次评定；</w:t>
      </w:r>
    </w:p>
    <w:p>
      <w:pPr>
        <w:spacing w:line="480" w:lineRule="exact"/>
        <w:ind w:firstLine="105" w:firstLineChars="50"/>
        <w:jc w:val="left"/>
        <w:rPr>
          <w:szCs w:val="21"/>
        </w:rPr>
      </w:pPr>
      <w:r>
        <w:rPr>
          <w:rFonts w:hint="eastAsia"/>
          <w:szCs w:val="21"/>
        </w:rPr>
        <w:t>（二）有严重不诚信行为并造成不良影响或后果的，或被公开批评或行政处罚的，列入不良行为记录名单，扣除诚信分</w:t>
      </w:r>
      <w:r>
        <w:rPr>
          <w:szCs w:val="21"/>
        </w:rPr>
        <w:t>10</w:t>
      </w:r>
      <w:r>
        <w:rPr>
          <w:rFonts w:hint="eastAsia"/>
          <w:szCs w:val="21"/>
        </w:rPr>
        <w:t>分，诚信等级降</w:t>
      </w:r>
      <w:r>
        <w:rPr>
          <w:szCs w:val="21"/>
        </w:rPr>
        <w:t>2</w:t>
      </w:r>
      <w:r>
        <w:rPr>
          <w:rFonts w:hint="eastAsia"/>
          <w:szCs w:val="21"/>
        </w:rPr>
        <w:t>级，并按《政府采购法》等相关规定在规定时间内禁止参加政府采购活动；</w:t>
      </w:r>
    </w:p>
    <w:p>
      <w:pPr>
        <w:spacing w:line="480" w:lineRule="exact"/>
        <w:ind w:firstLine="105" w:firstLineChars="50"/>
        <w:jc w:val="left"/>
        <w:rPr>
          <w:szCs w:val="21"/>
        </w:rPr>
      </w:pPr>
      <w:r>
        <w:rPr>
          <w:rFonts w:hint="eastAsia"/>
          <w:szCs w:val="21"/>
        </w:rPr>
        <w:t>（三）一年期满，在本区公开采购（包括公开招标、邀请招标、竞争性谈判、询价采购等）中中标价</w:t>
      </w:r>
      <w:r>
        <w:rPr>
          <w:szCs w:val="21"/>
        </w:rPr>
        <w:t>10</w:t>
      </w:r>
      <w:r>
        <w:rPr>
          <w:rFonts w:hint="eastAsia"/>
          <w:szCs w:val="21"/>
        </w:rPr>
        <w:t>万元（含）以上项目不低于</w:t>
      </w:r>
      <w:r>
        <w:rPr>
          <w:szCs w:val="21"/>
        </w:rPr>
        <w:t>8</w:t>
      </w:r>
      <w:r>
        <w:rPr>
          <w:rFonts w:hint="eastAsia"/>
          <w:szCs w:val="21"/>
          <w:u w:val="single"/>
        </w:rPr>
        <w:t>次（含）中标或</w:t>
      </w:r>
      <w:r>
        <w:rPr>
          <w:szCs w:val="21"/>
          <w:u w:val="single"/>
        </w:rPr>
        <w:t>2</w:t>
      </w:r>
      <w:r>
        <w:rPr>
          <w:rFonts w:hint="eastAsia"/>
          <w:szCs w:val="21"/>
        </w:rPr>
        <w:t>次及以上中标重大采购项目（中标金额不低于</w:t>
      </w:r>
      <w:r>
        <w:rPr>
          <w:szCs w:val="21"/>
        </w:rPr>
        <w:t>300</w:t>
      </w:r>
      <w:r>
        <w:rPr>
          <w:rFonts w:hint="eastAsia"/>
          <w:szCs w:val="21"/>
        </w:rPr>
        <w:t>万元）且后期履约质量好、服务优的，经审定后提高供应商一级诚信等级。（一个采购编号为一次，一年评定一次，年中达到上述标准的不作信用等级提升调整）</w:t>
      </w:r>
    </w:p>
    <w:p>
      <w:pPr>
        <w:spacing w:line="480" w:lineRule="exact"/>
        <w:jc w:val="left"/>
        <w:rPr>
          <w:szCs w:val="21"/>
        </w:rPr>
      </w:pPr>
      <w:r>
        <w:rPr>
          <w:rFonts w:hint="eastAsia"/>
          <w:b/>
          <w:szCs w:val="21"/>
        </w:rPr>
        <w:t>第九条</w:t>
      </w:r>
      <w:r>
        <w:rPr>
          <w:rFonts w:hint="eastAsia"/>
          <w:b/>
          <w:szCs w:val="21"/>
          <w:lang w:val="en-US" w:eastAsia="zh-CN"/>
        </w:rPr>
        <w:t xml:space="preserve"> </w:t>
      </w:r>
      <w:r>
        <w:rPr>
          <w:rFonts w:hint="eastAsia"/>
          <w:szCs w:val="21"/>
        </w:rPr>
        <w:t>采取综合评分办法评标的，在总分中根据信用等级相应加减分，每级别</w:t>
      </w:r>
      <w:r>
        <w:rPr>
          <w:szCs w:val="21"/>
        </w:rPr>
        <w:t>0.3</w:t>
      </w:r>
      <w:r>
        <w:rPr>
          <w:rFonts w:hint="eastAsia"/>
          <w:szCs w:val="21"/>
        </w:rPr>
        <w:t>分。新参与的供应商按</w:t>
      </w:r>
      <w:r>
        <w:rPr>
          <w:szCs w:val="21"/>
        </w:rPr>
        <w:t>4</w:t>
      </w:r>
      <w:r>
        <w:rPr>
          <w:rFonts w:hint="eastAsia"/>
          <w:szCs w:val="21"/>
        </w:rPr>
        <w:t>级计算，信用等级分</w:t>
      </w:r>
      <w:r>
        <w:rPr>
          <w:szCs w:val="21"/>
        </w:rPr>
        <w:t>0</w:t>
      </w:r>
      <w:r>
        <w:rPr>
          <w:rFonts w:hint="eastAsia"/>
          <w:szCs w:val="21"/>
        </w:rPr>
        <w:t>分。信用等级高于</w:t>
      </w:r>
      <w:r>
        <w:rPr>
          <w:szCs w:val="21"/>
        </w:rPr>
        <w:t>4</w:t>
      </w:r>
      <w:r>
        <w:rPr>
          <w:rFonts w:hint="eastAsia"/>
          <w:szCs w:val="21"/>
        </w:rPr>
        <w:t>级的的按相应信用等级加分，信用等级低于</w:t>
      </w:r>
      <w:r>
        <w:rPr>
          <w:szCs w:val="21"/>
        </w:rPr>
        <w:t>4</w:t>
      </w:r>
      <w:r>
        <w:rPr>
          <w:rFonts w:hint="eastAsia"/>
          <w:szCs w:val="21"/>
        </w:rPr>
        <w:t>级的按相应信用等级减分。</w:t>
      </w:r>
    </w:p>
    <w:p>
      <w:pPr>
        <w:spacing w:line="480" w:lineRule="exact"/>
        <w:ind w:firstLine="105" w:firstLineChars="50"/>
        <w:jc w:val="left"/>
        <w:rPr>
          <w:szCs w:val="21"/>
        </w:rPr>
      </w:pPr>
      <w:r>
        <w:rPr>
          <w:rFonts w:hint="eastAsia"/>
          <w:szCs w:val="21"/>
        </w:rPr>
        <w:t>采取最低评标价法评标的，按照供应商相应的诚信等级给予每级别</w:t>
      </w:r>
      <w:r>
        <w:rPr>
          <w:szCs w:val="21"/>
        </w:rPr>
        <w:t>0.3%</w:t>
      </w:r>
      <w:r>
        <w:rPr>
          <w:rFonts w:hint="eastAsia"/>
          <w:szCs w:val="21"/>
        </w:rPr>
        <w:t>的价格折扣。</w:t>
      </w:r>
    </w:p>
    <w:p>
      <w:pPr>
        <w:spacing w:line="480" w:lineRule="exact"/>
        <w:jc w:val="left"/>
        <w:rPr>
          <w:szCs w:val="21"/>
        </w:rPr>
      </w:pPr>
      <w:r>
        <w:rPr>
          <w:rFonts w:hint="eastAsia"/>
          <w:b/>
          <w:szCs w:val="21"/>
        </w:rPr>
        <w:t>第十条</w:t>
      </w:r>
      <w:r>
        <w:rPr>
          <w:rFonts w:hint="eastAsia"/>
          <w:b/>
          <w:szCs w:val="21"/>
          <w:lang w:val="en-US" w:eastAsia="zh-CN"/>
        </w:rPr>
        <w:t xml:space="preserve"> </w:t>
      </w:r>
      <w:r>
        <w:rPr>
          <w:rFonts w:hint="eastAsia"/>
          <w:szCs w:val="21"/>
        </w:rPr>
        <w:t>诚信等级低于二级的供应商不得作为协议供应商。</w:t>
      </w:r>
    </w:p>
    <w:p>
      <w:pPr>
        <w:spacing w:line="480" w:lineRule="exact"/>
        <w:jc w:val="left"/>
        <w:rPr>
          <w:szCs w:val="21"/>
        </w:rPr>
      </w:pPr>
      <w:r>
        <w:rPr>
          <w:rFonts w:hint="eastAsia"/>
          <w:b/>
          <w:szCs w:val="21"/>
        </w:rPr>
        <w:t>第十一条</w:t>
      </w:r>
      <w:r>
        <w:rPr>
          <w:rFonts w:hint="eastAsia"/>
          <w:b/>
          <w:szCs w:val="21"/>
          <w:lang w:val="en-US" w:eastAsia="zh-CN"/>
        </w:rPr>
        <w:t xml:space="preserve"> </w:t>
      </w:r>
      <w:r>
        <w:rPr>
          <w:rFonts w:hint="eastAsia"/>
          <w:szCs w:val="21"/>
        </w:rPr>
        <w:t>采购人、供应商、采购代理机构和评标专家等应及时报告政府采购活动中的违法、违规等不诚信行为，并积极配合查处。</w:t>
      </w:r>
    </w:p>
    <w:p>
      <w:pPr>
        <w:spacing w:line="480" w:lineRule="exact"/>
        <w:jc w:val="left"/>
        <w:rPr>
          <w:szCs w:val="21"/>
        </w:rPr>
      </w:pPr>
      <w:r>
        <w:rPr>
          <w:rFonts w:hint="eastAsia"/>
          <w:b/>
          <w:szCs w:val="21"/>
        </w:rPr>
        <w:t>第十二条</w:t>
      </w:r>
      <w:r>
        <w:rPr>
          <w:rFonts w:hint="eastAsia"/>
          <w:b/>
          <w:szCs w:val="21"/>
          <w:lang w:val="en-US" w:eastAsia="zh-CN"/>
        </w:rPr>
        <w:t xml:space="preserve"> </w:t>
      </w:r>
      <w:r>
        <w:rPr>
          <w:rFonts w:hint="eastAsia"/>
          <w:szCs w:val="21"/>
        </w:rPr>
        <w:t>供应商诚信等级在鄞州区财政局采购专栏、鄞州区公共资源交易中心网站等媒体上公布。</w:t>
      </w:r>
    </w:p>
    <w:p>
      <w:pPr>
        <w:spacing w:line="480" w:lineRule="exact"/>
        <w:jc w:val="left"/>
        <w:rPr>
          <w:szCs w:val="21"/>
        </w:rPr>
      </w:pPr>
      <w:r>
        <w:rPr>
          <w:rFonts w:hint="eastAsia"/>
          <w:b/>
          <w:szCs w:val="21"/>
        </w:rPr>
        <w:t>第十三条</w:t>
      </w:r>
      <w:r>
        <w:rPr>
          <w:rFonts w:hint="eastAsia"/>
          <w:b/>
          <w:szCs w:val="21"/>
          <w:lang w:val="en-US" w:eastAsia="zh-CN"/>
        </w:rPr>
        <w:t xml:space="preserve"> </w:t>
      </w:r>
      <w:r>
        <w:rPr>
          <w:rFonts w:hint="eastAsia"/>
          <w:szCs w:val="21"/>
        </w:rPr>
        <w:t>连续</w:t>
      </w:r>
      <w:r>
        <w:rPr>
          <w:szCs w:val="21"/>
        </w:rPr>
        <w:t>2</w:t>
      </w:r>
      <w:r>
        <w:rPr>
          <w:rFonts w:hint="eastAsia"/>
          <w:szCs w:val="21"/>
        </w:rPr>
        <w:t>年诚信等级不低于</w:t>
      </w:r>
      <w:r>
        <w:rPr>
          <w:szCs w:val="21"/>
        </w:rPr>
        <w:t>6</w:t>
      </w:r>
      <w:r>
        <w:rPr>
          <w:rFonts w:hint="eastAsia"/>
          <w:szCs w:val="21"/>
        </w:rPr>
        <w:t>级的供应商，授予“政府采购诚信供应商”称号。</w:t>
      </w:r>
    </w:p>
    <w:p>
      <w:pPr>
        <w:spacing w:line="480" w:lineRule="exact"/>
        <w:jc w:val="left"/>
        <w:rPr>
          <w:rFonts w:hint="eastAsia"/>
          <w:szCs w:val="21"/>
        </w:rPr>
      </w:pPr>
      <w:r>
        <w:rPr>
          <w:rFonts w:hint="eastAsia"/>
          <w:b/>
          <w:szCs w:val="21"/>
        </w:rPr>
        <w:t>第十四条</w:t>
      </w:r>
      <w:r>
        <w:rPr>
          <w:rFonts w:hint="eastAsia"/>
          <w:b/>
          <w:szCs w:val="21"/>
          <w:lang w:val="en-US" w:eastAsia="zh-CN"/>
        </w:rPr>
        <w:t xml:space="preserve"> </w:t>
      </w:r>
      <w:r>
        <w:rPr>
          <w:rFonts w:hint="eastAsia"/>
          <w:szCs w:val="21"/>
        </w:rPr>
        <w:t>政府采购当事人对供应商诚信管理记录、评定及项目评审等有异议的，可向区财政局采购办申诉。</w:t>
      </w:r>
    </w:p>
    <w:p>
      <w:pPr>
        <w:spacing w:line="480" w:lineRule="exact"/>
        <w:jc w:val="left"/>
        <w:rPr>
          <w:rFonts w:hint="eastAsia" w:ascii="宋体" w:hAnsi="宋体" w:cs="宋体"/>
          <w:color w:val="000000"/>
          <w:sz w:val="21"/>
          <w:szCs w:val="21"/>
        </w:rPr>
      </w:pPr>
      <w:r>
        <w:rPr>
          <w:rFonts w:hint="eastAsia"/>
          <w:b/>
          <w:szCs w:val="21"/>
        </w:rPr>
        <w:t>第十五条</w:t>
      </w:r>
      <w:r>
        <w:rPr>
          <w:rFonts w:hint="eastAsia"/>
          <w:b/>
          <w:szCs w:val="21"/>
          <w:lang w:val="en-US" w:eastAsia="zh-CN"/>
        </w:rPr>
        <w:t xml:space="preserve"> </w:t>
      </w:r>
      <w:r>
        <w:rPr>
          <w:rFonts w:hint="eastAsia"/>
          <w:szCs w:val="21"/>
        </w:rPr>
        <w:t>本办法由区财政局采购办负责解释。</w:t>
      </w:r>
    </w:p>
    <w:p>
      <w:pPr>
        <w:widowControl/>
        <w:adjustRightInd w:val="0"/>
        <w:snapToGrid w:val="0"/>
        <w:spacing w:line="440" w:lineRule="exact"/>
        <w:jc w:val="left"/>
        <w:rPr>
          <w:rFonts w:hint="eastAsia" w:ascii="宋体" w:hAnsi="宋体" w:cs="宋体"/>
          <w:snapToGrid w:val="0"/>
          <w:color w:val="000000"/>
          <w:kern w:val="0"/>
          <w:szCs w:val="21"/>
        </w:rPr>
      </w:pPr>
    </w:p>
    <w:p>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color w:val="000000"/>
          <w:szCs w:val="21"/>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cs="宋体"/>
          <w:color w:val="000000"/>
          <w:sz w:val="21"/>
          <w:szCs w:val="21"/>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cs="宋体"/>
          <w:color w:val="000000"/>
          <w:szCs w:val="21"/>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cs="宋体"/>
          <w:color w:val="000000"/>
          <w:sz w:val="21"/>
          <w:szCs w:val="21"/>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cs="宋体"/>
          <w:color w:val="000000"/>
          <w:szCs w:val="21"/>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cs="宋体"/>
          <w:color w:val="000000"/>
          <w:sz w:val="21"/>
          <w:szCs w:val="21"/>
        </w:rPr>
      </w:pPr>
    </w:p>
    <w:p>
      <w:pPr>
        <w:pageBreakBefore w:val="0"/>
        <w:widowControl w:val="0"/>
        <w:kinsoku/>
        <w:wordWrap/>
        <w:overflowPunct/>
        <w:topLinePunct w:val="0"/>
        <w:autoSpaceDE/>
        <w:autoSpaceDN/>
        <w:bidi w:val="0"/>
        <w:adjustRightInd/>
        <w:snapToGrid/>
        <w:textAlignment w:val="auto"/>
        <w:outlineLvl w:val="9"/>
        <w:rPr>
          <w:rFonts w:hint="eastAsia"/>
          <w:color w:val="000000"/>
        </w:rPr>
      </w:pPr>
    </w:p>
    <w:sectPr>
      <w:pgSz w:w="11905" w:h="16838"/>
      <w:pgMar w:top="1247" w:right="1531" w:bottom="1304" w:left="1531" w:header="850" w:footer="850" w:gutter="0"/>
      <w:paperSrc/>
      <w:pgBorders>
        <w:top w:val="none" w:sz="0" w:space="0"/>
        <w:left w:val="none" w:sz="0" w:space="0"/>
        <w:bottom w:val="none" w:sz="0" w:space="0"/>
        <w:right w:val="none" w:sz="0" w:space="0"/>
      </w:pgBorders>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MT">
    <w:altName w:val="微软雅黑"/>
    <w:panose1 w:val="00000000000000000000"/>
    <w:charset w:val="00"/>
    <w:family w:val="auto"/>
    <w:pitch w:val="default"/>
    <w:sig w:usb0="00000000" w:usb1="00000000" w:usb2="00000000" w:usb3="00000000" w:csb0="00040001" w:csb1="00000000"/>
  </w:font>
  <w:font w:name="汉鼎简细圆">
    <w:altName w:val="宋体"/>
    <w:panose1 w:val="02010609000101010101"/>
    <w:charset w:val="86"/>
    <w:family w:val="modern"/>
    <w:pitch w:val="default"/>
    <w:sig w:usb0="00000000" w:usb1="00000000" w:usb2="00000000" w:usb3="00000000" w:csb0="00040001" w:csb1="00000000"/>
  </w:font>
  <w:font w:name="Helvetica">
    <w:altName w:val="Arial"/>
    <w:panose1 w:val="020B0504020202030204"/>
    <w:charset w:val="00"/>
    <w:family w:val="swiss"/>
    <w:pitch w:val="default"/>
    <w:sig w:usb0="00000007" w:usb1="00000000" w:usb2="00000000" w:usb3="00000000" w:csb0="00000093" w:csb1="00000000"/>
  </w:font>
  <w:font w:name="华文仿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A00002FF" w:usb1="28CFFCFA" w:usb2="00000016" w:usb3="00000000" w:csb0="0010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06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PerQcsBAACcAwAADgAAAGRycy9lMm9Eb2MueG1srVNLbtswEN0X6B0I 7mMqQhAYguUghZGiQNEWSHsAmqIsAvyBQ1vyBdobdNVN9z2Xz9EhJTm/TRbZUMOZ4Zt5b0arm8Fo cpABlLM1vVwUlEgrXKPsrqY/vt9dLCmByG3DtbOypkcJ9Gb9/t2q95UsXed0IwNBEAtV72vaxegr xkB00nBYOC8tBlsXDI94DTvWBN4jutGsLIpr1rvQ+OCEBEDvZgzSCTG8BtC1rRJy48TeSBtH1CA1 j0gJOuWBrnO3bStF/Nq2ICPRNUWmMZ9YBO1tOtl6xatd4L5TYmqBv6aFZ5wMVxaLnqE2PHKyD+oF lFEiOHBtXAhn2EgkK4IsLotn2tx33MvMBaUGfxYd3g5WfDl8C0Q1NS0psdzgwE+/f53+/Dv9/UnK 4voqKdR7qDDx3mNqHD64Afdm9gM6E/GhDSZ9kRLBOOp7POsrh0hEerQsl8sCQwJj8wXx2cNzHyB+ lM6QZNQ04ACzrvzwGeKYOqekatbdKa3zELV94kDM5GGp97HHZMVhO0yEtq45Ip8eZ19Ti6tOif5k Udq0JrMRZmM7G3sf1K7Le5Tqgb/dR2wi95YqjLBTYRxaZjctWNqKx/ec9fBTrf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z3q0HLAQAAnAMAAA4AAAAAAAAAAQAgAAAAHgEAAGRycy9lMm9E b2MueG1sUEsFBgAAAAAGAAYAWQEAAFsFAAAAAA== ">
              <v:fill on="f" focussize="0,0"/>
              <v:stroke on="f"/>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wrap="none" lIns="0" tIns="0" rIns="0" bIns="0" upright="0">
                      <a:spAutoFit/>
                    </wps:bodyPr>
                  </wps:wsp>
                </a:graphicData>
              </a:graphic>
            </wp:anchor>
          </w:drawing>
        </mc:Choice>
        <mc:Fallback>
          <w:pict>
            <v:shape id="文本框 206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vow98sBAACcAwAADgAAAGRycy9lMm9Eb2MueG1srVPNjtMwEL4j8Q6W 79TZIlZV1HS1qFqEhABp4QFcx24s+U8et0lfAN6AExfuPFefg7GTdGG57GEvznhm/M1830zWN4M1 5CgjaO8aerWoKJFO+Fa7fUO/frl7taIEEnctN97Jhp4k0JvNyxfrPtRy6TtvWhkJgjio+9DQLqVQ Mwaik5bDwgfpMKh8tDzhNe5ZG3mP6NawZVVds97HNkQvJAB6t2OQTojxKYBeKS3k1ouDlS6NqFEa npASdDoA3ZRulZIifVIKZCKmocg0lROLoL3LJ9useb2PPHRaTC3wp7TwiJPl2mHRC9SWJ04OUf8H ZbWIHrxKC+EtG4kURZDFVfVIm/uOB1m4oNQQLqLD88GKj8fPkei2oa8pcdziwM8/vp9//j7/+kaW 1fWbrFAfoMbE+4CpaXjrB9yb2Q/ozMQHFW3+IiWCcdT3dNFXDomI/Gi1XK0qDAmMzRfEZw/PQ4T0 TnpLstHQiAMsuvLjB0hj6pySqzl/p40pQzTuHwdiZg/LvY89ZisNu2EitPPtCfn0OPuGOlx1Ssx7 h9LmNZmNOBu72TiEqPdd2aNcD8LtIWETpbdcYYSdCuPQCrtpwfJW/H0vWQ8/1eYP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Pb6MPfLAQAAnAMAAA4AAAAAAAAAAQAgAAAAHgEAAGRycy9lMm9E b2MueG1sUEsFBgAAAAAGAAYAWQEAAFsFAAAAAA== ">
              <v:fill on="f" focussize="0,0"/>
              <v:stroke on="f"/>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0">
                      <a:spAutoFit/>
                    </wps:bodyPr>
                  </wps:wsp>
                </a:graphicData>
              </a:graphic>
            </wp:anchor>
          </w:drawing>
        </mc:Choice>
        <mc:Fallback>
          <w:pict>
            <v:shape id="文本框 206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TB8t8sBAACcAwAADgAAAGRycy9lMm9Eb2MueG1srVPNjtMwEL4j8Q6W 79TZCq1K1HS1qFqEhABp4QFcx24s+U8et0lfAN6AExfuPFefg7GTdGG57GEvznhm/M1830zWN4M1 5CgjaO8aerWoKJFO+Fa7fUO/frl7taIEEnctN97Jhp4k0JvNyxfrPtRy6TtvWhkJgjio+9DQLqVQ Mwaik5bDwgfpMKh8tDzhNe5ZG3mP6NawZVVds97HNkQvJAB6t2OQTojxKYBeKS3k1ouDlS6NqFEa npASdDoA3ZRulZIifVIKZCKmocg0lROLoL3LJ9useb2PPHRaTC3wp7TwiJPl2mHRC9SWJ04OUf8H ZbWIHrxKC+EtG4kURZDFVfVIm/uOB1m4oNQQLqLD88GKj8fPkei2oa8pcdziwM8/vp9//j7/+kaW 1fWbrFAfoMbE+4CpaXjrB9yb2Q/ozMQHFW3+IiWCcdT3dNFXDomI/Gi1XK0qDAmMzRfEZw/PQ4T0 TnpLstHQiAMsuvLjB0hj6pySqzl/p40pQzTuHwdiZg/LvY89ZisNu2EitPPtCfn0OPuGOlx1Ssx7 h9LmNZmNOBu72TiEqPdd2aNcD8LtIWETpbdcYYSdCuPQCrtpwfJW/H0vWQ8/1eYP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kwfLfLAQAAnAMAAA4AAAAAAAAAAQAgAAAAHgEAAGRycy9lMm9E b2MueG1sUEsFBgAAAAAGAAYAWQEAAFsFAAAAAA== ">
              <v:fill on="f" focussize="0,0"/>
              <v:stroke on="f"/>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文本框 206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ni0GssBAACcAwAADgAAAGRycy9lMm9Eb2MueG1srVPNjtMwEL4j8Q6W 79TZSqxK1HS1qFqEhABp4QFcx24s+U8et0lfAN6AExfuPFefg7GTdGG57GEvznhm/M1830zWN4M1 5CgjaO8aerWoKJFO+Fa7fUO/frl7taIEEnctN97Jhp4k0JvNyxfrPtRy6TtvWhkJgjio+9DQLqVQ Mwaik5bDwgfpMKh8tDzhNe5ZG3mP6NawZVVds97HNkQvJAB6t2OQTojxKYBeKS3k1ouDlS6NqFEa npASdDoA3ZRulZIifVIKZCKmocg0lROLoL3LJ9useb2PPHRaTC3wp7TwiJPl2mHRC9SWJ04OUf8H ZbWIHrxKC+EtG4kURZDFVfVIm/uOB1m4oNQQLqLD88GKj8fPkei2oa8pcdziwM8/vp9//j7/+kaW 1fWbrFAfoMbE+4CpaXjrB9yb2Q/ozMQHFW3+IiWCcdT3dNFXDomI/Gi1XK0qDAmMzRfEZw/PQ4T0 TnpLstHQiAMsuvLjB0hj6pySqzl/p40pQzTuHwdiZg/LvY89ZisNu2EitPPtCfn0OPuGOlx1Ssx7 h9LmNZmNOBu72TiEqPdd2aNcD8LtIWETpbdcYYSdCuPQCrtpwfJW/H0vWQ8/1eYP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MJ4tBrLAQAAnAMAAA4AAAAAAAAAAQAgAAAAHgEAAGRycy9lMm9E b2MueG1sUEsFBgAAAAAGAAYAWQEAAFsFAAAAAA== ">
              <v:fill on="f" focussize="0,0"/>
              <v:stroke on="f"/>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82639"/>
    <w:multiLevelType w:val="singleLevel"/>
    <w:tmpl w:val="AD582639"/>
    <w:lvl w:ilvl="0" w:tentative="0">
      <w:start w:val="13"/>
      <w:numFmt w:val="decimal"/>
      <w:suff w:val="nothing"/>
      <w:lvlText w:val="%1、"/>
      <w:lvlJc w:val="left"/>
    </w:lvl>
  </w:abstractNum>
  <w:abstractNum w:abstractNumId="1">
    <w:nsid w:val="00000008"/>
    <w:multiLevelType w:val="singleLevel"/>
    <w:tmpl w:val="00000008"/>
    <w:lvl w:ilvl="0" w:tentative="0">
      <w:start w:val="1"/>
      <w:numFmt w:val="decimal"/>
      <w:pStyle w:val="23"/>
      <w:lvlText w:val="%1."/>
      <w:lvlJc w:val="left"/>
      <w:pPr>
        <w:tabs>
          <w:tab w:val="left" w:pos="1200"/>
        </w:tabs>
        <w:ind w:left="1200" w:hanging="360"/>
      </w:pPr>
    </w:lvl>
  </w:abstractNum>
  <w:abstractNum w:abstractNumId="2">
    <w:nsid w:val="00000016"/>
    <w:multiLevelType w:val="multilevel"/>
    <w:tmpl w:val="00000016"/>
    <w:lvl w:ilvl="0" w:tentative="0">
      <w:start w:val="1"/>
      <w:numFmt w:val="decimal"/>
      <w:lvlText w:val="(%1)"/>
      <w:lvlJc w:val="left"/>
      <w:pPr>
        <w:ind w:left="839" w:hanging="360"/>
      </w:pPr>
      <w:rPr>
        <w:rFonts w:hint="default" w:eastAsia="宋体"/>
        <w:sz w:val="21"/>
        <w:szCs w:val="21"/>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0B4"/>
    <w:rsid w:val="00001F18"/>
    <w:rsid w:val="0001089F"/>
    <w:rsid w:val="0001230D"/>
    <w:rsid w:val="00014068"/>
    <w:rsid w:val="00020229"/>
    <w:rsid w:val="0002072C"/>
    <w:rsid w:val="00021343"/>
    <w:rsid w:val="00021537"/>
    <w:rsid w:val="0002175E"/>
    <w:rsid w:val="00021BB0"/>
    <w:rsid w:val="00022782"/>
    <w:rsid w:val="00022883"/>
    <w:rsid w:val="000236B9"/>
    <w:rsid w:val="00023B75"/>
    <w:rsid w:val="000243F5"/>
    <w:rsid w:val="000245A2"/>
    <w:rsid w:val="000253A8"/>
    <w:rsid w:val="00026226"/>
    <w:rsid w:val="00027789"/>
    <w:rsid w:val="00027D43"/>
    <w:rsid w:val="00031762"/>
    <w:rsid w:val="00031FE2"/>
    <w:rsid w:val="00032ED7"/>
    <w:rsid w:val="00032F4D"/>
    <w:rsid w:val="00033023"/>
    <w:rsid w:val="00034735"/>
    <w:rsid w:val="000350D3"/>
    <w:rsid w:val="000357B0"/>
    <w:rsid w:val="000401AC"/>
    <w:rsid w:val="000402EF"/>
    <w:rsid w:val="00042425"/>
    <w:rsid w:val="000432D0"/>
    <w:rsid w:val="00044209"/>
    <w:rsid w:val="00045715"/>
    <w:rsid w:val="00050829"/>
    <w:rsid w:val="00051434"/>
    <w:rsid w:val="0005254C"/>
    <w:rsid w:val="00053FB8"/>
    <w:rsid w:val="00056CDA"/>
    <w:rsid w:val="00056E1F"/>
    <w:rsid w:val="00064DA8"/>
    <w:rsid w:val="0006513B"/>
    <w:rsid w:val="000661FA"/>
    <w:rsid w:val="000718A1"/>
    <w:rsid w:val="00074FB5"/>
    <w:rsid w:val="000765EB"/>
    <w:rsid w:val="00077534"/>
    <w:rsid w:val="00080F2D"/>
    <w:rsid w:val="00081077"/>
    <w:rsid w:val="000825B8"/>
    <w:rsid w:val="00082DB0"/>
    <w:rsid w:val="00082E67"/>
    <w:rsid w:val="00083656"/>
    <w:rsid w:val="000852CC"/>
    <w:rsid w:val="000924E3"/>
    <w:rsid w:val="00094532"/>
    <w:rsid w:val="00096FFD"/>
    <w:rsid w:val="000A08A7"/>
    <w:rsid w:val="000A2A71"/>
    <w:rsid w:val="000A713E"/>
    <w:rsid w:val="000A7C9B"/>
    <w:rsid w:val="000B0342"/>
    <w:rsid w:val="000B0A24"/>
    <w:rsid w:val="000B478C"/>
    <w:rsid w:val="000C0F2A"/>
    <w:rsid w:val="000C3BF3"/>
    <w:rsid w:val="000C3F6C"/>
    <w:rsid w:val="000D1931"/>
    <w:rsid w:val="000D3A72"/>
    <w:rsid w:val="000D65FB"/>
    <w:rsid w:val="000E00C1"/>
    <w:rsid w:val="000E01F6"/>
    <w:rsid w:val="000E1C75"/>
    <w:rsid w:val="000E2975"/>
    <w:rsid w:val="000E32E6"/>
    <w:rsid w:val="000E3789"/>
    <w:rsid w:val="000E7584"/>
    <w:rsid w:val="000E7849"/>
    <w:rsid w:val="000E7A4C"/>
    <w:rsid w:val="000F1165"/>
    <w:rsid w:val="000F276C"/>
    <w:rsid w:val="000F2931"/>
    <w:rsid w:val="000F2B3C"/>
    <w:rsid w:val="000F3389"/>
    <w:rsid w:val="000F3F54"/>
    <w:rsid w:val="000F4D17"/>
    <w:rsid w:val="000F62A6"/>
    <w:rsid w:val="000F695B"/>
    <w:rsid w:val="00101D0B"/>
    <w:rsid w:val="00101DD6"/>
    <w:rsid w:val="00102F7F"/>
    <w:rsid w:val="0010760C"/>
    <w:rsid w:val="00110444"/>
    <w:rsid w:val="00112E7D"/>
    <w:rsid w:val="0012054A"/>
    <w:rsid w:val="0012237B"/>
    <w:rsid w:val="00123DC3"/>
    <w:rsid w:val="001243CE"/>
    <w:rsid w:val="00126205"/>
    <w:rsid w:val="001305AF"/>
    <w:rsid w:val="001306E9"/>
    <w:rsid w:val="0013082D"/>
    <w:rsid w:val="00130C83"/>
    <w:rsid w:val="00132C3E"/>
    <w:rsid w:val="001409B4"/>
    <w:rsid w:val="0014211C"/>
    <w:rsid w:val="00142A2B"/>
    <w:rsid w:val="001453F1"/>
    <w:rsid w:val="001454A0"/>
    <w:rsid w:val="00145560"/>
    <w:rsid w:val="001508AA"/>
    <w:rsid w:val="001527A9"/>
    <w:rsid w:val="001577E7"/>
    <w:rsid w:val="00157BBC"/>
    <w:rsid w:val="00157DD7"/>
    <w:rsid w:val="00160B5A"/>
    <w:rsid w:val="00161CF1"/>
    <w:rsid w:val="0016282E"/>
    <w:rsid w:val="00162FC4"/>
    <w:rsid w:val="001636CC"/>
    <w:rsid w:val="00166D48"/>
    <w:rsid w:val="00167356"/>
    <w:rsid w:val="001707C9"/>
    <w:rsid w:val="001725D0"/>
    <w:rsid w:val="00174A76"/>
    <w:rsid w:val="0017704A"/>
    <w:rsid w:val="00177373"/>
    <w:rsid w:val="00181DD5"/>
    <w:rsid w:val="00182262"/>
    <w:rsid w:val="0018289E"/>
    <w:rsid w:val="00182BBA"/>
    <w:rsid w:val="001852C1"/>
    <w:rsid w:val="001855F7"/>
    <w:rsid w:val="00185826"/>
    <w:rsid w:val="00185C07"/>
    <w:rsid w:val="00186E69"/>
    <w:rsid w:val="00191411"/>
    <w:rsid w:val="00194DFE"/>
    <w:rsid w:val="00194E4D"/>
    <w:rsid w:val="001A237B"/>
    <w:rsid w:val="001A433F"/>
    <w:rsid w:val="001A51BD"/>
    <w:rsid w:val="001A52C0"/>
    <w:rsid w:val="001B005F"/>
    <w:rsid w:val="001B024E"/>
    <w:rsid w:val="001B03B2"/>
    <w:rsid w:val="001B0D9C"/>
    <w:rsid w:val="001B216A"/>
    <w:rsid w:val="001C093F"/>
    <w:rsid w:val="001C0B62"/>
    <w:rsid w:val="001C1ACD"/>
    <w:rsid w:val="001C4B22"/>
    <w:rsid w:val="001C521C"/>
    <w:rsid w:val="001D0FD3"/>
    <w:rsid w:val="001D1BA5"/>
    <w:rsid w:val="001D2D0F"/>
    <w:rsid w:val="001D3F9A"/>
    <w:rsid w:val="001D4830"/>
    <w:rsid w:val="001D5922"/>
    <w:rsid w:val="001E0F95"/>
    <w:rsid w:val="001E11E6"/>
    <w:rsid w:val="001E3F02"/>
    <w:rsid w:val="001E7585"/>
    <w:rsid w:val="001F132C"/>
    <w:rsid w:val="001F1D8E"/>
    <w:rsid w:val="001F2D9A"/>
    <w:rsid w:val="001F32ED"/>
    <w:rsid w:val="001F505E"/>
    <w:rsid w:val="00200091"/>
    <w:rsid w:val="002011EF"/>
    <w:rsid w:val="00201B4C"/>
    <w:rsid w:val="0020286C"/>
    <w:rsid w:val="00204600"/>
    <w:rsid w:val="0020684B"/>
    <w:rsid w:val="00211C19"/>
    <w:rsid w:val="00211FB1"/>
    <w:rsid w:val="002121B7"/>
    <w:rsid w:val="002136FE"/>
    <w:rsid w:val="00214839"/>
    <w:rsid w:val="00214B87"/>
    <w:rsid w:val="00214BEC"/>
    <w:rsid w:val="0021668C"/>
    <w:rsid w:val="00216F8F"/>
    <w:rsid w:val="00217CA2"/>
    <w:rsid w:val="0022067A"/>
    <w:rsid w:val="002211FF"/>
    <w:rsid w:val="00222E60"/>
    <w:rsid w:val="00224545"/>
    <w:rsid w:val="00227D9F"/>
    <w:rsid w:val="00230F54"/>
    <w:rsid w:val="002320C9"/>
    <w:rsid w:val="00233A72"/>
    <w:rsid w:val="00233B57"/>
    <w:rsid w:val="00236309"/>
    <w:rsid w:val="00242431"/>
    <w:rsid w:val="0024262B"/>
    <w:rsid w:val="00256AC1"/>
    <w:rsid w:val="00257C37"/>
    <w:rsid w:val="00260530"/>
    <w:rsid w:val="0026167F"/>
    <w:rsid w:val="00261825"/>
    <w:rsid w:val="00262AE2"/>
    <w:rsid w:val="0026385F"/>
    <w:rsid w:val="00264692"/>
    <w:rsid w:val="00270937"/>
    <w:rsid w:val="00272404"/>
    <w:rsid w:val="002726DB"/>
    <w:rsid w:val="00272CBB"/>
    <w:rsid w:val="002736DE"/>
    <w:rsid w:val="002737B3"/>
    <w:rsid w:val="00274878"/>
    <w:rsid w:val="00275493"/>
    <w:rsid w:val="00276052"/>
    <w:rsid w:val="00276C3F"/>
    <w:rsid w:val="0027724B"/>
    <w:rsid w:val="002773C2"/>
    <w:rsid w:val="00277F52"/>
    <w:rsid w:val="00280BEC"/>
    <w:rsid w:val="00281D86"/>
    <w:rsid w:val="002859AA"/>
    <w:rsid w:val="00290E26"/>
    <w:rsid w:val="00291003"/>
    <w:rsid w:val="002927E6"/>
    <w:rsid w:val="0029296D"/>
    <w:rsid w:val="00293577"/>
    <w:rsid w:val="00294C6C"/>
    <w:rsid w:val="002974BB"/>
    <w:rsid w:val="002A0F2A"/>
    <w:rsid w:val="002A28D1"/>
    <w:rsid w:val="002A6D35"/>
    <w:rsid w:val="002B0375"/>
    <w:rsid w:val="002B0C62"/>
    <w:rsid w:val="002B3BA4"/>
    <w:rsid w:val="002C0754"/>
    <w:rsid w:val="002C15C6"/>
    <w:rsid w:val="002C2796"/>
    <w:rsid w:val="002C282F"/>
    <w:rsid w:val="002C4552"/>
    <w:rsid w:val="002C5A7F"/>
    <w:rsid w:val="002C7D03"/>
    <w:rsid w:val="002D4EA7"/>
    <w:rsid w:val="002D7186"/>
    <w:rsid w:val="002D7F81"/>
    <w:rsid w:val="002E2FA9"/>
    <w:rsid w:val="002E39CF"/>
    <w:rsid w:val="002E3F73"/>
    <w:rsid w:val="002E5CD3"/>
    <w:rsid w:val="002E63EE"/>
    <w:rsid w:val="002E7750"/>
    <w:rsid w:val="002F0122"/>
    <w:rsid w:val="002F1499"/>
    <w:rsid w:val="002F2F3E"/>
    <w:rsid w:val="002F3104"/>
    <w:rsid w:val="002F32F6"/>
    <w:rsid w:val="002F39EB"/>
    <w:rsid w:val="002F482F"/>
    <w:rsid w:val="002F590B"/>
    <w:rsid w:val="002F5CFB"/>
    <w:rsid w:val="002F5E07"/>
    <w:rsid w:val="002F67A8"/>
    <w:rsid w:val="002F6DD1"/>
    <w:rsid w:val="00301E13"/>
    <w:rsid w:val="00303724"/>
    <w:rsid w:val="0030634F"/>
    <w:rsid w:val="003073CE"/>
    <w:rsid w:val="0031000B"/>
    <w:rsid w:val="00310288"/>
    <w:rsid w:val="003106AF"/>
    <w:rsid w:val="003117A2"/>
    <w:rsid w:val="00312865"/>
    <w:rsid w:val="00312981"/>
    <w:rsid w:val="0031664B"/>
    <w:rsid w:val="003167F5"/>
    <w:rsid w:val="003201A5"/>
    <w:rsid w:val="00321ADF"/>
    <w:rsid w:val="0032247D"/>
    <w:rsid w:val="00322FF4"/>
    <w:rsid w:val="0032321D"/>
    <w:rsid w:val="00326DDD"/>
    <w:rsid w:val="00327800"/>
    <w:rsid w:val="0033012B"/>
    <w:rsid w:val="00331472"/>
    <w:rsid w:val="003315AE"/>
    <w:rsid w:val="003330BC"/>
    <w:rsid w:val="00334646"/>
    <w:rsid w:val="00340C3A"/>
    <w:rsid w:val="00342DA9"/>
    <w:rsid w:val="00343189"/>
    <w:rsid w:val="003441A8"/>
    <w:rsid w:val="00344774"/>
    <w:rsid w:val="00351DE8"/>
    <w:rsid w:val="003538F7"/>
    <w:rsid w:val="00354EC1"/>
    <w:rsid w:val="00355F27"/>
    <w:rsid w:val="003566A6"/>
    <w:rsid w:val="00360320"/>
    <w:rsid w:val="00364DF5"/>
    <w:rsid w:val="00365E23"/>
    <w:rsid w:val="003677D6"/>
    <w:rsid w:val="00372714"/>
    <w:rsid w:val="00374DA5"/>
    <w:rsid w:val="00376E20"/>
    <w:rsid w:val="00376F53"/>
    <w:rsid w:val="003775A8"/>
    <w:rsid w:val="00382460"/>
    <w:rsid w:val="0038402D"/>
    <w:rsid w:val="00385337"/>
    <w:rsid w:val="00385652"/>
    <w:rsid w:val="00385C75"/>
    <w:rsid w:val="00396980"/>
    <w:rsid w:val="003A07CC"/>
    <w:rsid w:val="003A3A5C"/>
    <w:rsid w:val="003A3F19"/>
    <w:rsid w:val="003A56BC"/>
    <w:rsid w:val="003B07DF"/>
    <w:rsid w:val="003B0887"/>
    <w:rsid w:val="003B15F9"/>
    <w:rsid w:val="003B1FBD"/>
    <w:rsid w:val="003B208D"/>
    <w:rsid w:val="003B6B9E"/>
    <w:rsid w:val="003C2505"/>
    <w:rsid w:val="003C497D"/>
    <w:rsid w:val="003C4EDB"/>
    <w:rsid w:val="003C5AB6"/>
    <w:rsid w:val="003C72F0"/>
    <w:rsid w:val="003C7652"/>
    <w:rsid w:val="003D230A"/>
    <w:rsid w:val="003D3EA2"/>
    <w:rsid w:val="003D41B7"/>
    <w:rsid w:val="003D425C"/>
    <w:rsid w:val="003D5CCF"/>
    <w:rsid w:val="003D5D46"/>
    <w:rsid w:val="003D6135"/>
    <w:rsid w:val="003D76D4"/>
    <w:rsid w:val="003E2BDC"/>
    <w:rsid w:val="003E2CCC"/>
    <w:rsid w:val="003F10E6"/>
    <w:rsid w:val="003F4A5F"/>
    <w:rsid w:val="003F65A3"/>
    <w:rsid w:val="00402362"/>
    <w:rsid w:val="0040261F"/>
    <w:rsid w:val="004039C4"/>
    <w:rsid w:val="0040618C"/>
    <w:rsid w:val="00406647"/>
    <w:rsid w:val="00407805"/>
    <w:rsid w:val="0041006B"/>
    <w:rsid w:val="00410AC1"/>
    <w:rsid w:val="00413B17"/>
    <w:rsid w:val="0041425C"/>
    <w:rsid w:val="004142FC"/>
    <w:rsid w:val="0042036F"/>
    <w:rsid w:val="00420867"/>
    <w:rsid w:val="00421C3C"/>
    <w:rsid w:val="00422688"/>
    <w:rsid w:val="004228A5"/>
    <w:rsid w:val="00422FCB"/>
    <w:rsid w:val="00427C55"/>
    <w:rsid w:val="0043086C"/>
    <w:rsid w:val="00430ACA"/>
    <w:rsid w:val="00435858"/>
    <w:rsid w:val="00437E89"/>
    <w:rsid w:val="004411DE"/>
    <w:rsid w:val="004414CA"/>
    <w:rsid w:val="00446714"/>
    <w:rsid w:val="00446D51"/>
    <w:rsid w:val="00450F0F"/>
    <w:rsid w:val="00452E9B"/>
    <w:rsid w:val="00453A80"/>
    <w:rsid w:val="0045423B"/>
    <w:rsid w:val="00454D35"/>
    <w:rsid w:val="00455760"/>
    <w:rsid w:val="004566E9"/>
    <w:rsid w:val="00460E83"/>
    <w:rsid w:val="00460F57"/>
    <w:rsid w:val="00461306"/>
    <w:rsid w:val="00461358"/>
    <w:rsid w:val="004623B7"/>
    <w:rsid w:val="00463CDB"/>
    <w:rsid w:val="004741B6"/>
    <w:rsid w:val="00474B12"/>
    <w:rsid w:val="0047747F"/>
    <w:rsid w:val="00477570"/>
    <w:rsid w:val="00477CA4"/>
    <w:rsid w:val="0048042D"/>
    <w:rsid w:val="0048133D"/>
    <w:rsid w:val="00482462"/>
    <w:rsid w:val="004846A7"/>
    <w:rsid w:val="004851CA"/>
    <w:rsid w:val="0048768C"/>
    <w:rsid w:val="00487FF6"/>
    <w:rsid w:val="004941F1"/>
    <w:rsid w:val="00494D9B"/>
    <w:rsid w:val="00496FB8"/>
    <w:rsid w:val="004A1743"/>
    <w:rsid w:val="004A1B10"/>
    <w:rsid w:val="004A48C2"/>
    <w:rsid w:val="004B3DBB"/>
    <w:rsid w:val="004B3F8F"/>
    <w:rsid w:val="004B7044"/>
    <w:rsid w:val="004C06C9"/>
    <w:rsid w:val="004C26F5"/>
    <w:rsid w:val="004C3C14"/>
    <w:rsid w:val="004C5140"/>
    <w:rsid w:val="004C6CA3"/>
    <w:rsid w:val="004D0619"/>
    <w:rsid w:val="004D0CBF"/>
    <w:rsid w:val="004D0DC6"/>
    <w:rsid w:val="004D1169"/>
    <w:rsid w:val="004D19D1"/>
    <w:rsid w:val="004D1C28"/>
    <w:rsid w:val="004D1DF8"/>
    <w:rsid w:val="004D72B0"/>
    <w:rsid w:val="004D7596"/>
    <w:rsid w:val="004D76A1"/>
    <w:rsid w:val="004E404B"/>
    <w:rsid w:val="004E6D8C"/>
    <w:rsid w:val="004E7175"/>
    <w:rsid w:val="004E7760"/>
    <w:rsid w:val="004F1332"/>
    <w:rsid w:val="004F175E"/>
    <w:rsid w:val="004F308B"/>
    <w:rsid w:val="004F33C6"/>
    <w:rsid w:val="004F3574"/>
    <w:rsid w:val="004F3894"/>
    <w:rsid w:val="004F494B"/>
    <w:rsid w:val="00504383"/>
    <w:rsid w:val="00504652"/>
    <w:rsid w:val="00510110"/>
    <w:rsid w:val="005121EA"/>
    <w:rsid w:val="0051263F"/>
    <w:rsid w:val="00512F97"/>
    <w:rsid w:val="005152FB"/>
    <w:rsid w:val="00515C18"/>
    <w:rsid w:val="0051696E"/>
    <w:rsid w:val="0052341B"/>
    <w:rsid w:val="005241C6"/>
    <w:rsid w:val="00524FCF"/>
    <w:rsid w:val="00526CD0"/>
    <w:rsid w:val="00526D8D"/>
    <w:rsid w:val="005271C0"/>
    <w:rsid w:val="005302AD"/>
    <w:rsid w:val="00533A15"/>
    <w:rsid w:val="00535941"/>
    <w:rsid w:val="005364D7"/>
    <w:rsid w:val="0053671A"/>
    <w:rsid w:val="00536827"/>
    <w:rsid w:val="005371CF"/>
    <w:rsid w:val="00537A4D"/>
    <w:rsid w:val="00537F93"/>
    <w:rsid w:val="00540C43"/>
    <w:rsid w:val="0054185D"/>
    <w:rsid w:val="00541DC3"/>
    <w:rsid w:val="00545CD2"/>
    <w:rsid w:val="00547F6B"/>
    <w:rsid w:val="00550473"/>
    <w:rsid w:val="005508D0"/>
    <w:rsid w:val="00552BBD"/>
    <w:rsid w:val="00552D89"/>
    <w:rsid w:val="00554898"/>
    <w:rsid w:val="005559DC"/>
    <w:rsid w:val="00556371"/>
    <w:rsid w:val="00556E54"/>
    <w:rsid w:val="00557AA6"/>
    <w:rsid w:val="00557AE1"/>
    <w:rsid w:val="00557EFD"/>
    <w:rsid w:val="00561269"/>
    <w:rsid w:val="005651E6"/>
    <w:rsid w:val="005717B0"/>
    <w:rsid w:val="00573880"/>
    <w:rsid w:val="00574E2F"/>
    <w:rsid w:val="00575714"/>
    <w:rsid w:val="00575C94"/>
    <w:rsid w:val="00575CAC"/>
    <w:rsid w:val="00577751"/>
    <w:rsid w:val="00584934"/>
    <w:rsid w:val="00585E74"/>
    <w:rsid w:val="00587903"/>
    <w:rsid w:val="0058792E"/>
    <w:rsid w:val="00587D0E"/>
    <w:rsid w:val="005902A7"/>
    <w:rsid w:val="00590F7E"/>
    <w:rsid w:val="00591A2B"/>
    <w:rsid w:val="00593B50"/>
    <w:rsid w:val="005A193A"/>
    <w:rsid w:val="005A5052"/>
    <w:rsid w:val="005A62E2"/>
    <w:rsid w:val="005B12D9"/>
    <w:rsid w:val="005B6597"/>
    <w:rsid w:val="005B6AA1"/>
    <w:rsid w:val="005B7517"/>
    <w:rsid w:val="005C129A"/>
    <w:rsid w:val="005C1598"/>
    <w:rsid w:val="005C35A4"/>
    <w:rsid w:val="005D5288"/>
    <w:rsid w:val="005D7ECE"/>
    <w:rsid w:val="005E68B8"/>
    <w:rsid w:val="005E6A89"/>
    <w:rsid w:val="005E7410"/>
    <w:rsid w:val="005E764C"/>
    <w:rsid w:val="005F1596"/>
    <w:rsid w:val="005F3D2A"/>
    <w:rsid w:val="005F649D"/>
    <w:rsid w:val="005F7235"/>
    <w:rsid w:val="005F7422"/>
    <w:rsid w:val="005F7BD3"/>
    <w:rsid w:val="00600FEC"/>
    <w:rsid w:val="00601EAB"/>
    <w:rsid w:val="00604E4A"/>
    <w:rsid w:val="00606EFF"/>
    <w:rsid w:val="0061352A"/>
    <w:rsid w:val="00616135"/>
    <w:rsid w:val="00616D97"/>
    <w:rsid w:val="00620077"/>
    <w:rsid w:val="00622AA6"/>
    <w:rsid w:val="006240C1"/>
    <w:rsid w:val="006259B0"/>
    <w:rsid w:val="00640EBC"/>
    <w:rsid w:val="00641516"/>
    <w:rsid w:val="00641E23"/>
    <w:rsid w:val="0064303D"/>
    <w:rsid w:val="00650E08"/>
    <w:rsid w:val="00651BED"/>
    <w:rsid w:val="00653BFD"/>
    <w:rsid w:val="00656327"/>
    <w:rsid w:val="006618F4"/>
    <w:rsid w:val="00661D5E"/>
    <w:rsid w:val="0066277F"/>
    <w:rsid w:val="00662C4F"/>
    <w:rsid w:val="00663B7B"/>
    <w:rsid w:val="00664D86"/>
    <w:rsid w:val="0066558B"/>
    <w:rsid w:val="00665D8F"/>
    <w:rsid w:val="00666E26"/>
    <w:rsid w:val="00666F0A"/>
    <w:rsid w:val="00667056"/>
    <w:rsid w:val="00667594"/>
    <w:rsid w:val="00670289"/>
    <w:rsid w:val="00670899"/>
    <w:rsid w:val="00670BE2"/>
    <w:rsid w:val="00672C46"/>
    <w:rsid w:val="00674FE3"/>
    <w:rsid w:val="0067502E"/>
    <w:rsid w:val="00675B27"/>
    <w:rsid w:val="00677091"/>
    <w:rsid w:val="00680F9C"/>
    <w:rsid w:val="00681FD6"/>
    <w:rsid w:val="00690571"/>
    <w:rsid w:val="00691580"/>
    <w:rsid w:val="00692B14"/>
    <w:rsid w:val="00692C71"/>
    <w:rsid w:val="00693340"/>
    <w:rsid w:val="0069358D"/>
    <w:rsid w:val="00696894"/>
    <w:rsid w:val="00696F22"/>
    <w:rsid w:val="006971D1"/>
    <w:rsid w:val="006A703A"/>
    <w:rsid w:val="006B2B0C"/>
    <w:rsid w:val="006B31D8"/>
    <w:rsid w:val="006B33D3"/>
    <w:rsid w:val="006B386B"/>
    <w:rsid w:val="006B39B9"/>
    <w:rsid w:val="006B5845"/>
    <w:rsid w:val="006C1579"/>
    <w:rsid w:val="006C219D"/>
    <w:rsid w:val="006C3AEC"/>
    <w:rsid w:val="006C3B0E"/>
    <w:rsid w:val="006C471C"/>
    <w:rsid w:val="006C5D4D"/>
    <w:rsid w:val="006C78EF"/>
    <w:rsid w:val="006D4463"/>
    <w:rsid w:val="006D487A"/>
    <w:rsid w:val="006D663D"/>
    <w:rsid w:val="006D68B0"/>
    <w:rsid w:val="006E00DC"/>
    <w:rsid w:val="006E20D5"/>
    <w:rsid w:val="006E248B"/>
    <w:rsid w:val="006F03B0"/>
    <w:rsid w:val="006F2234"/>
    <w:rsid w:val="006F41B6"/>
    <w:rsid w:val="006F479D"/>
    <w:rsid w:val="006F5405"/>
    <w:rsid w:val="006F6CDD"/>
    <w:rsid w:val="00700969"/>
    <w:rsid w:val="00700A79"/>
    <w:rsid w:val="0070167C"/>
    <w:rsid w:val="00701DA4"/>
    <w:rsid w:val="00702C2C"/>
    <w:rsid w:val="00702E56"/>
    <w:rsid w:val="0070309C"/>
    <w:rsid w:val="00704DC3"/>
    <w:rsid w:val="0070598E"/>
    <w:rsid w:val="00707D7B"/>
    <w:rsid w:val="007105A9"/>
    <w:rsid w:val="007106DC"/>
    <w:rsid w:val="00711914"/>
    <w:rsid w:val="007175F4"/>
    <w:rsid w:val="007215D9"/>
    <w:rsid w:val="00724A04"/>
    <w:rsid w:val="00725128"/>
    <w:rsid w:val="0072629A"/>
    <w:rsid w:val="007273E1"/>
    <w:rsid w:val="00727423"/>
    <w:rsid w:val="007319E1"/>
    <w:rsid w:val="00732F02"/>
    <w:rsid w:val="007365AC"/>
    <w:rsid w:val="00742078"/>
    <w:rsid w:val="007426F9"/>
    <w:rsid w:val="007430FD"/>
    <w:rsid w:val="00745CE8"/>
    <w:rsid w:val="00747E47"/>
    <w:rsid w:val="0075112C"/>
    <w:rsid w:val="00753980"/>
    <w:rsid w:val="00756CC2"/>
    <w:rsid w:val="007618FF"/>
    <w:rsid w:val="00761B79"/>
    <w:rsid w:val="0076575D"/>
    <w:rsid w:val="00767FE9"/>
    <w:rsid w:val="007722D5"/>
    <w:rsid w:val="00773891"/>
    <w:rsid w:val="007749ED"/>
    <w:rsid w:val="00774AB3"/>
    <w:rsid w:val="00776015"/>
    <w:rsid w:val="0078031F"/>
    <w:rsid w:val="0078574B"/>
    <w:rsid w:val="007865EA"/>
    <w:rsid w:val="00786995"/>
    <w:rsid w:val="00786A2B"/>
    <w:rsid w:val="007873AE"/>
    <w:rsid w:val="0079313C"/>
    <w:rsid w:val="00796D09"/>
    <w:rsid w:val="007A5FE1"/>
    <w:rsid w:val="007A687C"/>
    <w:rsid w:val="007B135E"/>
    <w:rsid w:val="007B5BCA"/>
    <w:rsid w:val="007B5FEB"/>
    <w:rsid w:val="007B63B3"/>
    <w:rsid w:val="007C097C"/>
    <w:rsid w:val="007C0DFB"/>
    <w:rsid w:val="007C3C8A"/>
    <w:rsid w:val="007E16FE"/>
    <w:rsid w:val="007E22A2"/>
    <w:rsid w:val="007E2FB9"/>
    <w:rsid w:val="007E44E2"/>
    <w:rsid w:val="007E556C"/>
    <w:rsid w:val="007E6216"/>
    <w:rsid w:val="007E6E18"/>
    <w:rsid w:val="007F08D8"/>
    <w:rsid w:val="007F6767"/>
    <w:rsid w:val="007F7B1A"/>
    <w:rsid w:val="00800E99"/>
    <w:rsid w:val="00801258"/>
    <w:rsid w:val="0080347F"/>
    <w:rsid w:val="008102E6"/>
    <w:rsid w:val="00810336"/>
    <w:rsid w:val="00811D8E"/>
    <w:rsid w:val="0081255C"/>
    <w:rsid w:val="00812772"/>
    <w:rsid w:val="00812C8F"/>
    <w:rsid w:val="008134FA"/>
    <w:rsid w:val="00814598"/>
    <w:rsid w:val="008235FB"/>
    <w:rsid w:val="00823A0B"/>
    <w:rsid w:val="00823E46"/>
    <w:rsid w:val="00824BB7"/>
    <w:rsid w:val="00826CD3"/>
    <w:rsid w:val="00826E6F"/>
    <w:rsid w:val="00827FB7"/>
    <w:rsid w:val="0083095E"/>
    <w:rsid w:val="00832E2A"/>
    <w:rsid w:val="00833CD3"/>
    <w:rsid w:val="008348EE"/>
    <w:rsid w:val="0083548B"/>
    <w:rsid w:val="00835FDA"/>
    <w:rsid w:val="00836732"/>
    <w:rsid w:val="0083707C"/>
    <w:rsid w:val="00837412"/>
    <w:rsid w:val="0084095C"/>
    <w:rsid w:val="00841509"/>
    <w:rsid w:val="00842E1C"/>
    <w:rsid w:val="0084422B"/>
    <w:rsid w:val="00846377"/>
    <w:rsid w:val="008474D9"/>
    <w:rsid w:val="00850E5E"/>
    <w:rsid w:val="00850F17"/>
    <w:rsid w:val="00854647"/>
    <w:rsid w:val="00857011"/>
    <w:rsid w:val="00857326"/>
    <w:rsid w:val="00857F14"/>
    <w:rsid w:val="00862035"/>
    <w:rsid w:val="00865387"/>
    <w:rsid w:val="008657FA"/>
    <w:rsid w:val="00865C58"/>
    <w:rsid w:val="00865E8B"/>
    <w:rsid w:val="00870E48"/>
    <w:rsid w:val="00871AE2"/>
    <w:rsid w:val="00872E1B"/>
    <w:rsid w:val="00884482"/>
    <w:rsid w:val="00885433"/>
    <w:rsid w:val="00891AEF"/>
    <w:rsid w:val="00892D55"/>
    <w:rsid w:val="00892E56"/>
    <w:rsid w:val="00896DEB"/>
    <w:rsid w:val="008A7A60"/>
    <w:rsid w:val="008A7CDC"/>
    <w:rsid w:val="008B14FC"/>
    <w:rsid w:val="008C006C"/>
    <w:rsid w:val="008C1FA8"/>
    <w:rsid w:val="008C5272"/>
    <w:rsid w:val="008C70A1"/>
    <w:rsid w:val="008C7DBA"/>
    <w:rsid w:val="008D1331"/>
    <w:rsid w:val="008D2A73"/>
    <w:rsid w:val="008D581B"/>
    <w:rsid w:val="008D59A1"/>
    <w:rsid w:val="008D5F41"/>
    <w:rsid w:val="008E2FE5"/>
    <w:rsid w:val="008E5129"/>
    <w:rsid w:val="008E6F7D"/>
    <w:rsid w:val="008F0ADB"/>
    <w:rsid w:val="008F21CF"/>
    <w:rsid w:val="008F6F24"/>
    <w:rsid w:val="00904EBC"/>
    <w:rsid w:val="009059B1"/>
    <w:rsid w:val="0090798B"/>
    <w:rsid w:val="00911332"/>
    <w:rsid w:val="00920C4D"/>
    <w:rsid w:val="009221C3"/>
    <w:rsid w:val="00924D04"/>
    <w:rsid w:val="0092573C"/>
    <w:rsid w:val="00925930"/>
    <w:rsid w:val="009272BE"/>
    <w:rsid w:val="00931CF7"/>
    <w:rsid w:val="009326CA"/>
    <w:rsid w:val="00933404"/>
    <w:rsid w:val="009351DE"/>
    <w:rsid w:val="0093575A"/>
    <w:rsid w:val="00936261"/>
    <w:rsid w:val="0093710A"/>
    <w:rsid w:val="00937C59"/>
    <w:rsid w:val="00940882"/>
    <w:rsid w:val="00940FB0"/>
    <w:rsid w:val="00941643"/>
    <w:rsid w:val="009436E4"/>
    <w:rsid w:val="00946C55"/>
    <w:rsid w:val="00950188"/>
    <w:rsid w:val="009510E6"/>
    <w:rsid w:val="00956465"/>
    <w:rsid w:val="009623F6"/>
    <w:rsid w:val="00963CF9"/>
    <w:rsid w:val="0097229D"/>
    <w:rsid w:val="009730A7"/>
    <w:rsid w:val="00973B30"/>
    <w:rsid w:val="00974B82"/>
    <w:rsid w:val="00974FDB"/>
    <w:rsid w:val="00976BFE"/>
    <w:rsid w:val="00981300"/>
    <w:rsid w:val="00984E39"/>
    <w:rsid w:val="00990A52"/>
    <w:rsid w:val="00992ED7"/>
    <w:rsid w:val="009937ED"/>
    <w:rsid w:val="00993E85"/>
    <w:rsid w:val="0099400D"/>
    <w:rsid w:val="00995B8A"/>
    <w:rsid w:val="00995EFD"/>
    <w:rsid w:val="009970E8"/>
    <w:rsid w:val="009A0D0B"/>
    <w:rsid w:val="009A189C"/>
    <w:rsid w:val="009B2F5D"/>
    <w:rsid w:val="009B42BE"/>
    <w:rsid w:val="009B4B36"/>
    <w:rsid w:val="009B4B51"/>
    <w:rsid w:val="009B522E"/>
    <w:rsid w:val="009B654F"/>
    <w:rsid w:val="009B7794"/>
    <w:rsid w:val="009B7F45"/>
    <w:rsid w:val="009C0796"/>
    <w:rsid w:val="009C3AA2"/>
    <w:rsid w:val="009C464F"/>
    <w:rsid w:val="009C4BB9"/>
    <w:rsid w:val="009C6DF2"/>
    <w:rsid w:val="009C7219"/>
    <w:rsid w:val="009D0F37"/>
    <w:rsid w:val="009D7763"/>
    <w:rsid w:val="009D7EEC"/>
    <w:rsid w:val="009E0688"/>
    <w:rsid w:val="009E2B94"/>
    <w:rsid w:val="009E36B1"/>
    <w:rsid w:val="009E6471"/>
    <w:rsid w:val="009F7220"/>
    <w:rsid w:val="00A0310F"/>
    <w:rsid w:val="00A042A6"/>
    <w:rsid w:val="00A045E9"/>
    <w:rsid w:val="00A047C4"/>
    <w:rsid w:val="00A04BFF"/>
    <w:rsid w:val="00A0688C"/>
    <w:rsid w:val="00A06EFD"/>
    <w:rsid w:val="00A07281"/>
    <w:rsid w:val="00A074F9"/>
    <w:rsid w:val="00A1007E"/>
    <w:rsid w:val="00A102E4"/>
    <w:rsid w:val="00A10B1E"/>
    <w:rsid w:val="00A10F2F"/>
    <w:rsid w:val="00A13A42"/>
    <w:rsid w:val="00A148E8"/>
    <w:rsid w:val="00A176F3"/>
    <w:rsid w:val="00A20B06"/>
    <w:rsid w:val="00A20B08"/>
    <w:rsid w:val="00A21D41"/>
    <w:rsid w:val="00A243DB"/>
    <w:rsid w:val="00A24B01"/>
    <w:rsid w:val="00A24E49"/>
    <w:rsid w:val="00A253B0"/>
    <w:rsid w:val="00A2592A"/>
    <w:rsid w:val="00A26449"/>
    <w:rsid w:val="00A26891"/>
    <w:rsid w:val="00A302F6"/>
    <w:rsid w:val="00A30796"/>
    <w:rsid w:val="00A317D9"/>
    <w:rsid w:val="00A329CF"/>
    <w:rsid w:val="00A370F1"/>
    <w:rsid w:val="00A37A6B"/>
    <w:rsid w:val="00A37D72"/>
    <w:rsid w:val="00A43302"/>
    <w:rsid w:val="00A50D57"/>
    <w:rsid w:val="00A50DCB"/>
    <w:rsid w:val="00A516BA"/>
    <w:rsid w:val="00A53F3A"/>
    <w:rsid w:val="00A54885"/>
    <w:rsid w:val="00A568A4"/>
    <w:rsid w:val="00A5694B"/>
    <w:rsid w:val="00A57271"/>
    <w:rsid w:val="00A6024F"/>
    <w:rsid w:val="00A6172E"/>
    <w:rsid w:val="00A626B7"/>
    <w:rsid w:val="00A62A24"/>
    <w:rsid w:val="00A63639"/>
    <w:rsid w:val="00A63EB4"/>
    <w:rsid w:val="00A645F9"/>
    <w:rsid w:val="00A64F1D"/>
    <w:rsid w:val="00A65036"/>
    <w:rsid w:val="00A6532F"/>
    <w:rsid w:val="00A653E0"/>
    <w:rsid w:val="00A65B2F"/>
    <w:rsid w:val="00A665B9"/>
    <w:rsid w:val="00A670F6"/>
    <w:rsid w:val="00A675C7"/>
    <w:rsid w:val="00A67C71"/>
    <w:rsid w:val="00A700BA"/>
    <w:rsid w:val="00A709A6"/>
    <w:rsid w:val="00A734A4"/>
    <w:rsid w:val="00A77C0E"/>
    <w:rsid w:val="00A77D52"/>
    <w:rsid w:val="00A80EEA"/>
    <w:rsid w:val="00A80FF4"/>
    <w:rsid w:val="00A810E5"/>
    <w:rsid w:val="00A85478"/>
    <w:rsid w:val="00A861CE"/>
    <w:rsid w:val="00A87F18"/>
    <w:rsid w:val="00A9099A"/>
    <w:rsid w:val="00A919C4"/>
    <w:rsid w:val="00A92C7F"/>
    <w:rsid w:val="00A93598"/>
    <w:rsid w:val="00A9390A"/>
    <w:rsid w:val="00A954B3"/>
    <w:rsid w:val="00A978B0"/>
    <w:rsid w:val="00AA1CC6"/>
    <w:rsid w:val="00AA2EDB"/>
    <w:rsid w:val="00AA40C0"/>
    <w:rsid w:val="00AA5BA6"/>
    <w:rsid w:val="00AA5E55"/>
    <w:rsid w:val="00AB1FD1"/>
    <w:rsid w:val="00AB3B50"/>
    <w:rsid w:val="00AB3D3D"/>
    <w:rsid w:val="00AB7BD4"/>
    <w:rsid w:val="00AC0210"/>
    <w:rsid w:val="00AC1246"/>
    <w:rsid w:val="00AC233E"/>
    <w:rsid w:val="00AD0199"/>
    <w:rsid w:val="00AD03BF"/>
    <w:rsid w:val="00AD0549"/>
    <w:rsid w:val="00AD0677"/>
    <w:rsid w:val="00AD0860"/>
    <w:rsid w:val="00AD0F04"/>
    <w:rsid w:val="00AD1A69"/>
    <w:rsid w:val="00AD2684"/>
    <w:rsid w:val="00AD3D6F"/>
    <w:rsid w:val="00AD68C2"/>
    <w:rsid w:val="00AD74DC"/>
    <w:rsid w:val="00AE3378"/>
    <w:rsid w:val="00AE79A8"/>
    <w:rsid w:val="00AE7B50"/>
    <w:rsid w:val="00AF56EA"/>
    <w:rsid w:val="00AF5F68"/>
    <w:rsid w:val="00B01D76"/>
    <w:rsid w:val="00B02AB5"/>
    <w:rsid w:val="00B0322C"/>
    <w:rsid w:val="00B07ABB"/>
    <w:rsid w:val="00B07FF4"/>
    <w:rsid w:val="00B1020D"/>
    <w:rsid w:val="00B137D0"/>
    <w:rsid w:val="00B14311"/>
    <w:rsid w:val="00B17AC5"/>
    <w:rsid w:val="00B2040D"/>
    <w:rsid w:val="00B20668"/>
    <w:rsid w:val="00B217B3"/>
    <w:rsid w:val="00B26830"/>
    <w:rsid w:val="00B27D9B"/>
    <w:rsid w:val="00B314C5"/>
    <w:rsid w:val="00B32892"/>
    <w:rsid w:val="00B34927"/>
    <w:rsid w:val="00B35167"/>
    <w:rsid w:val="00B36F5F"/>
    <w:rsid w:val="00B36F65"/>
    <w:rsid w:val="00B37AAD"/>
    <w:rsid w:val="00B44CCE"/>
    <w:rsid w:val="00B455D7"/>
    <w:rsid w:val="00B52DC5"/>
    <w:rsid w:val="00B53D7A"/>
    <w:rsid w:val="00B55C6A"/>
    <w:rsid w:val="00B56687"/>
    <w:rsid w:val="00B56BF1"/>
    <w:rsid w:val="00B57560"/>
    <w:rsid w:val="00B608A6"/>
    <w:rsid w:val="00B63FA9"/>
    <w:rsid w:val="00B6431E"/>
    <w:rsid w:val="00B64E0E"/>
    <w:rsid w:val="00B669DA"/>
    <w:rsid w:val="00B67B95"/>
    <w:rsid w:val="00B71BCB"/>
    <w:rsid w:val="00B72D6B"/>
    <w:rsid w:val="00B73A94"/>
    <w:rsid w:val="00B73E1F"/>
    <w:rsid w:val="00B74E87"/>
    <w:rsid w:val="00B74F58"/>
    <w:rsid w:val="00B752F5"/>
    <w:rsid w:val="00B7591F"/>
    <w:rsid w:val="00B76CDE"/>
    <w:rsid w:val="00B76DB0"/>
    <w:rsid w:val="00B772CB"/>
    <w:rsid w:val="00B81DAA"/>
    <w:rsid w:val="00B878CC"/>
    <w:rsid w:val="00B916F2"/>
    <w:rsid w:val="00B94506"/>
    <w:rsid w:val="00B9669F"/>
    <w:rsid w:val="00B96FD0"/>
    <w:rsid w:val="00B97536"/>
    <w:rsid w:val="00BA40CB"/>
    <w:rsid w:val="00BA5EFE"/>
    <w:rsid w:val="00BB34C7"/>
    <w:rsid w:val="00BB42C1"/>
    <w:rsid w:val="00BB5C02"/>
    <w:rsid w:val="00BB6143"/>
    <w:rsid w:val="00BC3DF7"/>
    <w:rsid w:val="00BC568F"/>
    <w:rsid w:val="00BC6901"/>
    <w:rsid w:val="00BC6F66"/>
    <w:rsid w:val="00BC7B0B"/>
    <w:rsid w:val="00BD0FC4"/>
    <w:rsid w:val="00BD431B"/>
    <w:rsid w:val="00BD61A4"/>
    <w:rsid w:val="00BE057E"/>
    <w:rsid w:val="00BE099F"/>
    <w:rsid w:val="00BE0D66"/>
    <w:rsid w:val="00BE227F"/>
    <w:rsid w:val="00BE5C8D"/>
    <w:rsid w:val="00BE6E68"/>
    <w:rsid w:val="00BE74B9"/>
    <w:rsid w:val="00BE7711"/>
    <w:rsid w:val="00BF6FC4"/>
    <w:rsid w:val="00BF752C"/>
    <w:rsid w:val="00C06B84"/>
    <w:rsid w:val="00C072CE"/>
    <w:rsid w:val="00C07AE1"/>
    <w:rsid w:val="00C12999"/>
    <w:rsid w:val="00C15F5F"/>
    <w:rsid w:val="00C17A29"/>
    <w:rsid w:val="00C20DF5"/>
    <w:rsid w:val="00C2215F"/>
    <w:rsid w:val="00C224E4"/>
    <w:rsid w:val="00C23662"/>
    <w:rsid w:val="00C24B85"/>
    <w:rsid w:val="00C25A1E"/>
    <w:rsid w:val="00C25A7F"/>
    <w:rsid w:val="00C25DFE"/>
    <w:rsid w:val="00C268D7"/>
    <w:rsid w:val="00C31F0E"/>
    <w:rsid w:val="00C33ED6"/>
    <w:rsid w:val="00C370A4"/>
    <w:rsid w:val="00C37844"/>
    <w:rsid w:val="00C40AD7"/>
    <w:rsid w:val="00C40DD9"/>
    <w:rsid w:val="00C43D7C"/>
    <w:rsid w:val="00C45817"/>
    <w:rsid w:val="00C47584"/>
    <w:rsid w:val="00C50D12"/>
    <w:rsid w:val="00C51439"/>
    <w:rsid w:val="00C522BA"/>
    <w:rsid w:val="00C55B44"/>
    <w:rsid w:val="00C57157"/>
    <w:rsid w:val="00C60F0C"/>
    <w:rsid w:val="00C610E9"/>
    <w:rsid w:val="00C6292B"/>
    <w:rsid w:val="00C6440A"/>
    <w:rsid w:val="00C65950"/>
    <w:rsid w:val="00C66E27"/>
    <w:rsid w:val="00C74D2F"/>
    <w:rsid w:val="00C76628"/>
    <w:rsid w:val="00C77AD5"/>
    <w:rsid w:val="00C77E1E"/>
    <w:rsid w:val="00C81D09"/>
    <w:rsid w:val="00C851D7"/>
    <w:rsid w:val="00C86303"/>
    <w:rsid w:val="00C87C4E"/>
    <w:rsid w:val="00C90662"/>
    <w:rsid w:val="00C90D5C"/>
    <w:rsid w:val="00C9157D"/>
    <w:rsid w:val="00C929DA"/>
    <w:rsid w:val="00C95B57"/>
    <w:rsid w:val="00CA0075"/>
    <w:rsid w:val="00CA00B0"/>
    <w:rsid w:val="00CA220D"/>
    <w:rsid w:val="00CA26E2"/>
    <w:rsid w:val="00CA3BFA"/>
    <w:rsid w:val="00CA5B8E"/>
    <w:rsid w:val="00CA6D29"/>
    <w:rsid w:val="00CA766C"/>
    <w:rsid w:val="00CA7BF7"/>
    <w:rsid w:val="00CA7E00"/>
    <w:rsid w:val="00CB3FF9"/>
    <w:rsid w:val="00CB4144"/>
    <w:rsid w:val="00CB4E83"/>
    <w:rsid w:val="00CB5376"/>
    <w:rsid w:val="00CB7952"/>
    <w:rsid w:val="00CC32AD"/>
    <w:rsid w:val="00CC4C64"/>
    <w:rsid w:val="00CC79F2"/>
    <w:rsid w:val="00CD05ED"/>
    <w:rsid w:val="00CD0637"/>
    <w:rsid w:val="00CD1640"/>
    <w:rsid w:val="00CD3865"/>
    <w:rsid w:val="00CD4224"/>
    <w:rsid w:val="00CD5216"/>
    <w:rsid w:val="00CD5EC9"/>
    <w:rsid w:val="00CD67CB"/>
    <w:rsid w:val="00CD6F82"/>
    <w:rsid w:val="00CE0381"/>
    <w:rsid w:val="00CE0F40"/>
    <w:rsid w:val="00CE2CB7"/>
    <w:rsid w:val="00CE4384"/>
    <w:rsid w:val="00CE493B"/>
    <w:rsid w:val="00CE6778"/>
    <w:rsid w:val="00CF12B0"/>
    <w:rsid w:val="00CF56F1"/>
    <w:rsid w:val="00D018E2"/>
    <w:rsid w:val="00D02E0E"/>
    <w:rsid w:val="00D06C8D"/>
    <w:rsid w:val="00D07C70"/>
    <w:rsid w:val="00D12D11"/>
    <w:rsid w:val="00D144A9"/>
    <w:rsid w:val="00D14593"/>
    <w:rsid w:val="00D14A72"/>
    <w:rsid w:val="00D16F53"/>
    <w:rsid w:val="00D21D12"/>
    <w:rsid w:val="00D27D92"/>
    <w:rsid w:val="00D319FA"/>
    <w:rsid w:val="00D33057"/>
    <w:rsid w:val="00D348C9"/>
    <w:rsid w:val="00D35528"/>
    <w:rsid w:val="00D363EC"/>
    <w:rsid w:val="00D36E21"/>
    <w:rsid w:val="00D40F38"/>
    <w:rsid w:val="00D41CBF"/>
    <w:rsid w:val="00D41F19"/>
    <w:rsid w:val="00D45EA8"/>
    <w:rsid w:val="00D460A4"/>
    <w:rsid w:val="00D46107"/>
    <w:rsid w:val="00D5235A"/>
    <w:rsid w:val="00D54ADC"/>
    <w:rsid w:val="00D55ADF"/>
    <w:rsid w:val="00D618A4"/>
    <w:rsid w:val="00D66324"/>
    <w:rsid w:val="00D67292"/>
    <w:rsid w:val="00D67FA1"/>
    <w:rsid w:val="00D714C1"/>
    <w:rsid w:val="00D76A78"/>
    <w:rsid w:val="00D81503"/>
    <w:rsid w:val="00D8629E"/>
    <w:rsid w:val="00D90429"/>
    <w:rsid w:val="00D915A3"/>
    <w:rsid w:val="00D92C24"/>
    <w:rsid w:val="00D935EF"/>
    <w:rsid w:val="00D94210"/>
    <w:rsid w:val="00D94967"/>
    <w:rsid w:val="00D97511"/>
    <w:rsid w:val="00D97848"/>
    <w:rsid w:val="00D97CFE"/>
    <w:rsid w:val="00DA1466"/>
    <w:rsid w:val="00DA542B"/>
    <w:rsid w:val="00DA78E2"/>
    <w:rsid w:val="00DA793F"/>
    <w:rsid w:val="00DB296E"/>
    <w:rsid w:val="00DB2BF1"/>
    <w:rsid w:val="00DC0FA3"/>
    <w:rsid w:val="00DC15BC"/>
    <w:rsid w:val="00DC2EBD"/>
    <w:rsid w:val="00DC3144"/>
    <w:rsid w:val="00DC3FF2"/>
    <w:rsid w:val="00DC6102"/>
    <w:rsid w:val="00DC6C7A"/>
    <w:rsid w:val="00DC7C22"/>
    <w:rsid w:val="00DD07BB"/>
    <w:rsid w:val="00DD5A4F"/>
    <w:rsid w:val="00DD692B"/>
    <w:rsid w:val="00DE074E"/>
    <w:rsid w:val="00DE143F"/>
    <w:rsid w:val="00DE2061"/>
    <w:rsid w:val="00DE2430"/>
    <w:rsid w:val="00DE2AE4"/>
    <w:rsid w:val="00DE4AB4"/>
    <w:rsid w:val="00DE4E44"/>
    <w:rsid w:val="00DE57CE"/>
    <w:rsid w:val="00DE7B53"/>
    <w:rsid w:val="00DF0B02"/>
    <w:rsid w:val="00DF1276"/>
    <w:rsid w:val="00DF1333"/>
    <w:rsid w:val="00DF2399"/>
    <w:rsid w:val="00DF3825"/>
    <w:rsid w:val="00DF3BAC"/>
    <w:rsid w:val="00DF4F6C"/>
    <w:rsid w:val="00DF62AA"/>
    <w:rsid w:val="00DF7B26"/>
    <w:rsid w:val="00DF7C60"/>
    <w:rsid w:val="00E004D1"/>
    <w:rsid w:val="00E00B13"/>
    <w:rsid w:val="00E0173B"/>
    <w:rsid w:val="00E01A18"/>
    <w:rsid w:val="00E03981"/>
    <w:rsid w:val="00E039EE"/>
    <w:rsid w:val="00E04C6C"/>
    <w:rsid w:val="00E04E9E"/>
    <w:rsid w:val="00E05B17"/>
    <w:rsid w:val="00E05EBD"/>
    <w:rsid w:val="00E107F5"/>
    <w:rsid w:val="00E12997"/>
    <w:rsid w:val="00E173BF"/>
    <w:rsid w:val="00E20539"/>
    <w:rsid w:val="00E2166A"/>
    <w:rsid w:val="00E2288C"/>
    <w:rsid w:val="00E243BB"/>
    <w:rsid w:val="00E26BBD"/>
    <w:rsid w:val="00E34191"/>
    <w:rsid w:val="00E359CC"/>
    <w:rsid w:val="00E44659"/>
    <w:rsid w:val="00E44DEE"/>
    <w:rsid w:val="00E45E58"/>
    <w:rsid w:val="00E46E86"/>
    <w:rsid w:val="00E500A9"/>
    <w:rsid w:val="00E504E5"/>
    <w:rsid w:val="00E54561"/>
    <w:rsid w:val="00E54A20"/>
    <w:rsid w:val="00E55630"/>
    <w:rsid w:val="00E559D2"/>
    <w:rsid w:val="00E56CE6"/>
    <w:rsid w:val="00E57608"/>
    <w:rsid w:val="00E577E5"/>
    <w:rsid w:val="00E579FF"/>
    <w:rsid w:val="00E6098C"/>
    <w:rsid w:val="00E70A47"/>
    <w:rsid w:val="00E71FBE"/>
    <w:rsid w:val="00E746B6"/>
    <w:rsid w:val="00E75854"/>
    <w:rsid w:val="00E77237"/>
    <w:rsid w:val="00E77742"/>
    <w:rsid w:val="00E812AD"/>
    <w:rsid w:val="00E81B56"/>
    <w:rsid w:val="00E8401B"/>
    <w:rsid w:val="00E91335"/>
    <w:rsid w:val="00E92D0C"/>
    <w:rsid w:val="00E93BC0"/>
    <w:rsid w:val="00E93FAA"/>
    <w:rsid w:val="00E94A66"/>
    <w:rsid w:val="00E9527C"/>
    <w:rsid w:val="00E962D0"/>
    <w:rsid w:val="00E97B10"/>
    <w:rsid w:val="00EA0359"/>
    <w:rsid w:val="00EA08DC"/>
    <w:rsid w:val="00EA1D7A"/>
    <w:rsid w:val="00EA2B68"/>
    <w:rsid w:val="00EA4EBA"/>
    <w:rsid w:val="00EA5464"/>
    <w:rsid w:val="00EA6195"/>
    <w:rsid w:val="00EB0C1F"/>
    <w:rsid w:val="00EB21F9"/>
    <w:rsid w:val="00EB2A59"/>
    <w:rsid w:val="00EB498E"/>
    <w:rsid w:val="00EB565A"/>
    <w:rsid w:val="00EB71C2"/>
    <w:rsid w:val="00EB7988"/>
    <w:rsid w:val="00EC0462"/>
    <w:rsid w:val="00EC0CBB"/>
    <w:rsid w:val="00EC3A11"/>
    <w:rsid w:val="00EC5056"/>
    <w:rsid w:val="00EC5510"/>
    <w:rsid w:val="00EC79BA"/>
    <w:rsid w:val="00ED1881"/>
    <w:rsid w:val="00ED2320"/>
    <w:rsid w:val="00ED370C"/>
    <w:rsid w:val="00ED63DD"/>
    <w:rsid w:val="00EE05BA"/>
    <w:rsid w:val="00EE0CC4"/>
    <w:rsid w:val="00EE1456"/>
    <w:rsid w:val="00EE2F01"/>
    <w:rsid w:val="00EE32F3"/>
    <w:rsid w:val="00EE3D9F"/>
    <w:rsid w:val="00EE7EDD"/>
    <w:rsid w:val="00EF1459"/>
    <w:rsid w:val="00EF509D"/>
    <w:rsid w:val="00EF514A"/>
    <w:rsid w:val="00EF5C2D"/>
    <w:rsid w:val="00EF5FD1"/>
    <w:rsid w:val="00EF7475"/>
    <w:rsid w:val="00EF79DB"/>
    <w:rsid w:val="00EF7BCC"/>
    <w:rsid w:val="00F03282"/>
    <w:rsid w:val="00F038F2"/>
    <w:rsid w:val="00F05831"/>
    <w:rsid w:val="00F1369F"/>
    <w:rsid w:val="00F146C2"/>
    <w:rsid w:val="00F15D0A"/>
    <w:rsid w:val="00F1617A"/>
    <w:rsid w:val="00F202C8"/>
    <w:rsid w:val="00F21FC0"/>
    <w:rsid w:val="00F22A91"/>
    <w:rsid w:val="00F27336"/>
    <w:rsid w:val="00F304B1"/>
    <w:rsid w:val="00F30DBA"/>
    <w:rsid w:val="00F30E3C"/>
    <w:rsid w:val="00F32B8F"/>
    <w:rsid w:val="00F32C44"/>
    <w:rsid w:val="00F37927"/>
    <w:rsid w:val="00F4005F"/>
    <w:rsid w:val="00F40122"/>
    <w:rsid w:val="00F40550"/>
    <w:rsid w:val="00F407A9"/>
    <w:rsid w:val="00F41CDF"/>
    <w:rsid w:val="00F41DA4"/>
    <w:rsid w:val="00F42597"/>
    <w:rsid w:val="00F444A9"/>
    <w:rsid w:val="00F4644A"/>
    <w:rsid w:val="00F466DB"/>
    <w:rsid w:val="00F47C2D"/>
    <w:rsid w:val="00F52234"/>
    <w:rsid w:val="00F55A24"/>
    <w:rsid w:val="00F55C12"/>
    <w:rsid w:val="00F57606"/>
    <w:rsid w:val="00F611C5"/>
    <w:rsid w:val="00F6185C"/>
    <w:rsid w:val="00F62401"/>
    <w:rsid w:val="00F62841"/>
    <w:rsid w:val="00F628BE"/>
    <w:rsid w:val="00F64EBB"/>
    <w:rsid w:val="00F654AF"/>
    <w:rsid w:val="00F66943"/>
    <w:rsid w:val="00F702D3"/>
    <w:rsid w:val="00F70CC5"/>
    <w:rsid w:val="00F71DDD"/>
    <w:rsid w:val="00F725AC"/>
    <w:rsid w:val="00F73559"/>
    <w:rsid w:val="00F74638"/>
    <w:rsid w:val="00F75627"/>
    <w:rsid w:val="00F763AF"/>
    <w:rsid w:val="00F8044E"/>
    <w:rsid w:val="00F841B9"/>
    <w:rsid w:val="00F84F4C"/>
    <w:rsid w:val="00F877BA"/>
    <w:rsid w:val="00F91FDD"/>
    <w:rsid w:val="00F935AF"/>
    <w:rsid w:val="00F956D9"/>
    <w:rsid w:val="00F95789"/>
    <w:rsid w:val="00F9735F"/>
    <w:rsid w:val="00FA245A"/>
    <w:rsid w:val="00FA4B5F"/>
    <w:rsid w:val="00FA5FE1"/>
    <w:rsid w:val="00FA659C"/>
    <w:rsid w:val="00FA6771"/>
    <w:rsid w:val="00FA7EF9"/>
    <w:rsid w:val="00FB1BDF"/>
    <w:rsid w:val="00FB48E0"/>
    <w:rsid w:val="00FB5158"/>
    <w:rsid w:val="00FB5EA6"/>
    <w:rsid w:val="00FC074E"/>
    <w:rsid w:val="00FC1A79"/>
    <w:rsid w:val="00FC269E"/>
    <w:rsid w:val="00FC6F20"/>
    <w:rsid w:val="00FC78BB"/>
    <w:rsid w:val="00FD1AE9"/>
    <w:rsid w:val="00FD1E4C"/>
    <w:rsid w:val="00FD30A6"/>
    <w:rsid w:val="00FD3B22"/>
    <w:rsid w:val="00FD4B94"/>
    <w:rsid w:val="00FD55FF"/>
    <w:rsid w:val="00FD5B5C"/>
    <w:rsid w:val="00FD6170"/>
    <w:rsid w:val="00FD72A1"/>
    <w:rsid w:val="00FD7350"/>
    <w:rsid w:val="00FD74D6"/>
    <w:rsid w:val="00FD7A71"/>
    <w:rsid w:val="00FE325F"/>
    <w:rsid w:val="00FE3D2A"/>
    <w:rsid w:val="00FE5D06"/>
    <w:rsid w:val="00FF06A4"/>
    <w:rsid w:val="00FF19E8"/>
    <w:rsid w:val="00FF39B8"/>
    <w:rsid w:val="00FF5E72"/>
    <w:rsid w:val="00FF66F9"/>
    <w:rsid w:val="00FF6BFD"/>
    <w:rsid w:val="00FF6C61"/>
    <w:rsid w:val="00FF7A46"/>
    <w:rsid w:val="01252E9A"/>
    <w:rsid w:val="012740E8"/>
    <w:rsid w:val="01496D8B"/>
    <w:rsid w:val="018E491C"/>
    <w:rsid w:val="01A325EE"/>
    <w:rsid w:val="01A755CD"/>
    <w:rsid w:val="01E22B26"/>
    <w:rsid w:val="01ED1709"/>
    <w:rsid w:val="01FA1632"/>
    <w:rsid w:val="0246410C"/>
    <w:rsid w:val="024E72F1"/>
    <w:rsid w:val="02683137"/>
    <w:rsid w:val="026929FF"/>
    <w:rsid w:val="02820B6E"/>
    <w:rsid w:val="02BA73F2"/>
    <w:rsid w:val="0302044D"/>
    <w:rsid w:val="0303322F"/>
    <w:rsid w:val="031C3432"/>
    <w:rsid w:val="034442F8"/>
    <w:rsid w:val="035E4696"/>
    <w:rsid w:val="035F5516"/>
    <w:rsid w:val="038702CD"/>
    <w:rsid w:val="03917B7E"/>
    <w:rsid w:val="03981F66"/>
    <w:rsid w:val="03AE2BA4"/>
    <w:rsid w:val="03CD67C2"/>
    <w:rsid w:val="03F82211"/>
    <w:rsid w:val="04205D41"/>
    <w:rsid w:val="04246957"/>
    <w:rsid w:val="045D1AA1"/>
    <w:rsid w:val="0491498E"/>
    <w:rsid w:val="04E67462"/>
    <w:rsid w:val="051849A5"/>
    <w:rsid w:val="053979AC"/>
    <w:rsid w:val="05570BF8"/>
    <w:rsid w:val="05647FA6"/>
    <w:rsid w:val="059A19DB"/>
    <w:rsid w:val="05A653EA"/>
    <w:rsid w:val="05AD664F"/>
    <w:rsid w:val="06596530"/>
    <w:rsid w:val="069C389F"/>
    <w:rsid w:val="07375B52"/>
    <w:rsid w:val="073A7F8A"/>
    <w:rsid w:val="073D633C"/>
    <w:rsid w:val="074E358D"/>
    <w:rsid w:val="07694B0A"/>
    <w:rsid w:val="0777642C"/>
    <w:rsid w:val="079A5428"/>
    <w:rsid w:val="080D11E0"/>
    <w:rsid w:val="08145F07"/>
    <w:rsid w:val="083B3DBC"/>
    <w:rsid w:val="083E690C"/>
    <w:rsid w:val="084E7CF4"/>
    <w:rsid w:val="086F2416"/>
    <w:rsid w:val="089B6A9B"/>
    <w:rsid w:val="08DA7CE2"/>
    <w:rsid w:val="08EB0DEC"/>
    <w:rsid w:val="09026C51"/>
    <w:rsid w:val="098B70A4"/>
    <w:rsid w:val="09C25968"/>
    <w:rsid w:val="09C70ED3"/>
    <w:rsid w:val="09EB1313"/>
    <w:rsid w:val="09F93BDF"/>
    <w:rsid w:val="0A3A1A92"/>
    <w:rsid w:val="0A4F1F43"/>
    <w:rsid w:val="0A514815"/>
    <w:rsid w:val="0A652532"/>
    <w:rsid w:val="0A8E5874"/>
    <w:rsid w:val="0AA12680"/>
    <w:rsid w:val="0AAE114A"/>
    <w:rsid w:val="0B077AD9"/>
    <w:rsid w:val="0B26497D"/>
    <w:rsid w:val="0B297402"/>
    <w:rsid w:val="0B2F51A2"/>
    <w:rsid w:val="0B3B7E5A"/>
    <w:rsid w:val="0B6B6997"/>
    <w:rsid w:val="0B836030"/>
    <w:rsid w:val="0C154870"/>
    <w:rsid w:val="0C390587"/>
    <w:rsid w:val="0C464F2F"/>
    <w:rsid w:val="0C8773CF"/>
    <w:rsid w:val="0C993258"/>
    <w:rsid w:val="0C9C44AE"/>
    <w:rsid w:val="0CE51A76"/>
    <w:rsid w:val="0CFC6E0E"/>
    <w:rsid w:val="0D22141A"/>
    <w:rsid w:val="0D3B4DB1"/>
    <w:rsid w:val="0D540B8E"/>
    <w:rsid w:val="0D6923EB"/>
    <w:rsid w:val="0E035D31"/>
    <w:rsid w:val="0E1A11B2"/>
    <w:rsid w:val="0E1B1632"/>
    <w:rsid w:val="0E2A22E5"/>
    <w:rsid w:val="0E8B04F4"/>
    <w:rsid w:val="0EC1654B"/>
    <w:rsid w:val="0F483596"/>
    <w:rsid w:val="0F773803"/>
    <w:rsid w:val="0FAE2E4D"/>
    <w:rsid w:val="0FB911DA"/>
    <w:rsid w:val="10180F34"/>
    <w:rsid w:val="102D0151"/>
    <w:rsid w:val="1038490F"/>
    <w:rsid w:val="104541BD"/>
    <w:rsid w:val="10C02049"/>
    <w:rsid w:val="10D93DD7"/>
    <w:rsid w:val="10DE0434"/>
    <w:rsid w:val="11146D91"/>
    <w:rsid w:val="111C3B83"/>
    <w:rsid w:val="112A6087"/>
    <w:rsid w:val="11355F72"/>
    <w:rsid w:val="113D550E"/>
    <w:rsid w:val="114268BF"/>
    <w:rsid w:val="114E1DCD"/>
    <w:rsid w:val="119038D4"/>
    <w:rsid w:val="11981F18"/>
    <w:rsid w:val="11AB3E0C"/>
    <w:rsid w:val="11BD017E"/>
    <w:rsid w:val="120C5DA0"/>
    <w:rsid w:val="12354769"/>
    <w:rsid w:val="12956C7F"/>
    <w:rsid w:val="12A6147F"/>
    <w:rsid w:val="12AE35D0"/>
    <w:rsid w:val="12B2566E"/>
    <w:rsid w:val="12E464D6"/>
    <w:rsid w:val="130605F1"/>
    <w:rsid w:val="13220876"/>
    <w:rsid w:val="13285662"/>
    <w:rsid w:val="134126C9"/>
    <w:rsid w:val="13671708"/>
    <w:rsid w:val="13977B4B"/>
    <w:rsid w:val="13A30FFA"/>
    <w:rsid w:val="13A670CA"/>
    <w:rsid w:val="13EB6324"/>
    <w:rsid w:val="13FA4C73"/>
    <w:rsid w:val="142778CD"/>
    <w:rsid w:val="143542CC"/>
    <w:rsid w:val="144D6A3D"/>
    <w:rsid w:val="1452243B"/>
    <w:rsid w:val="149A2FB0"/>
    <w:rsid w:val="14BD7016"/>
    <w:rsid w:val="14C85AB2"/>
    <w:rsid w:val="14CC2B09"/>
    <w:rsid w:val="14E62E49"/>
    <w:rsid w:val="1535104C"/>
    <w:rsid w:val="15410D9F"/>
    <w:rsid w:val="15512491"/>
    <w:rsid w:val="156C73EB"/>
    <w:rsid w:val="15CD71B1"/>
    <w:rsid w:val="15EF09D0"/>
    <w:rsid w:val="160E2CEE"/>
    <w:rsid w:val="16187101"/>
    <w:rsid w:val="162257BF"/>
    <w:rsid w:val="16482628"/>
    <w:rsid w:val="165B54A3"/>
    <w:rsid w:val="165B5653"/>
    <w:rsid w:val="16645810"/>
    <w:rsid w:val="166962CA"/>
    <w:rsid w:val="169028A6"/>
    <w:rsid w:val="169218CB"/>
    <w:rsid w:val="16922F95"/>
    <w:rsid w:val="169D646A"/>
    <w:rsid w:val="16A8689C"/>
    <w:rsid w:val="16BB283C"/>
    <w:rsid w:val="16CF5B0D"/>
    <w:rsid w:val="16D87A0B"/>
    <w:rsid w:val="17280258"/>
    <w:rsid w:val="17332EE7"/>
    <w:rsid w:val="17356217"/>
    <w:rsid w:val="17503015"/>
    <w:rsid w:val="175355A8"/>
    <w:rsid w:val="17837512"/>
    <w:rsid w:val="17940C6A"/>
    <w:rsid w:val="17BD6BA6"/>
    <w:rsid w:val="17E15659"/>
    <w:rsid w:val="17ED03BA"/>
    <w:rsid w:val="183E33C8"/>
    <w:rsid w:val="18793FA4"/>
    <w:rsid w:val="18821BF5"/>
    <w:rsid w:val="18936BB0"/>
    <w:rsid w:val="189E7DD6"/>
    <w:rsid w:val="18C0446B"/>
    <w:rsid w:val="18D57CCC"/>
    <w:rsid w:val="18ED44F8"/>
    <w:rsid w:val="18F67DB7"/>
    <w:rsid w:val="19362B7B"/>
    <w:rsid w:val="199442B0"/>
    <w:rsid w:val="19A96CD2"/>
    <w:rsid w:val="1A066EE2"/>
    <w:rsid w:val="1A072D67"/>
    <w:rsid w:val="1A075E1D"/>
    <w:rsid w:val="1A2D0E79"/>
    <w:rsid w:val="1A414065"/>
    <w:rsid w:val="1A575283"/>
    <w:rsid w:val="1A6E6F47"/>
    <w:rsid w:val="1A837C18"/>
    <w:rsid w:val="1B0E5472"/>
    <w:rsid w:val="1B162997"/>
    <w:rsid w:val="1B3C6F77"/>
    <w:rsid w:val="1BBD3740"/>
    <w:rsid w:val="1BC560AD"/>
    <w:rsid w:val="1BC6357D"/>
    <w:rsid w:val="1BED502E"/>
    <w:rsid w:val="1C3446CB"/>
    <w:rsid w:val="1C3F2F78"/>
    <w:rsid w:val="1C3F5D37"/>
    <w:rsid w:val="1C614ED5"/>
    <w:rsid w:val="1C6B6C0E"/>
    <w:rsid w:val="1C816603"/>
    <w:rsid w:val="1C835903"/>
    <w:rsid w:val="1C864BDA"/>
    <w:rsid w:val="1C940B0D"/>
    <w:rsid w:val="1CB45E82"/>
    <w:rsid w:val="1CC7118F"/>
    <w:rsid w:val="1CE43F6D"/>
    <w:rsid w:val="1CFC66A5"/>
    <w:rsid w:val="1D1E03D5"/>
    <w:rsid w:val="1DB43CE0"/>
    <w:rsid w:val="1DDE37F9"/>
    <w:rsid w:val="1E5904FA"/>
    <w:rsid w:val="1E775DA4"/>
    <w:rsid w:val="1E827BC5"/>
    <w:rsid w:val="1E827F32"/>
    <w:rsid w:val="1E881222"/>
    <w:rsid w:val="1E8A0B27"/>
    <w:rsid w:val="1EAD1B1C"/>
    <w:rsid w:val="1EAF32E5"/>
    <w:rsid w:val="1ED45FF6"/>
    <w:rsid w:val="1FBE36A6"/>
    <w:rsid w:val="1FC2403D"/>
    <w:rsid w:val="1FED1C87"/>
    <w:rsid w:val="200A6ECB"/>
    <w:rsid w:val="201442C5"/>
    <w:rsid w:val="201B6441"/>
    <w:rsid w:val="202B731D"/>
    <w:rsid w:val="203063AC"/>
    <w:rsid w:val="205A3756"/>
    <w:rsid w:val="207B4BFE"/>
    <w:rsid w:val="209059F9"/>
    <w:rsid w:val="20D12CA7"/>
    <w:rsid w:val="20EE1616"/>
    <w:rsid w:val="20F00708"/>
    <w:rsid w:val="21000C16"/>
    <w:rsid w:val="21134668"/>
    <w:rsid w:val="212A3E25"/>
    <w:rsid w:val="21343793"/>
    <w:rsid w:val="21B32160"/>
    <w:rsid w:val="21B63672"/>
    <w:rsid w:val="21D81213"/>
    <w:rsid w:val="21ED0F3C"/>
    <w:rsid w:val="2253486A"/>
    <w:rsid w:val="226969F5"/>
    <w:rsid w:val="22742716"/>
    <w:rsid w:val="227C48CD"/>
    <w:rsid w:val="228C2A4A"/>
    <w:rsid w:val="22977C45"/>
    <w:rsid w:val="22B46B84"/>
    <w:rsid w:val="22C41106"/>
    <w:rsid w:val="22C45220"/>
    <w:rsid w:val="22D14D5F"/>
    <w:rsid w:val="22DF0637"/>
    <w:rsid w:val="22E152C9"/>
    <w:rsid w:val="23050403"/>
    <w:rsid w:val="23431666"/>
    <w:rsid w:val="236F7B73"/>
    <w:rsid w:val="23810878"/>
    <w:rsid w:val="23B94103"/>
    <w:rsid w:val="23BA4FAC"/>
    <w:rsid w:val="23ED6161"/>
    <w:rsid w:val="23F619D7"/>
    <w:rsid w:val="2401536A"/>
    <w:rsid w:val="240B5D51"/>
    <w:rsid w:val="240F1AAC"/>
    <w:rsid w:val="243C1B8D"/>
    <w:rsid w:val="24413EED"/>
    <w:rsid w:val="244E1BDB"/>
    <w:rsid w:val="24683E4B"/>
    <w:rsid w:val="24712BC6"/>
    <w:rsid w:val="24A2102A"/>
    <w:rsid w:val="24AC327B"/>
    <w:rsid w:val="251F5587"/>
    <w:rsid w:val="25827A98"/>
    <w:rsid w:val="259217C9"/>
    <w:rsid w:val="25B03D89"/>
    <w:rsid w:val="25B45F74"/>
    <w:rsid w:val="25D971A5"/>
    <w:rsid w:val="25DE23FA"/>
    <w:rsid w:val="25E425EA"/>
    <w:rsid w:val="26563DD2"/>
    <w:rsid w:val="268C4203"/>
    <w:rsid w:val="26DB4E04"/>
    <w:rsid w:val="26E33696"/>
    <w:rsid w:val="26E823DF"/>
    <w:rsid w:val="27206DF6"/>
    <w:rsid w:val="272848EB"/>
    <w:rsid w:val="274A1BAD"/>
    <w:rsid w:val="27A45CF7"/>
    <w:rsid w:val="27A77E7D"/>
    <w:rsid w:val="27C80E1E"/>
    <w:rsid w:val="27E27909"/>
    <w:rsid w:val="27E3276F"/>
    <w:rsid w:val="27E75A93"/>
    <w:rsid w:val="27F23275"/>
    <w:rsid w:val="280B2F44"/>
    <w:rsid w:val="28510B97"/>
    <w:rsid w:val="285228C8"/>
    <w:rsid w:val="28536E41"/>
    <w:rsid w:val="287F131A"/>
    <w:rsid w:val="28A37D33"/>
    <w:rsid w:val="28B1694E"/>
    <w:rsid w:val="28D4482F"/>
    <w:rsid w:val="28DF7A47"/>
    <w:rsid w:val="290B7B1B"/>
    <w:rsid w:val="292724D8"/>
    <w:rsid w:val="2931631A"/>
    <w:rsid w:val="29345ADD"/>
    <w:rsid w:val="29360DF7"/>
    <w:rsid w:val="29400708"/>
    <w:rsid w:val="29544DBE"/>
    <w:rsid w:val="295829E8"/>
    <w:rsid w:val="29695BC0"/>
    <w:rsid w:val="297242DA"/>
    <w:rsid w:val="29791191"/>
    <w:rsid w:val="298B6CE5"/>
    <w:rsid w:val="299F67D1"/>
    <w:rsid w:val="29BD0F96"/>
    <w:rsid w:val="29DB7C1C"/>
    <w:rsid w:val="29ED49A4"/>
    <w:rsid w:val="2A1162D7"/>
    <w:rsid w:val="2A287F05"/>
    <w:rsid w:val="2A2A3AC4"/>
    <w:rsid w:val="2A4E2264"/>
    <w:rsid w:val="2A5B478B"/>
    <w:rsid w:val="2A836D8A"/>
    <w:rsid w:val="2AAC473A"/>
    <w:rsid w:val="2AE50F58"/>
    <w:rsid w:val="2AE8424A"/>
    <w:rsid w:val="2B4E44D8"/>
    <w:rsid w:val="2B520A35"/>
    <w:rsid w:val="2B5F7125"/>
    <w:rsid w:val="2B7057C0"/>
    <w:rsid w:val="2B7775B1"/>
    <w:rsid w:val="2BA9740E"/>
    <w:rsid w:val="2C0C13EF"/>
    <w:rsid w:val="2C62382A"/>
    <w:rsid w:val="2CA83FD0"/>
    <w:rsid w:val="2CBF14CE"/>
    <w:rsid w:val="2CE447DC"/>
    <w:rsid w:val="2CEB06B4"/>
    <w:rsid w:val="2D0C77AB"/>
    <w:rsid w:val="2D112A54"/>
    <w:rsid w:val="2D14783B"/>
    <w:rsid w:val="2D4C22B2"/>
    <w:rsid w:val="2D8C17AD"/>
    <w:rsid w:val="2DE7275E"/>
    <w:rsid w:val="2E291CDE"/>
    <w:rsid w:val="2E3F5952"/>
    <w:rsid w:val="2E405D26"/>
    <w:rsid w:val="2E45437E"/>
    <w:rsid w:val="2ED84089"/>
    <w:rsid w:val="2F037EA9"/>
    <w:rsid w:val="2F116970"/>
    <w:rsid w:val="2F3126D5"/>
    <w:rsid w:val="2F701FE6"/>
    <w:rsid w:val="2FB77156"/>
    <w:rsid w:val="2FCC3878"/>
    <w:rsid w:val="2FD906EF"/>
    <w:rsid w:val="2FFB0863"/>
    <w:rsid w:val="301D34EE"/>
    <w:rsid w:val="30215F72"/>
    <w:rsid w:val="302312E2"/>
    <w:rsid w:val="30232088"/>
    <w:rsid w:val="303F3036"/>
    <w:rsid w:val="306814F8"/>
    <w:rsid w:val="307C0198"/>
    <w:rsid w:val="30964836"/>
    <w:rsid w:val="309B1363"/>
    <w:rsid w:val="309F5A48"/>
    <w:rsid w:val="318807C3"/>
    <w:rsid w:val="31EF007A"/>
    <w:rsid w:val="31F02CC4"/>
    <w:rsid w:val="32073B1C"/>
    <w:rsid w:val="32134238"/>
    <w:rsid w:val="32195716"/>
    <w:rsid w:val="322A4E65"/>
    <w:rsid w:val="324D59C4"/>
    <w:rsid w:val="325416FF"/>
    <w:rsid w:val="329140DA"/>
    <w:rsid w:val="32A12CE8"/>
    <w:rsid w:val="32C7361B"/>
    <w:rsid w:val="32DF3F61"/>
    <w:rsid w:val="32E54963"/>
    <w:rsid w:val="32F11BD7"/>
    <w:rsid w:val="330C1077"/>
    <w:rsid w:val="332A42D8"/>
    <w:rsid w:val="33736934"/>
    <w:rsid w:val="33AE55E8"/>
    <w:rsid w:val="33C90453"/>
    <w:rsid w:val="33D40648"/>
    <w:rsid w:val="3432123A"/>
    <w:rsid w:val="3439473C"/>
    <w:rsid w:val="344A6BE7"/>
    <w:rsid w:val="345A695B"/>
    <w:rsid w:val="347E7882"/>
    <w:rsid w:val="34B1158C"/>
    <w:rsid w:val="34B5492E"/>
    <w:rsid w:val="351D4740"/>
    <w:rsid w:val="35252D86"/>
    <w:rsid w:val="35416914"/>
    <w:rsid w:val="35463F99"/>
    <w:rsid w:val="356274DF"/>
    <w:rsid w:val="358D22EE"/>
    <w:rsid w:val="358E248D"/>
    <w:rsid w:val="35CD382E"/>
    <w:rsid w:val="35D62726"/>
    <w:rsid w:val="35DB0F6E"/>
    <w:rsid w:val="36310AAC"/>
    <w:rsid w:val="363E65AC"/>
    <w:rsid w:val="367E5FBF"/>
    <w:rsid w:val="368B0F1F"/>
    <w:rsid w:val="36B85A54"/>
    <w:rsid w:val="37171BC3"/>
    <w:rsid w:val="374721A7"/>
    <w:rsid w:val="374A3E53"/>
    <w:rsid w:val="37571067"/>
    <w:rsid w:val="377C3EF0"/>
    <w:rsid w:val="37B04F8E"/>
    <w:rsid w:val="37C31036"/>
    <w:rsid w:val="381B38BD"/>
    <w:rsid w:val="383A5C4A"/>
    <w:rsid w:val="384233F6"/>
    <w:rsid w:val="388C72BD"/>
    <w:rsid w:val="3891694B"/>
    <w:rsid w:val="389E0D37"/>
    <w:rsid w:val="38BB506C"/>
    <w:rsid w:val="38D138B9"/>
    <w:rsid w:val="38D13C5F"/>
    <w:rsid w:val="3935096F"/>
    <w:rsid w:val="3936646F"/>
    <w:rsid w:val="394D0B6F"/>
    <w:rsid w:val="395A05A6"/>
    <w:rsid w:val="396E71BD"/>
    <w:rsid w:val="399E59C6"/>
    <w:rsid w:val="39A028C6"/>
    <w:rsid w:val="39B91D2E"/>
    <w:rsid w:val="39BA62A6"/>
    <w:rsid w:val="39BE44A7"/>
    <w:rsid w:val="39FA49D3"/>
    <w:rsid w:val="3A012039"/>
    <w:rsid w:val="3A0606BF"/>
    <w:rsid w:val="3A3D03FD"/>
    <w:rsid w:val="3A4D62F5"/>
    <w:rsid w:val="3A766F0B"/>
    <w:rsid w:val="3A8A671A"/>
    <w:rsid w:val="3AAB2639"/>
    <w:rsid w:val="3AAC64BB"/>
    <w:rsid w:val="3AC71F69"/>
    <w:rsid w:val="3AD13D7F"/>
    <w:rsid w:val="3AD166C2"/>
    <w:rsid w:val="3AD91D1C"/>
    <w:rsid w:val="3AFD1E46"/>
    <w:rsid w:val="3B54404B"/>
    <w:rsid w:val="3B56296D"/>
    <w:rsid w:val="3B9D5355"/>
    <w:rsid w:val="3BA37269"/>
    <w:rsid w:val="3BB841D6"/>
    <w:rsid w:val="3BDA7340"/>
    <w:rsid w:val="3BDD6A0B"/>
    <w:rsid w:val="3C054E8D"/>
    <w:rsid w:val="3C1B153E"/>
    <w:rsid w:val="3C631DE3"/>
    <w:rsid w:val="3C7F6C4E"/>
    <w:rsid w:val="3C8A268B"/>
    <w:rsid w:val="3C956426"/>
    <w:rsid w:val="3CB461C4"/>
    <w:rsid w:val="3CFB7A17"/>
    <w:rsid w:val="3D1073BD"/>
    <w:rsid w:val="3D2B61A5"/>
    <w:rsid w:val="3D4A5224"/>
    <w:rsid w:val="3D554765"/>
    <w:rsid w:val="3D6A4C1C"/>
    <w:rsid w:val="3D8C5929"/>
    <w:rsid w:val="3DBF6452"/>
    <w:rsid w:val="3DE54865"/>
    <w:rsid w:val="3DF6688C"/>
    <w:rsid w:val="3DF80E88"/>
    <w:rsid w:val="3E0610AE"/>
    <w:rsid w:val="3E153194"/>
    <w:rsid w:val="3E506E3C"/>
    <w:rsid w:val="3E5A29D9"/>
    <w:rsid w:val="3E60514F"/>
    <w:rsid w:val="3EA427EF"/>
    <w:rsid w:val="3EC27CCF"/>
    <w:rsid w:val="3ED602AD"/>
    <w:rsid w:val="3EDC236E"/>
    <w:rsid w:val="3EFA3896"/>
    <w:rsid w:val="3F177551"/>
    <w:rsid w:val="3F183805"/>
    <w:rsid w:val="3F1D2A27"/>
    <w:rsid w:val="3F567517"/>
    <w:rsid w:val="3F680498"/>
    <w:rsid w:val="3F7C5679"/>
    <w:rsid w:val="3F854456"/>
    <w:rsid w:val="3F8B424E"/>
    <w:rsid w:val="3F9A383A"/>
    <w:rsid w:val="3FC13535"/>
    <w:rsid w:val="3FC9475C"/>
    <w:rsid w:val="3FD91DCF"/>
    <w:rsid w:val="3FDF76DA"/>
    <w:rsid w:val="4006574C"/>
    <w:rsid w:val="40102722"/>
    <w:rsid w:val="40237A8B"/>
    <w:rsid w:val="40506822"/>
    <w:rsid w:val="4068278D"/>
    <w:rsid w:val="409F2631"/>
    <w:rsid w:val="40A61B7F"/>
    <w:rsid w:val="40C562D3"/>
    <w:rsid w:val="40CC2B79"/>
    <w:rsid w:val="40E764AD"/>
    <w:rsid w:val="40F064C1"/>
    <w:rsid w:val="41255FD6"/>
    <w:rsid w:val="413E11C9"/>
    <w:rsid w:val="414D66B9"/>
    <w:rsid w:val="415F721B"/>
    <w:rsid w:val="419F7CD8"/>
    <w:rsid w:val="41A928CC"/>
    <w:rsid w:val="41B37DA9"/>
    <w:rsid w:val="41C50675"/>
    <w:rsid w:val="41EC7CD9"/>
    <w:rsid w:val="420C0805"/>
    <w:rsid w:val="420E7E57"/>
    <w:rsid w:val="4296401C"/>
    <w:rsid w:val="429B15D2"/>
    <w:rsid w:val="429D2065"/>
    <w:rsid w:val="42A85471"/>
    <w:rsid w:val="42D76512"/>
    <w:rsid w:val="434014CC"/>
    <w:rsid w:val="43450488"/>
    <w:rsid w:val="434B17FA"/>
    <w:rsid w:val="437B7841"/>
    <w:rsid w:val="43805C8A"/>
    <w:rsid w:val="43A56409"/>
    <w:rsid w:val="43AE09F3"/>
    <w:rsid w:val="43DC20F4"/>
    <w:rsid w:val="443252CA"/>
    <w:rsid w:val="44842941"/>
    <w:rsid w:val="44960797"/>
    <w:rsid w:val="449952C7"/>
    <w:rsid w:val="44A83141"/>
    <w:rsid w:val="44C72E8F"/>
    <w:rsid w:val="452A7138"/>
    <w:rsid w:val="45592CE6"/>
    <w:rsid w:val="45763476"/>
    <w:rsid w:val="459C6D71"/>
    <w:rsid w:val="459D0560"/>
    <w:rsid w:val="45BA4A55"/>
    <w:rsid w:val="45D80469"/>
    <w:rsid w:val="460D2F7E"/>
    <w:rsid w:val="463E3C23"/>
    <w:rsid w:val="46427A9C"/>
    <w:rsid w:val="4649335D"/>
    <w:rsid w:val="465856F8"/>
    <w:rsid w:val="46986D84"/>
    <w:rsid w:val="46A61741"/>
    <w:rsid w:val="46A622A5"/>
    <w:rsid w:val="46C23D45"/>
    <w:rsid w:val="46FD79B3"/>
    <w:rsid w:val="472216C7"/>
    <w:rsid w:val="47744E30"/>
    <w:rsid w:val="47A17784"/>
    <w:rsid w:val="47B7471B"/>
    <w:rsid w:val="47DD7224"/>
    <w:rsid w:val="47E75388"/>
    <w:rsid w:val="47F8043B"/>
    <w:rsid w:val="48117431"/>
    <w:rsid w:val="4826706B"/>
    <w:rsid w:val="482A15D0"/>
    <w:rsid w:val="48AF4C3D"/>
    <w:rsid w:val="49023556"/>
    <w:rsid w:val="49070941"/>
    <w:rsid w:val="492F5B52"/>
    <w:rsid w:val="496562E9"/>
    <w:rsid w:val="496D5CD7"/>
    <w:rsid w:val="49A37876"/>
    <w:rsid w:val="49D82CB6"/>
    <w:rsid w:val="49DF443D"/>
    <w:rsid w:val="49E876D4"/>
    <w:rsid w:val="4A1129BB"/>
    <w:rsid w:val="4A152301"/>
    <w:rsid w:val="4A1D4A85"/>
    <w:rsid w:val="4A247259"/>
    <w:rsid w:val="4A2C30F9"/>
    <w:rsid w:val="4A345E6F"/>
    <w:rsid w:val="4A4009DF"/>
    <w:rsid w:val="4A436D25"/>
    <w:rsid w:val="4A9229B9"/>
    <w:rsid w:val="4AD04DC9"/>
    <w:rsid w:val="4B0059A0"/>
    <w:rsid w:val="4B4A0E91"/>
    <w:rsid w:val="4B5E33BB"/>
    <w:rsid w:val="4B694B79"/>
    <w:rsid w:val="4B696516"/>
    <w:rsid w:val="4B6E2CCF"/>
    <w:rsid w:val="4B767CEC"/>
    <w:rsid w:val="4B782F7A"/>
    <w:rsid w:val="4B99763F"/>
    <w:rsid w:val="4B9E091B"/>
    <w:rsid w:val="4BEF3DEB"/>
    <w:rsid w:val="4C0A46BD"/>
    <w:rsid w:val="4C2629DA"/>
    <w:rsid w:val="4C417870"/>
    <w:rsid w:val="4CD60BE9"/>
    <w:rsid w:val="4D0524B7"/>
    <w:rsid w:val="4D117CDD"/>
    <w:rsid w:val="4D1E617F"/>
    <w:rsid w:val="4D2F34E6"/>
    <w:rsid w:val="4D3704F7"/>
    <w:rsid w:val="4D4E5C17"/>
    <w:rsid w:val="4D5E485D"/>
    <w:rsid w:val="4D7E0E31"/>
    <w:rsid w:val="4DBF51BA"/>
    <w:rsid w:val="4DC516FE"/>
    <w:rsid w:val="4DE6074D"/>
    <w:rsid w:val="4DE674D6"/>
    <w:rsid w:val="4DFD3A9A"/>
    <w:rsid w:val="4E020EC4"/>
    <w:rsid w:val="4E2F01CC"/>
    <w:rsid w:val="4E407E03"/>
    <w:rsid w:val="4E453E52"/>
    <w:rsid w:val="4E811855"/>
    <w:rsid w:val="4E8C1CA6"/>
    <w:rsid w:val="4F374212"/>
    <w:rsid w:val="4F506B2E"/>
    <w:rsid w:val="4FD743B2"/>
    <w:rsid w:val="504B2249"/>
    <w:rsid w:val="504E5146"/>
    <w:rsid w:val="50824921"/>
    <w:rsid w:val="50C12FE2"/>
    <w:rsid w:val="50EE52D5"/>
    <w:rsid w:val="510E3114"/>
    <w:rsid w:val="5136553F"/>
    <w:rsid w:val="515A2406"/>
    <w:rsid w:val="515D0C2F"/>
    <w:rsid w:val="5162505E"/>
    <w:rsid w:val="516E009E"/>
    <w:rsid w:val="51BC36F0"/>
    <w:rsid w:val="51E246CB"/>
    <w:rsid w:val="5202632F"/>
    <w:rsid w:val="52076C7C"/>
    <w:rsid w:val="52290433"/>
    <w:rsid w:val="52571B5C"/>
    <w:rsid w:val="526F014F"/>
    <w:rsid w:val="527A4A5C"/>
    <w:rsid w:val="52A4501B"/>
    <w:rsid w:val="52E857C0"/>
    <w:rsid w:val="53516CBE"/>
    <w:rsid w:val="53806B73"/>
    <w:rsid w:val="5389647A"/>
    <w:rsid w:val="539543DE"/>
    <w:rsid w:val="53BF4BE0"/>
    <w:rsid w:val="53F63161"/>
    <w:rsid w:val="544A535F"/>
    <w:rsid w:val="545A4165"/>
    <w:rsid w:val="545D55FC"/>
    <w:rsid w:val="54655381"/>
    <w:rsid w:val="547E5877"/>
    <w:rsid w:val="54B65D63"/>
    <w:rsid w:val="54EF54F7"/>
    <w:rsid w:val="54F6767D"/>
    <w:rsid w:val="554929D5"/>
    <w:rsid w:val="555B3FA7"/>
    <w:rsid w:val="555F40C8"/>
    <w:rsid w:val="55945604"/>
    <w:rsid w:val="55A84A39"/>
    <w:rsid w:val="55B52E7A"/>
    <w:rsid w:val="55CF5C51"/>
    <w:rsid w:val="55F244A9"/>
    <w:rsid w:val="56110FB7"/>
    <w:rsid w:val="56747760"/>
    <w:rsid w:val="56EA4EB1"/>
    <w:rsid w:val="571B1B80"/>
    <w:rsid w:val="57551572"/>
    <w:rsid w:val="576644B7"/>
    <w:rsid w:val="576A292B"/>
    <w:rsid w:val="576E0428"/>
    <w:rsid w:val="578447E8"/>
    <w:rsid w:val="579532F8"/>
    <w:rsid w:val="57AB14F5"/>
    <w:rsid w:val="57AF3B1D"/>
    <w:rsid w:val="58663058"/>
    <w:rsid w:val="58692DC9"/>
    <w:rsid w:val="58B36388"/>
    <w:rsid w:val="58B95846"/>
    <w:rsid w:val="58C17A21"/>
    <w:rsid w:val="58D046D6"/>
    <w:rsid w:val="5908578F"/>
    <w:rsid w:val="596B457C"/>
    <w:rsid w:val="59716A0E"/>
    <w:rsid w:val="599B2239"/>
    <w:rsid w:val="599D5EE6"/>
    <w:rsid w:val="59BC53C6"/>
    <w:rsid w:val="59BE2B4A"/>
    <w:rsid w:val="59C135E1"/>
    <w:rsid w:val="59CC0D86"/>
    <w:rsid w:val="59EA6BC7"/>
    <w:rsid w:val="5A126D51"/>
    <w:rsid w:val="5A1B7396"/>
    <w:rsid w:val="5A6F2008"/>
    <w:rsid w:val="5AA1000A"/>
    <w:rsid w:val="5AC41DC2"/>
    <w:rsid w:val="5AC5578A"/>
    <w:rsid w:val="5ACA3645"/>
    <w:rsid w:val="5AF62D21"/>
    <w:rsid w:val="5B5C0302"/>
    <w:rsid w:val="5BB7605B"/>
    <w:rsid w:val="5BBD21A0"/>
    <w:rsid w:val="5BE21779"/>
    <w:rsid w:val="5C6A01AA"/>
    <w:rsid w:val="5CBA7D8D"/>
    <w:rsid w:val="5CBC3FEF"/>
    <w:rsid w:val="5CBE02FE"/>
    <w:rsid w:val="5CCE437A"/>
    <w:rsid w:val="5CE65004"/>
    <w:rsid w:val="5CFF0FDD"/>
    <w:rsid w:val="5CFF30F6"/>
    <w:rsid w:val="5D0863AE"/>
    <w:rsid w:val="5D155CAE"/>
    <w:rsid w:val="5D1A50E8"/>
    <w:rsid w:val="5D3F0D8B"/>
    <w:rsid w:val="5D563689"/>
    <w:rsid w:val="5D5825C4"/>
    <w:rsid w:val="5D742A81"/>
    <w:rsid w:val="5D7540F3"/>
    <w:rsid w:val="5D991096"/>
    <w:rsid w:val="5DB119B1"/>
    <w:rsid w:val="5DF270A4"/>
    <w:rsid w:val="5E324EF8"/>
    <w:rsid w:val="5E4405CB"/>
    <w:rsid w:val="5EE7053E"/>
    <w:rsid w:val="5EE70F2F"/>
    <w:rsid w:val="5EF85086"/>
    <w:rsid w:val="5F6206A8"/>
    <w:rsid w:val="5F6949B8"/>
    <w:rsid w:val="5F926946"/>
    <w:rsid w:val="5FAE2798"/>
    <w:rsid w:val="5FAE3384"/>
    <w:rsid w:val="5FDC7D72"/>
    <w:rsid w:val="5FE57397"/>
    <w:rsid w:val="601E314A"/>
    <w:rsid w:val="6036651C"/>
    <w:rsid w:val="60917DCB"/>
    <w:rsid w:val="60D63582"/>
    <w:rsid w:val="60DE0679"/>
    <w:rsid w:val="60EB66EE"/>
    <w:rsid w:val="61872A82"/>
    <w:rsid w:val="61901952"/>
    <w:rsid w:val="61CA6014"/>
    <w:rsid w:val="61CB511F"/>
    <w:rsid w:val="61DB6BD8"/>
    <w:rsid w:val="620A5F58"/>
    <w:rsid w:val="621379A5"/>
    <w:rsid w:val="6220119B"/>
    <w:rsid w:val="622C5B82"/>
    <w:rsid w:val="62383F6B"/>
    <w:rsid w:val="62851EA4"/>
    <w:rsid w:val="629710AD"/>
    <w:rsid w:val="62AC216E"/>
    <w:rsid w:val="62D90357"/>
    <w:rsid w:val="634230D8"/>
    <w:rsid w:val="634957D9"/>
    <w:rsid w:val="63721545"/>
    <w:rsid w:val="63994004"/>
    <w:rsid w:val="63B13B4D"/>
    <w:rsid w:val="63CB7DC7"/>
    <w:rsid w:val="63CF2051"/>
    <w:rsid w:val="63D91100"/>
    <w:rsid w:val="63E35481"/>
    <w:rsid w:val="63F250CA"/>
    <w:rsid w:val="642409E3"/>
    <w:rsid w:val="644C140A"/>
    <w:rsid w:val="64614AE6"/>
    <w:rsid w:val="646A0BCA"/>
    <w:rsid w:val="648F6B8B"/>
    <w:rsid w:val="64977571"/>
    <w:rsid w:val="64A56604"/>
    <w:rsid w:val="64BD3550"/>
    <w:rsid w:val="64ED4D50"/>
    <w:rsid w:val="64FF13C4"/>
    <w:rsid w:val="65131925"/>
    <w:rsid w:val="65427EEA"/>
    <w:rsid w:val="655E0498"/>
    <w:rsid w:val="65691616"/>
    <w:rsid w:val="6570357F"/>
    <w:rsid w:val="657117A3"/>
    <w:rsid w:val="657D6D23"/>
    <w:rsid w:val="65C06B3F"/>
    <w:rsid w:val="65E0291F"/>
    <w:rsid w:val="65FE1FB4"/>
    <w:rsid w:val="660E6EE8"/>
    <w:rsid w:val="661D7B71"/>
    <w:rsid w:val="663C067D"/>
    <w:rsid w:val="6657269C"/>
    <w:rsid w:val="666939FF"/>
    <w:rsid w:val="667A4202"/>
    <w:rsid w:val="66815638"/>
    <w:rsid w:val="669D300F"/>
    <w:rsid w:val="66AE6AF3"/>
    <w:rsid w:val="66B03481"/>
    <w:rsid w:val="66BA68F7"/>
    <w:rsid w:val="66CC61B6"/>
    <w:rsid w:val="66D048AA"/>
    <w:rsid w:val="66D217F6"/>
    <w:rsid w:val="67067440"/>
    <w:rsid w:val="67185770"/>
    <w:rsid w:val="6725638C"/>
    <w:rsid w:val="676F4FE8"/>
    <w:rsid w:val="67832C18"/>
    <w:rsid w:val="678D1978"/>
    <w:rsid w:val="67984AEE"/>
    <w:rsid w:val="679A551E"/>
    <w:rsid w:val="67DC1184"/>
    <w:rsid w:val="68144C73"/>
    <w:rsid w:val="681A49A7"/>
    <w:rsid w:val="683A4FB1"/>
    <w:rsid w:val="684C73E9"/>
    <w:rsid w:val="68593B86"/>
    <w:rsid w:val="68882C31"/>
    <w:rsid w:val="689C26EC"/>
    <w:rsid w:val="68B74DC7"/>
    <w:rsid w:val="68C84CF7"/>
    <w:rsid w:val="68CE2480"/>
    <w:rsid w:val="68DE7080"/>
    <w:rsid w:val="690A5038"/>
    <w:rsid w:val="69243FCA"/>
    <w:rsid w:val="6937089E"/>
    <w:rsid w:val="694275A2"/>
    <w:rsid w:val="695F6E17"/>
    <w:rsid w:val="69683063"/>
    <w:rsid w:val="696A5CDF"/>
    <w:rsid w:val="6971770E"/>
    <w:rsid w:val="698F343B"/>
    <w:rsid w:val="69A2039E"/>
    <w:rsid w:val="69B419F4"/>
    <w:rsid w:val="69BE2E1F"/>
    <w:rsid w:val="69D432BC"/>
    <w:rsid w:val="6A0209A0"/>
    <w:rsid w:val="6A83483A"/>
    <w:rsid w:val="6A9768DA"/>
    <w:rsid w:val="6AD57DD6"/>
    <w:rsid w:val="6B032BB3"/>
    <w:rsid w:val="6B2817F8"/>
    <w:rsid w:val="6B4A5D9D"/>
    <w:rsid w:val="6B5B63EA"/>
    <w:rsid w:val="6B5E07AC"/>
    <w:rsid w:val="6B7B5A6E"/>
    <w:rsid w:val="6B9F6792"/>
    <w:rsid w:val="6BB25263"/>
    <w:rsid w:val="6BC14981"/>
    <w:rsid w:val="6BCA2D65"/>
    <w:rsid w:val="6BE92CE6"/>
    <w:rsid w:val="6C183B29"/>
    <w:rsid w:val="6C303D8F"/>
    <w:rsid w:val="6C5C4853"/>
    <w:rsid w:val="6C5E4EBF"/>
    <w:rsid w:val="6C797848"/>
    <w:rsid w:val="6C7B7925"/>
    <w:rsid w:val="6C8B56FB"/>
    <w:rsid w:val="6CAB7CFF"/>
    <w:rsid w:val="6CB42F74"/>
    <w:rsid w:val="6CC02616"/>
    <w:rsid w:val="6D094896"/>
    <w:rsid w:val="6DA80733"/>
    <w:rsid w:val="6DAD0205"/>
    <w:rsid w:val="6DF1355B"/>
    <w:rsid w:val="6DFD1F27"/>
    <w:rsid w:val="6E121570"/>
    <w:rsid w:val="6E393BAE"/>
    <w:rsid w:val="6E7939AB"/>
    <w:rsid w:val="6E7D1D88"/>
    <w:rsid w:val="6E8F6D91"/>
    <w:rsid w:val="6EAB66A1"/>
    <w:rsid w:val="6F1E59D6"/>
    <w:rsid w:val="6F5D163E"/>
    <w:rsid w:val="6F6333B6"/>
    <w:rsid w:val="6F6E783A"/>
    <w:rsid w:val="6F8C6F21"/>
    <w:rsid w:val="6FCB46D0"/>
    <w:rsid w:val="6FF270F0"/>
    <w:rsid w:val="6FF3432E"/>
    <w:rsid w:val="6FFF3784"/>
    <w:rsid w:val="702F63B3"/>
    <w:rsid w:val="70392F3D"/>
    <w:rsid w:val="704F5C71"/>
    <w:rsid w:val="705C1B4A"/>
    <w:rsid w:val="705D50DF"/>
    <w:rsid w:val="70633729"/>
    <w:rsid w:val="70864EBC"/>
    <w:rsid w:val="708D1557"/>
    <w:rsid w:val="70A54737"/>
    <w:rsid w:val="70D540AB"/>
    <w:rsid w:val="70E82008"/>
    <w:rsid w:val="70FB13A8"/>
    <w:rsid w:val="71172F17"/>
    <w:rsid w:val="71371A7C"/>
    <w:rsid w:val="718010E3"/>
    <w:rsid w:val="71952E96"/>
    <w:rsid w:val="71BF1F5B"/>
    <w:rsid w:val="71E45E8C"/>
    <w:rsid w:val="720B131B"/>
    <w:rsid w:val="721553B9"/>
    <w:rsid w:val="723B55F8"/>
    <w:rsid w:val="72411700"/>
    <w:rsid w:val="724C7A91"/>
    <w:rsid w:val="72725D97"/>
    <w:rsid w:val="72904F6E"/>
    <w:rsid w:val="729761B6"/>
    <w:rsid w:val="72A946A6"/>
    <w:rsid w:val="72BC0926"/>
    <w:rsid w:val="72D66B16"/>
    <w:rsid w:val="72DD264E"/>
    <w:rsid w:val="72DE415F"/>
    <w:rsid w:val="72FB052F"/>
    <w:rsid w:val="73037E37"/>
    <w:rsid w:val="73402EC4"/>
    <w:rsid w:val="73574E42"/>
    <w:rsid w:val="73735F26"/>
    <w:rsid w:val="737E2F20"/>
    <w:rsid w:val="73DE2426"/>
    <w:rsid w:val="73E55A62"/>
    <w:rsid w:val="73FE4EC6"/>
    <w:rsid w:val="741B124B"/>
    <w:rsid w:val="741B7AD0"/>
    <w:rsid w:val="742C15B3"/>
    <w:rsid w:val="742E4F2C"/>
    <w:rsid w:val="743405B9"/>
    <w:rsid w:val="74624BFD"/>
    <w:rsid w:val="748404BD"/>
    <w:rsid w:val="7488134F"/>
    <w:rsid w:val="74A2314F"/>
    <w:rsid w:val="74E304BB"/>
    <w:rsid w:val="75186717"/>
    <w:rsid w:val="7522340F"/>
    <w:rsid w:val="754C15EA"/>
    <w:rsid w:val="754E3FF7"/>
    <w:rsid w:val="755659C6"/>
    <w:rsid w:val="7556625E"/>
    <w:rsid w:val="75826AA6"/>
    <w:rsid w:val="75AD1592"/>
    <w:rsid w:val="75AD1CA7"/>
    <w:rsid w:val="75D274B7"/>
    <w:rsid w:val="75E37ECE"/>
    <w:rsid w:val="75E919A1"/>
    <w:rsid w:val="75FE222A"/>
    <w:rsid w:val="76211CE4"/>
    <w:rsid w:val="76540620"/>
    <w:rsid w:val="768E7B11"/>
    <w:rsid w:val="76907E70"/>
    <w:rsid w:val="769E7DAB"/>
    <w:rsid w:val="76AE3201"/>
    <w:rsid w:val="76B414A0"/>
    <w:rsid w:val="76E22F00"/>
    <w:rsid w:val="76EF279C"/>
    <w:rsid w:val="773B0DEA"/>
    <w:rsid w:val="77673480"/>
    <w:rsid w:val="777E638B"/>
    <w:rsid w:val="77910C7E"/>
    <w:rsid w:val="779437BB"/>
    <w:rsid w:val="77C55A4D"/>
    <w:rsid w:val="781760AB"/>
    <w:rsid w:val="78181A6D"/>
    <w:rsid w:val="78291D26"/>
    <w:rsid w:val="78361CE2"/>
    <w:rsid w:val="78396EC2"/>
    <w:rsid w:val="783A7691"/>
    <w:rsid w:val="783B4B17"/>
    <w:rsid w:val="784604EB"/>
    <w:rsid w:val="785818DA"/>
    <w:rsid w:val="78604B6B"/>
    <w:rsid w:val="788F4266"/>
    <w:rsid w:val="78F32F61"/>
    <w:rsid w:val="790541F3"/>
    <w:rsid w:val="79392288"/>
    <w:rsid w:val="7955121E"/>
    <w:rsid w:val="799C565A"/>
    <w:rsid w:val="79B61DD2"/>
    <w:rsid w:val="79C07B31"/>
    <w:rsid w:val="7A230972"/>
    <w:rsid w:val="7A516E11"/>
    <w:rsid w:val="7A777B19"/>
    <w:rsid w:val="7A86172A"/>
    <w:rsid w:val="7A8C31A7"/>
    <w:rsid w:val="7A926745"/>
    <w:rsid w:val="7A965794"/>
    <w:rsid w:val="7AD51747"/>
    <w:rsid w:val="7AD9139A"/>
    <w:rsid w:val="7AEC3FE1"/>
    <w:rsid w:val="7AF23E61"/>
    <w:rsid w:val="7AFB65D1"/>
    <w:rsid w:val="7AFC2853"/>
    <w:rsid w:val="7B084183"/>
    <w:rsid w:val="7B2A1024"/>
    <w:rsid w:val="7B2B6D46"/>
    <w:rsid w:val="7B565D6F"/>
    <w:rsid w:val="7B64551F"/>
    <w:rsid w:val="7B8671A0"/>
    <w:rsid w:val="7B941B84"/>
    <w:rsid w:val="7BA56EE3"/>
    <w:rsid w:val="7BC71395"/>
    <w:rsid w:val="7BE37720"/>
    <w:rsid w:val="7C1939BA"/>
    <w:rsid w:val="7C2852B3"/>
    <w:rsid w:val="7C6023A9"/>
    <w:rsid w:val="7C674CB2"/>
    <w:rsid w:val="7C685205"/>
    <w:rsid w:val="7C6E1430"/>
    <w:rsid w:val="7C8A2265"/>
    <w:rsid w:val="7C9A4F82"/>
    <w:rsid w:val="7CA85F22"/>
    <w:rsid w:val="7CAB2E21"/>
    <w:rsid w:val="7CBF6DD5"/>
    <w:rsid w:val="7CD21154"/>
    <w:rsid w:val="7CD84004"/>
    <w:rsid w:val="7CE04A14"/>
    <w:rsid w:val="7D033EC2"/>
    <w:rsid w:val="7D0A69F7"/>
    <w:rsid w:val="7D34486A"/>
    <w:rsid w:val="7D3467D9"/>
    <w:rsid w:val="7D492DAE"/>
    <w:rsid w:val="7D4F1A14"/>
    <w:rsid w:val="7D563869"/>
    <w:rsid w:val="7D573134"/>
    <w:rsid w:val="7D63656D"/>
    <w:rsid w:val="7DB0512F"/>
    <w:rsid w:val="7DBB5C88"/>
    <w:rsid w:val="7E512A8E"/>
    <w:rsid w:val="7E66278F"/>
    <w:rsid w:val="7E891B10"/>
    <w:rsid w:val="7EBB1354"/>
    <w:rsid w:val="7ED50BAB"/>
    <w:rsid w:val="7F0D3870"/>
    <w:rsid w:val="7F2D0B46"/>
    <w:rsid w:val="7F3C7050"/>
    <w:rsid w:val="7F5B1111"/>
    <w:rsid w:val="7FC75816"/>
    <w:rsid w:val="7FE97A73"/>
    <w:rsid w:val="7FEA592C"/>
    <w:rsid w:val="7FF34F22"/>
    <w:rsid w:val="7FF57A6C"/>
    <w:rsid w:val="7FFF7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unhideWhenUsed="0" w:uiPriority="0" w:semiHidden="0" w:name="Date"/>
    <w:lsdException w:uiPriority="99"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4"/>
    <w:link w:val="56"/>
    <w:qFormat/>
    <w:uiPriority w:val="0"/>
    <w:pPr>
      <w:keepNext/>
      <w:keepLines/>
      <w:spacing w:before="340" w:beforeLines="0" w:after="330" w:afterLines="0" w:line="576" w:lineRule="auto"/>
      <w:jc w:val="center"/>
      <w:outlineLvl w:val="0"/>
    </w:pPr>
    <w:rPr>
      <w:b/>
      <w:bCs/>
      <w:kern w:val="44"/>
      <w:sz w:val="30"/>
      <w:szCs w:val="44"/>
    </w:rPr>
  </w:style>
  <w:style w:type="paragraph" w:styleId="6">
    <w:name w:val="heading 2"/>
    <w:basedOn w:val="1"/>
    <w:next w:val="1"/>
    <w:link w:val="58"/>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8"/>
    <w:next w:val="1"/>
    <w:link w:val="59"/>
    <w:qFormat/>
    <w:uiPriority w:val="0"/>
    <w:pPr>
      <w:keepNext/>
      <w:keepLines/>
      <w:spacing w:before="260" w:beforeLines="0" w:after="260" w:afterLines="0" w:line="416" w:lineRule="auto"/>
      <w:jc w:val="center"/>
      <w:outlineLvl w:val="2"/>
    </w:pPr>
    <w:rPr>
      <w:b/>
      <w:bCs/>
      <w:sz w:val="28"/>
      <w:szCs w:val="32"/>
    </w:rPr>
  </w:style>
  <w:style w:type="paragraph" w:styleId="9">
    <w:name w:val="heading 4"/>
    <w:basedOn w:val="1"/>
    <w:next w:val="10"/>
    <w:link w:val="60"/>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11">
    <w:name w:val="heading 5"/>
    <w:basedOn w:val="1"/>
    <w:next w:val="1"/>
    <w:link w:val="61"/>
    <w:qFormat/>
    <w:uiPriority w:val="0"/>
    <w:pPr>
      <w:keepNext/>
      <w:keepLines/>
      <w:tabs>
        <w:tab w:val="left" w:pos="1800"/>
      </w:tabs>
      <w:spacing w:before="280" w:beforeLines="0" w:after="290" w:afterLines="0" w:line="376" w:lineRule="auto"/>
      <w:ind w:left="1800" w:hanging="1800"/>
      <w:outlineLvl w:val="4"/>
    </w:pPr>
    <w:rPr>
      <w:b/>
      <w:bCs/>
      <w:sz w:val="28"/>
      <w:szCs w:val="28"/>
    </w:rPr>
  </w:style>
  <w:style w:type="paragraph" w:styleId="12">
    <w:name w:val="heading 6"/>
    <w:basedOn w:val="1"/>
    <w:next w:val="1"/>
    <w:link w:val="62"/>
    <w:qFormat/>
    <w:uiPriority w:val="0"/>
    <w:pPr>
      <w:keepNext/>
      <w:keepLines/>
      <w:adjustRightInd w:val="0"/>
      <w:spacing w:before="240" w:beforeLines="0" w:after="64" w:afterLines="0" w:line="320" w:lineRule="auto"/>
      <w:textAlignment w:val="baseline"/>
      <w:outlineLvl w:val="5"/>
    </w:pPr>
    <w:rPr>
      <w:rFonts w:ascii="Arial" w:hAnsi="Arial" w:eastAsia="黑体"/>
      <w:b/>
      <w:szCs w:val="20"/>
    </w:rPr>
  </w:style>
  <w:style w:type="paragraph" w:styleId="13">
    <w:name w:val="heading 7"/>
    <w:basedOn w:val="1"/>
    <w:next w:val="1"/>
    <w:link w:val="63"/>
    <w:qFormat/>
    <w:uiPriority w:val="0"/>
    <w:pPr>
      <w:keepNext/>
      <w:keepLines/>
      <w:adjustRightInd w:val="0"/>
      <w:spacing w:before="240" w:beforeLines="0" w:after="64" w:afterLines="0" w:line="320" w:lineRule="auto"/>
      <w:textAlignment w:val="baseline"/>
      <w:outlineLvl w:val="6"/>
    </w:pPr>
    <w:rPr>
      <w:b/>
      <w:szCs w:val="20"/>
    </w:rPr>
  </w:style>
  <w:style w:type="paragraph" w:styleId="14">
    <w:name w:val="heading 8"/>
    <w:basedOn w:val="1"/>
    <w:next w:val="1"/>
    <w:link w:val="64"/>
    <w:qFormat/>
    <w:uiPriority w:val="0"/>
    <w:pPr>
      <w:keepNext/>
      <w:keepLines/>
      <w:adjustRightInd w:val="0"/>
      <w:spacing w:before="240" w:beforeLines="0" w:after="64" w:afterLines="0" w:line="320" w:lineRule="auto"/>
      <w:textAlignment w:val="baseline"/>
      <w:outlineLvl w:val="7"/>
    </w:pPr>
    <w:rPr>
      <w:rFonts w:ascii="Arial" w:hAnsi="Arial" w:eastAsia="黑体"/>
      <w:szCs w:val="20"/>
    </w:rPr>
  </w:style>
  <w:style w:type="paragraph" w:styleId="15">
    <w:name w:val="heading 9"/>
    <w:basedOn w:val="1"/>
    <w:next w:val="1"/>
    <w:link w:val="65"/>
    <w:qFormat/>
    <w:uiPriority w:val="0"/>
    <w:pPr>
      <w:keepNext/>
      <w:keepLines/>
      <w:adjustRightInd w:val="0"/>
      <w:spacing w:before="240" w:beforeLines="0" w:after="64" w:afterLines="0" w:line="320" w:lineRule="auto"/>
      <w:textAlignment w:val="baseline"/>
      <w:outlineLvl w:val="8"/>
    </w:pPr>
    <w:rPr>
      <w:rFonts w:ascii="Arial" w:hAnsi="Arial" w:eastAsia="黑体"/>
      <w:szCs w:val="20"/>
    </w:rPr>
  </w:style>
  <w:style w:type="character" w:default="1" w:styleId="49">
    <w:name w:val="Default Paragraph Font"/>
    <w:uiPriority w:val="0"/>
    <w:rPr>
      <w:rFonts w:ascii="Tahoma" w:hAnsi="Tahoma"/>
      <w:sz w:val="24"/>
      <w:szCs w:val="20"/>
    </w:rPr>
  </w:style>
  <w:style w:type="table" w:default="1" w:styleId="47">
    <w:name w:val="Normal Table"/>
    <w:unhideWhenUsed/>
    <w:uiPriority w:val="99"/>
    <w:tblPr>
      <w:tblStyle w:val="47"/>
      <w:tblCellMar>
        <w:top w:w="0" w:type="dxa"/>
        <w:left w:w="108" w:type="dxa"/>
        <w:bottom w:w="0" w:type="dxa"/>
        <w:right w:w="108" w:type="dxa"/>
      </w:tblCellMar>
    </w:tblPr>
  </w:style>
  <w:style w:type="paragraph" w:styleId="2">
    <w:name w:val="Body Text"/>
    <w:basedOn w:val="1"/>
    <w:link w:val="55"/>
    <w:uiPriority w:val="0"/>
    <w:pPr>
      <w:spacing w:after="120" w:afterLines="0"/>
    </w:pPr>
    <w:rPr>
      <w:sz w:val="28"/>
    </w:rPr>
  </w:style>
  <w:style w:type="paragraph" w:styleId="4">
    <w:name w:val="Body Text First Indent 2"/>
    <w:basedOn w:val="5"/>
    <w:next w:val="1"/>
    <w:unhideWhenUsed/>
    <w:qFormat/>
    <w:uiPriority w:val="99"/>
    <w:pPr>
      <w:spacing w:after="120" w:line="240" w:lineRule="auto"/>
      <w:ind w:left="420" w:leftChars="200" w:firstLine="420"/>
    </w:pPr>
    <w:rPr>
      <w:rFonts w:cs="宋体"/>
      <w:sz w:val="21"/>
      <w:szCs w:val="21"/>
    </w:rPr>
  </w:style>
  <w:style w:type="paragraph" w:styleId="5">
    <w:name w:val="Body Text Indent"/>
    <w:basedOn w:val="1"/>
    <w:next w:val="1"/>
    <w:link w:val="57"/>
    <w:uiPriority w:val="0"/>
    <w:pPr>
      <w:spacing w:line="200" w:lineRule="exact"/>
      <w:ind w:firstLine="301"/>
    </w:pPr>
    <w:rPr>
      <w:rFonts w:ascii="宋体" w:hAnsi="Courier New"/>
      <w:spacing w:val="-4"/>
      <w:sz w:val="18"/>
      <w:szCs w:val="20"/>
    </w:rPr>
  </w:style>
  <w:style w:type="paragraph" w:styleId="8">
    <w:name w:val="List Paragraph"/>
    <w:basedOn w:val="1"/>
    <w:qFormat/>
    <w:uiPriority w:val="34"/>
    <w:pPr>
      <w:ind w:firstLine="420" w:firstLineChars="200"/>
    </w:pPr>
    <w:rPr>
      <w:rFonts w:ascii="Calibri" w:hAnsi="Calibri"/>
      <w:szCs w:val="22"/>
    </w:rPr>
  </w:style>
  <w:style w:type="paragraph" w:styleId="10">
    <w:name w:val="Body Text First Indent"/>
    <w:basedOn w:val="2"/>
    <w:unhideWhenUsed/>
    <w:uiPriority w:val="99"/>
    <w:pPr>
      <w:ind w:firstLine="420" w:firstLineChars="100"/>
    </w:pPr>
  </w:style>
  <w:style w:type="paragraph" w:styleId="16">
    <w:name w:val="toc 7"/>
    <w:basedOn w:val="1"/>
    <w:next w:val="1"/>
    <w:uiPriority w:val="0"/>
    <w:pPr>
      <w:ind w:left="1260"/>
      <w:jc w:val="left"/>
    </w:pPr>
    <w:rPr>
      <w:rFonts w:ascii="Calibri" w:hAnsi="Calibri" w:cs="Calibri"/>
      <w:sz w:val="18"/>
      <w:szCs w:val="18"/>
    </w:rPr>
  </w:style>
  <w:style w:type="paragraph" w:styleId="17">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8">
    <w:name w:val="Normal Indent"/>
    <w:basedOn w:val="1"/>
    <w:uiPriority w:val="0"/>
    <w:pPr>
      <w:ind w:firstLine="420"/>
    </w:pPr>
    <w:rPr>
      <w:szCs w:val="20"/>
    </w:rPr>
  </w:style>
  <w:style w:type="paragraph" w:styleId="19">
    <w:name w:val="caption"/>
    <w:basedOn w:val="1"/>
    <w:next w:val="1"/>
    <w:qFormat/>
    <w:uiPriority w:val="0"/>
    <w:pPr>
      <w:spacing w:before="152" w:beforeLines="0" w:after="160" w:afterLines="0"/>
    </w:pPr>
    <w:rPr>
      <w:rFonts w:ascii="Arial" w:hAnsi="Arial" w:eastAsia="黑体" w:cs="Arial"/>
      <w:sz w:val="20"/>
      <w:szCs w:val="20"/>
    </w:rPr>
  </w:style>
  <w:style w:type="paragraph" w:styleId="20">
    <w:name w:val="Document Map"/>
    <w:basedOn w:val="1"/>
    <w:link w:val="66"/>
    <w:uiPriority w:val="0"/>
    <w:pPr>
      <w:shd w:val="clear" w:color="auto" w:fill="000080"/>
    </w:pPr>
  </w:style>
  <w:style w:type="paragraph" w:styleId="21">
    <w:name w:val="annotation text"/>
    <w:basedOn w:val="1"/>
    <w:link w:val="67"/>
    <w:uiPriority w:val="0"/>
    <w:pPr>
      <w:jc w:val="left"/>
    </w:pPr>
    <w:rPr>
      <w:szCs w:val="20"/>
    </w:rPr>
  </w:style>
  <w:style w:type="paragraph" w:styleId="22">
    <w:name w:val="Body Text 3"/>
    <w:basedOn w:val="1"/>
    <w:link w:val="68"/>
    <w:uiPriority w:val="0"/>
    <w:pPr>
      <w:snapToGrid w:val="0"/>
      <w:spacing w:before="50" w:beforeLines="0" w:after="50" w:afterLines="0"/>
    </w:pPr>
    <w:rPr>
      <w:rFonts w:hAnsi="宋体" w:eastAsia="仿宋_GB2312"/>
      <w:b/>
      <w:bCs/>
      <w:sz w:val="24"/>
      <w:szCs w:val="20"/>
    </w:rPr>
  </w:style>
  <w:style w:type="paragraph" w:styleId="23">
    <w:name w:val="List Number 3"/>
    <w:basedOn w:val="1"/>
    <w:uiPriority w:val="0"/>
    <w:pPr>
      <w:numPr>
        <w:ilvl w:val="0"/>
        <w:numId w:val="1"/>
      </w:numPr>
    </w:pPr>
  </w:style>
  <w:style w:type="paragraph" w:styleId="24">
    <w:name w:val="List 2"/>
    <w:basedOn w:val="1"/>
    <w:uiPriority w:val="0"/>
    <w:pPr>
      <w:ind w:left="100" w:leftChars="200" w:hanging="200" w:hangingChars="200"/>
    </w:pPr>
    <w:rPr>
      <w:sz w:val="28"/>
    </w:rPr>
  </w:style>
  <w:style w:type="paragraph" w:styleId="25">
    <w:name w:val="toc 5"/>
    <w:basedOn w:val="1"/>
    <w:next w:val="1"/>
    <w:uiPriority w:val="0"/>
    <w:pPr>
      <w:ind w:left="840"/>
      <w:jc w:val="left"/>
    </w:pPr>
    <w:rPr>
      <w:rFonts w:ascii="Calibri" w:hAnsi="Calibri" w:cs="Calibri"/>
      <w:sz w:val="18"/>
      <w:szCs w:val="18"/>
    </w:rPr>
  </w:style>
  <w:style w:type="paragraph" w:styleId="26">
    <w:name w:val="toc 3"/>
    <w:basedOn w:val="1"/>
    <w:next w:val="1"/>
    <w:uiPriority w:val="39"/>
    <w:pPr>
      <w:ind w:left="840" w:leftChars="400"/>
    </w:pPr>
  </w:style>
  <w:style w:type="paragraph" w:styleId="27">
    <w:name w:val="Plain Text"/>
    <w:basedOn w:val="1"/>
    <w:link w:val="69"/>
    <w:uiPriority w:val="0"/>
    <w:pPr>
      <w:spacing w:before="156" w:beforeLines="50" w:after="156" w:afterLines="50" w:line="400" w:lineRule="exact"/>
    </w:pPr>
    <w:rPr>
      <w:rFonts w:ascii="宋体" w:hAnsi="Courier New"/>
      <w:sz w:val="24"/>
    </w:rPr>
  </w:style>
  <w:style w:type="paragraph" w:styleId="28">
    <w:name w:val="toc 8"/>
    <w:basedOn w:val="1"/>
    <w:next w:val="1"/>
    <w:uiPriority w:val="0"/>
    <w:pPr>
      <w:ind w:left="1470"/>
      <w:jc w:val="left"/>
    </w:pPr>
    <w:rPr>
      <w:rFonts w:ascii="Calibri" w:hAnsi="Calibri" w:cs="Calibri"/>
      <w:sz w:val="18"/>
      <w:szCs w:val="18"/>
    </w:rPr>
  </w:style>
  <w:style w:type="paragraph" w:styleId="29">
    <w:name w:val="Date"/>
    <w:basedOn w:val="1"/>
    <w:next w:val="1"/>
    <w:link w:val="70"/>
    <w:uiPriority w:val="0"/>
    <w:pPr>
      <w:ind w:leftChars="2500"/>
    </w:pPr>
    <w:rPr>
      <w:rFonts w:eastAsia="楷体_GB2312"/>
      <w:sz w:val="32"/>
      <w:szCs w:val="20"/>
    </w:rPr>
  </w:style>
  <w:style w:type="paragraph" w:styleId="30">
    <w:name w:val="Body Text Indent 2"/>
    <w:basedOn w:val="1"/>
    <w:link w:val="71"/>
    <w:uiPriority w:val="0"/>
    <w:pPr>
      <w:snapToGrid w:val="0"/>
      <w:ind w:firstLine="542" w:firstLineChars="225"/>
    </w:pPr>
    <w:rPr>
      <w:rFonts w:ascii="仿宋_GB2312" w:hAnsi="宋体"/>
      <w:b/>
      <w:bCs/>
      <w:color w:val="000000"/>
      <w:sz w:val="24"/>
    </w:rPr>
  </w:style>
  <w:style w:type="paragraph" w:styleId="31">
    <w:name w:val="endnote text"/>
    <w:basedOn w:val="1"/>
    <w:link w:val="72"/>
    <w:uiPriority w:val="0"/>
    <w:pPr>
      <w:snapToGrid w:val="0"/>
      <w:jc w:val="left"/>
    </w:pPr>
  </w:style>
  <w:style w:type="paragraph" w:styleId="32">
    <w:name w:val="Balloon Text"/>
    <w:basedOn w:val="1"/>
    <w:link w:val="73"/>
    <w:uiPriority w:val="0"/>
    <w:rPr>
      <w:sz w:val="18"/>
      <w:szCs w:val="18"/>
    </w:rPr>
  </w:style>
  <w:style w:type="paragraph" w:styleId="33">
    <w:name w:val="footer"/>
    <w:basedOn w:val="1"/>
    <w:link w:val="74"/>
    <w:uiPriority w:val="0"/>
    <w:pPr>
      <w:tabs>
        <w:tab w:val="center" w:pos="4153"/>
        <w:tab w:val="right" w:pos="8306"/>
      </w:tabs>
      <w:snapToGrid w:val="0"/>
      <w:jc w:val="left"/>
    </w:pPr>
    <w:rPr>
      <w:rFonts w:eastAsia="黑体"/>
      <w:snapToGrid w:val="0"/>
      <w:kern w:val="0"/>
      <w:sz w:val="18"/>
      <w:szCs w:val="18"/>
    </w:rPr>
  </w:style>
  <w:style w:type="paragraph" w:styleId="34">
    <w:name w:val="header"/>
    <w:basedOn w:val="1"/>
    <w:link w:val="75"/>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1"/>
    <w:next w:val="1"/>
    <w:uiPriority w:val="39"/>
    <w:pPr>
      <w:spacing w:before="600" w:beforeLines="0" w:after="600" w:afterLines="0"/>
    </w:pPr>
    <w:rPr>
      <w:b/>
      <w:sz w:val="32"/>
    </w:rPr>
  </w:style>
  <w:style w:type="paragraph" w:styleId="36">
    <w:name w:val="toc 4"/>
    <w:basedOn w:val="1"/>
    <w:next w:val="1"/>
    <w:uiPriority w:val="0"/>
    <w:pPr>
      <w:ind w:left="630"/>
      <w:jc w:val="left"/>
    </w:pPr>
    <w:rPr>
      <w:rFonts w:ascii="Calibri" w:hAnsi="Calibri" w:cs="Calibri"/>
      <w:sz w:val="18"/>
      <w:szCs w:val="18"/>
    </w:rPr>
  </w:style>
  <w:style w:type="paragraph" w:styleId="37">
    <w:name w:val="Subtitle"/>
    <w:basedOn w:val="1"/>
    <w:next w:val="1"/>
    <w:link w:val="7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8">
    <w:name w:val="List"/>
    <w:basedOn w:val="1"/>
    <w:uiPriority w:val="0"/>
    <w:pPr>
      <w:ind w:left="200" w:hanging="200" w:hangingChars="200"/>
    </w:pPr>
    <w:rPr>
      <w:sz w:val="28"/>
    </w:rPr>
  </w:style>
  <w:style w:type="paragraph" w:styleId="39">
    <w:name w:val="footnote text"/>
    <w:basedOn w:val="1"/>
    <w:link w:val="77"/>
    <w:uiPriority w:val="0"/>
    <w:pPr>
      <w:snapToGrid w:val="0"/>
      <w:jc w:val="left"/>
    </w:pPr>
    <w:rPr>
      <w:sz w:val="18"/>
      <w:szCs w:val="18"/>
    </w:rPr>
  </w:style>
  <w:style w:type="paragraph" w:styleId="40">
    <w:name w:val="toc 6"/>
    <w:basedOn w:val="1"/>
    <w:next w:val="1"/>
    <w:uiPriority w:val="0"/>
    <w:pPr>
      <w:ind w:left="1050"/>
      <w:jc w:val="left"/>
    </w:pPr>
    <w:rPr>
      <w:rFonts w:ascii="Calibri" w:hAnsi="Calibri" w:cs="Calibri"/>
      <w:sz w:val="18"/>
      <w:szCs w:val="18"/>
    </w:rPr>
  </w:style>
  <w:style w:type="paragraph" w:styleId="41">
    <w:name w:val="Body Text Indent 3"/>
    <w:basedOn w:val="1"/>
    <w:link w:val="78"/>
    <w:uiPriority w:val="0"/>
    <w:pPr>
      <w:snapToGrid w:val="0"/>
      <w:ind w:firstLine="480" w:firstLineChars="200"/>
      <w:jc w:val="left"/>
    </w:pPr>
    <w:rPr>
      <w:rFonts w:ascii="仿宋_GB2312" w:hAnsi="宋体" w:eastAsia="仿宋_GB2312"/>
      <w:color w:val="000000"/>
      <w:sz w:val="24"/>
    </w:rPr>
  </w:style>
  <w:style w:type="paragraph" w:styleId="42">
    <w:name w:val="toc 2"/>
    <w:basedOn w:val="1"/>
    <w:next w:val="1"/>
    <w:uiPriority w:val="39"/>
    <w:pPr>
      <w:ind w:left="420" w:leftChars="200"/>
    </w:pPr>
  </w:style>
  <w:style w:type="paragraph" w:styleId="43">
    <w:name w:val="toc 9"/>
    <w:basedOn w:val="1"/>
    <w:next w:val="1"/>
    <w:uiPriority w:val="0"/>
    <w:pPr>
      <w:ind w:left="1680"/>
      <w:jc w:val="left"/>
    </w:pPr>
    <w:rPr>
      <w:rFonts w:ascii="Calibri" w:hAnsi="Calibri" w:cs="Calibri"/>
      <w:sz w:val="18"/>
      <w:szCs w:val="18"/>
    </w:rPr>
  </w:style>
  <w:style w:type="paragraph" w:styleId="44">
    <w:name w:val="Body Text 2"/>
    <w:basedOn w:val="1"/>
    <w:link w:val="79"/>
    <w:uiPriority w:val="0"/>
    <w:pPr>
      <w:widowControl/>
      <w:snapToGrid w:val="0"/>
      <w:spacing w:before="50" w:beforeLines="0" w:after="156" w:afterLines="50" w:line="400" w:lineRule="exact"/>
      <w:jc w:val="left"/>
    </w:pPr>
    <w:rPr>
      <w:rFonts w:ascii="宋体" w:hAnsi="宋体"/>
      <w:color w:val="000000"/>
      <w:sz w:val="24"/>
    </w:rPr>
  </w:style>
  <w:style w:type="paragraph" w:styleId="4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Normal (Web)"/>
    <w:basedOn w:val="1"/>
    <w:uiPriority w:val="0"/>
    <w:pPr>
      <w:widowControl/>
      <w:spacing w:before="100" w:beforeLines="0" w:beforeAutospacing="1" w:after="100" w:afterLines="0" w:afterAutospacing="1"/>
      <w:jc w:val="left"/>
    </w:pPr>
    <w:rPr>
      <w:kern w:val="0"/>
      <w:sz w:val="24"/>
    </w:rPr>
  </w:style>
  <w:style w:type="table" w:styleId="48">
    <w:name w:val="Table Grid"/>
    <w:basedOn w:val="47"/>
    <w:unhideWhenUsed/>
    <w:uiPriority w:val="39"/>
    <w:tblPr>
      <w:tblStyle w:val="4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22"/>
    <w:rPr>
      <w:b/>
      <w:bCs/>
    </w:rPr>
  </w:style>
  <w:style w:type="character" w:styleId="51">
    <w:name w:val="page number"/>
    <w:basedOn w:val="49"/>
    <w:uiPriority w:val="0"/>
  </w:style>
  <w:style w:type="character" w:styleId="52">
    <w:name w:val="FollowedHyperlink"/>
    <w:basedOn w:val="49"/>
    <w:uiPriority w:val="0"/>
    <w:rPr>
      <w:color w:val="004102"/>
      <w:u w:val="none"/>
    </w:rPr>
  </w:style>
  <w:style w:type="character" w:styleId="53">
    <w:name w:val="Hyperlink"/>
    <w:basedOn w:val="49"/>
    <w:uiPriority w:val="99"/>
    <w:rPr>
      <w:color w:val="004102"/>
      <w:u w:val="none"/>
    </w:rPr>
  </w:style>
  <w:style w:type="character" w:styleId="54">
    <w:name w:val="annotation reference"/>
    <w:uiPriority w:val="0"/>
    <w:rPr>
      <w:sz w:val="21"/>
      <w:szCs w:val="21"/>
    </w:rPr>
  </w:style>
  <w:style w:type="character" w:customStyle="1" w:styleId="55">
    <w:name w:val="正文文本 Char"/>
    <w:link w:val="2"/>
    <w:uiPriority w:val="0"/>
    <w:rPr>
      <w:kern w:val="2"/>
      <w:sz w:val="28"/>
      <w:szCs w:val="24"/>
    </w:rPr>
  </w:style>
  <w:style w:type="character" w:customStyle="1" w:styleId="56">
    <w:name w:val="标题 1 Char"/>
    <w:link w:val="3"/>
    <w:uiPriority w:val="0"/>
    <w:rPr>
      <w:b/>
      <w:bCs/>
      <w:kern w:val="44"/>
      <w:sz w:val="30"/>
      <w:szCs w:val="44"/>
    </w:rPr>
  </w:style>
  <w:style w:type="character" w:customStyle="1" w:styleId="57">
    <w:name w:val="正文文本缩进 Char"/>
    <w:link w:val="5"/>
    <w:uiPriority w:val="0"/>
    <w:rPr>
      <w:rFonts w:ascii="宋体" w:hAnsi="Courier New"/>
      <w:spacing w:val="-4"/>
      <w:kern w:val="2"/>
      <w:sz w:val="18"/>
    </w:rPr>
  </w:style>
  <w:style w:type="character" w:customStyle="1" w:styleId="58">
    <w:name w:val="标题 2 Char"/>
    <w:link w:val="6"/>
    <w:uiPriority w:val="0"/>
    <w:rPr>
      <w:rFonts w:ascii="Arial" w:hAnsi="Arial" w:eastAsia="黑体"/>
      <w:b/>
      <w:bCs/>
      <w:kern w:val="2"/>
      <w:sz w:val="32"/>
      <w:szCs w:val="32"/>
    </w:rPr>
  </w:style>
  <w:style w:type="character" w:customStyle="1" w:styleId="59">
    <w:name w:val="标题 3 Char"/>
    <w:link w:val="7"/>
    <w:uiPriority w:val="0"/>
    <w:rPr>
      <w:rFonts w:ascii="Calibri" w:hAnsi="Calibri"/>
      <w:b/>
      <w:bCs/>
      <w:kern w:val="2"/>
      <w:sz w:val="28"/>
      <w:szCs w:val="32"/>
    </w:rPr>
  </w:style>
  <w:style w:type="character" w:customStyle="1" w:styleId="60">
    <w:name w:val="标题 4 Char"/>
    <w:link w:val="9"/>
    <w:uiPriority w:val="0"/>
    <w:rPr>
      <w:rFonts w:ascii="Arial" w:hAnsi="Arial" w:eastAsia="黑体"/>
      <w:b/>
      <w:bCs/>
      <w:kern w:val="2"/>
      <w:sz w:val="28"/>
      <w:szCs w:val="28"/>
    </w:rPr>
  </w:style>
  <w:style w:type="character" w:customStyle="1" w:styleId="61">
    <w:name w:val="标题 5 Char"/>
    <w:link w:val="11"/>
    <w:uiPriority w:val="0"/>
    <w:rPr>
      <w:b/>
      <w:bCs/>
      <w:kern w:val="2"/>
      <w:sz w:val="28"/>
      <w:szCs w:val="28"/>
    </w:rPr>
  </w:style>
  <w:style w:type="character" w:customStyle="1" w:styleId="62">
    <w:name w:val="标题 6 Char"/>
    <w:link w:val="12"/>
    <w:uiPriority w:val="0"/>
    <w:rPr>
      <w:rFonts w:ascii="Arial" w:hAnsi="Arial" w:eastAsia="黑体"/>
      <w:b/>
      <w:kern w:val="2"/>
      <w:sz w:val="21"/>
    </w:rPr>
  </w:style>
  <w:style w:type="character" w:customStyle="1" w:styleId="63">
    <w:name w:val="标题 7 Char"/>
    <w:link w:val="13"/>
    <w:uiPriority w:val="0"/>
    <w:rPr>
      <w:b/>
      <w:kern w:val="2"/>
      <w:sz w:val="21"/>
    </w:rPr>
  </w:style>
  <w:style w:type="character" w:customStyle="1" w:styleId="64">
    <w:name w:val="标题 8 Char"/>
    <w:link w:val="14"/>
    <w:uiPriority w:val="0"/>
    <w:rPr>
      <w:rFonts w:ascii="Arial" w:hAnsi="Arial" w:eastAsia="黑体"/>
      <w:kern w:val="2"/>
      <w:sz w:val="21"/>
    </w:rPr>
  </w:style>
  <w:style w:type="character" w:customStyle="1" w:styleId="65">
    <w:name w:val="标题 9 Char"/>
    <w:link w:val="15"/>
    <w:uiPriority w:val="0"/>
    <w:rPr>
      <w:rFonts w:ascii="Arial" w:hAnsi="Arial" w:eastAsia="黑体"/>
      <w:kern w:val="2"/>
      <w:sz w:val="21"/>
    </w:rPr>
  </w:style>
  <w:style w:type="character" w:customStyle="1" w:styleId="66">
    <w:name w:val="文档结构图 Char"/>
    <w:link w:val="20"/>
    <w:uiPriority w:val="0"/>
    <w:rPr>
      <w:kern w:val="2"/>
      <w:sz w:val="21"/>
      <w:szCs w:val="24"/>
      <w:shd w:val="clear" w:color="auto" w:fill="000080"/>
    </w:rPr>
  </w:style>
  <w:style w:type="character" w:customStyle="1" w:styleId="67">
    <w:name w:val="批注文字 Char"/>
    <w:link w:val="21"/>
    <w:uiPriority w:val="0"/>
    <w:rPr>
      <w:kern w:val="2"/>
      <w:sz w:val="21"/>
    </w:rPr>
  </w:style>
  <w:style w:type="character" w:customStyle="1" w:styleId="68">
    <w:name w:val="正文文本 3 Char"/>
    <w:link w:val="22"/>
    <w:uiPriority w:val="0"/>
    <w:rPr>
      <w:rFonts w:hAnsi="宋体" w:eastAsia="仿宋_GB2312"/>
      <w:b/>
      <w:bCs/>
      <w:kern w:val="2"/>
      <w:sz w:val="24"/>
    </w:rPr>
  </w:style>
  <w:style w:type="character" w:customStyle="1" w:styleId="69">
    <w:name w:val="纯文本 Char"/>
    <w:link w:val="27"/>
    <w:uiPriority w:val="0"/>
    <w:rPr>
      <w:rFonts w:ascii="宋体" w:hAnsi="Courier New" w:eastAsia="宋体"/>
      <w:kern w:val="2"/>
      <w:sz w:val="24"/>
      <w:szCs w:val="24"/>
      <w:lang w:val="en-US" w:eastAsia="zh-CN" w:bidi="ar-SA"/>
    </w:rPr>
  </w:style>
  <w:style w:type="character" w:customStyle="1" w:styleId="70">
    <w:name w:val="日期 Char"/>
    <w:link w:val="29"/>
    <w:uiPriority w:val="0"/>
    <w:rPr>
      <w:rFonts w:eastAsia="楷体_GB2312"/>
      <w:kern w:val="2"/>
      <w:sz w:val="32"/>
    </w:rPr>
  </w:style>
  <w:style w:type="character" w:customStyle="1" w:styleId="71">
    <w:name w:val="正文文本缩进 2 Char"/>
    <w:link w:val="30"/>
    <w:uiPriority w:val="0"/>
    <w:rPr>
      <w:rFonts w:ascii="仿宋_GB2312" w:hAnsi="宋体" w:cs="Arial"/>
      <w:b/>
      <w:bCs/>
      <w:color w:val="000000"/>
      <w:kern w:val="2"/>
      <w:sz w:val="24"/>
      <w:szCs w:val="24"/>
    </w:rPr>
  </w:style>
  <w:style w:type="character" w:customStyle="1" w:styleId="72">
    <w:name w:val="尾注文本 Char"/>
    <w:link w:val="31"/>
    <w:uiPriority w:val="0"/>
    <w:rPr>
      <w:kern w:val="2"/>
      <w:sz w:val="21"/>
      <w:szCs w:val="24"/>
    </w:rPr>
  </w:style>
  <w:style w:type="character" w:customStyle="1" w:styleId="73">
    <w:name w:val="批注框文本 Char"/>
    <w:link w:val="32"/>
    <w:uiPriority w:val="0"/>
    <w:rPr>
      <w:kern w:val="2"/>
      <w:sz w:val="18"/>
      <w:szCs w:val="18"/>
    </w:rPr>
  </w:style>
  <w:style w:type="character" w:customStyle="1" w:styleId="74">
    <w:name w:val="页脚 Char"/>
    <w:link w:val="33"/>
    <w:uiPriority w:val="0"/>
    <w:rPr>
      <w:rFonts w:eastAsia="黑体"/>
      <w:snapToGrid w:val="0"/>
      <w:sz w:val="18"/>
      <w:szCs w:val="18"/>
      <w:lang w:val="en-US" w:eastAsia="zh-CN" w:bidi="ar-SA"/>
    </w:rPr>
  </w:style>
  <w:style w:type="character" w:customStyle="1" w:styleId="75">
    <w:name w:val="页眉 Char"/>
    <w:link w:val="34"/>
    <w:uiPriority w:val="0"/>
    <w:rPr>
      <w:rFonts w:eastAsia="仿宋_GB2312"/>
      <w:kern w:val="2"/>
      <w:sz w:val="18"/>
    </w:rPr>
  </w:style>
  <w:style w:type="character" w:customStyle="1" w:styleId="76">
    <w:name w:val="副标题 Char"/>
    <w:basedOn w:val="49"/>
    <w:link w:val="37"/>
    <w:uiPriority w:val="0"/>
    <w:rPr>
      <w:rFonts w:ascii="Cambria" w:hAnsi="Cambria"/>
      <w:b/>
      <w:bCs/>
      <w:kern w:val="28"/>
      <w:sz w:val="32"/>
      <w:szCs w:val="32"/>
    </w:rPr>
  </w:style>
  <w:style w:type="character" w:customStyle="1" w:styleId="77">
    <w:name w:val="脚注文本 Char"/>
    <w:link w:val="39"/>
    <w:uiPriority w:val="0"/>
    <w:rPr>
      <w:kern w:val="2"/>
      <w:sz w:val="18"/>
      <w:szCs w:val="18"/>
    </w:rPr>
  </w:style>
  <w:style w:type="character" w:customStyle="1" w:styleId="78">
    <w:name w:val="正文文本缩进 3 Char"/>
    <w:link w:val="41"/>
    <w:uiPriority w:val="0"/>
    <w:rPr>
      <w:rFonts w:ascii="仿宋_GB2312" w:hAnsi="宋体" w:eastAsia="仿宋_GB2312"/>
      <w:color w:val="000000"/>
      <w:kern w:val="2"/>
      <w:sz w:val="24"/>
      <w:szCs w:val="24"/>
    </w:rPr>
  </w:style>
  <w:style w:type="character" w:customStyle="1" w:styleId="79">
    <w:name w:val="正文文本 2 Char"/>
    <w:link w:val="44"/>
    <w:uiPriority w:val="0"/>
    <w:rPr>
      <w:rFonts w:ascii="宋体" w:hAnsi="宋体"/>
      <w:color w:val="000000"/>
      <w:kern w:val="2"/>
      <w:sz w:val="24"/>
      <w:szCs w:val="24"/>
    </w:rPr>
  </w:style>
  <w:style w:type="paragraph" w:customStyle="1" w:styleId="80">
    <w:name w:val="正文1"/>
    <w:basedOn w:val="1"/>
    <w:qFormat/>
    <w:uiPriority w:val="0"/>
    <w:pPr>
      <w:adjustRightInd w:val="0"/>
      <w:spacing w:line="318" w:lineRule="atLeast"/>
      <w:ind w:left="369" w:firstLine="369"/>
      <w:textAlignment w:val="baseline"/>
    </w:pPr>
    <w:rPr>
      <w:rFonts w:ascii="宋体"/>
      <w:szCs w:val="20"/>
    </w:rPr>
  </w:style>
  <w:style w:type="character" w:customStyle="1" w:styleId="81">
    <w:name w:val="日期 Char1"/>
    <w:semiHidden/>
    <w:uiPriority w:val="99"/>
    <w:rPr>
      <w:rFonts w:ascii="Times New Roman" w:hAnsi="Times New Roman" w:eastAsia="宋体" w:cs="Times New Roman"/>
      <w:szCs w:val="24"/>
    </w:rPr>
  </w:style>
  <w:style w:type="character" w:customStyle="1" w:styleId="82">
    <w:name w:val="fontstyle01"/>
    <w:basedOn w:val="49"/>
    <w:uiPriority w:val="0"/>
    <w:rPr>
      <w:rFonts w:ascii="宋体" w:hAnsi="宋体" w:eastAsia="宋体" w:cs="宋体"/>
      <w:color w:val="000000"/>
      <w:sz w:val="24"/>
      <w:szCs w:val="24"/>
    </w:rPr>
  </w:style>
  <w:style w:type="character" w:customStyle="1" w:styleId="83">
    <w:name w:val="正文文本 Char1"/>
    <w:semiHidden/>
    <w:uiPriority w:val="99"/>
    <w:rPr>
      <w:rFonts w:ascii="Times New Roman" w:hAnsi="Times New Roman" w:eastAsia="宋体" w:cs="Times New Roman"/>
      <w:szCs w:val="24"/>
    </w:rPr>
  </w:style>
  <w:style w:type="character" w:customStyle="1" w:styleId="84">
    <w:name w:val=" Char Char4"/>
    <w:uiPriority w:val="0"/>
    <w:rPr>
      <w:rFonts w:eastAsia="仿宋_GB2312"/>
      <w:kern w:val="2"/>
      <w:sz w:val="18"/>
      <w:lang w:bidi="ar-SA"/>
    </w:rPr>
  </w:style>
  <w:style w:type="character" w:customStyle="1" w:styleId="85">
    <w:name w:val=" Char Char23"/>
    <w:uiPriority w:val="0"/>
    <w:rPr>
      <w:rFonts w:ascii="Arial" w:hAnsi="Arial" w:eastAsia="黑体"/>
      <w:b/>
      <w:bCs/>
      <w:kern w:val="2"/>
      <w:sz w:val="32"/>
      <w:szCs w:val="32"/>
      <w:lang w:val="en-US" w:eastAsia="zh-CN" w:bidi="ar-SA"/>
    </w:rPr>
  </w:style>
  <w:style w:type="character" w:customStyle="1" w:styleId="86">
    <w:name w:val="m_51"/>
    <w:uiPriority w:val="0"/>
  </w:style>
  <w:style w:type="character" w:customStyle="1" w:styleId="87">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88">
    <w:name w:val="尾注文本 Char1"/>
    <w:semiHidden/>
    <w:uiPriority w:val="99"/>
    <w:rPr>
      <w:rFonts w:ascii="Times New Roman" w:hAnsi="Times New Roman" w:eastAsia="宋体" w:cs="Times New Roman"/>
      <w:szCs w:val="24"/>
    </w:rPr>
  </w:style>
  <w:style w:type="character" w:customStyle="1" w:styleId="89">
    <w:name w:val="副标题 Char1"/>
    <w:uiPriority w:val="11"/>
    <w:rPr>
      <w:rFonts w:ascii="Cambria" w:hAnsi="Cambria" w:eastAsia="宋体" w:cs="Times New Roman"/>
      <w:b/>
      <w:bCs/>
      <w:kern w:val="28"/>
      <w:sz w:val="32"/>
      <w:szCs w:val="32"/>
    </w:rPr>
  </w:style>
  <w:style w:type="character" w:customStyle="1" w:styleId="90">
    <w:name w:val="正文文本缩进 Char1"/>
    <w:semiHidden/>
    <w:uiPriority w:val="99"/>
    <w:rPr>
      <w:rFonts w:ascii="Times New Roman" w:hAnsi="Times New Roman" w:eastAsia="宋体" w:cs="Times New Roman"/>
      <w:szCs w:val="24"/>
    </w:rPr>
  </w:style>
  <w:style w:type="character" w:customStyle="1" w:styleId="91">
    <w:name w:val="正文文本缩进 3 Char1"/>
    <w:semiHidden/>
    <w:uiPriority w:val="99"/>
    <w:rPr>
      <w:rFonts w:ascii="Times New Roman" w:hAnsi="Times New Roman" w:eastAsia="宋体" w:cs="Times New Roman"/>
      <w:sz w:val="16"/>
      <w:szCs w:val="16"/>
    </w:rPr>
  </w:style>
  <w:style w:type="character" w:customStyle="1" w:styleId="92">
    <w:name w:val="批注框文本 Char1"/>
    <w:semiHidden/>
    <w:uiPriority w:val="99"/>
    <w:rPr>
      <w:rFonts w:ascii="Times New Roman" w:hAnsi="Times New Roman" w:eastAsia="宋体" w:cs="Times New Roman"/>
      <w:sz w:val="16"/>
      <w:szCs w:val="16"/>
    </w:rPr>
  </w:style>
  <w:style w:type="character" w:customStyle="1" w:styleId="93">
    <w:name w:val="正文文本 3 Char1"/>
    <w:semiHidden/>
    <w:uiPriority w:val="99"/>
    <w:rPr>
      <w:rFonts w:ascii="Times New Roman" w:hAnsi="Times New Roman" w:eastAsia="宋体" w:cs="Times New Roman"/>
      <w:sz w:val="16"/>
      <w:szCs w:val="16"/>
    </w:rPr>
  </w:style>
  <w:style w:type="character" w:customStyle="1" w:styleId="94">
    <w:name w:val="font14zd"/>
    <w:basedOn w:val="49"/>
    <w:uiPriority w:val="0"/>
  </w:style>
  <w:style w:type="character" w:customStyle="1" w:styleId="95">
    <w:name w:val="font11"/>
    <w:basedOn w:val="49"/>
    <w:qFormat/>
    <w:uiPriority w:val="0"/>
    <w:rPr>
      <w:rFonts w:hint="eastAsia" w:ascii="宋体" w:hAnsi="宋体" w:eastAsia="宋体" w:cs="宋体"/>
      <w:color w:val="000000"/>
      <w:sz w:val="24"/>
      <w:szCs w:val="24"/>
      <w:u w:val="none"/>
      <w:vertAlign w:val="superscript"/>
    </w:rPr>
  </w:style>
  <w:style w:type="character" w:customStyle="1" w:styleId="96">
    <w:name w:val="textcolor1"/>
    <w:basedOn w:val="49"/>
    <w:uiPriority w:val="0"/>
    <w:rPr>
      <w:color w:val="FF6600"/>
    </w:rPr>
  </w:style>
  <w:style w:type="character" w:customStyle="1" w:styleId="97">
    <w:name w:val="font21"/>
    <w:qFormat/>
    <w:uiPriority w:val="0"/>
    <w:rPr>
      <w:rFonts w:hint="eastAsia" w:ascii="宋体" w:hAnsi="宋体" w:eastAsia="宋体" w:cs="宋体"/>
      <w:color w:val="000000"/>
      <w:sz w:val="20"/>
      <w:szCs w:val="20"/>
      <w:u w:val="none"/>
    </w:rPr>
  </w:style>
  <w:style w:type="character" w:customStyle="1" w:styleId="98">
    <w:name w:val="m_391"/>
    <w:uiPriority w:val="0"/>
  </w:style>
  <w:style w:type="character" w:customStyle="1" w:styleId="99">
    <w:name w:val="页眉 Char1"/>
    <w:semiHidden/>
    <w:uiPriority w:val="99"/>
    <w:rPr>
      <w:rFonts w:ascii="Times New Roman" w:hAnsi="Times New Roman" w:eastAsia="宋体" w:cs="Times New Roman"/>
      <w:sz w:val="18"/>
      <w:szCs w:val="18"/>
    </w:rPr>
  </w:style>
  <w:style w:type="character" w:customStyle="1" w:styleId="100">
    <w:name w:val="脚注文本 Char1"/>
    <w:semiHidden/>
    <w:uiPriority w:val="99"/>
    <w:rPr>
      <w:rFonts w:ascii="Times New Roman" w:hAnsi="Times New Roman" w:eastAsia="宋体" w:cs="Times New Roman"/>
      <w:sz w:val="18"/>
      <w:szCs w:val="18"/>
    </w:rPr>
  </w:style>
  <w:style w:type="character" w:customStyle="1" w:styleId="101">
    <w:name w:val="m_461"/>
    <w:uiPriority w:val="0"/>
  </w:style>
  <w:style w:type="character" w:customStyle="1" w:styleId="102">
    <w:name w:val="m_171"/>
    <w:uiPriority w:val="0"/>
  </w:style>
  <w:style w:type="character" w:customStyle="1" w:styleId="103">
    <w:name w:val="font31"/>
    <w:qFormat/>
    <w:uiPriority w:val="0"/>
    <w:rPr>
      <w:rFonts w:hint="default" w:ascii="Times New Roman" w:hAnsi="Times New Roman" w:cs="Times New Roman"/>
      <w:b/>
      <w:color w:val="000000"/>
      <w:sz w:val="20"/>
      <w:szCs w:val="20"/>
      <w:u w:val="none"/>
    </w:rPr>
  </w:style>
  <w:style w:type="character" w:customStyle="1" w:styleId="104">
    <w:name w:val="fontstyle11"/>
    <w:basedOn w:val="49"/>
    <w:uiPriority w:val="0"/>
    <w:rPr>
      <w:rFonts w:ascii="ArialMT" w:hAnsi="ArialMT" w:eastAsia="ArialMT" w:cs="ArialMT"/>
      <w:color w:val="000000"/>
      <w:sz w:val="24"/>
      <w:szCs w:val="24"/>
    </w:rPr>
  </w:style>
  <w:style w:type="character" w:customStyle="1" w:styleId="105">
    <w:name w:val="纯文本 Char1"/>
    <w:semiHidden/>
    <w:uiPriority w:val="99"/>
    <w:rPr>
      <w:rFonts w:ascii="宋体" w:hAnsi="Courier New" w:eastAsia="宋体" w:cs="Times New Roman"/>
      <w:szCs w:val="21"/>
    </w:rPr>
  </w:style>
  <w:style w:type="character" w:customStyle="1" w:styleId="106">
    <w:name w:val="font41"/>
    <w:basedOn w:val="49"/>
    <w:uiPriority w:val="0"/>
    <w:rPr>
      <w:rFonts w:hint="eastAsia" w:ascii="仿宋_GB2312" w:eastAsia="仿宋_GB2312" w:cs="仿宋_GB2312"/>
      <w:color w:val="000000"/>
      <w:sz w:val="20"/>
      <w:szCs w:val="20"/>
      <w:u w:val="none"/>
    </w:rPr>
  </w:style>
  <w:style w:type="character" w:customStyle="1" w:styleId="107">
    <w:name w:val="正文文本缩进 2 Char1"/>
    <w:semiHidden/>
    <w:uiPriority w:val="99"/>
    <w:rPr>
      <w:rFonts w:ascii="Times New Roman" w:hAnsi="Times New Roman" w:eastAsia="宋体" w:cs="Times New Roman"/>
      <w:szCs w:val="24"/>
    </w:rPr>
  </w:style>
  <w:style w:type="character" w:customStyle="1" w:styleId="108">
    <w:name w:val="m_01"/>
    <w:uiPriority w:val="0"/>
  </w:style>
  <w:style w:type="character" w:customStyle="1" w:styleId="109">
    <w:name w:val="普通文字 Char Char2"/>
    <w:aliases w:val="纯文本 Char Char Char1,普通文字 Char Char Char2,普通文字1 Char1,普通文字2 Char1,普通文字3 Char1,普通文字4 Char1,普通文字5 Char1,普通文字6 Char1,普通文字11 Char1,普通文字21 Char1,普通文字31 Char1,普通文字41 Char1,普通文字7 Char1,正 文 1 Char1,普通文字 Char2,普通文字 Char Char Char Char2,小 Char"/>
    <w:uiPriority w:val="0"/>
    <w:rPr>
      <w:rFonts w:ascii="宋体" w:hAnsi="Courier New" w:eastAsia="仿宋_GB2312"/>
      <w:kern w:val="2"/>
      <w:sz w:val="30"/>
      <w:lang w:val="en-US" w:eastAsia="zh-CN"/>
    </w:rPr>
  </w:style>
  <w:style w:type="character" w:customStyle="1" w:styleId="110">
    <w:name w:val="页脚 Char1"/>
    <w:semiHidden/>
    <w:uiPriority w:val="99"/>
    <w:rPr>
      <w:rFonts w:ascii="Times New Roman" w:hAnsi="Times New Roman" w:eastAsia="宋体" w:cs="Times New Roman"/>
      <w:sz w:val="18"/>
      <w:szCs w:val="18"/>
    </w:rPr>
  </w:style>
  <w:style w:type="character" w:customStyle="1" w:styleId="111">
    <w:name w:val="font01"/>
    <w:basedOn w:val="49"/>
    <w:qFormat/>
    <w:uiPriority w:val="0"/>
    <w:rPr>
      <w:rFonts w:hint="eastAsia" w:ascii="宋体" w:hAnsi="宋体" w:eastAsia="宋体" w:cs="宋体"/>
      <w:color w:val="000000"/>
      <w:sz w:val="20"/>
      <w:szCs w:val="20"/>
      <w:u w:val="none"/>
    </w:rPr>
  </w:style>
  <w:style w:type="character" w:customStyle="1" w:styleId="112">
    <w:name w:val="m_491"/>
    <w:uiPriority w:val="0"/>
  </w:style>
  <w:style w:type="character" w:customStyle="1" w:styleId="113">
    <w:name w:val="font51"/>
    <w:basedOn w:val="49"/>
    <w:uiPriority w:val="0"/>
    <w:rPr>
      <w:rFonts w:hint="eastAsia" w:ascii="仿宋_GB2312" w:eastAsia="仿宋_GB2312" w:cs="仿宋_GB2312"/>
      <w:color w:val="000000"/>
      <w:sz w:val="24"/>
      <w:szCs w:val="24"/>
      <w:u w:val="none"/>
    </w:rPr>
  </w:style>
  <w:style w:type="character" w:customStyle="1" w:styleId="114">
    <w:name w:val="正文文本 2 Char1"/>
    <w:semiHidden/>
    <w:uiPriority w:val="99"/>
    <w:rPr>
      <w:rFonts w:ascii="Times New Roman" w:hAnsi="Times New Roman" w:eastAsia="宋体" w:cs="Times New Roman"/>
      <w:szCs w:val="24"/>
    </w:rPr>
  </w:style>
  <w:style w:type="paragraph" w:customStyle="1" w:styleId="115">
    <w:name w:val="Default"/>
    <w:uiPriority w:val="0"/>
    <w:pPr>
      <w:widowControl w:val="0"/>
      <w:autoSpaceDE w:val="0"/>
      <w:autoSpaceDN w:val="0"/>
      <w:adjustRightInd w:val="0"/>
    </w:pPr>
    <w:rPr>
      <w:color w:val="000000"/>
      <w:sz w:val="24"/>
      <w:szCs w:val="24"/>
      <w:lang w:val="en-US" w:eastAsia="zh-CN" w:bidi="ar-SA"/>
    </w:rPr>
  </w:style>
  <w:style w:type="paragraph" w:customStyle="1" w:styleId="116">
    <w:name w:val="正文 + 黑体"/>
    <w:basedOn w:val="10"/>
    <w:uiPriority w:val="0"/>
    <w:pPr>
      <w:spacing w:after="0" w:line="360" w:lineRule="exact"/>
      <w:ind w:firstLine="0" w:firstLineChars="0"/>
    </w:pPr>
  </w:style>
  <w:style w:type="paragraph" w:customStyle="1" w:styleId="117">
    <w:name w:val="big"/>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18">
    <w:name w:val="_Style 4"/>
    <w:qFormat/>
    <w:uiPriority w:val="0"/>
    <w:pPr>
      <w:widowControl w:val="0"/>
      <w:jc w:val="both"/>
    </w:pPr>
    <w:rPr>
      <w:kern w:val="2"/>
      <w:sz w:val="21"/>
      <w:szCs w:val="22"/>
      <w:lang w:val="en-US" w:eastAsia="zh-CN" w:bidi="ar-SA"/>
    </w:rPr>
  </w:style>
  <w:style w:type="paragraph" w:customStyle="1" w:styleId="11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20">
    <w:name w:val=" Char Char Char Char Char Char Char"/>
    <w:basedOn w:val="1"/>
    <w:uiPriority w:val="0"/>
    <w:rPr>
      <w:rFonts w:ascii="仿宋_GB2312" w:eastAsia="仿宋_GB2312"/>
      <w:b/>
      <w:sz w:val="32"/>
      <w:szCs w:val="32"/>
    </w:rPr>
  </w:style>
  <w:style w:type="paragraph" w:customStyle="1" w:styleId="121">
    <w:name w:val="样式 标题 1 + 两端对齐"/>
    <w:basedOn w:val="6"/>
    <w:next w:val="6"/>
    <w:uiPriority w:val="0"/>
    <w:pPr>
      <w:autoSpaceDE w:val="0"/>
      <w:autoSpaceDN w:val="0"/>
      <w:adjustRightInd w:val="0"/>
      <w:spacing w:before="340" w:beforeLines="0" w:after="330" w:afterLines="0" w:line="240" w:lineRule="auto"/>
      <w:jc w:val="center"/>
    </w:pPr>
    <w:rPr>
      <w:rFonts w:ascii="汉鼎简细圆" w:hAnsi="Times New Roman" w:eastAsia="宋体" w:cs="宋体"/>
      <w:kern w:val="44"/>
      <w:sz w:val="28"/>
      <w:szCs w:val="20"/>
    </w:rPr>
  </w:style>
  <w:style w:type="paragraph" w:customStyle="1" w:styleId="122">
    <w:name w:val="样式 标题 3 +1"/>
    <w:basedOn w:val="7"/>
    <w:uiPriority w:val="0"/>
    <w:rPr>
      <w:kern w:val="0"/>
    </w:rPr>
  </w:style>
  <w:style w:type="paragraph" w:customStyle="1" w:styleId="123">
    <w:name w:val="Char3"/>
    <w:basedOn w:val="1"/>
    <w:uiPriority w:val="0"/>
    <w:rPr>
      <w:szCs w:val="20"/>
    </w:rPr>
  </w:style>
  <w:style w:type="paragraph" w:customStyle="1" w:styleId="124">
    <w:name w:val="样式1"/>
    <w:basedOn w:val="9"/>
    <w:uiPriority w:val="0"/>
  </w:style>
  <w:style w:type="paragraph" w:styleId="125">
    <w:name w:val=""/>
    <w:basedOn w:val="3"/>
    <w:next w:val="1"/>
    <w:qFormat/>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126">
    <w:name w:val="默认段落字体 Para Char Char Char Char Char Char Char Char Char1 Char Char Char Char"/>
    <w:basedOn w:val="1"/>
    <w:uiPriority w:val="0"/>
    <w:rPr>
      <w:rFonts w:ascii="Tahoma" w:hAnsi="Tahoma"/>
      <w:sz w:val="24"/>
      <w:szCs w:val="20"/>
    </w:rPr>
  </w:style>
  <w:style w:type="paragraph" w:customStyle="1" w:styleId="127">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Body Text Indent1"/>
    <w:basedOn w:val="1"/>
    <w:next w:val="1"/>
    <w:qFormat/>
    <w:uiPriority w:val="0"/>
    <w:pPr>
      <w:spacing w:after="120" w:afterLines="0"/>
      <w:ind w:left="420" w:leftChars="200"/>
    </w:pPr>
  </w:style>
  <w:style w:type="paragraph" w:customStyle="1" w:styleId="129">
    <w:name w:val="List Paragraph"/>
    <w:basedOn w:val="1"/>
    <w:uiPriority w:val="0"/>
    <w:pPr>
      <w:ind w:firstLine="420" w:firstLineChars="200"/>
    </w:pPr>
    <w:rPr>
      <w:rFonts w:ascii="Calibri" w:hAnsi="Calibri" w:cs="Calibri"/>
    </w:rPr>
  </w:style>
  <w:style w:type="paragraph" w:customStyle="1" w:styleId="130">
    <w:name w:val="Body Text First Indent 21"/>
    <w:basedOn w:val="128"/>
    <w:qFormat/>
    <w:uiPriority w:val="0"/>
    <w:pPr>
      <w:spacing w:after="120" w:afterLines="0" w:line="240" w:lineRule="auto"/>
      <w:ind w:left="420" w:leftChars="200" w:firstLine="420"/>
    </w:pPr>
    <w:rPr>
      <w:rFonts w:cs="宋体"/>
    </w:rPr>
  </w:style>
  <w:style w:type="paragraph" w:customStyle="1" w:styleId="131">
    <w:name w:val="正文 + 小四"/>
    <w:basedOn w:val="10"/>
    <w:uiPriority w:val="0"/>
    <w:pPr>
      <w:spacing w:after="0" w:line="360" w:lineRule="exact"/>
      <w:ind w:firstLine="0" w:firstLineChars="0"/>
    </w:pPr>
    <w:rPr>
      <w:w w:val="80"/>
      <w:kern w:val="0"/>
    </w:rPr>
  </w:style>
  <w:style w:type="paragraph" w:customStyle="1" w:styleId="132">
    <w:name w:val="样式 标题 3 +"/>
    <w:basedOn w:val="7"/>
    <w:uiPriority w:val="0"/>
    <w:rPr>
      <w:kern w:val="0"/>
    </w:rPr>
  </w:style>
  <w:style w:type="paragraph" w:customStyle="1" w:styleId="133">
    <w:name w:val="此正文"/>
    <w:basedOn w:val="1"/>
    <w:uiPriority w:val="0"/>
    <w:pPr>
      <w:spacing w:line="360" w:lineRule="auto"/>
      <w:ind w:firstLine="200" w:firstLineChars="200"/>
    </w:pPr>
    <w:rPr>
      <w:sz w:val="24"/>
      <w:szCs w:val="24"/>
    </w:rPr>
  </w:style>
  <w:style w:type="paragraph" w:customStyle="1" w:styleId="134">
    <w:name w:val="Table Paragraph"/>
    <w:basedOn w:val="1"/>
    <w:qFormat/>
    <w:uiPriority w:val="1"/>
    <w:pPr>
      <w:jc w:val="center"/>
    </w:pPr>
    <w:rPr>
      <w:rFonts w:ascii="宋体" w:hAnsi="宋体" w:eastAsia="宋体" w:cs="宋体"/>
      <w:kern w:val="0"/>
      <w:sz w:val="22"/>
      <w:lang w:eastAsia="en-US"/>
    </w:rPr>
  </w:style>
  <w:style w:type="paragraph" w:customStyle="1" w:styleId="135">
    <w:name w:val="列出段落1"/>
    <w:basedOn w:val="1"/>
    <w:uiPriority w:val="0"/>
    <w:pPr>
      <w:ind w:firstLine="420" w:firstLineChars="200"/>
    </w:pPr>
    <w:rPr>
      <w:rFonts w:ascii="Calibri" w:hAnsi="Calibri"/>
      <w:szCs w:val="22"/>
    </w:rPr>
  </w:style>
  <w:style w:type="paragraph" w:customStyle="1" w:styleId="136">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37">
    <w:name w:val="正文2"/>
    <w:basedOn w:val="1"/>
    <w:qFormat/>
    <w:uiPriority w:val="0"/>
    <w:pPr>
      <w:ind w:firstLine="200" w:firstLineChars="200"/>
    </w:pPr>
    <w:rPr>
      <w:rFonts w:eastAsia="华文仿宋"/>
      <w:kern w:val="0"/>
      <w:sz w:val="28"/>
    </w:rPr>
  </w:style>
  <w:style w:type="paragraph" w:customStyle="1" w:styleId="138">
    <w:name w:val="xl66"/>
    <w:basedOn w:val="1"/>
    <w:uiPriority w:val="0"/>
    <w:pPr>
      <w:widowControl/>
      <w:pBdr>
        <w:left w:val="single" w:color="auto" w:sz="4" w:space="0"/>
        <w:bottom w:val="single" w:color="auto" w:sz="4" w:space="0"/>
      </w:pBdr>
      <w:spacing w:before="100" w:beforeLines="0" w:beforeAutospacing="1" w:after="100" w:afterLines="0" w:afterAutospacing="1"/>
      <w:jc w:val="center"/>
    </w:pPr>
    <w:rPr>
      <w:rFonts w:ascii="宋体" w:hAnsi="宋体"/>
      <w:kern w:val="0"/>
      <w:sz w:val="24"/>
    </w:rPr>
  </w:style>
  <w:style w:type="paragraph" w:customStyle="1" w:styleId="139">
    <w:name w:val="Other|1"/>
    <w:basedOn w:val="1"/>
    <w:qFormat/>
    <w:uiPriority w:val="0"/>
    <w:pPr>
      <w:spacing w:line="322" w:lineRule="exact"/>
    </w:pPr>
    <w:rPr>
      <w:rFonts w:ascii="MingLiU" w:hAnsi="MingLiU" w:eastAsia="MingLiU" w:cs="MingLiU"/>
      <w:sz w:val="19"/>
      <w:szCs w:val="19"/>
      <w:lang w:val="zh-TW" w:eastAsia="zh-TW" w:bidi="zh-TW"/>
    </w:rPr>
  </w:style>
  <w:style w:type="paragraph" w:customStyle="1" w:styleId="14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42">
    <w:name w:val="正文段"/>
    <w:basedOn w:val="1"/>
    <w:uiPriority w:val="0"/>
    <w:pPr>
      <w:widowControl/>
      <w:snapToGrid w:val="0"/>
      <w:spacing w:after="156" w:afterLines="50"/>
      <w:ind w:firstLine="200" w:firstLineChars="200"/>
    </w:pPr>
    <w:rPr>
      <w:kern w:val="0"/>
      <w:sz w:val="24"/>
      <w:szCs w:val="20"/>
    </w:rPr>
  </w:style>
  <w:style w:type="paragraph" w:customStyle="1" w:styleId="143">
    <w:name w:val="pa-23"/>
    <w:basedOn w:val="1"/>
    <w:qFormat/>
    <w:uiPriority w:val="0"/>
    <w:pPr>
      <w:spacing w:line="360" w:lineRule="atLeast"/>
      <w:ind w:firstLine="500" w:firstLineChars="200"/>
    </w:pPr>
    <w:rPr>
      <w:rFonts w:ascii="宋体"/>
      <w:sz w:val="24"/>
    </w:rPr>
  </w:style>
  <w:style w:type="paragraph" w:customStyle="1" w:styleId="144">
    <w:name w:val="文章正文"/>
    <w:basedOn w:val="1"/>
    <w:uiPriority w:val="0"/>
    <w:pPr>
      <w:spacing w:line="360" w:lineRule="auto"/>
      <w:ind w:firstLine="420"/>
    </w:pPr>
    <w:rPr>
      <w:sz w:val="24"/>
    </w:rPr>
  </w:style>
  <w:style w:type="paragraph" w:customStyle="1" w:styleId="145">
    <w:name w:val="Char1"/>
    <w:basedOn w:val="1"/>
    <w:uiPriority w:val="0"/>
    <w:rPr>
      <w:rFonts w:ascii="Tahoma" w:hAnsi="Tahoma"/>
      <w:sz w:val="24"/>
      <w:szCs w:val="20"/>
    </w:rPr>
  </w:style>
  <w:style w:type="paragraph" w:customStyle="1" w:styleId="146">
    <w:name w:val="自由格式 A"/>
    <w:uiPriority w:val="0"/>
    <w:rPr>
      <w:rFonts w:ascii="Helvetica" w:hAnsi="Helvetica" w:eastAsia="ヒラギノ角ゴ Pro W3"/>
      <w:color w:val="000000"/>
      <w:sz w:val="24"/>
      <w:lang w:val="en-US" w:eastAsia="zh-CN" w:bidi="ar-SA"/>
    </w:rPr>
  </w:style>
  <w:style w:type="paragraph" w:customStyle="1" w:styleId="147">
    <w:name w:val=" Char"/>
    <w:basedOn w:val="1"/>
    <w:uiPriority w:val="0"/>
    <w:rPr>
      <w:rFonts w:ascii="仿宋_GB2312" w:eastAsia="仿宋_GB2312"/>
      <w:b/>
      <w:sz w:val="32"/>
      <w:szCs w:val="32"/>
    </w:rPr>
  </w:style>
  <w:style w:type="paragraph" w:customStyle="1" w:styleId="148">
    <w:name w:val="证文"/>
    <w:basedOn w:val="1"/>
    <w:uiPriority w:val="0"/>
    <w:pPr>
      <w:spacing w:line="360" w:lineRule="auto"/>
    </w:pPr>
    <w:rPr>
      <w:sz w:val="24"/>
      <w:szCs w:val="20"/>
    </w:rPr>
  </w:style>
  <w:style w:type="paragraph" w:customStyle="1" w:styleId="149">
    <w:name w:val="Char"/>
    <w:basedOn w:val="1"/>
    <w:uiPriority w:val="0"/>
    <w:pPr>
      <w:widowControl/>
      <w:spacing w:after="160" w:afterLines="0" w:line="240" w:lineRule="exact"/>
      <w:jc w:val="left"/>
    </w:pPr>
    <w:rPr>
      <w:szCs w:val="20"/>
    </w:rPr>
  </w:style>
  <w:style w:type="paragraph" w:customStyle="1" w:styleId="150">
    <w:name w:val="_Style 15"/>
    <w:qFormat/>
    <w:uiPriority w:val="0"/>
    <w:pPr>
      <w:widowControl w:val="0"/>
      <w:jc w:val="both"/>
    </w:pPr>
    <w:rPr>
      <w:kern w:val="2"/>
      <w:sz w:val="21"/>
      <w:szCs w:val="22"/>
      <w:lang w:val="en-US" w:eastAsia="zh-CN" w:bidi="ar-SA"/>
    </w:rPr>
  </w:style>
  <w:style w:type="paragraph" w:customStyle="1" w:styleId="151">
    <w:name w:val="地址内"/>
    <w:basedOn w:val="1"/>
    <w:uiPriority w:val="0"/>
    <w:rPr>
      <w:szCs w:val="20"/>
    </w:rPr>
  </w:style>
  <w:style w:type="paragraph" w:customStyle="1" w:styleId="152">
    <w:name w:val="xl24"/>
    <w:basedOn w:val="1"/>
    <w:uiPriority w:val="0"/>
    <w:pPr>
      <w:widowControl/>
      <w:spacing w:before="100" w:beforeLines="0" w:beforeAutospacing="1" w:after="100" w:afterLines="0" w:afterAutospacing="1"/>
      <w:jc w:val="center"/>
      <w:textAlignment w:val="center"/>
    </w:pPr>
    <w:rPr>
      <w:rFonts w:ascii="宋体" w:hAnsi="宋体"/>
      <w:kern w:val="0"/>
      <w:sz w:val="24"/>
    </w:rPr>
  </w:style>
  <w:style w:type="paragraph" w:customStyle="1" w:styleId="153">
    <w:name w:val=" Char1"/>
    <w:basedOn w:val="1"/>
    <w:uiPriority w:val="0"/>
    <w:rPr>
      <w:rFonts w:ascii="Tahoma" w:hAnsi="Tahoma"/>
      <w:sz w:val="24"/>
      <w:szCs w:val="20"/>
    </w:rPr>
  </w:style>
  <w:style w:type="paragraph" w:customStyle="1" w:styleId="154">
    <w:name w:val="[Normal]"/>
    <w:qFormat/>
    <w:uiPriority w:val="99"/>
    <w:rPr>
      <w:rFonts w:ascii="宋体" w:hAnsi="宋体" w:eastAsia="宋体" w:cs="Times New Roman"/>
      <w:kern w:val="0"/>
      <w:sz w:val="24"/>
      <w:szCs w:val="20"/>
      <w:lang w:val="en-US" w:eastAsia="en-US" w:bidi="ar-SA"/>
    </w:rPr>
  </w:style>
  <w:style w:type="paragraph" w:customStyle="1" w:styleId="15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56">
    <w:name w:val=" Char Char Char Char Char Char Char Char Char Char Char Char1 Char"/>
    <w:basedOn w:val="20"/>
    <w:uiPriority w:val="0"/>
    <w:rPr>
      <w:rFonts w:ascii="Tahoma" w:hAnsi="Tahoma"/>
      <w:sz w:val="24"/>
    </w:rPr>
  </w:style>
  <w:style w:type="paragraph" w:customStyle="1" w:styleId="157">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158">
    <w:name w:val="Quote"/>
    <w:basedOn w:val="1"/>
    <w:next w:val="1"/>
    <w:qFormat/>
    <w:uiPriority w:val="29"/>
    <w:pPr>
      <w:spacing w:line="240" w:lineRule="auto"/>
      <w:ind w:firstLine="0" w:firstLineChars="0"/>
      <w:jc w:val="center"/>
    </w:pPr>
    <w:rPr>
      <w:rFonts w:ascii="宋体" w:hAnsi="宋体" w:eastAsia="宋体" w:cs="Calibri"/>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53</Pages>
  <Words>27075</Words>
  <Characters>28136</Characters>
  <Lines>266</Lines>
  <Paragraphs>74</Paragraphs>
  <TotalTime>40</TotalTime>
  <ScaleCrop>false</ScaleCrop>
  <LinksUpToDate>false</LinksUpToDate>
  <CharactersWithSpaces>30746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2018-12-13T00:40:00Z</dcterms:created>
  <dc:creator>黄旭明</dc:creator>
  <cp:lastModifiedBy>WPS_1701756769</cp:lastModifiedBy>
  <cp:lastPrinted>2022-01-28T02:15:46Z</cp:lastPrinted>
  <dcterms:modified xsi:type="dcterms:W3CDTF">2024-02-22T09:49:29Z</dcterms:modified>
  <cp:revision>5</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5F12066BBDED4AB2BD2BDF9A063DECCF_13</vt:lpwstr>
  </property>
</Properties>
</file>